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21AE" w:rsidRDefault="00634BFC" w:rsidP="00D84B16">
      <w:pPr>
        <w:pStyle w:val="StyleTitlePageCentered"/>
      </w:pPr>
      <w:r>
        <w:rPr>
          <w:noProof/>
        </w:rPr>
        <w:drawing>
          <wp:inline distT="0" distB="0" distL="0" distR="0">
            <wp:extent cx="3400425" cy="1209675"/>
            <wp:effectExtent l="0" t="0" r="9525" b="9525"/>
            <wp:docPr id="14" name="Picture 1" descr="vbecslogo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becslogo_mediu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0425" cy="1209675"/>
                    </a:xfrm>
                    <a:prstGeom prst="rect">
                      <a:avLst/>
                    </a:prstGeom>
                    <a:noFill/>
                    <a:ln>
                      <a:noFill/>
                    </a:ln>
                  </pic:spPr>
                </pic:pic>
              </a:graphicData>
            </a:graphic>
          </wp:inline>
        </w:drawing>
      </w:r>
    </w:p>
    <w:p w:rsidR="002A21AE" w:rsidRDefault="002A21AE">
      <w:pPr>
        <w:pStyle w:val="TitlePage"/>
      </w:pPr>
    </w:p>
    <w:p w:rsidR="002A21AE" w:rsidRDefault="002A21AE">
      <w:pPr>
        <w:pStyle w:val="StyleTitlePageCentered"/>
      </w:pPr>
    </w:p>
    <w:p w:rsidR="002A21AE" w:rsidRDefault="002A21AE">
      <w:pPr>
        <w:pStyle w:val="StyleTitlePageCentered"/>
      </w:pPr>
    </w:p>
    <w:p w:rsidR="002A21AE" w:rsidRDefault="002A21AE">
      <w:pPr>
        <w:pStyle w:val="StyleTitlePageCentered"/>
      </w:pPr>
    </w:p>
    <w:p w:rsidR="002A21AE" w:rsidRDefault="002A21AE">
      <w:pPr>
        <w:pStyle w:val="StyleTitlePageCentered"/>
      </w:pPr>
    </w:p>
    <w:p w:rsidR="002A21AE" w:rsidRDefault="00D41F17">
      <w:pPr>
        <w:pStyle w:val="StyleTitlePageCentered"/>
      </w:pPr>
      <w:r>
        <w:t>V</w:t>
      </w:r>
      <w:r w:rsidR="000C7684">
        <w:t>ist</w:t>
      </w:r>
      <w:r w:rsidR="00EB26A1">
        <w:t>A</w:t>
      </w:r>
      <w:r w:rsidR="000C7684">
        <w:t xml:space="preserve"> </w:t>
      </w:r>
      <w:r w:rsidR="002A21AE">
        <w:t xml:space="preserve">Blood Establishment Computer Software (VBECS) </w:t>
      </w:r>
      <w:r w:rsidR="00662F2F">
        <w:t>Version</w:t>
      </w:r>
      <w:r w:rsidR="002A21AE">
        <w:t xml:space="preserve"> </w:t>
      </w:r>
      <w:r w:rsidR="00630535">
        <w:t>2.2</w:t>
      </w:r>
      <w:r w:rsidR="00B63DE9">
        <w:t>.0</w:t>
      </w:r>
    </w:p>
    <w:p w:rsidR="00D10407" w:rsidRDefault="00D10407">
      <w:pPr>
        <w:pStyle w:val="StyleTitlePageCentered"/>
      </w:pPr>
    </w:p>
    <w:p w:rsidR="00D10407" w:rsidRDefault="00D10407">
      <w:pPr>
        <w:pStyle w:val="StyleTitlePageCentered"/>
      </w:pPr>
    </w:p>
    <w:p w:rsidR="002A21AE" w:rsidRDefault="002A21AE">
      <w:pPr>
        <w:pStyle w:val="StyleTitlePageCentered"/>
      </w:pPr>
      <w:r>
        <w:t>User Guide</w:t>
      </w:r>
    </w:p>
    <w:p w:rsidR="008B7F48" w:rsidRDefault="008B7F48">
      <w:pPr>
        <w:pStyle w:val="StyleTitlePageCentered"/>
      </w:pPr>
    </w:p>
    <w:p w:rsidR="002A21AE" w:rsidRPr="006E05B3" w:rsidRDefault="00441450">
      <w:pPr>
        <w:pStyle w:val="StyleTitlePageCentered"/>
      </w:pPr>
      <w:r>
        <w:t>October</w:t>
      </w:r>
      <w:r w:rsidR="00630535">
        <w:t xml:space="preserve"> 2016</w:t>
      </w:r>
    </w:p>
    <w:p w:rsidR="002A21AE" w:rsidRDefault="002A21AE">
      <w:pPr>
        <w:pStyle w:val="StyleTitlePageCentered"/>
      </w:pPr>
    </w:p>
    <w:p w:rsidR="002A21AE" w:rsidRDefault="002A21AE">
      <w:pPr>
        <w:pStyle w:val="StyleTitlePageCentered"/>
      </w:pPr>
    </w:p>
    <w:p w:rsidR="002A21AE" w:rsidRDefault="002A21AE">
      <w:pPr>
        <w:pStyle w:val="StyleTitlePageCentered"/>
      </w:pPr>
    </w:p>
    <w:p w:rsidR="002A21AE" w:rsidRDefault="002A21AE">
      <w:pPr>
        <w:pStyle w:val="StyleTitlePageCentered"/>
      </w:pPr>
    </w:p>
    <w:p w:rsidR="002A21AE" w:rsidRPr="00E6048C" w:rsidRDefault="002A21AE">
      <w:pPr>
        <w:pStyle w:val="StyleTitlePageCentered"/>
        <w:rPr>
          <w:b/>
        </w:rPr>
      </w:pPr>
    </w:p>
    <w:p w:rsidR="002A21AE" w:rsidRDefault="002A21AE">
      <w:pPr>
        <w:pStyle w:val="StyleTitlePageCentered"/>
      </w:pPr>
    </w:p>
    <w:p w:rsidR="002A21AE" w:rsidRDefault="002A21AE">
      <w:pPr>
        <w:pStyle w:val="StyleTitlePageCentered"/>
      </w:pPr>
    </w:p>
    <w:p w:rsidR="002A21AE" w:rsidRDefault="002A21AE">
      <w:pPr>
        <w:pStyle w:val="StyleTitlePageBottom"/>
      </w:pPr>
      <w:r>
        <w:t>Department of Veterans Affairs</w:t>
      </w:r>
    </w:p>
    <w:p w:rsidR="002A21AE" w:rsidRDefault="00B27B40">
      <w:pPr>
        <w:pStyle w:val="StyleTitlePageBottom"/>
        <w:sectPr w:rsidR="002A21AE" w:rsidSect="00EE771C">
          <w:headerReference w:type="default" r:id="rId11"/>
          <w:footerReference w:type="even" r:id="rId12"/>
          <w:footerReference w:type="default" r:id="rId13"/>
          <w:type w:val="nextColumn"/>
          <w:pgSz w:w="12240" w:h="15840" w:code="1"/>
          <w:pgMar w:top="1440" w:right="1440" w:bottom="1440" w:left="1440" w:header="720" w:footer="720" w:gutter="0"/>
          <w:cols w:space="720"/>
          <w:docGrid w:linePitch="360"/>
        </w:sectPr>
      </w:pPr>
      <w:r>
        <w:t>Enterprise Project Management</w:t>
      </w:r>
      <w:r w:rsidR="000D79B6">
        <w:t xml:space="preserve"> </w:t>
      </w:r>
      <w:r>
        <w:t>Office</w:t>
      </w:r>
    </w:p>
    <w:p w:rsidR="002A21AE" w:rsidRDefault="002249FA" w:rsidP="002249FA">
      <w:pPr>
        <w:pStyle w:val="BodyText"/>
        <w:jc w:val="center"/>
        <w:sectPr w:rsidR="002A21AE" w:rsidSect="00EE771C">
          <w:footerReference w:type="default" r:id="rId14"/>
          <w:type w:val="nextColumn"/>
          <w:pgSz w:w="12240" w:h="15840" w:code="1"/>
          <w:pgMar w:top="1440" w:right="1440" w:bottom="1440" w:left="1440" w:header="720" w:footer="720" w:gutter="0"/>
          <w:cols w:space="720"/>
          <w:docGrid w:linePitch="360"/>
        </w:sectPr>
      </w:pPr>
      <w:r>
        <w:lastRenderedPageBreak/>
        <w:t>This page intentionally left</w:t>
      </w:r>
      <w:r w:rsidR="000014DD">
        <w:t xml:space="preserve"> </w:t>
      </w:r>
      <w:r>
        <w:t>blank.</w:t>
      </w:r>
    </w:p>
    <w:p w:rsidR="00037BAD" w:rsidRDefault="00037BAD" w:rsidP="00037BAD">
      <w:pPr>
        <w:pStyle w:val="Heading1"/>
      </w:pPr>
      <w:bookmarkStart w:id="0" w:name="_Toc63137949"/>
      <w:bookmarkStart w:id="1" w:name="_Toc459900017"/>
      <w:r>
        <w:lastRenderedPageBreak/>
        <w:t>Revision History</w:t>
      </w:r>
      <w:bookmarkEnd w:id="1"/>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8"/>
        <w:gridCol w:w="990"/>
        <w:gridCol w:w="6570"/>
        <w:gridCol w:w="1098"/>
      </w:tblGrid>
      <w:tr w:rsidR="00037BAD" w:rsidTr="00161069">
        <w:tblPrEx>
          <w:tblCellMar>
            <w:top w:w="0" w:type="dxa"/>
            <w:bottom w:w="0" w:type="dxa"/>
          </w:tblCellMar>
        </w:tblPrEx>
        <w:trPr>
          <w:trHeight w:val="403"/>
          <w:tblHeader/>
        </w:trPr>
        <w:tc>
          <w:tcPr>
            <w:tcW w:w="918" w:type="dxa"/>
            <w:tcBorders>
              <w:bottom w:val="single" w:sz="6" w:space="0" w:color="auto"/>
            </w:tcBorders>
            <w:shd w:val="clear" w:color="auto" w:fill="B3B3B3"/>
            <w:vAlign w:val="bottom"/>
          </w:tcPr>
          <w:p w:rsidR="00037BAD" w:rsidRDefault="00037BAD" w:rsidP="00037BAD">
            <w:pPr>
              <w:pStyle w:val="TableText"/>
              <w:rPr>
                <w:b/>
                <w:u w:val="single"/>
              </w:rPr>
            </w:pPr>
            <w:r>
              <w:rPr>
                <w:b/>
              </w:rPr>
              <w:t>Date</w:t>
            </w:r>
          </w:p>
        </w:tc>
        <w:tc>
          <w:tcPr>
            <w:tcW w:w="990" w:type="dxa"/>
            <w:tcBorders>
              <w:bottom w:val="single" w:sz="6" w:space="0" w:color="auto"/>
            </w:tcBorders>
            <w:shd w:val="clear" w:color="auto" w:fill="B3B3B3"/>
            <w:vAlign w:val="bottom"/>
          </w:tcPr>
          <w:p w:rsidR="00037BAD" w:rsidRDefault="00037BAD" w:rsidP="00037BAD">
            <w:pPr>
              <w:pStyle w:val="TableText"/>
              <w:rPr>
                <w:b/>
                <w:u w:val="single"/>
              </w:rPr>
            </w:pPr>
            <w:r>
              <w:rPr>
                <w:b/>
              </w:rPr>
              <w:t>Revision</w:t>
            </w:r>
          </w:p>
        </w:tc>
        <w:tc>
          <w:tcPr>
            <w:tcW w:w="6570" w:type="dxa"/>
            <w:tcBorders>
              <w:bottom w:val="single" w:sz="6" w:space="0" w:color="auto"/>
            </w:tcBorders>
            <w:shd w:val="clear" w:color="auto" w:fill="B3B3B3"/>
            <w:vAlign w:val="bottom"/>
          </w:tcPr>
          <w:p w:rsidR="00037BAD" w:rsidRDefault="00037BAD" w:rsidP="00037BAD">
            <w:pPr>
              <w:pStyle w:val="TableText"/>
              <w:rPr>
                <w:b/>
                <w:u w:val="single"/>
              </w:rPr>
            </w:pPr>
            <w:r>
              <w:rPr>
                <w:b/>
              </w:rPr>
              <w:t>Description</w:t>
            </w:r>
          </w:p>
        </w:tc>
        <w:tc>
          <w:tcPr>
            <w:tcW w:w="1098" w:type="dxa"/>
            <w:tcBorders>
              <w:bottom w:val="single" w:sz="6" w:space="0" w:color="auto"/>
            </w:tcBorders>
            <w:shd w:val="clear" w:color="auto" w:fill="B3B3B3"/>
            <w:vAlign w:val="bottom"/>
          </w:tcPr>
          <w:p w:rsidR="00037BAD" w:rsidRDefault="00037BAD" w:rsidP="00037BAD">
            <w:pPr>
              <w:pStyle w:val="TableText"/>
              <w:rPr>
                <w:b/>
                <w:u w:val="single"/>
              </w:rPr>
            </w:pPr>
            <w:r>
              <w:rPr>
                <w:b/>
              </w:rPr>
              <w:t>Author</w:t>
            </w:r>
          </w:p>
        </w:tc>
      </w:tr>
      <w:tr w:rsidR="007F6293" w:rsidRPr="009D5AF3" w:rsidTr="007A49E1">
        <w:tblPrEx>
          <w:tblCellMar>
            <w:top w:w="0" w:type="dxa"/>
            <w:bottom w:w="0" w:type="dxa"/>
          </w:tblCellMar>
        </w:tblPrEx>
        <w:trPr>
          <w:trHeight w:val="3270"/>
        </w:trPr>
        <w:tc>
          <w:tcPr>
            <w:tcW w:w="918" w:type="dxa"/>
          </w:tcPr>
          <w:p w:rsidR="007F6293" w:rsidRDefault="007F32A0" w:rsidP="001B40D7">
            <w:pPr>
              <w:pStyle w:val="TableText"/>
            </w:pPr>
            <w:r>
              <w:t>3</w:t>
            </w:r>
            <w:r w:rsidR="004D55F4">
              <w:t>/</w:t>
            </w:r>
            <w:r>
              <w:t>31</w:t>
            </w:r>
            <w:r w:rsidR="00941683">
              <w:t>/</w:t>
            </w:r>
            <w:r w:rsidR="00167CC5">
              <w:t>1</w:t>
            </w:r>
            <w:r w:rsidR="00D916CC">
              <w:t>6</w:t>
            </w:r>
          </w:p>
        </w:tc>
        <w:tc>
          <w:tcPr>
            <w:tcW w:w="990" w:type="dxa"/>
          </w:tcPr>
          <w:p w:rsidR="007F6293" w:rsidRDefault="00FA1175" w:rsidP="00B36B12">
            <w:pPr>
              <w:pStyle w:val="TableText"/>
            </w:pPr>
            <w:r>
              <w:t>1</w:t>
            </w:r>
            <w:r w:rsidR="00167CC5">
              <w:t>.0</w:t>
            </w:r>
          </w:p>
        </w:tc>
        <w:tc>
          <w:tcPr>
            <w:tcW w:w="6570" w:type="dxa"/>
          </w:tcPr>
          <w:p w:rsidR="007F32A0" w:rsidRPr="002323FF" w:rsidRDefault="007F32A0" w:rsidP="007F32A0">
            <w:pPr>
              <w:pStyle w:val="TableText"/>
            </w:pPr>
            <w:r w:rsidRPr="002323FF">
              <w:t>Modified VistA Blood Establishment Computer Software (VBECS) 2.1.0 User Guide, Version 2.0 to create the VistA Blood Establishment Computer Software (VBECS) 2.2.0 User Guide, Version 1.0:</w:t>
            </w:r>
          </w:p>
          <w:p w:rsidR="007F32A0" w:rsidRPr="002323FF" w:rsidRDefault="007F32A0" w:rsidP="007F32A0">
            <w:pPr>
              <w:pStyle w:val="TableTextBullet"/>
            </w:pPr>
            <w:r w:rsidRPr="002323FF">
              <w:t>Global: Replaced "2.1.0" with "2.2.0”</w:t>
            </w:r>
            <w:r w:rsidRPr="002323FF" w:rsidDel="00AD124E">
              <w:t xml:space="preserve"> </w:t>
            </w:r>
          </w:p>
          <w:p w:rsidR="007F32A0" w:rsidRPr="002323FF" w:rsidRDefault="007F32A0" w:rsidP="007F32A0">
            <w:pPr>
              <w:pStyle w:val="TableTextBullet"/>
            </w:pPr>
            <w:r w:rsidRPr="002323FF">
              <w:t>Global: Replaced “December 2015” with “April 2016” in the footer.</w:t>
            </w:r>
          </w:p>
          <w:p w:rsidR="007F32A0" w:rsidRDefault="007F32A0" w:rsidP="007F32A0">
            <w:pPr>
              <w:pStyle w:val="TableTextBullet"/>
            </w:pPr>
            <w:r>
              <w:t>Global: Changed “Sharepoint” to “SharePoint”.</w:t>
            </w:r>
          </w:p>
          <w:p w:rsidR="007F32A0" w:rsidRPr="002323FF" w:rsidRDefault="007F32A0" w:rsidP="007F32A0">
            <w:pPr>
              <w:pStyle w:val="TableTextBullet"/>
            </w:pPr>
            <w:r w:rsidRPr="002323FF">
              <w:t>Introduction: Removed third paragraph pertaining to VistA Blood Bank v5.2.</w:t>
            </w:r>
          </w:p>
          <w:p w:rsidR="007F32A0" w:rsidRPr="002323FF" w:rsidRDefault="007F32A0" w:rsidP="007F32A0">
            <w:pPr>
              <w:pStyle w:val="TableTextBullet"/>
            </w:pPr>
            <w:r w:rsidRPr="002323FF">
              <w:t>Figure 1: Revised.</w:t>
            </w:r>
          </w:p>
          <w:p w:rsidR="007F32A0" w:rsidRDefault="007F32A0" w:rsidP="007F32A0">
            <w:pPr>
              <w:pStyle w:val="TableTextBullet"/>
            </w:pPr>
            <w:r>
              <w:t>Hardware and Infrastructure Architecture section – Revised to align with VBECS 2.2.0 Technical Manual-Security Guide.</w:t>
            </w:r>
          </w:p>
          <w:p w:rsidR="007F32A0" w:rsidRPr="002323FF" w:rsidRDefault="007F32A0" w:rsidP="007F32A0">
            <w:pPr>
              <w:pStyle w:val="TableTextBullet"/>
            </w:pPr>
            <w:r w:rsidRPr="002323FF">
              <w:t>Searching the Database section: Added new next to last sub-bullet under fifth bullet “Restricted for patient name, when available”.</w:t>
            </w:r>
          </w:p>
          <w:p w:rsidR="007F32A0" w:rsidRDefault="007F32A0" w:rsidP="007F32A0">
            <w:pPr>
              <w:pStyle w:val="TableTextBullet"/>
            </w:pPr>
            <w:r>
              <w:t>Patient Testing: Pending Task List section, Step 2: Added new last bullet to seventh bullet “Instrument Results Pending Review…”.</w:t>
            </w:r>
          </w:p>
          <w:p w:rsidR="007F32A0" w:rsidRPr="002323FF" w:rsidRDefault="007F32A0" w:rsidP="007F32A0">
            <w:pPr>
              <w:pStyle w:val="TableTextBullet"/>
            </w:pPr>
            <w:r w:rsidRPr="002323FF">
              <w:t>Automated Testing Interface: Added this new section.</w:t>
            </w:r>
            <w:r w:rsidRPr="002323FF">
              <w:rPr>
                <w:vanish/>
              </w:rPr>
              <w:t xml:space="preserve"> Defect 290088 and 290166</w:t>
            </w:r>
          </w:p>
          <w:p w:rsidR="007F32A0" w:rsidRPr="002323FF" w:rsidRDefault="007F32A0" w:rsidP="007F32A0">
            <w:pPr>
              <w:pStyle w:val="TableTextBullet"/>
            </w:pPr>
            <w:r w:rsidRPr="002323FF">
              <w:t>Automated Testing Review for Blood Units: Added this new section.</w:t>
            </w:r>
          </w:p>
          <w:p w:rsidR="007F32A0" w:rsidRPr="002323FF" w:rsidRDefault="007F32A0" w:rsidP="007F32A0">
            <w:pPr>
              <w:pStyle w:val="TableTextBullet"/>
              <w:rPr>
                <w:vanish/>
              </w:rPr>
            </w:pPr>
            <w:r w:rsidRPr="002323FF">
              <w:t>Automated Testing Review for Patients: Added this new section.</w:t>
            </w:r>
          </w:p>
          <w:p w:rsidR="007F32A0" w:rsidRPr="002323FF" w:rsidRDefault="007F32A0" w:rsidP="007F32A0">
            <w:pPr>
              <w:pStyle w:val="TableTextBullet"/>
              <w:rPr>
                <w:vanish/>
              </w:rPr>
            </w:pPr>
            <w:r w:rsidRPr="002323FF">
              <w:rPr>
                <w:vanish/>
              </w:rPr>
              <w:t xml:space="preserve"> Defect 279095</w:t>
            </w:r>
          </w:p>
          <w:p w:rsidR="007F32A0" w:rsidRPr="002323FF" w:rsidRDefault="007F32A0" w:rsidP="007F32A0">
            <w:pPr>
              <w:pStyle w:val="TableTextBullet"/>
            </w:pPr>
          </w:p>
          <w:p w:rsidR="007F32A0" w:rsidRPr="002323FF" w:rsidRDefault="007F32A0" w:rsidP="007F32A0">
            <w:pPr>
              <w:pStyle w:val="TableTextBullet"/>
            </w:pPr>
            <w:r w:rsidRPr="002323FF">
              <w:t>Exception Report section, Additional Information: Added new third bullet.</w:t>
            </w:r>
          </w:p>
          <w:p w:rsidR="007F32A0" w:rsidRDefault="00291798" w:rsidP="007F32A0">
            <w:pPr>
              <w:pStyle w:val="TableTextBullet"/>
            </w:pPr>
            <w:r>
              <w:t>Table 16</w:t>
            </w:r>
            <w:r w:rsidR="007F32A0">
              <w:t>: Added a column for Automated Testing Review.</w:t>
            </w:r>
          </w:p>
          <w:p w:rsidR="007F32A0" w:rsidRDefault="00291798" w:rsidP="007F32A0">
            <w:pPr>
              <w:pStyle w:val="TableTextBullet"/>
            </w:pPr>
            <w:r>
              <w:t>Table 22</w:t>
            </w:r>
            <w:r w:rsidR="007F32A0">
              <w:t xml:space="preserve">: </w:t>
            </w:r>
            <w:r w:rsidR="007F32A0" w:rsidRPr="009C0490">
              <w:t>Removed the X in E069 row under Thaw to match the current Truth Table Catalog TT_26.02.</w:t>
            </w:r>
          </w:p>
          <w:p w:rsidR="007F32A0" w:rsidRDefault="007F32A0" w:rsidP="007F32A0">
            <w:pPr>
              <w:pStyle w:val="TableTextBullet"/>
            </w:pPr>
            <w:r>
              <w:t>References section: Researched and revised.</w:t>
            </w:r>
          </w:p>
          <w:p w:rsidR="007F32A0" w:rsidRDefault="00291798" w:rsidP="007F32A0">
            <w:pPr>
              <w:pStyle w:val="TableTextBullet"/>
            </w:pPr>
            <w:r>
              <w:t>Table 27</w:t>
            </w:r>
            <w:r w:rsidR="007F32A0">
              <w:t>: Revised Explanation for ABO Forward and reverse typing; Patient Testing ABO/Rh.</w:t>
            </w:r>
          </w:p>
          <w:p w:rsidR="007F32A0" w:rsidRDefault="00291798" w:rsidP="007F32A0">
            <w:pPr>
              <w:pStyle w:val="TableTextBullet"/>
            </w:pPr>
            <w:r>
              <w:t>Table 27</w:t>
            </w:r>
            <w:r w:rsidR="007F32A0">
              <w:t>: Added new rows for “Patient ABO Automated, Antibody Screen/Indirect Coombs Automated, Serologic Crossmatch Major Automated, Direct Antiglobulin Test Automated, Patient Antigen Typing Automated, Blood Unit ABO Confirmation Test Automated, Blood Unit ABO/Rh Confirmation Test Automated, Blood Unit Antigen Typing Automated”.</w:t>
            </w:r>
          </w:p>
          <w:p w:rsidR="007F32A0" w:rsidRDefault="00291798" w:rsidP="007F32A0">
            <w:pPr>
              <w:pStyle w:val="TableTextBullet"/>
            </w:pPr>
            <w:r>
              <w:t>Added footnote under Table 27</w:t>
            </w:r>
            <w:r w:rsidR="007F32A0">
              <w:t>.</w:t>
            </w:r>
          </w:p>
          <w:p w:rsidR="007548B5" w:rsidRDefault="007F32A0" w:rsidP="007F32A0">
            <w:pPr>
              <w:pStyle w:val="TableTextBullet"/>
            </w:pPr>
            <w:r>
              <w:t>Appendix D: Added new information for Automated Testing Interface, Automated Testing Review for Blood Units and Automated Testing Review for Patients.</w:t>
            </w:r>
          </w:p>
        </w:tc>
        <w:tc>
          <w:tcPr>
            <w:tcW w:w="1098" w:type="dxa"/>
          </w:tcPr>
          <w:p w:rsidR="007F6293" w:rsidRDefault="00896783" w:rsidP="00B36B12">
            <w:pPr>
              <w:pStyle w:val="TableText"/>
            </w:pPr>
            <w:r>
              <w:t>BBM t</w:t>
            </w:r>
            <w:r w:rsidR="007F6293">
              <w:t>eam</w:t>
            </w:r>
          </w:p>
        </w:tc>
      </w:tr>
      <w:tr w:rsidR="00FA1175" w:rsidRPr="009D5AF3" w:rsidTr="00A9420F">
        <w:tblPrEx>
          <w:tblCellMar>
            <w:top w:w="0" w:type="dxa"/>
            <w:bottom w:w="0" w:type="dxa"/>
          </w:tblCellMar>
        </w:tblPrEx>
        <w:trPr>
          <w:trHeight w:val="543"/>
        </w:trPr>
        <w:tc>
          <w:tcPr>
            <w:tcW w:w="918" w:type="dxa"/>
          </w:tcPr>
          <w:p w:rsidR="00FA1175" w:rsidRDefault="0091034E" w:rsidP="000200AF">
            <w:pPr>
              <w:pStyle w:val="TableText"/>
            </w:pPr>
            <w:r>
              <w:t>6/30</w:t>
            </w:r>
            <w:r w:rsidR="00FA1175">
              <w:t>/16</w:t>
            </w:r>
          </w:p>
        </w:tc>
        <w:tc>
          <w:tcPr>
            <w:tcW w:w="990" w:type="dxa"/>
          </w:tcPr>
          <w:p w:rsidR="00FA1175" w:rsidRDefault="00FA1175" w:rsidP="000200AF">
            <w:pPr>
              <w:pStyle w:val="TableText"/>
            </w:pPr>
            <w:r>
              <w:t>2.0</w:t>
            </w:r>
          </w:p>
        </w:tc>
        <w:tc>
          <w:tcPr>
            <w:tcW w:w="6570" w:type="dxa"/>
          </w:tcPr>
          <w:p w:rsidR="00FA1175" w:rsidRPr="002323FF" w:rsidRDefault="00FA1175" w:rsidP="000200AF">
            <w:pPr>
              <w:pStyle w:val="TableText"/>
            </w:pPr>
            <w:r w:rsidRPr="002323FF">
              <w:t xml:space="preserve">Modified VistA Blood Establishment Computer Software (VBECS) </w:t>
            </w:r>
            <w:r>
              <w:t>2.2</w:t>
            </w:r>
            <w:r w:rsidRPr="002323FF">
              <w:t>.0 User Guide</w:t>
            </w:r>
            <w:r>
              <w:t>, Version 1</w:t>
            </w:r>
            <w:r w:rsidRPr="002323FF">
              <w:t>.0 to create the VistA Blood Establishment Computer Software (VBECS) 2.2.0 User Guide</w:t>
            </w:r>
            <w:r>
              <w:t>, Version 2</w:t>
            </w:r>
            <w:r w:rsidRPr="002323FF">
              <w:t>.0:</w:t>
            </w:r>
          </w:p>
          <w:p w:rsidR="00FA1175" w:rsidRDefault="00FA1175" w:rsidP="000200AF">
            <w:pPr>
              <w:pStyle w:val="TableTextBullet"/>
            </w:pPr>
            <w:r w:rsidRPr="002323FF">
              <w:t>Global: Replaced “</w:t>
            </w:r>
            <w:r>
              <w:t>April</w:t>
            </w:r>
            <w:r w:rsidRPr="002323FF">
              <w:t xml:space="preserve"> 201</w:t>
            </w:r>
            <w:r>
              <w:t>6</w:t>
            </w:r>
            <w:r w:rsidRPr="002323FF">
              <w:t>” with “</w:t>
            </w:r>
            <w:r>
              <w:t>June</w:t>
            </w:r>
            <w:r w:rsidRPr="002323FF">
              <w:t xml:space="preserve"> 2016” in the footer.</w:t>
            </w:r>
          </w:p>
          <w:p w:rsidR="00FA1175" w:rsidRDefault="00FA1175" w:rsidP="000200AF">
            <w:pPr>
              <w:pStyle w:val="TableTextBullet"/>
            </w:pPr>
            <w:r>
              <w:t xml:space="preserve">Revised Figures </w:t>
            </w:r>
            <w:r w:rsidR="00C95A11">
              <w:t xml:space="preserve">23, </w:t>
            </w:r>
            <w:r>
              <w:t>30, 115, 118 and 120.</w:t>
            </w:r>
            <w:r w:rsidRPr="00B46534">
              <w:rPr>
                <w:vanish/>
              </w:rPr>
              <w:t xml:space="preserve"> Defect 314317</w:t>
            </w:r>
          </w:p>
          <w:p w:rsidR="0091034E" w:rsidRDefault="00FA1175" w:rsidP="000200AF">
            <w:pPr>
              <w:pStyle w:val="TableTextBullet"/>
            </w:pPr>
            <w:r>
              <w:t>Automated Testing Interface section, Additional Information: Added a warning to the last bullet</w:t>
            </w:r>
            <w:r w:rsidRPr="0091034E">
              <w:rPr>
                <w:rFonts w:cs="Arial"/>
                <w:szCs w:val="18"/>
              </w:rPr>
              <w:t>.</w:t>
            </w:r>
            <w:r w:rsidRPr="0091034E">
              <w:rPr>
                <w:rFonts w:cs="Arial"/>
                <w:vanish/>
                <w:szCs w:val="18"/>
              </w:rPr>
              <w:t xml:space="preserve"> Defect 290166 Defect 290088</w:t>
            </w:r>
          </w:p>
          <w:p w:rsidR="00FA1175" w:rsidRPr="0091034E" w:rsidRDefault="00FA1175" w:rsidP="000200AF">
            <w:pPr>
              <w:pStyle w:val="TableTextBullet"/>
            </w:pPr>
            <w:r>
              <w:t xml:space="preserve">Automated Testing Review for Patients section, Additional Information, second bullet: Added </w:t>
            </w:r>
            <w:r w:rsidR="0024379A">
              <w:t>“</w:t>
            </w:r>
            <w:r w:rsidRPr="0091034E">
              <w:rPr>
                <w:rFonts w:cs="Arial"/>
                <w:szCs w:val="18"/>
              </w:rPr>
              <w:t xml:space="preserve">Attempts to send the DAT to VBECS without a separate standalone DAT order (either a DAT ordered in CPRS or a Reflex DAT entered in VBECS) will result in a rejection of the DAT result message. Users must have a separate DAT test pending in order to send test results from the </w:t>
            </w:r>
            <w:r w:rsidRPr="0091034E">
              <w:t>Automated Instrument.</w:t>
            </w:r>
            <w:r w:rsidR="0024379A" w:rsidRPr="0091034E">
              <w:t>”</w:t>
            </w:r>
            <w:r w:rsidRPr="0091034E">
              <w:t xml:space="preserve"> </w:t>
            </w:r>
            <w:r w:rsidRPr="005028F8">
              <w:rPr>
                <w:vanish/>
              </w:rPr>
              <w:t>Defect 279095</w:t>
            </w:r>
          </w:p>
          <w:p w:rsidR="0091034E" w:rsidRPr="007548B5" w:rsidRDefault="0091034E" w:rsidP="000200AF">
            <w:pPr>
              <w:pStyle w:val="TableTextBullet"/>
            </w:pPr>
            <w:r w:rsidRPr="0091034E">
              <w:t>Automated Testing Review for Patients section, Step 8 – Removed the second and third notes</w:t>
            </w:r>
            <w:r w:rsidR="002C7E73">
              <w:t xml:space="preserve"> </w:t>
            </w:r>
            <w:r w:rsidRPr="0091034E">
              <w:t xml:space="preserve">as they </w:t>
            </w:r>
            <w:r w:rsidR="002C7E73">
              <w:t>do not</w:t>
            </w:r>
            <w:r w:rsidRPr="0091034E">
              <w:t xml:space="preserve"> belong to crossmatch.</w:t>
            </w:r>
          </w:p>
          <w:p w:rsidR="00FA1175" w:rsidRDefault="00FA1175" w:rsidP="000200AF">
            <w:pPr>
              <w:pStyle w:val="TableTextBullet"/>
            </w:pPr>
            <w:r>
              <w:t>Toolbars, Main Toolbar section: Added icons for Automated Instrument Pending Patient Tests and Automated Instrument Pending Blood Unit Tests</w:t>
            </w:r>
            <w:r w:rsidRPr="007548B5">
              <w:rPr>
                <w:vanish/>
              </w:rPr>
              <w:t xml:space="preserve"> Defect 314317</w:t>
            </w:r>
          </w:p>
          <w:p w:rsidR="006020B2" w:rsidRDefault="006020B2" w:rsidP="000200AF">
            <w:pPr>
              <w:pStyle w:val="TableTextBullet"/>
            </w:pPr>
            <w:r>
              <w:t>Automated Testing Review for Blood Units section, Step 4, fifth note: Added example (Directed or Autologous)</w:t>
            </w:r>
          </w:p>
          <w:p w:rsidR="006020B2" w:rsidRDefault="00B33802" w:rsidP="000200AF">
            <w:pPr>
              <w:pStyle w:val="TableTextBullet"/>
            </w:pPr>
            <w:r>
              <w:lastRenderedPageBreak/>
              <w:t>Moved PTL notes from Automated Testing Review for Blood Units Step 1 to Automated Testing Review for Patients Step 1.</w:t>
            </w:r>
          </w:p>
        </w:tc>
        <w:tc>
          <w:tcPr>
            <w:tcW w:w="1098" w:type="dxa"/>
          </w:tcPr>
          <w:p w:rsidR="00FA1175" w:rsidRDefault="00FA1175" w:rsidP="000200AF">
            <w:pPr>
              <w:pStyle w:val="TableText"/>
            </w:pPr>
            <w:r>
              <w:lastRenderedPageBreak/>
              <w:t>BBM team</w:t>
            </w:r>
          </w:p>
        </w:tc>
      </w:tr>
      <w:tr w:rsidR="00B27B40" w:rsidRPr="009D5AF3" w:rsidTr="00A9420F">
        <w:tblPrEx>
          <w:tblCellMar>
            <w:top w:w="0" w:type="dxa"/>
            <w:bottom w:w="0" w:type="dxa"/>
          </w:tblCellMar>
        </w:tblPrEx>
        <w:trPr>
          <w:trHeight w:val="543"/>
        </w:trPr>
        <w:tc>
          <w:tcPr>
            <w:tcW w:w="918" w:type="dxa"/>
          </w:tcPr>
          <w:p w:rsidR="00B27B40" w:rsidRDefault="00B447A2" w:rsidP="00550123">
            <w:pPr>
              <w:pStyle w:val="TableText"/>
            </w:pPr>
            <w:r>
              <w:lastRenderedPageBreak/>
              <w:t>9/1</w:t>
            </w:r>
            <w:r w:rsidR="00B27B40">
              <w:t>/16</w:t>
            </w:r>
          </w:p>
        </w:tc>
        <w:tc>
          <w:tcPr>
            <w:tcW w:w="990" w:type="dxa"/>
          </w:tcPr>
          <w:p w:rsidR="00B27B40" w:rsidRPr="000D7828" w:rsidRDefault="00B27B40" w:rsidP="00550123">
            <w:pPr>
              <w:pStyle w:val="TableText"/>
            </w:pPr>
            <w:r w:rsidRPr="000D7828">
              <w:t>3.0</w:t>
            </w:r>
          </w:p>
        </w:tc>
        <w:tc>
          <w:tcPr>
            <w:tcW w:w="6570" w:type="dxa"/>
          </w:tcPr>
          <w:p w:rsidR="00B27B40" w:rsidRPr="000D7828" w:rsidRDefault="00B27B40" w:rsidP="00B27B40">
            <w:pPr>
              <w:pStyle w:val="TableText"/>
            </w:pPr>
            <w:r w:rsidRPr="000D7828">
              <w:t>Modified VistA Blood Establishment Computer Software (VBECS) 2.2.0 User Guide, Version 2.0 to create the VistA Blood Establishment Computer Software (VBECS) 2.2.0 User Guide, Version 3.0:</w:t>
            </w:r>
          </w:p>
          <w:p w:rsidR="00B27B40" w:rsidRPr="000D7828" w:rsidRDefault="00B27B40" w:rsidP="00B27B40">
            <w:pPr>
              <w:pStyle w:val="TableTextBullet"/>
            </w:pPr>
            <w:r w:rsidRPr="000D7828">
              <w:t>Global: Replaced “June 2016” with “</w:t>
            </w:r>
            <w:r w:rsidR="00B447A2">
              <w:t>September</w:t>
            </w:r>
            <w:r w:rsidRPr="000D7828">
              <w:t xml:space="preserve"> 2016” in the footer.</w:t>
            </w:r>
          </w:p>
          <w:p w:rsidR="00B27B40" w:rsidRPr="000D7828" w:rsidRDefault="00B27B40" w:rsidP="00B27B40">
            <w:pPr>
              <w:pStyle w:val="TableTextBullet"/>
            </w:pPr>
            <w:r w:rsidRPr="000D7828">
              <w:t>Title page: Changed “Product Development” to “Enterprise Project Management Office”.</w:t>
            </w:r>
          </w:p>
          <w:p w:rsidR="000D7828" w:rsidRPr="00BB0EAB" w:rsidRDefault="00C84455" w:rsidP="00C84455">
            <w:pPr>
              <w:pStyle w:val="TableTextBullet"/>
            </w:pPr>
            <w:r w:rsidRPr="000D7828">
              <w:t>Customer Support, National VA Service Desk Alternate Contacts section: Revised contact telephone number.</w:t>
            </w:r>
            <w:r w:rsidR="00BB0EAB">
              <w:t xml:space="preserve"> </w:t>
            </w:r>
            <w:r w:rsidR="00BB0EAB" w:rsidRPr="00BB0EAB">
              <w:rPr>
                <w:vanish/>
              </w:rPr>
              <w:t>Defect 3620</w:t>
            </w:r>
            <w:r w:rsidR="001A21EF">
              <w:rPr>
                <w:vanish/>
              </w:rPr>
              <w:t>99</w:t>
            </w:r>
          </w:p>
          <w:p w:rsidR="00A8756B" w:rsidRPr="00A8756B" w:rsidRDefault="00BB0EAB" w:rsidP="00A8756B">
            <w:pPr>
              <w:pStyle w:val="TableTextBullet"/>
            </w:pPr>
            <w:r>
              <w:t xml:space="preserve">Order Alerts, </w:t>
            </w:r>
            <w:r w:rsidRPr="00D53DC3">
              <w:t>Limitations and Restrictions:</w:t>
            </w:r>
            <w:r>
              <w:t xml:space="preserve"> Added new 1</w:t>
            </w:r>
            <w:r w:rsidRPr="00BB0EAB">
              <w:rPr>
                <w:vertAlign w:val="superscript"/>
              </w:rPr>
              <w:t>st</w:t>
            </w:r>
            <w:r>
              <w:t xml:space="preserve"> bullet. Information was previously a sentence contained in 3</w:t>
            </w:r>
            <w:r w:rsidRPr="00BB0EAB">
              <w:rPr>
                <w:vertAlign w:val="superscript"/>
              </w:rPr>
              <w:t>rd</w:t>
            </w:r>
            <w:r>
              <w:t xml:space="preserve"> bullet of Additional Information</w:t>
            </w:r>
            <w:r w:rsidR="003D2BAD">
              <w:t>. Also added to</w:t>
            </w:r>
            <w:r w:rsidR="003A6D3F">
              <w:t xml:space="preserve"> Appendix D</w:t>
            </w:r>
            <w:r>
              <w:t xml:space="preserve">. </w:t>
            </w:r>
            <w:r w:rsidRPr="00BB0EAB">
              <w:rPr>
                <w:vanish/>
              </w:rPr>
              <w:t>Defect 368207</w:t>
            </w:r>
          </w:p>
          <w:p w:rsidR="00A8756B" w:rsidRDefault="00A8756B" w:rsidP="00C84455">
            <w:pPr>
              <w:pStyle w:val="TableTextBullet"/>
            </w:pPr>
            <w:r>
              <w:t xml:space="preserve">Order Alerts, Limitations and Restrictions: Added new last bullet pertaining to </w:t>
            </w:r>
            <w:r w:rsidRPr="00206666">
              <w:rPr>
                <w:rFonts w:cs="Arial"/>
                <w:sz w:val="20"/>
              </w:rPr>
              <w:t>Component Orders not contain</w:t>
            </w:r>
            <w:r>
              <w:rPr>
                <w:rFonts w:cs="Arial"/>
                <w:sz w:val="20"/>
              </w:rPr>
              <w:t>ing</w:t>
            </w:r>
            <w:r w:rsidRPr="00206666">
              <w:rPr>
                <w:rFonts w:cs="Arial"/>
                <w:sz w:val="20"/>
              </w:rPr>
              <w:t xml:space="preserve"> information about </w:t>
            </w:r>
            <w:r>
              <w:rPr>
                <w:rFonts w:cs="Arial"/>
                <w:sz w:val="20"/>
              </w:rPr>
              <w:t>the urgency of the o</w:t>
            </w:r>
            <w:r w:rsidRPr="00206666">
              <w:rPr>
                <w:rFonts w:cs="Arial"/>
                <w:sz w:val="20"/>
              </w:rPr>
              <w:t>rder</w:t>
            </w:r>
            <w:r>
              <w:rPr>
                <w:rFonts w:cs="Arial"/>
                <w:sz w:val="20"/>
              </w:rPr>
              <w:t>.</w:t>
            </w:r>
            <w:r w:rsidR="003D2BAD">
              <w:rPr>
                <w:rFonts w:cs="Arial"/>
                <w:sz w:val="20"/>
              </w:rPr>
              <w:t xml:space="preserve"> Also added to Appendex D.</w:t>
            </w:r>
          </w:p>
          <w:p w:rsidR="00BB0EAB" w:rsidRPr="00A654A0" w:rsidRDefault="0084410F" w:rsidP="00C84455">
            <w:pPr>
              <w:pStyle w:val="TableTextBullet"/>
            </w:pPr>
            <w:r>
              <w:t xml:space="preserve">Patient Testing: Record a Patient ABO/Rh, </w:t>
            </w:r>
            <w:r w:rsidRPr="00D53DC3">
              <w:t>Limitations and Restrictions</w:t>
            </w:r>
            <w:r>
              <w:t>: Added new bullet pertaining to ABO or Rh subgroups</w:t>
            </w:r>
            <w:r w:rsidR="003A6D3F">
              <w:t>. Also added to Appendix D</w:t>
            </w:r>
            <w:r>
              <w:t xml:space="preserve">. </w:t>
            </w:r>
            <w:r w:rsidRPr="0084410F">
              <w:rPr>
                <w:vanish/>
              </w:rPr>
              <w:t>Defect 368207</w:t>
            </w:r>
          </w:p>
          <w:p w:rsidR="00A654A0" w:rsidRPr="00586388" w:rsidRDefault="00A654A0" w:rsidP="00C84455">
            <w:pPr>
              <w:pStyle w:val="TableTextBullet"/>
            </w:pPr>
            <w:r>
              <w:t>Patient Testing: Record a Crossmatch</w:t>
            </w:r>
            <w:r w:rsidR="00E847FD">
              <w:t>, Additional Information</w:t>
            </w:r>
            <w:r w:rsidRPr="000D7828">
              <w:t xml:space="preserve"> section: Added new first bullet pertaining to</w:t>
            </w:r>
            <w:r>
              <w:t xml:space="preserve"> AABB Standards (5.16.1) requiring a serological XM to detect ABO incompatibility. </w:t>
            </w:r>
            <w:r w:rsidRPr="00A654A0">
              <w:rPr>
                <w:vanish/>
              </w:rPr>
              <w:t>Defect 362099</w:t>
            </w:r>
          </w:p>
          <w:p w:rsidR="00586388" w:rsidRPr="00D6284B" w:rsidRDefault="00586388" w:rsidP="00586388">
            <w:pPr>
              <w:pStyle w:val="TableTextBullet"/>
            </w:pPr>
            <w:r w:rsidRPr="000D7828">
              <w:t>Automated Testing Interface</w:t>
            </w:r>
            <w:r>
              <w:t>,</w:t>
            </w:r>
            <w:r w:rsidRPr="000D7828">
              <w:t xml:space="preserve"> Assumptions section: Added new first bullet pertaining to test results being reviewed and released on the instrument. </w:t>
            </w:r>
            <w:r w:rsidRPr="00BB0EAB">
              <w:rPr>
                <w:vanish/>
              </w:rPr>
              <w:t>Defect 357490</w:t>
            </w:r>
          </w:p>
          <w:p w:rsidR="00D6284B" w:rsidRPr="00586388" w:rsidRDefault="00D6284B" w:rsidP="00586388">
            <w:pPr>
              <w:pStyle w:val="TableTextBullet"/>
            </w:pPr>
            <w:r w:rsidRPr="000D7828">
              <w:t>Automated Testing Interface</w:t>
            </w:r>
            <w:r>
              <w:t>,</w:t>
            </w:r>
            <w:r w:rsidRPr="000D7828">
              <w:t xml:space="preserve"> </w:t>
            </w:r>
            <w:r>
              <w:t>Additional Information</w:t>
            </w:r>
            <w:r w:rsidRPr="000D7828">
              <w:t xml:space="preserve"> section: Added new </w:t>
            </w:r>
            <w:r>
              <w:t>second</w:t>
            </w:r>
            <w:r w:rsidRPr="000D7828">
              <w:t xml:space="preserve"> bullet pertaining to</w:t>
            </w:r>
            <w:r>
              <w:t xml:space="preserve"> AABB Standards (5.16.1) requiring a serological XM to detect ABO incompatibility. </w:t>
            </w:r>
            <w:r w:rsidRPr="00D6284B">
              <w:rPr>
                <w:vanish/>
              </w:rPr>
              <w:t>Defect 362099</w:t>
            </w:r>
          </w:p>
          <w:p w:rsidR="00586388" w:rsidRDefault="00586388" w:rsidP="00C84455">
            <w:pPr>
              <w:pStyle w:val="TableTextBullet"/>
            </w:pPr>
            <w:r>
              <w:t xml:space="preserve">Automated Testing Interface, Limitations and Restrictions section: Added new first bullet pertaining to </w:t>
            </w:r>
            <w:r w:rsidRPr="007526C8">
              <w:t xml:space="preserve">VBECS </w:t>
            </w:r>
            <w:r>
              <w:t>having</w:t>
            </w:r>
            <w:r w:rsidRPr="007526C8">
              <w:t xml:space="preserve"> only been tested with one automated instrument connected</w:t>
            </w:r>
            <w:r>
              <w:t xml:space="preserve">. </w:t>
            </w:r>
            <w:r w:rsidRPr="00586388">
              <w:rPr>
                <w:vanish/>
              </w:rPr>
              <w:t>Defect 357490</w:t>
            </w:r>
          </w:p>
          <w:p w:rsidR="004926E0" w:rsidRPr="003A6D3F" w:rsidRDefault="00FC74A0" w:rsidP="00C84455">
            <w:pPr>
              <w:pStyle w:val="TableTextBullet"/>
            </w:pPr>
            <w:r w:rsidRPr="003A6D3F">
              <w:t xml:space="preserve">Automated Testing Interface, Limitations and Restrictions section: </w:t>
            </w:r>
            <w:r w:rsidR="004926E0" w:rsidRPr="003A6D3F">
              <w:t xml:space="preserve">Moved 5th bullet </w:t>
            </w:r>
            <w:r w:rsidR="00C968F6" w:rsidRPr="003A6D3F">
              <w:t xml:space="preserve">from </w:t>
            </w:r>
            <w:r w:rsidR="004926E0" w:rsidRPr="003A6D3F">
              <w:t>Automated Testing Interface</w:t>
            </w:r>
            <w:r w:rsidR="00C968F6" w:rsidRPr="003A6D3F">
              <w:t>,</w:t>
            </w:r>
            <w:r w:rsidR="004926E0" w:rsidRPr="003A6D3F">
              <w:t xml:space="preserve"> Limitations and Restrictions section to Automated Tes</w:t>
            </w:r>
            <w:r w:rsidRPr="003A6D3F">
              <w:t>ting Review for Bloo</w:t>
            </w:r>
            <w:r w:rsidR="004926E0" w:rsidRPr="003A6D3F">
              <w:t>d Units</w:t>
            </w:r>
            <w:r w:rsidR="00C968F6" w:rsidRPr="003A6D3F">
              <w:t>,</w:t>
            </w:r>
            <w:r w:rsidR="004926E0" w:rsidRPr="003A6D3F">
              <w:t xml:space="preserve"> Limitations and Restrictions section</w:t>
            </w:r>
            <w:r w:rsidR="003D2BAD">
              <w:t xml:space="preserve">. Also added to </w:t>
            </w:r>
            <w:r w:rsidR="003A6D3F">
              <w:t>Appendix D</w:t>
            </w:r>
            <w:r w:rsidR="00C968F6" w:rsidRPr="003A6D3F">
              <w:t>.</w:t>
            </w:r>
            <w:r w:rsidR="00B00EFA" w:rsidRPr="003A6D3F">
              <w:t xml:space="preserve"> </w:t>
            </w:r>
            <w:r w:rsidR="00B00EFA" w:rsidRPr="003A6D3F">
              <w:rPr>
                <w:vanish/>
              </w:rPr>
              <w:t>Defect 357490</w:t>
            </w:r>
          </w:p>
          <w:p w:rsidR="004926E0" w:rsidRPr="00ED3C7A" w:rsidRDefault="004926E0" w:rsidP="00C84455">
            <w:pPr>
              <w:pStyle w:val="TableTextBullet"/>
            </w:pPr>
            <w:r w:rsidRPr="000D7828">
              <w:t>Automated Testing Review for Blood Units Assumptions section</w:t>
            </w:r>
            <w:r w:rsidR="00A134D8" w:rsidRPr="000D7828">
              <w:t>: Removed 5th bullet pertaining to Blood Units selected for a patient for serologic crossmatch testing.</w:t>
            </w:r>
            <w:r w:rsidR="00B00EFA" w:rsidRPr="000D7828">
              <w:t xml:space="preserve"> </w:t>
            </w:r>
            <w:r w:rsidR="00B00EFA" w:rsidRPr="000D7828">
              <w:rPr>
                <w:vanish/>
              </w:rPr>
              <w:t>Defect 357490</w:t>
            </w:r>
          </w:p>
          <w:p w:rsidR="00ED3C7A" w:rsidRPr="000D7828" w:rsidRDefault="00ED3C7A" w:rsidP="00C84455">
            <w:pPr>
              <w:pStyle w:val="TableTextBullet"/>
            </w:pPr>
            <w:r>
              <w:t xml:space="preserve">Automated Testing Review for Blood Units, Limitations and Restrictions: Added bullet pertaining to </w:t>
            </w:r>
            <w:r w:rsidRPr="00ED3C7A">
              <w:t xml:space="preserve">Order Rejection comment </w:t>
            </w:r>
            <w:r>
              <w:t xml:space="preserve">required but </w:t>
            </w:r>
            <w:r w:rsidRPr="00ED3C7A">
              <w:t>not being visible on a report.</w:t>
            </w:r>
          </w:p>
          <w:p w:rsidR="00243046" w:rsidRPr="00D6284B" w:rsidRDefault="00A134D8" w:rsidP="00C84455">
            <w:pPr>
              <w:pStyle w:val="TableTextBullet"/>
            </w:pPr>
            <w:r w:rsidRPr="000D7828">
              <w:t xml:space="preserve">Automated Testing Review for Blood Units, Outcome section: </w:t>
            </w:r>
            <w:r w:rsidR="00243046" w:rsidRPr="000D7828">
              <w:t>Removed reference to task orders and order status from 3rd</w:t>
            </w:r>
            <w:r w:rsidRPr="000D7828">
              <w:t xml:space="preserve"> bullet.</w:t>
            </w:r>
            <w:r w:rsidR="00B00EFA" w:rsidRPr="000D7828">
              <w:t xml:space="preserve"> </w:t>
            </w:r>
            <w:r w:rsidR="00B00EFA" w:rsidRPr="000D7828">
              <w:rPr>
                <w:vanish/>
              </w:rPr>
              <w:t>Defect 357490</w:t>
            </w:r>
          </w:p>
          <w:p w:rsidR="00D6284B" w:rsidRPr="00ED3C7A" w:rsidRDefault="00D6284B" w:rsidP="00D6284B">
            <w:pPr>
              <w:pStyle w:val="TableTextBullet"/>
            </w:pPr>
            <w:r w:rsidRPr="000D7828">
              <w:t xml:space="preserve">Automated Testing </w:t>
            </w:r>
            <w:r>
              <w:t>Review for Patients,</w:t>
            </w:r>
            <w:r w:rsidRPr="000D7828">
              <w:t xml:space="preserve"> </w:t>
            </w:r>
            <w:r>
              <w:t>Additional Information</w:t>
            </w:r>
            <w:r w:rsidRPr="000D7828">
              <w:t xml:space="preserve"> section: Added new first bullet pertaining to</w:t>
            </w:r>
            <w:r>
              <w:t xml:space="preserve"> AABB Standards (5.16.1) requiring a serological XM to detect ABO incompatibility. </w:t>
            </w:r>
            <w:r w:rsidRPr="00D6284B">
              <w:rPr>
                <w:vanish/>
              </w:rPr>
              <w:t>Defect 362099</w:t>
            </w:r>
          </w:p>
          <w:p w:rsidR="00ED3C7A" w:rsidRPr="000D7828" w:rsidRDefault="00ED3C7A" w:rsidP="00ED3C7A">
            <w:pPr>
              <w:pStyle w:val="TableTextBullet"/>
            </w:pPr>
            <w:r>
              <w:t xml:space="preserve">Automated Testing Review for Patients, Limitations and Restrictions: Added bullet pertaining to </w:t>
            </w:r>
            <w:r w:rsidRPr="00ED3C7A">
              <w:t xml:space="preserve">Order Rejection comment </w:t>
            </w:r>
            <w:r>
              <w:t xml:space="preserve">required but </w:t>
            </w:r>
            <w:r w:rsidRPr="00ED3C7A">
              <w:t>not being visible on a report.</w:t>
            </w:r>
          </w:p>
          <w:p w:rsidR="00243046" w:rsidRPr="000D7828" w:rsidRDefault="00064B9D" w:rsidP="00C84455">
            <w:pPr>
              <w:pStyle w:val="TableTextBullet"/>
            </w:pPr>
            <w:r w:rsidRPr="000D7828">
              <w:t xml:space="preserve">Automated Testing Review for </w:t>
            </w:r>
            <w:r w:rsidR="000D7828" w:rsidRPr="000D7828">
              <w:t xml:space="preserve">Patients, Step 1: Removed notes pertaining to </w:t>
            </w:r>
            <w:r w:rsidRPr="000D7828">
              <w:t>Task/order statuses and functions for Diagnostic tests and Component orders.</w:t>
            </w:r>
            <w:r w:rsidR="00B00EFA" w:rsidRPr="000D7828">
              <w:t xml:space="preserve"> </w:t>
            </w:r>
            <w:r w:rsidR="000D7828" w:rsidRPr="000D7828">
              <w:rPr>
                <w:vanish/>
              </w:rPr>
              <w:t>Defect 357490</w:t>
            </w:r>
          </w:p>
          <w:p w:rsidR="00064B9D" w:rsidRPr="000D7828" w:rsidRDefault="00A134D8" w:rsidP="00C84455">
            <w:pPr>
              <w:pStyle w:val="TableTextBullet"/>
            </w:pPr>
            <w:r w:rsidRPr="000D7828">
              <w:t>Automated Testing Review section, Step 4: Updated Notes.</w:t>
            </w:r>
            <w:r w:rsidR="00B00EFA" w:rsidRPr="000D7828">
              <w:t xml:space="preserve"> </w:t>
            </w:r>
            <w:r w:rsidR="00B00EFA" w:rsidRPr="000D7828">
              <w:rPr>
                <w:vanish/>
              </w:rPr>
              <w:t>Defect 357490</w:t>
            </w:r>
          </w:p>
          <w:p w:rsidR="00D6284B" w:rsidRPr="000D7828" w:rsidRDefault="00987559" w:rsidP="00A654A0">
            <w:pPr>
              <w:pStyle w:val="TableTextBullet"/>
            </w:pPr>
            <w:r w:rsidRPr="000D7828">
              <w:t>Automated Testing Review section, Step 5: Updated Notes.</w:t>
            </w:r>
            <w:r w:rsidR="00B00EFA" w:rsidRPr="000D7828">
              <w:t xml:space="preserve"> </w:t>
            </w:r>
            <w:r w:rsidR="00B00EFA" w:rsidRPr="000D7828">
              <w:rPr>
                <w:vanish/>
              </w:rPr>
              <w:t>Defect 357490</w:t>
            </w:r>
            <w:r w:rsidR="00D6284B">
              <w:t xml:space="preserve"> </w:t>
            </w:r>
            <w:r w:rsidR="00D6284B" w:rsidRPr="00A654A0">
              <w:rPr>
                <w:vanish/>
              </w:rPr>
              <w:t>Defect 362099</w:t>
            </w:r>
          </w:p>
        </w:tc>
        <w:tc>
          <w:tcPr>
            <w:tcW w:w="1098" w:type="dxa"/>
          </w:tcPr>
          <w:p w:rsidR="00B27B40" w:rsidRDefault="00B27B40" w:rsidP="00550123">
            <w:pPr>
              <w:pStyle w:val="TableText"/>
            </w:pPr>
            <w:r>
              <w:t>BBM team</w:t>
            </w:r>
          </w:p>
        </w:tc>
      </w:tr>
      <w:tr w:rsidR="00441450" w:rsidRPr="009D5AF3" w:rsidTr="00A9420F">
        <w:tblPrEx>
          <w:tblCellMar>
            <w:top w:w="0" w:type="dxa"/>
            <w:bottom w:w="0" w:type="dxa"/>
          </w:tblCellMar>
        </w:tblPrEx>
        <w:trPr>
          <w:trHeight w:val="543"/>
        </w:trPr>
        <w:tc>
          <w:tcPr>
            <w:tcW w:w="918" w:type="dxa"/>
          </w:tcPr>
          <w:p w:rsidR="00441450" w:rsidRDefault="00C814B7" w:rsidP="00A02439">
            <w:pPr>
              <w:pStyle w:val="TableText"/>
            </w:pPr>
            <w:r>
              <w:lastRenderedPageBreak/>
              <w:t>9/28</w:t>
            </w:r>
            <w:r w:rsidR="00441450">
              <w:t>/16</w:t>
            </w:r>
          </w:p>
        </w:tc>
        <w:tc>
          <w:tcPr>
            <w:tcW w:w="990" w:type="dxa"/>
          </w:tcPr>
          <w:p w:rsidR="00441450" w:rsidRPr="000D7828" w:rsidRDefault="00441450" w:rsidP="00A02439">
            <w:pPr>
              <w:pStyle w:val="TableText"/>
            </w:pPr>
            <w:r>
              <w:t>4</w:t>
            </w:r>
            <w:r w:rsidRPr="000D7828">
              <w:t>.0</w:t>
            </w:r>
          </w:p>
        </w:tc>
        <w:tc>
          <w:tcPr>
            <w:tcW w:w="6570" w:type="dxa"/>
          </w:tcPr>
          <w:p w:rsidR="00441450" w:rsidRPr="000D7828" w:rsidRDefault="00441450" w:rsidP="00441450">
            <w:pPr>
              <w:pStyle w:val="TableText"/>
            </w:pPr>
            <w:r w:rsidRPr="000D7828">
              <w:t>Modified VistA Blood Establishment Computer Software (VB</w:t>
            </w:r>
            <w:r>
              <w:t>ECS) 2.2.0 User Guide, Version 3</w:t>
            </w:r>
            <w:r w:rsidRPr="000D7828">
              <w:t>.0 to create the VistA Blood Establishment Computer Software (VB</w:t>
            </w:r>
            <w:r>
              <w:t>ECS) 2.2.0 User Guide, Version 4.</w:t>
            </w:r>
            <w:r w:rsidRPr="000D7828">
              <w:t>0:</w:t>
            </w:r>
          </w:p>
          <w:p w:rsidR="00441450" w:rsidRDefault="00441450" w:rsidP="00441450">
            <w:pPr>
              <w:pStyle w:val="TableTextBullet"/>
            </w:pPr>
            <w:r w:rsidRPr="000D7828">
              <w:t>Global: Replaced “</w:t>
            </w:r>
            <w:r>
              <w:t>September</w:t>
            </w:r>
            <w:r w:rsidRPr="000D7828">
              <w:t xml:space="preserve"> 2016” with “</w:t>
            </w:r>
            <w:r>
              <w:t>October</w:t>
            </w:r>
            <w:r w:rsidRPr="000D7828">
              <w:t xml:space="preserve"> 2016” in the footer.</w:t>
            </w:r>
          </w:p>
          <w:p w:rsidR="00D31EC9" w:rsidRDefault="00D31EC9" w:rsidP="00441450">
            <w:pPr>
              <w:pStyle w:val="TableTextBullet"/>
            </w:pPr>
            <w:r w:rsidRPr="00D31EC9">
              <w:t xml:space="preserve">Automated Testing Review for Blood Products, Limitations and Restrictions section: Replaced 5th </w:t>
            </w:r>
            <w:r>
              <w:t xml:space="preserve">bullet </w:t>
            </w:r>
            <w:r w:rsidRPr="00D31EC9">
              <w:t xml:space="preserve">with “When a user chooses to reject a transmitted test, a comment is required. The comment is stored but is not available for review on a report at this time. It is recommended that the test is reviewed in the instrument and not sent to VBECS as a result for rejection.” </w:t>
            </w:r>
            <w:r w:rsidRPr="00D31EC9">
              <w:rPr>
                <w:vanish/>
              </w:rPr>
              <w:t>Defect 382981</w:t>
            </w:r>
          </w:p>
          <w:p w:rsidR="00441450" w:rsidRPr="000D7828" w:rsidRDefault="00672710" w:rsidP="00441450">
            <w:pPr>
              <w:pStyle w:val="TableTextBullet"/>
            </w:pPr>
            <w:r>
              <w:t>Automated Testing Review for Patients, Additional Information section: Added new bullet reading “</w:t>
            </w:r>
            <w:r w:rsidRPr="00672710">
              <w:t>Review comment entered for ABO/Rh test results from an automated instrument is associated with both ABO and Rh interpretation and will be displayed for both on reports.”</w:t>
            </w:r>
            <w:r w:rsidRPr="00D31EC9">
              <w:t xml:space="preserve"> </w:t>
            </w:r>
            <w:r w:rsidRPr="00D31EC9">
              <w:rPr>
                <w:vanish/>
              </w:rPr>
              <w:t>Defect 382981</w:t>
            </w:r>
          </w:p>
          <w:p w:rsidR="00441450" w:rsidRPr="000D7828" w:rsidRDefault="00441450" w:rsidP="00B27B40">
            <w:pPr>
              <w:pStyle w:val="TableText"/>
            </w:pPr>
          </w:p>
        </w:tc>
        <w:tc>
          <w:tcPr>
            <w:tcW w:w="1098" w:type="dxa"/>
          </w:tcPr>
          <w:p w:rsidR="00441450" w:rsidRDefault="00441450" w:rsidP="00550123">
            <w:pPr>
              <w:pStyle w:val="TableText"/>
            </w:pPr>
            <w:r>
              <w:t>BBM team</w:t>
            </w:r>
          </w:p>
        </w:tc>
      </w:tr>
    </w:tbl>
    <w:p w:rsidR="00672710" w:rsidRPr="001E75C5" w:rsidRDefault="002C7E73" w:rsidP="00615E44">
      <w:pPr>
        <w:pStyle w:val="TableofContents"/>
        <w:jc w:val="center"/>
        <w:rPr>
          <w:rFonts w:ascii="Times New Roman" w:hAnsi="Times New Roman" w:cs="Times New Roman"/>
          <w:b w:val="0"/>
          <w:sz w:val="22"/>
          <w:szCs w:val="22"/>
        </w:rPr>
      </w:pPr>
      <w:r w:rsidRPr="001E75C5">
        <w:rPr>
          <w:rFonts w:ascii="Times New Roman" w:hAnsi="Times New Roman" w:cs="Times New Roman"/>
          <w:b w:val="0"/>
          <w:sz w:val="22"/>
          <w:szCs w:val="22"/>
        </w:rPr>
        <w:br w:type="page"/>
      </w:r>
      <w:r w:rsidR="00672710" w:rsidRPr="001E75C5">
        <w:rPr>
          <w:rFonts w:ascii="Times New Roman" w:hAnsi="Times New Roman" w:cs="Times New Roman"/>
          <w:b w:val="0"/>
          <w:sz w:val="22"/>
          <w:szCs w:val="22"/>
        </w:rPr>
        <w:lastRenderedPageBreak/>
        <w:t>This page intentionally left blank.</w:t>
      </w:r>
    </w:p>
    <w:p w:rsidR="00062D0F" w:rsidRPr="00672710" w:rsidRDefault="00672710" w:rsidP="00615E44">
      <w:pPr>
        <w:pStyle w:val="TableofContents"/>
        <w:jc w:val="center"/>
        <w:rPr>
          <w:rFonts w:ascii="Times New Roman" w:hAnsi="Times New Roman" w:cs="Times New Roman"/>
        </w:rPr>
      </w:pPr>
      <w:r>
        <w:rPr>
          <w:rFonts w:ascii="Times New Roman" w:hAnsi="Times New Roman" w:cs="Times New Roman"/>
        </w:rPr>
        <w:br w:type="page"/>
      </w:r>
      <w:r w:rsidR="00062D0F" w:rsidRPr="00672710">
        <w:rPr>
          <w:rFonts w:ascii="Times New Roman" w:hAnsi="Times New Roman" w:cs="Times New Roman"/>
        </w:rPr>
        <w:lastRenderedPageBreak/>
        <w:t>Table of Contents</w:t>
      </w:r>
    </w:p>
    <w:p w:rsidR="00D207B7" w:rsidRDefault="00D207B7" w:rsidP="00062D0F">
      <w:pPr>
        <w:pStyle w:val="TableofContents"/>
        <w:jc w:val="center"/>
      </w:pPr>
    </w:p>
    <w:bookmarkEnd w:id="0"/>
    <w:p w:rsidR="00E155EF" w:rsidRPr="00206A59" w:rsidRDefault="002A21AE">
      <w:pPr>
        <w:pStyle w:val="TOC1"/>
        <w:tabs>
          <w:tab w:val="right" w:leader="dot" w:pos="9350"/>
        </w:tabs>
        <w:rPr>
          <w:rFonts w:ascii="Calibri" w:hAnsi="Calibri"/>
          <w:b w:val="0"/>
          <w:caps w:val="0"/>
          <w:noProof/>
        </w:rPr>
      </w:pPr>
      <w:r>
        <w:fldChar w:fldCharType="begin"/>
      </w:r>
      <w:r>
        <w:instrText xml:space="preserve"> TOC \o "2-3" \h \z \t "Heading 1,1" </w:instrText>
      </w:r>
      <w:r>
        <w:fldChar w:fldCharType="separate"/>
      </w:r>
      <w:hyperlink w:anchor="_Toc459900017" w:history="1">
        <w:r w:rsidR="00E155EF" w:rsidRPr="009A2083">
          <w:rPr>
            <w:rStyle w:val="Hyperlink"/>
            <w:noProof/>
          </w:rPr>
          <w:t>Revision History</w:t>
        </w:r>
        <w:r w:rsidR="00E155EF">
          <w:rPr>
            <w:noProof/>
            <w:webHidden/>
          </w:rPr>
          <w:tab/>
        </w:r>
        <w:r w:rsidR="00E155EF">
          <w:rPr>
            <w:noProof/>
            <w:webHidden/>
          </w:rPr>
          <w:fldChar w:fldCharType="begin"/>
        </w:r>
        <w:r w:rsidR="00E155EF">
          <w:rPr>
            <w:noProof/>
            <w:webHidden/>
          </w:rPr>
          <w:instrText xml:space="preserve"> PAGEREF _Toc459900017 \h </w:instrText>
        </w:r>
        <w:r w:rsidR="00E155EF">
          <w:rPr>
            <w:noProof/>
            <w:webHidden/>
          </w:rPr>
        </w:r>
        <w:r w:rsidR="00E155EF">
          <w:rPr>
            <w:noProof/>
            <w:webHidden/>
          </w:rPr>
          <w:fldChar w:fldCharType="separate"/>
        </w:r>
        <w:r w:rsidR="005028F8">
          <w:rPr>
            <w:noProof/>
            <w:webHidden/>
          </w:rPr>
          <w:t>i</w:t>
        </w:r>
        <w:r w:rsidR="00E155EF">
          <w:rPr>
            <w:noProof/>
            <w:webHidden/>
          </w:rPr>
          <w:fldChar w:fldCharType="end"/>
        </w:r>
      </w:hyperlink>
    </w:p>
    <w:p w:rsidR="00E155EF" w:rsidRPr="00206A59" w:rsidRDefault="00E155EF">
      <w:pPr>
        <w:pStyle w:val="TOC1"/>
        <w:tabs>
          <w:tab w:val="right" w:leader="dot" w:pos="9350"/>
        </w:tabs>
        <w:rPr>
          <w:rFonts w:ascii="Calibri" w:hAnsi="Calibri"/>
          <w:b w:val="0"/>
          <w:caps w:val="0"/>
          <w:noProof/>
        </w:rPr>
      </w:pPr>
      <w:hyperlink w:anchor="_Toc459900018" w:history="1">
        <w:r w:rsidRPr="009A2083">
          <w:rPr>
            <w:rStyle w:val="Hyperlink"/>
            <w:noProof/>
          </w:rPr>
          <w:t>Introduction</w:t>
        </w:r>
        <w:r>
          <w:rPr>
            <w:noProof/>
            <w:webHidden/>
          </w:rPr>
          <w:tab/>
        </w:r>
        <w:r>
          <w:rPr>
            <w:noProof/>
            <w:webHidden/>
          </w:rPr>
          <w:fldChar w:fldCharType="begin"/>
        </w:r>
        <w:r>
          <w:rPr>
            <w:noProof/>
            <w:webHidden/>
          </w:rPr>
          <w:instrText xml:space="preserve"> PAGEREF _Toc459900018 \h </w:instrText>
        </w:r>
        <w:r>
          <w:rPr>
            <w:noProof/>
            <w:webHidden/>
          </w:rPr>
        </w:r>
        <w:r>
          <w:rPr>
            <w:noProof/>
            <w:webHidden/>
          </w:rPr>
          <w:fldChar w:fldCharType="separate"/>
        </w:r>
        <w:r w:rsidR="005028F8">
          <w:rPr>
            <w:noProof/>
            <w:webHidden/>
          </w:rPr>
          <w:t>1</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019" w:history="1">
        <w:r w:rsidRPr="009A2083">
          <w:rPr>
            <w:rStyle w:val="Hyperlink"/>
            <w:noProof/>
          </w:rPr>
          <w:t>Freeware Disclaimer</w:t>
        </w:r>
        <w:r>
          <w:rPr>
            <w:noProof/>
            <w:webHidden/>
          </w:rPr>
          <w:tab/>
        </w:r>
        <w:r>
          <w:rPr>
            <w:noProof/>
            <w:webHidden/>
          </w:rPr>
          <w:fldChar w:fldCharType="begin"/>
        </w:r>
        <w:r>
          <w:rPr>
            <w:noProof/>
            <w:webHidden/>
          </w:rPr>
          <w:instrText xml:space="preserve"> PAGEREF _Toc459900019 \h </w:instrText>
        </w:r>
        <w:r>
          <w:rPr>
            <w:noProof/>
            <w:webHidden/>
          </w:rPr>
        </w:r>
        <w:r>
          <w:rPr>
            <w:noProof/>
            <w:webHidden/>
          </w:rPr>
          <w:fldChar w:fldCharType="separate"/>
        </w:r>
        <w:r w:rsidR="005028F8">
          <w:rPr>
            <w:noProof/>
            <w:webHidden/>
          </w:rPr>
          <w:t>1</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020" w:history="1">
        <w:r w:rsidRPr="009A2083">
          <w:rPr>
            <w:rStyle w:val="Hyperlink"/>
            <w:noProof/>
          </w:rPr>
          <w:t>Related Manuals and Materials</w:t>
        </w:r>
        <w:r>
          <w:rPr>
            <w:noProof/>
            <w:webHidden/>
          </w:rPr>
          <w:tab/>
        </w:r>
        <w:r>
          <w:rPr>
            <w:noProof/>
            <w:webHidden/>
          </w:rPr>
          <w:fldChar w:fldCharType="begin"/>
        </w:r>
        <w:r>
          <w:rPr>
            <w:noProof/>
            <w:webHidden/>
          </w:rPr>
          <w:instrText xml:space="preserve"> PAGEREF _Toc459900020 \h </w:instrText>
        </w:r>
        <w:r>
          <w:rPr>
            <w:noProof/>
            <w:webHidden/>
          </w:rPr>
        </w:r>
        <w:r>
          <w:rPr>
            <w:noProof/>
            <w:webHidden/>
          </w:rPr>
          <w:fldChar w:fldCharType="separate"/>
        </w:r>
        <w:r w:rsidR="005028F8">
          <w:rPr>
            <w:noProof/>
            <w:webHidden/>
          </w:rPr>
          <w:t>2</w:t>
        </w:r>
        <w:r>
          <w:rPr>
            <w:noProof/>
            <w:webHidden/>
          </w:rPr>
          <w:fldChar w:fldCharType="end"/>
        </w:r>
      </w:hyperlink>
    </w:p>
    <w:p w:rsidR="00E155EF" w:rsidRPr="00206A59" w:rsidRDefault="00E155EF">
      <w:pPr>
        <w:pStyle w:val="TOC1"/>
        <w:tabs>
          <w:tab w:val="right" w:leader="dot" w:pos="9350"/>
        </w:tabs>
        <w:rPr>
          <w:rFonts w:ascii="Calibri" w:hAnsi="Calibri"/>
          <w:b w:val="0"/>
          <w:caps w:val="0"/>
          <w:noProof/>
        </w:rPr>
      </w:pPr>
      <w:hyperlink w:anchor="_Toc459900021" w:history="1">
        <w:r w:rsidRPr="009A2083">
          <w:rPr>
            <w:rStyle w:val="Hyperlink"/>
            <w:noProof/>
          </w:rPr>
          <w:t>Orientation</w:t>
        </w:r>
        <w:r>
          <w:rPr>
            <w:noProof/>
            <w:webHidden/>
          </w:rPr>
          <w:tab/>
        </w:r>
        <w:r>
          <w:rPr>
            <w:noProof/>
            <w:webHidden/>
          </w:rPr>
          <w:fldChar w:fldCharType="begin"/>
        </w:r>
        <w:r>
          <w:rPr>
            <w:noProof/>
            <w:webHidden/>
          </w:rPr>
          <w:instrText xml:space="preserve"> PAGEREF _Toc459900021 \h </w:instrText>
        </w:r>
        <w:r>
          <w:rPr>
            <w:noProof/>
            <w:webHidden/>
          </w:rPr>
        </w:r>
        <w:r>
          <w:rPr>
            <w:noProof/>
            <w:webHidden/>
          </w:rPr>
          <w:fldChar w:fldCharType="separate"/>
        </w:r>
        <w:r w:rsidR="005028F8">
          <w:rPr>
            <w:noProof/>
            <w:webHidden/>
          </w:rPr>
          <w:t>3</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022" w:history="1">
        <w:r w:rsidRPr="009A2083">
          <w:rPr>
            <w:rStyle w:val="Hyperlink"/>
            <w:noProof/>
          </w:rPr>
          <w:t>How This User Guide Is Organized</w:t>
        </w:r>
        <w:r>
          <w:rPr>
            <w:noProof/>
            <w:webHidden/>
          </w:rPr>
          <w:tab/>
        </w:r>
        <w:r>
          <w:rPr>
            <w:noProof/>
            <w:webHidden/>
          </w:rPr>
          <w:fldChar w:fldCharType="begin"/>
        </w:r>
        <w:r>
          <w:rPr>
            <w:noProof/>
            <w:webHidden/>
          </w:rPr>
          <w:instrText xml:space="preserve"> PAGEREF _Toc459900022 \h </w:instrText>
        </w:r>
        <w:r>
          <w:rPr>
            <w:noProof/>
            <w:webHidden/>
          </w:rPr>
        </w:r>
        <w:r>
          <w:rPr>
            <w:noProof/>
            <w:webHidden/>
          </w:rPr>
          <w:fldChar w:fldCharType="separate"/>
        </w:r>
        <w:r w:rsidR="005028F8">
          <w:rPr>
            <w:noProof/>
            <w:webHidden/>
          </w:rPr>
          <w:t>3</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23" w:history="1">
        <w:r w:rsidRPr="009A2083">
          <w:rPr>
            <w:rStyle w:val="Hyperlink"/>
            <w:noProof/>
          </w:rPr>
          <w:t>Terms</w:t>
        </w:r>
        <w:r>
          <w:rPr>
            <w:noProof/>
            <w:webHidden/>
          </w:rPr>
          <w:tab/>
        </w:r>
        <w:r>
          <w:rPr>
            <w:noProof/>
            <w:webHidden/>
          </w:rPr>
          <w:fldChar w:fldCharType="begin"/>
        </w:r>
        <w:r>
          <w:rPr>
            <w:noProof/>
            <w:webHidden/>
          </w:rPr>
          <w:instrText xml:space="preserve"> PAGEREF _Toc459900023 \h </w:instrText>
        </w:r>
        <w:r>
          <w:rPr>
            <w:noProof/>
            <w:webHidden/>
          </w:rPr>
        </w:r>
        <w:r>
          <w:rPr>
            <w:noProof/>
            <w:webHidden/>
          </w:rPr>
          <w:fldChar w:fldCharType="separate"/>
        </w:r>
        <w:r w:rsidR="005028F8">
          <w:rPr>
            <w:noProof/>
            <w:webHidden/>
          </w:rPr>
          <w:t>3</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24" w:history="1">
        <w:r w:rsidRPr="009A2083">
          <w:rPr>
            <w:rStyle w:val="Hyperlink"/>
            <w:noProof/>
          </w:rPr>
          <w:t>Background and Basic Knowledge</w:t>
        </w:r>
        <w:r>
          <w:rPr>
            <w:noProof/>
            <w:webHidden/>
          </w:rPr>
          <w:tab/>
        </w:r>
        <w:r>
          <w:rPr>
            <w:noProof/>
            <w:webHidden/>
          </w:rPr>
          <w:fldChar w:fldCharType="begin"/>
        </w:r>
        <w:r>
          <w:rPr>
            <w:noProof/>
            <w:webHidden/>
          </w:rPr>
          <w:instrText xml:space="preserve"> PAGEREF _Toc459900024 \h </w:instrText>
        </w:r>
        <w:r>
          <w:rPr>
            <w:noProof/>
            <w:webHidden/>
          </w:rPr>
        </w:r>
        <w:r>
          <w:rPr>
            <w:noProof/>
            <w:webHidden/>
          </w:rPr>
          <w:fldChar w:fldCharType="separate"/>
        </w:r>
        <w:r w:rsidR="005028F8">
          <w:rPr>
            <w:noProof/>
            <w:webHidden/>
          </w:rPr>
          <w:t>3</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25" w:history="1">
        <w:r w:rsidRPr="009A2083">
          <w:rPr>
            <w:rStyle w:val="Hyperlink"/>
            <w:noProof/>
          </w:rPr>
          <w:t>Figures and Tables</w:t>
        </w:r>
        <w:r>
          <w:rPr>
            <w:noProof/>
            <w:webHidden/>
          </w:rPr>
          <w:tab/>
        </w:r>
        <w:r>
          <w:rPr>
            <w:noProof/>
            <w:webHidden/>
          </w:rPr>
          <w:fldChar w:fldCharType="begin"/>
        </w:r>
        <w:r>
          <w:rPr>
            <w:noProof/>
            <w:webHidden/>
          </w:rPr>
          <w:instrText xml:space="preserve"> PAGEREF _Toc459900025 \h </w:instrText>
        </w:r>
        <w:r>
          <w:rPr>
            <w:noProof/>
            <w:webHidden/>
          </w:rPr>
        </w:r>
        <w:r>
          <w:rPr>
            <w:noProof/>
            <w:webHidden/>
          </w:rPr>
          <w:fldChar w:fldCharType="separate"/>
        </w:r>
        <w:r w:rsidR="005028F8">
          <w:rPr>
            <w:noProof/>
            <w:webHidden/>
          </w:rPr>
          <w:t>3</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26" w:history="1">
        <w:r w:rsidRPr="009A2083">
          <w:rPr>
            <w:rStyle w:val="Hyperlink"/>
            <w:noProof/>
          </w:rPr>
          <w:t>Options</w:t>
        </w:r>
        <w:r>
          <w:rPr>
            <w:noProof/>
            <w:webHidden/>
          </w:rPr>
          <w:tab/>
        </w:r>
        <w:r>
          <w:rPr>
            <w:noProof/>
            <w:webHidden/>
          </w:rPr>
          <w:fldChar w:fldCharType="begin"/>
        </w:r>
        <w:r>
          <w:rPr>
            <w:noProof/>
            <w:webHidden/>
          </w:rPr>
          <w:instrText xml:space="preserve"> PAGEREF _Toc459900026 \h </w:instrText>
        </w:r>
        <w:r>
          <w:rPr>
            <w:noProof/>
            <w:webHidden/>
          </w:rPr>
        </w:r>
        <w:r>
          <w:rPr>
            <w:noProof/>
            <w:webHidden/>
          </w:rPr>
          <w:fldChar w:fldCharType="separate"/>
        </w:r>
        <w:r w:rsidR="005028F8">
          <w:rPr>
            <w:noProof/>
            <w:webHidden/>
          </w:rPr>
          <w:t>3</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27" w:history="1">
        <w:r w:rsidRPr="009A2083">
          <w:rPr>
            <w:rStyle w:val="Hyperlink"/>
            <w:noProof/>
          </w:rPr>
          <w:t>Supplemental Information</w:t>
        </w:r>
        <w:r>
          <w:rPr>
            <w:noProof/>
            <w:webHidden/>
          </w:rPr>
          <w:tab/>
        </w:r>
        <w:r>
          <w:rPr>
            <w:noProof/>
            <w:webHidden/>
          </w:rPr>
          <w:fldChar w:fldCharType="begin"/>
        </w:r>
        <w:r>
          <w:rPr>
            <w:noProof/>
            <w:webHidden/>
          </w:rPr>
          <w:instrText xml:space="preserve"> PAGEREF _Toc459900027 \h </w:instrText>
        </w:r>
        <w:r>
          <w:rPr>
            <w:noProof/>
            <w:webHidden/>
          </w:rPr>
        </w:r>
        <w:r>
          <w:rPr>
            <w:noProof/>
            <w:webHidden/>
          </w:rPr>
          <w:fldChar w:fldCharType="separate"/>
        </w:r>
        <w:r w:rsidR="005028F8">
          <w:rPr>
            <w:noProof/>
            <w:webHidden/>
          </w:rPr>
          <w:t>4</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28" w:history="1">
        <w:r w:rsidRPr="009A2083">
          <w:rPr>
            <w:rStyle w:val="Hyperlink"/>
            <w:noProof/>
          </w:rPr>
          <w:t>Appendices</w:t>
        </w:r>
        <w:r>
          <w:rPr>
            <w:noProof/>
            <w:webHidden/>
          </w:rPr>
          <w:tab/>
        </w:r>
        <w:r>
          <w:rPr>
            <w:noProof/>
            <w:webHidden/>
          </w:rPr>
          <w:fldChar w:fldCharType="begin"/>
        </w:r>
        <w:r>
          <w:rPr>
            <w:noProof/>
            <w:webHidden/>
          </w:rPr>
          <w:instrText xml:space="preserve"> PAGEREF _Toc459900028 \h </w:instrText>
        </w:r>
        <w:r>
          <w:rPr>
            <w:noProof/>
            <w:webHidden/>
          </w:rPr>
        </w:r>
        <w:r>
          <w:rPr>
            <w:noProof/>
            <w:webHidden/>
          </w:rPr>
          <w:fldChar w:fldCharType="separate"/>
        </w:r>
        <w:r w:rsidR="005028F8">
          <w:rPr>
            <w:noProof/>
            <w:webHidden/>
          </w:rPr>
          <w:t>4</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029" w:history="1">
        <w:r w:rsidRPr="009A2083">
          <w:rPr>
            <w:rStyle w:val="Hyperlink"/>
            <w:noProof/>
          </w:rPr>
          <w:t>Security</w:t>
        </w:r>
        <w:r>
          <w:rPr>
            <w:noProof/>
            <w:webHidden/>
          </w:rPr>
          <w:tab/>
        </w:r>
        <w:r>
          <w:rPr>
            <w:noProof/>
            <w:webHidden/>
          </w:rPr>
          <w:fldChar w:fldCharType="begin"/>
        </w:r>
        <w:r>
          <w:rPr>
            <w:noProof/>
            <w:webHidden/>
          </w:rPr>
          <w:instrText xml:space="preserve"> PAGEREF _Toc459900029 \h </w:instrText>
        </w:r>
        <w:r>
          <w:rPr>
            <w:noProof/>
            <w:webHidden/>
          </w:rPr>
        </w:r>
        <w:r>
          <w:rPr>
            <w:noProof/>
            <w:webHidden/>
          </w:rPr>
          <w:fldChar w:fldCharType="separate"/>
        </w:r>
        <w:r w:rsidR="005028F8">
          <w:rPr>
            <w:noProof/>
            <w:webHidden/>
          </w:rPr>
          <w:t>4</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030" w:history="1">
        <w:r w:rsidRPr="009A2083">
          <w:rPr>
            <w:rStyle w:val="Hyperlink"/>
            <w:noProof/>
          </w:rPr>
          <w:t>Application Architecture</w:t>
        </w:r>
        <w:r>
          <w:rPr>
            <w:noProof/>
            <w:webHidden/>
          </w:rPr>
          <w:tab/>
        </w:r>
        <w:r>
          <w:rPr>
            <w:noProof/>
            <w:webHidden/>
          </w:rPr>
          <w:fldChar w:fldCharType="begin"/>
        </w:r>
        <w:r>
          <w:rPr>
            <w:noProof/>
            <w:webHidden/>
          </w:rPr>
          <w:instrText xml:space="preserve"> PAGEREF _Toc459900030 \h </w:instrText>
        </w:r>
        <w:r>
          <w:rPr>
            <w:noProof/>
            <w:webHidden/>
          </w:rPr>
        </w:r>
        <w:r>
          <w:rPr>
            <w:noProof/>
            <w:webHidden/>
          </w:rPr>
          <w:fldChar w:fldCharType="separate"/>
        </w:r>
        <w:r w:rsidR="005028F8">
          <w:rPr>
            <w:noProof/>
            <w:webHidden/>
          </w:rPr>
          <w:t>6</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031" w:history="1">
        <w:r w:rsidRPr="009A2083">
          <w:rPr>
            <w:rStyle w:val="Hyperlink"/>
            <w:noProof/>
          </w:rPr>
          <w:t>Hardware and Infrastructure Architecture</w:t>
        </w:r>
        <w:r>
          <w:rPr>
            <w:noProof/>
            <w:webHidden/>
          </w:rPr>
          <w:tab/>
        </w:r>
        <w:r>
          <w:rPr>
            <w:noProof/>
            <w:webHidden/>
          </w:rPr>
          <w:fldChar w:fldCharType="begin"/>
        </w:r>
        <w:r>
          <w:rPr>
            <w:noProof/>
            <w:webHidden/>
          </w:rPr>
          <w:instrText xml:space="preserve"> PAGEREF _Toc459900031 \h </w:instrText>
        </w:r>
        <w:r>
          <w:rPr>
            <w:noProof/>
            <w:webHidden/>
          </w:rPr>
        </w:r>
        <w:r>
          <w:rPr>
            <w:noProof/>
            <w:webHidden/>
          </w:rPr>
          <w:fldChar w:fldCharType="separate"/>
        </w:r>
        <w:r w:rsidR="005028F8">
          <w:rPr>
            <w:noProof/>
            <w:webHidden/>
          </w:rPr>
          <w:t>6</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32" w:history="1">
        <w:r w:rsidRPr="009A2083">
          <w:rPr>
            <w:rStyle w:val="Hyperlink"/>
            <w:noProof/>
          </w:rPr>
          <w:t>Options That Require VistALink</w:t>
        </w:r>
        <w:r>
          <w:rPr>
            <w:noProof/>
            <w:webHidden/>
          </w:rPr>
          <w:tab/>
        </w:r>
        <w:r>
          <w:rPr>
            <w:noProof/>
            <w:webHidden/>
          </w:rPr>
          <w:fldChar w:fldCharType="begin"/>
        </w:r>
        <w:r>
          <w:rPr>
            <w:noProof/>
            <w:webHidden/>
          </w:rPr>
          <w:instrText xml:space="preserve"> PAGEREF _Toc459900032 \h </w:instrText>
        </w:r>
        <w:r>
          <w:rPr>
            <w:noProof/>
            <w:webHidden/>
          </w:rPr>
        </w:r>
        <w:r>
          <w:rPr>
            <w:noProof/>
            <w:webHidden/>
          </w:rPr>
          <w:fldChar w:fldCharType="separate"/>
        </w:r>
        <w:r w:rsidR="005028F8">
          <w:rPr>
            <w:noProof/>
            <w:webHidden/>
          </w:rPr>
          <w:t>7</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033" w:history="1">
        <w:r w:rsidRPr="009A2083">
          <w:rPr>
            <w:rStyle w:val="Hyperlink"/>
            <w:noProof/>
          </w:rPr>
          <w:t>Customer Support</w:t>
        </w:r>
        <w:r>
          <w:rPr>
            <w:noProof/>
            <w:webHidden/>
          </w:rPr>
          <w:tab/>
        </w:r>
        <w:r>
          <w:rPr>
            <w:noProof/>
            <w:webHidden/>
          </w:rPr>
          <w:fldChar w:fldCharType="begin"/>
        </w:r>
        <w:r>
          <w:rPr>
            <w:noProof/>
            <w:webHidden/>
          </w:rPr>
          <w:instrText xml:space="preserve"> PAGEREF _Toc459900033 \h </w:instrText>
        </w:r>
        <w:r>
          <w:rPr>
            <w:noProof/>
            <w:webHidden/>
          </w:rPr>
        </w:r>
        <w:r>
          <w:rPr>
            <w:noProof/>
            <w:webHidden/>
          </w:rPr>
          <w:fldChar w:fldCharType="separate"/>
        </w:r>
        <w:r w:rsidR="005028F8">
          <w:rPr>
            <w:noProof/>
            <w:webHidden/>
          </w:rPr>
          <w:t>10</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34" w:history="1">
        <w:r w:rsidRPr="009A2083">
          <w:rPr>
            <w:rStyle w:val="Hyperlink"/>
            <w:noProof/>
          </w:rPr>
          <w:t>Problems?</w:t>
        </w:r>
        <w:r>
          <w:rPr>
            <w:noProof/>
            <w:webHidden/>
          </w:rPr>
          <w:tab/>
        </w:r>
        <w:r>
          <w:rPr>
            <w:noProof/>
            <w:webHidden/>
          </w:rPr>
          <w:fldChar w:fldCharType="begin"/>
        </w:r>
        <w:r>
          <w:rPr>
            <w:noProof/>
            <w:webHidden/>
          </w:rPr>
          <w:instrText xml:space="preserve"> PAGEREF _Toc459900034 \h </w:instrText>
        </w:r>
        <w:r>
          <w:rPr>
            <w:noProof/>
            <w:webHidden/>
          </w:rPr>
        </w:r>
        <w:r>
          <w:rPr>
            <w:noProof/>
            <w:webHidden/>
          </w:rPr>
          <w:fldChar w:fldCharType="separate"/>
        </w:r>
        <w:r w:rsidR="005028F8">
          <w:rPr>
            <w:noProof/>
            <w:webHidden/>
          </w:rPr>
          <w:t>10</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035" w:history="1">
        <w:r w:rsidRPr="009A2083">
          <w:rPr>
            <w:rStyle w:val="Hyperlink"/>
            <w:noProof/>
          </w:rPr>
          <w:t>Using the Software</w:t>
        </w:r>
        <w:r>
          <w:rPr>
            <w:noProof/>
            <w:webHidden/>
          </w:rPr>
          <w:tab/>
        </w:r>
        <w:r>
          <w:rPr>
            <w:noProof/>
            <w:webHidden/>
          </w:rPr>
          <w:fldChar w:fldCharType="begin"/>
        </w:r>
        <w:r>
          <w:rPr>
            <w:noProof/>
            <w:webHidden/>
          </w:rPr>
          <w:instrText xml:space="preserve"> PAGEREF _Toc459900035 \h </w:instrText>
        </w:r>
        <w:r>
          <w:rPr>
            <w:noProof/>
            <w:webHidden/>
          </w:rPr>
        </w:r>
        <w:r>
          <w:rPr>
            <w:noProof/>
            <w:webHidden/>
          </w:rPr>
          <w:fldChar w:fldCharType="separate"/>
        </w:r>
        <w:r w:rsidR="005028F8">
          <w:rPr>
            <w:noProof/>
            <w:webHidden/>
          </w:rPr>
          <w:t>10</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036" w:history="1">
        <w:r w:rsidRPr="009A2083">
          <w:rPr>
            <w:rStyle w:val="Hyperlink"/>
            <w:noProof/>
          </w:rPr>
          <w:t>Software Basics</w:t>
        </w:r>
        <w:r>
          <w:rPr>
            <w:noProof/>
            <w:webHidden/>
          </w:rPr>
          <w:tab/>
        </w:r>
        <w:r>
          <w:rPr>
            <w:noProof/>
            <w:webHidden/>
          </w:rPr>
          <w:fldChar w:fldCharType="begin"/>
        </w:r>
        <w:r>
          <w:rPr>
            <w:noProof/>
            <w:webHidden/>
          </w:rPr>
          <w:instrText xml:space="preserve"> PAGEREF _Toc459900036 \h </w:instrText>
        </w:r>
        <w:r>
          <w:rPr>
            <w:noProof/>
            <w:webHidden/>
          </w:rPr>
        </w:r>
        <w:r>
          <w:rPr>
            <w:noProof/>
            <w:webHidden/>
          </w:rPr>
          <w:fldChar w:fldCharType="separate"/>
        </w:r>
        <w:r w:rsidR="005028F8">
          <w:rPr>
            <w:noProof/>
            <w:webHidden/>
          </w:rPr>
          <w:t>10</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037" w:history="1">
        <w:r w:rsidRPr="009A2083">
          <w:rPr>
            <w:rStyle w:val="Hyperlink"/>
            <w:noProof/>
          </w:rPr>
          <w:t>Commonly Used System Rules</w:t>
        </w:r>
        <w:r>
          <w:rPr>
            <w:noProof/>
            <w:webHidden/>
          </w:rPr>
          <w:tab/>
        </w:r>
        <w:r>
          <w:rPr>
            <w:noProof/>
            <w:webHidden/>
          </w:rPr>
          <w:fldChar w:fldCharType="begin"/>
        </w:r>
        <w:r>
          <w:rPr>
            <w:noProof/>
            <w:webHidden/>
          </w:rPr>
          <w:instrText xml:space="preserve"> PAGEREF _Toc459900037 \h </w:instrText>
        </w:r>
        <w:r>
          <w:rPr>
            <w:noProof/>
            <w:webHidden/>
          </w:rPr>
        </w:r>
        <w:r>
          <w:rPr>
            <w:noProof/>
            <w:webHidden/>
          </w:rPr>
          <w:fldChar w:fldCharType="separate"/>
        </w:r>
        <w:r w:rsidR="005028F8">
          <w:rPr>
            <w:noProof/>
            <w:webHidden/>
          </w:rPr>
          <w:t>12</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38" w:history="1">
        <w:r w:rsidRPr="009A2083">
          <w:rPr>
            <w:rStyle w:val="Hyperlink"/>
            <w:noProof/>
          </w:rPr>
          <w:t>Date and Time</w:t>
        </w:r>
        <w:r>
          <w:rPr>
            <w:noProof/>
            <w:webHidden/>
          </w:rPr>
          <w:tab/>
        </w:r>
        <w:r>
          <w:rPr>
            <w:noProof/>
            <w:webHidden/>
          </w:rPr>
          <w:fldChar w:fldCharType="begin"/>
        </w:r>
        <w:r>
          <w:rPr>
            <w:noProof/>
            <w:webHidden/>
          </w:rPr>
          <w:instrText xml:space="preserve"> PAGEREF _Toc459900038 \h </w:instrText>
        </w:r>
        <w:r>
          <w:rPr>
            <w:noProof/>
            <w:webHidden/>
          </w:rPr>
        </w:r>
        <w:r>
          <w:rPr>
            <w:noProof/>
            <w:webHidden/>
          </w:rPr>
          <w:fldChar w:fldCharType="separate"/>
        </w:r>
        <w:r w:rsidR="005028F8">
          <w:rPr>
            <w:noProof/>
            <w:webHidden/>
          </w:rPr>
          <w:t>12</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39" w:history="1">
        <w:r w:rsidRPr="009A2083">
          <w:rPr>
            <w:rStyle w:val="Hyperlink"/>
            <w:noProof/>
          </w:rPr>
          <w:t>Locking and Time-Outs</w:t>
        </w:r>
        <w:r>
          <w:rPr>
            <w:noProof/>
            <w:webHidden/>
          </w:rPr>
          <w:tab/>
        </w:r>
        <w:r>
          <w:rPr>
            <w:noProof/>
            <w:webHidden/>
          </w:rPr>
          <w:fldChar w:fldCharType="begin"/>
        </w:r>
        <w:r>
          <w:rPr>
            <w:noProof/>
            <w:webHidden/>
          </w:rPr>
          <w:instrText xml:space="preserve"> PAGEREF _Toc459900039 \h </w:instrText>
        </w:r>
        <w:r>
          <w:rPr>
            <w:noProof/>
            <w:webHidden/>
          </w:rPr>
        </w:r>
        <w:r>
          <w:rPr>
            <w:noProof/>
            <w:webHidden/>
          </w:rPr>
          <w:fldChar w:fldCharType="separate"/>
        </w:r>
        <w:r w:rsidR="005028F8">
          <w:rPr>
            <w:noProof/>
            <w:webHidden/>
          </w:rPr>
          <w:t>12</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40" w:history="1">
        <w:r w:rsidRPr="009A2083">
          <w:rPr>
            <w:rStyle w:val="Hyperlink"/>
            <w:noProof/>
          </w:rPr>
          <w:t>Working with Data</w:t>
        </w:r>
        <w:r>
          <w:rPr>
            <w:noProof/>
            <w:webHidden/>
          </w:rPr>
          <w:tab/>
        </w:r>
        <w:r>
          <w:rPr>
            <w:noProof/>
            <w:webHidden/>
          </w:rPr>
          <w:fldChar w:fldCharType="begin"/>
        </w:r>
        <w:r>
          <w:rPr>
            <w:noProof/>
            <w:webHidden/>
          </w:rPr>
          <w:instrText xml:space="preserve"> PAGEREF _Toc459900040 \h </w:instrText>
        </w:r>
        <w:r>
          <w:rPr>
            <w:noProof/>
            <w:webHidden/>
          </w:rPr>
        </w:r>
        <w:r>
          <w:rPr>
            <w:noProof/>
            <w:webHidden/>
          </w:rPr>
          <w:fldChar w:fldCharType="separate"/>
        </w:r>
        <w:r w:rsidR="005028F8">
          <w:rPr>
            <w:noProof/>
            <w:webHidden/>
          </w:rPr>
          <w:t>12</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41" w:history="1">
        <w:r w:rsidRPr="009A2083">
          <w:rPr>
            <w:rStyle w:val="Hyperlink"/>
            <w:noProof/>
          </w:rPr>
          <w:t>Searching the Database</w:t>
        </w:r>
        <w:r>
          <w:rPr>
            <w:noProof/>
            <w:webHidden/>
          </w:rPr>
          <w:tab/>
        </w:r>
        <w:r>
          <w:rPr>
            <w:noProof/>
            <w:webHidden/>
          </w:rPr>
          <w:fldChar w:fldCharType="begin"/>
        </w:r>
        <w:r>
          <w:rPr>
            <w:noProof/>
            <w:webHidden/>
          </w:rPr>
          <w:instrText xml:space="preserve"> PAGEREF _Toc459900041 \h </w:instrText>
        </w:r>
        <w:r>
          <w:rPr>
            <w:noProof/>
            <w:webHidden/>
          </w:rPr>
        </w:r>
        <w:r>
          <w:rPr>
            <w:noProof/>
            <w:webHidden/>
          </w:rPr>
          <w:fldChar w:fldCharType="separate"/>
        </w:r>
        <w:r w:rsidR="005028F8">
          <w:rPr>
            <w:noProof/>
            <w:webHidden/>
          </w:rPr>
          <w:t>13</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42" w:history="1">
        <w:r w:rsidRPr="009A2083">
          <w:rPr>
            <w:rStyle w:val="Hyperlink"/>
            <w:noProof/>
          </w:rPr>
          <w:t>Testing</w:t>
        </w:r>
        <w:r>
          <w:rPr>
            <w:noProof/>
            <w:webHidden/>
          </w:rPr>
          <w:tab/>
        </w:r>
        <w:r>
          <w:rPr>
            <w:noProof/>
            <w:webHidden/>
          </w:rPr>
          <w:fldChar w:fldCharType="begin"/>
        </w:r>
        <w:r>
          <w:rPr>
            <w:noProof/>
            <w:webHidden/>
          </w:rPr>
          <w:instrText xml:space="preserve"> PAGEREF _Toc459900042 \h </w:instrText>
        </w:r>
        <w:r>
          <w:rPr>
            <w:noProof/>
            <w:webHidden/>
          </w:rPr>
        </w:r>
        <w:r>
          <w:rPr>
            <w:noProof/>
            <w:webHidden/>
          </w:rPr>
          <w:fldChar w:fldCharType="separate"/>
        </w:r>
        <w:r w:rsidR="005028F8">
          <w:rPr>
            <w:noProof/>
            <w:webHidden/>
          </w:rPr>
          <w:t>14</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43" w:history="1">
        <w:r w:rsidRPr="009A2083">
          <w:rPr>
            <w:rStyle w:val="Hyperlink"/>
            <w:noProof/>
          </w:rPr>
          <w:t>Creating and Viewing Reports</w:t>
        </w:r>
        <w:r>
          <w:rPr>
            <w:noProof/>
            <w:webHidden/>
          </w:rPr>
          <w:tab/>
        </w:r>
        <w:r>
          <w:rPr>
            <w:noProof/>
            <w:webHidden/>
          </w:rPr>
          <w:fldChar w:fldCharType="begin"/>
        </w:r>
        <w:r>
          <w:rPr>
            <w:noProof/>
            <w:webHidden/>
          </w:rPr>
          <w:instrText xml:space="preserve"> PAGEREF _Toc459900043 \h </w:instrText>
        </w:r>
        <w:r>
          <w:rPr>
            <w:noProof/>
            <w:webHidden/>
          </w:rPr>
        </w:r>
        <w:r>
          <w:rPr>
            <w:noProof/>
            <w:webHidden/>
          </w:rPr>
          <w:fldChar w:fldCharType="separate"/>
        </w:r>
        <w:r w:rsidR="005028F8">
          <w:rPr>
            <w:noProof/>
            <w:webHidden/>
          </w:rPr>
          <w:t>16</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044" w:history="1">
        <w:r w:rsidRPr="009A2083">
          <w:rPr>
            <w:rStyle w:val="Hyperlink"/>
            <w:noProof/>
          </w:rPr>
          <w:t>Report Toolbar</w:t>
        </w:r>
        <w:r>
          <w:rPr>
            <w:noProof/>
            <w:webHidden/>
          </w:rPr>
          <w:tab/>
        </w:r>
        <w:r>
          <w:rPr>
            <w:noProof/>
            <w:webHidden/>
          </w:rPr>
          <w:fldChar w:fldCharType="begin"/>
        </w:r>
        <w:r>
          <w:rPr>
            <w:noProof/>
            <w:webHidden/>
          </w:rPr>
          <w:instrText xml:space="preserve"> PAGEREF _Toc459900044 \h </w:instrText>
        </w:r>
        <w:r>
          <w:rPr>
            <w:noProof/>
            <w:webHidden/>
          </w:rPr>
        </w:r>
        <w:r>
          <w:rPr>
            <w:noProof/>
            <w:webHidden/>
          </w:rPr>
          <w:fldChar w:fldCharType="separate"/>
        </w:r>
        <w:r w:rsidR="005028F8">
          <w:rPr>
            <w:noProof/>
            <w:webHidden/>
          </w:rPr>
          <w:t>18</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45" w:history="1">
        <w:r w:rsidRPr="009A2083">
          <w:rPr>
            <w:rStyle w:val="Hyperlink"/>
            <w:noProof/>
          </w:rPr>
          <w:t>Navigation Arrows and Report Pages</w:t>
        </w:r>
        <w:r>
          <w:rPr>
            <w:noProof/>
            <w:webHidden/>
          </w:rPr>
          <w:tab/>
        </w:r>
        <w:r>
          <w:rPr>
            <w:noProof/>
            <w:webHidden/>
          </w:rPr>
          <w:fldChar w:fldCharType="begin"/>
        </w:r>
        <w:r>
          <w:rPr>
            <w:noProof/>
            <w:webHidden/>
          </w:rPr>
          <w:instrText xml:space="preserve"> PAGEREF _Toc459900045 \h </w:instrText>
        </w:r>
        <w:r>
          <w:rPr>
            <w:noProof/>
            <w:webHidden/>
          </w:rPr>
        </w:r>
        <w:r>
          <w:rPr>
            <w:noProof/>
            <w:webHidden/>
          </w:rPr>
          <w:fldChar w:fldCharType="separate"/>
        </w:r>
        <w:r w:rsidR="005028F8">
          <w:rPr>
            <w:noProof/>
            <w:webHidden/>
          </w:rPr>
          <w:t>18</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46" w:history="1">
        <w:r w:rsidRPr="009A2083">
          <w:rPr>
            <w:rStyle w:val="Hyperlink"/>
            <w:noProof/>
          </w:rPr>
          <w:t>Report Layout</w:t>
        </w:r>
        <w:r>
          <w:rPr>
            <w:noProof/>
            <w:webHidden/>
          </w:rPr>
          <w:tab/>
        </w:r>
        <w:r>
          <w:rPr>
            <w:noProof/>
            <w:webHidden/>
          </w:rPr>
          <w:fldChar w:fldCharType="begin"/>
        </w:r>
        <w:r>
          <w:rPr>
            <w:noProof/>
            <w:webHidden/>
          </w:rPr>
          <w:instrText xml:space="preserve"> PAGEREF _Toc459900046 \h </w:instrText>
        </w:r>
        <w:r>
          <w:rPr>
            <w:noProof/>
            <w:webHidden/>
          </w:rPr>
        </w:r>
        <w:r>
          <w:rPr>
            <w:noProof/>
            <w:webHidden/>
          </w:rPr>
          <w:fldChar w:fldCharType="separate"/>
        </w:r>
        <w:r w:rsidR="005028F8">
          <w:rPr>
            <w:noProof/>
            <w:webHidden/>
          </w:rPr>
          <w:t>18</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47" w:history="1">
        <w:r w:rsidRPr="009A2083">
          <w:rPr>
            <w:rStyle w:val="Hyperlink"/>
            <w:noProof/>
          </w:rPr>
          <w:t>Report Zoom-in/Zoom-out</w:t>
        </w:r>
        <w:r>
          <w:rPr>
            <w:noProof/>
            <w:webHidden/>
          </w:rPr>
          <w:tab/>
        </w:r>
        <w:r>
          <w:rPr>
            <w:noProof/>
            <w:webHidden/>
          </w:rPr>
          <w:fldChar w:fldCharType="begin"/>
        </w:r>
        <w:r>
          <w:rPr>
            <w:noProof/>
            <w:webHidden/>
          </w:rPr>
          <w:instrText xml:space="preserve"> PAGEREF _Toc459900047 \h </w:instrText>
        </w:r>
        <w:r>
          <w:rPr>
            <w:noProof/>
            <w:webHidden/>
          </w:rPr>
        </w:r>
        <w:r>
          <w:rPr>
            <w:noProof/>
            <w:webHidden/>
          </w:rPr>
          <w:fldChar w:fldCharType="separate"/>
        </w:r>
        <w:r w:rsidR="005028F8">
          <w:rPr>
            <w:noProof/>
            <w:webHidden/>
          </w:rPr>
          <w:t>19</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48" w:history="1">
        <w:r w:rsidRPr="009A2083">
          <w:rPr>
            <w:rStyle w:val="Hyperlink"/>
            <w:noProof/>
          </w:rPr>
          <w:t>Report Search</w:t>
        </w:r>
        <w:r>
          <w:rPr>
            <w:noProof/>
            <w:webHidden/>
          </w:rPr>
          <w:tab/>
        </w:r>
        <w:r>
          <w:rPr>
            <w:noProof/>
            <w:webHidden/>
          </w:rPr>
          <w:fldChar w:fldCharType="begin"/>
        </w:r>
        <w:r>
          <w:rPr>
            <w:noProof/>
            <w:webHidden/>
          </w:rPr>
          <w:instrText xml:space="preserve"> PAGEREF _Toc459900048 \h </w:instrText>
        </w:r>
        <w:r>
          <w:rPr>
            <w:noProof/>
            <w:webHidden/>
          </w:rPr>
        </w:r>
        <w:r>
          <w:rPr>
            <w:noProof/>
            <w:webHidden/>
          </w:rPr>
          <w:fldChar w:fldCharType="separate"/>
        </w:r>
        <w:r w:rsidR="005028F8">
          <w:rPr>
            <w:noProof/>
            <w:webHidden/>
          </w:rPr>
          <w:t>19</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49" w:history="1">
        <w:r w:rsidRPr="009A2083">
          <w:rPr>
            <w:rStyle w:val="Hyperlink"/>
            <w:noProof/>
          </w:rPr>
          <w:t>Report Export</w:t>
        </w:r>
        <w:r>
          <w:rPr>
            <w:noProof/>
            <w:webHidden/>
          </w:rPr>
          <w:tab/>
        </w:r>
        <w:r>
          <w:rPr>
            <w:noProof/>
            <w:webHidden/>
          </w:rPr>
          <w:fldChar w:fldCharType="begin"/>
        </w:r>
        <w:r>
          <w:rPr>
            <w:noProof/>
            <w:webHidden/>
          </w:rPr>
          <w:instrText xml:space="preserve"> PAGEREF _Toc459900049 \h </w:instrText>
        </w:r>
        <w:r>
          <w:rPr>
            <w:noProof/>
            <w:webHidden/>
          </w:rPr>
        </w:r>
        <w:r>
          <w:rPr>
            <w:noProof/>
            <w:webHidden/>
          </w:rPr>
          <w:fldChar w:fldCharType="separate"/>
        </w:r>
        <w:r w:rsidR="005028F8">
          <w:rPr>
            <w:noProof/>
            <w:webHidden/>
          </w:rPr>
          <w:t>20</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50" w:history="1">
        <w:r w:rsidRPr="009A2083">
          <w:rPr>
            <w:rStyle w:val="Hyperlink"/>
            <w:noProof/>
          </w:rPr>
          <w:t>Copying an Exported Report</w:t>
        </w:r>
        <w:r>
          <w:rPr>
            <w:noProof/>
            <w:webHidden/>
          </w:rPr>
          <w:tab/>
        </w:r>
        <w:r>
          <w:rPr>
            <w:noProof/>
            <w:webHidden/>
          </w:rPr>
          <w:fldChar w:fldCharType="begin"/>
        </w:r>
        <w:r>
          <w:rPr>
            <w:noProof/>
            <w:webHidden/>
          </w:rPr>
          <w:instrText xml:space="preserve"> PAGEREF _Toc459900050 \h </w:instrText>
        </w:r>
        <w:r>
          <w:rPr>
            <w:noProof/>
            <w:webHidden/>
          </w:rPr>
        </w:r>
        <w:r>
          <w:rPr>
            <w:noProof/>
            <w:webHidden/>
          </w:rPr>
          <w:fldChar w:fldCharType="separate"/>
        </w:r>
        <w:r w:rsidR="005028F8">
          <w:rPr>
            <w:noProof/>
            <w:webHidden/>
          </w:rPr>
          <w:t>23</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051" w:history="1">
        <w:r w:rsidRPr="009A2083">
          <w:rPr>
            <w:rStyle w:val="Hyperlink"/>
            <w:noProof/>
          </w:rPr>
          <w:t>Using VBECS</w:t>
        </w:r>
        <w:r>
          <w:rPr>
            <w:noProof/>
            <w:webHidden/>
          </w:rPr>
          <w:tab/>
        </w:r>
        <w:r>
          <w:rPr>
            <w:noProof/>
            <w:webHidden/>
          </w:rPr>
          <w:fldChar w:fldCharType="begin"/>
        </w:r>
        <w:r>
          <w:rPr>
            <w:noProof/>
            <w:webHidden/>
          </w:rPr>
          <w:instrText xml:space="preserve"> PAGEREF _Toc459900051 \h </w:instrText>
        </w:r>
        <w:r>
          <w:rPr>
            <w:noProof/>
            <w:webHidden/>
          </w:rPr>
        </w:r>
        <w:r>
          <w:rPr>
            <w:noProof/>
            <w:webHidden/>
          </w:rPr>
          <w:fldChar w:fldCharType="separate"/>
        </w:r>
        <w:r w:rsidR="005028F8">
          <w:rPr>
            <w:noProof/>
            <w:webHidden/>
          </w:rPr>
          <w:t>25</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052" w:history="1">
        <w:r w:rsidRPr="009A2083">
          <w:rPr>
            <w:rStyle w:val="Hyperlink"/>
            <w:noProof/>
          </w:rPr>
          <w:t>Using Online Help</w:t>
        </w:r>
        <w:r>
          <w:rPr>
            <w:noProof/>
            <w:webHidden/>
          </w:rPr>
          <w:tab/>
        </w:r>
        <w:r>
          <w:rPr>
            <w:noProof/>
            <w:webHidden/>
          </w:rPr>
          <w:fldChar w:fldCharType="begin"/>
        </w:r>
        <w:r>
          <w:rPr>
            <w:noProof/>
            <w:webHidden/>
          </w:rPr>
          <w:instrText xml:space="preserve"> PAGEREF _Toc459900052 \h </w:instrText>
        </w:r>
        <w:r>
          <w:rPr>
            <w:noProof/>
            <w:webHidden/>
          </w:rPr>
        </w:r>
        <w:r>
          <w:rPr>
            <w:noProof/>
            <w:webHidden/>
          </w:rPr>
          <w:fldChar w:fldCharType="separate"/>
        </w:r>
        <w:r w:rsidR="005028F8">
          <w:rPr>
            <w:noProof/>
            <w:webHidden/>
          </w:rPr>
          <w:t>26</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53" w:history="1">
        <w:r w:rsidRPr="009A2083">
          <w:rPr>
            <w:rStyle w:val="Hyperlink"/>
            <w:noProof/>
          </w:rPr>
          <w:t>Contents Tab</w:t>
        </w:r>
        <w:r>
          <w:rPr>
            <w:noProof/>
            <w:webHidden/>
          </w:rPr>
          <w:tab/>
        </w:r>
        <w:r>
          <w:rPr>
            <w:noProof/>
            <w:webHidden/>
          </w:rPr>
          <w:fldChar w:fldCharType="begin"/>
        </w:r>
        <w:r>
          <w:rPr>
            <w:noProof/>
            <w:webHidden/>
          </w:rPr>
          <w:instrText xml:space="preserve"> PAGEREF _Toc459900053 \h </w:instrText>
        </w:r>
        <w:r>
          <w:rPr>
            <w:noProof/>
            <w:webHidden/>
          </w:rPr>
        </w:r>
        <w:r>
          <w:rPr>
            <w:noProof/>
            <w:webHidden/>
          </w:rPr>
          <w:fldChar w:fldCharType="separate"/>
        </w:r>
        <w:r w:rsidR="005028F8">
          <w:rPr>
            <w:noProof/>
            <w:webHidden/>
          </w:rPr>
          <w:t>28</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54" w:history="1">
        <w:r w:rsidRPr="009A2083">
          <w:rPr>
            <w:rStyle w:val="Hyperlink"/>
            <w:noProof/>
          </w:rPr>
          <w:t>Index Tab</w:t>
        </w:r>
        <w:r>
          <w:rPr>
            <w:noProof/>
            <w:webHidden/>
          </w:rPr>
          <w:tab/>
        </w:r>
        <w:r>
          <w:rPr>
            <w:noProof/>
            <w:webHidden/>
          </w:rPr>
          <w:fldChar w:fldCharType="begin"/>
        </w:r>
        <w:r>
          <w:rPr>
            <w:noProof/>
            <w:webHidden/>
          </w:rPr>
          <w:instrText xml:space="preserve"> PAGEREF _Toc459900054 \h </w:instrText>
        </w:r>
        <w:r>
          <w:rPr>
            <w:noProof/>
            <w:webHidden/>
          </w:rPr>
        </w:r>
        <w:r>
          <w:rPr>
            <w:noProof/>
            <w:webHidden/>
          </w:rPr>
          <w:fldChar w:fldCharType="separate"/>
        </w:r>
        <w:r w:rsidR="005028F8">
          <w:rPr>
            <w:noProof/>
            <w:webHidden/>
          </w:rPr>
          <w:t>29</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55" w:history="1">
        <w:r w:rsidRPr="009A2083">
          <w:rPr>
            <w:rStyle w:val="Hyperlink"/>
            <w:noProof/>
          </w:rPr>
          <w:t>Search Tab</w:t>
        </w:r>
        <w:r>
          <w:rPr>
            <w:noProof/>
            <w:webHidden/>
          </w:rPr>
          <w:tab/>
        </w:r>
        <w:r>
          <w:rPr>
            <w:noProof/>
            <w:webHidden/>
          </w:rPr>
          <w:fldChar w:fldCharType="begin"/>
        </w:r>
        <w:r>
          <w:rPr>
            <w:noProof/>
            <w:webHidden/>
          </w:rPr>
          <w:instrText xml:space="preserve"> PAGEREF _Toc459900055 \h </w:instrText>
        </w:r>
        <w:r>
          <w:rPr>
            <w:noProof/>
            <w:webHidden/>
          </w:rPr>
        </w:r>
        <w:r>
          <w:rPr>
            <w:noProof/>
            <w:webHidden/>
          </w:rPr>
          <w:fldChar w:fldCharType="separate"/>
        </w:r>
        <w:r w:rsidR="005028F8">
          <w:rPr>
            <w:noProof/>
            <w:webHidden/>
          </w:rPr>
          <w:t>30</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56" w:history="1">
        <w:r w:rsidRPr="009A2083">
          <w:rPr>
            <w:rStyle w:val="Hyperlink"/>
            <w:noProof/>
          </w:rPr>
          <w:t>Glossary Tab</w:t>
        </w:r>
        <w:r>
          <w:rPr>
            <w:noProof/>
            <w:webHidden/>
          </w:rPr>
          <w:tab/>
        </w:r>
        <w:r>
          <w:rPr>
            <w:noProof/>
            <w:webHidden/>
          </w:rPr>
          <w:fldChar w:fldCharType="begin"/>
        </w:r>
        <w:r>
          <w:rPr>
            <w:noProof/>
            <w:webHidden/>
          </w:rPr>
          <w:instrText xml:space="preserve"> PAGEREF _Toc459900056 \h </w:instrText>
        </w:r>
        <w:r>
          <w:rPr>
            <w:noProof/>
            <w:webHidden/>
          </w:rPr>
        </w:r>
        <w:r>
          <w:rPr>
            <w:noProof/>
            <w:webHidden/>
          </w:rPr>
          <w:fldChar w:fldCharType="separate"/>
        </w:r>
        <w:r w:rsidR="005028F8">
          <w:rPr>
            <w:noProof/>
            <w:webHidden/>
          </w:rPr>
          <w:t>31</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057" w:history="1">
        <w:r w:rsidRPr="009A2083">
          <w:rPr>
            <w:rStyle w:val="Hyperlink"/>
            <w:noProof/>
          </w:rPr>
          <w:t>Viewing the VBECS Version Number</w:t>
        </w:r>
        <w:r>
          <w:rPr>
            <w:noProof/>
            <w:webHidden/>
          </w:rPr>
          <w:tab/>
        </w:r>
        <w:r>
          <w:rPr>
            <w:noProof/>
            <w:webHidden/>
          </w:rPr>
          <w:fldChar w:fldCharType="begin"/>
        </w:r>
        <w:r>
          <w:rPr>
            <w:noProof/>
            <w:webHidden/>
          </w:rPr>
          <w:instrText xml:space="preserve"> PAGEREF _Toc459900057 \h </w:instrText>
        </w:r>
        <w:r>
          <w:rPr>
            <w:noProof/>
            <w:webHidden/>
          </w:rPr>
        </w:r>
        <w:r>
          <w:rPr>
            <w:noProof/>
            <w:webHidden/>
          </w:rPr>
          <w:fldChar w:fldCharType="separate"/>
        </w:r>
        <w:r w:rsidR="005028F8">
          <w:rPr>
            <w:noProof/>
            <w:webHidden/>
          </w:rPr>
          <w:t>32</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058" w:history="1">
        <w:r w:rsidRPr="009A2083">
          <w:rPr>
            <w:rStyle w:val="Hyperlink"/>
            <w:noProof/>
          </w:rPr>
          <w:t>VistA Records in VBECS</w:t>
        </w:r>
        <w:r>
          <w:rPr>
            <w:noProof/>
            <w:webHidden/>
          </w:rPr>
          <w:tab/>
        </w:r>
        <w:r>
          <w:rPr>
            <w:noProof/>
            <w:webHidden/>
          </w:rPr>
          <w:fldChar w:fldCharType="begin"/>
        </w:r>
        <w:r>
          <w:rPr>
            <w:noProof/>
            <w:webHidden/>
          </w:rPr>
          <w:instrText xml:space="preserve"> PAGEREF _Toc459900058 \h </w:instrText>
        </w:r>
        <w:r>
          <w:rPr>
            <w:noProof/>
            <w:webHidden/>
          </w:rPr>
        </w:r>
        <w:r>
          <w:rPr>
            <w:noProof/>
            <w:webHidden/>
          </w:rPr>
          <w:fldChar w:fldCharType="separate"/>
        </w:r>
        <w:r w:rsidR="005028F8">
          <w:rPr>
            <w:noProof/>
            <w:webHidden/>
          </w:rPr>
          <w:t>35</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059" w:history="1">
        <w:r w:rsidRPr="009A2083">
          <w:rPr>
            <w:rStyle w:val="Hyperlink"/>
            <w:noProof/>
          </w:rPr>
          <w:t>Accessing the System</w:t>
        </w:r>
        <w:r>
          <w:rPr>
            <w:noProof/>
            <w:webHidden/>
          </w:rPr>
          <w:tab/>
        </w:r>
        <w:r>
          <w:rPr>
            <w:noProof/>
            <w:webHidden/>
          </w:rPr>
          <w:fldChar w:fldCharType="begin"/>
        </w:r>
        <w:r>
          <w:rPr>
            <w:noProof/>
            <w:webHidden/>
          </w:rPr>
          <w:instrText xml:space="preserve"> PAGEREF _Toc459900059 \h </w:instrText>
        </w:r>
        <w:r>
          <w:rPr>
            <w:noProof/>
            <w:webHidden/>
          </w:rPr>
        </w:r>
        <w:r>
          <w:rPr>
            <w:noProof/>
            <w:webHidden/>
          </w:rPr>
          <w:fldChar w:fldCharType="separate"/>
        </w:r>
        <w:r w:rsidR="005028F8">
          <w:rPr>
            <w:noProof/>
            <w:webHidden/>
          </w:rPr>
          <w:t>36</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60" w:history="1">
        <w:r w:rsidRPr="009A2083">
          <w:rPr>
            <w:rStyle w:val="Hyperlink"/>
            <w:noProof/>
          </w:rPr>
          <w:t>Log Into VBECS and VistA</w:t>
        </w:r>
        <w:r>
          <w:rPr>
            <w:noProof/>
            <w:webHidden/>
          </w:rPr>
          <w:tab/>
        </w:r>
        <w:r>
          <w:rPr>
            <w:noProof/>
            <w:webHidden/>
          </w:rPr>
          <w:fldChar w:fldCharType="begin"/>
        </w:r>
        <w:r>
          <w:rPr>
            <w:noProof/>
            <w:webHidden/>
          </w:rPr>
          <w:instrText xml:space="preserve"> PAGEREF _Toc459900060 \h </w:instrText>
        </w:r>
        <w:r>
          <w:rPr>
            <w:noProof/>
            <w:webHidden/>
          </w:rPr>
        </w:r>
        <w:r>
          <w:rPr>
            <w:noProof/>
            <w:webHidden/>
          </w:rPr>
          <w:fldChar w:fldCharType="separate"/>
        </w:r>
        <w:r w:rsidR="005028F8">
          <w:rPr>
            <w:noProof/>
            <w:webHidden/>
          </w:rPr>
          <w:t>36</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61" w:history="1">
        <w:r w:rsidRPr="009A2083">
          <w:rPr>
            <w:rStyle w:val="Hyperlink"/>
            <w:noProof/>
          </w:rPr>
          <w:t>Exit VBECS</w:t>
        </w:r>
        <w:r>
          <w:rPr>
            <w:noProof/>
            <w:webHidden/>
          </w:rPr>
          <w:tab/>
        </w:r>
        <w:r>
          <w:rPr>
            <w:noProof/>
            <w:webHidden/>
          </w:rPr>
          <w:fldChar w:fldCharType="begin"/>
        </w:r>
        <w:r>
          <w:rPr>
            <w:noProof/>
            <w:webHidden/>
          </w:rPr>
          <w:instrText xml:space="preserve"> PAGEREF _Toc459900061 \h </w:instrText>
        </w:r>
        <w:r>
          <w:rPr>
            <w:noProof/>
            <w:webHidden/>
          </w:rPr>
        </w:r>
        <w:r>
          <w:rPr>
            <w:noProof/>
            <w:webHidden/>
          </w:rPr>
          <w:fldChar w:fldCharType="separate"/>
        </w:r>
        <w:r w:rsidR="005028F8">
          <w:rPr>
            <w:noProof/>
            <w:webHidden/>
          </w:rPr>
          <w:t>39</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62" w:history="1">
        <w:r w:rsidRPr="009A2083">
          <w:rPr>
            <w:rStyle w:val="Hyperlink"/>
            <w:noProof/>
          </w:rPr>
          <w:t>Screen Settings</w:t>
        </w:r>
        <w:r>
          <w:rPr>
            <w:noProof/>
            <w:webHidden/>
          </w:rPr>
          <w:tab/>
        </w:r>
        <w:r>
          <w:rPr>
            <w:noProof/>
            <w:webHidden/>
          </w:rPr>
          <w:fldChar w:fldCharType="begin"/>
        </w:r>
        <w:r>
          <w:rPr>
            <w:noProof/>
            <w:webHidden/>
          </w:rPr>
          <w:instrText xml:space="preserve"> PAGEREF _Toc459900062 \h </w:instrText>
        </w:r>
        <w:r>
          <w:rPr>
            <w:noProof/>
            <w:webHidden/>
          </w:rPr>
        </w:r>
        <w:r>
          <w:rPr>
            <w:noProof/>
            <w:webHidden/>
          </w:rPr>
          <w:fldChar w:fldCharType="separate"/>
        </w:r>
        <w:r w:rsidR="005028F8">
          <w:rPr>
            <w:noProof/>
            <w:webHidden/>
          </w:rPr>
          <w:t>40</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63" w:history="1">
        <w:r w:rsidRPr="009A2083">
          <w:rPr>
            <w:rStyle w:val="Hyperlink"/>
            <w:noProof/>
          </w:rPr>
          <w:t>Screen Display</w:t>
        </w:r>
        <w:r>
          <w:rPr>
            <w:noProof/>
            <w:webHidden/>
          </w:rPr>
          <w:tab/>
        </w:r>
        <w:r>
          <w:rPr>
            <w:noProof/>
            <w:webHidden/>
          </w:rPr>
          <w:fldChar w:fldCharType="begin"/>
        </w:r>
        <w:r>
          <w:rPr>
            <w:noProof/>
            <w:webHidden/>
          </w:rPr>
          <w:instrText xml:space="preserve"> PAGEREF _Toc459900063 \h </w:instrText>
        </w:r>
        <w:r>
          <w:rPr>
            <w:noProof/>
            <w:webHidden/>
          </w:rPr>
        </w:r>
        <w:r>
          <w:rPr>
            <w:noProof/>
            <w:webHidden/>
          </w:rPr>
          <w:fldChar w:fldCharType="separate"/>
        </w:r>
        <w:r w:rsidR="005028F8">
          <w:rPr>
            <w:noProof/>
            <w:webHidden/>
          </w:rPr>
          <w:t>43</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64" w:history="1">
        <w:r w:rsidRPr="009A2083">
          <w:rPr>
            <w:rStyle w:val="Hyperlink"/>
            <w:noProof/>
          </w:rPr>
          <w:t>Sound</w:t>
        </w:r>
        <w:r>
          <w:rPr>
            <w:noProof/>
            <w:webHidden/>
          </w:rPr>
          <w:tab/>
        </w:r>
        <w:r>
          <w:rPr>
            <w:noProof/>
            <w:webHidden/>
          </w:rPr>
          <w:fldChar w:fldCharType="begin"/>
        </w:r>
        <w:r>
          <w:rPr>
            <w:noProof/>
            <w:webHidden/>
          </w:rPr>
          <w:instrText xml:space="preserve"> PAGEREF _Toc459900064 \h </w:instrText>
        </w:r>
        <w:r>
          <w:rPr>
            <w:noProof/>
            <w:webHidden/>
          </w:rPr>
        </w:r>
        <w:r>
          <w:rPr>
            <w:noProof/>
            <w:webHidden/>
          </w:rPr>
          <w:fldChar w:fldCharType="separate"/>
        </w:r>
        <w:r w:rsidR="005028F8">
          <w:rPr>
            <w:noProof/>
            <w:webHidden/>
          </w:rPr>
          <w:t>44</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65" w:history="1">
        <w:r w:rsidRPr="009A2083">
          <w:rPr>
            <w:rStyle w:val="Hyperlink"/>
            <w:noProof/>
          </w:rPr>
          <w:t>Volume</w:t>
        </w:r>
        <w:r>
          <w:rPr>
            <w:noProof/>
            <w:webHidden/>
          </w:rPr>
          <w:tab/>
        </w:r>
        <w:r>
          <w:rPr>
            <w:noProof/>
            <w:webHidden/>
          </w:rPr>
          <w:fldChar w:fldCharType="begin"/>
        </w:r>
        <w:r>
          <w:rPr>
            <w:noProof/>
            <w:webHidden/>
          </w:rPr>
          <w:instrText xml:space="preserve"> PAGEREF _Toc459900065 \h </w:instrText>
        </w:r>
        <w:r>
          <w:rPr>
            <w:noProof/>
            <w:webHidden/>
          </w:rPr>
        </w:r>
        <w:r>
          <w:rPr>
            <w:noProof/>
            <w:webHidden/>
          </w:rPr>
          <w:fldChar w:fldCharType="separate"/>
        </w:r>
        <w:r w:rsidR="005028F8">
          <w:rPr>
            <w:noProof/>
            <w:webHidden/>
          </w:rPr>
          <w:t>46</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66" w:history="1">
        <w:r w:rsidRPr="009A2083">
          <w:rPr>
            <w:rStyle w:val="Hyperlink"/>
            <w:noProof/>
          </w:rPr>
          <w:t>Keyboard Shortcuts for Windows</w:t>
        </w:r>
        <w:r>
          <w:rPr>
            <w:noProof/>
            <w:webHidden/>
          </w:rPr>
          <w:tab/>
        </w:r>
        <w:r>
          <w:rPr>
            <w:noProof/>
            <w:webHidden/>
          </w:rPr>
          <w:fldChar w:fldCharType="begin"/>
        </w:r>
        <w:r>
          <w:rPr>
            <w:noProof/>
            <w:webHidden/>
          </w:rPr>
          <w:instrText xml:space="preserve"> PAGEREF _Toc459900066 \h </w:instrText>
        </w:r>
        <w:r>
          <w:rPr>
            <w:noProof/>
            <w:webHidden/>
          </w:rPr>
        </w:r>
        <w:r>
          <w:rPr>
            <w:noProof/>
            <w:webHidden/>
          </w:rPr>
          <w:fldChar w:fldCharType="separate"/>
        </w:r>
        <w:r w:rsidR="005028F8">
          <w:rPr>
            <w:noProof/>
            <w:webHidden/>
          </w:rPr>
          <w:t>47</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67" w:history="1">
        <w:r w:rsidRPr="009A2083">
          <w:rPr>
            <w:rStyle w:val="Hyperlink"/>
            <w:noProof/>
          </w:rPr>
          <w:t>Drop-Down Menus</w:t>
        </w:r>
        <w:r>
          <w:rPr>
            <w:noProof/>
            <w:webHidden/>
          </w:rPr>
          <w:tab/>
        </w:r>
        <w:r>
          <w:rPr>
            <w:noProof/>
            <w:webHidden/>
          </w:rPr>
          <w:fldChar w:fldCharType="begin"/>
        </w:r>
        <w:r>
          <w:rPr>
            <w:noProof/>
            <w:webHidden/>
          </w:rPr>
          <w:instrText xml:space="preserve"> PAGEREF _Toc459900067 \h </w:instrText>
        </w:r>
        <w:r>
          <w:rPr>
            <w:noProof/>
            <w:webHidden/>
          </w:rPr>
        </w:r>
        <w:r>
          <w:rPr>
            <w:noProof/>
            <w:webHidden/>
          </w:rPr>
          <w:fldChar w:fldCharType="separate"/>
        </w:r>
        <w:r w:rsidR="005028F8">
          <w:rPr>
            <w:noProof/>
            <w:webHidden/>
          </w:rPr>
          <w:t>48</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68" w:history="1">
        <w:r w:rsidRPr="009A2083">
          <w:rPr>
            <w:rStyle w:val="Hyperlink"/>
            <w:noProof/>
          </w:rPr>
          <w:t>Tool Tips</w:t>
        </w:r>
        <w:r>
          <w:rPr>
            <w:noProof/>
            <w:webHidden/>
          </w:rPr>
          <w:tab/>
        </w:r>
        <w:r>
          <w:rPr>
            <w:noProof/>
            <w:webHidden/>
          </w:rPr>
          <w:fldChar w:fldCharType="begin"/>
        </w:r>
        <w:r>
          <w:rPr>
            <w:noProof/>
            <w:webHidden/>
          </w:rPr>
          <w:instrText xml:space="preserve"> PAGEREF _Toc459900068 \h </w:instrText>
        </w:r>
        <w:r>
          <w:rPr>
            <w:noProof/>
            <w:webHidden/>
          </w:rPr>
        </w:r>
        <w:r>
          <w:rPr>
            <w:noProof/>
            <w:webHidden/>
          </w:rPr>
          <w:fldChar w:fldCharType="separate"/>
        </w:r>
        <w:r w:rsidR="005028F8">
          <w:rPr>
            <w:noProof/>
            <w:webHidden/>
          </w:rPr>
          <w:t>48</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69" w:history="1">
        <w:r w:rsidRPr="009A2083">
          <w:rPr>
            <w:rStyle w:val="Hyperlink"/>
            <w:noProof/>
          </w:rPr>
          <w:t>Icons and Buttons</w:t>
        </w:r>
        <w:r>
          <w:rPr>
            <w:noProof/>
            <w:webHidden/>
          </w:rPr>
          <w:tab/>
        </w:r>
        <w:r>
          <w:rPr>
            <w:noProof/>
            <w:webHidden/>
          </w:rPr>
          <w:fldChar w:fldCharType="begin"/>
        </w:r>
        <w:r>
          <w:rPr>
            <w:noProof/>
            <w:webHidden/>
          </w:rPr>
          <w:instrText xml:space="preserve"> PAGEREF _Toc459900069 \h </w:instrText>
        </w:r>
        <w:r>
          <w:rPr>
            <w:noProof/>
            <w:webHidden/>
          </w:rPr>
        </w:r>
        <w:r>
          <w:rPr>
            <w:noProof/>
            <w:webHidden/>
          </w:rPr>
          <w:fldChar w:fldCharType="separate"/>
        </w:r>
        <w:r w:rsidR="005028F8">
          <w:rPr>
            <w:noProof/>
            <w:webHidden/>
          </w:rPr>
          <w:t>49</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70" w:history="1">
        <w:r w:rsidRPr="009A2083">
          <w:rPr>
            <w:rStyle w:val="Hyperlink"/>
            <w:noProof/>
          </w:rPr>
          <w:t>Toolbars</w:t>
        </w:r>
        <w:r>
          <w:rPr>
            <w:noProof/>
            <w:webHidden/>
          </w:rPr>
          <w:tab/>
        </w:r>
        <w:r>
          <w:rPr>
            <w:noProof/>
            <w:webHidden/>
          </w:rPr>
          <w:fldChar w:fldCharType="begin"/>
        </w:r>
        <w:r>
          <w:rPr>
            <w:noProof/>
            <w:webHidden/>
          </w:rPr>
          <w:instrText xml:space="preserve"> PAGEREF _Toc459900070 \h </w:instrText>
        </w:r>
        <w:r>
          <w:rPr>
            <w:noProof/>
            <w:webHidden/>
          </w:rPr>
        </w:r>
        <w:r>
          <w:rPr>
            <w:noProof/>
            <w:webHidden/>
          </w:rPr>
          <w:fldChar w:fldCharType="separate"/>
        </w:r>
        <w:r w:rsidR="005028F8">
          <w:rPr>
            <w:noProof/>
            <w:webHidden/>
          </w:rPr>
          <w:t>49</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071" w:history="1">
        <w:r w:rsidRPr="009A2083">
          <w:rPr>
            <w:rStyle w:val="Hyperlink"/>
            <w:noProof/>
          </w:rPr>
          <w:t>Patient Information Toolbar</w:t>
        </w:r>
        <w:r>
          <w:rPr>
            <w:noProof/>
            <w:webHidden/>
          </w:rPr>
          <w:tab/>
        </w:r>
        <w:r>
          <w:rPr>
            <w:noProof/>
            <w:webHidden/>
          </w:rPr>
          <w:fldChar w:fldCharType="begin"/>
        </w:r>
        <w:r>
          <w:rPr>
            <w:noProof/>
            <w:webHidden/>
          </w:rPr>
          <w:instrText xml:space="preserve"> PAGEREF _Toc459900071 \h </w:instrText>
        </w:r>
        <w:r>
          <w:rPr>
            <w:noProof/>
            <w:webHidden/>
          </w:rPr>
        </w:r>
        <w:r>
          <w:rPr>
            <w:noProof/>
            <w:webHidden/>
          </w:rPr>
          <w:fldChar w:fldCharType="separate"/>
        </w:r>
        <w:r w:rsidR="005028F8">
          <w:rPr>
            <w:noProof/>
            <w:webHidden/>
          </w:rPr>
          <w:t>50</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72" w:history="1">
        <w:r w:rsidRPr="009A2083">
          <w:rPr>
            <w:rStyle w:val="Hyperlink"/>
            <w:noProof/>
          </w:rPr>
          <w:t>Patient Blood Availability</w:t>
        </w:r>
        <w:r>
          <w:rPr>
            <w:noProof/>
            <w:webHidden/>
          </w:rPr>
          <w:tab/>
        </w:r>
        <w:r>
          <w:rPr>
            <w:noProof/>
            <w:webHidden/>
          </w:rPr>
          <w:fldChar w:fldCharType="begin"/>
        </w:r>
        <w:r>
          <w:rPr>
            <w:noProof/>
            <w:webHidden/>
          </w:rPr>
          <w:instrText xml:space="preserve"> PAGEREF _Toc459900072 \h </w:instrText>
        </w:r>
        <w:r>
          <w:rPr>
            <w:noProof/>
            <w:webHidden/>
          </w:rPr>
        </w:r>
        <w:r>
          <w:rPr>
            <w:noProof/>
            <w:webHidden/>
          </w:rPr>
          <w:fldChar w:fldCharType="separate"/>
        </w:r>
        <w:r w:rsidR="005028F8">
          <w:rPr>
            <w:noProof/>
            <w:webHidden/>
          </w:rPr>
          <w:t>50</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73" w:history="1">
        <w:r w:rsidR="00634BFC">
          <w:rPr>
            <w:noProof/>
          </w:rPr>
          <w:drawing>
            <wp:inline distT="0" distB="0" distL="0" distR="0">
              <wp:extent cx="152400" cy="190500"/>
              <wp:effectExtent l="0" t="0" r="0" b="0"/>
              <wp:docPr id="2" name="Picture 2" descr="small_patient_me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_patient_medicatio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9A2083">
          <w:rPr>
            <w:rStyle w:val="Hyperlink"/>
            <w:noProof/>
          </w:rPr>
          <w:t xml:space="preserve"> Medication Profile</w:t>
        </w:r>
        <w:r>
          <w:rPr>
            <w:noProof/>
            <w:webHidden/>
          </w:rPr>
          <w:tab/>
        </w:r>
        <w:r>
          <w:rPr>
            <w:noProof/>
            <w:webHidden/>
          </w:rPr>
          <w:fldChar w:fldCharType="begin"/>
        </w:r>
        <w:r>
          <w:rPr>
            <w:noProof/>
            <w:webHidden/>
          </w:rPr>
          <w:instrText xml:space="preserve"> PAGEREF _Toc459900073 \h </w:instrText>
        </w:r>
        <w:r>
          <w:rPr>
            <w:noProof/>
            <w:webHidden/>
          </w:rPr>
        </w:r>
        <w:r>
          <w:rPr>
            <w:noProof/>
            <w:webHidden/>
          </w:rPr>
          <w:fldChar w:fldCharType="separate"/>
        </w:r>
        <w:r w:rsidR="005028F8">
          <w:rPr>
            <w:noProof/>
            <w:webHidden/>
          </w:rPr>
          <w:t>51</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74" w:history="1">
        <w:r w:rsidR="00634BFC">
          <w:rPr>
            <w:noProof/>
          </w:rPr>
          <w:drawing>
            <wp:inline distT="0" distB="0" distL="0" distR="0">
              <wp:extent cx="152400" cy="152400"/>
              <wp:effectExtent l="0" t="0" r="0" b="0"/>
              <wp:docPr id="3" name="Picture 3" descr="small_si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ll_si_t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A2083">
          <w:rPr>
            <w:rStyle w:val="Hyperlink"/>
            <w:noProof/>
          </w:rPr>
          <w:t xml:space="preserve"> View Special Instructions and Transfusion Requirements</w:t>
        </w:r>
        <w:r>
          <w:rPr>
            <w:noProof/>
            <w:webHidden/>
          </w:rPr>
          <w:tab/>
        </w:r>
        <w:r>
          <w:rPr>
            <w:noProof/>
            <w:webHidden/>
          </w:rPr>
          <w:fldChar w:fldCharType="begin"/>
        </w:r>
        <w:r>
          <w:rPr>
            <w:noProof/>
            <w:webHidden/>
          </w:rPr>
          <w:instrText xml:space="preserve"> PAGEREF _Toc459900074 \h </w:instrText>
        </w:r>
        <w:r>
          <w:rPr>
            <w:noProof/>
            <w:webHidden/>
          </w:rPr>
        </w:r>
        <w:r>
          <w:rPr>
            <w:noProof/>
            <w:webHidden/>
          </w:rPr>
          <w:fldChar w:fldCharType="separate"/>
        </w:r>
        <w:r w:rsidR="005028F8">
          <w:rPr>
            <w:noProof/>
            <w:webHidden/>
          </w:rPr>
          <w:t>52</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75" w:history="1">
        <w:r w:rsidRPr="009A2083">
          <w:rPr>
            <w:rStyle w:val="Hyperlink"/>
            <w:noProof/>
          </w:rPr>
          <w:t>View Recent Orders, Recent Transfusions/Issued Units, and Transfusion Reaction History</w:t>
        </w:r>
        <w:r>
          <w:rPr>
            <w:noProof/>
            <w:webHidden/>
          </w:rPr>
          <w:tab/>
        </w:r>
        <w:r>
          <w:rPr>
            <w:noProof/>
            <w:webHidden/>
          </w:rPr>
          <w:fldChar w:fldCharType="begin"/>
        </w:r>
        <w:r>
          <w:rPr>
            <w:noProof/>
            <w:webHidden/>
          </w:rPr>
          <w:instrText xml:space="preserve"> PAGEREF _Toc459900075 \h </w:instrText>
        </w:r>
        <w:r>
          <w:rPr>
            <w:noProof/>
            <w:webHidden/>
          </w:rPr>
        </w:r>
        <w:r>
          <w:rPr>
            <w:noProof/>
            <w:webHidden/>
          </w:rPr>
          <w:fldChar w:fldCharType="separate"/>
        </w:r>
        <w:r w:rsidR="005028F8">
          <w:rPr>
            <w:noProof/>
            <w:webHidden/>
          </w:rPr>
          <w:t>54</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76" w:history="1">
        <w:r w:rsidR="00634BFC">
          <w:rPr>
            <w:noProof/>
          </w:rPr>
          <w:drawing>
            <wp:inline distT="0" distB="0" distL="0" distR="0">
              <wp:extent cx="152400" cy="152400"/>
              <wp:effectExtent l="0" t="0" r="0" b="0"/>
              <wp:docPr id="4" name="Picture 4" descr="small_recent_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all_recent_order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A2083">
          <w:rPr>
            <w:rStyle w:val="Hyperlink"/>
            <w:noProof/>
          </w:rPr>
          <w:t xml:space="preserve"> Patient Information Toolbar: Recent Orders</w:t>
        </w:r>
        <w:r>
          <w:rPr>
            <w:noProof/>
            <w:webHidden/>
          </w:rPr>
          <w:tab/>
        </w:r>
        <w:r>
          <w:rPr>
            <w:noProof/>
            <w:webHidden/>
          </w:rPr>
          <w:fldChar w:fldCharType="begin"/>
        </w:r>
        <w:r>
          <w:rPr>
            <w:noProof/>
            <w:webHidden/>
          </w:rPr>
          <w:instrText xml:space="preserve"> PAGEREF _Toc459900076 \h </w:instrText>
        </w:r>
        <w:r>
          <w:rPr>
            <w:noProof/>
            <w:webHidden/>
          </w:rPr>
        </w:r>
        <w:r>
          <w:rPr>
            <w:noProof/>
            <w:webHidden/>
          </w:rPr>
          <w:fldChar w:fldCharType="separate"/>
        </w:r>
        <w:r w:rsidR="005028F8">
          <w:rPr>
            <w:noProof/>
            <w:webHidden/>
          </w:rPr>
          <w:t>54</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77" w:history="1">
        <w:r w:rsidR="00634BFC">
          <w:rPr>
            <w:noProof/>
          </w:rPr>
          <w:drawing>
            <wp:inline distT="0" distB="0" distL="0" distR="0">
              <wp:extent cx="152400" cy="152400"/>
              <wp:effectExtent l="0" t="0" r="0" b="0"/>
              <wp:docPr id="5" name="Picture 5" descr="small_transfusion_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all_transfusion_histor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A2083">
          <w:rPr>
            <w:rStyle w:val="Hyperlink"/>
            <w:noProof/>
          </w:rPr>
          <w:t xml:space="preserve"> Patient Information Toolbar: Recent Transfusions/Issued Units</w:t>
        </w:r>
        <w:r>
          <w:rPr>
            <w:noProof/>
            <w:webHidden/>
          </w:rPr>
          <w:tab/>
        </w:r>
        <w:r>
          <w:rPr>
            <w:noProof/>
            <w:webHidden/>
          </w:rPr>
          <w:fldChar w:fldCharType="begin"/>
        </w:r>
        <w:r>
          <w:rPr>
            <w:noProof/>
            <w:webHidden/>
          </w:rPr>
          <w:instrText xml:space="preserve"> PAGEREF _Toc459900077 \h </w:instrText>
        </w:r>
        <w:r>
          <w:rPr>
            <w:noProof/>
            <w:webHidden/>
          </w:rPr>
        </w:r>
        <w:r>
          <w:rPr>
            <w:noProof/>
            <w:webHidden/>
          </w:rPr>
          <w:fldChar w:fldCharType="separate"/>
        </w:r>
        <w:r w:rsidR="005028F8">
          <w:rPr>
            <w:noProof/>
            <w:webHidden/>
          </w:rPr>
          <w:t>55</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78" w:history="1">
        <w:r w:rsidR="00634BFC">
          <w:rPr>
            <w:noProof/>
          </w:rPr>
          <w:drawing>
            <wp:inline distT="0" distB="0" distL="0" distR="0">
              <wp:extent cx="152400" cy="152400"/>
              <wp:effectExtent l="0" t="0" r="0" b="0"/>
              <wp:docPr id="6" name="Picture 6" descr="small_transfusion_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all_transfusion_reactio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A2083">
          <w:rPr>
            <w:rStyle w:val="Hyperlink"/>
            <w:noProof/>
          </w:rPr>
          <w:t xml:space="preserve"> Patient Information Toolbar: Transfusion Reaction History</w:t>
        </w:r>
        <w:r>
          <w:rPr>
            <w:noProof/>
            <w:webHidden/>
          </w:rPr>
          <w:tab/>
        </w:r>
        <w:r>
          <w:rPr>
            <w:noProof/>
            <w:webHidden/>
          </w:rPr>
          <w:fldChar w:fldCharType="begin"/>
        </w:r>
        <w:r>
          <w:rPr>
            <w:noProof/>
            <w:webHidden/>
          </w:rPr>
          <w:instrText xml:space="preserve"> PAGEREF _Toc459900078 \h </w:instrText>
        </w:r>
        <w:r>
          <w:rPr>
            <w:noProof/>
            <w:webHidden/>
          </w:rPr>
        </w:r>
        <w:r>
          <w:rPr>
            <w:noProof/>
            <w:webHidden/>
          </w:rPr>
          <w:fldChar w:fldCharType="separate"/>
        </w:r>
        <w:r w:rsidR="005028F8">
          <w:rPr>
            <w:noProof/>
            <w:webHidden/>
          </w:rPr>
          <w:t>55</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079" w:history="1">
        <w:r w:rsidRPr="009A2083">
          <w:rPr>
            <w:rStyle w:val="Hyperlink"/>
            <w:noProof/>
          </w:rPr>
          <w:t>Other VBECS Functions</w:t>
        </w:r>
        <w:r>
          <w:rPr>
            <w:noProof/>
            <w:webHidden/>
          </w:rPr>
          <w:tab/>
        </w:r>
        <w:r>
          <w:rPr>
            <w:noProof/>
            <w:webHidden/>
          </w:rPr>
          <w:fldChar w:fldCharType="begin"/>
        </w:r>
        <w:r>
          <w:rPr>
            <w:noProof/>
            <w:webHidden/>
          </w:rPr>
          <w:instrText xml:space="preserve"> PAGEREF _Toc459900079 \h </w:instrText>
        </w:r>
        <w:r>
          <w:rPr>
            <w:noProof/>
            <w:webHidden/>
          </w:rPr>
        </w:r>
        <w:r>
          <w:rPr>
            <w:noProof/>
            <w:webHidden/>
          </w:rPr>
          <w:fldChar w:fldCharType="separate"/>
        </w:r>
        <w:r w:rsidR="005028F8">
          <w:rPr>
            <w:noProof/>
            <w:webHidden/>
          </w:rPr>
          <w:t>56</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80" w:history="1">
        <w:r w:rsidRPr="009A2083">
          <w:rPr>
            <w:rStyle w:val="Hyperlink"/>
            <w:noProof/>
          </w:rPr>
          <w:t>Collecting Workload</w:t>
        </w:r>
        <w:r>
          <w:rPr>
            <w:noProof/>
            <w:webHidden/>
          </w:rPr>
          <w:tab/>
        </w:r>
        <w:r>
          <w:rPr>
            <w:noProof/>
            <w:webHidden/>
          </w:rPr>
          <w:fldChar w:fldCharType="begin"/>
        </w:r>
        <w:r>
          <w:rPr>
            <w:noProof/>
            <w:webHidden/>
          </w:rPr>
          <w:instrText xml:space="preserve"> PAGEREF _Toc459900080 \h </w:instrText>
        </w:r>
        <w:r>
          <w:rPr>
            <w:noProof/>
            <w:webHidden/>
          </w:rPr>
        </w:r>
        <w:r>
          <w:rPr>
            <w:noProof/>
            <w:webHidden/>
          </w:rPr>
          <w:fldChar w:fldCharType="separate"/>
        </w:r>
        <w:r w:rsidR="005028F8">
          <w:rPr>
            <w:noProof/>
            <w:webHidden/>
          </w:rPr>
          <w:t>56</w:t>
        </w:r>
        <w:r>
          <w:rPr>
            <w:noProof/>
            <w:webHidden/>
          </w:rPr>
          <w:fldChar w:fldCharType="end"/>
        </w:r>
      </w:hyperlink>
    </w:p>
    <w:p w:rsidR="00E155EF" w:rsidRPr="00206A59" w:rsidRDefault="00E155EF">
      <w:pPr>
        <w:pStyle w:val="TOC1"/>
        <w:tabs>
          <w:tab w:val="right" w:leader="dot" w:pos="9350"/>
        </w:tabs>
        <w:rPr>
          <w:rFonts w:ascii="Calibri" w:hAnsi="Calibri"/>
          <w:b w:val="0"/>
          <w:caps w:val="0"/>
          <w:noProof/>
        </w:rPr>
      </w:pPr>
      <w:hyperlink w:anchor="_Toc459900081" w:history="1">
        <w:r w:rsidRPr="009A2083">
          <w:rPr>
            <w:rStyle w:val="Hyperlink"/>
            <w:noProof/>
          </w:rPr>
          <w:t>Configuring Site Parameters</w:t>
        </w:r>
        <w:r>
          <w:rPr>
            <w:noProof/>
            <w:webHidden/>
          </w:rPr>
          <w:tab/>
        </w:r>
        <w:r>
          <w:rPr>
            <w:noProof/>
            <w:webHidden/>
          </w:rPr>
          <w:fldChar w:fldCharType="begin"/>
        </w:r>
        <w:r>
          <w:rPr>
            <w:noProof/>
            <w:webHidden/>
          </w:rPr>
          <w:instrText xml:space="preserve"> PAGEREF _Toc459900081 \h </w:instrText>
        </w:r>
        <w:r>
          <w:rPr>
            <w:noProof/>
            <w:webHidden/>
          </w:rPr>
        </w:r>
        <w:r>
          <w:rPr>
            <w:noProof/>
            <w:webHidden/>
          </w:rPr>
          <w:fldChar w:fldCharType="separate"/>
        </w:r>
        <w:r w:rsidR="005028F8">
          <w:rPr>
            <w:noProof/>
            <w:webHidden/>
          </w:rPr>
          <w:t>59</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082" w:history="1">
        <w:r w:rsidRPr="009A2083">
          <w:rPr>
            <w:rStyle w:val="Hyperlink"/>
            <w:noProof/>
          </w:rPr>
          <w:t>Update User Roles</w:t>
        </w:r>
        <w:r>
          <w:rPr>
            <w:noProof/>
            <w:webHidden/>
          </w:rPr>
          <w:tab/>
        </w:r>
        <w:r>
          <w:rPr>
            <w:noProof/>
            <w:webHidden/>
          </w:rPr>
          <w:fldChar w:fldCharType="begin"/>
        </w:r>
        <w:r>
          <w:rPr>
            <w:noProof/>
            <w:webHidden/>
          </w:rPr>
          <w:instrText xml:space="preserve"> PAGEREF _Toc459900082 \h </w:instrText>
        </w:r>
        <w:r>
          <w:rPr>
            <w:noProof/>
            <w:webHidden/>
          </w:rPr>
        </w:r>
        <w:r>
          <w:rPr>
            <w:noProof/>
            <w:webHidden/>
          </w:rPr>
          <w:fldChar w:fldCharType="separate"/>
        </w:r>
        <w:r w:rsidR="005028F8">
          <w:rPr>
            <w:noProof/>
            <w:webHidden/>
          </w:rPr>
          <w:t>59</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083" w:history="1">
        <w:r w:rsidRPr="009A2083">
          <w:rPr>
            <w:rStyle w:val="Hyperlink"/>
            <w:noProof/>
          </w:rPr>
          <w:t>Component Classes</w:t>
        </w:r>
        <w:r>
          <w:rPr>
            <w:noProof/>
            <w:webHidden/>
          </w:rPr>
          <w:tab/>
        </w:r>
        <w:r>
          <w:rPr>
            <w:noProof/>
            <w:webHidden/>
          </w:rPr>
          <w:fldChar w:fldCharType="begin"/>
        </w:r>
        <w:r>
          <w:rPr>
            <w:noProof/>
            <w:webHidden/>
          </w:rPr>
          <w:instrText xml:space="preserve"> PAGEREF _Toc459900083 \h </w:instrText>
        </w:r>
        <w:r>
          <w:rPr>
            <w:noProof/>
            <w:webHidden/>
          </w:rPr>
        </w:r>
        <w:r>
          <w:rPr>
            <w:noProof/>
            <w:webHidden/>
          </w:rPr>
          <w:fldChar w:fldCharType="separate"/>
        </w:r>
        <w:r w:rsidR="005028F8">
          <w:rPr>
            <w:noProof/>
            <w:webHidden/>
          </w:rPr>
          <w:t>61</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084" w:history="1">
        <w:r w:rsidRPr="009A2083">
          <w:rPr>
            <w:rStyle w:val="Hyperlink"/>
            <w:noProof/>
          </w:rPr>
          <w:t>Configure Daily QC</w:t>
        </w:r>
        <w:r>
          <w:rPr>
            <w:noProof/>
            <w:webHidden/>
          </w:rPr>
          <w:tab/>
        </w:r>
        <w:r>
          <w:rPr>
            <w:noProof/>
            <w:webHidden/>
          </w:rPr>
          <w:fldChar w:fldCharType="begin"/>
        </w:r>
        <w:r>
          <w:rPr>
            <w:noProof/>
            <w:webHidden/>
          </w:rPr>
          <w:instrText xml:space="preserve"> PAGEREF _Toc459900084 \h </w:instrText>
        </w:r>
        <w:r>
          <w:rPr>
            <w:noProof/>
            <w:webHidden/>
          </w:rPr>
        </w:r>
        <w:r>
          <w:rPr>
            <w:noProof/>
            <w:webHidden/>
          </w:rPr>
          <w:fldChar w:fldCharType="separate"/>
        </w:r>
        <w:r w:rsidR="005028F8">
          <w:rPr>
            <w:noProof/>
            <w:webHidden/>
          </w:rPr>
          <w:t>64</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085" w:history="1">
        <w:r w:rsidRPr="009A2083">
          <w:rPr>
            <w:rStyle w:val="Hyperlink"/>
            <w:noProof/>
          </w:rPr>
          <w:t>Configure Division</w:t>
        </w:r>
        <w:r>
          <w:rPr>
            <w:noProof/>
            <w:webHidden/>
          </w:rPr>
          <w:tab/>
        </w:r>
        <w:r>
          <w:rPr>
            <w:noProof/>
            <w:webHidden/>
          </w:rPr>
          <w:fldChar w:fldCharType="begin"/>
        </w:r>
        <w:r>
          <w:rPr>
            <w:noProof/>
            <w:webHidden/>
          </w:rPr>
          <w:instrText xml:space="preserve"> PAGEREF _Toc459900085 \h </w:instrText>
        </w:r>
        <w:r>
          <w:rPr>
            <w:noProof/>
            <w:webHidden/>
          </w:rPr>
        </w:r>
        <w:r>
          <w:rPr>
            <w:noProof/>
            <w:webHidden/>
          </w:rPr>
          <w:fldChar w:fldCharType="separate"/>
        </w:r>
        <w:r w:rsidR="005028F8">
          <w:rPr>
            <w:noProof/>
            <w:webHidden/>
          </w:rPr>
          <w:t>67</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86" w:history="1">
        <w:r w:rsidRPr="009A2083">
          <w:rPr>
            <w:rStyle w:val="Hyperlink"/>
            <w:noProof/>
          </w:rPr>
          <w:t>Configure Division</w:t>
        </w:r>
        <w:r>
          <w:rPr>
            <w:noProof/>
            <w:webHidden/>
          </w:rPr>
          <w:tab/>
        </w:r>
        <w:r>
          <w:rPr>
            <w:noProof/>
            <w:webHidden/>
          </w:rPr>
          <w:fldChar w:fldCharType="begin"/>
        </w:r>
        <w:r>
          <w:rPr>
            <w:noProof/>
            <w:webHidden/>
          </w:rPr>
          <w:instrText xml:space="preserve"> PAGEREF _Toc459900086 \h </w:instrText>
        </w:r>
        <w:r>
          <w:rPr>
            <w:noProof/>
            <w:webHidden/>
          </w:rPr>
        </w:r>
        <w:r>
          <w:rPr>
            <w:noProof/>
            <w:webHidden/>
          </w:rPr>
          <w:fldChar w:fldCharType="separate"/>
        </w:r>
        <w:r w:rsidR="005028F8">
          <w:rPr>
            <w:noProof/>
            <w:webHidden/>
          </w:rPr>
          <w:t>67</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87" w:history="1">
        <w:r w:rsidRPr="009A2083">
          <w:rPr>
            <w:rStyle w:val="Hyperlink"/>
            <w:noProof/>
          </w:rPr>
          <w:t>Configure Testing</w:t>
        </w:r>
        <w:r>
          <w:rPr>
            <w:noProof/>
            <w:webHidden/>
          </w:rPr>
          <w:tab/>
        </w:r>
        <w:r>
          <w:rPr>
            <w:noProof/>
            <w:webHidden/>
          </w:rPr>
          <w:fldChar w:fldCharType="begin"/>
        </w:r>
        <w:r>
          <w:rPr>
            <w:noProof/>
            <w:webHidden/>
          </w:rPr>
          <w:instrText xml:space="preserve"> PAGEREF _Toc459900087 \h </w:instrText>
        </w:r>
        <w:r>
          <w:rPr>
            <w:noProof/>
            <w:webHidden/>
          </w:rPr>
        </w:r>
        <w:r>
          <w:rPr>
            <w:noProof/>
            <w:webHidden/>
          </w:rPr>
          <w:fldChar w:fldCharType="separate"/>
        </w:r>
        <w:r w:rsidR="005028F8">
          <w:rPr>
            <w:noProof/>
            <w:webHidden/>
          </w:rPr>
          <w:t>69</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88" w:history="1">
        <w:r w:rsidRPr="009A2083">
          <w:rPr>
            <w:rStyle w:val="Hyperlink"/>
            <w:noProof/>
          </w:rPr>
          <w:t>Product Modifications</w:t>
        </w:r>
        <w:r>
          <w:rPr>
            <w:noProof/>
            <w:webHidden/>
          </w:rPr>
          <w:tab/>
        </w:r>
        <w:r>
          <w:rPr>
            <w:noProof/>
            <w:webHidden/>
          </w:rPr>
          <w:fldChar w:fldCharType="begin"/>
        </w:r>
        <w:r>
          <w:rPr>
            <w:noProof/>
            <w:webHidden/>
          </w:rPr>
          <w:instrText xml:space="preserve"> PAGEREF _Toc459900088 \h </w:instrText>
        </w:r>
        <w:r>
          <w:rPr>
            <w:noProof/>
            <w:webHidden/>
          </w:rPr>
        </w:r>
        <w:r>
          <w:rPr>
            <w:noProof/>
            <w:webHidden/>
          </w:rPr>
          <w:fldChar w:fldCharType="separate"/>
        </w:r>
        <w:r w:rsidR="005028F8">
          <w:rPr>
            <w:noProof/>
            <w:webHidden/>
          </w:rPr>
          <w:t>71</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89" w:history="1">
        <w:r w:rsidRPr="009A2083">
          <w:rPr>
            <w:rStyle w:val="Hyperlink"/>
            <w:noProof/>
          </w:rPr>
          <w:t>Order Alerts</w:t>
        </w:r>
        <w:r>
          <w:rPr>
            <w:noProof/>
            <w:webHidden/>
          </w:rPr>
          <w:tab/>
        </w:r>
        <w:r>
          <w:rPr>
            <w:noProof/>
            <w:webHidden/>
          </w:rPr>
          <w:fldChar w:fldCharType="begin"/>
        </w:r>
        <w:r>
          <w:rPr>
            <w:noProof/>
            <w:webHidden/>
          </w:rPr>
          <w:instrText xml:space="preserve"> PAGEREF _Toc459900089 \h </w:instrText>
        </w:r>
        <w:r>
          <w:rPr>
            <w:noProof/>
            <w:webHidden/>
          </w:rPr>
        </w:r>
        <w:r>
          <w:rPr>
            <w:noProof/>
            <w:webHidden/>
          </w:rPr>
          <w:fldChar w:fldCharType="separate"/>
        </w:r>
        <w:r w:rsidR="005028F8">
          <w:rPr>
            <w:noProof/>
            <w:webHidden/>
          </w:rPr>
          <w:t>73</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90" w:history="1">
        <w:r w:rsidRPr="009A2083">
          <w:rPr>
            <w:rStyle w:val="Hyperlink"/>
            <w:noProof/>
          </w:rPr>
          <w:t>Login Message</w:t>
        </w:r>
        <w:r>
          <w:rPr>
            <w:noProof/>
            <w:webHidden/>
          </w:rPr>
          <w:tab/>
        </w:r>
        <w:r>
          <w:rPr>
            <w:noProof/>
            <w:webHidden/>
          </w:rPr>
          <w:fldChar w:fldCharType="begin"/>
        </w:r>
        <w:r>
          <w:rPr>
            <w:noProof/>
            <w:webHidden/>
          </w:rPr>
          <w:instrText xml:space="preserve"> PAGEREF _Toc459900090 \h </w:instrText>
        </w:r>
        <w:r>
          <w:rPr>
            <w:noProof/>
            <w:webHidden/>
          </w:rPr>
        </w:r>
        <w:r>
          <w:rPr>
            <w:noProof/>
            <w:webHidden/>
          </w:rPr>
          <w:fldChar w:fldCharType="separate"/>
        </w:r>
        <w:r w:rsidR="005028F8">
          <w:rPr>
            <w:noProof/>
            <w:webHidden/>
          </w:rPr>
          <w:t>75</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091" w:history="1">
        <w:r w:rsidRPr="009A2083">
          <w:rPr>
            <w:rStyle w:val="Hyperlink"/>
            <w:noProof/>
          </w:rPr>
          <w:t>Local Facilities</w:t>
        </w:r>
        <w:r>
          <w:rPr>
            <w:noProof/>
            <w:webHidden/>
          </w:rPr>
          <w:tab/>
        </w:r>
        <w:r>
          <w:rPr>
            <w:noProof/>
            <w:webHidden/>
          </w:rPr>
          <w:fldChar w:fldCharType="begin"/>
        </w:r>
        <w:r>
          <w:rPr>
            <w:noProof/>
            <w:webHidden/>
          </w:rPr>
          <w:instrText xml:space="preserve"> PAGEREF _Toc459900091 \h </w:instrText>
        </w:r>
        <w:r>
          <w:rPr>
            <w:noProof/>
            <w:webHidden/>
          </w:rPr>
        </w:r>
        <w:r>
          <w:rPr>
            <w:noProof/>
            <w:webHidden/>
          </w:rPr>
          <w:fldChar w:fldCharType="separate"/>
        </w:r>
        <w:r w:rsidR="005028F8">
          <w:rPr>
            <w:noProof/>
            <w:webHidden/>
          </w:rPr>
          <w:t>77</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92" w:history="1">
        <w:r w:rsidRPr="009A2083">
          <w:rPr>
            <w:rStyle w:val="Hyperlink"/>
            <w:noProof/>
          </w:rPr>
          <w:t>Blood Products</w:t>
        </w:r>
        <w:r>
          <w:rPr>
            <w:noProof/>
            <w:webHidden/>
          </w:rPr>
          <w:tab/>
        </w:r>
        <w:r>
          <w:rPr>
            <w:noProof/>
            <w:webHidden/>
          </w:rPr>
          <w:fldChar w:fldCharType="begin"/>
        </w:r>
        <w:r>
          <w:rPr>
            <w:noProof/>
            <w:webHidden/>
          </w:rPr>
          <w:instrText xml:space="preserve"> PAGEREF _Toc459900092 \h </w:instrText>
        </w:r>
        <w:r>
          <w:rPr>
            <w:noProof/>
            <w:webHidden/>
          </w:rPr>
        </w:r>
        <w:r>
          <w:rPr>
            <w:noProof/>
            <w:webHidden/>
          </w:rPr>
          <w:fldChar w:fldCharType="separate"/>
        </w:r>
        <w:r w:rsidR="005028F8">
          <w:rPr>
            <w:noProof/>
            <w:webHidden/>
          </w:rPr>
          <w:t>80</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93" w:history="1">
        <w:r w:rsidRPr="009A2083">
          <w:rPr>
            <w:rStyle w:val="Hyperlink"/>
            <w:noProof/>
          </w:rPr>
          <w:t>Antibodies</w:t>
        </w:r>
        <w:r>
          <w:rPr>
            <w:noProof/>
            <w:webHidden/>
          </w:rPr>
          <w:tab/>
        </w:r>
        <w:r>
          <w:rPr>
            <w:noProof/>
            <w:webHidden/>
          </w:rPr>
          <w:fldChar w:fldCharType="begin"/>
        </w:r>
        <w:r>
          <w:rPr>
            <w:noProof/>
            <w:webHidden/>
          </w:rPr>
          <w:instrText xml:space="preserve"> PAGEREF _Toc459900093 \h </w:instrText>
        </w:r>
        <w:r>
          <w:rPr>
            <w:noProof/>
            <w:webHidden/>
          </w:rPr>
        </w:r>
        <w:r>
          <w:rPr>
            <w:noProof/>
            <w:webHidden/>
          </w:rPr>
          <w:fldChar w:fldCharType="separate"/>
        </w:r>
        <w:r w:rsidR="005028F8">
          <w:rPr>
            <w:noProof/>
            <w:webHidden/>
          </w:rPr>
          <w:t>83</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94" w:history="1">
        <w:r w:rsidRPr="009A2083">
          <w:rPr>
            <w:rStyle w:val="Hyperlink"/>
            <w:noProof/>
          </w:rPr>
          <w:t>Canned Comments</w:t>
        </w:r>
        <w:r>
          <w:rPr>
            <w:noProof/>
            <w:webHidden/>
          </w:rPr>
          <w:tab/>
        </w:r>
        <w:r>
          <w:rPr>
            <w:noProof/>
            <w:webHidden/>
          </w:rPr>
          <w:fldChar w:fldCharType="begin"/>
        </w:r>
        <w:r>
          <w:rPr>
            <w:noProof/>
            <w:webHidden/>
          </w:rPr>
          <w:instrText xml:space="preserve"> PAGEREF _Toc459900094 \h </w:instrText>
        </w:r>
        <w:r>
          <w:rPr>
            <w:noProof/>
            <w:webHidden/>
          </w:rPr>
        </w:r>
        <w:r>
          <w:rPr>
            <w:noProof/>
            <w:webHidden/>
          </w:rPr>
          <w:fldChar w:fldCharType="separate"/>
        </w:r>
        <w:r w:rsidR="005028F8">
          <w:rPr>
            <w:noProof/>
            <w:webHidden/>
          </w:rPr>
          <w:t>85</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095" w:history="1">
        <w:r w:rsidRPr="009A2083">
          <w:rPr>
            <w:rStyle w:val="Hyperlink"/>
            <w:noProof/>
          </w:rPr>
          <w:t>Setting Transfusion Parameters</w:t>
        </w:r>
        <w:r>
          <w:rPr>
            <w:noProof/>
            <w:webHidden/>
          </w:rPr>
          <w:tab/>
        </w:r>
        <w:r>
          <w:rPr>
            <w:noProof/>
            <w:webHidden/>
          </w:rPr>
          <w:fldChar w:fldCharType="begin"/>
        </w:r>
        <w:r>
          <w:rPr>
            <w:noProof/>
            <w:webHidden/>
          </w:rPr>
          <w:instrText xml:space="preserve"> PAGEREF _Toc459900095 \h </w:instrText>
        </w:r>
        <w:r>
          <w:rPr>
            <w:noProof/>
            <w:webHidden/>
          </w:rPr>
        </w:r>
        <w:r>
          <w:rPr>
            <w:noProof/>
            <w:webHidden/>
          </w:rPr>
          <w:fldChar w:fldCharType="separate"/>
        </w:r>
        <w:r w:rsidR="005028F8">
          <w:rPr>
            <w:noProof/>
            <w:webHidden/>
          </w:rPr>
          <w:t>87</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96" w:history="1">
        <w:r w:rsidRPr="009A2083">
          <w:rPr>
            <w:rStyle w:val="Hyperlink"/>
            <w:noProof/>
          </w:rPr>
          <w:t>Transfusion Complications</w:t>
        </w:r>
        <w:r>
          <w:rPr>
            <w:noProof/>
            <w:webHidden/>
          </w:rPr>
          <w:tab/>
        </w:r>
        <w:r>
          <w:rPr>
            <w:noProof/>
            <w:webHidden/>
          </w:rPr>
          <w:fldChar w:fldCharType="begin"/>
        </w:r>
        <w:r>
          <w:rPr>
            <w:noProof/>
            <w:webHidden/>
          </w:rPr>
          <w:instrText xml:space="preserve"> PAGEREF _Toc459900096 \h </w:instrText>
        </w:r>
        <w:r>
          <w:rPr>
            <w:noProof/>
            <w:webHidden/>
          </w:rPr>
        </w:r>
        <w:r>
          <w:rPr>
            <w:noProof/>
            <w:webHidden/>
          </w:rPr>
          <w:fldChar w:fldCharType="separate"/>
        </w:r>
        <w:r w:rsidR="005028F8">
          <w:rPr>
            <w:noProof/>
            <w:webHidden/>
          </w:rPr>
          <w:t>87</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97" w:history="1">
        <w:r w:rsidRPr="009A2083">
          <w:rPr>
            <w:rStyle w:val="Hyperlink"/>
            <w:noProof/>
          </w:rPr>
          <w:t>Transfusion Effectiveness</w:t>
        </w:r>
        <w:r>
          <w:rPr>
            <w:noProof/>
            <w:webHidden/>
          </w:rPr>
          <w:tab/>
        </w:r>
        <w:r>
          <w:rPr>
            <w:noProof/>
            <w:webHidden/>
          </w:rPr>
          <w:fldChar w:fldCharType="begin"/>
        </w:r>
        <w:r>
          <w:rPr>
            <w:noProof/>
            <w:webHidden/>
          </w:rPr>
          <w:instrText xml:space="preserve"> PAGEREF _Toc459900097 \h </w:instrText>
        </w:r>
        <w:r>
          <w:rPr>
            <w:noProof/>
            <w:webHidden/>
          </w:rPr>
        </w:r>
        <w:r>
          <w:rPr>
            <w:noProof/>
            <w:webHidden/>
          </w:rPr>
          <w:fldChar w:fldCharType="separate"/>
        </w:r>
        <w:r w:rsidR="005028F8">
          <w:rPr>
            <w:noProof/>
            <w:webHidden/>
          </w:rPr>
          <w:t>88</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98" w:history="1">
        <w:r w:rsidRPr="009A2083">
          <w:rPr>
            <w:rStyle w:val="Hyperlink"/>
            <w:noProof/>
          </w:rPr>
          <w:t>MSBOS</w:t>
        </w:r>
        <w:r>
          <w:rPr>
            <w:noProof/>
            <w:webHidden/>
          </w:rPr>
          <w:tab/>
        </w:r>
        <w:r>
          <w:rPr>
            <w:noProof/>
            <w:webHidden/>
          </w:rPr>
          <w:fldChar w:fldCharType="begin"/>
        </w:r>
        <w:r>
          <w:rPr>
            <w:noProof/>
            <w:webHidden/>
          </w:rPr>
          <w:instrText xml:space="preserve"> PAGEREF _Toc459900098 \h </w:instrText>
        </w:r>
        <w:r>
          <w:rPr>
            <w:noProof/>
            <w:webHidden/>
          </w:rPr>
        </w:r>
        <w:r>
          <w:rPr>
            <w:noProof/>
            <w:webHidden/>
          </w:rPr>
          <w:fldChar w:fldCharType="separate"/>
        </w:r>
        <w:r w:rsidR="005028F8">
          <w:rPr>
            <w:noProof/>
            <w:webHidden/>
          </w:rPr>
          <w:t>90</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099" w:history="1">
        <w:r w:rsidRPr="009A2083">
          <w:rPr>
            <w:rStyle w:val="Hyperlink"/>
            <w:noProof/>
          </w:rPr>
          <w:t>Workload Codes</w:t>
        </w:r>
        <w:r>
          <w:rPr>
            <w:noProof/>
            <w:webHidden/>
          </w:rPr>
          <w:tab/>
        </w:r>
        <w:r>
          <w:rPr>
            <w:noProof/>
            <w:webHidden/>
          </w:rPr>
          <w:fldChar w:fldCharType="begin"/>
        </w:r>
        <w:r>
          <w:rPr>
            <w:noProof/>
            <w:webHidden/>
          </w:rPr>
          <w:instrText xml:space="preserve"> PAGEREF _Toc459900099 \h </w:instrText>
        </w:r>
        <w:r>
          <w:rPr>
            <w:noProof/>
            <w:webHidden/>
          </w:rPr>
        </w:r>
        <w:r>
          <w:rPr>
            <w:noProof/>
            <w:webHidden/>
          </w:rPr>
          <w:fldChar w:fldCharType="separate"/>
        </w:r>
        <w:r w:rsidR="005028F8">
          <w:rPr>
            <w:noProof/>
            <w:webHidden/>
          </w:rPr>
          <w:t>92</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100" w:history="1">
        <w:r w:rsidRPr="009A2083">
          <w:rPr>
            <w:rStyle w:val="Hyperlink"/>
            <w:noProof/>
          </w:rPr>
          <w:t>Reagents and Supplies</w:t>
        </w:r>
        <w:r>
          <w:rPr>
            <w:noProof/>
            <w:webHidden/>
          </w:rPr>
          <w:tab/>
        </w:r>
        <w:r>
          <w:rPr>
            <w:noProof/>
            <w:webHidden/>
          </w:rPr>
          <w:fldChar w:fldCharType="begin"/>
        </w:r>
        <w:r>
          <w:rPr>
            <w:noProof/>
            <w:webHidden/>
          </w:rPr>
          <w:instrText xml:space="preserve"> PAGEREF _Toc459900100 \h </w:instrText>
        </w:r>
        <w:r>
          <w:rPr>
            <w:noProof/>
            <w:webHidden/>
          </w:rPr>
        </w:r>
        <w:r>
          <w:rPr>
            <w:noProof/>
            <w:webHidden/>
          </w:rPr>
          <w:fldChar w:fldCharType="separate"/>
        </w:r>
        <w:r w:rsidR="005028F8">
          <w:rPr>
            <w:noProof/>
            <w:webHidden/>
          </w:rPr>
          <w:t>94</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101" w:history="1">
        <w:r w:rsidRPr="009A2083">
          <w:rPr>
            <w:rStyle w:val="Hyperlink"/>
            <w:noProof/>
          </w:rPr>
          <w:t>Enter Daily QC Results</w:t>
        </w:r>
        <w:r>
          <w:rPr>
            <w:noProof/>
            <w:webHidden/>
          </w:rPr>
          <w:tab/>
        </w:r>
        <w:r>
          <w:rPr>
            <w:noProof/>
            <w:webHidden/>
          </w:rPr>
          <w:fldChar w:fldCharType="begin"/>
        </w:r>
        <w:r>
          <w:rPr>
            <w:noProof/>
            <w:webHidden/>
          </w:rPr>
          <w:instrText xml:space="preserve"> PAGEREF _Toc459900101 \h </w:instrText>
        </w:r>
        <w:r>
          <w:rPr>
            <w:noProof/>
            <w:webHidden/>
          </w:rPr>
        </w:r>
        <w:r>
          <w:rPr>
            <w:noProof/>
            <w:webHidden/>
          </w:rPr>
          <w:fldChar w:fldCharType="separate"/>
        </w:r>
        <w:r w:rsidR="005028F8">
          <w:rPr>
            <w:noProof/>
            <w:webHidden/>
          </w:rPr>
          <w:t>94</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102" w:history="1">
        <w:r w:rsidRPr="009A2083">
          <w:rPr>
            <w:rStyle w:val="Hyperlink"/>
            <w:noProof/>
          </w:rPr>
          <w:t>Reagents</w:t>
        </w:r>
        <w:r>
          <w:rPr>
            <w:noProof/>
            <w:webHidden/>
          </w:rPr>
          <w:tab/>
        </w:r>
        <w:r>
          <w:rPr>
            <w:noProof/>
            <w:webHidden/>
          </w:rPr>
          <w:fldChar w:fldCharType="begin"/>
        </w:r>
        <w:r>
          <w:rPr>
            <w:noProof/>
            <w:webHidden/>
          </w:rPr>
          <w:instrText xml:space="preserve"> PAGEREF _Toc459900102 \h </w:instrText>
        </w:r>
        <w:r>
          <w:rPr>
            <w:noProof/>
            <w:webHidden/>
          </w:rPr>
        </w:r>
        <w:r>
          <w:rPr>
            <w:noProof/>
            <w:webHidden/>
          </w:rPr>
          <w:fldChar w:fldCharType="separate"/>
        </w:r>
        <w:r w:rsidR="005028F8">
          <w:rPr>
            <w:noProof/>
            <w:webHidden/>
          </w:rPr>
          <w:t>101</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103" w:history="1">
        <w:r w:rsidRPr="009A2083">
          <w:rPr>
            <w:rStyle w:val="Hyperlink"/>
            <w:noProof/>
          </w:rPr>
          <w:t>Supplies</w:t>
        </w:r>
        <w:r>
          <w:rPr>
            <w:noProof/>
            <w:webHidden/>
          </w:rPr>
          <w:tab/>
        </w:r>
        <w:r>
          <w:rPr>
            <w:noProof/>
            <w:webHidden/>
          </w:rPr>
          <w:fldChar w:fldCharType="begin"/>
        </w:r>
        <w:r>
          <w:rPr>
            <w:noProof/>
            <w:webHidden/>
          </w:rPr>
          <w:instrText xml:space="preserve"> PAGEREF _Toc459900103 \h </w:instrText>
        </w:r>
        <w:r>
          <w:rPr>
            <w:noProof/>
            <w:webHidden/>
          </w:rPr>
        </w:r>
        <w:r>
          <w:rPr>
            <w:noProof/>
            <w:webHidden/>
          </w:rPr>
          <w:fldChar w:fldCharType="separate"/>
        </w:r>
        <w:r w:rsidR="005028F8">
          <w:rPr>
            <w:noProof/>
            <w:webHidden/>
          </w:rPr>
          <w:t>107</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104" w:history="1">
        <w:r w:rsidRPr="009A2083">
          <w:rPr>
            <w:rStyle w:val="Hyperlink"/>
            <w:noProof/>
          </w:rPr>
          <w:t>Equipment</w:t>
        </w:r>
        <w:r>
          <w:rPr>
            <w:noProof/>
            <w:webHidden/>
          </w:rPr>
          <w:tab/>
        </w:r>
        <w:r>
          <w:rPr>
            <w:noProof/>
            <w:webHidden/>
          </w:rPr>
          <w:fldChar w:fldCharType="begin"/>
        </w:r>
        <w:r>
          <w:rPr>
            <w:noProof/>
            <w:webHidden/>
          </w:rPr>
          <w:instrText xml:space="preserve"> PAGEREF _Toc459900104 \h </w:instrText>
        </w:r>
        <w:r>
          <w:rPr>
            <w:noProof/>
            <w:webHidden/>
          </w:rPr>
        </w:r>
        <w:r>
          <w:rPr>
            <w:noProof/>
            <w:webHidden/>
          </w:rPr>
          <w:fldChar w:fldCharType="separate"/>
        </w:r>
        <w:r w:rsidR="005028F8">
          <w:rPr>
            <w:noProof/>
            <w:webHidden/>
          </w:rPr>
          <w:t>111</w:t>
        </w:r>
        <w:r>
          <w:rPr>
            <w:noProof/>
            <w:webHidden/>
          </w:rPr>
          <w:fldChar w:fldCharType="end"/>
        </w:r>
      </w:hyperlink>
    </w:p>
    <w:p w:rsidR="00E155EF" w:rsidRPr="00206A59" w:rsidRDefault="00E155EF">
      <w:pPr>
        <w:pStyle w:val="TOC1"/>
        <w:tabs>
          <w:tab w:val="right" w:leader="dot" w:pos="9350"/>
        </w:tabs>
        <w:rPr>
          <w:rFonts w:ascii="Calibri" w:hAnsi="Calibri"/>
          <w:b w:val="0"/>
          <w:caps w:val="0"/>
          <w:noProof/>
        </w:rPr>
      </w:pPr>
      <w:hyperlink w:anchor="_Toc459900105" w:history="1">
        <w:r w:rsidRPr="009A2083">
          <w:rPr>
            <w:rStyle w:val="Hyperlink"/>
            <w:noProof/>
          </w:rPr>
          <w:t>Component Processing</w:t>
        </w:r>
        <w:r>
          <w:rPr>
            <w:noProof/>
            <w:webHidden/>
          </w:rPr>
          <w:tab/>
        </w:r>
        <w:r>
          <w:rPr>
            <w:noProof/>
            <w:webHidden/>
          </w:rPr>
          <w:fldChar w:fldCharType="begin"/>
        </w:r>
        <w:r>
          <w:rPr>
            <w:noProof/>
            <w:webHidden/>
          </w:rPr>
          <w:instrText xml:space="preserve"> PAGEREF _Toc459900105 \h </w:instrText>
        </w:r>
        <w:r>
          <w:rPr>
            <w:noProof/>
            <w:webHidden/>
          </w:rPr>
        </w:r>
        <w:r>
          <w:rPr>
            <w:noProof/>
            <w:webHidden/>
          </w:rPr>
          <w:fldChar w:fldCharType="separate"/>
        </w:r>
        <w:r w:rsidR="005028F8">
          <w:rPr>
            <w:noProof/>
            <w:webHidden/>
          </w:rPr>
          <w:t>117</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106" w:history="1">
        <w:r w:rsidRPr="009A2083">
          <w:rPr>
            <w:rStyle w:val="Hyperlink"/>
            <w:noProof/>
          </w:rPr>
          <w:t>Shipments</w:t>
        </w:r>
        <w:r>
          <w:rPr>
            <w:noProof/>
            <w:webHidden/>
          </w:rPr>
          <w:tab/>
        </w:r>
        <w:r>
          <w:rPr>
            <w:noProof/>
            <w:webHidden/>
          </w:rPr>
          <w:fldChar w:fldCharType="begin"/>
        </w:r>
        <w:r>
          <w:rPr>
            <w:noProof/>
            <w:webHidden/>
          </w:rPr>
          <w:instrText xml:space="preserve"> PAGEREF _Toc459900106 \h </w:instrText>
        </w:r>
        <w:r>
          <w:rPr>
            <w:noProof/>
            <w:webHidden/>
          </w:rPr>
        </w:r>
        <w:r>
          <w:rPr>
            <w:noProof/>
            <w:webHidden/>
          </w:rPr>
          <w:fldChar w:fldCharType="separate"/>
        </w:r>
        <w:r w:rsidR="005028F8">
          <w:rPr>
            <w:noProof/>
            <w:webHidden/>
          </w:rPr>
          <w:t>117</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107" w:history="1">
        <w:r w:rsidRPr="009A2083">
          <w:rPr>
            <w:rStyle w:val="Hyperlink"/>
            <w:noProof/>
          </w:rPr>
          <w:t>Incoming Shipment</w:t>
        </w:r>
        <w:r>
          <w:rPr>
            <w:noProof/>
            <w:webHidden/>
          </w:rPr>
          <w:tab/>
        </w:r>
        <w:r>
          <w:rPr>
            <w:noProof/>
            <w:webHidden/>
          </w:rPr>
          <w:fldChar w:fldCharType="begin"/>
        </w:r>
        <w:r>
          <w:rPr>
            <w:noProof/>
            <w:webHidden/>
          </w:rPr>
          <w:instrText xml:space="preserve"> PAGEREF _Toc459900107 \h </w:instrText>
        </w:r>
        <w:r>
          <w:rPr>
            <w:noProof/>
            <w:webHidden/>
          </w:rPr>
        </w:r>
        <w:r>
          <w:rPr>
            <w:noProof/>
            <w:webHidden/>
          </w:rPr>
          <w:fldChar w:fldCharType="separate"/>
        </w:r>
        <w:r w:rsidR="005028F8">
          <w:rPr>
            <w:noProof/>
            <w:webHidden/>
          </w:rPr>
          <w:t>117</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108" w:history="1">
        <w:r w:rsidRPr="009A2083">
          <w:rPr>
            <w:rStyle w:val="Hyperlink"/>
            <w:noProof/>
          </w:rPr>
          <w:t>Edit Invoice Text</w:t>
        </w:r>
        <w:r>
          <w:rPr>
            <w:noProof/>
            <w:webHidden/>
          </w:rPr>
          <w:tab/>
        </w:r>
        <w:r>
          <w:rPr>
            <w:noProof/>
            <w:webHidden/>
          </w:rPr>
          <w:fldChar w:fldCharType="begin"/>
        </w:r>
        <w:r>
          <w:rPr>
            <w:noProof/>
            <w:webHidden/>
          </w:rPr>
          <w:instrText xml:space="preserve"> PAGEREF _Toc459900108 \h </w:instrText>
        </w:r>
        <w:r>
          <w:rPr>
            <w:noProof/>
            <w:webHidden/>
          </w:rPr>
        </w:r>
        <w:r>
          <w:rPr>
            <w:noProof/>
            <w:webHidden/>
          </w:rPr>
          <w:fldChar w:fldCharType="separate"/>
        </w:r>
        <w:r w:rsidR="005028F8">
          <w:rPr>
            <w:noProof/>
            <w:webHidden/>
          </w:rPr>
          <w:t>135</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109" w:history="1">
        <w:r w:rsidRPr="009A2083">
          <w:rPr>
            <w:rStyle w:val="Hyperlink"/>
            <w:noProof/>
          </w:rPr>
          <w:t>Unit Search Screen</w:t>
        </w:r>
        <w:r>
          <w:rPr>
            <w:noProof/>
            <w:webHidden/>
          </w:rPr>
          <w:tab/>
        </w:r>
        <w:r>
          <w:rPr>
            <w:noProof/>
            <w:webHidden/>
          </w:rPr>
          <w:fldChar w:fldCharType="begin"/>
        </w:r>
        <w:r>
          <w:rPr>
            <w:noProof/>
            <w:webHidden/>
          </w:rPr>
          <w:instrText xml:space="preserve"> PAGEREF _Toc459900109 \h </w:instrText>
        </w:r>
        <w:r>
          <w:rPr>
            <w:noProof/>
            <w:webHidden/>
          </w:rPr>
        </w:r>
        <w:r>
          <w:rPr>
            <w:noProof/>
            <w:webHidden/>
          </w:rPr>
          <w:fldChar w:fldCharType="separate"/>
        </w:r>
        <w:r w:rsidR="005028F8">
          <w:rPr>
            <w:noProof/>
            <w:webHidden/>
          </w:rPr>
          <w:t>136</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110" w:history="1">
        <w:r w:rsidRPr="009A2083">
          <w:rPr>
            <w:rStyle w:val="Hyperlink"/>
            <w:noProof/>
          </w:rPr>
          <w:t>Test Units</w:t>
        </w:r>
        <w:r>
          <w:rPr>
            <w:noProof/>
            <w:webHidden/>
          </w:rPr>
          <w:tab/>
        </w:r>
        <w:r>
          <w:rPr>
            <w:noProof/>
            <w:webHidden/>
          </w:rPr>
          <w:fldChar w:fldCharType="begin"/>
        </w:r>
        <w:r>
          <w:rPr>
            <w:noProof/>
            <w:webHidden/>
          </w:rPr>
          <w:instrText xml:space="preserve"> PAGEREF _Toc459900110 \h </w:instrText>
        </w:r>
        <w:r>
          <w:rPr>
            <w:noProof/>
            <w:webHidden/>
          </w:rPr>
        </w:r>
        <w:r>
          <w:rPr>
            <w:noProof/>
            <w:webHidden/>
          </w:rPr>
          <w:fldChar w:fldCharType="separate"/>
        </w:r>
        <w:r w:rsidR="005028F8">
          <w:rPr>
            <w:noProof/>
            <w:webHidden/>
          </w:rPr>
          <w:t>138</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111" w:history="1">
        <w:r w:rsidRPr="009A2083">
          <w:rPr>
            <w:rStyle w:val="Hyperlink"/>
            <w:noProof/>
          </w:rPr>
          <w:t>ABO/Rh Confirmation</w:t>
        </w:r>
        <w:r>
          <w:rPr>
            <w:noProof/>
            <w:webHidden/>
          </w:rPr>
          <w:tab/>
        </w:r>
        <w:r>
          <w:rPr>
            <w:noProof/>
            <w:webHidden/>
          </w:rPr>
          <w:fldChar w:fldCharType="begin"/>
        </w:r>
        <w:r>
          <w:rPr>
            <w:noProof/>
            <w:webHidden/>
          </w:rPr>
          <w:instrText xml:space="preserve"> PAGEREF _Toc459900111 \h </w:instrText>
        </w:r>
        <w:r>
          <w:rPr>
            <w:noProof/>
            <w:webHidden/>
          </w:rPr>
        </w:r>
        <w:r>
          <w:rPr>
            <w:noProof/>
            <w:webHidden/>
          </w:rPr>
          <w:fldChar w:fldCharType="separate"/>
        </w:r>
        <w:r w:rsidR="005028F8">
          <w:rPr>
            <w:noProof/>
            <w:webHidden/>
          </w:rPr>
          <w:t>138</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112" w:history="1">
        <w:r w:rsidRPr="009A2083">
          <w:rPr>
            <w:rStyle w:val="Hyperlink"/>
            <w:noProof/>
          </w:rPr>
          <w:t>Unit Antigen Typing</w:t>
        </w:r>
        <w:r>
          <w:rPr>
            <w:noProof/>
            <w:webHidden/>
          </w:rPr>
          <w:tab/>
        </w:r>
        <w:r>
          <w:rPr>
            <w:noProof/>
            <w:webHidden/>
          </w:rPr>
          <w:fldChar w:fldCharType="begin"/>
        </w:r>
        <w:r>
          <w:rPr>
            <w:noProof/>
            <w:webHidden/>
          </w:rPr>
          <w:instrText xml:space="preserve"> PAGEREF _Toc459900112 \h </w:instrText>
        </w:r>
        <w:r>
          <w:rPr>
            <w:noProof/>
            <w:webHidden/>
          </w:rPr>
        </w:r>
        <w:r>
          <w:rPr>
            <w:noProof/>
            <w:webHidden/>
          </w:rPr>
          <w:fldChar w:fldCharType="separate"/>
        </w:r>
        <w:r w:rsidR="005028F8">
          <w:rPr>
            <w:noProof/>
            <w:webHidden/>
          </w:rPr>
          <w:t>141</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113" w:history="1">
        <w:r w:rsidRPr="009A2083">
          <w:rPr>
            <w:rStyle w:val="Hyperlink"/>
            <w:noProof/>
          </w:rPr>
          <w:t>Modify Components</w:t>
        </w:r>
        <w:r>
          <w:rPr>
            <w:noProof/>
            <w:webHidden/>
          </w:rPr>
          <w:tab/>
        </w:r>
        <w:r>
          <w:rPr>
            <w:noProof/>
            <w:webHidden/>
          </w:rPr>
          <w:fldChar w:fldCharType="begin"/>
        </w:r>
        <w:r>
          <w:rPr>
            <w:noProof/>
            <w:webHidden/>
          </w:rPr>
          <w:instrText xml:space="preserve"> PAGEREF _Toc459900113 \h </w:instrText>
        </w:r>
        <w:r>
          <w:rPr>
            <w:noProof/>
            <w:webHidden/>
          </w:rPr>
        </w:r>
        <w:r>
          <w:rPr>
            <w:noProof/>
            <w:webHidden/>
          </w:rPr>
          <w:fldChar w:fldCharType="separate"/>
        </w:r>
        <w:r w:rsidR="005028F8">
          <w:rPr>
            <w:noProof/>
            <w:webHidden/>
          </w:rPr>
          <w:t>149</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114" w:history="1">
        <w:r w:rsidRPr="009A2083">
          <w:rPr>
            <w:rStyle w:val="Hyperlink"/>
            <w:noProof/>
          </w:rPr>
          <w:t>Modify Units</w:t>
        </w:r>
        <w:r>
          <w:rPr>
            <w:noProof/>
            <w:webHidden/>
          </w:rPr>
          <w:tab/>
        </w:r>
        <w:r>
          <w:rPr>
            <w:noProof/>
            <w:webHidden/>
          </w:rPr>
          <w:fldChar w:fldCharType="begin"/>
        </w:r>
        <w:r>
          <w:rPr>
            <w:noProof/>
            <w:webHidden/>
          </w:rPr>
          <w:instrText xml:space="preserve"> PAGEREF _Toc459900114 \h </w:instrText>
        </w:r>
        <w:r>
          <w:rPr>
            <w:noProof/>
            <w:webHidden/>
          </w:rPr>
        </w:r>
        <w:r>
          <w:rPr>
            <w:noProof/>
            <w:webHidden/>
          </w:rPr>
          <w:fldChar w:fldCharType="separate"/>
        </w:r>
        <w:r w:rsidR="005028F8">
          <w:rPr>
            <w:noProof/>
            <w:webHidden/>
          </w:rPr>
          <w:t>149</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115" w:history="1">
        <w:r w:rsidRPr="009A2083">
          <w:rPr>
            <w:rStyle w:val="Hyperlink"/>
            <w:noProof/>
          </w:rPr>
          <w:t>Modify Units: Split a Unit</w:t>
        </w:r>
        <w:r>
          <w:rPr>
            <w:noProof/>
            <w:webHidden/>
          </w:rPr>
          <w:tab/>
        </w:r>
        <w:r>
          <w:rPr>
            <w:noProof/>
            <w:webHidden/>
          </w:rPr>
          <w:fldChar w:fldCharType="begin"/>
        </w:r>
        <w:r>
          <w:rPr>
            <w:noProof/>
            <w:webHidden/>
          </w:rPr>
          <w:instrText xml:space="preserve"> PAGEREF _Toc459900115 \h </w:instrText>
        </w:r>
        <w:r>
          <w:rPr>
            <w:noProof/>
            <w:webHidden/>
          </w:rPr>
        </w:r>
        <w:r>
          <w:rPr>
            <w:noProof/>
            <w:webHidden/>
          </w:rPr>
          <w:fldChar w:fldCharType="separate"/>
        </w:r>
        <w:r w:rsidR="005028F8">
          <w:rPr>
            <w:noProof/>
            <w:webHidden/>
          </w:rPr>
          <w:t>159</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116" w:history="1">
        <w:r w:rsidRPr="009A2083">
          <w:rPr>
            <w:rStyle w:val="Hyperlink"/>
            <w:noProof/>
          </w:rPr>
          <w:t>Modify Units: Pool Units</w:t>
        </w:r>
        <w:r>
          <w:rPr>
            <w:noProof/>
            <w:webHidden/>
          </w:rPr>
          <w:tab/>
        </w:r>
        <w:r>
          <w:rPr>
            <w:noProof/>
            <w:webHidden/>
          </w:rPr>
          <w:fldChar w:fldCharType="begin"/>
        </w:r>
        <w:r>
          <w:rPr>
            <w:noProof/>
            <w:webHidden/>
          </w:rPr>
          <w:instrText xml:space="preserve"> PAGEREF _Toc459900116 \h </w:instrText>
        </w:r>
        <w:r>
          <w:rPr>
            <w:noProof/>
            <w:webHidden/>
          </w:rPr>
        </w:r>
        <w:r>
          <w:rPr>
            <w:noProof/>
            <w:webHidden/>
          </w:rPr>
          <w:fldChar w:fldCharType="separate"/>
        </w:r>
        <w:r w:rsidR="005028F8">
          <w:rPr>
            <w:noProof/>
            <w:webHidden/>
          </w:rPr>
          <w:t>162</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117" w:history="1">
        <w:r w:rsidRPr="009A2083">
          <w:rPr>
            <w:rStyle w:val="Hyperlink"/>
            <w:noProof/>
          </w:rPr>
          <w:t>Add and/or Remove Units from a Pool</w:t>
        </w:r>
        <w:r>
          <w:rPr>
            <w:noProof/>
            <w:webHidden/>
          </w:rPr>
          <w:tab/>
        </w:r>
        <w:r>
          <w:rPr>
            <w:noProof/>
            <w:webHidden/>
          </w:rPr>
          <w:fldChar w:fldCharType="begin"/>
        </w:r>
        <w:r>
          <w:rPr>
            <w:noProof/>
            <w:webHidden/>
          </w:rPr>
          <w:instrText xml:space="preserve"> PAGEREF _Toc459900117 \h </w:instrText>
        </w:r>
        <w:r>
          <w:rPr>
            <w:noProof/>
            <w:webHidden/>
          </w:rPr>
        </w:r>
        <w:r>
          <w:rPr>
            <w:noProof/>
            <w:webHidden/>
          </w:rPr>
          <w:fldChar w:fldCharType="separate"/>
        </w:r>
        <w:r w:rsidR="005028F8">
          <w:rPr>
            <w:noProof/>
            <w:webHidden/>
          </w:rPr>
          <w:t>166</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118" w:history="1">
        <w:r w:rsidRPr="009A2083">
          <w:rPr>
            <w:rStyle w:val="Hyperlink"/>
            <w:noProof/>
          </w:rPr>
          <w:t>Maintain Unit Records</w:t>
        </w:r>
        <w:r>
          <w:rPr>
            <w:noProof/>
            <w:webHidden/>
          </w:rPr>
          <w:tab/>
        </w:r>
        <w:r>
          <w:rPr>
            <w:noProof/>
            <w:webHidden/>
          </w:rPr>
          <w:fldChar w:fldCharType="begin"/>
        </w:r>
        <w:r>
          <w:rPr>
            <w:noProof/>
            <w:webHidden/>
          </w:rPr>
          <w:instrText xml:space="preserve"> PAGEREF _Toc459900118 \h </w:instrText>
        </w:r>
        <w:r>
          <w:rPr>
            <w:noProof/>
            <w:webHidden/>
          </w:rPr>
        </w:r>
        <w:r>
          <w:rPr>
            <w:noProof/>
            <w:webHidden/>
          </w:rPr>
          <w:fldChar w:fldCharType="separate"/>
        </w:r>
        <w:r w:rsidR="005028F8">
          <w:rPr>
            <w:noProof/>
            <w:webHidden/>
          </w:rPr>
          <w:t>169</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119" w:history="1">
        <w:r w:rsidRPr="009A2083">
          <w:rPr>
            <w:rStyle w:val="Hyperlink"/>
            <w:noProof/>
          </w:rPr>
          <w:t>Edit Unit Information</w:t>
        </w:r>
        <w:r>
          <w:rPr>
            <w:noProof/>
            <w:webHidden/>
          </w:rPr>
          <w:tab/>
        </w:r>
        <w:r>
          <w:rPr>
            <w:noProof/>
            <w:webHidden/>
          </w:rPr>
          <w:fldChar w:fldCharType="begin"/>
        </w:r>
        <w:r>
          <w:rPr>
            <w:noProof/>
            <w:webHidden/>
          </w:rPr>
          <w:instrText xml:space="preserve"> PAGEREF _Toc459900119 \h </w:instrText>
        </w:r>
        <w:r>
          <w:rPr>
            <w:noProof/>
            <w:webHidden/>
          </w:rPr>
        </w:r>
        <w:r>
          <w:rPr>
            <w:noProof/>
            <w:webHidden/>
          </w:rPr>
          <w:fldChar w:fldCharType="separate"/>
        </w:r>
        <w:r w:rsidR="005028F8">
          <w:rPr>
            <w:noProof/>
            <w:webHidden/>
          </w:rPr>
          <w:t>169</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120" w:history="1">
        <w:r w:rsidRPr="009A2083">
          <w:rPr>
            <w:rStyle w:val="Hyperlink"/>
            <w:noProof/>
          </w:rPr>
          <w:t>Edit Financial Data</w:t>
        </w:r>
        <w:r>
          <w:rPr>
            <w:noProof/>
            <w:webHidden/>
          </w:rPr>
          <w:tab/>
        </w:r>
        <w:r>
          <w:rPr>
            <w:noProof/>
            <w:webHidden/>
          </w:rPr>
          <w:fldChar w:fldCharType="begin"/>
        </w:r>
        <w:r>
          <w:rPr>
            <w:noProof/>
            <w:webHidden/>
          </w:rPr>
          <w:instrText xml:space="preserve"> PAGEREF _Toc459900120 \h </w:instrText>
        </w:r>
        <w:r>
          <w:rPr>
            <w:noProof/>
            <w:webHidden/>
          </w:rPr>
        </w:r>
        <w:r>
          <w:rPr>
            <w:noProof/>
            <w:webHidden/>
          </w:rPr>
          <w:fldChar w:fldCharType="separate"/>
        </w:r>
        <w:r w:rsidR="005028F8">
          <w:rPr>
            <w:noProof/>
            <w:webHidden/>
          </w:rPr>
          <w:t>174</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121" w:history="1">
        <w:r w:rsidRPr="009A2083">
          <w:rPr>
            <w:rStyle w:val="Hyperlink"/>
            <w:noProof/>
          </w:rPr>
          <w:t>Free Directed Unit For Crossover</w:t>
        </w:r>
        <w:r>
          <w:rPr>
            <w:noProof/>
            <w:webHidden/>
          </w:rPr>
          <w:tab/>
        </w:r>
        <w:r>
          <w:rPr>
            <w:noProof/>
            <w:webHidden/>
          </w:rPr>
          <w:fldChar w:fldCharType="begin"/>
        </w:r>
        <w:r>
          <w:rPr>
            <w:noProof/>
            <w:webHidden/>
          </w:rPr>
          <w:instrText xml:space="preserve"> PAGEREF _Toc459900121 \h </w:instrText>
        </w:r>
        <w:r>
          <w:rPr>
            <w:noProof/>
            <w:webHidden/>
          </w:rPr>
        </w:r>
        <w:r>
          <w:rPr>
            <w:noProof/>
            <w:webHidden/>
          </w:rPr>
          <w:fldChar w:fldCharType="separate"/>
        </w:r>
        <w:r w:rsidR="005028F8">
          <w:rPr>
            <w:noProof/>
            <w:webHidden/>
          </w:rPr>
          <w:t>176</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122" w:history="1">
        <w:r w:rsidRPr="009A2083">
          <w:rPr>
            <w:rStyle w:val="Hyperlink"/>
            <w:noProof/>
          </w:rPr>
          <w:t>Discard or Quarantine</w:t>
        </w:r>
        <w:r>
          <w:rPr>
            <w:noProof/>
            <w:webHidden/>
          </w:rPr>
          <w:tab/>
        </w:r>
        <w:r>
          <w:rPr>
            <w:noProof/>
            <w:webHidden/>
          </w:rPr>
          <w:fldChar w:fldCharType="begin"/>
        </w:r>
        <w:r>
          <w:rPr>
            <w:noProof/>
            <w:webHidden/>
          </w:rPr>
          <w:instrText xml:space="preserve"> PAGEREF _Toc459900122 \h </w:instrText>
        </w:r>
        <w:r>
          <w:rPr>
            <w:noProof/>
            <w:webHidden/>
          </w:rPr>
        </w:r>
        <w:r>
          <w:rPr>
            <w:noProof/>
            <w:webHidden/>
          </w:rPr>
          <w:fldChar w:fldCharType="separate"/>
        </w:r>
        <w:r w:rsidR="005028F8">
          <w:rPr>
            <w:noProof/>
            <w:webHidden/>
          </w:rPr>
          <w:t>178</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123" w:history="1">
        <w:r w:rsidRPr="009A2083">
          <w:rPr>
            <w:rStyle w:val="Hyperlink"/>
            <w:noProof/>
          </w:rPr>
          <w:t>Select Units</w:t>
        </w:r>
        <w:r>
          <w:rPr>
            <w:noProof/>
            <w:webHidden/>
          </w:rPr>
          <w:tab/>
        </w:r>
        <w:r>
          <w:rPr>
            <w:noProof/>
            <w:webHidden/>
          </w:rPr>
          <w:fldChar w:fldCharType="begin"/>
        </w:r>
        <w:r>
          <w:rPr>
            <w:noProof/>
            <w:webHidden/>
          </w:rPr>
          <w:instrText xml:space="preserve"> PAGEREF _Toc459900123 \h </w:instrText>
        </w:r>
        <w:r>
          <w:rPr>
            <w:noProof/>
            <w:webHidden/>
          </w:rPr>
        </w:r>
        <w:r>
          <w:rPr>
            <w:noProof/>
            <w:webHidden/>
          </w:rPr>
          <w:fldChar w:fldCharType="separate"/>
        </w:r>
        <w:r w:rsidR="005028F8">
          <w:rPr>
            <w:noProof/>
            <w:webHidden/>
          </w:rPr>
          <w:t>184</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124" w:history="1">
        <w:r w:rsidRPr="009A2083">
          <w:rPr>
            <w:rStyle w:val="Hyperlink"/>
            <w:noProof/>
          </w:rPr>
          <w:t>Issue Blood Components</w:t>
        </w:r>
        <w:r>
          <w:rPr>
            <w:noProof/>
            <w:webHidden/>
          </w:rPr>
          <w:tab/>
        </w:r>
        <w:r>
          <w:rPr>
            <w:noProof/>
            <w:webHidden/>
          </w:rPr>
          <w:fldChar w:fldCharType="begin"/>
        </w:r>
        <w:r>
          <w:rPr>
            <w:noProof/>
            <w:webHidden/>
          </w:rPr>
          <w:instrText xml:space="preserve"> PAGEREF _Toc459900124 \h </w:instrText>
        </w:r>
        <w:r>
          <w:rPr>
            <w:noProof/>
            <w:webHidden/>
          </w:rPr>
        </w:r>
        <w:r>
          <w:rPr>
            <w:noProof/>
            <w:webHidden/>
          </w:rPr>
          <w:fldChar w:fldCharType="separate"/>
        </w:r>
        <w:r w:rsidR="005028F8">
          <w:rPr>
            <w:noProof/>
            <w:webHidden/>
          </w:rPr>
          <w:t>194</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125" w:history="1">
        <w:r w:rsidRPr="009A2083">
          <w:rPr>
            <w:rStyle w:val="Hyperlink"/>
            <w:noProof/>
          </w:rPr>
          <w:t>Return Issued Units To Blood Bank</w:t>
        </w:r>
        <w:r>
          <w:rPr>
            <w:noProof/>
            <w:webHidden/>
          </w:rPr>
          <w:tab/>
        </w:r>
        <w:r>
          <w:rPr>
            <w:noProof/>
            <w:webHidden/>
          </w:rPr>
          <w:fldChar w:fldCharType="begin"/>
        </w:r>
        <w:r>
          <w:rPr>
            <w:noProof/>
            <w:webHidden/>
          </w:rPr>
          <w:instrText xml:space="preserve"> PAGEREF _Toc459900125 \h </w:instrText>
        </w:r>
        <w:r>
          <w:rPr>
            <w:noProof/>
            <w:webHidden/>
          </w:rPr>
        </w:r>
        <w:r>
          <w:rPr>
            <w:noProof/>
            <w:webHidden/>
          </w:rPr>
          <w:fldChar w:fldCharType="separate"/>
        </w:r>
        <w:r w:rsidR="005028F8">
          <w:rPr>
            <w:noProof/>
            <w:webHidden/>
          </w:rPr>
          <w:t>206</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126" w:history="1">
        <w:r w:rsidRPr="009A2083">
          <w:rPr>
            <w:rStyle w:val="Hyperlink"/>
            <w:noProof/>
          </w:rPr>
          <w:t>Release Units From Patient Assignment</w:t>
        </w:r>
        <w:r>
          <w:rPr>
            <w:noProof/>
            <w:webHidden/>
          </w:rPr>
          <w:tab/>
        </w:r>
        <w:r>
          <w:rPr>
            <w:noProof/>
            <w:webHidden/>
          </w:rPr>
          <w:fldChar w:fldCharType="begin"/>
        </w:r>
        <w:r>
          <w:rPr>
            <w:noProof/>
            <w:webHidden/>
          </w:rPr>
          <w:instrText xml:space="preserve"> PAGEREF _Toc459900126 \h </w:instrText>
        </w:r>
        <w:r>
          <w:rPr>
            <w:noProof/>
            <w:webHidden/>
          </w:rPr>
        </w:r>
        <w:r>
          <w:rPr>
            <w:noProof/>
            <w:webHidden/>
          </w:rPr>
          <w:fldChar w:fldCharType="separate"/>
        </w:r>
        <w:r w:rsidR="005028F8">
          <w:rPr>
            <w:noProof/>
            <w:webHidden/>
          </w:rPr>
          <w:t>209</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127" w:history="1">
        <w:r w:rsidRPr="009A2083">
          <w:rPr>
            <w:rStyle w:val="Hyperlink"/>
            <w:noProof/>
          </w:rPr>
          <w:t>Print Unit Caution Tag &amp; Transfusion Record Form</w:t>
        </w:r>
        <w:r>
          <w:rPr>
            <w:noProof/>
            <w:webHidden/>
          </w:rPr>
          <w:tab/>
        </w:r>
        <w:r>
          <w:rPr>
            <w:noProof/>
            <w:webHidden/>
          </w:rPr>
          <w:fldChar w:fldCharType="begin"/>
        </w:r>
        <w:r>
          <w:rPr>
            <w:noProof/>
            <w:webHidden/>
          </w:rPr>
          <w:instrText xml:space="preserve"> PAGEREF _Toc459900127 \h </w:instrText>
        </w:r>
        <w:r>
          <w:rPr>
            <w:noProof/>
            <w:webHidden/>
          </w:rPr>
        </w:r>
        <w:r>
          <w:rPr>
            <w:noProof/>
            <w:webHidden/>
          </w:rPr>
          <w:fldChar w:fldCharType="separate"/>
        </w:r>
        <w:r w:rsidR="005028F8">
          <w:rPr>
            <w:noProof/>
            <w:webHidden/>
          </w:rPr>
          <w:t>211</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128" w:history="1">
        <w:r w:rsidRPr="009A2083">
          <w:rPr>
            <w:rStyle w:val="Hyperlink"/>
            <w:noProof/>
          </w:rPr>
          <w:t>Invalidate Test Results</w:t>
        </w:r>
        <w:r>
          <w:rPr>
            <w:noProof/>
            <w:webHidden/>
          </w:rPr>
          <w:tab/>
        </w:r>
        <w:r>
          <w:rPr>
            <w:noProof/>
            <w:webHidden/>
          </w:rPr>
          <w:fldChar w:fldCharType="begin"/>
        </w:r>
        <w:r>
          <w:rPr>
            <w:noProof/>
            <w:webHidden/>
          </w:rPr>
          <w:instrText xml:space="preserve"> PAGEREF _Toc459900128 \h </w:instrText>
        </w:r>
        <w:r>
          <w:rPr>
            <w:noProof/>
            <w:webHidden/>
          </w:rPr>
        </w:r>
        <w:r>
          <w:rPr>
            <w:noProof/>
            <w:webHidden/>
          </w:rPr>
          <w:fldChar w:fldCharType="separate"/>
        </w:r>
        <w:r w:rsidR="005028F8">
          <w:rPr>
            <w:noProof/>
            <w:webHidden/>
          </w:rPr>
          <w:t>219</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129" w:history="1">
        <w:r w:rsidRPr="009A2083">
          <w:rPr>
            <w:rStyle w:val="Hyperlink"/>
            <w:noProof/>
          </w:rPr>
          <w:t>Remove Final Status</w:t>
        </w:r>
        <w:r>
          <w:rPr>
            <w:noProof/>
            <w:webHidden/>
          </w:rPr>
          <w:tab/>
        </w:r>
        <w:r>
          <w:rPr>
            <w:noProof/>
            <w:webHidden/>
          </w:rPr>
          <w:fldChar w:fldCharType="begin"/>
        </w:r>
        <w:r>
          <w:rPr>
            <w:noProof/>
            <w:webHidden/>
          </w:rPr>
          <w:instrText xml:space="preserve"> PAGEREF _Toc459900129 \h </w:instrText>
        </w:r>
        <w:r>
          <w:rPr>
            <w:noProof/>
            <w:webHidden/>
          </w:rPr>
        </w:r>
        <w:r>
          <w:rPr>
            <w:noProof/>
            <w:webHidden/>
          </w:rPr>
          <w:fldChar w:fldCharType="separate"/>
        </w:r>
        <w:r w:rsidR="005028F8">
          <w:rPr>
            <w:noProof/>
            <w:webHidden/>
          </w:rPr>
          <w:t>223</w:t>
        </w:r>
        <w:r>
          <w:rPr>
            <w:noProof/>
            <w:webHidden/>
          </w:rPr>
          <w:fldChar w:fldCharType="end"/>
        </w:r>
      </w:hyperlink>
    </w:p>
    <w:p w:rsidR="00E155EF" w:rsidRPr="00206A59" w:rsidRDefault="00E155EF">
      <w:pPr>
        <w:pStyle w:val="TOC1"/>
        <w:tabs>
          <w:tab w:val="right" w:leader="dot" w:pos="9350"/>
        </w:tabs>
        <w:rPr>
          <w:rFonts w:ascii="Calibri" w:hAnsi="Calibri"/>
          <w:b w:val="0"/>
          <w:caps w:val="0"/>
          <w:noProof/>
        </w:rPr>
      </w:pPr>
      <w:hyperlink w:anchor="_Toc459900130" w:history="1">
        <w:r w:rsidRPr="009A2083">
          <w:rPr>
            <w:rStyle w:val="Hyperlink"/>
            <w:noProof/>
          </w:rPr>
          <w:t>Processing Orders</w:t>
        </w:r>
        <w:r>
          <w:rPr>
            <w:noProof/>
            <w:webHidden/>
          </w:rPr>
          <w:tab/>
        </w:r>
        <w:r>
          <w:rPr>
            <w:noProof/>
            <w:webHidden/>
          </w:rPr>
          <w:fldChar w:fldCharType="begin"/>
        </w:r>
        <w:r>
          <w:rPr>
            <w:noProof/>
            <w:webHidden/>
          </w:rPr>
          <w:instrText xml:space="preserve"> PAGEREF _Toc459900130 \h </w:instrText>
        </w:r>
        <w:r>
          <w:rPr>
            <w:noProof/>
            <w:webHidden/>
          </w:rPr>
        </w:r>
        <w:r>
          <w:rPr>
            <w:noProof/>
            <w:webHidden/>
          </w:rPr>
          <w:fldChar w:fldCharType="separate"/>
        </w:r>
        <w:r w:rsidR="005028F8">
          <w:rPr>
            <w:noProof/>
            <w:webHidden/>
          </w:rPr>
          <w:t>227</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131" w:history="1">
        <w:r w:rsidRPr="009A2083">
          <w:rPr>
            <w:rStyle w:val="Hyperlink"/>
            <w:noProof/>
          </w:rPr>
          <w:t>Accept Orders: Accept an Order</w:t>
        </w:r>
        <w:r>
          <w:rPr>
            <w:noProof/>
            <w:webHidden/>
          </w:rPr>
          <w:tab/>
        </w:r>
        <w:r>
          <w:rPr>
            <w:noProof/>
            <w:webHidden/>
          </w:rPr>
          <w:fldChar w:fldCharType="begin"/>
        </w:r>
        <w:r>
          <w:rPr>
            <w:noProof/>
            <w:webHidden/>
          </w:rPr>
          <w:instrText xml:space="preserve"> PAGEREF _Toc459900131 \h </w:instrText>
        </w:r>
        <w:r>
          <w:rPr>
            <w:noProof/>
            <w:webHidden/>
          </w:rPr>
        </w:r>
        <w:r>
          <w:rPr>
            <w:noProof/>
            <w:webHidden/>
          </w:rPr>
          <w:fldChar w:fldCharType="separate"/>
        </w:r>
        <w:r w:rsidR="005028F8">
          <w:rPr>
            <w:noProof/>
            <w:webHidden/>
          </w:rPr>
          <w:t>227</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132" w:history="1">
        <w:r w:rsidRPr="009A2083">
          <w:rPr>
            <w:rStyle w:val="Hyperlink"/>
            <w:noProof/>
          </w:rPr>
          <w:t>Accept Orders: Pending Order List</w:t>
        </w:r>
        <w:r>
          <w:rPr>
            <w:noProof/>
            <w:webHidden/>
          </w:rPr>
          <w:tab/>
        </w:r>
        <w:r>
          <w:rPr>
            <w:noProof/>
            <w:webHidden/>
          </w:rPr>
          <w:fldChar w:fldCharType="begin"/>
        </w:r>
        <w:r>
          <w:rPr>
            <w:noProof/>
            <w:webHidden/>
          </w:rPr>
          <w:instrText xml:space="preserve"> PAGEREF _Toc459900132 \h </w:instrText>
        </w:r>
        <w:r>
          <w:rPr>
            <w:noProof/>
            <w:webHidden/>
          </w:rPr>
        </w:r>
        <w:r>
          <w:rPr>
            <w:noProof/>
            <w:webHidden/>
          </w:rPr>
          <w:fldChar w:fldCharType="separate"/>
        </w:r>
        <w:r w:rsidR="005028F8">
          <w:rPr>
            <w:noProof/>
            <w:webHidden/>
          </w:rPr>
          <w:t>232</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133" w:history="1">
        <w:r w:rsidR="00634BFC">
          <w:rPr>
            <w:noProof/>
          </w:rPr>
          <w:drawing>
            <wp:inline distT="0" distB="0" distL="0" distR="0">
              <wp:extent cx="161925" cy="152400"/>
              <wp:effectExtent l="0" t="0" r="9525" b="0"/>
              <wp:docPr id="7" name="Picture 7"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tientale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9A2083">
          <w:rPr>
            <w:rStyle w:val="Hyperlink"/>
            <w:noProof/>
          </w:rPr>
          <w:t xml:space="preserve"> Display Patient Update Alerts</w:t>
        </w:r>
        <w:r>
          <w:rPr>
            <w:noProof/>
            <w:webHidden/>
          </w:rPr>
          <w:tab/>
        </w:r>
        <w:r>
          <w:rPr>
            <w:noProof/>
            <w:webHidden/>
          </w:rPr>
          <w:fldChar w:fldCharType="begin"/>
        </w:r>
        <w:r>
          <w:rPr>
            <w:noProof/>
            <w:webHidden/>
          </w:rPr>
          <w:instrText xml:space="preserve"> PAGEREF _Toc459900133 \h </w:instrText>
        </w:r>
        <w:r>
          <w:rPr>
            <w:noProof/>
            <w:webHidden/>
          </w:rPr>
        </w:r>
        <w:r>
          <w:rPr>
            <w:noProof/>
            <w:webHidden/>
          </w:rPr>
          <w:fldChar w:fldCharType="separate"/>
        </w:r>
        <w:r w:rsidR="005028F8">
          <w:rPr>
            <w:noProof/>
            <w:webHidden/>
          </w:rPr>
          <w:t>235</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134" w:history="1">
        <w:r w:rsidR="00634BFC">
          <w:rPr>
            <w:noProof/>
          </w:rPr>
          <w:drawing>
            <wp:inline distT="0" distB="0" distL="0" distR="0">
              <wp:extent cx="161925" cy="152400"/>
              <wp:effectExtent l="0" t="0" r="9525" b="0"/>
              <wp:docPr id="8" name="Picture 8"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tientale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9A2083">
          <w:rPr>
            <w:rStyle w:val="Hyperlink"/>
            <w:noProof/>
          </w:rPr>
          <w:t xml:space="preserve"> Display Patient Merge Alerts</w:t>
        </w:r>
        <w:r>
          <w:rPr>
            <w:noProof/>
            <w:webHidden/>
          </w:rPr>
          <w:tab/>
        </w:r>
        <w:r>
          <w:rPr>
            <w:noProof/>
            <w:webHidden/>
          </w:rPr>
          <w:fldChar w:fldCharType="begin"/>
        </w:r>
        <w:r>
          <w:rPr>
            <w:noProof/>
            <w:webHidden/>
          </w:rPr>
          <w:instrText xml:space="preserve"> PAGEREF _Toc459900134 \h </w:instrText>
        </w:r>
        <w:r>
          <w:rPr>
            <w:noProof/>
            <w:webHidden/>
          </w:rPr>
        </w:r>
        <w:r>
          <w:rPr>
            <w:noProof/>
            <w:webHidden/>
          </w:rPr>
          <w:fldChar w:fldCharType="separate"/>
        </w:r>
        <w:r w:rsidR="005028F8">
          <w:rPr>
            <w:noProof/>
            <w:webHidden/>
          </w:rPr>
          <w:t>236</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135" w:history="1">
        <w:r w:rsidRPr="009A2083">
          <w:rPr>
            <w:rStyle w:val="Hyperlink"/>
            <w:noProof/>
          </w:rPr>
          <w:t>Maintain Specimen</w:t>
        </w:r>
        <w:r>
          <w:rPr>
            <w:noProof/>
            <w:webHidden/>
          </w:rPr>
          <w:tab/>
        </w:r>
        <w:r>
          <w:rPr>
            <w:noProof/>
            <w:webHidden/>
          </w:rPr>
          <w:fldChar w:fldCharType="begin"/>
        </w:r>
        <w:r>
          <w:rPr>
            <w:noProof/>
            <w:webHidden/>
          </w:rPr>
          <w:instrText xml:space="preserve"> PAGEREF _Toc459900135 \h </w:instrText>
        </w:r>
        <w:r>
          <w:rPr>
            <w:noProof/>
            <w:webHidden/>
          </w:rPr>
        </w:r>
        <w:r>
          <w:rPr>
            <w:noProof/>
            <w:webHidden/>
          </w:rPr>
          <w:fldChar w:fldCharType="separate"/>
        </w:r>
        <w:r w:rsidR="005028F8">
          <w:rPr>
            <w:noProof/>
            <w:webHidden/>
          </w:rPr>
          <w:t>237</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136" w:history="1">
        <w:r w:rsidRPr="009A2083">
          <w:rPr>
            <w:rStyle w:val="Hyperlink"/>
            <w:noProof/>
          </w:rPr>
          <w:t>Patient Testing: Cancel an Active Order</w:t>
        </w:r>
        <w:r>
          <w:rPr>
            <w:noProof/>
            <w:webHidden/>
          </w:rPr>
          <w:tab/>
        </w:r>
        <w:r>
          <w:rPr>
            <w:noProof/>
            <w:webHidden/>
          </w:rPr>
          <w:fldChar w:fldCharType="begin"/>
        </w:r>
        <w:r>
          <w:rPr>
            <w:noProof/>
            <w:webHidden/>
          </w:rPr>
          <w:instrText xml:space="preserve"> PAGEREF _Toc459900136 \h </w:instrText>
        </w:r>
        <w:r>
          <w:rPr>
            <w:noProof/>
            <w:webHidden/>
          </w:rPr>
        </w:r>
        <w:r>
          <w:rPr>
            <w:noProof/>
            <w:webHidden/>
          </w:rPr>
          <w:fldChar w:fldCharType="separate"/>
        </w:r>
        <w:r w:rsidR="005028F8">
          <w:rPr>
            <w:noProof/>
            <w:webHidden/>
          </w:rPr>
          <w:t>241</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137" w:history="1">
        <w:r w:rsidRPr="009A2083">
          <w:rPr>
            <w:rStyle w:val="Hyperlink"/>
            <w:noProof/>
          </w:rPr>
          <w:t>Patient Testing: Pending Task List</w:t>
        </w:r>
        <w:r>
          <w:rPr>
            <w:noProof/>
            <w:webHidden/>
          </w:rPr>
          <w:tab/>
        </w:r>
        <w:r>
          <w:rPr>
            <w:noProof/>
            <w:webHidden/>
          </w:rPr>
          <w:fldChar w:fldCharType="begin"/>
        </w:r>
        <w:r>
          <w:rPr>
            <w:noProof/>
            <w:webHidden/>
          </w:rPr>
          <w:instrText xml:space="preserve"> PAGEREF _Toc459900137 \h </w:instrText>
        </w:r>
        <w:r>
          <w:rPr>
            <w:noProof/>
            <w:webHidden/>
          </w:rPr>
        </w:r>
        <w:r>
          <w:rPr>
            <w:noProof/>
            <w:webHidden/>
          </w:rPr>
          <w:fldChar w:fldCharType="separate"/>
        </w:r>
        <w:r w:rsidR="005028F8">
          <w:rPr>
            <w:noProof/>
            <w:webHidden/>
          </w:rPr>
          <w:t>243</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138" w:history="1">
        <w:r w:rsidRPr="009A2083">
          <w:rPr>
            <w:rStyle w:val="Hyperlink"/>
            <w:noProof/>
          </w:rPr>
          <w:t>Accept Orders: Cancel a Pending Order</w:t>
        </w:r>
        <w:r>
          <w:rPr>
            <w:noProof/>
            <w:webHidden/>
          </w:rPr>
          <w:tab/>
        </w:r>
        <w:r>
          <w:rPr>
            <w:noProof/>
            <w:webHidden/>
          </w:rPr>
          <w:fldChar w:fldCharType="begin"/>
        </w:r>
        <w:r>
          <w:rPr>
            <w:noProof/>
            <w:webHidden/>
          </w:rPr>
          <w:instrText xml:space="preserve"> PAGEREF _Toc459900138 \h </w:instrText>
        </w:r>
        <w:r>
          <w:rPr>
            <w:noProof/>
            <w:webHidden/>
          </w:rPr>
        </w:r>
        <w:r>
          <w:rPr>
            <w:noProof/>
            <w:webHidden/>
          </w:rPr>
          <w:fldChar w:fldCharType="separate"/>
        </w:r>
        <w:r w:rsidR="005028F8">
          <w:rPr>
            <w:noProof/>
            <w:webHidden/>
          </w:rPr>
          <w:t>245</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139" w:history="1">
        <w:r w:rsidRPr="009A2083">
          <w:rPr>
            <w:rStyle w:val="Hyperlink"/>
            <w:noProof/>
          </w:rPr>
          <w:t>Order Reflex Tests</w:t>
        </w:r>
        <w:r>
          <w:rPr>
            <w:noProof/>
            <w:webHidden/>
          </w:rPr>
          <w:tab/>
        </w:r>
        <w:r>
          <w:rPr>
            <w:noProof/>
            <w:webHidden/>
          </w:rPr>
          <w:fldChar w:fldCharType="begin"/>
        </w:r>
        <w:r>
          <w:rPr>
            <w:noProof/>
            <w:webHidden/>
          </w:rPr>
          <w:instrText xml:space="preserve"> PAGEREF _Toc459900139 \h </w:instrText>
        </w:r>
        <w:r>
          <w:rPr>
            <w:noProof/>
            <w:webHidden/>
          </w:rPr>
        </w:r>
        <w:r>
          <w:rPr>
            <w:noProof/>
            <w:webHidden/>
          </w:rPr>
          <w:fldChar w:fldCharType="separate"/>
        </w:r>
        <w:r w:rsidR="005028F8">
          <w:rPr>
            <w:noProof/>
            <w:webHidden/>
          </w:rPr>
          <w:t>247</w:t>
        </w:r>
        <w:r>
          <w:rPr>
            <w:noProof/>
            <w:webHidden/>
          </w:rPr>
          <w:fldChar w:fldCharType="end"/>
        </w:r>
      </w:hyperlink>
    </w:p>
    <w:p w:rsidR="00E155EF" w:rsidRPr="00206A59" w:rsidRDefault="00E155EF">
      <w:pPr>
        <w:pStyle w:val="TOC1"/>
        <w:tabs>
          <w:tab w:val="right" w:leader="dot" w:pos="9350"/>
        </w:tabs>
        <w:rPr>
          <w:rFonts w:ascii="Calibri" w:hAnsi="Calibri"/>
          <w:b w:val="0"/>
          <w:caps w:val="0"/>
          <w:noProof/>
        </w:rPr>
      </w:pPr>
      <w:hyperlink w:anchor="_Toc459900140" w:history="1">
        <w:r w:rsidRPr="009A2083">
          <w:rPr>
            <w:rStyle w:val="Hyperlink"/>
            <w:noProof/>
          </w:rPr>
          <w:t>Patient Services</w:t>
        </w:r>
        <w:r>
          <w:rPr>
            <w:noProof/>
            <w:webHidden/>
          </w:rPr>
          <w:tab/>
        </w:r>
        <w:r>
          <w:rPr>
            <w:noProof/>
            <w:webHidden/>
          </w:rPr>
          <w:fldChar w:fldCharType="begin"/>
        </w:r>
        <w:r>
          <w:rPr>
            <w:noProof/>
            <w:webHidden/>
          </w:rPr>
          <w:instrText xml:space="preserve"> PAGEREF _Toc459900140 \h </w:instrText>
        </w:r>
        <w:r>
          <w:rPr>
            <w:noProof/>
            <w:webHidden/>
          </w:rPr>
        </w:r>
        <w:r>
          <w:rPr>
            <w:noProof/>
            <w:webHidden/>
          </w:rPr>
          <w:fldChar w:fldCharType="separate"/>
        </w:r>
        <w:r w:rsidR="005028F8">
          <w:rPr>
            <w:noProof/>
            <w:webHidden/>
          </w:rPr>
          <w:t>251</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141" w:history="1">
        <w:r w:rsidRPr="009A2083">
          <w:rPr>
            <w:rStyle w:val="Hyperlink"/>
            <w:noProof/>
          </w:rPr>
          <w:t>Patient Search Screen</w:t>
        </w:r>
        <w:r>
          <w:rPr>
            <w:noProof/>
            <w:webHidden/>
          </w:rPr>
          <w:tab/>
        </w:r>
        <w:r>
          <w:rPr>
            <w:noProof/>
            <w:webHidden/>
          </w:rPr>
          <w:fldChar w:fldCharType="begin"/>
        </w:r>
        <w:r>
          <w:rPr>
            <w:noProof/>
            <w:webHidden/>
          </w:rPr>
          <w:instrText xml:space="preserve"> PAGEREF _Toc459900141 \h </w:instrText>
        </w:r>
        <w:r>
          <w:rPr>
            <w:noProof/>
            <w:webHidden/>
          </w:rPr>
        </w:r>
        <w:r>
          <w:rPr>
            <w:noProof/>
            <w:webHidden/>
          </w:rPr>
          <w:fldChar w:fldCharType="separate"/>
        </w:r>
        <w:r w:rsidR="005028F8">
          <w:rPr>
            <w:noProof/>
            <w:webHidden/>
          </w:rPr>
          <w:t>251</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142" w:history="1">
        <w:r w:rsidRPr="009A2083">
          <w:rPr>
            <w:rStyle w:val="Hyperlink"/>
            <w:noProof/>
          </w:rPr>
          <w:t>Patient Merge</w:t>
        </w:r>
        <w:r>
          <w:rPr>
            <w:noProof/>
            <w:webHidden/>
          </w:rPr>
          <w:tab/>
        </w:r>
        <w:r>
          <w:rPr>
            <w:noProof/>
            <w:webHidden/>
          </w:rPr>
          <w:fldChar w:fldCharType="begin"/>
        </w:r>
        <w:r>
          <w:rPr>
            <w:noProof/>
            <w:webHidden/>
          </w:rPr>
          <w:instrText xml:space="preserve"> PAGEREF _Toc459900142 \h </w:instrText>
        </w:r>
        <w:r>
          <w:rPr>
            <w:noProof/>
            <w:webHidden/>
          </w:rPr>
        </w:r>
        <w:r>
          <w:rPr>
            <w:noProof/>
            <w:webHidden/>
          </w:rPr>
          <w:fldChar w:fldCharType="separate"/>
        </w:r>
        <w:r w:rsidR="005028F8">
          <w:rPr>
            <w:noProof/>
            <w:webHidden/>
          </w:rPr>
          <w:t>253</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143" w:history="1">
        <w:r w:rsidRPr="009A2083">
          <w:rPr>
            <w:rStyle w:val="Hyperlink"/>
            <w:noProof/>
          </w:rPr>
          <w:t>Updated Patients and Deceased Patients</w:t>
        </w:r>
        <w:r>
          <w:rPr>
            <w:noProof/>
            <w:webHidden/>
          </w:rPr>
          <w:tab/>
        </w:r>
        <w:r>
          <w:rPr>
            <w:noProof/>
            <w:webHidden/>
          </w:rPr>
          <w:fldChar w:fldCharType="begin"/>
        </w:r>
        <w:r>
          <w:rPr>
            <w:noProof/>
            <w:webHidden/>
          </w:rPr>
          <w:instrText xml:space="preserve"> PAGEREF _Toc459900143 \h </w:instrText>
        </w:r>
        <w:r>
          <w:rPr>
            <w:noProof/>
            <w:webHidden/>
          </w:rPr>
        </w:r>
        <w:r>
          <w:rPr>
            <w:noProof/>
            <w:webHidden/>
          </w:rPr>
          <w:fldChar w:fldCharType="separate"/>
        </w:r>
        <w:r w:rsidR="005028F8">
          <w:rPr>
            <w:noProof/>
            <w:webHidden/>
          </w:rPr>
          <w:t>257</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144" w:history="1">
        <w:r w:rsidRPr="009A2083">
          <w:rPr>
            <w:rStyle w:val="Hyperlink"/>
            <w:noProof/>
          </w:rPr>
          <w:t>Patient Testing: General Instructions</w:t>
        </w:r>
        <w:r>
          <w:rPr>
            <w:noProof/>
            <w:webHidden/>
          </w:rPr>
          <w:tab/>
        </w:r>
        <w:r>
          <w:rPr>
            <w:noProof/>
            <w:webHidden/>
          </w:rPr>
          <w:fldChar w:fldCharType="begin"/>
        </w:r>
        <w:r>
          <w:rPr>
            <w:noProof/>
            <w:webHidden/>
          </w:rPr>
          <w:instrText xml:space="preserve"> PAGEREF _Toc459900144 \h </w:instrText>
        </w:r>
        <w:r>
          <w:rPr>
            <w:noProof/>
            <w:webHidden/>
          </w:rPr>
        </w:r>
        <w:r>
          <w:rPr>
            <w:noProof/>
            <w:webHidden/>
          </w:rPr>
          <w:fldChar w:fldCharType="separate"/>
        </w:r>
        <w:r w:rsidR="005028F8">
          <w:rPr>
            <w:noProof/>
            <w:webHidden/>
          </w:rPr>
          <w:t>258</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145" w:history="1">
        <w:r w:rsidRPr="009A2083">
          <w:rPr>
            <w:rStyle w:val="Hyperlink"/>
            <w:noProof/>
          </w:rPr>
          <w:t>Patient Testing: Record a Patient ABO/Rh</w:t>
        </w:r>
        <w:r>
          <w:rPr>
            <w:noProof/>
            <w:webHidden/>
          </w:rPr>
          <w:tab/>
        </w:r>
        <w:r>
          <w:rPr>
            <w:noProof/>
            <w:webHidden/>
          </w:rPr>
          <w:fldChar w:fldCharType="begin"/>
        </w:r>
        <w:r>
          <w:rPr>
            <w:noProof/>
            <w:webHidden/>
          </w:rPr>
          <w:instrText xml:space="preserve"> PAGEREF _Toc459900145 \h </w:instrText>
        </w:r>
        <w:r>
          <w:rPr>
            <w:noProof/>
            <w:webHidden/>
          </w:rPr>
        </w:r>
        <w:r>
          <w:rPr>
            <w:noProof/>
            <w:webHidden/>
          </w:rPr>
          <w:fldChar w:fldCharType="separate"/>
        </w:r>
        <w:r w:rsidR="005028F8">
          <w:rPr>
            <w:noProof/>
            <w:webHidden/>
          </w:rPr>
          <w:t>263</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146" w:history="1">
        <w:r w:rsidRPr="009A2083">
          <w:rPr>
            <w:rStyle w:val="Hyperlink"/>
            <w:noProof/>
          </w:rPr>
          <w:t>Patient Testing: Record a Patient Antibody Screen</w:t>
        </w:r>
        <w:r>
          <w:rPr>
            <w:noProof/>
            <w:webHidden/>
          </w:rPr>
          <w:tab/>
        </w:r>
        <w:r>
          <w:rPr>
            <w:noProof/>
            <w:webHidden/>
          </w:rPr>
          <w:fldChar w:fldCharType="begin"/>
        </w:r>
        <w:r>
          <w:rPr>
            <w:noProof/>
            <w:webHidden/>
          </w:rPr>
          <w:instrText xml:space="preserve"> PAGEREF _Toc459900146 \h </w:instrText>
        </w:r>
        <w:r>
          <w:rPr>
            <w:noProof/>
            <w:webHidden/>
          </w:rPr>
        </w:r>
        <w:r>
          <w:rPr>
            <w:noProof/>
            <w:webHidden/>
          </w:rPr>
          <w:fldChar w:fldCharType="separate"/>
        </w:r>
        <w:r w:rsidR="005028F8">
          <w:rPr>
            <w:noProof/>
            <w:webHidden/>
          </w:rPr>
          <w:t>266</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147" w:history="1">
        <w:r w:rsidRPr="009A2083">
          <w:rPr>
            <w:rStyle w:val="Hyperlink"/>
            <w:noProof/>
          </w:rPr>
          <w:t>Patient Testing: Record a Direct Antiglobulin Test</w:t>
        </w:r>
        <w:r>
          <w:rPr>
            <w:noProof/>
            <w:webHidden/>
          </w:rPr>
          <w:tab/>
        </w:r>
        <w:r>
          <w:rPr>
            <w:noProof/>
            <w:webHidden/>
          </w:rPr>
          <w:fldChar w:fldCharType="begin"/>
        </w:r>
        <w:r>
          <w:rPr>
            <w:noProof/>
            <w:webHidden/>
          </w:rPr>
          <w:instrText xml:space="preserve"> PAGEREF _Toc459900147 \h </w:instrText>
        </w:r>
        <w:r>
          <w:rPr>
            <w:noProof/>
            <w:webHidden/>
          </w:rPr>
        </w:r>
        <w:r>
          <w:rPr>
            <w:noProof/>
            <w:webHidden/>
          </w:rPr>
          <w:fldChar w:fldCharType="separate"/>
        </w:r>
        <w:r w:rsidR="005028F8">
          <w:rPr>
            <w:noProof/>
            <w:webHidden/>
          </w:rPr>
          <w:t>268</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148" w:history="1">
        <w:r w:rsidRPr="009A2083">
          <w:rPr>
            <w:rStyle w:val="Hyperlink"/>
            <w:noProof/>
          </w:rPr>
          <w:t>Patient Testing: Record a Crossmatch</w:t>
        </w:r>
        <w:r>
          <w:rPr>
            <w:noProof/>
            <w:webHidden/>
          </w:rPr>
          <w:tab/>
        </w:r>
        <w:r>
          <w:rPr>
            <w:noProof/>
            <w:webHidden/>
          </w:rPr>
          <w:fldChar w:fldCharType="begin"/>
        </w:r>
        <w:r>
          <w:rPr>
            <w:noProof/>
            <w:webHidden/>
          </w:rPr>
          <w:instrText xml:space="preserve"> PAGEREF _Toc459900148 \h </w:instrText>
        </w:r>
        <w:r>
          <w:rPr>
            <w:noProof/>
            <w:webHidden/>
          </w:rPr>
        </w:r>
        <w:r>
          <w:rPr>
            <w:noProof/>
            <w:webHidden/>
          </w:rPr>
          <w:fldChar w:fldCharType="separate"/>
        </w:r>
        <w:r w:rsidR="005028F8">
          <w:rPr>
            <w:noProof/>
            <w:webHidden/>
          </w:rPr>
          <w:t>271</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149" w:history="1">
        <w:r w:rsidRPr="009A2083">
          <w:rPr>
            <w:rStyle w:val="Hyperlink"/>
            <w:noProof/>
          </w:rPr>
          <w:t>Patient Testing: Record a Patient Antigen Typing</w:t>
        </w:r>
        <w:r>
          <w:rPr>
            <w:noProof/>
            <w:webHidden/>
          </w:rPr>
          <w:tab/>
        </w:r>
        <w:r>
          <w:rPr>
            <w:noProof/>
            <w:webHidden/>
          </w:rPr>
          <w:fldChar w:fldCharType="begin"/>
        </w:r>
        <w:r>
          <w:rPr>
            <w:noProof/>
            <w:webHidden/>
          </w:rPr>
          <w:instrText xml:space="preserve"> PAGEREF _Toc459900149 \h </w:instrText>
        </w:r>
        <w:r>
          <w:rPr>
            <w:noProof/>
            <w:webHidden/>
          </w:rPr>
        </w:r>
        <w:r>
          <w:rPr>
            <w:noProof/>
            <w:webHidden/>
          </w:rPr>
          <w:fldChar w:fldCharType="separate"/>
        </w:r>
        <w:r w:rsidR="005028F8">
          <w:rPr>
            <w:noProof/>
            <w:webHidden/>
          </w:rPr>
          <w:t>276</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150" w:history="1">
        <w:r w:rsidRPr="009A2083">
          <w:rPr>
            <w:rStyle w:val="Hyperlink"/>
            <w:noProof/>
          </w:rPr>
          <w:t>Patient Testing: Enter Antibody Identification Results</w:t>
        </w:r>
        <w:r>
          <w:rPr>
            <w:noProof/>
            <w:webHidden/>
          </w:rPr>
          <w:tab/>
        </w:r>
        <w:r>
          <w:rPr>
            <w:noProof/>
            <w:webHidden/>
          </w:rPr>
          <w:fldChar w:fldCharType="begin"/>
        </w:r>
        <w:r>
          <w:rPr>
            <w:noProof/>
            <w:webHidden/>
          </w:rPr>
          <w:instrText xml:space="preserve"> PAGEREF _Toc459900150 \h </w:instrText>
        </w:r>
        <w:r>
          <w:rPr>
            <w:noProof/>
            <w:webHidden/>
          </w:rPr>
        </w:r>
        <w:r>
          <w:rPr>
            <w:noProof/>
            <w:webHidden/>
          </w:rPr>
          <w:fldChar w:fldCharType="separate"/>
        </w:r>
        <w:r w:rsidR="005028F8">
          <w:rPr>
            <w:noProof/>
            <w:webHidden/>
          </w:rPr>
          <w:t>282</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151" w:history="1">
        <w:r w:rsidRPr="009A2083">
          <w:rPr>
            <w:rStyle w:val="Hyperlink"/>
            <w:noProof/>
          </w:rPr>
          <w:t>Patient Testing: Record a Transfusion Reaction Workup</w:t>
        </w:r>
        <w:r>
          <w:rPr>
            <w:noProof/>
            <w:webHidden/>
          </w:rPr>
          <w:tab/>
        </w:r>
        <w:r>
          <w:rPr>
            <w:noProof/>
            <w:webHidden/>
          </w:rPr>
          <w:fldChar w:fldCharType="begin"/>
        </w:r>
        <w:r>
          <w:rPr>
            <w:noProof/>
            <w:webHidden/>
          </w:rPr>
          <w:instrText xml:space="preserve"> PAGEREF _Toc459900151 \h </w:instrText>
        </w:r>
        <w:r>
          <w:rPr>
            <w:noProof/>
            <w:webHidden/>
          </w:rPr>
        </w:r>
        <w:r>
          <w:rPr>
            <w:noProof/>
            <w:webHidden/>
          </w:rPr>
          <w:fldChar w:fldCharType="separate"/>
        </w:r>
        <w:r w:rsidR="005028F8">
          <w:rPr>
            <w:noProof/>
            <w:webHidden/>
          </w:rPr>
          <w:t>284</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152" w:history="1">
        <w:r w:rsidRPr="009A2083">
          <w:rPr>
            <w:rStyle w:val="Hyperlink"/>
            <w:noProof/>
          </w:rPr>
          <w:t>Finalize/Print TRW</w:t>
        </w:r>
        <w:r>
          <w:rPr>
            <w:noProof/>
            <w:webHidden/>
          </w:rPr>
          <w:tab/>
        </w:r>
        <w:r>
          <w:rPr>
            <w:noProof/>
            <w:webHidden/>
          </w:rPr>
          <w:fldChar w:fldCharType="begin"/>
        </w:r>
        <w:r>
          <w:rPr>
            <w:noProof/>
            <w:webHidden/>
          </w:rPr>
          <w:instrText xml:space="preserve"> PAGEREF _Toc459900152 \h </w:instrText>
        </w:r>
        <w:r>
          <w:rPr>
            <w:noProof/>
            <w:webHidden/>
          </w:rPr>
        </w:r>
        <w:r>
          <w:rPr>
            <w:noProof/>
            <w:webHidden/>
          </w:rPr>
          <w:fldChar w:fldCharType="separate"/>
        </w:r>
        <w:r w:rsidR="005028F8">
          <w:rPr>
            <w:noProof/>
            <w:webHidden/>
          </w:rPr>
          <w:t>292</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153" w:history="1">
        <w:r w:rsidRPr="009A2083">
          <w:rPr>
            <w:rStyle w:val="Hyperlink"/>
            <w:noProof/>
          </w:rPr>
          <w:t>Maintain Patient Records</w:t>
        </w:r>
        <w:r>
          <w:rPr>
            <w:noProof/>
            <w:webHidden/>
          </w:rPr>
          <w:tab/>
        </w:r>
        <w:r>
          <w:rPr>
            <w:noProof/>
            <w:webHidden/>
          </w:rPr>
          <w:fldChar w:fldCharType="begin"/>
        </w:r>
        <w:r>
          <w:rPr>
            <w:noProof/>
            <w:webHidden/>
          </w:rPr>
          <w:instrText xml:space="preserve"> PAGEREF _Toc459900153 \h </w:instrText>
        </w:r>
        <w:r>
          <w:rPr>
            <w:noProof/>
            <w:webHidden/>
          </w:rPr>
        </w:r>
        <w:r>
          <w:rPr>
            <w:noProof/>
            <w:webHidden/>
          </w:rPr>
          <w:fldChar w:fldCharType="separate"/>
        </w:r>
        <w:r w:rsidR="005028F8">
          <w:rPr>
            <w:noProof/>
            <w:webHidden/>
          </w:rPr>
          <w:t>296</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154" w:history="1">
        <w:r w:rsidRPr="009A2083">
          <w:rPr>
            <w:rStyle w:val="Hyperlink"/>
            <w:noProof/>
          </w:rPr>
          <w:t>Special Instructions &amp; Transfusion Requirements: Enter a Transfusion Requirement</w:t>
        </w:r>
        <w:r>
          <w:rPr>
            <w:noProof/>
            <w:webHidden/>
          </w:rPr>
          <w:tab/>
        </w:r>
        <w:r>
          <w:rPr>
            <w:noProof/>
            <w:webHidden/>
          </w:rPr>
          <w:fldChar w:fldCharType="begin"/>
        </w:r>
        <w:r>
          <w:rPr>
            <w:noProof/>
            <w:webHidden/>
          </w:rPr>
          <w:instrText xml:space="preserve"> PAGEREF _Toc459900154 \h </w:instrText>
        </w:r>
        <w:r>
          <w:rPr>
            <w:noProof/>
            <w:webHidden/>
          </w:rPr>
        </w:r>
        <w:r>
          <w:rPr>
            <w:noProof/>
            <w:webHidden/>
          </w:rPr>
          <w:fldChar w:fldCharType="separate"/>
        </w:r>
        <w:r w:rsidR="005028F8">
          <w:rPr>
            <w:noProof/>
            <w:webHidden/>
          </w:rPr>
          <w:t>296</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155" w:history="1">
        <w:r w:rsidRPr="009A2083">
          <w:rPr>
            <w:rStyle w:val="Hyperlink"/>
            <w:noProof/>
          </w:rPr>
          <w:t>Special Instructions &amp; Transfusion Requirements: Enter and Remove Special Instructions</w:t>
        </w:r>
        <w:r>
          <w:rPr>
            <w:noProof/>
            <w:webHidden/>
          </w:rPr>
          <w:tab/>
        </w:r>
        <w:r>
          <w:rPr>
            <w:noProof/>
            <w:webHidden/>
          </w:rPr>
          <w:fldChar w:fldCharType="begin"/>
        </w:r>
        <w:r>
          <w:rPr>
            <w:noProof/>
            <w:webHidden/>
          </w:rPr>
          <w:instrText xml:space="preserve"> PAGEREF _Toc459900155 \h </w:instrText>
        </w:r>
        <w:r>
          <w:rPr>
            <w:noProof/>
            <w:webHidden/>
          </w:rPr>
        </w:r>
        <w:r>
          <w:rPr>
            <w:noProof/>
            <w:webHidden/>
          </w:rPr>
          <w:fldChar w:fldCharType="separate"/>
        </w:r>
        <w:r w:rsidR="005028F8">
          <w:rPr>
            <w:noProof/>
            <w:webHidden/>
          </w:rPr>
          <w:t>301</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156" w:history="1">
        <w:r w:rsidRPr="009A2083">
          <w:rPr>
            <w:rStyle w:val="Hyperlink"/>
            <w:noProof/>
          </w:rPr>
          <w:t>Post-Transfusion Information</w:t>
        </w:r>
        <w:r>
          <w:rPr>
            <w:noProof/>
            <w:webHidden/>
          </w:rPr>
          <w:tab/>
        </w:r>
        <w:r>
          <w:rPr>
            <w:noProof/>
            <w:webHidden/>
          </w:rPr>
          <w:fldChar w:fldCharType="begin"/>
        </w:r>
        <w:r>
          <w:rPr>
            <w:noProof/>
            <w:webHidden/>
          </w:rPr>
          <w:instrText xml:space="preserve"> PAGEREF _Toc459900156 \h </w:instrText>
        </w:r>
        <w:r>
          <w:rPr>
            <w:noProof/>
            <w:webHidden/>
          </w:rPr>
        </w:r>
        <w:r>
          <w:rPr>
            <w:noProof/>
            <w:webHidden/>
          </w:rPr>
          <w:fldChar w:fldCharType="separate"/>
        </w:r>
        <w:r w:rsidR="005028F8">
          <w:rPr>
            <w:noProof/>
            <w:webHidden/>
          </w:rPr>
          <w:t>304</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157" w:history="1">
        <w:r w:rsidRPr="009A2083">
          <w:rPr>
            <w:rStyle w:val="Hyperlink"/>
            <w:noProof/>
            <w:snapToGrid w:val="0"/>
          </w:rPr>
          <w:t>Document ABO Incompatible Transfusions</w:t>
        </w:r>
        <w:r>
          <w:rPr>
            <w:noProof/>
            <w:webHidden/>
          </w:rPr>
          <w:tab/>
        </w:r>
        <w:r>
          <w:rPr>
            <w:noProof/>
            <w:webHidden/>
          </w:rPr>
          <w:fldChar w:fldCharType="begin"/>
        </w:r>
        <w:r>
          <w:rPr>
            <w:noProof/>
            <w:webHidden/>
          </w:rPr>
          <w:instrText xml:space="preserve"> PAGEREF _Toc459900157 \h </w:instrText>
        </w:r>
        <w:r>
          <w:rPr>
            <w:noProof/>
            <w:webHidden/>
          </w:rPr>
        </w:r>
        <w:r>
          <w:rPr>
            <w:noProof/>
            <w:webHidden/>
          </w:rPr>
          <w:fldChar w:fldCharType="separate"/>
        </w:r>
        <w:r w:rsidR="005028F8">
          <w:rPr>
            <w:noProof/>
            <w:webHidden/>
          </w:rPr>
          <w:t>309</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158" w:history="1">
        <w:r w:rsidRPr="009A2083">
          <w:rPr>
            <w:rStyle w:val="Hyperlink"/>
            <w:noProof/>
          </w:rPr>
          <w:t>Justify ABO/Rh Change</w:t>
        </w:r>
        <w:r>
          <w:rPr>
            <w:noProof/>
            <w:webHidden/>
          </w:rPr>
          <w:tab/>
        </w:r>
        <w:r>
          <w:rPr>
            <w:noProof/>
            <w:webHidden/>
          </w:rPr>
          <w:fldChar w:fldCharType="begin"/>
        </w:r>
        <w:r>
          <w:rPr>
            <w:noProof/>
            <w:webHidden/>
          </w:rPr>
          <w:instrText xml:space="preserve"> PAGEREF _Toc459900158 \h </w:instrText>
        </w:r>
        <w:r>
          <w:rPr>
            <w:noProof/>
            <w:webHidden/>
          </w:rPr>
        </w:r>
        <w:r>
          <w:rPr>
            <w:noProof/>
            <w:webHidden/>
          </w:rPr>
          <w:fldChar w:fldCharType="separate"/>
        </w:r>
        <w:r w:rsidR="005028F8">
          <w:rPr>
            <w:noProof/>
            <w:webHidden/>
          </w:rPr>
          <w:t>311</w:t>
        </w:r>
        <w:r>
          <w:rPr>
            <w:noProof/>
            <w:webHidden/>
          </w:rPr>
          <w:fldChar w:fldCharType="end"/>
        </w:r>
      </w:hyperlink>
    </w:p>
    <w:p w:rsidR="00E155EF" w:rsidRPr="00206A59" w:rsidRDefault="00E155EF">
      <w:pPr>
        <w:pStyle w:val="TOC1"/>
        <w:tabs>
          <w:tab w:val="right" w:leader="dot" w:pos="9350"/>
        </w:tabs>
        <w:rPr>
          <w:rFonts w:ascii="Calibri" w:hAnsi="Calibri"/>
          <w:b w:val="0"/>
          <w:caps w:val="0"/>
          <w:noProof/>
        </w:rPr>
      </w:pPr>
      <w:hyperlink w:anchor="_Toc459900159" w:history="1">
        <w:r w:rsidRPr="009A2083">
          <w:rPr>
            <w:rStyle w:val="Hyperlink"/>
            <w:noProof/>
          </w:rPr>
          <w:t>Automated</w:t>
        </w:r>
        <w:r w:rsidRPr="009A2083">
          <w:rPr>
            <w:rStyle w:val="Hyperlink"/>
            <w:noProof/>
          </w:rPr>
          <w:t xml:space="preserve"> </w:t>
        </w:r>
        <w:r w:rsidRPr="009A2083">
          <w:rPr>
            <w:rStyle w:val="Hyperlink"/>
            <w:noProof/>
          </w:rPr>
          <w:t>Te</w:t>
        </w:r>
        <w:r w:rsidRPr="009A2083">
          <w:rPr>
            <w:rStyle w:val="Hyperlink"/>
            <w:noProof/>
          </w:rPr>
          <w:t>s</w:t>
        </w:r>
        <w:r w:rsidRPr="009A2083">
          <w:rPr>
            <w:rStyle w:val="Hyperlink"/>
            <w:noProof/>
          </w:rPr>
          <w:t>ting</w:t>
        </w:r>
        <w:r>
          <w:rPr>
            <w:noProof/>
            <w:webHidden/>
          </w:rPr>
          <w:tab/>
        </w:r>
        <w:r>
          <w:rPr>
            <w:noProof/>
            <w:webHidden/>
          </w:rPr>
          <w:fldChar w:fldCharType="begin"/>
        </w:r>
        <w:r>
          <w:rPr>
            <w:noProof/>
            <w:webHidden/>
          </w:rPr>
          <w:instrText xml:space="preserve"> PAGEREF _Toc459900159 \h </w:instrText>
        </w:r>
        <w:r>
          <w:rPr>
            <w:noProof/>
            <w:webHidden/>
          </w:rPr>
        </w:r>
        <w:r>
          <w:rPr>
            <w:noProof/>
            <w:webHidden/>
          </w:rPr>
          <w:fldChar w:fldCharType="separate"/>
        </w:r>
        <w:r w:rsidR="005028F8">
          <w:rPr>
            <w:noProof/>
            <w:webHidden/>
          </w:rPr>
          <w:t>315</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160" w:history="1">
        <w:r w:rsidRPr="009A2083">
          <w:rPr>
            <w:rStyle w:val="Hyperlink"/>
            <w:noProof/>
          </w:rPr>
          <w:t>Automated Testing Interface</w:t>
        </w:r>
        <w:r>
          <w:rPr>
            <w:noProof/>
            <w:webHidden/>
          </w:rPr>
          <w:tab/>
        </w:r>
        <w:r>
          <w:rPr>
            <w:noProof/>
            <w:webHidden/>
          </w:rPr>
          <w:fldChar w:fldCharType="begin"/>
        </w:r>
        <w:r>
          <w:rPr>
            <w:noProof/>
            <w:webHidden/>
          </w:rPr>
          <w:instrText xml:space="preserve"> PAGEREF _Toc459900160 \h </w:instrText>
        </w:r>
        <w:r>
          <w:rPr>
            <w:noProof/>
            <w:webHidden/>
          </w:rPr>
        </w:r>
        <w:r>
          <w:rPr>
            <w:noProof/>
            <w:webHidden/>
          </w:rPr>
          <w:fldChar w:fldCharType="separate"/>
        </w:r>
        <w:r w:rsidR="005028F8">
          <w:rPr>
            <w:noProof/>
            <w:webHidden/>
          </w:rPr>
          <w:t>315</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161" w:history="1">
        <w:r w:rsidRPr="009A2083">
          <w:rPr>
            <w:rStyle w:val="Hyperlink"/>
            <w:noProof/>
          </w:rPr>
          <w:t>Automated Testing Review for Blood Units</w:t>
        </w:r>
        <w:r>
          <w:rPr>
            <w:noProof/>
            <w:webHidden/>
          </w:rPr>
          <w:tab/>
        </w:r>
        <w:r>
          <w:rPr>
            <w:noProof/>
            <w:webHidden/>
          </w:rPr>
          <w:fldChar w:fldCharType="begin"/>
        </w:r>
        <w:r>
          <w:rPr>
            <w:noProof/>
            <w:webHidden/>
          </w:rPr>
          <w:instrText xml:space="preserve"> PAGEREF _Toc459900161 \h </w:instrText>
        </w:r>
        <w:r>
          <w:rPr>
            <w:noProof/>
            <w:webHidden/>
          </w:rPr>
        </w:r>
        <w:r>
          <w:rPr>
            <w:noProof/>
            <w:webHidden/>
          </w:rPr>
          <w:fldChar w:fldCharType="separate"/>
        </w:r>
        <w:r w:rsidR="005028F8">
          <w:rPr>
            <w:noProof/>
            <w:webHidden/>
          </w:rPr>
          <w:t>318</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162" w:history="1">
        <w:r w:rsidRPr="009A2083">
          <w:rPr>
            <w:rStyle w:val="Hyperlink"/>
            <w:noProof/>
          </w:rPr>
          <w:t>Automated Testing Review for Patients</w:t>
        </w:r>
        <w:r>
          <w:rPr>
            <w:noProof/>
            <w:webHidden/>
          </w:rPr>
          <w:tab/>
        </w:r>
        <w:r>
          <w:rPr>
            <w:noProof/>
            <w:webHidden/>
          </w:rPr>
          <w:fldChar w:fldCharType="begin"/>
        </w:r>
        <w:r>
          <w:rPr>
            <w:noProof/>
            <w:webHidden/>
          </w:rPr>
          <w:instrText xml:space="preserve"> PAGEREF _Toc459900162 \h </w:instrText>
        </w:r>
        <w:r>
          <w:rPr>
            <w:noProof/>
            <w:webHidden/>
          </w:rPr>
        </w:r>
        <w:r>
          <w:rPr>
            <w:noProof/>
            <w:webHidden/>
          </w:rPr>
          <w:fldChar w:fldCharType="separate"/>
        </w:r>
        <w:r w:rsidR="005028F8">
          <w:rPr>
            <w:noProof/>
            <w:webHidden/>
          </w:rPr>
          <w:t>322</w:t>
        </w:r>
        <w:r>
          <w:rPr>
            <w:noProof/>
            <w:webHidden/>
          </w:rPr>
          <w:fldChar w:fldCharType="end"/>
        </w:r>
      </w:hyperlink>
    </w:p>
    <w:p w:rsidR="00E155EF" w:rsidRPr="00206A59" w:rsidRDefault="00E155EF">
      <w:pPr>
        <w:pStyle w:val="TOC1"/>
        <w:tabs>
          <w:tab w:val="right" w:leader="dot" w:pos="9350"/>
        </w:tabs>
        <w:rPr>
          <w:rFonts w:ascii="Calibri" w:hAnsi="Calibri"/>
          <w:b w:val="0"/>
          <w:caps w:val="0"/>
          <w:noProof/>
        </w:rPr>
      </w:pPr>
      <w:hyperlink w:anchor="_Toc459900163" w:history="1">
        <w:r w:rsidRPr="009A2083">
          <w:rPr>
            <w:rStyle w:val="Hyperlink"/>
            <w:noProof/>
          </w:rPr>
          <w:t>Reports</w:t>
        </w:r>
        <w:r>
          <w:rPr>
            <w:noProof/>
            <w:webHidden/>
          </w:rPr>
          <w:tab/>
        </w:r>
        <w:r>
          <w:rPr>
            <w:noProof/>
            <w:webHidden/>
          </w:rPr>
          <w:fldChar w:fldCharType="begin"/>
        </w:r>
        <w:r>
          <w:rPr>
            <w:noProof/>
            <w:webHidden/>
          </w:rPr>
          <w:instrText xml:space="preserve"> PAGEREF _Toc459900163 \h </w:instrText>
        </w:r>
        <w:r>
          <w:rPr>
            <w:noProof/>
            <w:webHidden/>
          </w:rPr>
        </w:r>
        <w:r>
          <w:rPr>
            <w:noProof/>
            <w:webHidden/>
          </w:rPr>
          <w:fldChar w:fldCharType="separate"/>
        </w:r>
        <w:r w:rsidR="005028F8">
          <w:rPr>
            <w:noProof/>
            <w:webHidden/>
          </w:rPr>
          <w:t>329</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164" w:history="1">
        <w:r w:rsidRPr="009A2083">
          <w:rPr>
            <w:rStyle w:val="Hyperlink"/>
            <w:noProof/>
          </w:rPr>
          <w:t>Administrative Data Report</w:t>
        </w:r>
        <w:r>
          <w:rPr>
            <w:noProof/>
            <w:webHidden/>
          </w:rPr>
          <w:tab/>
        </w:r>
        <w:r>
          <w:rPr>
            <w:noProof/>
            <w:webHidden/>
          </w:rPr>
          <w:fldChar w:fldCharType="begin"/>
        </w:r>
        <w:r>
          <w:rPr>
            <w:noProof/>
            <w:webHidden/>
          </w:rPr>
          <w:instrText xml:space="preserve"> PAGEREF _Toc459900164 \h </w:instrText>
        </w:r>
        <w:r>
          <w:rPr>
            <w:noProof/>
            <w:webHidden/>
          </w:rPr>
        </w:r>
        <w:r>
          <w:rPr>
            <w:noProof/>
            <w:webHidden/>
          </w:rPr>
          <w:fldChar w:fldCharType="separate"/>
        </w:r>
        <w:r w:rsidR="005028F8">
          <w:rPr>
            <w:noProof/>
            <w:webHidden/>
          </w:rPr>
          <w:t>329</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165" w:history="1">
        <w:r w:rsidRPr="009A2083">
          <w:rPr>
            <w:rStyle w:val="Hyperlink"/>
            <w:noProof/>
          </w:rPr>
          <w:t>Audit Trail</w:t>
        </w:r>
        <w:r>
          <w:rPr>
            <w:noProof/>
            <w:webHidden/>
          </w:rPr>
          <w:tab/>
        </w:r>
        <w:r>
          <w:rPr>
            <w:noProof/>
            <w:webHidden/>
          </w:rPr>
          <w:fldChar w:fldCharType="begin"/>
        </w:r>
        <w:r>
          <w:rPr>
            <w:noProof/>
            <w:webHidden/>
          </w:rPr>
          <w:instrText xml:space="preserve"> PAGEREF _Toc459900165 \h </w:instrText>
        </w:r>
        <w:r>
          <w:rPr>
            <w:noProof/>
            <w:webHidden/>
          </w:rPr>
        </w:r>
        <w:r>
          <w:rPr>
            <w:noProof/>
            <w:webHidden/>
          </w:rPr>
          <w:fldChar w:fldCharType="separate"/>
        </w:r>
        <w:r w:rsidR="005028F8">
          <w:rPr>
            <w:noProof/>
            <w:webHidden/>
          </w:rPr>
          <w:t>331</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166" w:history="1">
        <w:r w:rsidRPr="009A2083">
          <w:rPr>
            <w:rStyle w:val="Hyperlink"/>
            <w:noProof/>
          </w:rPr>
          <w:t>Blood Availability</w:t>
        </w:r>
        <w:r>
          <w:rPr>
            <w:noProof/>
            <w:webHidden/>
          </w:rPr>
          <w:tab/>
        </w:r>
        <w:r>
          <w:rPr>
            <w:noProof/>
            <w:webHidden/>
          </w:rPr>
          <w:fldChar w:fldCharType="begin"/>
        </w:r>
        <w:r>
          <w:rPr>
            <w:noProof/>
            <w:webHidden/>
          </w:rPr>
          <w:instrText xml:space="preserve"> PAGEREF _Toc459900166 \h </w:instrText>
        </w:r>
        <w:r>
          <w:rPr>
            <w:noProof/>
            <w:webHidden/>
          </w:rPr>
        </w:r>
        <w:r>
          <w:rPr>
            <w:noProof/>
            <w:webHidden/>
          </w:rPr>
          <w:fldChar w:fldCharType="separate"/>
        </w:r>
        <w:r w:rsidR="005028F8">
          <w:rPr>
            <w:noProof/>
            <w:webHidden/>
          </w:rPr>
          <w:t>333</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167" w:history="1">
        <w:r w:rsidRPr="009A2083">
          <w:rPr>
            <w:rStyle w:val="Hyperlink"/>
            <w:noProof/>
          </w:rPr>
          <w:t>Cost Accounting Report</w:t>
        </w:r>
        <w:r>
          <w:rPr>
            <w:noProof/>
            <w:webHidden/>
          </w:rPr>
          <w:tab/>
        </w:r>
        <w:r>
          <w:rPr>
            <w:noProof/>
            <w:webHidden/>
          </w:rPr>
          <w:fldChar w:fldCharType="begin"/>
        </w:r>
        <w:r>
          <w:rPr>
            <w:noProof/>
            <w:webHidden/>
          </w:rPr>
          <w:instrText xml:space="preserve"> PAGEREF _Toc459900167 \h </w:instrText>
        </w:r>
        <w:r>
          <w:rPr>
            <w:noProof/>
            <w:webHidden/>
          </w:rPr>
        </w:r>
        <w:r>
          <w:rPr>
            <w:noProof/>
            <w:webHidden/>
          </w:rPr>
          <w:fldChar w:fldCharType="separate"/>
        </w:r>
        <w:r w:rsidR="005028F8">
          <w:rPr>
            <w:noProof/>
            <w:webHidden/>
          </w:rPr>
          <w:t>335</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168" w:history="1">
        <w:r w:rsidRPr="009A2083">
          <w:rPr>
            <w:rStyle w:val="Hyperlink"/>
            <w:noProof/>
          </w:rPr>
          <w:t>C:T Ratio Report</w:t>
        </w:r>
        <w:r>
          <w:rPr>
            <w:noProof/>
            <w:webHidden/>
          </w:rPr>
          <w:tab/>
        </w:r>
        <w:r>
          <w:rPr>
            <w:noProof/>
            <w:webHidden/>
          </w:rPr>
          <w:fldChar w:fldCharType="begin"/>
        </w:r>
        <w:r>
          <w:rPr>
            <w:noProof/>
            <w:webHidden/>
          </w:rPr>
          <w:instrText xml:space="preserve"> PAGEREF _Toc459900168 \h </w:instrText>
        </w:r>
        <w:r>
          <w:rPr>
            <w:noProof/>
            <w:webHidden/>
          </w:rPr>
        </w:r>
        <w:r>
          <w:rPr>
            <w:noProof/>
            <w:webHidden/>
          </w:rPr>
          <w:fldChar w:fldCharType="separate"/>
        </w:r>
        <w:r w:rsidR="005028F8">
          <w:rPr>
            <w:noProof/>
            <w:webHidden/>
          </w:rPr>
          <w:t>337</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169" w:history="1">
        <w:r w:rsidRPr="009A2083">
          <w:rPr>
            <w:rStyle w:val="Hyperlink"/>
            <w:noProof/>
          </w:rPr>
          <w:t>Division Transfusion Report</w:t>
        </w:r>
        <w:r>
          <w:rPr>
            <w:noProof/>
            <w:webHidden/>
          </w:rPr>
          <w:tab/>
        </w:r>
        <w:r>
          <w:rPr>
            <w:noProof/>
            <w:webHidden/>
          </w:rPr>
          <w:fldChar w:fldCharType="begin"/>
        </w:r>
        <w:r>
          <w:rPr>
            <w:noProof/>
            <w:webHidden/>
          </w:rPr>
          <w:instrText xml:space="preserve"> PAGEREF _Toc459900169 \h </w:instrText>
        </w:r>
        <w:r>
          <w:rPr>
            <w:noProof/>
            <w:webHidden/>
          </w:rPr>
        </w:r>
        <w:r>
          <w:rPr>
            <w:noProof/>
            <w:webHidden/>
          </w:rPr>
          <w:fldChar w:fldCharType="separate"/>
        </w:r>
        <w:r w:rsidR="005028F8">
          <w:rPr>
            <w:noProof/>
            <w:webHidden/>
          </w:rPr>
          <w:t>339</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170" w:history="1">
        <w:r w:rsidRPr="009A2083">
          <w:rPr>
            <w:rStyle w:val="Hyperlink"/>
            <w:noProof/>
          </w:rPr>
          <w:t>Division Workload Report</w:t>
        </w:r>
        <w:r>
          <w:rPr>
            <w:noProof/>
            <w:webHidden/>
          </w:rPr>
          <w:tab/>
        </w:r>
        <w:r>
          <w:rPr>
            <w:noProof/>
            <w:webHidden/>
          </w:rPr>
          <w:fldChar w:fldCharType="begin"/>
        </w:r>
        <w:r>
          <w:rPr>
            <w:noProof/>
            <w:webHidden/>
          </w:rPr>
          <w:instrText xml:space="preserve"> PAGEREF _Toc459900170 \h </w:instrText>
        </w:r>
        <w:r>
          <w:rPr>
            <w:noProof/>
            <w:webHidden/>
          </w:rPr>
        </w:r>
        <w:r>
          <w:rPr>
            <w:noProof/>
            <w:webHidden/>
          </w:rPr>
          <w:fldChar w:fldCharType="separate"/>
        </w:r>
        <w:r w:rsidR="005028F8">
          <w:rPr>
            <w:noProof/>
            <w:webHidden/>
          </w:rPr>
          <w:t>341</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171" w:history="1">
        <w:r w:rsidRPr="009A2083">
          <w:rPr>
            <w:rStyle w:val="Hyperlink"/>
            <w:noProof/>
          </w:rPr>
          <w:t>Exception Report</w:t>
        </w:r>
        <w:r>
          <w:rPr>
            <w:noProof/>
            <w:webHidden/>
          </w:rPr>
          <w:tab/>
        </w:r>
        <w:r>
          <w:rPr>
            <w:noProof/>
            <w:webHidden/>
          </w:rPr>
          <w:fldChar w:fldCharType="begin"/>
        </w:r>
        <w:r>
          <w:rPr>
            <w:noProof/>
            <w:webHidden/>
          </w:rPr>
          <w:instrText xml:space="preserve"> PAGEREF _Toc459900171 \h </w:instrText>
        </w:r>
        <w:r>
          <w:rPr>
            <w:noProof/>
            <w:webHidden/>
          </w:rPr>
        </w:r>
        <w:r>
          <w:rPr>
            <w:noProof/>
            <w:webHidden/>
          </w:rPr>
          <w:fldChar w:fldCharType="separate"/>
        </w:r>
        <w:r w:rsidR="005028F8">
          <w:rPr>
            <w:noProof/>
            <w:webHidden/>
          </w:rPr>
          <w:t>343</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172" w:history="1">
        <w:r w:rsidRPr="009A2083">
          <w:rPr>
            <w:rStyle w:val="Hyperlink"/>
            <w:noProof/>
          </w:rPr>
          <w:t>Finalize/Print TRW (See Patient Services, Finalize/Print TRW)</w:t>
        </w:r>
        <w:r>
          <w:rPr>
            <w:noProof/>
            <w:webHidden/>
          </w:rPr>
          <w:tab/>
        </w:r>
        <w:r>
          <w:rPr>
            <w:noProof/>
            <w:webHidden/>
          </w:rPr>
          <w:fldChar w:fldCharType="begin"/>
        </w:r>
        <w:r>
          <w:rPr>
            <w:noProof/>
            <w:webHidden/>
          </w:rPr>
          <w:instrText xml:space="preserve"> PAGEREF _Toc459900172 \h </w:instrText>
        </w:r>
        <w:r>
          <w:rPr>
            <w:noProof/>
            <w:webHidden/>
          </w:rPr>
        </w:r>
        <w:r>
          <w:rPr>
            <w:noProof/>
            <w:webHidden/>
          </w:rPr>
          <w:fldChar w:fldCharType="separate"/>
        </w:r>
        <w:r w:rsidR="005028F8">
          <w:rPr>
            <w:noProof/>
            <w:webHidden/>
          </w:rPr>
          <w:t>345</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173" w:history="1">
        <w:r w:rsidRPr="009A2083">
          <w:rPr>
            <w:rStyle w:val="Hyperlink"/>
            <w:noProof/>
          </w:rPr>
          <w:t>Inappropriate Transfusion Request Report</w:t>
        </w:r>
        <w:r>
          <w:rPr>
            <w:noProof/>
            <w:webHidden/>
          </w:rPr>
          <w:tab/>
        </w:r>
        <w:r>
          <w:rPr>
            <w:noProof/>
            <w:webHidden/>
          </w:rPr>
          <w:fldChar w:fldCharType="begin"/>
        </w:r>
        <w:r>
          <w:rPr>
            <w:noProof/>
            <w:webHidden/>
          </w:rPr>
          <w:instrText xml:space="preserve"> PAGEREF _Toc459900173 \h </w:instrText>
        </w:r>
        <w:r>
          <w:rPr>
            <w:noProof/>
            <w:webHidden/>
          </w:rPr>
        </w:r>
        <w:r>
          <w:rPr>
            <w:noProof/>
            <w:webHidden/>
          </w:rPr>
          <w:fldChar w:fldCharType="separate"/>
        </w:r>
        <w:r w:rsidR="005028F8">
          <w:rPr>
            <w:noProof/>
            <w:webHidden/>
          </w:rPr>
          <w:t>345</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174" w:history="1">
        <w:r w:rsidRPr="009A2083">
          <w:rPr>
            <w:rStyle w:val="Hyperlink"/>
            <w:noProof/>
          </w:rPr>
          <w:t>Issued/Returned Unit Report</w:t>
        </w:r>
        <w:r>
          <w:rPr>
            <w:noProof/>
            <w:webHidden/>
          </w:rPr>
          <w:tab/>
        </w:r>
        <w:r>
          <w:rPr>
            <w:noProof/>
            <w:webHidden/>
          </w:rPr>
          <w:fldChar w:fldCharType="begin"/>
        </w:r>
        <w:r>
          <w:rPr>
            <w:noProof/>
            <w:webHidden/>
          </w:rPr>
          <w:instrText xml:space="preserve"> PAGEREF _Toc459900174 \h </w:instrText>
        </w:r>
        <w:r>
          <w:rPr>
            <w:noProof/>
            <w:webHidden/>
          </w:rPr>
        </w:r>
        <w:r>
          <w:rPr>
            <w:noProof/>
            <w:webHidden/>
          </w:rPr>
          <w:fldChar w:fldCharType="separate"/>
        </w:r>
        <w:r w:rsidR="005028F8">
          <w:rPr>
            <w:noProof/>
            <w:webHidden/>
          </w:rPr>
          <w:t>347</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175" w:history="1">
        <w:r w:rsidRPr="009A2083">
          <w:rPr>
            <w:rStyle w:val="Hyperlink"/>
            <w:noProof/>
          </w:rPr>
          <w:t>Medication Profile (See Patient Information Toolbar)</w:t>
        </w:r>
        <w:r>
          <w:rPr>
            <w:noProof/>
            <w:webHidden/>
          </w:rPr>
          <w:tab/>
        </w:r>
        <w:r>
          <w:rPr>
            <w:noProof/>
            <w:webHidden/>
          </w:rPr>
          <w:fldChar w:fldCharType="begin"/>
        </w:r>
        <w:r>
          <w:rPr>
            <w:noProof/>
            <w:webHidden/>
          </w:rPr>
          <w:instrText xml:space="preserve"> PAGEREF _Toc459900175 \h </w:instrText>
        </w:r>
        <w:r>
          <w:rPr>
            <w:noProof/>
            <w:webHidden/>
          </w:rPr>
        </w:r>
        <w:r>
          <w:rPr>
            <w:noProof/>
            <w:webHidden/>
          </w:rPr>
          <w:fldChar w:fldCharType="separate"/>
        </w:r>
        <w:r w:rsidR="005028F8">
          <w:rPr>
            <w:noProof/>
            <w:webHidden/>
          </w:rPr>
          <w:t>349</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176" w:history="1">
        <w:r w:rsidRPr="009A2083">
          <w:rPr>
            <w:rStyle w:val="Hyperlink"/>
            <w:noProof/>
          </w:rPr>
          <w:t>Order History Report</w:t>
        </w:r>
        <w:r>
          <w:rPr>
            <w:noProof/>
            <w:webHidden/>
          </w:rPr>
          <w:tab/>
        </w:r>
        <w:r>
          <w:rPr>
            <w:noProof/>
            <w:webHidden/>
          </w:rPr>
          <w:fldChar w:fldCharType="begin"/>
        </w:r>
        <w:r>
          <w:rPr>
            <w:noProof/>
            <w:webHidden/>
          </w:rPr>
          <w:instrText xml:space="preserve"> PAGEREF _Toc459900176 \h </w:instrText>
        </w:r>
        <w:r>
          <w:rPr>
            <w:noProof/>
            <w:webHidden/>
          </w:rPr>
        </w:r>
        <w:r>
          <w:rPr>
            <w:noProof/>
            <w:webHidden/>
          </w:rPr>
          <w:fldChar w:fldCharType="separate"/>
        </w:r>
        <w:r w:rsidR="005028F8">
          <w:rPr>
            <w:noProof/>
            <w:webHidden/>
          </w:rPr>
          <w:t>349</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177" w:history="1">
        <w:r w:rsidRPr="009A2083">
          <w:rPr>
            <w:rStyle w:val="Hyperlink"/>
            <w:noProof/>
          </w:rPr>
          <w:t>Patient History Report</w:t>
        </w:r>
        <w:r>
          <w:rPr>
            <w:noProof/>
            <w:webHidden/>
          </w:rPr>
          <w:tab/>
        </w:r>
        <w:r>
          <w:rPr>
            <w:noProof/>
            <w:webHidden/>
          </w:rPr>
          <w:fldChar w:fldCharType="begin"/>
        </w:r>
        <w:r>
          <w:rPr>
            <w:noProof/>
            <w:webHidden/>
          </w:rPr>
          <w:instrText xml:space="preserve"> PAGEREF _Toc459900177 \h </w:instrText>
        </w:r>
        <w:r>
          <w:rPr>
            <w:noProof/>
            <w:webHidden/>
          </w:rPr>
        </w:r>
        <w:r>
          <w:rPr>
            <w:noProof/>
            <w:webHidden/>
          </w:rPr>
          <w:fldChar w:fldCharType="separate"/>
        </w:r>
        <w:r w:rsidR="005028F8">
          <w:rPr>
            <w:noProof/>
            <w:webHidden/>
          </w:rPr>
          <w:t>351</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178" w:history="1">
        <w:r w:rsidRPr="009A2083">
          <w:rPr>
            <w:rStyle w:val="Hyperlink"/>
            <w:noProof/>
          </w:rPr>
          <w:t>Prolonged Transfusion Time Report</w:t>
        </w:r>
        <w:r>
          <w:rPr>
            <w:noProof/>
            <w:webHidden/>
          </w:rPr>
          <w:tab/>
        </w:r>
        <w:r>
          <w:rPr>
            <w:noProof/>
            <w:webHidden/>
          </w:rPr>
          <w:fldChar w:fldCharType="begin"/>
        </w:r>
        <w:r>
          <w:rPr>
            <w:noProof/>
            <w:webHidden/>
          </w:rPr>
          <w:instrText xml:space="preserve"> PAGEREF _Toc459900178 \h </w:instrText>
        </w:r>
        <w:r>
          <w:rPr>
            <w:noProof/>
            <w:webHidden/>
          </w:rPr>
        </w:r>
        <w:r>
          <w:rPr>
            <w:noProof/>
            <w:webHidden/>
          </w:rPr>
          <w:fldChar w:fldCharType="separate"/>
        </w:r>
        <w:r w:rsidR="005028F8">
          <w:rPr>
            <w:noProof/>
            <w:webHidden/>
          </w:rPr>
          <w:t>353</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179" w:history="1">
        <w:r w:rsidRPr="009A2083">
          <w:rPr>
            <w:rStyle w:val="Hyperlink"/>
            <w:noProof/>
          </w:rPr>
          <w:t>Patient Testing Worklist and Testing Worklist Reports</w:t>
        </w:r>
        <w:r>
          <w:rPr>
            <w:noProof/>
            <w:webHidden/>
          </w:rPr>
          <w:tab/>
        </w:r>
        <w:r>
          <w:rPr>
            <w:noProof/>
            <w:webHidden/>
          </w:rPr>
          <w:fldChar w:fldCharType="begin"/>
        </w:r>
        <w:r>
          <w:rPr>
            <w:noProof/>
            <w:webHidden/>
          </w:rPr>
          <w:instrText xml:space="preserve"> PAGEREF _Toc459900179 \h </w:instrText>
        </w:r>
        <w:r>
          <w:rPr>
            <w:noProof/>
            <w:webHidden/>
          </w:rPr>
        </w:r>
        <w:r>
          <w:rPr>
            <w:noProof/>
            <w:webHidden/>
          </w:rPr>
          <w:fldChar w:fldCharType="separate"/>
        </w:r>
        <w:r w:rsidR="005028F8">
          <w:rPr>
            <w:noProof/>
            <w:webHidden/>
          </w:rPr>
          <w:t>355</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180" w:history="1">
        <w:r w:rsidRPr="009A2083">
          <w:rPr>
            <w:rStyle w:val="Hyperlink"/>
            <w:noProof/>
          </w:rPr>
          <w:t>Transfusion Complications Report</w:t>
        </w:r>
        <w:r>
          <w:rPr>
            <w:noProof/>
            <w:webHidden/>
          </w:rPr>
          <w:tab/>
        </w:r>
        <w:r>
          <w:rPr>
            <w:noProof/>
            <w:webHidden/>
          </w:rPr>
          <w:fldChar w:fldCharType="begin"/>
        </w:r>
        <w:r>
          <w:rPr>
            <w:noProof/>
            <w:webHidden/>
          </w:rPr>
          <w:instrText xml:space="preserve"> PAGEREF _Toc459900180 \h </w:instrText>
        </w:r>
        <w:r>
          <w:rPr>
            <w:noProof/>
            <w:webHidden/>
          </w:rPr>
        </w:r>
        <w:r>
          <w:rPr>
            <w:noProof/>
            <w:webHidden/>
          </w:rPr>
          <w:fldChar w:fldCharType="separate"/>
        </w:r>
        <w:r w:rsidR="005028F8">
          <w:rPr>
            <w:noProof/>
            <w:webHidden/>
          </w:rPr>
          <w:t>358</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181" w:history="1">
        <w:r w:rsidRPr="009A2083">
          <w:rPr>
            <w:rStyle w:val="Hyperlink"/>
            <w:noProof/>
          </w:rPr>
          <w:t>Transfusion Effectiveness Report</w:t>
        </w:r>
        <w:r>
          <w:rPr>
            <w:noProof/>
            <w:webHidden/>
          </w:rPr>
          <w:tab/>
        </w:r>
        <w:r>
          <w:rPr>
            <w:noProof/>
            <w:webHidden/>
          </w:rPr>
          <w:fldChar w:fldCharType="begin"/>
        </w:r>
        <w:r>
          <w:rPr>
            <w:noProof/>
            <w:webHidden/>
          </w:rPr>
          <w:instrText xml:space="preserve"> PAGEREF _Toc459900181 \h </w:instrText>
        </w:r>
        <w:r>
          <w:rPr>
            <w:noProof/>
            <w:webHidden/>
          </w:rPr>
        </w:r>
        <w:r>
          <w:rPr>
            <w:noProof/>
            <w:webHidden/>
          </w:rPr>
          <w:fldChar w:fldCharType="separate"/>
        </w:r>
        <w:r w:rsidR="005028F8">
          <w:rPr>
            <w:noProof/>
            <w:webHidden/>
          </w:rPr>
          <w:t>360</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182" w:history="1">
        <w:r w:rsidRPr="009A2083">
          <w:rPr>
            <w:rStyle w:val="Hyperlink"/>
            <w:noProof/>
          </w:rPr>
          <w:t>Transfusion Reaction Count Report</w:t>
        </w:r>
        <w:r>
          <w:rPr>
            <w:noProof/>
            <w:webHidden/>
          </w:rPr>
          <w:tab/>
        </w:r>
        <w:r>
          <w:rPr>
            <w:noProof/>
            <w:webHidden/>
          </w:rPr>
          <w:fldChar w:fldCharType="begin"/>
        </w:r>
        <w:r>
          <w:rPr>
            <w:noProof/>
            <w:webHidden/>
          </w:rPr>
          <w:instrText xml:space="preserve"> PAGEREF _Toc459900182 \h </w:instrText>
        </w:r>
        <w:r>
          <w:rPr>
            <w:noProof/>
            <w:webHidden/>
          </w:rPr>
        </w:r>
        <w:r>
          <w:rPr>
            <w:noProof/>
            <w:webHidden/>
          </w:rPr>
          <w:fldChar w:fldCharType="separate"/>
        </w:r>
        <w:r w:rsidR="005028F8">
          <w:rPr>
            <w:noProof/>
            <w:webHidden/>
          </w:rPr>
          <w:t>362</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183" w:history="1">
        <w:r w:rsidRPr="009A2083">
          <w:rPr>
            <w:rStyle w:val="Hyperlink"/>
            <w:noProof/>
          </w:rPr>
          <w:t>Transfusion Requirements Report</w:t>
        </w:r>
        <w:r>
          <w:rPr>
            <w:noProof/>
            <w:webHidden/>
          </w:rPr>
          <w:tab/>
        </w:r>
        <w:r>
          <w:rPr>
            <w:noProof/>
            <w:webHidden/>
          </w:rPr>
          <w:fldChar w:fldCharType="begin"/>
        </w:r>
        <w:r>
          <w:rPr>
            <w:noProof/>
            <w:webHidden/>
          </w:rPr>
          <w:instrText xml:space="preserve"> PAGEREF _Toc459900183 \h </w:instrText>
        </w:r>
        <w:r>
          <w:rPr>
            <w:noProof/>
            <w:webHidden/>
          </w:rPr>
        </w:r>
        <w:r>
          <w:rPr>
            <w:noProof/>
            <w:webHidden/>
          </w:rPr>
          <w:fldChar w:fldCharType="separate"/>
        </w:r>
        <w:r w:rsidR="005028F8">
          <w:rPr>
            <w:noProof/>
            <w:webHidden/>
          </w:rPr>
          <w:t>364</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184" w:history="1">
        <w:r w:rsidRPr="009A2083">
          <w:rPr>
            <w:rStyle w:val="Hyperlink"/>
            <w:noProof/>
          </w:rPr>
          <w:t>Unit History Report</w:t>
        </w:r>
        <w:r>
          <w:rPr>
            <w:noProof/>
            <w:webHidden/>
          </w:rPr>
          <w:tab/>
        </w:r>
        <w:r>
          <w:rPr>
            <w:noProof/>
            <w:webHidden/>
          </w:rPr>
          <w:fldChar w:fldCharType="begin"/>
        </w:r>
        <w:r>
          <w:rPr>
            <w:noProof/>
            <w:webHidden/>
          </w:rPr>
          <w:instrText xml:space="preserve"> PAGEREF _Toc459900184 \h </w:instrText>
        </w:r>
        <w:r>
          <w:rPr>
            <w:noProof/>
            <w:webHidden/>
          </w:rPr>
        </w:r>
        <w:r>
          <w:rPr>
            <w:noProof/>
            <w:webHidden/>
          </w:rPr>
          <w:fldChar w:fldCharType="separate"/>
        </w:r>
        <w:r w:rsidR="005028F8">
          <w:rPr>
            <w:noProof/>
            <w:webHidden/>
          </w:rPr>
          <w:t>366</w:t>
        </w:r>
        <w:r>
          <w:rPr>
            <w:noProof/>
            <w:webHidden/>
          </w:rPr>
          <w:fldChar w:fldCharType="end"/>
        </w:r>
      </w:hyperlink>
    </w:p>
    <w:p w:rsidR="00E155EF" w:rsidRPr="00206A59" w:rsidRDefault="00E155EF">
      <w:pPr>
        <w:pStyle w:val="TOC1"/>
        <w:tabs>
          <w:tab w:val="right" w:leader="dot" w:pos="9350"/>
        </w:tabs>
        <w:rPr>
          <w:rFonts w:ascii="Calibri" w:hAnsi="Calibri"/>
          <w:b w:val="0"/>
          <w:caps w:val="0"/>
          <w:noProof/>
        </w:rPr>
      </w:pPr>
      <w:hyperlink w:anchor="_Toc459900185" w:history="1">
        <w:r w:rsidRPr="009A2083">
          <w:rPr>
            <w:rStyle w:val="Hyperlink"/>
            <w:noProof/>
          </w:rPr>
          <w:t>References</w:t>
        </w:r>
        <w:r>
          <w:rPr>
            <w:noProof/>
            <w:webHidden/>
          </w:rPr>
          <w:tab/>
        </w:r>
        <w:r>
          <w:rPr>
            <w:noProof/>
            <w:webHidden/>
          </w:rPr>
          <w:fldChar w:fldCharType="begin"/>
        </w:r>
        <w:r>
          <w:rPr>
            <w:noProof/>
            <w:webHidden/>
          </w:rPr>
          <w:instrText xml:space="preserve"> PAGEREF _Toc459900185 \h </w:instrText>
        </w:r>
        <w:r>
          <w:rPr>
            <w:noProof/>
            <w:webHidden/>
          </w:rPr>
        </w:r>
        <w:r>
          <w:rPr>
            <w:noProof/>
            <w:webHidden/>
          </w:rPr>
          <w:fldChar w:fldCharType="separate"/>
        </w:r>
        <w:r w:rsidR="005028F8">
          <w:rPr>
            <w:noProof/>
            <w:webHidden/>
          </w:rPr>
          <w:t>369</w:t>
        </w:r>
        <w:r>
          <w:rPr>
            <w:noProof/>
            <w:webHidden/>
          </w:rPr>
          <w:fldChar w:fldCharType="end"/>
        </w:r>
      </w:hyperlink>
    </w:p>
    <w:p w:rsidR="00E155EF" w:rsidRPr="00206A59" w:rsidRDefault="00E155EF">
      <w:pPr>
        <w:pStyle w:val="TOC1"/>
        <w:tabs>
          <w:tab w:val="right" w:leader="dot" w:pos="9350"/>
        </w:tabs>
        <w:rPr>
          <w:rFonts w:ascii="Calibri" w:hAnsi="Calibri"/>
          <w:b w:val="0"/>
          <w:caps w:val="0"/>
          <w:noProof/>
        </w:rPr>
      </w:pPr>
      <w:hyperlink w:anchor="_Toc459900186" w:history="1">
        <w:r w:rsidRPr="009A2083">
          <w:rPr>
            <w:rStyle w:val="Hyperlink"/>
            <w:noProof/>
          </w:rPr>
          <w:t>Glossary</w:t>
        </w:r>
        <w:r>
          <w:rPr>
            <w:noProof/>
            <w:webHidden/>
          </w:rPr>
          <w:tab/>
        </w:r>
        <w:r>
          <w:rPr>
            <w:noProof/>
            <w:webHidden/>
          </w:rPr>
          <w:fldChar w:fldCharType="begin"/>
        </w:r>
        <w:r>
          <w:rPr>
            <w:noProof/>
            <w:webHidden/>
          </w:rPr>
          <w:instrText xml:space="preserve"> PAGEREF _Toc459900186 \h </w:instrText>
        </w:r>
        <w:r>
          <w:rPr>
            <w:noProof/>
            <w:webHidden/>
          </w:rPr>
        </w:r>
        <w:r>
          <w:rPr>
            <w:noProof/>
            <w:webHidden/>
          </w:rPr>
          <w:fldChar w:fldCharType="separate"/>
        </w:r>
        <w:r w:rsidR="005028F8">
          <w:rPr>
            <w:noProof/>
            <w:webHidden/>
          </w:rPr>
          <w:t>373</w:t>
        </w:r>
        <w:r>
          <w:rPr>
            <w:noProof/>
            <w:webHidden/>
          </w:rPr>
          <w:fldChar w:fldCharType="end"/>
        </w:r>
      </w:hyperlink>
    </w:p>
    <w:p w:rsidR="00E155EF" w:rsidRPr="00206A59" w:rsidRDefault="00E155EF">
      <w:pPr>
        <w:pStyle w:val="TOC1"/>
        <w:tabs>
          <w:tab w:val="right" w:leader="dot" w:pos="9350"/>
        </w:tabs>
        <w:rPr>
          <w:rFonts w:ascii="Calibri" w:hAnsi="Calibri"/>
          <w:b w:val="0"/>
          <w:caps w:val="0"/>
          <w:noProof/>
        </w:rPr>
      </w:pPr>
      <w:hyperlink w:anchor="_Toc459900187" w:history="1">
        <w:r w:rsidRPr="009A2083">
          <w:rPr>
            <w:rStyle w:val="Hyperlink"/>
            <w:noProof/>
          </w:rPr>
          <w:t>Appendices</w:t>
        </w:r>
        <w:r>
          <w:rPr>
            <w:noProof/>
            <w:webHidden/>
          </w:rPr>
          <w:tab/>
        </w:r>
        <w:r>
          <w:rPr>
            <w:noProof/>
            <w:webHidden/>
          </w:rPr>
          <w:fldChar w:fldCharType="begin"/>
        </w:r>
        <w:r>
          <w:rPr>
            <w:noProof/>
            <w:webHidden/>
          </w:rPr>
          <w:instrText xml:space="preserve"> PAGEREF _Toc459900187 \h </w:instrText>
        </w:r>
        <w:r>
          <w:rPr>
            <w:noProof/>
            <w:webHidden/>
          </w:rPr>
        </w:r>
        <w:r>
          <w:rPr>
            <w:noProof/>
            <w:webHidden/>
          </w:rPr>
          <w:fldChar w:fldCharType="separate"/>
        </w:r>
        <w:r w:rsidR="005028F8">
          <w:rPr>
            <w:noProof/>
            <w:webHidden/>
          </w:rPr>
          <w:t>383</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188" w:history="1">
        <w:r w:rsidRPr="009A2083">
          <w:rPr>
            <w:rStyle w:val="Hyperlink"/>
            <w:noProof/>
          </w:rPr>
          <w:t>Appendix A: Downtime Forms and Instructions</w:t>
        </w:r>
        <w:r>
          <w:rPr>
            <w:noProof/>
            <w:webHidden/>
          </w:rPr>
          <w:tab/>
        </w:r>
        <w:r>
          <w:rPr>
            <w:noProof/>
            <w:webHidden/>
          </w:rPr>
          <w:fldChar w:fldCharType="begin"/>
        </w:r>
        <w:r>
          <w:rPr>
            <w:noProof/>
            <w:webHidden/>
          </w:rPr>
          <w:instrText xml:space="preserve"> PAGEREF _Toc459900188 \h </w:instrText>
        </w:r>
        <w:r>
          <w:rPr>
            <w:noProof/>
            <w:webHidden/>
          </w:rPr>
        </w:r>
        <w:r>
          <w:rPr>
            <w:noProof/>
            <w:webHidden/>
          </w:rPr>
          <w:fldChar w:fldCharType="separate"/>
        </w:r>
        <w:r w:rsidR="005028F8">
          <w:rPr>
            <w:noProof/>
            <w:webHidden/>
          </w:rPr>
          <w:t>383</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189" w:history="1">
        <w:r w:rsidRPr="009A2083">
          <w:rPr>
            <w:rStyle w:val="Hyperlink"/>
            <w:noProof/>
          </w:rPr>
          <w:t>Patient Testing Form</w:t>
        </w:r>
        <w:r>
          <w:rPr>
            <w:noProof/>
            <w:webHidden/>
          </w:rPr>
          <w:tab/>
        </w:r>
        <w:r>
          <w:rPr>
            <w:noProof/>
            <w:webHidden/>
          </w:rPr>
          <w:fldChar w:fldCharType="begin"/>
        </w:r>
        <w:r>
          <w:rPr>
            <w:noProof/>
            <w:webHidden/>
          </w:rPr>
          <w:instrText xml:space="preserve"> PAGEREF _Toc459900189 \h </w:instrText>
        </w:r>
        <w:r>
          <w:rPr>
            <w:noProof/>
            <w:webHidden/>
          </w:rPr>
        </w:r>
        <w:r>
          <w:rPr>
            <w:noProof/>
            <w:webHidden/>
          </w:rPr>
          <w:fldChar w:fldCharType="separate"/>
        </w:r>
        <w:r w:rsidR="005028F8">
          <w:rPr>
            <w:noProof/>
            <w:webHidden/>
          </w:rPr>
          <w:t>385</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190" w:history="1">
        <w:r w:rsidRPr="009A2083">
          <w:rPr>
            <w:rStyle w:val="Hyperlink"/>
            <w:noProof/>
          </w:rPr>
          <w:t>Unit ABO/Rh Confirmation Form</w:t>
        </w:r>
        <w:r>
          <w:rPr>
            <w:noProof/>
            <w:webHidden/>
          </w:rPr>
          <w:tab/>
        </w:r>
        <w:r>
          <w:rPr>
            <w:noProof/>
            <w:webHidden/>
          </w:rPr>
          <w:fldChar w:fldCharType="begin"/>
        </w:r>
        <w:r>
          <w:rPr>
            <w:noProof/>
            <w:webHidden/>
          </w:rPr>
          <w:instrText xml:space="preserve"> PAGEREF _Toc459900190 \h </w:instrText>
        </w:r>
        <w:r>
          <w:rPr>
            <w:noProof/>
            <w:webHidden/>
          </w:rPr>
        </w:r>
        <w:r>
          <w:rPr>
            <w:noProof/>
            <w:webHidden/>
          </w:rPr>
          <w:fldChar w:fldCharType="separate"/>
        </w:r>
        <w:r w:rsidR="005028F8">
          <w:rPr>
            <w:noProof/>
            <w:webHidden/>
          </w:rPr>
          <w:t>388</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191" w:history="1">
        <w:r w:rsidRPr="009A2083">
          <w:rPr>
            <w:rStyle w:val="Hyperlink"/>
            <w:noProof/>
          </w:rPr>
          <w:t>Unit Issue and Inspection Log</w:t>
        </w:r>
        <w:r>
          <w:rPr>
            <w:noProof/>
            <w:webHidden/>
          </w:rPr>
          <w:tab/>
        </w:r>
        <w:r>
          <w:rPr>
            <w:noProof/>
            <w:webHidden/>
          </w:rPr>
          <w:fldChar w:fldCharType="begin"/>
        </w:r>
        <w:r>
          <w:rPr>
            <w:noProof/>
            <w:webHidden/>
          </w:rPr>
          <w:instrText xml:space="preserve"> PAGEREF _Toc459900191 \h </w:instrText>
        </w:r>
        <w:r>
          <w:rPr>
            <w:noProof/>
            <w:webHidden/>
          </w:rPr>
        </w:r>
        <w:r>
          <w:rPr>
            <w:noProof/>
            <w:webHidden/>
          </w:rPr>
          <w:fldChar w:fldCharType="separate"/>
        </w:r>
        <w:r w:rsidR="005028F8">
          <w:rPr>
            <w:noProof/>
            <w:webHidden/>
          </w:rPr>
          <w:t>389</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192" w:history="1">
        <w:r w:rsidRPr="009A2083">
          <w:rPr>
            <w:rStyle w:val="Hyperlink"/>
            <w:noProof/>
          </w:rPr>
          <w:t>Unit Modification Form</w:t>
        </w:r>
        <w:r>
          <w:rPr>
            <w:noProof/>
            <w:webHidden/>
          </w:rPr>
          <w:tab/>
        </w:r>
        <w:r>
          <w:rPr>
            <w:noProof/>
            <w:webHidden/>
          </w:rPr>
          <w:fldChar w:fldCharType="begin"/>
        </w:r>
        <w:r>
          <w:rPr>
            <w:noProof/>
            <w:webHidden/>
          </w:rPr>
          <w:instrText xml:space="preserve"> PAGEREF _Toc459900192 \h </w:instrText>
        </w:r>
        <w:r>
          <w:rPr>
            <w:noProof/>
            <w:webHidden/>
          </w:rPr>
        </w:r>
        <w:r>
          <w:rPr>
            <w:noProof/>
            <w:webHidden/>
          </w:rPr>
          <w:fldChar w:fldCharType="separate"/>
        </w:r>
        <w:r w:rsidR="005028F8">
          <w:rPr>
            <w:noProof/>
            <w:webHidden/>
          </w:rPr>
          <w:t>390</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193" w:history="1">
        <w:r w:rsidRPr="009A2083">
          <w:rPr>
            <w:rStyle w:val="Hyperlink"/>
            <w:noProof/>
          </w:rPr>
          <w:t>Appendix B: Database Table Information</w:t>
        </w:r>
        <w:r>
          <w:rPr>
            <w:noProof/>
            <w:webHidden/>
          </w:rPr>
          <w:tab/>
        </w:r>
        <w:r>
          <w:rPr>
            <w:noProof/>
            <w:webHidden/>
          </w:rPr>
          <w:fldChar w:fldCharType="begin"/>
        </w:r>
        <w:r>
          <w:rPr>
            <w:noProof/>
            <w:webHidden/>
          </w:rPr>
          <w:instrText xml:space="preserve"> PAGEREF _Toc459900193 \h </w:instrText>
        </w:r>
        <w:r>
          <w:rPr>
            <w:noProof/>
            <w:webHidden/>
          </w:rPr>
        </w:r>
        <w:r>
          <w:rPr>
            <w:noProof/>
            <w:webHidden/>
          </w:rPr>
          <w:fldChar w:fldCharType="separate"/>
        </w:r>
        <w:r w:rsidR="005028F8">
          <w:rPr>
            <w:noProof/>
            <w:webHidden/>
          </w:rPr>
          <w:t>393</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194" w:history="1">
        <w:r w:rsidRPr="009A2083">
          <w:rPr>
            <w:rStyle w:val="Hyperlink"/>
            <w:noProof/>
          </w:rPr>
          <w:t>Antibody and Antigen Tables</w:t>
        </w:r>
        <w:r>
          <w:rPr>
            <w:noProof/>
            <w:webHidden/>
          </w:rPr>
          <w:tab/>
        </w:r>
        <w:r>
          <w:rPr>
            <w:noProof/>
            <w:webHidden/>
          </w:rPr>
          <w:fldChar w:fldCharType="begin"/>
        </w:r>
        <w:r>
          <w:rPr>
            <w:noProof/>
            <w:webHidden/>
          </w:rPr>
          <w:instrText xml:space="preserve"> PAGEREF _Toc459900194 \h </w:instrText>
        </w:r>
        <w:r>
          <w:rPr>
            <w:noProof/>
            <w:webHidden/>
          </w:rPr>
        </w:r>
        <w:r>
          <w:rPr>
            <w:noProof/>
            <w:webHidden/>
          </w:rPr>
          <w:fldChar w:fldCharType="separate"/>
        </w:r>
        <w:r w:rsidR="005028F8">
          <w:rPr>
            <w:noProof/>
            <w:webHidden/>
          </w:rPr>
          <w:t>393</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195" w:history="1">
        <w:r w:rsidRPr="009A2083">
          <w:rPr>
            <w:rStyle w:val="Hyperlink"/>
            <w:noProof/>
          </w:rPr>
          <w:t>Antibody and Antigen Table: Irregular Antibodies</w:t>
        </w:r>
        <w:r>
          <w:rPr>
            <w:noProof/>
            <w:webHidden/>
          </w:rPr>
          <w:tab/>
        </w:r>
        <w:r>
          <w:rPr>
            <w:noProof/>
            <w:webHidden/>
          </w:rPr>
          <w:fldChar w:fldCharType="begin"/>
        </w:r>
        <w:r>
          <w:rPr>
            <w:noProof/>
            <w:webHidden/>
          </w:rPr>
          <w:instrText xml:space="preserve"> PAGEREF _Toc459900195 \h </w:instrText>
        </w:r>
        <w:r>
          <w:rPr>
            <w:noProof/>
            <w:webHidden/>
          </w:rPr>
        </w:r>
        <w:r>
          <w:rPr>
            <w:noProof/>
            <w:webHidden/>
          </w:rPr>
          <w:fldChar w:fldCharType="separate"/>
        </w:r>
        <w:r w:rsidR="005028F8">
          <w:rPr>
            <w:noProof/>
            <w:webHidden/>
          </w:rPr>
          <w:t>393</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196" w:history="1">
        <w:r w:rsidRPr="009A2083">
          <w:rPr>
            <w:rStyle w:val="Hyperlink"/>
            <w:noProof/>
          </w:rPr>
          <w:t>Antibody and Antigen Table: Database Conversion</w:t>
        </w:r>
        <w:r>
          <w:rPr>
            <w:noProof/>
            <w:webHidden/>
          </w:rPr>
          <w:tab/>
        </w:r>
        <w:r>
          <w:rPr>
            <w:noProof/>
            <w:webHidden/>
          </w:rPr>
          <w:fldChar w:fldCharType="begin"/>
        </w:r>
        <w:r>
          <w:rPr>
            <w:noProof/>
            <w:webHidden/>
          </w:rPr>
          <w:instrText xml:space="preserve"> PAGEREF _Toc459900196 \h </w:instrText>
        </w:r>
        <w:r>
          <w:rPr>
            <w:noProof/>
            <w:webHidden/>
          </w:rPr>
        </w:r>
        <w:r>
          <w:rPr>
            <w:noProof/>
            <w:webHidden/>
          </w:rPr>
          <w:fldChar w:fldCharType="separate"/>
        </w:r>
        <w:r w:rsidR="005028F8">
          <w:rPr>
            <w:noProof/>
            <w:webHidden/>
          </w:rPr>
          <w:t>396</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197" w:history="1">
        <w:r w:rsidRPr="009A2083">
          <w:rPr>
            <w:rStyle w:val="Hyperlink"/>
            <w:noProof/>
          </w:rPr>
          <w:t>Antibody Screen Test Interpretation</w:t>
        </w:r>
        <w:r>
          <w:rPr>
            <w:noProof/>
            <w:webHidden/>
          </w:rPr>
          <w:tab/>
        </w:r>
        <w:r>
          <w:rPr>
            <w:noProof/>
            <w:webHidden/>
          </w:rPr>
          <w:fldChar w:fldCharType="begin"/>
        </w:r>
        <w:r>
          <w:rPr>
            <w:noProof/>
            <w:webHidden/>
          </w:rPr>
          <w:instrText xml:space="preserve"> PAGEREF _Toc459900197 \h </w:instrText>
        </w:r>
        <w:r>
          <w:rPr>
            <w:noProof/>
            <w:webHidden/>
          </w:rPr>
        </w:r>
        <w:r>
          <w:rPr>
            <w:noProof/>
            <w:webHidden/>
          </w:rPr>
          <w:fldChar w:fldCharType="separate"/>
        </w:r>
        <w:r w:rsidR="005028F8">
          <w:rPr>
            <w:noProof/>
            <w:webHidden/>
          </w:rPr>
          <w:t>397</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198" w:history="1">
        <w:r w:rsidRPr="009A2083">
          <w:rPr>
            <w:rStyle w:val="Hyperlink"/>
            <w:noProof/>
          </w:rPr>
          <w:t>Canned Comment Category Types and Text</w:t>
        </w:r>
        <w:r>
          <w:rPr>
            <w:noProof/>
            <w:webHidden/>
          </w:rPr>
          <w:tab/>
        </w:r>
        <w:r>
          <w:rPr>
            <w:noProof/>
            <w:webHidden/>
          </w:rPr>
          <w:fldChar w:fldCharType="begin"/>
        </w:r>
        <w:r>
          <w:rPr>
            <w:noProof/>
            <w:webHidden/>
          </w:rPr>
          <w:instrText xml:space="preserve"> PAGEREF _Toc459900198 \h </w:instrText>
        </w:r>
        <w:r>
          <w:rPr>
            <w:noProof/>
            <w:webHidden/>
          </w:rPr>
        </w:r>
        <w:r>
          <w:rPr>
            <w:noProof/>
            <w:webHidden/>
          </w:rPr>
          <w:fldChar w:fldCharType="separate"/>
        </w:r>
        <w:r w:rsidR="005028F8">
          <w:rPr>
            <w:noProof/>
            <w:webHidden/>
          </w:rPr>
          <w:t>398</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199" w:history="1">
        <w:r w:rsidRPr="009A2083">
          <w:rPr>
            <w:rStyle w:val="Hyperlink"/>
            <w:noProof/>
          </w:rPr>
          <w:t>CPRS Orderable Blood Components (Component Classes) Mapped to ICCBBA Component Classes</w:t>
        </w:r>
        <w:r>
          <w:rPr>
            <w:noProof/>
            <w:webHidden/>
          </w:rPr>
          <w:tab/>
        </w:r>
        <w:r>
          <w:rPr>
            <w:noProof/>
            <w:webHidden/>
          </w:rPr>
          <w:fldChar w:fldCharType="begin"/>
        </w:r>
        <w:r>
          <w:rPr>
            <w:noProof/>
            <w:webHidden/>
          </w:rPr>
          <w:instrText xml:space="preserve"> PAGEREF _Toc459900199 \h </w:instrText>
        </w:r>
        <w:r>
          <w:rPr>
            <w:noProof/>
            <w:webHidden/>
          </w:rPr>
        </w:r>
        <w:r>
          <w:rPr>
            <w:noProof/>
            <w:webHidden/>
          </w:rPr>
          <w:fldChar w:fldCharType="separate"/>
        </w:r>
        <w:r w:rsidR="005028F8">
          <w:rPr>
            <w:noProof/>
            <w:webHidden/>
          </w:rPr>
          <w:t>407</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200" w:history="1">
        <w:r w:rsidRPr="009A2083">
          <w:rPr>
            <w:rStyle w:val="Hyperlink"/>
            <w:noProof/>
          </w:rPr>
          <w:t>Details in Audit Trail Report</w:t>
        </w:r>
        <w:r>
          <w:rPr>
            <w:noProof/>
            <w:webHidden/>
          </w:rPr>
          <w:tab/>
        </w:r>
        <w:r>
          <w:rPr>
            <w:noProof/>
            <w:webHidden/>
          </w:rPr>
          <w:fldChar w:fldCharType="begin"/>
        </w:r>
        <w:r>
          <w:rPr>
            <w:noProof/>
            <w:webHidden/>
          </w:rPr>
          <w:instrText xml:space="preserve"> PAGEREF _Toc459900200 \h </w:instrText>
        </w:r>
        <w:r>
          <w:rPr>
            <w:noProof/>
            <w:webHidden/>
          </w:rPr>
        </w:r>
        <w:r>
          <w:rPr>
            <w:noProof/>
            <w:webHidden/>
          </w:rPr>
          <w:fldChar w:fldCharType="separate"/>
        </w:r>
        <w:r w:rsidR="005028F8">
          <w:rPr>
            <w:noProof/>
            <w:webHidden/>
          </w:rPr>
          <w:t>408</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201" w:history="1">
        <w:r w:rsidRPr="009A2083">
          <w:rPr>
            <w:rStyle w:val="Hyperlink"/>
            <w:noProof/>
          </w:rPr>
          <w:t>Details in Exception Report</w:t>
        </w:r>
        <w:r>
          <w:rPr>
            <w:noProof/>
            <w:webHidden/>
          </w:rPr>
          <w:tab/>
        </w:r>
        <w:r>
          <w:rPr>
            <w:noProof/>
            <w:webHidden/>
          </w:rPr>
          <w:fldChar w:fldCharType="begin"/>
        </w:r>
        <w:r>
          <w:rPr>
            <w:noProof/>
            <w:webHidden/>
          </w:rPr>
          <w:instrText xml:space="preserve"> PAGEREF _Toc459900201 \h </w:instrText>
        </w:r>
        <w:r>
          <w:rPr>
            <w:noProof/>
            <w:webHidden/>
          </w:rPr>
        </w:r>
        <w:r>
          <w:rPr>
            <w:noProof/>
            <w:webHidden/>
          </w:rPr>
          <w:fldChar w:fldCharType="separate"/>
        </w:r>
        <w:r w:rsidR="005028F8">
          <w:rPr>
            <w:noProof/>
            <w:webHidden/>
          </w:rPr>
          <w:t>413</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202" w:history="1">
        <w:r w:rsidRPr="009A2083">
          <w:rPr>
            <w:rStyle w:val="Hyperlink"/>
            <w:noProof/>
          </w:rPr>
          <w:t>Enable Crossmatch Option for OTHER Product Types</w:t>
        </w:r>
        <w:r>
          <w:rPr>
            <w:noProof/>
            <w:webHidden/>
          </w:rPr>
          <w:tab/>
        </w:r>
        <w:r>
          <w:rPr>
            <w:noProof/>
            <w:webHidden/>
          </w:rPr>
          <w:fldChar w:fldCharType="begin"/>
        </w:r>
        <w:r>
          <w:rPr>
            <w:noProof/>
            <w:webHidden/>
          </w:rPr>
          <w:instrText xml:space="preserve"> PAGEREF _Toc459900202 \h </w:instrText>
        </w:r>
        <w:r>
          <w:rPr>
            <w:noProof/>
            <w:webHidden/>
          </w:rPr>
        </w:r>
        <w:r>
          <w:rPr>
            <w:noProof/>
            <w:webHidden/>
          </w:rPr>
          <w:fldChar w:fldCharType="separate"/>
        </w:r>
        <w:r w:rsidR="005028F8">
          <w:rPr>
            <w:noProof/>
            <w:webHidden/>
          </w:rPr>
          <w:t>415</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203" w:history="1">
        <w:r w:rsidRPr="009A2083">
          <w:rPr>
            <w:rStyle w:val="Hyperlink"/>
            <w:noProof/>
          </w:rPr>
          <w:t>Allowable Product Modifications by Original Product Type</w:t>
        </w:r>
        <w:r>
          <w:rPr>
            <w:noProof/>
            <w:webHidden/>
          </w:rPr>
          <w:tab/>
        </w:r>
        <w:r>
          <w:rPr>
            <w:noProof/>
            <w:webHidden/>
          </w:rPr>
          <w:fldChar w:fldCharType="begin"/>
        </w:r>
        <w:r>
          <w:rPr>
            <w:noProof/>
            <w:webHidden/>
          </w:rPr>
          <w:instrText xml:space="preserve"> PAGEREF _Toc459900203 \h </w:instrText>
        </w:r>
        <w:r>
          <w:rPr>
            <w:noProof/>
            <w:webHidden/>
          </w:rPr>
        </w:r>
        <w:r>
          <w:rPr>
            <w:noProof/>
            <w:webHidden/>
          </w:rPr>
          <w:fldChar w:fldCharType="separate"/>
        </w:r>
        <w:r w:rsidR="005028F8">
          <w:rPr>
            <w:noProof/>
            <w:webHidden/>
          </w:rPr>
          <w:t>416</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204" w:history="1">
        <w:r w:rsidRPr="009A2083">
          <w:rPr>
            <w:rStyle w:val="Hyperlink"/>
            <w:noProof/>
          </w:rPr>
          <w:t>National Treating Specialty Table</w:t>
        </w:r>
        <w:r>
          <w:rPr>
            <w:noProof/>
            <w:webHidden/>
          </w:rPr>
          <w:tab/>
        </w:r>
        <w:r>
          <w:rPr>
            <w:noProof/>
            <w:webHidden/>
          </w:rPr>
          <w:fldChar w:fldCharType="begin"/>
        </w:r>
        <w:r>
          <w:rPr>
            <w:noProof/>
            <w:webHidden/>
          </w:rPr>
          <w:instrText xml:space="preserve"> PAGEREF _Toc459900204 \h </w:instrText>
        </w:r>
        <w:r>
          <w:rPr>
            <w:noProof/>
            <w:webHidden/>
          </w:rPr>
        </w:r>
        <w:r>
          <w:rPr>
            <w:noProof/>
            <w:webHidden/>
          </w:rPr>
          <w:fldChar w:fldCharType="separate"/>
        </w:r>
        <w:r w:rsidR="005028F8">
          <w:rPr>
            <w:noProof/>
            <w:webHidden/>
          </w:rPr>
          <w:t>421</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205" w:history="1">
        <w:r w:rsidRPr="009A2083">
          <w:rPr>
            <w:rStyle w:val="Hyperlink"/>
            <w:noProof/>
          </w:rPr>
          <w:t>Order Status Flowchart</w:t>
        </w:r>
        <w:r>
          <w:rPr>
            <w:noProof/>
            <w:webHidden/>
          </w:rPr>
          <w:tab/>
        </w:r>
        <w:r>
          <w:rPr>
            <w:noProof/>
            <w:webHidden/>
          </w:rPr>
          <w:fldChar w:fldCharType="begin"/>
        </w:r>
        <w:r>
          <w:rPr>
            <w:noProof/>
            <w:webHidden/>
          </w:rPr>
          <w:instrText xml:space="preserve"> PAGEREF _Toc459900205 \h </w:instrText>
        </w:r>
        <w:r>
          <w:rPr>
            <w:noProof/>
            <w:webHidden/>
          </w:rPr>
        </w:r>
        <w:r>
          <w:rPr>
            <w:noProof/>
            <w:webHidden/>
          </w:rPr>
          <w:fldChar w:fldCharType="separate"/>
        </w:r>
        <w:r w:rsidR="005028F8">
          <w:rPr>
            <w:noProof/>
            <w:webHidden/>
          </w:rPr>
          <w:t>424</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206" w:history="1">
        <w:r w:rsidRPr="009A2083">
          <w:rPr>
            <w:rStyle w:val="Hyperlink"/>
            <w:noProof/>
          </w:rPr>
          <w:t>Rules for Electronic and Serologic Crossmatch</w:t>
        </w:r>
        <w:r>
          <w:rPr>
            <w:noProof/>
            <w:webHidden/>
          </w:rPr>
          <w:tab/>
        </w:r>
        <w:r>
          <w:rPr>
            <w:noProof/>
            <w:webHidden/>
          </w:rPr>
          <w:fldChar w:fldCharType="begin"/>
        </w:r>
        <w:r>
          <w:rPr>
            <w:noProof/>
            <w:webHidden/>
          </w:rPr>
          <w:instrText xml:space="preserve"> PAGEREF _Toc459900206 \h </w:instrText>
        </w:r>
        <w:r>
          <w:rPr>
            <w:noProof/>
            <w:webHidden/>
          </w:rPr>
        </w:r>
        <w:r>
          <w:rPr>
            <w:noProof/>
            <w:webHidden/>
          </w:rPr>
          <w:fldChar w:fldCharType="separate"/>
        </w:r>
        <w:r w:rsidR="005028F8">
          <w:rPr>
            <w:noProof/>
            <w:webHidden/>
          </w:rPr>
          <w:t>425</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207" w:history="1">
        <w:r w:rsidRPr="009A2083">
          <w:rPr>
            <w:rStyle w:val="Hyperlink"/>
            <w:noProof/>
          </w:rPr>
          <w:t>Unit Status Flowchart</w:t>
        </w:r>
        <w:r>
          <w:rPr>
            <w:noProof/>
            <w:webHidden/>
          </w:rPr>
          <w:tab/>
        </w:r>
        <w:r>
          <w:rPr>
            <w:noProof/>
            <w:webHidden/>
          </w:rPr>
          <w:fldChar w:fldCharType="begin"/>
        </w:r>
        <w:r>
          <w:rPr>
            <w:noProof/>
            <w:webHidden/>
          </w:rPr>
          <w:instrText xml:space="preserve"> PAGEREF _Toc459900207 \h </w:instrText>
        </w:r>
        <w:r>
          <w:rPr>
            <w:noProof/>
            <w:webHidden/>
          </w:rPr>
        </w:r>
        <w:r>
          <w:rPr>
            <w:noProof/>
            <w:webHidden/>
          </w:rPr>
          <w:fldChar w:fldCharType="separate"/>
        </w:r>
        <w:r w:rsidR="005028F8">
          <w:rPr>
            <w:noProof/>
            <w:webHidden/>
          </w:rPr>
          <w:t>426</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208" w:history="1">
        <w:r w:rsidRPr="009A2083">
          <w:rPr>
            <w:rStyle w:val="Hyperlink"/>
            <w:noProof/>
          </w:rPr>
          <w:t>VBECS Maximum Surgical Blood Order Schedule</w:t>
        </w:r>
        <w:r>
          <w:rPr>
            <w:noProof/>
            <w:webHidden/>
          </w:rPr>
          <w:tab/>
        </w:r>
        <w:r>
          <w:rPr>
            <w:noProof/>
            <w:webHidden/>
          </w:rPr>
          <w:fldChar w:fldCharType="begin"/>
        </w:r>
        <w:r>
          <w:rPr>
            <w:noProof/>
            <w:webHidden/>
          </w:rPr>
          <w:instrText xml:space="preserve"> PAGEREF _Toc459900208 \h </w:instrText>
        </w:r>
        <w:r>
          <w:rPr>
            <w:noProof/>
            <w:webHidden/>
          </w:rPr>
        </w:r>
        <w:r>
          <w:rPr>
            <w:noProof/>
            <w:webHidden/>
          </w:rPr>
          <w:fldChar w:fldCharType="separate"/>
        </w:r>
        <w:r w:rsidR="005028F8">
          <w:rPr>
            <w:noProof/>
            <w:webHidden/>
          </w:rPr>
          <w:t>428</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209" w:history="1">
        <w:r w:rsidRPr="009A2083">
          <w:rPr>
            <w:rStyle w:val="Hyperlink"/>
            <w:noProof/>
          </w:rPr>
          <w:t>BCE COTS Message Updates</w:t>
        </w:r>
        <w:r>
          <w:rPr>
            <w:noProof/>
            <w:webHidden/>
          </w:rPr>
          <w:tab/>
        </w:r>
        <w:r>
          <w:rPr>
            <w:noProof/>
            <w:webHidden/>
          </w:rPr>
          <w:fldChar w:fldCharType="begin"/>
        </w:r>
        <w:r>
          <w:rPr>
            <w:noProof/>
            <w:webHidden/>
          </w:rPr>
          <w:instrText xml:space="preserve"> PAGEREF _Toc459900209 \h </w:instrText>
        </w:r>
        <w:r>
          <w:rPr>
            <w:noProof/>
            <w:webHidden/>
          </w:rPr>
        </w:r>
        <w:r>
          <w:rPr>
            <w:noProof/>
            <w:webHidden/>
          </w:rPr>
          <w:fldChar w:fldCharType="separate"/>
        </w:r>
        <w:r w:rsidR="005028F8">
          <w:rPr>
            <w:noProof/>
            <w:webHidden/>
          </w:rPr>
          <w:t>429</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210" w:history="1">
        <w:r w:rsidRPr="009A2083">
          <w:rPr>
            <w:rStyle w:val="Hyperlink"/>
            <w:noProof/>
          </w:rPr>
          <w:t>Workload Process to Use Case Mapping Table</w:t>
        </w:r>
        <w:r>
          <w:rPr>
            <w:noProof/>
            <w:webHidden/>
          </w:rPr>
          <w:tab/>
        </w:r>
        <w:r>
          <w:rPr>
            <w:noProof/>
            <w:webHidden/>
          </w:rPr>
          <w:fldChar w:fldCharType="begin"/>
        </w:r>
        <w:r>
          <w:rPr>
            <w:noProof/>
            <w:webHidden/>
          </w:rPr>
          <w:instrText xml:space="preserve"> PAGEREF _Toc459900210 \h </w:instrText>
        </w:r>
        <w:r>
          <w:rPr>
            <w:noProof/>
            <w:webHidden/>
          </w:rPr>
        </w:r>
        <w:r>
          <w:rPr>
            <w:noProof/>
            <w:webHidden/>
          </w:rPr>
          <w:fldChar w:fldCharType="separate"/>
        </w:r>
        <w:r w:rsidR="005028F8">
          <w:rPr>
            <w:noProof/>
            <w:webHidden/>
          </w:rPr>
          <w:t>433</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211" w:history="1">
        <w:r w:rsidRPr="009A2083">
          <w:rPr>
            <w:rStyle w:val="Hyperlink"/>
            <w:noProof/>
          </w:rPr>
          <w:t>Appendix C: VBECS Work Flow</w:t>
        </w:r>
        <w:r>
          <w:rPr>
            <w:noProof/>
            <w:webHidden/>
          </w:rPr>
          <w:tab/>
        </w:r>
        <w:r>
          <w:rPr>
            <w:noProof/>
            <w:webHidden/>
          </w:rPr>
          <w:fldChar w:fldCharType="begin"/>
        </w:r>
        <w:r>
          <w:rPr>
            <w:noProof/>
            <w:webHidden/>
          </w:rPr>
          <w:instrText xml:space="preserve"> PAGEREF _Toc459900211 \h </w:instrText>
        </w:r>
        <w:r>
          <w:rPr>
            <w:noProof/>
            <w:webHidden/>
          </w:rPr>
        </w:r>
        <w:r>
          <w:rPr>
            <w:noProof/>
            <w:webHidden/>
          </w:rPr>
          <w:fldChar w:fldCharType="separate"/>
        </w:r>
        <w:r w:rsidR="005028F8">
          <w:rPr>
            <w:noProof/>
            <w:webHidden/>
          </w:rPr>
          <w:t>447</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212" w:history="1">
        <w:r w:rsidRPr="009A2083">
          <w:rPr>
            <w:rStyle w:val="Hyperlink"/>
            <w:noProof/>
          </w:rPr>
          <w:t>Appendix D: Limitations and Restrictions</w:t>
        </w:r>
        <w:r>
          <w:rPr>
            <w:noProof/>
            <w:webHidden/>
          </w:rPr>
          <w:tab/>
        </w:r>
        <w:r>
          <w:rPr>
            <w:noProof/>
            <w:webHidden/>
          </w:rPr>
          <w:fldChar w:fldCharType="begin"/>
        </w:r>
        <w:r>
          <w:rPr>
            <w:noProof/>
            <w:webHidden/>
          </w:rPr>
          <w:instrText xml:space="preserve"> PAGEREF _Toc459900212 \h </w:instrText>
        </w:r>
        <w:r>
          <w:rPr>
            <w:noProof/>
            <w:webHidden/>
          </w:rPr>
        </w:r>
        <w:r>
          <w:rPr>
            <w:noProof/>
            <w:webHidden/>
          </w:rPr>
          <w:fldChar w:fldCharType="separate"/>
        </w:r>
        <w:r w:rsidR="005028F8">
          <w:rPr>
            <w:noProof/>
            <w:webHidden/>
          </w:rPr>
          <w:t>451</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213" w:history="1">
        <w:r w:rsidRPr="009A2083">
          <w:rPr>
            <w:rStyle w:val="Hyperlink"/>
            <w:noProof/>
          </w:rPr>
          <w:t>Appendix E: Known Defects and Anomalies</w:t>
        </w:r>
        <w:r>
          <w:rPr>
            <w:noProof/>
            <w:webHidden/>
          </w:rPr>
          <w:tab/>
        </w:r>
        <w:r>
          <w:rPr>
            <w:noProof/>
            <w:webHidden/>
          </w:rPr>
          <w:fldChar w:fldCharType="begin"/>
        </w:r>
        <w:r>
          <w:rPr>
            <w:noProof/>
            <w:webHidden/>
          </w:rPr>
          <w:instrText xml:space="preserve"> PAGEREF _Toc459900213 \h </w:instrText>
        </w:r>
        <w:r>
          <w:rPr>
            <w:noProof/>
            <w:webHidden/>
          </w:rPr>
        </w:r>
        <w:r>
          <w:rPr>
            <w:noProof/>
            <w:webHidden/>
          </w:rPr>
          <w:fldChar w:fldCharType="separate"/>
        </w:r>
        <w:r w:rsidR="005028F8">
          <w:rPr>
            <w:noProof/>
            <w:webHidden/>
          </w:rPr>
          <w:t>465</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214" w:history="1">
        <w:r w:rsidRPr="009A2083">
          <w:rPr>
            <w:rStyle w:val="Hyperlink"/>
            <w:noProof/>
          </w:rPr>
          <w:t>Appendix F: System Validation</w:t>
        </w:r>
        <w:r>
          <w:rPr>
            <w:noProof/>
            <w:webHidden/>
          </w:rPr>
          <w:tab/>
        </w:r>
        <w:r>
          <w:rPr>
            <w:noProof/>
            <w:webHidden/>
          </w:rPr>
          <w:fldChar w:fldCharType="begin"/>
        </w:r>
        <w:r>
          <w:rPr>
            <w:noProof/>
            <w:webHidden/>
          </w:rPr>
          <w:instrText xml:space="preserve"> PAGEREF _Toc459900214 \h </w:instrText>
        </w:r>
        <w:r>
          <w:rPr>
            <w:noProof/>
            <w:webHidden/>
          </w:rPr>
        </w:r>
        <w:r>
          <w:rPr>
            <w:noProof/>
            <w:webHidden/>
          </w:rPr>
          <w:fldChar w:fldCharType="separate"/>
        </w:r>
        <w:r w:rsidR="005028F8">
          <w:rPr>
            <w:noProof/>
            <w:webHidden/>
          </w:rPr>
          <w:t>467</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215" w:history="1">
        <w:r w:rsidRPr="009A2083">
          <w:rPr>
            <w:rStyle w:val="Hyperlink"/>
            <w:noProof/>
          </w:rPr>
          <w:t>Introduction</w:t>
        </w:r>
        <w:r>
          <w:rPr>
            <w:noProof/>
            <w:webHidden/>
          </w:rPr>
          <w:tab/>
        </w:r>
        <w:r>
          <w:rPr>
            <w:noProof/>
            <w:webHidden/>
          </w:rPr>
          <w:fldChar w:fldCharType="begin"/>
        </w:r>
        <w:r>
          <w:rPr>
            <w:noProof/>
            <w:webHidden/>
          </w:rPr>
          <w:instrText xml:space="preserve"> PAGEREF _Toc459900215 \h </w:instrText>
        </w:r>
        <w:r>
          <w:rPr>
            <w:noProof/>
            <w:webHidden/>
          </w:rPr>
        </w:r>
        <w:r>
          <w:rPr>
            <w:noProof/>
            <w:webHidden/>
          </w:rPr>
          <w:fldChar w:fldCharType="separate"/>
        </w:r>
        <w:r w:rsidR="005028F8">
          <w:rPr>
            <w:noProof/>
            <w:webHidden/>
          </w:rPr>
          <w:t>467</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216" w:history="1">
        <w:r w:rsidRPr="009A2083">
          <w:rPr>
            <w:rStyle w:val="Hyperlink"/>
            <w:noProof/>
          </w:rPr>
          <w:t>Validation Plan</w:t>
        </w:r>
        <w:r>
          <w:rPr>
            <w:noProof/>
            <w:webHidden/>
          </w:rPr>
          <w:tab/>
        </w:r>
        <w:r>
          <w:rPr>
            <w:noProof/>
            <w:webHidden/>
          </w:rPr>
          <w:fldChar w:fldCharType="begin"/>
        </w:r>
        <w:r>
          <w:rPr>
            <w:noProof/>
            <w:webHidden/>
          </w:rPr>
          <w:instrText xml:space="preserve"> PAGEREF _Toc459900216 \h </w:instrText>
        </w:r>
        <w:r>
          <w:rPr>
            <w:noProof/>
            <w:webHidden/>
          </w:rPr>
        </w:r>
        <w:r>
          <w:rPr>
            <w:noProof/>
            <w:webHidden/>
          </w:rPr>
          <w:fldChar w:fldCharType="separate"/>
        </w:r>
        <w:r w:rsidR="005028F8">
          <w:rPr>
            <w:noProof/>
            <w:webHidden/>
          </w:rPr>
          <w:t>467</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217" w:history="1">
        <w:r w:rsidRPr="009A2083">
          <w:rPr>
            <w:rStyle w:val="Hyperlink"/>
            <w:noProof/>
          </w:rPr>
          <w:t>Prerequisites</w:t>
        </w:r>
        <w:r>
          <w:rPr>
            <w:noProof/>
            <w:webHidden/>
          </w:rPr>
          <w:tab/>
        </w:r>
        <w:r>
          <w:rPr>
            <w:noProof/>
            <w:webHidden/>
          </w:rPr>
          <w:fldChar w:fldCharType="begin"/>
        </w:r>
        <w:r>
          <w:rPr>
            <w:noProof/>
            <w:webHidden/>
          </w:rPr>
          <w:instrText xml:space="preserve"> PAGEREF _Toc459900217 \h </w:instrText>
        </w:r>
        <w:r>
          <w:rPr>
            <w:noProof/>
            <w:webHidden/>
          </w:rPr>
        </w:r>
        <w:r>
          <w:rPr>
            <w:noProof/>
            <w:webHidden/>
          </w:rPr>
          <w:fldChar w:fldCharType="separate"/>
        </w:r>
        <w:r w:rsidR="005028F8">
          <w:rPr>
            <w:noProof/>
            <w:webHidden/>
          </w:rPr>
          <w:t>468</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218" w:history="1">
        <w:r w:rsidRPr="009A2083">
          <w:rPr>
            <w:rStyle w:val="Hyperlink"/>
            <w:noProof/>
          </w:rPr>
          <w:t>Record System Settings</w:t>
        </w:r>
        <w:r>
          <w:rPr>
            <w:noProof/>
            <w:webHidden/>
          </w:rPr>
          <w:tab/>
        </w:r>
        <w:r>
          <w:rPr>
            <w:noProof/>
            <w:webHidden/>
          </w:rPr>
          <w:fldChar w:fldCharType="begin"/>
        </w:r>
        <w:r>
          <w:rPr>
            <w:noProof/>
            <w:webHidden/>
          </w:rPr>
          <w:instrText xml:space="preserve"> PAGEREF _Toc459900218 \h </w:instrText>
        </w:r>
        <w:r>
          <w:rPr>
            <w:noProof/>
            <w:webHidden/>
          </w:rPr>
        </w:r>
        <w:r>
          <w:rPr>
            <w:noProof/>
            <w:webHidden/>
          </w:rPr>
          <w:fldChar w:fldCharType="separate"/>
        </w:r>
        <w:r w:rsidR="005028F8">
          <w:rPr>
            <w:noProof/>
            <w:webHidden/>
          </w:rPr>
          <w:t>469</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219" w:history="1">
        <w:r w:rsidRPr="009A2083">
          <w:rPr>
            <w:rStyle w:val="Hyperlink"/>
            <w:noProof/>
          </w:rPr>
          <w:t>Configure Division</w:t>
        </w:r>
        <w:r>
          <w:rPr>
            <w:noProof/>
            <w:webHidden/>
          </w:rPr>
          <w:tab/>
        </w:r>
        <w:r>
          <w:rPr>
            <w:noProof/>
            <w:webHidden/>
          </w:rPr>
          <w:fldChar w:fldCharType="begin"/>
        </w:r>
        <w:r>
          <w:rPr>
            <w:noProof/>
            <w:webHidden/>
          </w:rPr>
          <w:instrText xml:space="preserve"> PAGEREF _Toc459900219 \h </w:instrText>
        </w:r>
        <w:r>
          <w:rPr>
            <w:noProof/>
            <w:webHidden/>
          </w:rPr>
        </w:r>
        <w:r>
          <w:rPr>
            <w:noProof/>
            <w:webHidden/>
          </w:rPr>
          <w:fldChar w:fldCharType="separate"/>
        </w:r>
        <w:r w:rsidR="005028F8">
          <w:rPr>
            <w:noProof/>
            <w:webHidden/>
          </w:rPr>
          <w:t>469</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220" w:history="1">
        <w:r w:rsidRPr="009A2083">
          <w:rPr>
            <w:rStyle w:val="Hyperlink"/>
            <w:noProof/>
          </w:rPr>
          <w:t>Configure Testing: Full Service</w:t>
        </w:r>
        <w:r>
          <w:rPr>
            <w:noProof/>
            <w:webHidden/>
          </w:rPr>
          <w:tab/>
        </w:r>
        <w:r>
          <w:rPr>
            <w:noProof/>
            <w:webHidden/>
          </w:rPr>
          <w:fldChar w:fldCharType="begin"/>
        </w:r>
        <w:r>
          <w:rPr>
            <w:noProof/>
            <w:webHidden/>
          </w:rPr>
          <w:instrText xml:space="preserve"> PAGEREF _Toc459900220 \h </w:instrText>
        </w:r>
        <w:r>
          <w:rPr>
            <w:noProof/>
            <w:webHidden/>
          </w:rPr>
        </w:r>
        <w:r>
          <w:rPr>
            <w:noProof/>
            <w:webHidden/>
          </w:rPr>
          <w:fldChar w:fldCharType="separate"/>
        </w:r>
        <w:r w:rsidR="005028F8">
          <w:rPr>
            <w:noProof/>
            <w:webHidden/>
          </w:rPr>
          <w:t>469</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221" w:history="1">
        <w:r w:rsidRPr="009A2083">
          <w:rPr>
            <w:rStyle w:val="Hyperlink"/>
            <w:noProof/>
          </w:rPr>
          <w:t>Product Modifications: Full Service</w:t>
        </w:r>
        <w:r>
          <w:rPr>
            <w:noProof/>
            <w:webHidden/>
          </w:rPr>
          <w:tab/>
        </w:r>
        <w:r>
          <w:rPr>
            <w:noProof/>
            <w:webHidden/>
          </w:rPr>
          <w:fldChar w:fldCharType="begin"/>
        </w:r>
        <w:r>
          <w:rPr>
            <w:noProof/>
            <w:webHidden/>
          </w:rPr>
          <w:instrText xml:space="preserve"> PAGEREF _Toc459900221 \h </w:instrText>
        </w:r>
        <w:r>
          <w:rPr>
            <w:noProof/>
            <w:webHidden/>
          </w:rPr>
        </w:r>
        <w:r>
          <w:rPr>
            <w:noProof/>
            <w:webHidden/>
          </w:rPr>
          <w:fldChar w:fldCharType="separate"/>
        </w:r>
        <w:r w:rsidR="005028F8">
          <w:rPr>
            <w:noProof/>
            <w:webHidden/>
          </w:rPr>
          <w:t>470</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222" w:history="1">
        <w:r w:rsidRPr="009A2083">
          <w:rPr>
            <w:rStyle w:val="Hyperlink"/>
            <w:noProof/>
          </w:rPr>
          <w:t>Order Alerts</w:t>
        </w:r>
        <w:r>
          <w:rPr>
            <w:noProof/>
            <w:webHidden/>
          </w:rPr>
          <w:tab/>
        </w:r>
        <w:r>
          <w:rPr>
            <w:noProof/>
            <w:webHidden/>
          </w:rPr>
          <w:fldChar w:fldCharType="begin"/>
        </w:r>
        <w:r>
          <w:rPr>
            <w:noProof/>
            <w:webHidden/>
          </w:rPr>
          <w:instrText xml:space="preserve"> PAGEREF _Toc459900222 \h </w:instrText>
        </w:r>
        <w:r>
          <w:rPr>
            <w:noProof/>
            <w:webHidden/>
          </w:rPr>
        </w:r>
        <w:r>
          <w:rPr>
            <w:noProof/>
            <w:webHidden/>
          </w:rPr>
          <w:fldChar w:fldCharType="separate"/>
        </w:r>
        <w:r w:rsidR="005028F8">
          <w:rPr>
            <w:noProof/>
            <w:webHidden/>
          </w:rPr>
          <w:t>471</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223" w:history="1">
        <w:r w:rsidRPr="009A2083">
          <w:rPr>
            <w:rStyle w:val="Hyperlink"/>
            <w:noProof/>
          </w:rPr>
          <w:t>Configure Daily QC: Full Service</w:t>
        </w:r>
        <w:r>
          <w:rPr>
            <w:noProof/>
            <w:webHidden/>
          </w:rPr>
          <w:tab/>
        </w:r>
        <w:r>
          <w:rPr>
            <w:noProof/>
            <w:webHidden/>
          </w:rPr>
          <w:fldChar w:fldCharType="begin"/>
        </w:r>
        <w:r>
          <w:rPr>
            <w:noProof/>
            <w:webHidden/>
          </w:rPr>
          <w:instrText xml:space="preserve"> PAGEREF _Toc459900223 \h </w:instrText>
        </w:r>
        <w:r>
          <w:rPr>
            <w:noProof/>
            <w:webHidden/>
          </w:rPr>
        </w:r>
        <w:r>
          <w:rPr>
            <w:noProof/>
            <w:webHidden/>
          </w:rPr>
          <w:fldChar w:fldCharType="separate"/>
        </w:r>
        <w:r w:rsidR="005028F8">
          <w:rPr>
            <w:noProof/>
            <w:webHidden/>
          </w:rPr>
          <w:t>472</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224" w:history="1">
        <w:r w:rsidRPr="009A2083">
          <w:rPr>
            <w:rStyle w:val="Hyperlink"/>
            <w:noProof/>
          </w:rPr>
          <w:t>Maintain Minimum Levels: Full Service</w:t>
        </w:r>
        <w:r>
          <w:rPr>
            <w:noProof/>
            <w:webHidden/>
          </w:rPr>
          <w:tab/>
        </w:r>
        <w:r>
          <w:rPr>
            <w:noProof/>
            <w:webHidden/>
          </w:rPr>
          <w:fldChar w:fldCharType="begin"/>
        </w:r>
        <w:r>
          <w:rPr>
            <w:noProof/>
            <w:webHidden/>
          </w:rPr>
          <w:instrText xml:space="preserve"> PAGEREF _Toc459900224 \h </w:instrText>
        </w:r>
        <w:r>
          <w:rPr>
            <w:noProof/>
            <w:webHidden/>
          </w:rPr>
        </w:r>
        <w:r>
          <w:rPr>
            <w:noProof/>
            <w:webHidden/>
          </w:rPr>
          <w:fldChar w:fldCharType="separate"/>
        </w:r>
        <w:r w:rsidR="005028F8">
          <w:rPr>
            <w:noProof/>
            <w:webHidden/>
          </w:rPr>
          <w:t>473</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225" w:history="1">
        <w:r w:rsidRPr="009A2083">
          <w:rPr>
            <w:rStyle w:val="Hyperlink"/>
            <w:noProof/>
          </w:rPr>
          <w:t>Log In Reagents: Full Service</w:t>
        </w:r>
        <w:r>
          <w:rPr>
            <w:noProof/>
            <w:webHidden/>
          </w:rPr>
          <w:tab/>
        </w:r>
        <w:r>
          <w:rPr>
            <w:noProof/>
            <w:webHidden/>
          </w:rPr>
          <w:fldChar w:fldCharType="begin"/>
        </w:r>
        <w:r>
          <w:rPr>
            <w:noProof/>
            <w:webHidden/>
          </w:rPr>
          <w:instrText xml:space="preserve"> PAGEREF _Toc459900225 \h </w:instrText>
        </w:r>
        <w:r>
          <w:rPr>
            <w:noProof/>
            <w:webHidden/>
          </w:rPr>
        </w:r>
        <w:r>
          <w:rPr>
            <w:noProof/>
            <w:webHidden/>
          </w:rPr>
          <w:fldChar w:fldCharType="separate"/>
        </w:r>
        <w:r w:rsidR="005028F8">
          <w:rPr>
            <w:noProof/>
            <w:webHidden/>
          </w:rPr>
          <w:t>474</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226" w:history="1">
        <w:r w:rsidRPr="009A2083">
          <w:rPr>
            <w:rStyle w:val="Hyperlink"/>
            <w:noProof/>
          </w:rPr>
          <w:t>Blood Products</w:t>
        </w:r>
        <w:r>
          <w:rPr>
            <w:noProof/>
            <w:webHidden/>
          </w:rPr>
          <w:tab/>
        </w:r>
        <w:r>
          <w:rPr>
            <w:noProof/>
            <w:webHidden/>
          </w:rPr>
          <w:fldChar w:fldCharType="begin"/>
        </w:r>
        <w:r>
          <w:rPr>
            <w:noProof/>
            <w:webHidden/>
          </w:rPr>
          <w:instrText xml:space="preserve"> PAGEREF _Toc459900226 \h </w:instrText>
        </w:r>
        <w:r>
          <w:rPr>
            <w:noProof/>
            <w:webHidden/>
          </w:rPr>
        </w:r>
        <w:r>
          <w:rPr>
            <w:noProof/>
            <w:webHidden/>
          </w:rPr>
          <w:fldChar w:fldCharType="separate"/>
        </w:r>
        <w:r w:rsidR="005028F8">
          <w:rPr>
            <w:noProof/>
            <w:webHidden/>
          </w:rPr>
          <w:t>475</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227" w:history="1">
        <w:r w:rsidRPr="009A2083">
          <w:rPr>
            <w:rStyle w:val="Hyperlink"/>
            <w:noProof/>
          </w:rPr>
          <w:t>Local Facilities</w:t>
        </w:r>
        <w:r>
          <w:rPr>
            <w:noProof/>
            <w:webHidden/>
          </w:rPr>
          <w:tab/>
        </w:r>
        <w:r>
          <w:rPr>
            <w:noProof/>
            <w:webHidden/>
          </w:rPr>
          <w:fldChar w:fldCharType="begin"/>
        </w:r>
        <w:r>
          <w:rPr>
            <w:noProof/>
            <w:webHidden/>
          </w:rPr>
          <w:instrText xml:space="preserve"> PAGEREF _Toc459900227 \h </w:instrText>
        </w:r>
        <w:r>
          <w:rPr>
            <w:noProof/>
            <w:webHidden/>
          </w:rPr>
        </w:r>
        <w:r>
          <w:rPr>
            <w:noProof/>
            <w:webHidden/>
          </w:rPr>
          <w:fldChar w:fldCharType="separate"/>
        </w:r>
        <w:r w:rsidR="005028F8">
          <w:rPr>
            <w:noProof/>
            <w:webHidden/>
          </w:rPr>
          <w:t>476</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228" w:history="1">
        <w:r w:rsidRPr="009A2083">
          <w:rPr>
            <w:rStyle w:val="Hyperlink"/>
            <w:noProof/>
          </w:rPr>
          <w:t>Component Classes</w:t>
        </w:r>
        <w:r>
          <w:rPr>
            <w:noProof/>
            <w:webHidden/>
          </w:rPr>
          <w:tab/>
        </w:r>
        <w:r>
          <w:rPr>
            <w:noProof/>
            <w:webHidden/>
          </w:rPr>
          <w:fldChar w:fldCharType="begin"/>
        </w:r>
        <w:r>
          <w:rPr>
            <w:noProof/>
            <w:webHidden/>
          </w:rPr>
          <w:instrText xml:space="preserve"> PAGEREF _Toc459900228 \h </w:instrText>
        </w:r>
        <w:r>
          <w:rPr>
            <w:noProof/>
            <w:webHidden/>
          </w:rPr>
        </w:r>
        <w:r>
          <w:rPr>
            <w:noProof/>
            <w:webHidden/>
          </w:rPr>
          <w:fldChar w:fldCharType="separate"/>
        </w:r>
        <w:r w:rsidR="005028F8">
          <w:rPr>
            <w:noProof/>
            <w:webHidden/>
          </w:rPr>
          <w:t>477</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229" w:history="1">
        <w:r w:rsidRPr="009A2083">
          <w:rPr>
            <w:rStyle w:val="Hyperlink"/>
            <w:noProof/>
          </w:rPr>
          <w:t>Transfusion Complications</w:t>
        </w:r>
        <w:r>
          <w:rPr>
            <w:noProof/>
            <w:webHidden/>
          </w:rPr>
          <w:tab/>
        </w:r>
        <w:r>
          <w:rPr>
            <w:noProof/>
            <w:webHidden/>
          </w:rPr>
          <w:fldChar w:fldCharType="begin"/>
        </w:r>
        <w:r>
          <w:rPr>
            <w:noProof/>
            <w:webHidden/>
          </w:rPr>
          <w:instrText xml:space="preserve"> PAGEREF _Toc459900229 \h </w:instrText>
        </w:r>
        <w:r>
          <w:rPr>
            <w:noProof/>
            <w:webHidden/>
          </w:rPr>
        </w:r>
        <w:r>
          <w:rPr>
            <w:noProof/>
            <w:webHidden/>
          </w:rPr>
          <w:fldChar w:fldCharType="separate"/>
        </w:r>
        <w:r w:rsidR="005028F8">
          <w:rPr>
            <w:noProof/>
            <w:webHidden/>
          </w:rPr>
          <w:t>478</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230" w:history="1">
        <w:r w:rsidRPr="009A2083">
          <w:rPr>
            <w:rStyle w:val="Hyperlink"/>
            <w:noProof/>
          </w:rPr>
          <w:t>Transfusion Effectiveness</w:t>
        </w:r>
        <w:r>
          <w:rPr>
            <w:noProof/>
            <w:webHidden/>
          </w:rPr>
          <w:tab/>
        </w:r>
        <w:r>
          <w:rPr>
            <w:noProof/>
            <w:webHidden/>
          </w:rPr>
          <w:fldChar w:fldCharType="begin"/>
        </w:r>
        <w:r>
          <w:rPr>
            <w:noProof/>
            <w:webHidden/>
          </w:rPr>
          <w:instrText xml:space="preserve"> PAGEREF _Toc459900230 \h </w:instrText>
        </w:r>
        <w:r>
          <w:rPr>
            <w:noProof/>
            <w:webHidden/>
          </w:rPr>
        </w:r>
        <w:r>
          <w:rPr>
            <w:noProof/>
            <w:webHidden/>
          </w:rPr>
          <w:fldChar w:fldCharType="separate"/>
        </w:r>
        <w:r w:rsidR="005028F8">
          <w:rPr>
            <w:noProof/>
            <w:webHidden/>
          </w:rPr>
          <w:t>479</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231" w:history="1">
        <w:r w:rsidRPr="009A2083">
          <w:rPr>
            <w:rStyle w:val="Hyperlink"/>
            <w:noProof/>
            <w:snapToGrid w:val="0"/>
          </w:rPr>
          <w:t>Workload Codes</w:t>
        </w:r>
        <w:r>
          <w:rPr>
            <w:noProof/>
            <w:webHidden/>
          </w:rPr>
          <w:tab/>
        </w:r>
        <w:r>
          <w:rPr>
            <w:noProof/>
            <w:webHidden/>
          </w:rPr>
          <w:fldChar w:fldCharType="begin"/>
        </w:r>
        <w:r>
          <w:rPr>
            <w:noProof/>
            <w:webHidden/>
          </w:rPr>
          <w:instrText xml:space="preserve"> PAGEREF _Toc459900231 \h </w:instrText>
        </w:r>
        <w:r>
          <w:rPr>
            <w:noProof/>
            <w:webHidden/>
          </w:rPr>
        </w:r>
        <w:r>
          <w:rPr>
            <w:noProof/>
            <w:webHidden/>
          </w:rPr>
          <w:fldChar w:fldCharType="separate"/>
        </w:r>
        <w:r w:rsidR="005028F8">
          <w:rPr>
            <w:noProof/>
            <w:webHidden/>
          </w:rPr>
          <w:t>480</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232" w:history="1">
        <w:r w:rsidRPr="009A2083">
          <w:rPr>
            <w:rStyle w:val="Hyperlink"/>
            <w:noProof/>
            <w:snapToGrid w:val="0"/>
          </w:rPr>
          <w:t xml:space="preserve">Canned </w:t>
        </w:r>
        <w:r w:rsidRPr="009A2083">
          <w:rPr>
            <w:rStyle w:val="Hyperlink"/>
            <w:noProof/>
          </w:rPr>
          <w:t>Comments</w:t>
        </w:r>
        <w:r>
          <w:rPr>
            <w:noProof/>
            <w:webHidden/>
          </w:rPr>
          <w:tab/>
        </w:r>
        <w:r>
          <w:rPr>
            <w:noProof/>
            <w:webHidden/>
          </w:rPr>
          <w:fldChar w:fldCharType="begin"/>
        </w:r>
        <w:r>
          <w:rPr>
            <w:noProof/>
            <w:webHidden/>
          </w:rPr>
          <w:instrText xml:space="preserve"> PAGEREF _Toc459900232 \h </w:instrText>
        </w:r>
        <w:r>
          <w:rPr>
            <w:noProof/>
            <w:webHidden/>
          </w:rPr>
        </w:r>
        <w:r>
          <w:rPr>
            <w:noProof/>
            <w:webHidden/>
          </w:rPr>
          <w:fldChar w:fldCharType="separate"/>
        </w:r>
        <w:r w:rsidR="005028F8">
          <w:rPr>
            <w:noProof/>
            <w:webHidden/>
          </w:rPr>
          <w:t>480</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233" w:history="1">
        <w:r w:rsidRPr="009A2083">
          <w:rPr>
            <w:rStyle w:val="Hyperlink"/>
            <w:noProof/>
          </w:rPr>
          <w:t>MSBOS</w:t>
        </w:r>
        <w:r>
          <w:rPr>
            <w:noProof/>
            <w:webHidden/>
          </w:rPr>
          <w:tab/>
        </w:r>
        <w:r>
          <w:rPr>
            <w:noProof/>
            <w:webHidden/>
          </w:rPr>
          <w:fldChar w:fldCharType="begin"/>
        </w:r>
        <w:r>
          <w:rPr>
            <w:noProof/>
            <w:webHidden/>
          </w:rPr>
          <w:instrText xml:space="preserve"> PAGEREF _Toc459900233 \h </w:instrText>
        </w:r>
        <w:r>
          <w:rPr>
            <w:noProof/>
            <w:webHidden/>
          </w:rPr>
        </w:r>
        <w:r>
          <w:rPr>
            <w:noProof/>
            <w:webHidden/>
          </w:rPr>
          <w:fldChar w:fldCharType="separate"/>
        </w:r>
        <w:r w:rsidR="005028F8">
          <w:rPr>
            <w:noProof/>
            <w:webHidden/>
          </w:rPr>
          <w:t>480</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234" w:history="1">
        <w:r w:rsidRPr="009A2083">
          <w:rPr>
            <w:rStyle w:val="Hyperlink"/>
            <w:noProof/>
            <w:snapToGrid w:val="0"/>
          </w:rPr>
          <w:t>Edit Invoice Text</w:t>
        </w:r>
        <w:r>
          <w:rPr>
            <w:noProof/>
            <w:webHidden/>
          </w:rPr>
          <w:tab/>
        </w:r>
        <w:r>
          <w:rPr>
            <w:noProof/>
            <w:webHidden/>
          </w:rPr>
          <w:fldChar w:fldCharType="begin"/>
        </w:r>
        <w:r>
          <w:rPr>
            <w:noProof/>
            <w:webHidden/>
          </w:rPr>
          <w:instrText xml:space="preserve"> PAGEREF _Toc459900234 \h </w:instrText>
        </w:r>
        <w:r>
          <w:rPr>
            <w:noProof/>
            <w:webHidden/>
          </w:rPr>
        </w:r>
        <w:r>
          <w:rPr>
            <w:noProof/>
            <w:webHidden/>
          </w:rPr>
          <w:fldChar w:fldCharType="separate"/>
        </w:r>
        <w:r w:rsidR="005028F8">
          <w:rPr>
            <w:noProof/>
            <w:webHidden/>
          </w:rPr>
          <w:t>480</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235" w:history="1">
        <w:r w:rsidRPr="009A2083">
          <w:rPr>
            <w:rStyle w:val="Hyperlink"/>
            <w:noProof/>
            <w:snapToGrid w:val="0"/>
          </w:rPr>
          <w:t>Antibodies</w:t>
        </w:r>
        <w:r>
          <w:rPr>
            <w:noProof/>
            <w:webHidden/>
          </w:rPr>
          <w:tab/>
        </w:r>
        <w:r>
          <w:rPr>
            <w:noProof/>
            <w:webHidden/>
          </w:rPr>
          <w:fldChar w:fldCharType="begin"/>
        </w:r>
        <w:r>
          <w:rPr>
            <w:noProof/>
            <w:webHidden/>
          </w:rPr>
          <w:instrText xml:space="preserve"> PAGEREF _Toc459900235 \h </w:instrText>
        </w:r>
        <w:r>
          <w:rPr>
            <w:noProof/>
            <w:webHidden/>
          </w:rPr>
        </w:r>
        <w:r>
          <w:rPr>
            <w:noProof/>
            <w:webHidden/>
          </w:rPr>
          <w:fldChar w:fldCharType="separate"/>
        </w:r>
        <w:r w:rsidR="005028F8">
          <w:rPr>
            <w:noProof/>
            <w:webHidden/>
          </w:rPr>
          <w:t>481</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236" w:history="1">
        <w:r w:rsidRPr="009A2083">
          <w:rPr>
            <w:rStyle w:val="Hyperlink"/>
            <w:noProof/>
          </w:rPr>
          <w:t>Update User Roles</w:t>
        </w:r>
        <w:r>
          <w:rPr>
            <w:noProof/>
            <w:webHidden/>
          </w:rPr>
          <w:tab/>
        </w:r>
        <w:r>
          <w:rPr>
            <w:noProof/>
            <w:webHidden/>
          </w:rPr>
          <w:fldChar w:fldCharType="begin"/>
        </w:r>
        <w:r>
          <w:rPr>
            <w:noProof/>
            <w:webHidden/>
          </w:rPr>
          <w:instrText xml:space="preserve"> PAGEREF _Toc459900236 \h </w:instrText>
        </w:r>
        <w:r>
          <w:rPr>
            <w:noProof/>
            <w:webHidden/>
          </w:rPr>
        </w:r>
        <w:r>
          <w:rPr>
            <w:noProof/>
            <w:webHidden/>
          </w:rPr>
          <w:fldChar w:fldCharType="separate"/>
        </w:r>
        <w:r w:rsidR="005028F8">
          <w:rPr>
            <w:noProof/>
            <w:webHidden/>
          </w:rPr>
          <w:t>482</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237" w:history="1">
        <w:r w:rsidRPr="009A2083">
          <w:rPr>
            <w:rStyle w:val="Hyperlink"/>
            <w:noProof/>
            <w:snapToGrid w:val="0"/>
          </w:rPr>
          <w:t>Testing</w:t>
        </w:r>
        <w:r>
          <w:rPr>
            <w:noProof/>
            <w:webHidden/>
          </w:rPr>
          <w:tab/>
        </w:r>
        <w:r>
          <w:rPr>
            <w:noProof/>
            <w:webHidden/>
          </w:rPr>
          <w:fldChar w:fldCharType="begin"/>
        </w:r>
        <w:r>
          <w:rPr>
            <w:noProof/>
            <w:webHidden/>
          </w:rPr>
          <w:instrText xml:space="preserve"> PAGEREF _Toc459900237 \h </w:instrText>
        </w:r>
        <w:r>
          <w:rPr>
            <w:noProof/>
            <w:webHidden/>
          </w:rPr>
        </w:r>
        <w:r>
          <w:rPr>
            <w:noProof/>
            <w:webHidden/>
          </w:rPr>
          <w:fldChar w:fldCharType="separate"/>
        </w:r>
        <w:r w:rsidR="005028F8">
          <w:rPr>
            <w:noProof/>
            <w:webHidden/>
          </w:rPr>
          <w:t>482</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238" w:history="1">
        <w:r w:rsidRPr="009A2083">
          <w:rPr>
            <w:rStyle w:val="Hyperlink"/>
            <w:noProof/>
          </w:rPr>
          <w:t>VBECS Forms and Reports</w:t>
        </w:r>
        <w:r>
          <w:rPr>
            <w:noProof/>
            <w:webHidden/>
          </w:rPr>
          <w:tab/>
        </w:r>
        <w:r>
          <w:rPr>
            <w:noProof/>
            <w:webHidden/>
          </w:rPr>
          <w:fldChar w:fldCharType="begin"/>
        </w:r>
        <w:r>
          <w:rPr>
            <w:noProof/>
            <w:webHidden/>
          </w:rPr>
          <w:instrText xml:space="preserve"> PAGEREF _Toc459900238 \h </w:instrText>
        </w:r>
        <w:r>
          <w:rPr>
            <w:noProof/>
            <w:webHidden/>
          </w:rPr>
        </w:r>
        <w:r>
          <w:rPr>
            <w:noProof/>
            <w:webHidden/>
          </w:rPr>
          <w:fldChar w:fldCharType="separate"/>
        </w:r>
        <w:r w:rsidR="005028F8">
          <w:rPr>
            <w:noProof/>
            <w:webHidden/>
          </w:rPr>
          <w:t>483</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239" w:history="1">
        <w:r w:rsidRPr="009A2083">
          <w:rPr>
            <w:rStyle w:val="Hyperlink"/>
            <w:noProof/>
          </w:rPr>
          <w:t>Appendix G: Work Process Flowcharts</w:t>
        </w:r>
        <w:r>
          <w:rPr>
            <w:noProof/>
            <w:webHidden/>
          </w:rPr>
          <w:tab/>
        </w:r>
        <w:r>
          <w:rPr>
            <w:noProof/>
            <w:webHidden/>
          </w:rPr>
          <w:fldChar w:fldCharType="begin"/>
        </w:r>
        <w:r>
          <w:rPr>
            <w:noProof/>
            <w:webHidden/>
          </w:rPr>
          <w:instrText xml:space="preserve"> PAGEREF _Toc459900239 \h </w:instrText>
        </w:r>
        <w:r>
          <w:rPr>
            <w:noProof/>
            <w:webHidden/>
          </w:rPr>
        </w:r>
        <w:r>
          <w:rPr>
            <w:noProof/>
            <w:webHidden/>
          </w:rPr>
          <w:fldChar w:fldCharType="separate"/>
        </w:r>
        <w:r w:rsidR="005028F8">
          <w:rPr>
            <w:noProof/>
            <w:webHidden/>
          </w:rPr>
          <w:t>485</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240" w:history="1">
        <w:r w:rsidRPr="009A2083">
          <w:rPr>
            <w:rStyle w:val="Hyperlink"/>
            <w:noProof/>
          </w:rPr>
          <w:t>Appendix H: Frequently Asked Questions</w:t>
        </w:r>
        <w:r>
          <w:rPr>
            <w:noProof/>
            <w:webHidden/>
          </w:rPr>
          <w:tab/>
        </w:r>
        <w:r>
          <w:rPr>
            <w:noProof/>
            <w:webHidden/>
          </w:rPr>
          <w:fldChar w:fldCharType="begin"/>
        </w:r>
        <w:r>
          <w:rPr>
            <w:noProof/>
            <w:webHidden/>
          </w:rPr>
          <w:instrText xml:space="preserve"> PAGEREF _Toc459900240 \h </w:instrText>
        </w:r>
        <w:r>
          <w:rPr>
            <w:noProof/>
            <w:webHidden/>
          </w:rPr>
        </w:r>
        <w:r>
          <w:rPr>
            <w:noProof/>
            <w:webHidden/>
          </w:rPr>
          <w:fldChar w:fldCharType="separate"/>
        </w:r>
        <w:r w:rsidR="005028F8">
          <w:rPr>
            <w:noProof/>
            <w:webHidden/>
          </w:rPr>
          <w:t>495</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241" w:history="1">
        <w:r w:rsidRPr="009A2083">
          <w:rPr>
            <w:rStyle w:val="Hyperlink"/>
            <w:noProof/>
          </w:rPr>
          <w:t>Appendix I: Common Error Corrections</w:t>
        </w:r>
        <w:r>
          <w:rPr>
            <w:noProof/>
            <w:webHidden/>
          </w:rPr>
          <w:tab/>
        </w:r>
        <w:r>
          <w:rPr>
            <w:noProof/>
            <w:webHidden/>
          </w:rPr>
          <w:fldChar w:fldCharType="begin"/>
        </w:r>
        <w:r>
          <w:rPr>
            <w:noProof/>
            <w:webHidden/>
          </w:rPr>
          <w:instrText xml:space="preserve"> PAGEREF _Toc459900241 \h </w:instrText>
        </w:r>
        <w:r>
          <w:rPr>
            <w:noProof/>
            <w:webHidden/>
          </w:rPr>
        </w:r>
        <w:r>
          <w:rPr>
            <w:noProof/>
            <w:webHidden/>
          </w:rPr>
          <w:fldChar w:fldCharType="separate"/>
        </w:r>
        <w:r w:rsidR="005028F8">
          <w:rPr>
            <w:noProof/>
            <w:webHidden/>
          </w:rPr>
          <w:t>497</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242" w:history="1">
        <w:r w:rsidRPr="009A2083">
          <w:rPr>
            <w:rStyle w:val="Hyperlink"/>
            <w:noProof/>
          </w:rPr>
          <w:t>Correct Patient Test Results</w:t>
        </w:r>
        <w:r>
          <w:rPr>
            <w:noProof/>
            <w:webHidden/>
          </w:rPr>
          <w:tab/>
        </w:r>
        <w:r>
          <w:rPr>
            <w:noProof/>
            <w:webHidden/>
          </w:rPr>
          <w:fldChar w:fldCharType="begin"/>
        </w:r>
        <w:r>
          <w:rPr>
            <w:noProof/>
            <w:webHidden/>
          </w:rPr>
          <w:instrText xml:space="preserve"> PAGEREF _Toc459900242 \h </w:instrText>
        </w:r>
        <w:r>
          <w:rPr>
            <w:noProof/>
            <w:webHidden/>
          </w:rPr>
        </w:r>
        <w:r>
          <w:rPr>
            <w:noProof/>
            <w:webHidden/>
          </w:rPr>
          <w:fldChar w:fldCharType="separate"/>
        </w:r>
        <w:r w:rsidR="005028F8">
          <w:rPr>
            <w:noProof/>
            <w:webHidden/>
          </w:rPr>
          <w:t>497</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243" w:history="1">
        <w:r w:rsidRPr="009A2083">
          <w:rPr>
            <w:rStyle w:val="Hyperlink"/>
            <w:noProof/>
          </w:rPr>
          <w:t>Invalidate Test Results</w:t>
        </w:r>
        <w:r>
          <w:rPr>
            <w:noProof/>
            <w:webHidden/>
          </w:rPr>
          <w:tab/>
        </w:r>
        <w:r>
          <w:rPr>
            <w:noProof/>
            <w:webHidden/>
          </w:rPr>
          <w:fldChar w:fldCharType="begin"/>
        </w:r>
        <w:r>
          <w:rPr>
            <w:noProof/>
            <w:webHidden/>
          </w:rPr>
          <w:instrText xml:space="preserve"> PAGEREF _Toc459900243 \h </w:instrText>
        </w:r>
        <w:r>
          <w:rPr>
            <w:noProof/>
            <w:webHidden/>
          </w:rPr>
        </w:r>
        <w:r>
          <w:rPr>
            <w:noProof/>
            <w:webHidden/>
          </w:rPr>
          <w:fldChar w:fldCharType="separate"/>
        </w:r>
        <w:r w:rsidR="005028F8">
          <w:rPr>
            <w:noProof/>
            <w:webHidden/>
          </w:rPr>
          <w:t>497</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244" w:history="1">
        <w:r w:rsidRPr="009A2083">
          <w:rPr>
            <w:rStyle w:val="Hyperlink"/>
            <w:noProof/>
          </w:rPr>
          <w:t>UN-Pooling a Pooled Unit (in the computer only)</w:t>
        </w:r>
        <w:r>
          <w:rPr>
            <w:noProof/>
            <w:webHidden/>
          </w:rPr>
          <w:tab/>
        </w:r>
        <w:r>
          <w:rPr>
            <w:noProof/>
            <w:webHidden/>
          </w:rPr>
          <w:fldChar w:fldCharType="begin"/>
        </w:r>
        <w:r>
          <w:rPr>
            <w:noProof/>
            <w:webHidden/>
          </w:rPr>
          <w:instrText xml:space="preserve"> PAGEREF _Toc459900244 \h </w:instrText>
        </w:r>
        <w:r>
          <w:rPr>
            <w:noProof/>
            <w:webHidden/>
          </w:rPr>
        </w:r>
        <w:r>
          <w:rPr>
            <w:noProof/>
            <w:webHidden/>
          </w:rPr>
          <w:fldChar w:fldCharType="separate"/>
        </w:r>
        <w:r w:rsidR="005028F8">
          <w:rPr>
            <w:noProof/>
            <w:webHidden/>
          </w:rPr>
          <w:t>498</w:t>
        </w:r>
        <w:r>
          <w:rPr>
            <w:noProof/>
            <w:webHidden/>
          </w:rPr>
          <w:fldChar w:fldCharType="end"/>
        </w:r>
      </w:hyperlink>
    </w:p>
    <w:p w:rsidR="00E155EF" w:rsidRPr="00206A59" w:rsidRDefault="00E155EF">
      <w:pPr>
        <w:pStyle w:val="TOC3"/>
        <w:tabs>
          <w:tab w:val="right" w:leader="dot" w:pos="9350"/>
        </w:tabs>
        <w:rPr>
          <w:rFonts w:ascii="Calibri" w:hAnsi="Calibri"/>
          <w:noProof/>
        </w:rPr>
      </w:pPr>
      <w:hyperlink w:anchor="_Toc459900245" w:history="1">
        <w:r w:rsidRPr="009A2083">
          <w:rPr>
            <w:rStyle w:val="Hyperlink"/>
            <w:noProof/>
          </w:rPr>
          <w:t>UN-Modifying a Unit</w:t>
        </w:r>
        <w:r>
          <w:rPr>
            <w:noProof/>
            <w:webHidden/>
          </w:rPr>
          <w:tab/>
        </w:r>
        <w:r>
          <w:rPr>
            <w:noProof/>
            <w:webHidden/>
          </w:rPr>
          <w:fldChar w:fldCharType="begin"/>
        </w:r>
        <w:r>
          <w:rPr>
            <w:noProof/>
            <w:webHidden/>
          </w:rPr>
          <w:instrText xml:space="preserve"> PAGEREF _Toc459900245 \h </w:instrText>
        </w:r>
        <w:r>
          <w:rPr>
            <w:noProof/>
            <w:webHidden/>
          </w:rPr>
        </w:r>
        <w:r>
          <w:rPr>
            <w:noProof/>
            <w:webHidden/>
          </w:rPr>
          <w:fldChar w:fldCharType="separate"/>
        </w:r>
        <w:r w:rsidR="005028F8">
          <w:rPr>
            <w:noProof/>
            <w:webHidden/>
          </w:rPr>
          <w:t>498</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246" w:history="1">
        <w:r w:rsidRPr="009A2083">
          <w:rPr>
            <w:rStyle w:val="Hyperlink"/>
            <w:noProof/>
          </w:rPr>
          <w:t>Appendix J: Recommended Report Usage</w:t>
        </w:r>
        <w:r>
          <w:rPr>
            <w:noProof/>
            <w:webHidden/>
          </w:rPr>
          <w:tab/>
        </w:r>
        <w:r>
          <w:rPr>
            <w:noProof/>
            <w:webHidden/>
          </w:rPr>
          <w:fldChar w:fldCharType="begin"/>
        </w:r>
        <w:r>
          <w:rPr>
            <w:noProof/>
            <w:webHidden/>
          </w:rPr>
          <w:instrText xml:space="preserve"> PAGEREF _Toc459900246 \h </w:instrText>
        </w:r>
        <w:r>
          <w:rPr>
            <w:noProof/>
            <w:webHidden/>
          </w:rPr>
        </w:r>
        <w:r>
          <w:rPr>
            <w:noProof/>
            <w:webHidden/>
          </w:rPr>
          <w:fldChar w:fldCharType="separate"/>
        </w:r>
        <w:r w:rsidR="005028F8">
          <w:rPr>
            <w:noProof/>
            <w:webHidden/>
          </w:rPr>
          <w:t>499</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247" w:history="1">
        <w:r w:rsidRPr="009A2083">
          <w:rPr>
            <w:rStyle w:val="Hyperlink"/>
            <w:noProof/>
          </w:rPr>
          <w:t>Appendix K: Barcode Scanner Configuration and Troubleshooting</w:t>
        </w:r>
        <w:r>
          <w:rPr>
            <w:noProof/>
            <w:webHidden/>
          </w:rPr>
          <w:tab/>
        </w:r>
        <w:r>
          <w:rPr>
            <w:noProof/>
            <w:webHidden/>
          </w:rPr>
          <w:fldChar w:fldCharType="begin"/>
        </w:r>
        <w:r>
          <w:rPr>
            <w:noProof/>
            <w:webHidden/>
          </w:rPr>
          <w:instrText xml:space="preserve"> PAGEREF _Toc459900247 \h </w:instrText>
        </w:r>
        <w:r>
          <w:rPr>
            <w:noProof/>
            <w:webHidden/>
          </w:rPr>
        </w:r>
        <w:r>
          <w:rPr>
            <w:noProof/>
            <w:webHidden/>
          </w:rPr>
          <w:fldChar w:fldCharType="separate"/>
        </w:r>
        <w:r w:rsidR="005028F8">
          <w:rPr>
            <w:noProof/>
            <w:webHidden/>
          </w:rPr>
          <w:t>501</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248" w:history="1">
        <w:r w:rsidRPr="009A2083">
          <w:rPr>
            <w:rStyle w:val="Hyperlink"/>
            <w:noProof/>
          </w:rPr>
          <w:t>Appendix L: United Blood Services (UBS) Facility Barcodes</w:t>
        </w:r>
        <w:r>
          <w:rPr>
            <w:noProof/>
            <w:webHidden/>
          </w:rPr>
          <w:tab/>
        </w:r>
        <w:r>
          <w:rPr>
            <w:noProof/>
            <w:webHidden/>
          </w:rPr>
          <w:fldChar w:fldCharType="begin"/>
        </w:r>
        <w:r>
          <w:rPr>
            <w:noProof/>
            <w:webHidden/>
          </w:rPr>
          <w:instrText xml:space="preserve"> PAGEREF _Toc459900248 \h </w:instrText>
        </w:r>
        <w:r>
          <w:rPr>
            <w:noProof/>
            <w:webHidden/>
          </w:rPr>
        </w:r>
        <w:r>
          <w:rPr>
            <w:noProof/>
            <w:webHidden/>
          </w:rPr>
          <w:fldChar w:fldCharType="separate"/>
        </w:r>
        <w:r w:rsidR="005028F8">
          <w:rPr>
            <w:noProof/>
            <w:webHidden/>
          </w:rPr>
          <w:t>503</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249" w:history="1">
        <w:r w:rsidRPr="009A2083">
          <w:rPr>
            <w:rStyle w:val="Hyperlink"/>
            <w:noProof/>
          </w:rPr>
          <w:t>Appendix M: System Responses to Active Transfusion Requirements in Select Unit and Issue Blood Component</w:t>
        </w:r>
        <w:r>
          <w:rPr>
            <w:noProof/>
            <w:webHidden/>
          </w:rPr>
          <w:tab/>
        </w:r>
        <w:r>
          <w:rPr>
            <w:noProof/>
            <w:webHidden/>
          </w:rPr>
          <w:fldChar w:fldCharType="begin"/>
        </w:r>
        <w:r>
          <w:rPr>
            <w:noProof/>
            <w:webHidden/>
          </w:rPr>
          <w:instrText xml:space="preserve"> PAGEREF _Toc459900249 \h </w:instrText>
        </w:r>
        <w:r>
          <w:rPr>
            <w:noProof/>
            <w:webHidden/>
          </w:rPr>
        </w:r>
        <w:r>
          <w:rPr>
            <w:noProof/>
            <w:webHidden/>
          </w:rPr>
          <w:fldChar w:fldCharType="separate"/>
        </w:r>
        <w:r w:rsidR="005028F8">
          <w:rPr>
            <w:noProof/>
            <w:webHidden/>
          </w:rPr>
          <w:t>505</w:t>
        </w:r>
        <w:r>
          <w:rPr>
            <w:noProof/>
            <w:webHidden/>
          </w:rPr>
          <w:fldChar w:fldCharType="end"/>
        </w:r>
      </w:hyperlink>
    </w:p>
    <w:p w:rsidR="00E155EF" w:rsidRPr="00206A59" w:rsidRDefault="00E155EF">
      <w:pPr>
        <w:pStyle w:val="TOC2"/>
        <w:tabs>
          <w:tab w:val="right" w:leader="dot" w:pos="9350"/>
        </w:tabs>
        <w:rPr>
          <w:rFonts w:ascii="Calibri" w:hAnsi="Calibri"/>
          <w:smallCaps w:val="0"/>
          <w:noProof/>
        </w:rPr>
      </w:pPr>
      <w:hyperlink w:anchor="_Toc459900250" w:history="1">
        <w:r w:rsidRPr="009A2083">
          <w:rPr>
            <w:rStyle w:val="Hyperlink"/>
            <w:noProof/>
          </w:rPr>
          <w:t>Appendix N: Workload Process Mapping to Application Option Table</w:t>
        </w:r>
        <w:r>
          <w:rPr>
            <w:noProof/>
            <w:webHidden/>
          </w:rPr>
          <w:tab/>
        </w:r>
        <w:r>
          <w:rPr>
            <w:noProof/>
            <w:webHidden/>
          </w:rPr>
          <w:fldChar w:fldCharType="begin"/>
        </w:r>
        <w:r>
          <w:rPr>
            <w:noProof/>
            <w:webHidden/>
          </w:rPr>
          <w:instrText xml:space="preserve"> PAGEREF _Toc459900250 \h </w:instrText>
        </w:r>
        <w:r>
          <w:rPr>
            <w:noProof/>
            <w:webHidden/>
          </w:rPr>
        </w:r>
        <w:r>
          <w:rPr>
            <w:noProof/>
            <w:webHidden/>
          </w:rPr>
          <w:fldChar w:fldCharType="separate"/>
        </w:r>
        <w:r w:rsidR="005028F8">
          <w:rPr>
            <w:noProof/>
            <w:webHidden/>
          </w:rPr>
          <w:t>515</w:t>
        </w:r>
        <w:r>
          <w:rPr>
            <w:noProof/>
            <w:webHidden/>
          </w:rPr>
          <w:fldChar w:fldCharType="end"/>
        </w:r>
      </w:hyperlink>
    </w:p>
    <w:p w:rsidR="00E155EF" w:rsidRPr="00206A59" w:rsidRDefault="00E155EF">
      <w:pPr>
        <w:pStyle w:val="TOC1"/>
        <w:tabs>
          <w:tab w:val="right" w:leader="dot" w:pos="9350"/>
        </w:tabs>
        <w:rPr>
          <w:rFonts w:ascii="Calibri" w:hAnsi="Calibri"/>
          <w:b w:val="0"/>
          <w:caps w:val="0"/>
          <w:noProof/>
        </w:rPr>
      </w:pPr>
      <w:hyperlink w:anchor="_Toc459900251" w:history="1">
        <w:r w:rsidRPr="009A2083">
          <w:rPr>
            <w:rStyle w:val="Hyperlink"/>
            <w:noProof/>
          </w:rPr>
          <w:t>Index</w:t>
        </w:r>
        <w:r>
          <w:rPr>
            <w:noProof/>
            <w:webHidden/>
          </w:rPr>
          <w:tab/>
        </w:r>
        <w:r>
          <w:rPr>
            <w:noProof/>
            <w:webHidden/>
          </w:rPr>
          <w:fldChar w:fldCharType="begin"/>
        </w:r>
        <w:r>
          <w:rPr>
            <w:noProof/>
            <w:webHidden/>
          </w:rPr>
          <w:instrText xml:space="preserve"> PAGEREF _Toc459900251 \h </w:instrText>
        </w:r>
        <w:r>
          <w:rPr>
            <w:noProof/>
            <w:webHidden/>
          </w:rPr>
        </w:r>
        <w:r>
          <w:rPr>
            <w:noProof/>
            <w:webHidden/>
          </w:rPr>
          <w:fldChar w:fldCharType="separate"/>
        </w:r>
        <w:r w:rsidR="005028F8">
          <w:rPr>
            <w:noProof/>
            <w:webHidden/>
          </w:rPr>
          <w:t>523</w:t>
        </w:r>
        <w:r>
          <w:rPr>
            <w:noProof/>
            <w:webHidden/>
          </w:rPr>
          <w:fldChar w:fldCharType="end"/>
        </w:r>
      </w:hyperlink>
    </w:p>
    <w:p w:rsidR="00220380" w:rsidRDefault="002A21AE">
      <w:pPr>
        <w:pStyle w:val="Heading1"/>
        <w:rPr>
          <w:rFonts w:ascii="Times New Roman" w:hAnsi="Times New Roman" w:cs="Times New Roman"/>
          <w:kern w:val="0"/>
          <w:sz w:val="22"/>
          <w:szCs w:val="22"/>
        </w:rPr>
      </w:pPr>
      <w:r>
        <w:rPr>
          <w:rFonts w:ascii="Times New Roman" w:hAnsi="Times New Roman" w:cs="Times New Roman"/>
          <w:kern w:val="0"/>
          <w:sz w:val="22"/>
          <w:szCs w:val="22"/>
        </w:rPr>
        <w:fldChar w:fldCharType="end"/>
      </w:r>
    </w:p>
    <w:p w:rsidR="002A21AE" w:rsidRPr="004E21D6" w:rsidRDefault="002A21AE" w:rsidP="00EF233F">
      <w:pPr>
        <w:rPr>
          <w:sz w:val="22"/>
          <w:szCs w:val="22"/>
        </w:rPr>
        <w:sectPr w:rsidR="002A21AE" w:rsidRPr="004E21D6" w:rsidSect="00EE771C">
          <w:footerReference w:type="default" r:id="rId21"/>
          <w:type w:val="nextColumn"/>
          <w:pgSz w:w="12240" w:h="15840" w:code="1"/>
          <w:pgMar w:top="1440" w:right="1440" w:bottom="1440" w:left="1440" w:header="720" w:footer="720" w:gutter="0"/>
          <w:pgNumType w:fmt="lowerRoman" w:start="1"/>
          <w:cols w:space="720"/>
          <w:docGrid w:linePitch="360"/>
        </w:sectPr>
      </w:pPr>
    </w:p>
    <w:p w:rsidR="002A21AE" w:rsidRPr="00BF677A" w:rsidRDefault="002A21AE" w:rsidP="00061AEC">
      <w:pPr>
        <w:pStyle w:val="Heading1"/>
        <w:rPr>
          <w:rFonts w:ascii="Arial Bold" w:hAnsi="Arial Bold"/>
        </w:rPr>
      </w:pPr>
      <w:bookmarkStart w:id="2" w:name="_Toc459900018"/>
      <w:r>
        <w:lastRenderedPageBreak/>
        <w:t>Introduction</w:t>
      </w:r>
      <w:bookmarkEnd w:id="2"/>
      <w:r>
        <w:fldChar w:fldCharType="begin"/>
      </w:r>
      <w:r>
        <w:instrText xml:space="preserve"> XE </w:instrText>
      </w:r>
      <w:r w:rsidR="00FA7E65">
        <w:instrText>“</w:instrText>
      </w:r>
      <w:r>
        <w:instrText>Introduction</w:instrText>
      </w:r>
      <w:r w:rsidR="00FA7E65">
        <w:instrText>”</w:instrText>
      </w:r>
      <w:r>
        <w:instrText xml:space="preserve"> </w:instrText>
      </w:r>
      <w:r>
        <w:fldChar w:fldCharType="end"/>
      </w:r>
    </w:p>
    <w:p w:rsidR="002A21AE" w:rsidRDefault="00EC7AE4" w:rsidP="00FA7E65">
      <w:pPr>
        <w:pStyle w:val="BodyText"/>
      </w:pPr>
      <w:bookmarkStart w:id="3" w:name="OLE_LINK41"/>
      <w:bookmarkStart w:id="4" w:name="OLE_LINK42"/>
      <w:r>
        <w:t>The</w:t>
      </w:r>
      <w:r w:rsidR="002A21AE">
        <w:t xml:space="preserve"> </w:t>
      </w:r>
      <w:r w:rsidR="00AD4E42">
        <w:t>main</w:t>
      </w:r>
      <w:r w:rsidR="002A21AE">
        <w:t xml:space="preserve"> purpose of the </w:t>
      </w:r>
      <w:r w:rsidR="000C7684" w:rsidRPr="000C7684">
        <w:rPr>
          <w:bCs/>
        </w:rPr>
        <w:t>VistA</w:t>
      </w:r>
      <w:r w:rsidR="002A21AE">
        <w:t xml:space="preserve"> Blood Establishment Computer Software (VBECS) is to automate the daily processing of blood inventory and patient transfusions in a hospital transfusion service.</w:t>
      </w:r>
    </w:p>
    <w:p w:rsidR="00473130" w:rsidRDefault="00473130" w:rsidP="00473130">
      <w:pPr>
        <w:pStyle w:val="BodyText"/>
      </w:pPr>
      <w:bookmarkStart w:id="5" w:name="OLE_LINK7"/>
      <w:bookmarkStart w:id="6" w:name="OLE_LINK8"/>
      <w:r>
        <w:t>VBECS is an improved Blood Bank application that facilitates ongoing compliance with Food and Drug Administration (FDA) standards for m</w:t>
      </w:r>
      <w:r w:rsidR="009E2D49">
        <w:t>edical devices and</w:t>
      </w:r>
      <w:r w:rsidR="00A83DCA">
        <w:t xml:space="preserve"> enhances the Department of Veterans Affairs (VA</w:t>
      </w:r>
      <w:r>
        <w:t>s</w:t>
      </w:r>
      <w:r w:rsidR="00A83DCA">
        <w:t>)</w:t>
      </w:r>
      <w:r>
        <w:t xml:space="preserve"> ability to produce high-quality blood products and services to veterans. The system follows blood bank standards, standards of national accrediting agencies, FDA regulations, and VA policies.</w:t>
      </w:r>
    </w:p>
    <w:p w:rsidR="0045199A" w:rsidRDefault="0045199A" w:rsidP="0045199A">
      <w:pPr>
        <w:pStyle w:val="Heading4"/>
      </w:pPr>
      <w:r>
        <w:t xml:space="preserve">Limitations and Restrictions </w:t>
      </w:r>
    </w:p>
    <w:p w:rsidR="0045199A" w:rsidRPr="0045199A" w:rsidRDefault="0045199A" w:rsidP="0045199A">
      <w:pPr>
        <w:pStyle w:val="Heading4"/>
        <w:rPr>
          <w:rFonts w:ascii="Times New Roman" w:hAnsi="Times New Roman"/>
          <w:b w:val="0"/>
          <w:spacing w:val="-5"/>
          <w:szCs w:val="22"/>
        </w:rPr>
      </w:pPr>
      <w:r w:rsidRPr="0045199A">
        <w:rPr>
          <w:rFonts w:ascii="Times New Roman" w:hAnsi="Times New Roman"/>
        </w:rPr>
        <w:t>VBECS does not support:</w:t>
      </w:r>
      <w:r w:rsidRPr="0045199A">
        <w:rPr>
          <w:rFonts w:ascii="Times New Roman" w:hAnsi="Times New Roman"/>
          <w:vanish/>
        </w:rPr>
        <w:t>DR 5105</w:t>
      </w:r>
    </w:p>
    <w:p w:rsidR="0045199A" w:rsidRPr="005E26A6" w:rsidRDefault="0045199A" w:rsidP="0045199A">
      <w:pPr>
        <w:pStyle w:val="ListBullet"/>
      </w:pPr>
      <w:r>
        <w:t>Blood dono</w:t>
      </w:r>
      <w:r w:rsidRPr="005E26A6">
        <w:t>r collection activities</w:t>
      </w:r>
      <w:r>
        <w:t xml:space="preserve"> (donor module)</w:t>
      </w:r>
    </w:p>
    <w:p w:rsidR="0045199A" w:rsidRPr="005E26A6" w:rsidRDefault="0045199A" w:rsidP="0045199A">
      <w:pPr>
        <w:pStyle w:val="ListBullet"/>
      </w:pPr>
      <w:r w:rsidRPr="005E26A6">
        <w:t>Direct data entry of antibody identification</w:t>
      </w:r>
    </w:p>
    <w:p w:rsidR="0045199A" w:rsidRPr="005E26A6" w:rsidRDefault="0045199A" w:rsidP="0045199A">
      <w:pPr>
        <w:pStyle w:val="ListBullet"/>
      </w:pPr>
      <w:r w:rsidRPr="005E26A6">
        <w:t xml:space="preserve">Direct data entry of transfusion reaction workups </w:t>
      </w:r>
    </w:p>
    <w:p w:rsidR="0045199A" w:rsidRPr="005E26A6" w:rsidRDefault="0045199A" w:rsidP="0045199A">
      <w:pPr>
        <w:pStyle w:val="ListBullet"/>
      </w:pPr>
      <w:r w:rsidRPr="005E26A6">
        <w:t>Patient testing, transfusions, and blood components recorded in Legacy VistA are not available in VBECS</w:t>
      </w:r>
    </w:p>
    <w:p w:rsidR="0045199A" w:rsidRDefault="0045199A" w:rsidP="0045199A">
      <w:pPr>
        <w:pStyle w:val="ListBullet"/>
      </w:pPr>
      <w:r w:rsidRPr="005E26A6">
        <w:t>Pediatric blood product preparation</w:t>
      </w:r>
    </w:p>
    <w:p w:rsidR="0045199A" w:rsidRPr="005E26A6" w:rsidRDefault="0045199A" w:rsidP="0045199A">
      <w:pPr>
        <w:pStyle w:val="ListBullet"/>
      </w:pPr>
      <w:r>
        <w:t>Printing of blood product labels</w:t>
      </w:r>
    </w:p>
    <w:p w:rsidR="0045199A" w:rsidRPr="005E26A6" w:rsidRDefault="0045199A" w:rsidP="0045199A">
      <w:pPr>
        <w:pStyle w:val="ListBullet"/>
      </w:pPr>
      <w:r w:rsidRPr="005E26A6">
        <w:t>User defined customized queries or reports</w:t>
      </w:r>
    </w:p>
    <w:p w:rsidR="0045199A" w:rsidRPr="005E26A6" w:rsidRDefault="0045199A" w:rsidP="0045199A">
      <w:pPr>
        <w:pStyle w:val="ListBullet"/>
      </w:pPr>
      <w:r w:rsidRPr="005E26A6">
        <w:t>User editing blood product, antigen, antibody, or transfusion reaction tables</w:t>
      </w:r>
    </w:p>
    <w:p w:rsidR="0045199A" w:rsidRDefault="0045199A" w:rsidP="0045199A">
      <w:pPr>
        <w:pStyle w:val="ListBullet"/>
      </w:pPr>
      <w:r w:rsidRPr="005E26A6">
        <w:t>Validation record storage</w:t>
      </w:r>
    </w:p>
    <w:p w:rsidR="0045199A" w:rsidRDefault="0045199A" w:rsidP="0045199A">
      <w:pPr>
        <w:rPr>
          <w:sz w:val="22"/>
          <w:szCs w:val="22"/>
        </w:rPr>
      </w:pPr>
    </w:p>
    <w:p w:rsidR="0045199A" w:rsidRDefault="0045199A" w:rsidP="0045199A">
      <w:pPr>
        <w:rPr>
          <w:sz w:val="22"/>
          <w:szCs w:val="22"/>
        </w:rPr>
      </w:pPr>
      <w:r w:rsidRPr="004503BD">
        <w:rPr>
          <w:sz w:val="22"/>
          <w:szCs w:val="22"/>
        </w:rPr>
        <w:t xml:space="preserve">Limitations and Restrictions are listed in </w:t>
      </w:r>
      <w:r w:rsidRPr="004503BD">
        <w:rPr>
          <w:sz w:val="22"/>
          <w:szCs w:val="22"/>
        </w:rPr>
        <w:fldChar w:fldCharType="begin"/>
      </w:r>
      <w:r w:rsidRPr="004503BD">
        <w:rPr>
          <w:sz w:val="22"/>
          <w:szCs w:val="22"/>
        </w:rPr>
        <w:instrText xml:space="preserve"> REF _Ref402936446 \h </w:instrText>
      </w:r>
      <w:r w:rsidRPr="004503BD">
        <w:rPr>
          <w:sz w:val="22"/>
          <w:szCs w:val="22"/>
        </w:rPr>
      </w:r>
      <w:r>
        <w:rPr>
          <w:sz w:val="22"/>
          <w:szCs w:val="22"/>
        </w:rPr>
        <w:instrText xml:space="preserve"> \* MERGEFORMAT </w:instrText>
      </w:r>
      <w:r w:rsidRPr="004503BD">
        <w:rPr>
          <w:sz w:val="22"/>
          <w:szCs w:val="22"/>
        </w:rPr>
        <w:fldChar w:fldCharType="separate"/>
      </w:r>
      <w:r w:rsidR="005F38BC" w:rsidRPr="005F38BC">
        <w:rPr>
          <w:sz w:val="22"/>
          <w:szCs w:val="22"/>
        </w:rPr>
        <w:t xml:space="preserve">Appendix </w:t>
      </w:r>
      <w:r w:rsidR="005F38BC" w:rsidRPr="005F38BC">
        <w:rPr>
          <w:noProof/>
          <w:sz w:val="22"/>
          <w:szCs w:val="22"/>
        </w:rPr>
        <w:t>D</w:t>
      </w:r>
      <w:r w:rsidR="005F38BC" w:rsidRPr="005F38BC">
        <w:rPr>
          <w:sz w:val="22"/>
          <w:szCs w:val="22"/>
        </w:rPr>
        <w:t>: Limitations and Restrictions</w:t>
      </w:r>
      <w:r w:rsidRPr="004503BD">
        <w:rPr>
          <w:sz w:val="22"/>
          <w:szCs w:val="22"/>
        </w:rPr>
        <w:fldChar w:fldCharType="end"/>
      </w:r>
      <w:r w:rsidRPr="004503BD">
        <w:rPr>
          <w:sz w:val="22"/>
          <w:szCs w:val="22"/>
        </w:rPr>
        <w:t xml:space="preserve"> by option as well as throughout this document as part of the detailed information associated with the functionality.</w:t>
      </w:r>
      <w:r>
        <w:rPr>
          <w:sz w:val="22"/>
          <w:szCs w:val="22"/>
        </w:rPr>
        <w:t xml:space="preserve"> </w:t>
      </w:r>
      <w:r w:rsidRPr="004503BD">
        <w:rPr>
          <w:vanish/>
          <w:sz w:val="22"/>
          <w:szCs w:val="22"/>
        </w:rPr>
        <w:t>DR 5105</w:t>
      </w:r>
    </w:p>
    <w:bookmarkEnd w:id="3"/>
    <w:bookmarkEnd w:id="4"/>
    <w:bookmarkEnd w:id="5"/>
    <w:bookmarkEnd w:id="6"/>
    <w:p w:rsidR="002A21AE" w:rsidRPr="00AB3B2D" w:rsidRDefault="00634BFC">
      <w:pPr>
        <w:pStyle w:val="Caution"/>
        <w:rPr>
          <w:i w:val="0"/>
        </w:rPr>
      </w:pPr>
      <w:r>
        <w:rPr>
          <w:noProof/>
        </w:rPr>
        <w:drawing>
          <wp:inline distT="0" distB="0" distL="0" distR="0">
            <wp:extent cx="266700" cy="219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2A21AE">
        <w:t xml:space="preserve">Unauthorized access or misuse of this system and/or its data is </w:t>
      </w:r>
      <w:r w:rsidR="000A6837">
        <w:t>a federal crime. Use of all data, printed or electronic, must</w:t>
      </w:r>
      <w:r w:rsidR="002A21AE">
        <w:t xml:space="preserve"> be in accordance with VA policy on security and privacy.</w:t>
      </w:r>
      <w:r w:rsidR="00AB3B2D">
        <w:rPr>
          <w:i w:val="0"/>
          <w:vanish/>
        </w:rPr>
        <w:t xml:space="preserve"> DR 3513</w:t>
      </w:r>
    </w:p>
    <w:p w:rsidR="002A21AE" w:rsidRDefault="00634BFC">
      <w:pPr>
        <w:pStyle w:val="Caution"/>
      </w:pPr>
      <w:r>
        <w:rPr>
          <w:noProof/>
        </w:rPr>
        <w:drawing>
          <wp:inline distT="0" distB="0" distL="0" distR="0">
            <wp:extent cx="266700" cy="2190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2A21AE">
        <w:t>The U.S. Food and Drug Administration classifies this software as a medical device. Unauthorized modifications will render this device an adulterated medical device under Section 501 of the Medical Device Amendments to the Federal Food, Drug, and Cosmetic Act. Acquiring and implementing this software through the Freedom of Information Act require the implementer to assume total responsibility for the software and become a registered manufacturer of a medical device, subject to FDA regulations.</w:t>
      </w:r>
    </w:p>
    <w:p w:rsidR="002A21AE" w:rsidRDefault="002A21AE">
      <w:pPr>
        <w:pStyle w:val="Heading2"/>
      </w:pPr>
      <w:bookmarkStart w:id="7" w:name="_Toc459900019"/>
      <w:r>
        <w:t>Freeware Disclaimer</w:t>
      </w:r>
      <w:bookmarkEnd w:id="7"/>
      <w:r>
        <w:fldChar w:fldCharType="begin"/>
      </w:r>
      <w:r>
        <w:instrText xml:space="preserve"> XE </w:instrText>
      </w:r>
      <w:r w:rsidR="00FA7E65">
        <w:instrText>“</w:instrText>
      </w:r>
      <w:r>
        <w:instrText>Freeware Disclaimer</w:instrText>
      </w:r>
      <w:r w:rsidR="00FA7E65">
        <w:instrText>”</w:instrText>
      </w:r>
      <w:r>
        <w:instrText xml:space="preserve"> </w:instrText>
      </w:r>
      <w:r>
        <w:fldChar w:fldCharType="end"/>
      </w:r>
    </w:p>
    <w:p w:rsidR="004C7D98" w:rsidRPr="004C7D98" w:rsidRDefault="00091DC8" w:rsidP="004C7D98">
      <w:pPr>
        <w:pStyle w:val="BodyText"/>
      </w:pPr>
      <w:r w:rsidRPr="004C7D98">
        <w:t xml:space="preserve">Requests for VBECS may be submitted </w:t>
      </w:r>
      <w:r w:rsidR="003B64FF" w:rsidRPr="004C7D98">
        <w:t xml:space="preserve">through the Freedom of Information Act (FOIA). </w:t>
      </w:r>
      <w:r w:rsidR="004C7D98" w:rsidRPr="004C7D98">
        <w:t>Effective on September 19, 2011, the Department of Veterans Affairs will accept</w:t>
      </w:r>
      <w:r w:rsidR="00AF37FE">
        <w:t xml:space="preserve"> FOIA requests electronically. </w:t>
      </w:r>
      <w:r w:rsidR="004C7D98" w:rsidRPr="004C7D98">
        <w:t>Most VA Central Off</w:t>
      </w:r>
      <w:r w:rsidR="004C7D98">
        <w:t xml:space="preserve">ice (VACO) Offices </w:t>
      </w:r>
      <w:r w:rsidR="004C7D98" w:rsidRPr="004C7D98">
        <w:t>are in the process of establ</w:t>
      </w:r>
      <w:r w:rsidR="004C7D98">
        <w:t xml:space="preserve">ishing an electronic mailbox. </w:t>
      </w:r>
      <w:r w:rsidR="004C7D98" w:rsidRPr="004C7D98">
        <w:t>In the meantime, the FOIA Service will accept electronic FOIA requests for any VACO FOIA Office that does not yet have a mailbox in place, and will forward your request to the appropriate office for processing.  </w:t>
      </w:r>
    </w:p>
    <w:p w:rsidR="003B64FF" w:rsidRPr="00234D60" w:rsidRDefault="00CD5D6A" w:rsidP="00234D60">
      <w:pPr>
        <w:pStyle w:val="BodyText"/>
      </w:pPr>
      <w:r>
        <w:t>Submit requests</w:t>
      </w:r>
      <w:r w:rsidR="003B64FF">
        <w:t xml:space="preserve"> to</w:t>
      </w:r>
      <w:r w:rsidR="007C6538">
        <w:t xml:space="preserve"> </w:t>
      </w:r>
      <w:hyperlink r:id="rId23" w:history="1">
        <w:r w:rsidR="007C6538" w:rsidRPr="00892D12">
          <w:rPr>
            <w:rStyle w:val="Hyperlink"/>
          </w:rPr>
          <w:t>http://www.foia.va.g</w:t>
        </w:r>
        <w:r w:rsidR="007C6538" w:rsidRPr="00892D12">
          <w:rPr>
            <w:rStyle w:val="Hyperlink"/>
          </w:rPr>
          <w:t>o</w:t>
        </w:r>
        <w:r w:rsidR="007C6538" w:rsidRPr="00892D12">
          <w:rPr>
            <w:rStyle w:val="Hyperlink"/>
          </w:rPr>
          <w:t>v/FOIA_Offices.asp</w:t>
        </w:r>
      </w:hyperlink>
      <w:r w:rsidR="00234D60">
        <w:rPr>
          <w:vanish/>
        </w:rPr>
        <w:t>DR</w:t>
      </w:r>
    </w:p>
    <w:p w:rsidR="002A21AE" w:rsidRDefault="001E75C5" w:rsidP="00634FC7">
      <w:pPr>
        <w:pStyle w:val="Heading2"/>
      </w:pPr>
      <w:bookmarkStart w:id="8" w:name="_Toc459900020"/>
      <w:r>
        <w:br w:type="page"/>
      </w:r>
      <w:r w:rsidR="002A21AE">
        <w:lastRenderedPageBreak/>
        <w:t>Related Manuals and Materials</w:t>
      </w:r>
      <w:bookmarkEnd w:id="8"/>
      <w:r w:rsidR="002A21AE">
        <w:fldChar w:fldCharType="begin"/>
      </w:r>
      <w:r w:rsidR="002A21AE">
        <w:instrText xml:space="preserve"> XE </w:instrText>
      </w:r>
      <w:r w:rsidR="00FA7E65">
        <w:instrText>“</w:instrText>
      </w:r>
      <w:r w:rsidR="002A21AE">
        <w:instrText>Related Manuals and Materials</w:instrText>
      </w:r>
      <w:r w:rsidR="00FA7E65">
        <w:instrText>”</w:instrText>
      </w:r>
      <w:r w:rsidR="002A21AE">
        <w:instrText xml:space="preserve"> </w:instrText>
      </w:r>
      <w:r w:rsidR="002A21AE">
        <w:fldChar w:fldCharType="end"/>
      </w:r>
    </w:p>
    <w:p w:rsidR="002A21AE" w:rsidRPr="00151456" w:rsidRDefault="000C7684">
      <w:pPr>
        <w:pStyle w:val="ListBullet"/>
      </w:pPr>
      <w:r w:rsidRPr="000C7684">
        <w:rPr>
          <w:bCs/>
          <w:i/>
        </w:rPr>
        <w:t>VistA</w:t>
      </w:r>
      <w:r w:rsidR="002A21AE" w:rsidRPr="000C7684">
        <w:rPr>
          <w:i/>
        </w:rPr>
        <w:t xml:space="preserve"> </w:t>
      </w:r>
      <w:r w:rsidR="002A21AE">
        <w:rPr>
          <w:i/>
        </w:rPr>
        <w:t>Blood Establishment Computer Software (VBECS) Technical Manual-Security Guide</w:t>
      </w:r>
    </w:p>
    <w:p w:rsidR="00151456" w:rsidRDefault="00151456">
      <w:pPr>
        <w:pStyle w:val="ListBullet"/>
      </w:pPr>
      <w:r>
        <w:rPr>
          <w:i/>
        </w:rPr>
        <w:t>VistA Blood Establishment Computer Software (VBECS) Release Notes</w:t>
      </w:r>
    </w:p>
    <w:p w:rsidR="002A21AE" w:rsidRDefault="00091DC8" w:rsidP="008A734B">
      <w:pPr>
        <w:pStyle w:val="BodyText"/>
      </w:pPr>
      <w:r>
        <w:t xml:space="preserve">Copies of </w:t>
      </w:r>
      <w:r w:rsidRPr="00FC6E3B">
        <w:rPr>
          <w:i/>
        </w:rPr>
        <w:t>VistA Blood Establishment</w:t>
      </w:r>
      <w:r w:rsidR="00FC6E3B" w:rsidRPr="00FC6E3B">
        <w:rPr>
          <w:i/>
        </w:rPr>
        <w:t xml:space="preserve"> Computer Software (VBECS) User Guide</w:t>
      </w:r>
      <w:r w:rsidR="00FC6E3B">
        <w:t xml:space="preserve"> </w:t>
      </w:r>
      <w:r>
        <w:t>may be obtained from</w:t>
      </w:r>
      <w:r w:rsidR="00FC6E3B">
        <w:t xml:space="preserve"> </w:t>
      </w:r>
      <w:r w:rsidR="00905466">
        <w:t xml:space="preserve">the </w:t>
      </w:r>
      <w:r w:rsidR="002A21AE">
        <w:t xml:space="preserve">VDL: </w:t>
      </w:r>
      <w:r w:rsidR="000C7684" w:rsidRPr="000C7684">
        <w:rPr>
          <w:bCs/>
        </w:rPr>
        <w:t>VistA</w:t>
      </w:r>
      <w:r w:rsidR="002A21AE">
        <w:t xml:space="preserve"> Documenta</w:t>
      </w:r>
      <w:r w:rsidR="0000544A">
        <w:t xml:space="preserve">tion Library (VDL), Clinical Section, Laboratory: VistA </w:t>
      </w:r>
      <w:r w:rsidR="00922AD8">
        <w:t>Blood Establishment</w:t>
      </w:r>
      <w:r w:rsidR="0000544A">
        <w:t xml:space="preserve"> Computer Software (VBECS)</w:t>
      </w:r>
      <w:r w:rsidR="002A21AE">
        <w:t xml:space="preserve"> Web </w:t>
      </w:r>
      <w:r w:rsidR="0000544A">
        <w:t>site</w:t>
      </w:r>
      <w:r>
        <w:t>.</w:t>
      </w:r>
    </w:p>
    <w:p w:rsidR="002A21AE" w:rsidRDefault="002A21AE" w:rsidP="000D4810">
      <w:pPr>
        <w:pStyle w:val="Heading1"/>
      </w:pPr>
      <w:r>
        <w:br w:type="page"/>
      </w:r>
      <w:bookmarkStart w:id="9" w:name="_Toc459900021"/>
      <w:r>
        <w:lastRenderedPageBreak/>
        <w:t>Orientation</w:t>
      </w:r>
      <w:bookmarkEnd w:id="9"/>
      <w:r>
        <w:fldChar w:fldCharType="begin"/>
      </w:r>
      <w:r>
        <w:instrText xml:space="preserve"> XE </w:instrText>
      </w:r>
      <w:r w:rsidR="00FA7E65">
        <w:instrText>“</w:instrText>
      </w:r>
      <w:r>
        <w:instrText>Orientation</w:instrText>
      </w:r>
      <w:r w:rsidR="00FA7E65">
        <w:instrText>”</w:instrText>
      </w:r>
      <w:r>
        <w:instrText xml:space="preserve"> </w:instrText>
      </w:r>
      <w:r>
        <w:fldChar w:fldCharType="end"/>
      </w:r>
    </w:p>
    <w:p w:rsidR="002A21AE" w:rsidRDefault="002A21AE" w:rsidP="00FA7E65">
      <w:pPr>
        <w:pStyle w:val="BodyText"/>
      </w:pPr>
      <w:r>
        <w:t>This section covers:</w:t>
      </w:r>
    </w:p>
    <w:p w:rsidR="009F591F" w:rsidRDefault="009F591F" w:rsidP="009F591F">
      <w:pPr>
        <w:pStyle w:val="ListBullet"/>
      </w:pPr>
      <w:r>
        <w:t>How This User Guide Is Organized</w:t>
      </w:r>
    </w:p>
    <w:p w:rsidR="002A21AE" w:rsidRDefault="002A21AE">
      <w:pPr>
        <w:pStyle w:val="ListBullet"/>
      </w:pPr>
      <w:r>
        <w:t>Security: who can use VBECS</w:t>
      </w:r>
    </w:p>
    <w:p w:rsidR="005E6F80" w:rsidRDefault="005E6F80" w:rsidP="005E6F80">
      <w:pPr>
        <w:pStyle w:val="ListBullet"/>
      </w:pPr>
      <w:r>
        <w:t>Application Architecture: the architectural requirements for VBECS</w:t>
      </w:r>
    </w:p>
    <w:p w:rsidR="002A21AE" w:rsidRDefault="002A21AE">
      <w:pPr>
        <w:pStyle w:val="ListBullet"/>
      </w:pPr>
      <w:r>
        <w:t xml:space="preserve">Hardware and Infrastructure Architecture: the system environment for installation and operation of VBECS </w:t>
      </w:r>
    </w:p>
    <w:p w:rsidR="002A21AE" w:rsidRDefault="000C7684">
      <w:pPr>
        <w:pStyle w:val="ListBullet"/>
      </w:pPr>
      <w:r w:rsidRPr="000C7684">
        <w:rPr>
          <w:bCs/>
        </w:rPr>
        <w:t>VistA</w:t>
      </w:r>
      <w:r w:rsidR="002A21AE">
        <w:t xml:space="preserve"> and VBECS: how VBECS compares to </w:t>
      </w:r>
      <w:r w:rsidRPr="000C7684">
        <w:rPr>
          <w:bCs/>
        </w:rPr>
        <w:t>VistA</w:t>
      </w:r>
      <w:r w:rsidR="002A21AE">
        <w:t xml:space="preserve"> </w:t>
      </w:r>
    </w:p>
    <w:p w:rsidR="002A21AE" w:rsidRDefault="002A21AE">
      <w:pPr>
        <w:pStyle w:val="ListBullet"/>
      </w:pPr>
      <w:r>
        <w:t>Customer Support: how to get help</w:t>
      </w:r>
    </w:p>
    <w:p w:rsidR="009F591F" w:rsidRDefault="009F591F" w:rsidP="009F591F">
      <w:pPr>
        <w:pStyle w:val="Heading2"/>
      </w:pPr>
      <w:bookmarkStart w:id="10" w:name="_Toc459900022"/>
      <w:r>
        <w:t>How This User Guide Is Organized</w:t>
      </w:r>
      <w:bookmarkEnd w:id="10"/>
      <w:r>
        <w:fldChar w:fldCharType="begin"/>
      </w:r>
      <w:r>
        <w:instrText xml:space="preserve"> XE “How This User Guide Is Organized” </w:instrText>
      </w:r>
      <w:r>
        <w:fldChar w:fldCharType="end"/>
      </w:r>
    </w:p>
    <w:p w:rsidR="009F591F" w:rsidRDefault="009F591F" w:rsidP="009F591F">
      <w:pPr>
        <w:pStyle w:val="Heading3"/>
        <w:ind w:left="720" w:hanging="720"/>
      </w:pPr>
      <w:bookmarkStart w:id="11" w:name="_Toc459900023"/>
      <w:r>
        <w:t>Terms</w:t>
      </w:r>
      <w:bookmarkEnd w:id="11"/>
      <w:r>
        <w:fldChar w:fldCharType="begin"/>
      </w:r>
      <w:r>
        <w:instrText xml:space="preserve"> XE “Terms” </w:instrText>
      </w:r>
      <w:r>
        <w:fldChar w:fldCharType="end"/>
      </w:r>
    </w:p>
    <w:p w:rsidR="009F591F" w:rsidRPr="001B3283" w:rsidRDefault="009F591F" w:rsidP="009F591F">
      <w:pPr>
        <w:pStyle w:val="BodyText"/>
      </w:pPr>
      <w:r w:rsidRPr="001B3283">
        <w:t>For consistency and space considerations, the pronouns “he,” “him,” and “his” are used as pronouns of indeterminate gender equally applicable to males and females.</w:t>
      </w:r>
    </w:p>
    <w:p w:rsidR="009F591F" w:rsidRDefault="009F591F" w:rsidP="009F591F">
      <w:pPr>
        <w:pStyle w:val="BodyText"/>
      </w:pPr>
      <w:r>
        <w:t xml:space="preserve">In many instances, a user may scan a barcode or enter data manually (by typing). The term “enter” is used throughout this guide to mean “enter manually.” </w:t>
      </w:r>
    </w:p>
    <w:p w:rsidR="009F591F" w:rsidRDefault="009F591F" w:rsidP="009F591F">
      <w:pPr>
        <w:pStyle w:val="BodyText"/>
      </w:pPr>
      <w:r>
        <w:t>See the Glossary for definitions of other terms and acronyms used in this guide.</w:t>
      </w:r>
    </w:p>
    <w:p w:rsidR="009F591F" w:rsidRDefault="009F591F" w:rsidP="009F591F">
      <w:pPr>
        <w:pStyle w:val="Heading3"/>
      </w:pPr>
      <w:bookmarkStart w:id="12" w:name="_Toc459900024"/>
      <w:r>
        <w:t>Background and Basic Knowledge</w:t>
      </w:r>
      <w:bookmarkEnd w:id="12"/>
      <w:r>
        <w:fldChar w:fldCharType="begin"/>
      </w:r>
      <w:r>
        <w:instrText xml:space="preserve"> XE “Background and Basic Knowledge” </w:instrText>
      </w:r>
      <w:r>
        <w:fldChar w:fldCharType="end"/>
      </w:r>
    </w:p>
    <w:p w:rsidR="009F591F" w:rsidRDefault="009F591F" w:rsidP="009F591F">
      <w:pPr>
        <w:pStyle w:val="BodyText"/>
      </w:pPr>
      <w:r>
        <w:t>The Introduction, Orientation, and Using the Software sections provide the background and basic knowledge VBECS users need.</w:t>
      </w:r>
    </w:p>
    <w:p w:rsidR="009F591F" w:rsidRDefault="009F591F" w:rsidP="009F591F">
      <w:pPr>
        <w:pStyle w:val="Heading3"/>
      </w:pPr>
      <w:bookmarkStart w:id="13" w:name="_Toc459900025"/>
      <w:r>
        <w:t>Figures and Tables</w:t>
      </w:r>
      <w:bookmarkEnd w:id="13"/>
      <w:r w:rsidR="00AB6531">
        <w:fldChar w:fldCharType="begin"/>
      </w:r>
      <w:r w:rsidR="00AB6531">
        <w:instrText xml:space="preserve"> XE "</w:instrText>
      </w:r>
      <w:r w:rsidR="00AB6531" w:rsidRPr="00686ED1">
        <w:instrText>Figures and Tables</w:instrText>
      </w:r>
      <w:r w:rsidR="00AB6531">
        <w:instrText xml:space="preserve">" </w:instrText>
      </w:r>
      <w:r w:rsidR="00AB6531">
        <w:fldChar w:fldCharType="end"/>
      </w:r>
    </w:p>
    <w:p w:rsidR="009F591F" w:rsidRDefault="009F591F" w:rsidP="009F591F">
      <w:pPr>
        <w:pStyle w:val="BodyText"/>
      </w:pPr>
      <w:r>
        <w:rPr>
          <w:rFonts w:eastAsia="Arial Unicode MS"/>
        </w:rPr>
        <w:t>If you refer to figures and tables from the user guide in your local policy and procedure documents, you may wish to use their titles only, without figure or table numbers: as the user guide is updated, those numbers may change.</w:t>
      </w:r>
    </w:p>
    <w:p w:rsidR="009F591F" w:rsidRDefault="009F591F" w:rsidP="009F591F">
      <w:pPr>
        <w:pStyle w:val="Heading3"/>
      </w:pPr>
      <w:bookmarkStart w:id="14" w:name="_Toc459900026"/>
      <w:r>
        <w:t>Options</w:t>
      </w:r>
      <w:bookmarkEnd w:id="14"/>
      <w:r>
        <w:fldChar w:fldCharType="begin"/>
      </w:r>
      <w:r>
        <w:instrText xml:space="preserve"> XE “Options” </w:instrText>
      </w:r>
      <w:r>
        <w:fldChar w:fldCharType="end"/>
      </w:r>
    </w:p>
    <w:p w:rsidR="009F591F" w:rsidRDefault="009F591F" w:rsidP="009F591F">
      <w:pPr>
        <w:pStyle w:val="BodyText"/>
      </w:pPr>
      <w:r>
        <w:t>The Configuring Site Parameters, Component Processing, Processing Orders, Patient Services, and Reports sections cover VBECS options.</w:t>
      </w:r>
    </w:p>
    <w:p w:rsidR="009F591F" w:rsidRDefault="009F591F" w:rsidP="009F591F">
      <w:pPr>
        <w:pStyle w:val="BodyText"/>
      </w:pPr>
      <w:r>
        <w:t>Each option section starts with an introduction, a short paragraph that explains what a function allows a user to do, followed by:</w:t>
      </w:r>
    </w:p>
    <w:p w:rsidR="009F591F" w:rsidRDefault="009F591F" w:rsidP="009F591F">
      <w:pPr>
        <w:pStyle w:val="ListBullet"/>
      </w:pPr>
      <w:r>
        <w:t>Assumptions: tasks that must be completed before performing a function.</w:t>
      </w:r>
    </w:p>
    <w:p w:rsidR="009F591F" w:rsidRDefault="009F591F" w:rsidP="009F591F">
      <w:pPr>
        <w:pStyle w:val="ListBullet"/>
      </w:pPr>
      <w:r>
        <w:t>Outcome: results of performing a function.</w:t>
      </w:r>
    </w:p>
    <w:p w:rsidR="009F591F" w:rsidRDefault="009F591F" w:rsidP="009F591F">
      <w:pPr>
        <w:pStyle w:val="ListBullet"/>
      </w:pPr>
      <w:r>
        <w:t>Limitations and Restrictions: features of the system that are restricted by and exist within this function.</w:t>
      </w:r>
    </w:p>
    <w:p w:rsidR="009F591F" w:rsidRDefault="009F591F" w:rsidP="009F591F">
      <w:pPr>
        <w:pStyle w:val="ListBullet"/>
      </w:pPr>
      <w:r>
        <w:t>Additional Information: information that helps the user perform a function.</w:t>
      </w:r>
    </w:p>
    <w:p w:rsidR="009F591F" w:rsidRDefault="009F591F" w:rsidP="009F591F">
      <w:pPr>
        <w:pStyle w:val="ListBullet"/>
      </w:pPr>
      <w:bookmarkStart w:id="15" w:name="OLE_LINK21"/>
      <w:bookmarkStart w:id="16" w:name="OLE_LINK22"/>
      <w:r>
        <w:t>User Roles with Access to This Option: which users may perform this option in whole or in part.</w:t>
      </w:r>
    </w:p>
    <w:p w:rsidR="009F591F" w:rsidRDefault="009F591F" w:rsidP="009F591F">
      <w:pPr>
        <w:pStyle w:val="ListBullet"/>
      </w:pPr>
      <w:r>
        <w:t>A detailed description of what the function allows each user to do. Two or more arrows (</w:t>
      </w:r>
      <w:r w:rsidRPr="00EC7489">
        <w:rPr>
          <w:rFonts w:ascii="Wingdings 3" w:hAnsi="Wingdings 3" w:cs="Wingdings"/>
        </w:rPr>
        <w:t></w:t>
      </w:r>
      <w:r>
        <w:t>) indicate functions limited to a specific role.</w:t>
      </w:r>
    </w:p>
    <w:bookmarkEnd w:id="15"/>
    <w:bookmarkEnd w:id="16"/>
    <w:p w:rsidR="009F591F" w:rsidRDefault="009F591F" w:rsidP="009F591F">
      <w:pPr>
        <w:pStyle w:val="ListBullet"/>
      </w:pPr>
      <w:r>
        <w:t>Table of steps for the basic path (user and VBECS actions).</w:t>
      </w:r>
    </w:p>
    <w:p w:rsidR="009F591F" w:rsidRDefault="009F591F" w:rsidP="009F591F">
      <w:pPr>
        <w:pStyle w:val="ListBullet"/>
      </w:pPr>
      <w:r>
        <w:t>Tables of steps for alternate paths (user and VBECS actions).</w:t>
      </w:r>
    </w:p>
    <w:p w:rsidR="009F591F" w:rsidRDefault="009F591F" w:rsidP="009F591F">
      <w:pPr>
        <w:pStyle w:val="ListBullet"/>
      </w:pPr>
      <w:r>
        <w:t>Figures (examples of reports, screen shots, etc.).</w:t>
      </w:r>
    </w:p>
    <w:p w:rsidR="009F591F" w:rsidRDefault="009F591F" w:rsidP="009F591F">
      <w:pPr>
        <w:pStyle w:val="ListBullet"/>
      </w:pPr>
      <w:r>
        <w:lastRenderedPageBreak/>
        <w:t>Table of alerts that may occur during an option.</w:t>
      </w:r>
    </w:p>
    <w:p w:rsidR="009F591F" w:rsidRDefault="009F591F" w:rsidP="009F591F">
      <w:pPr>
        <w:pStyle w:val="Caution"/>
      </w:pPr>
      <w:r>
        <w:t xml:space="preserve">A </w:t>
      </w:r>
      <w:r w:rsidRPr="008B6F70">
        <w:rPr>
          <w:rStyle w:val="BullhornChar"/>
          <w:i w:val="0"/>
        </w:rPr>
        <w:t></w:t>
      </w:r>
      <w:r w:rsidRPr="00D62E87">
        <w:rPr>
          <w:rFonts w:ascii="Webdings" w:hAnsi="Webdings"/>
        </w:rPr>
        <w:t></w:t>
      </w:r>
      <w:r>
        <w:t>(bullhorn) indicates that VBECS emits an audible alert. Keep the sound on to hear the alerts (see Volume for instructions on adjusting the volume).</w:t>
      </w:r>
    </w:p>
    <w:p w:rsidR="009F591F" w:rsidRDefault="009F591F" w:rsidP="009F591F">
      <w:pPr>
        <w:pStyle w:val="ListBullet"/>
      </w:pPr>
      <w:r>
        <w:t>Outlined, italicized text highlights tips, warnings, and cautions, for example:</w:t>
      </w:r>
    </w:p>
    <w:p w:rsidR="009F591F" w:rsidRDefault="009F591F" w:rsidP="009F591F">
      <w:pPr>
        <w:pStyle w:val="Caution"/>
      </w:pPr>
      <w:r>
        <w:t xml:space="preserve">A </w:t>
      </w:r>
      <w:r w:rsidR="00634BFC">
        <w:rPr>
          <w:noProof/>
        </w:rPr>
        <w:drawing>
          <wp:inline distT="0" distB="0" distL="0" distR="0">
            <wp:extent cx="266700" cy="219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t xml:space="preserve"> signals potential hazards throughout this guide as they occur. </w:t>
      </w:r>
    </w:p>
    <w:p w:rsidR="009F591F" w:rsidRDefault="009F591F" w:rsidP="009F591F">
      <w:pPr>
        <w:pStyle w:val="Heading3"/>
      </w:pPr>
      <w:bookmarkStart w:id="17" w:name="_Toc459900027"/>
      <w:r>
        <w:t>Supplemental Information</w:t>
      </w:r>
      <w:bookmarkEnd w:id="17"/>
      <w:r>
        <w:fldChar w:fldCharType="begin"/>
      </w:r>
      <w:r>
        <w:instrText xml:space="preserve"> XE “Supplemental Information” </w:instrText>
      </w:r>
      <w:r>
        <w:fldChar w:fldCharType="end"/>
      </w:r>
    </w:p>
    <w:p w:rsidR="009F591F" w:rsidRDefault="009F591F" w:rsidP="009F591F">
      <w:pPr>
        <w:pStyle w:val="BodyText"/>
      </w:pPr>
      <w:r>
        <w:t>The third group of sections (References, Glossary) provides knowledge that may be needed beyond the standard, daily use of VBECS.</w:t>
      </w:r>
    </w:p>
    <w:p w:rsidR="009F591F" w:rsidRDefault="009F591F" w:rsidP="009F591F">
      <w:pPr>
        <w:pStyle w:val="Heading3"/>
      </w:pPr>
      <w:bookmarkStart w:id="18" w:name="_Toc459900028"/>
      <w:r>
        <w:t>Appendices</w:t>
      </w:r>
      <w:bookmarkEnd w:id="18"/>
      <w:r>
        <w:fldChar w:fldCharType="begin"/>
      </w:r>
      <w:r>
        <w:instrText xml:space="preserve"> XE “Appendices” </w:instrText>
      </w:r>
      <w:r>
        <w:fldChar w:fldCharType="end"/>
      </w:r>
    </w:p>
    <w:p w:rsidR="009F591F" w:rsidRDefault="009F591F" w:rsidP="009F591F">
      <w:pPr>
        <w:pStyle w:val="BodyText"/>
      </w:pPr>
      <w:r>
        <w:t>The appendices contain truth tables, diagrams, and other materials for reference.</w:t>
      </w:r>
    </w:p>
    <w:p w:rsidR="009F591F" w:rsidRDefault="009F591F" w:rsidP="009F591F">
      <w:pPr>
        <w:pStyle w:val="BodyText"/>
      </w:pPr>
      <w:r>
        <w:t>Click a section name or page number in the table of contents to move to a section. The index does not incorporate this feature.</w:t>
      </w:r>
    </w:p>
    <w:p w:rsidR="002A21AE" w:rsidRDefault="002A21AE" w:rsidP="009F591F">
      <w:pPr>
        <w:pStyle w:val="Heading2"/>
      </w:pPr>
      <w:bookmarkStart w:id="19" w:name="_Toc459900029"/>
      <w:r>
        <w:t>Security</w:t>
      </w:r>
      <w:bookmarkEnd w:id="19"/>
      <w:r>
        <w:fldChar w:fldCharType="begin"/>
      </w:r>
      <w:r>
        <w:instrText xml:space="preserve"> XE </w:instrText>
      </w:r>
      <w:r w:rsidR="00FA7E65">
        <w:instrText>“</w:instrText>
      </w:r>
      <w:r>
        <w:instrText>Security</w:instrText>
      </w:r>
      <w:r w:rsidR="00FA7E65">
        <w:instrText>”</w:instrText>
      </w:r>
      <w:r>
        <w:instrText xml:space="preserve"> </w:instrText>
      </w:r>
      <w:r>
        <w:fldChar w:fldCharType="end"/>
      </w:r>
    </w:p>
    <w:p w:rsidR="002A21AE" w:rsidRDefault="002A21AE" w:rsidP="00FA7E65">
      <w:pPr>
        <w:pStyle w:val="BodyText"/>
      </w:pPr>
      <w:r>
        <w:rPr>
          <w:i/>
        </w:rPr>
        <w:t>User roles</w:t>
      </w:r>
      <w:r>
        <w:t xml:space="preserve"> identify who can access which functions. Not every VBECS user has access to all VBECS options or functions within options. Two or more arrows (</w:t>
      </w:r>
      <w:r w:rsidRPr="00EC7489">
        <w:rPr>
          <w:rFonts w:ascii="Wingdings 3" w:hAnsi="Wingdings 3" w:cs="Wingdings"/>
        </w:rPr>
        <w:t></w:t>
      </w:r>
      <w:r>
        <w:t>) indicate functions limited to a specific role.</w:t>
      </w:r>
    </w:p>
    <w:p w:rsidR="00D93651" w:rsidRPr="00D93651" w:rsidRDefault="00634BFC" w:rsidP="00D93651">
      <w:pPr>
        <w:pStyle w:val="Caution"/>
      </w:pPr>
      <w:r>
        <w:rPr>
          <w:noProof/>
        </w:rPr>
        <w:drawing>
          <wp:inline distT="0" distB="0" distL="0" distR="0">
            <wp:extent cx="266700" cy="219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903FB7">
        <w:t>It is critical that e</w:t>
      </w:r>
      <w:r w:rsidR="00D93651">
        <w:t xml:space="preserve">ach </w:t>
      </w:r>
      <w:r w:rsidR="003C244C">
        <w:t>site</w:t>
      </w:r>
      <w:r w:rsidR="00D93651" w:rsidRPr="00D93651">
        <w:t xml:space="preserve"> </w:t>
      </w:r>
      <w:r w:rsidR="00D93651">
        <w:t xml:space="preserve">evaluate its staff and </w:t>
      </w:r>
      <w:r w:rsidR="00D93651" w:rsidRPr="00D93651">
        <w:t xml:space="preserve">determine </w:t>
      </w:r>
      <w:r w:rsidR="00D93651">
        <w:t xml:space="preserve">appropriate </w:t>
      </w:r>
      <w:r w:rsidR="00D93651" w:rsidRPr="00D93651">
        <w:t>secu</w:t>
      </w:r>
      <w:r w:rsidR="00D93651">
        <w:t>r</w:t>
      </w:r>
      <w:r w:rsidR="00D93651" w:rsidRPr="00D93651">
        <w:t xml:space="preserve">ity </w:t>
      </w:r>
      <w:r w:rsidR="00D93651">
        <w:t>levels</w:t>
      </w:r>
      <w:r w:rsidR="00903FB7">
        <w:t xml:space="preserve"> based on training and qualifications</w:t>
      </w:r>
      <w:r w:rsidR="00D93651" w:rsidRPr="00D93651">
        <w:t>.</w:t>
      </w:r>
    </w:p>
    <w:p w:rsidR="002A21AE" w:rsidRDefault="002A21AE" w:rsidP="00FA7E65">
      <w:pPr>
        <w:pStyle w:val="BodyText"/>
      </w:pPr>
      <w:r>
        <w:t xml:space="preserve">User roles also govern which options are available and which warnings can be overridden. </w:t>
      </w:r>
      <w:r>
        <w:rPr>
          <w:vanish/>
        </w:rPr>
        <w:t xml:space="preserve">BR_6.02 </w:t>
      </w:r>
      <w:r>
        <w:t>VBECS displays options that are not available to a user</w:t>
      </w:r>
      <w:r w:rsidR="00494EC6">
        <w:t xml:space="preserve"> in gray text</w:t>
      </w:r>
      <w:r>
        <w:t>.</w:t>
      </w:r>
    </w:p>
    <w:p w:rsidR="00827C1C" w:rsidRDefault="00827C1C" w:rsidP="00827C1C">
      <w:pPr>
        <w:pStyle w:val="BodyText"/>
        <w:rPr>
          <w:snapToGrid w:val="0"/>
        </w:rPr>
      </w:pPr>
      <w:r>
        <w:t>Each of the six user roles is associated with a</w:t>
      </w:r>
      <w:r>
        <w:rPr>
          <w:snapToGrid w:val="0"/>
        </w:rPr>
        <w:t xml:space="preserve"> security level (see </w:t>
      </w:r>
      <w:r w:rsidR="00BD76D0">
        <w:rPr>
          <w:snapToGrid w:val="0"/>
        </w:rPr>
        <w:fldChar w:fldCharType="begin"/>
      </w:r>
      <w:r w:rsidR="00BD76D0">
        <w:rPr>
          <w:snapToGrid w:val="0"/>
        </w:rPr>
        <w:instrText xml:space="preserve"> REF _Ref126468477 \h </w:instrText>
      </w:r>
      <w:r w:rsidR="006A1989" w:rsidRPr="00BD76D0">
        <w:rPr>
          <w:snapToGrid w:val="0"/>
        </w:rPr>
      </w:r>
      <w:r w:rsidR="00BD76D0">
        <w:rPr>
          <w:snapToGrid w:val="0"/>
        </w:rPr>
        <w:fldChar w:fldCharType="separate"/>
      </w:r>
      <w:r w:rsidR="005F38BC">
        <w:t xml:space="preserve">Table </w:t>
      </w:r>
      <w:r w:rsidR="005F38BC">
        <w:rPr>
          <w:noProof/>
        </w:rPr>
        <w:t>1</w:t>
      </w:r>
      <w:r w:rsidR="00BD76D0">
        <w:rPr>
          <w:snapToGrid w:val="0"/>
        </w:rPr>
        <w:fldChar w:fldCharType="end"/>
      </w:r>
      <w:r>
        <w:rPr>
          <w:snapToGrid w:val="0"/>
        </w:rPr>
        <w:t xml:space="preserve">). Privileges accumulate as the security level increases. For example, a Lead Technologist’s privileges include those of a Blood Bank Technologist and Enhanced Technologist. </w:t>
      </w:r>
    </w:p>
    <w:p w:rsidR="00D24746" w:rsidRDefault="00413ECA" w:rsidP="00D24746">
      <w:pPr>
        <w:pStyle w:val="Caption"/>
        <w:tabs>
          <w:tab w:val="left" w:pos="4740"/>
        </w:tabs>
      </w:pPr>
      <w:bookmarkStart w:id="20" w:name="_Ref126484343"/>
      <w:bookmarkStart w:id="21" w:name="_Ref126468477"/>
      <w:r>
        <w:t xml:space="preserve">Table </w:t>
      </w:r>
      <w:r>
        <w:fldChar w:fldCharType="begin"/>
      </w:r>
      <w:r>
        <w:instrText xml:space="preserve"> SEQ Table \* ARABIC </w:instrText>
      </w:r>
      <w:r>
        <w:fldChar w:fldCharType="separate"/>
      </w:r>
      <w:r w:rsidR="005F38BC">
        <w:rPr>
          <w:noProof/>
        </w:rPr>
        <w:t>1</w:t>
      </w:r>
      <w:r>
        <w:fldChar w:fldCharType="end"/>
      </w:r>
      <w:bookmarkEnd w:id="21"/>
      <w:r>
        <w:t xml:space="preserve">: </w:t>
      </w:r>
      <w:r>
        <w:rPr>
          <w:vanish/>
        </w:rPr>
        <w:t xml:space="preserve">PT_19.01 </w:t>
      </w:r>
      <w:r>
        <w:t>User Roles and Functions</w:t>
      </w:r>
      <w:bookmarkEnd w:id="20"/>
      <w:r w:rsidR="00321988">
        <w:fldChar w:fldCharType="begin"/>
      </w:r>
      <w:r w:rsidR="00321988">
        <w:instrText xml:space="preserve"> XE "Tables:</w:instrText>
      </w:r>
      <w:r w:rsidR="00321988" w:rsidRPr="00B97AF3">
        <w:instrText>User Roles and Functions</w:instrText>
      </w:r>
      <w:r w:rsidR="00321988">
        <w:instrText xml:space="preserve">" </w:instrText>
      </w:r>
      <w:r w:rsidR="00321988">
        <w:fldChar w:fldCharType="end"/>
      </w:r>
    </w:p>
    <w:tbl>
      <w:tblPr>
        <w:tblW w:w="93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958"/>
        <w:gridCol w:w="3237"/>
        <w:gridCol w:w="3165"/>
      </w:tblGrid>
      <w:tr w:rsidR="00D25382" w:rsidTr="006C5ACC">
        <w:trPr>
          <w:cantSplit/>
          <w:tblHeader/>
        </w:trPr>
        <w:tc>
          <w:tcPr>
            <w:tcW w:w="2958" w:type="dxa"/>
            <w:shd w:val="clear" w:color="auto" w:fill="B3B3B3"/>
            <w:vAlign w:val="bottom"/>
          </w:tcPr>
          <w:p w:rsidR="00D25382" w:rsidRDefault="00D25382" w:rsidP="00413ECA">
            <w:pPr>
              <w:pStyle w:val="TableText"/>
              <w:rPr>
                <w:b/>
              </w:rPr>
            </w:pPr>
            <w:r>
              <w:rPr>
                <w:b/>
              </w:rPr>
              <w:t>Security Levels and User Roles</w:t>
            </w:r>
          </w:p>
        </w:tc>
        <w:tc>
          <w:tcPr>
            <w:tcW w:w="3237" w:type="dxa"/>
            <w:shd w:val="clear" w:color="auto" w:fill="B3B3B3"/>
            <w:vAlign w:val="bottom"/>
          </w:tcPr>
          <w:p w:rsidR="00D25382" w:rsidRDefault="00D25382" w:rsidP="00413ECA">
            <w:pPr>
              <w:pStyle w:val="TableText"/>
              <w:rPr>
                <w:b/>
              </w:rPr>
            </w:pPr>
            <w:r>
              <w:rPr>
                <w:b/>
              </w:rPr>
              <w:t>Accessible Functions</w:t>
            </w:r>
          </w:p>
        </w:tc>
        <w:tc>
          <w:tcPr>
            <w:tcW w:w="3165" w:type="dxa"/>
            <w:shd w:val="clear" w:color="auto" w:fill="B3B3B3"/>
            <w:vAlign w:val="bottom"/>
          </w:tcPr>
          <w:p w:rsidR="00D25382" w:rsidRPr="00D25382" w:rsidRDefault="00D25382" w:rsidP="00D25382">
            <w:pPr>
              <w:pStyle w:val="TableText"/>
              <w:rPr>
                <w:b/>
              </w:rPr>
            </w:pPr>
            <w:r w:rsidRPr="00D25382">
              <w:rPr>
                <w:b/>
              </w:rPr>
              <w:t>Who Should Fill These Roles?</w:t>
            </w:r>
          </w:p>
        </w:tc>
      </w:tr>
      <w:tr w:rsidR="00D25382" w:rsidTr="006C5ACC">
        <w:trPr>
          <w:cantSplit/>
        </w:trPr>
        <w:tc>
          <w:tcPr>
            <w:tcW w:w="2958" w:type="dxa"/>
            <w:vAlign w:val="center"/>
          </w:tcPr>
          <w:p w:rsidR="00D25382" w:rsidRDefault="00D25382" w:rsidP="00D24746">
            <w:pPr>
              <w:pStyle w:val="TableText"/>
            </w:pPr>
            <w:r>
              <w:t>Level 1: Blood Bank Technologist (all users)</w:t>
            </w:r>
          </w:p>
        </w:tc>
        <w:tc>
          <w:tcPr>
            <w:tcW w:w="3237" w:type="dxa"/>
          </w:tcPr>
          <w:p w:rsidR="00D25382" w:rsidRDefault="00D25382" w:rsidP="00D24746">
            <w:pPr>
              <w:pStyle w:val="TableTextBullet"/>
            </w:pPr>
            <w:r>
              <w:t>Activate/edit some shipper information.</w:t>
            </w:r>
          </w:p>
          <w:p w:rsidR="00D25382" w:rsidRDefault="00D25382" w:rsidP="00D24746">
            <w:pPr>
              <w:pStyle w:val="TableTextBullet"/>
            </w:pPr>
            <w:r>
              <w:t>Activate/edit some blood product information.</w:t>
            </w:r>
          </w:p>
          <w:p w:rsidR="00D25382" w:rsidRDefault="00D25382" w:rsidP="00D24746">
            <w:pPr>
              <w:pStyle w:val="TableTextBullet"/>
            </w:pPr>
            <w:r>
              <w:t>Standard access (includes patient testing, accepting and canceling orders, modifying units, processing shipments, processing transfusion reaction workups, accessing report functions)</w:t>
            </w:r>
          </w:p>
        </w:tc>
        <w:tc>
          <w:tcPr>
            <w:tcW w:w="3165" w:type="dxa"/>
            <w:vAlign w:val="center"/>
          </w:tcPr>
          <w:p w:rsidR="00D25382" w:rsidRDefault="00D25382" w:rsidP="00D25382">
            <w:pPr>
              <w:pStyle w:val="TableText"/>
            </w:pPr>
            <w:r>
              <w:t>Rotating technologists, n</w:t>
            </w:r>
            <w:r w:rsidRPr="003738EE">
              <w:t>ew employees</w:t>
            </w:r>
            <w:r>
              <w:t>,</w:t>
            </w:r>
            <w:r w:rsidRPr="003738EE">
              <w:t xml:space="preserve"> and </w:t>
            </w:r>
            <w:r>
              <w:t>s</w:t>
            </w:r>
            <w:r w:rsidRPr="003738EE">
              <w:t xml:space="preserve">tudents </w:t>
            </w:r>
            <w:r>
              <w:t>trained</w:t>
            </w:r>
            <w:r w:rsidRPr="003738EE">
              <w:t xml:space="preserve"> to perform </w:t>
            </w:r>
            <w:r w:rsidR="00EA47A6">
              <w:t xml:space="preserve">associated tasks and </w:t>
            </w:r>
            <w:r w:rsidRPr="003738EE">
              <w:t>overrides</w:t>
            </w:r>
            <w:r w:rsidR="005D0D6B">
              <w:t>.</w:t>
            </w:r>
          </w:p>
        </w:tc>
      </w:tr>
      <w:tr w:rsidR="00D25382" w:rsidTr="006C5ACC">
        <w:trPr>
          <w:cantSplit/>
        </w:trPr>
        <w:tc>
          <w:tcPr>
            <w:tcW w:w="2958" w:type="dxa"/>
            <w:vAlign w:val="center"/>
          </w:tcPr>
          <w:p w:rsidR="00D25382" w:rsidRDefault="00D25382" w:rsidP="00D24746">
            <w:pPr>
              <w:pStyle w:val="TableText"/>
            </w:pPr>
            <w:bookmarkStart w:id="22" w:name="OLE_LINK1"/>
            <w:bookmarkStart w:id="23" w:name="OLE_LINK2"/>
            <w:r w:rsidRPr="00EC7489">
              <w:rPr>
                <w:rFonts w:ascii="Wingdings 3" w:hAnsi="Wingdings 3" w:cs="Wingdings"/>
              </w:rPr>
              <w:lastRenderedPageBreak/>
              <w:t></w:t>
            </w:r>
            <w:r w:rsidRPr="00EC7489">
              <w:rPr>
                <w:rFonts w:ascii="Wingdings 3" w:hAnsi="Wingdings 3" w:cs="Wingdings"/>
              </w:rPr>
              <w:t></w:t>
            </w:r>
            <w:r>
              <w:t xml:space="preserve"> </w:t>
            </w:r>
            <w:bookmarkEnd w:id="22"/>
            <w:bookmarkEnd w:id="23"/>
            <w:r>
              <w:t>Level 2: Enhanced Technologist</w:t>
            </w:r>
          </w:p>
        </w:tc>
        <w:tc>
          <w:tcPr>
            <w:tcW w:w="3237" w:type="dxa"/>
          </w:tcPr>
          <w:p w:rsidR="00D25382" w:rsidRDefault="00D25382" w:rsidP="00D24746">
            <w:pPr>
              <w:pStyle w:val="TableTextBullet"/>
            </w:pPr>
            <w:r>
              <w:t>Edit unit cost.</w:t>
            </w:r>
          </w:p>
          <w:p w:rsidR="00D25382" w:rsidRDefault="00D25382" w:rsidP="00D24746">
            <w:pPr>
              <w:pStyle w:val="TableTextBullet"/>
            </w:pPr>
            <w:r>
              <w:t>Modify/issue expired blood products.</w:t>
            </w:r>
          </w:p>
          <w:p w:rsidR="00D25382" w:rsidRDefault="00D25382" w:rsidP="00D24746">
            <w:pPr>
              <w:pStyle w:val="TableTextBullet"/>
            </w:pPr>
            <w:r>
              <w:t>Release blood products from quarantine.</w:t>
            </w:r>
          </w:p>
          <w:p w:rsidR="00D25382" w:rsidRDefault="00D25382" w:rsidP="00D24746">
            <w:pPr>
              <w:pStyle w:val="TableTextBullet"/>
            </w:pPr>
            <w:r>
              <w:t xml:space="preserve">Edit unit login prior to defining patient associations. </w:t>
            </w:r>
          </w:p>
          <w:p w:rsidR="00D25382" w:rsidRDefault="00D25382" w:rsidP="00D24746">
            <w:pPr>
              <w:pStyle w:val="TableTextBullet"/>
            </w:pPr>
            <w:r>
              <w:t>Edit verified unit confirmation testing.</w:t>
            </w:r>
          </w:p>
          <w:p w:rsidR="00D25382" w:rsidRDefault="00D25382" w:rsidP="00D24746">
            <w:pPr>
              <w:pStyle w:val="TableTextBullet"/>
            </w:pPr>
            <w:r>
              <w:t xml:space="preserve">Edit patient record/verified data and test results (except the ABO/Rh for historic record and the antibody field, which results in an antigen negative requirement). </w:t>
            </w:r>
          </w:p>
          <w:p w:rsidR="00D25382" w:rsidRDefault="00D25382" w:rsidP="00D24746">
            <w:pPr>
              <w:pStyle w:val="TableTextBullet"/>
            </w:pPr>
            <w:r>
              <w:t>Release directed units to the main blood supply.</w:t>
            </w:r>
          </w:p>
        </w:tc>
        <w:tc>
          <w:tcPr>
            <w:tcW w:w="3165" w:type="dxa"/>
            <w:vAlign w:val="center"/>
          </w:tcPr>
          <w:p w:rsidR="00D25382" w:rsidRDefault="00D25382" w:rsidP="00D25382">
            <w:pPr>
              <w:pStyle w:val="TableText"/>
            </w:pPr>
            <w:r>
              <w:rPr>
                <w:szCs w:val="20"/>
              </w:rPr>
              <w:t>Experienced t</w:t>
            </w:r>
            <w:r>
              <w:t xml:space="preserve">echnologists trained to process </w:t>
            </w:r>
            <w:r w:rsidR="00BF6145">
              <w:t xml:space="preserve">associated </w:t>
            </w:r>
            <w:r>
              <w:t>overrides and options</w:t>
            </w:r>
            <w:r w:rsidR="005D0D6B">
              <w:t>.</w:t>
            </w:r>
          </w:p>
        </w:tc>
      </w:tr>
      <w:tr w:rsidR="00D25382" w:rsidTr="006C5ACC">
        <w:trPr>
          <w:cantSplit/>
        </w:trPr>
        <w:tc>
          <w:tcPr>
            <w:tcW w:w="2958" w:type="dxa"/>
            <w:vAlign w:val="center"/>
          </w:tcPr>
          <w:p w:rsidR="00D25382" w:rsidRDefault="00D25382" w:rsidP="00D24746">
            <w:pPr>
              <w:pStyle w:val="Table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Level 3: Lead Technologist</w:t>
            </w:r>
          </w:p>
        </w:tc>
        <w:tc>
          <w:tcPr>
            <w:tcW w:w="3237" w:type="dxa"/>
          </w:tcPr>
          <w:p w:rsidR="00D25382" w:rsidRDefault="00D25382" w:rsidP="00D24746">
            <w:pPr>
              <w:pStyle w:val="TableTextBullet"/>
              <w:rPr>
                <w:rFonts w:cs="Arial"/>
                <w:szCs w:val="16"/>
              </w:rPr>
            </w:pPr>
            <w:r>
              <w:rPr>
                <w:rFonts w:cs="Arial"/>
                <w:szCs w:val="16"/>
              </w:rPr>
              <w:t>Select/issue ABO incompatible blood.</w:t>
            </w:r>
          </w:p>
          <w:p w:rsidR="00D25382" w:rsidRDefault="00D25382" w:rsidP="00D24746">
            <w:pPr>
              <w:pStyle w:val="TableTextBullet"/>
              <w:rPr>
                <w:rFonts w:cs="Arial"/>
                <w:szCs w:val="16"/>
              </w:rPr>
            </w:pPr>
            <w:r>
              <w:t>Select/issue antigen positive or untyped red blood cells (for the clinically significant antibodies in the table).</w:t>
            </w:r>
          </w:p>
          <w:p w:rsidR="00D25382" w:rsidRDefault="00D25382" w:rsidP="00D24746">
            <w:pPr>
              <w:pStyle w:val="TableTextBullet"/>
              <w:rPr>
                <w:rFonts w:cs="Arial"/>
                <w:szCs w:val="16"/>
              </w:rPr>
            </w:pPr>
            <w:r>
              <w:rPr>
                <w:rFonts w:cs="Arial"/>
                <w:szCs w:val="16"/>
              </w:rPr>
              <w:t>Print internal reports.</w:t>
            </w:r>
          </w:p>
          <w:p w:rsidR="00D25382" w:rsidRDefault="00D25382" w:rsidP="00D24746">
            <w:pPr>
              <w:pStyle w:val="TableTextBullet"/>
              <w:rPr>
                <w:rFonts w:cs="Arial"/>
                <w:szCs w:val="16"/>
              </w:rPr>
            </w:pPr>
            <w:r>
              <w:rPr>
                <w:rFonts w:cs="Arial"/>
                <w:szCs w:val="16"/>
              </w:rPr>
              <w:t>Maintain login message.</w:t>
            </w:r>
          </w:p>
        </w:tc>
        <w:tc>
          <w:tcPr>
            <w:tcW w:w="3165" w:type="dxa"/>
            <w:vAlign w:val="center"/>
          </w:tcPr>
          <w:p w:rsidR="00D25382" w:rsidRPr="005D0D6B" w:rsidRDefault="00D25382" w:rsidP="00D25382">
            <w:pPr>
              <w:pStyle w:val="TableText"/>
            </w:pPr>
            <w:r>
              <w:t xml:space="preserve">Experienced technologists trained to process </w:t>
            </w:r>
            <w:r w:rsidR="00BF6145">
              <w:t>associated</w:t>
            </w:r>
            <w:r w:rsidR="005D0D6B">
              <w:t xml:space="preserve"> </w:t>
            </w:r>
            <w:r>
              <w:t>overrides and options (e.g., evening- or night-shift supervisors)</w:t>
            </w:r>
            <w:r w:rsidR="005D0D6B">
              <w:t>.</w:t>
            </w:r>
          </w:p>
        </w:tc>
      </w:tr>
      <w:tr w:rsidR="00D25382" w:rsidTr="006C5ACC">
        <w:trPr>
          <w:cantSplit/>
        </w:trPr>
        <w:tc>
          <w:tcPr>
            <w:tcW w:w="2958" w:type="dxa"/>
            <w:vAlign w:val="center"/>
          </w:tcPr>
          <w:p w:rsidR="00D25382" w:rsidRDefault="00D25382" w:rsidP="00D24746">
            <w:pPr>
              <w:pStyle w:val="Table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Level 4: Traditional Supervisor</w:t>
            </w:r>
          </w:p>
        </w:tc>
        <w:tc>
          <w:tcPr>
            <w:tcW w:w="3237" w:type="dxa"/>
            <w:vAlign w:val="bottom"/>
          </w:tcPr>
          <w:p w:rsidR="00D25382" w:rsidRDefault="00D25382" w:rsidP="00D24746">
            <w:pPr>
              <w:pStyle w:val="TableTextBullet"/>
              <w:rPr>
                <w:rFonts w:cs="Arial"/>
              </w:rPr>
            </w:pPr>
            <w:r>
              <w:rPr>
                <w:rFonts w:cs="Arial"/>
                <w:szCs w:val="16"/>
              </w:rPr>
              <w:t>Maintain minimum levels.</w:t>
            </w:r>
          </w:p>
          <w:p w:rsidR="00D25382" w:rsidRDefault="00D25382" w:rsidP="00D24746">
            <w:pPr>
              <w:pStyle w:val="TableTextBullet"/>
              <w:rPr>
                <w:rFonts w:cs="Arial"/>
                <w:szCs w:val="16"/>
              </w:rPr>
            </w:pPr>
            <w:r>
              <w:rPr>
                <w:rFonts w:cs="Arial"/>
                <w:szCs w:val="16"/>
              </w:rPr>
              <w:t>Edit permanent record of the patient’s historic ABO/Rh.</w:t>
            </w:r>
          </w:p>
          <w:p w:rsidR="00D25382" w:rsidRDefault="00D25382" w:rsidP="00D24746">
            <w:pPr>
              <w:pStyle w:val="TableTextBullet"/>
              <w:rPr>
                <w:rFonts w:cs="Arial"/>
                <w:szCs w:val="16"/>
              </w:rPr>
            </w:pPr>
            <w:r>
              <w:rPr>
                <w:rFonts w:cs="Arial"/>
                <w:szCs w:val="16"/>
              </w:rPr>
              <w:t>Edit Transfusion Requirements (TRs) and Special Instructions (SIs).</w:t>
            </w:r>
          </w:p>
          <w:p w:rsidR="00D25382" w:rsidRDefault="00D25382" w:rsidP="00D24746">
            <w:pPr>
              <w:pStyle w:val="TableTextBullet"/>
              <w:rPr>
                <w:rFonts w:cs="Arial"/>
                <w:szCs w:val="16"/>
              </w:rPr>
            </w:pPr>
            <w:r>
              <w:rPr>
                <w:rFonts w:cs="Arial"/>
                <w:szCs w:val="16"/>
              </w:rPr>
              <w:t>Edit patient record red cell antibody permanent fields (match antigens in the antigen table).</w:t>
            </w:r>
          </w:p>
          <w:p w:rsidR="00D25382" w:rsidRDefault="00D25382" w:rsidP="00D24746">
            <w:pPr>
              <w:pStyle w:val="TableTextBullet"/>
              <w:rPr>
                <w:rFonts w:cs="Arial"/>
                <w:szCs w:val="16"/>
              </w:rPr>
            </w:pPr>
            <w:r>
              <w:rPr>
                <w:rFonts w:cs="Arial"/>
                <w:szCs w:val="16"/>
              </w:rPr>
              <w:t>Edit a blood unit’s record (</w:t>
            </w:r>
            <w:r>
              <w:t>verified unit data when unit has any previous patient associations</w:t>
            </w:r>
            <w:r>
              <w:rPr>
                <w:rFonts w:cs="Arial"/>
                <w:szCs w:val="16"/>
              </w:rPr>
              <w:t>).</w:t>
            </w:r>
          </w:p>
          <w:p w:rsidR="00350772" w:rsidRDefault="00350772" w:rsidP="00D24746">
            <w:pPr>
              <w:pStyle w:val="TableTextBullet"/>
              <w:rPr>
                <w:rFonts w:cs="Arial"/>
                <w:szCs w:val="16"/>
              </w:rPr>
            </w:pPr>
            <w:r>
              <w:rPr>
                <w:rFonts w:cs="Arial"/>
                <w:szCs w:val="16"/>
              </w:rPr>
              <w:t>Edit a Patient’s Transfusion Record.</w:t>
            </w:r>
          </w:p>
          <w:p w:rsidR="00350772" w:rsidRDefault="00350772" w:rsidP="00D24746">
            <w:pPr>
              <w:pStyle w:val="TableTextBullet"/>
              <w:rPr>
                <w:rFonts w:cs="Arial"/>
                <w:szCs w:val="16"/>
              </w:rPr>
            </w:pPr>
            <w:r>
              <w:rPr>
                <w:rFonts w:cs="Arial"/>
                <w:szCs w:val="16"/>
              </w:rPr>
              <w:t>Remove a Blood Unit’s Final Status.</w:t>
            </w:r>
          </w:p>
        </w:tc>
        <w:tc>
          <w:tcPr>
            <w:tcW w:w="3165" w:type="dxa"/>
            <w:vAlign w:val="center"/>
          </w:tcPr>
          <w:p w:rsidR="00D25382" w:rsidRPr="005D0D6B" w:rsidRDefault="00D25382" w:rsidP="005D0D6B">
            <w:pPr>
              <w:pStyle w:val="TableText"/>
            </w:pPr>
            <w:r>
              <w:rPr>
                <w:szCs w:val="20"/>
              </w:rPr>
              <w:t>Experienced b</w:t>
            </w:r>
            <w:r>
              <w:t xml:space="preserve">lood bank supervisors trained to process </w:t>
            </w:r>
            <w:r w:rsidR="00BF6145">
              <w:t>associated</w:t>
            </w:r>
            <w:r w:rsidR="000014DD">
              <w:t xml:space="preserve"> </w:t>
            </w:r>
            <w:r>
              <w:t>overrides and options</w:t>
            </w:r>
          </w:p>
        </w:tc>
      </w:tr>
      <w:tr w:rsidR="00D25382" w:rsidTr="006C5ACC">
        <w:trPr>
          <w:cantSplit/>
        </w:trPr>
        <w:tc>
          <w:tcPr>
            <w:tcW w:w="2958" w:type="dxa"/>
            <w:vAlign w:val="center"/>
          </w:tcPr>
          <w:p w:rsidR="00D25382" w:rsidRDefault="00D25382" w:rsidP="00D24746">
            <w:pPr>
              <w:pStyle w:val="Table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Level 5: Enhanced Supervisor</w:t>
            </w:r>
          </w:p>
        </w:tc>
        <w:tc>
          <w:tcPr>
            <w:tcW w:w="3237" w:type="dxa"/>
            <w:vAlign w:val="bottom"/>
          </w:tcPr>
          <w:p w:rsidR="00D25382" w:rsidRDefault="00D25382" w:rsidP="00D24746">
            <w:pPr>
              <w:pStyle w:val="TableTextBullet"/>
            </w:pPr>
            <w:r>
              <w:t>Edit antigen frequency table to reflect local population.</w:t>
            </w:r>
          </w:p>
          <w:p w:rsidR="00D25382" w:rsidRDefault="00D25382" w:rsidP="00D24746">
            <w:pPr>
              <w:pStyle w:val="TableTextBullet"/>
            </w:pPr>
            <w:r>
              <w:t>Add new local shipper, not already on the table issued with VBECS.</w:t>
            </w:r>
          </w:p>
          <w:p w:rsidR="00D25382" w:rsidRDefault="00D25382" w:rsidP="00D24746">
            <w:pPr>
              <w:pStyle w:val="TableTextBullet"/>
              <w:rPr>
                <w:rFonts w:cs="Arial"/>
              </w:rPr>
            </w:pPr>
            <w:r>
              <w:t>Edit and create canned comments for the division.</w:t>
            </w:r>
          </w:p>
          <w:p w:rsidR="00D25382" w:rsidRDefault="00D25382" w:rsidP="00D24746">
            <w:pPr>
              <w:pStyle w:val="TableTextBullet"/>
              <w:rPr>
                <w:rFonts w:cs="Arial"/>
              </w:rPr>
            </w:pPr>
            <w:r>
              <w:t>Edit and create consultative reports, templates, MSBOS, reagents, and equipment maintenance logs for the division.</w:t>
            </w:r>
          </w:p>
        </w:tc>
        <w:tc>
          <w:tcPr>
            <w:tcW w:w="3165" w:type="dxa"/>
            <w:vAlign w:val="center"/>
          </w:tcPr>
          <w:p w:rsidR="00D25382" w:rsidRDefault="00D25382" w:rsidP="005D0D6B">
            <w:pPr>
              <w:pStyle w:val="TableText"/>
            </w:pPr>
            <w:r>
              <w:rPr>
                <w:szCs w:val="20"/>
              </w:rPr>
              <w:t>Experienced b</w:t>
            </w:r>
            <w:r>
              <w:t xml:space="preserve">lood bank supervisors or VBECS administrators trained to process </w:t>
            </w:r>
            <w:r w:rsidR="00BF6145">
              <w:t>associated</w:t>
            </w:r>
            <w:r w:rsidR="000014DD">
              <w:t xml:space="preserve"> </w:t>
            </w:r>
            <w:r w:rsidR="005D0D6B">
              <w:t>overrides and options</w:t>
            </w:r>
          </w:p>
        </w:tc>
      </w:tr>
      <w:tr w:rsidR="00D25382" w:rsidTr="006C5ACC">
        <w:trPr>
          <w:cantSplit/>
        </w:trPr>
        <w:tc>
          <w:tcPr>
            <w:tcW w:w="2958" w:type="dxa"/>
            <w:vAlign w:val="center"/>
          </w:tcPr>
          <w:p w:rsidR="00D25382" w:rsidRDefault="00D25382" w:rsidP="00D24746">
            <w:pPr>
              <w:pStyle w:val="TableText"/>
            </w:pPr>
            <w:r w:rsidRPr="00EC7489">
              <w:rPr>
                <w:rFonts w:ascii="Wingdings 3" w:hAnsi="Wingdings 3" w:cs="Wingdings"/>
              </w:rPr>
              <w:lastRenderedPageBreak/>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Level 6: Administrator/Supervisor </w:t>
            </w:r>
          </w:p>
        </w:tc>
        <w:tc>
          <w:tcPr>
            <w:tcW w:w="3237" w:type="dxa"/>
            <w:vAlign w:val="bottom"/>
          </w:tcPr>
          <w:p w:rsidR="00D25382" w:rsidRDefault="00D25382" w:rsidP="00D24746">
            <w:pPr>
              <w:pStyle w:val="TableTextBullet"/>
            </w:pPr>
            <w:r>
              <w:t xml:space="preserve">Define VBECS users’ security settings. </w:t>
            </w:r>
          </w:p>
          <w:p w:rsidR="00350772" w:rsidRDefault="00350772" w:rsidP="00D24746">
            <w:pPr>
              <w:pStyle w:val="TableTextBullet"/>
            </w:pPr>
            <w:r>
              <w:t>Define the division as full service or transfusion only.</w:t>
            </w:r>
          </w:p>
          <w:p w:rsidR="00D25382" w:rsidRDefault="00D25382" w:rsidP="00D24746">
            <w:pPr>
              <w:pStyle w:val="TableTextBullet"/>
            </w:pPr>
            <w:r>
              <w:t xml:space="preserve">Enable electronic crossmatch at the division. </w:t>
            </w:r>
          </w:p>
          <w:p w:rsidR="00D25382" w:rsidRDefault="00D25382" w:rsidP="00D24746">
            <w:pPr>
              <w:pStyle w:val="TableTextBullet"/>
            </w:pPr>
            <w:r>
              <w:t>Populate International Council for Commonality in Blood Banking Automation, Inc. (ICCBBA) number for the division.</w:t>
            </w:r>
          </w:p>
          <w:p w:rsidR="00D25382" w:rsidRDefault="00D25382" w:rsidP="00D24746">
            <w:pPr>
              <w:pStyle w:val="TableTextBullet"/>
            </w:pPr>
            <w:r>
              <w:t>Define valid unit modifications for the division.</w:t>
            </w:r>
          </w:p>
          <w:p w:rsidR="00D25382" w:rsidRDefault="00D25382" w:rsidP="00D24746">
            <w:pPr>
              <w:pStyle w:val="TableTextBullet"/>
            </w:pPr>
            <w:r>
              <w:t>Assign workload codes for the division.</w:t>
            </w:r>
          </w:p>
          <w:p w:rsidR="00D25382" w:rsidRDefault="00D25382" w:rsidP="00D24746">
            <w:pPr>
              <w:pStyle w:val="TableTextBullet"/>
            </w:pPr>
            <w:r>
              <w:t>Configure testing.</w:t>
            </w:r>
          </w:p>
          <w:p w:rsidR="00D25382" w:rsidRDefault="00D25382" w:rsidP="00D24746">
            <w:pPr>
              <w:pStyle w:val="TableTextBullet"/>
              <w:rPr>
                <w:rFonts w:cs="Arial"/>
                <w:color w:val="000000"/>
              </w:rPr>
            </w:pPr>
            <w:r>
              <w:t>Configure division.</w:t>
            </w:r>
          </w:p>
        </w:tc>
        <w:tc>
          <w:tcPr>
            <w:tcW w:w="3165" w:type="dxa"/>
            <w:vAlign w:val="center"/>
          </w:tcPr>
          <w:p w:rsidR="00AD4A89" w:rsidRDefault="00D25382" w:rsidP="005D0D6B">
            <w:pPr>
              <w:pStyle w:val="TableText"/>
            </w:pPr>
            <w:r>
              <w:t>VBECS administrators trained to process</w:t>
            </w:r>
            <w:r w:rsidR="00C06111">
              <w:t xml:space="preserve"> all</w:t>
            </w:r>
            <w:r>
              <w:t xml:space="preserve"> overrides and options</w:t>
            </w:r>
            <w:r w:rsidR="007E34DA">
              <w:rPr>
                <w:szCs w:val="20"/>
              </w:rPr>
              <w:t xml:space="preserve"> not designed to change frequently</w:t>
            </w:r>
            <w:r>
              <w:t xml:space="preserve">. This role may be assigned temporarily </w:t>
            </w:r>
            <w:r w:rsidR="00AD4A89">
              <w:t xml:space="preserve">to a blood bank supervisor </w:t>
            </w:r>
            <w:r>
              <w:t xml:space="preserve">at setup to configure the division. </w:t>
            </w:r>
          </w:p>
          <w:p w:rsidR="00AD4A89" w:rsidRDefault="00AD4A89" w:rsidP="005D0D6B">
            <w:pPr>
              <w:pStyle w:val="TableText"/>
            </w:pPr>
          </w:p>
          <w:p w:rsidR="00D25382" w:rsidRDefault="00D25382" w:rsidP="005D0D6B">
            <w:pPr>
              <w:pStyle w:val="TableText"/>
            </w:pPr>
          </w:p>
        </w:tc>
      </w:tr>
    </w:tbl>
    <w:p w:rsidR="004A2D6F" w:rsidRDefault="002A21AE" w:rsidP="004A2D6F">
      <w:pPr>
        <w:pStyle w:val="BodyText"/>
      </w:pPr>
      <w:r>
        <w:t>The VA Wide Area Network (WAN) is protected from unauthorized access.</w:t>
      </w:r>
      <w:r w:rsidR="00467CDF">
        <w:t xml:space="preserve"> </w:t>
      </w:r>
      <w:r>
        <w:t xml:space="preserve"> The hardware running the VBECS application and its database will be installed</w:t>
      </w:r>
      <w:r w:rsidR="00D52853">
        <w:t xml:space="preserve"> at the Austin Information Technology Center [AITC (primary site)] and the </w:t>
      </w:r>
      <w:r w:rsidR="00C663F2">
        <w:t>Philadelphia</w:t>
      </w:r>
      <w:r w:rsidR="00D52853">
        <w:t xml:space="preserve"> Information Technology Center [PITC (disaster recovery site)]. Both sites are </w:t>
      </w:r>
      <w:r>
        <w:t xml:space="preserve">secure </w:t>
      </w:r>
      <w:r w:rsidR="00D52853">
        <w:t>data centers where they are protected against</w:t>
      </w:r>
      <w:r>
        <w:t xml:space="preserve"> unauthorized modifications and accidental damage.</w:t>
      </w:r>
    </w:p>
    <w:p w:rsidR="002A21AE" w:rsidRDefault="002A21AE" w:rsidP="0031313E">
      <w:pPr>
        <w:pStyle w:val="Heading2"/>
      </w:pPr>
      <w:bookmarkStart w:id="24" w:name="_Toc459900030"/>
      <w:r>
        <w:t>Application Architecture</w:t>
      </w:r>
      <w:bookmarkEnd w:id="24"/>
      <w:r>
        <w:fldChar w:fldCharType="begin"/>
      </w:r>
      <w:r>
        <w:instrText xml:space="preserve"> XE </w:instrText>
      </w:r>
      <w:r w:rsidR="00FA7E65">
        <w:instrText>“</w:instrText>
      </w:r>
      <w:r>
        <w:instrText>Application Architecture</w:instrText>
      </w:r>
      <w:r w:rsidR="00FA7E65">
        <w:instrText>”</w:instrText>
      </w:r>
      <w:r>
        <w:instrText xml:space="preserve"> </w:instrText>
      </w:r>
      <w:r>
        <w:fldChar w:fldCharType="end"/>
      </w:r>
    </w:p>
    <w:p w:rsidR="002A21AE" w:rsidRDefault="002A21AE" w:rsidP="00FA7E65">
      <w:pPr>
        <w:pStyle w:val="BodyText"/>
      </w:pPr>
      <w:r>
        <w:t>The primary purpose of VBECS is to automate the daily activities of a hospital transfusion service: blood inventory and patient transfusion processing. The major goals of the application are:</w:t>
      </w:r>
    </w:p>
    <w:p w:rsidR="002A21AE" w:rsidRDefault="002A21AE">
      <w:pPr>
        <w:pStyle w:val="ListBullet"/>
      </w:pPr>
      <w:r>
        <w:t xml:space="preserve">Improve the safety of blood/blood component transfusions by decreasing the risk of errors through effective use of current technology such as barcode scanning, retrieval of previous records to be used for comparison, and detection of inconsistencies in data input </w:t>
      </w:r>
    </w:p>
    <w:p w:rsidR="002A21AE" w:rsidRDefault="002A21AE">
      <w:pPr>
        <w:pStyle w:val="ListBullet"/>
      </w:pPr>
      <w:r>
        <w:t>Improve the quality of patient care through evaluation of transfusion appropriateness and follow-up on the effectiveness of transfusions</w:t>
      </w:r>
    </w:p>
    <w:p w:rsidR="002A21AE" w:rsidRDefault="002A21AE">
      <w:pPr>
        <w:pStyle w:val="ListBullet"/>
      </w:pPr>
      <w:r>
        <w:t>Provide comprehensive reporting capabilities for quality monitoring within the transfusion service and for clinicians</w:t>
      </w:r>
    </w:p>
    <w:p w:rsidR="002A21AE" w:rsidRDefault="002A21AE" w:rsidP="00FA7E65">
      <w:pPr>
        <w:pStyle w:val="BodyText"/>
      </w:pPr>
      <w:r>
        <w:t>VBECS operates as a</w:t>
      </w:r>
      <w:r w:rsidR="00473130">
        <w:t xml:space="preserve"> discrete </w:t>
      </w:r>
      <w:r>
        <w:t>application</w:t>
      </w:r>
      <w:r w:rsidR="00473130">
        <w:t>,</w:t>
      </w:r>
      <w:r w:rsidR="00473130" w:rsidRPr="00473130">
        <w:t xml:space="preserve"> </w:t>
      </w:r>
      <w:r w:rsidR="00473130">
        <w:t>in accordance with FDA regulations regarding change to a medical device</w:t>
      </w:r>
      <w:r>
        <w:t xml:space="preserve">. It interfaces with the current </w:t>
      </w:r>
      <w:r w:rsidR="000C7684" w:rsidRPr="000C7684">
        <w:rPr>
          <w:bCs/>
        </w:rPr>
        <w:t>VistA</w:t>
      </w:r>
      <w:r>
        <w:t xml:space="preserve"> applications, using Health Level 7 (HL7) and VistALink. </w:t>
      </w:r>
      <w:r w:rsidR="00473130">
        <w:t>A</w:t>
      </w:r>
      <w:r>
        <w:t>reas of operation</w:t>
      </w:r>
      <w:r w:rsidR="00473130">
        <w:t xml:space="preserve"> that are</w:t>
      </w:r>
      <w:r>
        <w:t xml:space="preserve"> part of the </w:t>
      </w:r>
      <w:r w:rsidR="00995EAA" w:rsidRPr="00995EAA">
        <w:t xml:space="preserve">VistA Blood Bank v5.2 </w:t>
      </w:r>
      <w:r>
        <w:t xml:space="preserve">software medical device </w:t>
      </w:r>
      <w:r w:rsidR="00473130">
        <w:t xml:space="preserve">(except for the donor module) </w:t>
      </w:r>
      <w:r>
        <w:t xml:space="preserve">are contained </w:t>
      </w:r>
      <w:r w:rsidR="00473130">
        <w:t>in</w:t>
      </w:r>
      <w:r>
        <w:t xml:space="preserve"> this encapsulated </w:t>
      </w:r>
      <w:r w:rsidR="00995EAA">
        <w:t xml:space="preserve">VBECS </w:t>
      </w:r>
      <w:r>
        <w:t xml:space="preserve">package. </w:t>
      </w:r>
      <w:r w:rsidR="007762A7">
        <w:t>P</w:t>
      </w:r>
      <w:r>
        <w:t xml:space="preserve">atient orders originate and are received from the Computerized Patient Record System (CPRS) and Laboratory applications. </w:t>
      </w:r>
    </w:p>
    <w:p w:rsidR="002A21AE" w:rsidRDefault="002A21AE">
      <w:pPr>
        <w:pStyle w:val="Heading2"/>
      </w:pPr>
      <w:bookmarkStart w:id="25" w:name="_Toc459900031"/>
      <w:r>
        <w:t>Hardware and Infrastructure Architecture</w:t>
      </w:r>
      <w:bookmarkEnd w:id="25"/>
      <w:r>
        <w:fldChar w:fldCharType="begin"/>
      </w:r>
      <w:r>
        <w:instrText xml:space="preserve"> XE </w:instrText>
      </w:r>
      <w:r w:rsidR="00FA7E65">
        <w:instrText>“</w:instrText>
      </w:r>
      <w:r>
        <w:instrText>Hardware and Infrastructure Architecture</w:instrText>
      </w:r>
      <w:r w:rsidR="00FA7E65">
        <w:instrText>”</w:instrText>
      </w:r>
      <w:r>
        <w:instrText xml:space="preserve"> </w:instrText>
      </w:r>
      <w:r>
        <w:fldChar w:fldCharType="end"/>
      </w:r>
    </w:p>
    <w:p w:rsidR="003D487D" w:rsidRDefault="002A21AE" w:rsidP="0093421C">
      <w:pPr>
        <w:pStyle w:val="BodyText"/>
      </w:pPr>
      <w:r>
        <w:t xml:space="preserve">The VBECS application requires </w:t>
      </w:r>
      <w:r w:rsidR="00467CDF">
        <w:t xml:space="preserve">that </w:t>
      </w:r>
      <w:r>
        <w:t>hardware and system software serve five users in a sta</w:t>
      </w:r>
      <w:r w:rsidR="00467CDF">
        <w:t>ndard configuration and up to twenty-five</w:t>
      </w:r>
      <w:r>
        <w:t xml:space="preserve"> users in an integrated Veterans Integrated Service Netw</w:t>
      </w:r>
      <w:r w:rsidR="00295FAE">
        <w:t xml:space="preserve">ork (VISN) environment. </w:t>
      </w:r>
      <w:r w:rsidR="0093421C">
        <w:fldChar w:fldCharType="begin"/>
      </w:r>
      <w:r w:rsidR="0093421C">
        <w:instrText xml:space="preserve"> REF _Ref317760654 \h </w:instrText>
      </w:r>
      <w:r w:rsidR="0093421C">
        <w:instrText xml:space="preserve"> \* MERGEFORMAT </w:instrText>
      </w:r>
      <w:r w:rsidR="0093421C">
        <w:fldChar w:fldCharType="separate"/>
      </w:r>
      <w:r w:rsidR="005F38BC">
        <w:t>Figure 1: System Schematic</w:t>
      </w:r>
      <w:r w:rsidR="0093421C">
        <w:fldChar w:fldCharType="end"/>
      </w:r>
      <w:r w:rsidR="0093421C">
        <w:t xml:space="preserve"> </w:t>
      </w:r>
      <w:r>
        <w:t>describes the major s</w:t>
      </w:r>
      <w:r w:rsidR="0025233A">
        <w:t>ystem components: a Windows 2008</w:t>
      </w:r>
      <w:r>
        <w:t xml:space="preserve"> Server system (the execution environment for the VB</w:t>
      </w:r>
      <w:r w:rsidR="009F2628">
        <w:t xml:space="preserve">ECS application) and </w:t>
      </w:r>
      <w:r w:rsidR="0025233A">
        <w:t xml:space="preserve">Windows 7 </w:t>
      </w:r>
      <w:r>
        <w:t xml:space="preserve">workstations for access to VBECS through Windows Remote Desktop Connection. The VBECS server communicates with and exchanges information with </w:t>
      </w:r>
      <w:r w:rsidR="000C7684" w:rsidRPr="0093421C">
        <w:t>VistA</w:t>
      </w:r>
      <w:r>
        <w:t xml:space="preserve"> applications through Extensible Markup Language (XML) and Health Level 7 (HL7) messages over Transmission Control Protocol/Internet Protocol (TCP/IP) networking. </w:t>
      </w:r>
      <w:r w:rsidR="00905466">
        <w:t>The VBECS server communicates with BCE through HL7 messages over TCP/IP networking</w:t>
      </w:r>
      <w:r w:rsidR="002A249F">
        <w:t>.</w:t>
      </w:r>
    </w:p>
    <w:p w:rsidR="002A249F" w:rsidRDefault="00473EA6" w:rsidP="0093421C">
      <w:pPr>
        <w:pStyle w:val="BodyText"/>
      </w:pPr>
      <w:r>
        <w:lastRenderedPageBreak/>
        <w:t>VBECS 2.2</w:t>
      </w:r>
      <w:r w:rsidR="003D487D">
        <w:t>.0 is installed in a virtualized network</w:t>
      </w:r>
      <w:r w:rsidR="00CF5ACD">
        <w:t xml:space="preserve"> using vSphere 5</w:t>
      </w:r>
      <w:r w:rsidR="00CB6B0C">
        <w:t>.5</w:t>
      </w:r>
      <w:r w:rsidR="00CF5ACD">
        <w:t xml:space="preserve"> as the virtualization platform.</w:t>
      </w:r>
    </w:p>
    <w:p w:rsidR="00985C6D" w:rsidRDefault="00985C6D" w:rsidP="00985C6D">
      <w:pPr>
        <w:pStyle w:val="BodyText"/>
      </w:pPr>
      <w:r>
        <w:t xml:space="preserve">SQL Servers exist in </w:t>
      </w:r>
      <w:r w:rsidR="00FC0845" w:rsidRPr="00B80D79">
        <w:rPr>
          <w:color w:val="000000"/>
        </w:rPr>
        <w:t>Windows Server Failover Clustering with AlwaysOn cluster</w:t>
      </w:r>
      <w:r w:rsidR="00FC0845">
        <w:rPr>
          <w:color w:val="000000"/>
        </w:rPr>
        <w:t xml:space="preserve"> </w:t>
      </w:r>
      <w:r>
        <w:t>which consists of three nodes. The Primary and High Availability server reside at the primary site while a Disaster Recovery server resides at an alternate location:</w:t>
      </w:r>
    </w:p>
    <w:p w:rsidR="00985C6D" w:rsidRDefault="00985C6D" w:rsidP="002F6D7B">
      <w:pPr>
        <w:pStyle w:val="BodyText"/>
        <w:numPr>
          <w:ilvl w:val="0"/>
          <w:numId w:val="46"/>
        </w:numPr>
        <w:spacing w:before="0"/>
      </w:pPr>
      <w:r>
        <w:t xml:space="preserve">Primary server: This server </w:t>
      </w:r>
      <w:r w:rsidR="00473EA6">
        <w:t>fields all requests. Its data are</w:t>
      </w:r>
      <w:r>
        <w:t xml:space="preserve"> replicated to the High Availability and Disaster Recovery servers.</w:t>
      </w:r>
    </w:p>
    <w:p w:rsidR="00473EA6" w:rsidRDefault="00985C6D" w:rsidP="002F6D7B">
      <w:pPr>
        <w:pStyle w:val="BodyText"/>
        <w:numPr>
          <w:ilvl w:val="0"/>
          <w:numId w:val="46"/>
        </w:numPr>
        <w:spacing w:before="0"/>
      </w:pPr>
      <w:r>
        <w:t xml:space="preserve">High Availability (HA) </w:t>
      </w:r>
      <w:r w:rsidR="00473EA6">
        <w:t xml:space="preserve">SQL </w:t>
      </w:r>
      <w:r>
        <w:t xml:space="preserve">server: </w:t>
      </w:r>
      <w:r w:rsidR="00473EA6">
        <w:t>This server provides database backup services through synchronous replication. Its data are guaranteed to be consistent with the Primary. It becomes the Primary should the original Primary server fail or become unreachable. Failover to this server is automatic.</w:t>
      </w:r>
    </w:p>
    <w:p w:rsidR="00985C6D" w:rsidRDefault="00985C6D" w:rsidP="002F6D7B">
      <w:pPr>
        <w:pStyle w:val="BodyText"/>
        <w:numPr>
          <w:ilvl w:val="0"/>
          <w:numId w:val="46"/>
        </w:numPr>
        <w:spacing w:before="0"/>
      </w:pPr>
      <w:r>
        <w:t xml:space="preserve">Disaster Recovery (DR) </w:t>
      </w:r>
      <w:r w:rsidR="00473EA6">
        <w:t xml:space="preserve">SQL </w:t>
      </w:r>
      <w:r>
        <w:t>server: This server resides at a remote site and provides backup database services through asynchronous replication. It become</w:t>
      </w:r>
      <w:r w:rsidR="00473EA6">
        <w:t>s</w:t>
      </w:r>
      <w:r>
        <w:t xml:space="preserve"> the Primary server should both</w:t>
      </w:r>
      <w:r w:rsidR="000668C0">
        <w:t xml:space="preserve"> the Primary and HA server fail or become unreachable. Failover to this server is a manual process.</w:t>
      </w:r>
    </w:p>
    <w:p w:rsidR="00190420" w:rsidRDefault="00CF5ACD" w:rsidP="002A249F">
      <w:pPr>
        <w:pStyle w:val="Heading3"/>
      </w:pPr>
      <w:r>
        <w:t xml:space="preserve"> </w:t>
      </w:r>
      <w:bookmarkStart w:id="26" w:name="_Toc459900032"/>
      <w:r w:rsidR="00D3324B">
        <w:t>O</w:t>
      </w:r>
      <w:r w:rsidR="00190420">
        <w:t>ptions That Require VistALink</w:t>
      </w:r>
      <w:bookmarkEnd w:id="26"/>
    </w:p>
    <w:p w:rsidR="00D3324B" w:rsidRDefault="00D3324B" w:rsidP="00D3324B">
      <w:pPr>
        <w:pStyle w:val="BodyText"/>
      </w:pPr>
      <w:r>
        <w:t>These options require a connection through VistALink. When VistALink is not active and VBECS requires access to VistA</w:t>
      </w:r>
      <w:r w:rsidR="008452BB">
        <w:t xml:space="preserve"> data</w:t>
      </w:r>
      <w:r>
        <w:t xml:space="preserve">, VBECS </w:t>
      </w:r>
      <w:r w:rsidR="004E13DE">
        <w:t>prompts</w:t>
      </w:r>
      <w:r>
        <w:t xml:space="preserve"> the user to activate VistALink.</w:t>
      </w:r>
      <w:r w:rsidR="00423948">
        <w:t xml:space="preserve"> When VistALink is not available, VBECS </w:t>
      </w:r>
      <w:r w:rsidR="00714365">
        <w:t>warns the user and asks him to</w:t>
      </w:r>
      <w:r w:rsidR="00423948" w:rsidRPr="009F4E8F">
        <w:t xml:space="preserve"> try again later.</w:t>
      </w:r>
    </w:p>
    <w:p w:rsidR="00C46850" w:rsidRPr="00D93651" w:rsidRDefault="00634BFC" w:rsidP="00C46850">
      <w:pPr>
        <w:pStyle w:val="Caution"/>
      </w:pPr>
      <w:r>
        <w:rPr>
          <w:noProof/>
        </w:rPr>
        <w:drawing>
          <wp:inline distT="0" distB="0" distL="0" distR="0">
            <wp:extent cx="266700" cy="2190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bookmarkStart w:id="27" w:name="OLE_LINK57"/>
      <w:bookmarkStart w:id="28" w:name="OLE_LINK58"/>
      <w:r w:rsidR="00C46850">
        <w:t xml:space="preserve">Contact your local support </w:t>
      </w:r>
      <w:r w:rsidR="00E055FF">
        <w:t>staff immediately when VistALink is not available. VBECS, VistA and CPRS all depend on VistALink to exchange information</w:t>
      </w:r>
      <w:r w:rsidR="00C46850" w:rsidRPr="00D93651">
        <w:t>.</w:t>
      </w:r>
      <w:bookmarkEnd w:id="27"/>
      <w:bookmarkEnd w:id="28"/>
    </w:p>
    <w:p w:rsidR="00956F9E" w:rsidRPr="00D612CA" w:rsidRDefault="00956F9E" w:rsidP="00956F9E">
      <w:pPr>
        <w:pStyle w:val="ListBullet"/>
        <w:numPr>
          <w:ilvl w:val="0"/>
          <w:numId w:val="0"/>
        </w:numPr>
        <w:ind w:left="288" w:hanging="288"/>
      </w:pPr>
      <w:r w:rsidRPr="00956F9E">
        <w:rPr>
          <w:vanish/>
        </w:rPr>
        <w:t>UC</w:t>
      </w:r>
      <w:bookmarkStart w:id="29" w:name="_Toc97523611"/>
      <w:bookmarkStart w:id="30" w:name="_Toc97527581"/>
      <w:bookmarkStart w:id="31" w:name="_Ref126467267"/>
      <w:bookmarkStart w:id="32" w:name="_Ref126722632"/>
      <w:bookmarkStart w:id="33" w:name="_Ref126467435"/>
      <w:r w:rsidRPr="00956F9E">
        <w:t xml:space="preserve"> </w:t>
      </w:r>
      <w:r>
        <w:t xml:space="preserve">Main </w:t>
      </w:r>
      <w:r w:rsidRPr="00D612CA">
        <w:t>Menu: Orders</w:t>
      </w:r>
    </w:p>
    <w:p w:rsidR="00956F9E" w:rsidRDefault="00956F9E" w:rsidP="00956F9E">
      <w:pPr>
        <w:pStyle w:val="ListBullet"/>
        <w:tabs>
          <w:tab w:val="num" w:pos="720"/>
        </w:tabs>
        <w:spacing w:after="120"/>
        <w:ind w:left="720"/>
      </w:pPr>
      <w:r>
        <w:t>Accept Orders: Pending Order List</w:t>
      </w:r>
      <w:r w:rsidRPr="00953FEE">
        <w:t xml:space="preserve"> </w:t>
      </w:r>
      <w:r w:rsidRPr="00722837">
        <w:rPr>
          <w:vanish/>
        </w:rPr>
        <w:t>UC_88</w:t>
      </w:r>
    </w:p>
    <w:p w:rsidR="00956F9E" w:rsidRDefault="00956F9E" w:rsidP="00956F9E">
      <w:pPr>
        <w:pStyle w:val="ListBullet"/>
        <w:numPr>
          <w:ilvl w:val="0"/>
          <w:numId w:val="0"/>
        </w:numPr>
      </w:pPr>
      <w:r>
        <w:t xml:space="preserve">Main </w:t>
      </w:r>
      <w:r w:rsidRPr="00D612CA">
        <w:t xml:space="preserve">Menu: </w:t>
      </w:r>
      <w:r>
        <w:t>Blood Units</w:t>
      </w:r>
    </w:p>
    <w:p w:rsidR="00956F9E" w:rsidRDefault="00956F9E" w:rsidP="00956F9E">
      <w:pPr>
        <w:pStyle w:val="ListBullet"/>
        <w:tabs>
          <w:tab w:val="num" w:pos="720"/>
        </w:tabs>
        <w:ind w:left="720"/>
      </w:pPr>
      <w:r>
        <w:t>Edit Unit Information (used when editing patient restrictions)</w:t>
      </w:r>
    </w:p>
    <w:p w:rsidR="00956F9E" w:rsidRPr="00953FEE" w:rsidRDefault="00956F9E" w:rsidP="00956F9E">
      <w:pPr>
        <w:pStyle w:val="ListBullet"/>
        <w:tabs>
          <w:tab w:val="num" w:pos="720"/>
        </w:tabs>
        <w:spacing w:after="120"/>
        <w:ind w:left="720"/>
      </w:pPr>
      <w:r w:rsidRPr="00953FEE">
        <w:t xml:space="preserve">Return Issued Units To Blood Bank </w:t>
      </w:r>
      <w:r w:rsidRPr="00953FEE">
        <w:rPr>
          <w:vanish/>
        </w:rPr>
        <w:t>UC_59</w:t>
      </w:r>
    </w:p>
    <w:p w:rsidR="00956F9E" w:rsidRPr="00D612CA" w:rsidRDefault="00956F9E" w:rsidP="00956F9E">
      <w:pPr>
        <w:pStyle w:val="ListBullet"/>
        <w:numPr>
          <w:ilvl w:val="0"/>
          <w:numId w:val="0"/>
        </w:numPr>
      </w:pPr>
      <w:r>
        <w:t xml:space="preserve">Main </w:t>
      </w:r>
      <w:r w:rsidRPr="00D612CA">
        <w:t>Menu: Patients</w:t>
      </w:r>
    </w:p>
    <w:p w:rsidR="00956F9E" w:rsidRPr="00D612CA" w:rsidRDefault="00956F9E" w:rsidP="00956F9E">
      <w:pPr>
        <w:pStyle w:val="ListBullet"/>
        <w:tabs>
          <w:tab w:val="num" w:pos="720"/>
        </w:tabs>
        <w:ind w:left="720"/>
      </w:pPr>
      <w:r w:rsidRPr="00D612CA">
        <w:t xml:space="preserve">Post-Transfusion Information </w:t>
      </w:r>
      <w:r w:rsidRPr="00D612CA">
        <w:rPr>
          <w:vanish/>
        </w:rPr>
        <w:t>UC_70</w:t>
      </w:r>
      <w:r w:rsidRPr="00D612CA">
        <w:t xml:space="preserve"> </w:t>
      </w:r>
      <w:r w:rsidRPr="00D612CA">
        <w:rPr>
          <w:vanish/>
        </w:rPr>
        <w:t>DR 4354</w:t>
      </w:r>
    </w:p>
    <w:p w:rsidR="00956F9E" w:rsidRPr="00953FEE" w:rsidRDefault="00956F9E" w:rsidP="00956F9E">
      <w:pPr>
        <w:pStyle w:val="ListBullet"/>
        <w:tabs>
          <w:tab w:val="num" w:pos="720"/>
        </w:tabs>
        <w:ind w:left="720"/>
      </w:pPr>
      <w:r w:rsidRPr="00D612CA">
        <w:t>Return</w:t>
      </w:r>
      <w:r w:rsidRPr="00953FEE">
        <w:t xml:space="preserve"> Issued Units To Blood Bank </w:t>
      </w:r>
      <w:r w:rsidRPr="00953FEE">
        <w:rPr>
          <w:vanish/>
        </w:rPr>
        <w:t>UC_59</w:t>
      </w:r>
    </w:p>
    <w:p w:rsidR="00956F9E" w:rsidRPr="00D612CA" w:rsidRDefault="00956F9E" w:rsidP="00956F9E">
      <w:pPr>
        <w:pStyle w:val="ListBullet"/>
        <w:tabs>
          <w:tab w:val="num" w:pos="720"/>
        </w:tabs>
        <w:spacing w:after="120"/>
        <w:ind w:left="720"/>
      </w:pPr>
      <w:r w:rsidRPr="00D612CA">
        <w:t>Issue Blood Components</w:t>
      </w:r>
      <w:r w:rsidR="009C7B46">
        <w:t xml:space="preserve"> (to include a hospital location)</w:t>
      </w:r>
      <w:r w:rsidRPr="00D612CA">
        <w:t xml:space="preserve"> </w:t>
      </w:r>
      <w:r w:rsidRPr="00D612CA">
        <w:rPr>
          <w:vanish/>
        </w:rPr>
        <w:t>UC_73</w:t>
      </w:r>
      <w:r w:rsidR="009C7B46">
        <w:rPr>
          <w:vanish/>
        </w:rPr>
        <w:t xml:space="preserve"> </w:t>
      </w:r>
      <w:r w:rsidR="009C7B46" w:rsidRPr="009C7B46">
        <w:rPr>
          <w:vanish/>
        </w:rPr>
        <w:t xml:space="preserve">DR 5073 </w:t>
      </w:r>
    </w:p>
    <w:p w:rsidR="00956F9E" w:rsidRPr="00D612CA" w:rsidRDefault="00956F9E" w:rsidP="00956F9E">
      <w:pPr>
        <w:pStyle w:val="ListBullet"/>
        <w:numPr>
          <w:ilvl w:val="0"/>
          <w:numId w:val="0"/>
        </w:numPr>
        <w:ind w:left="288" w:hanging="288"/>
      </w:pPr>
      <w:r>
        <w:t xml:space="preserve">Main </w:t>
      </w:r>
      <w:r w:rsidRPr="00D612CA">
        <w:t>Menu: Shipments</w:t>
      </w:r>
    </w:p>
    <w:p w:rsidR="00956F9E" w:rsidRPr="00D612CA" w:rsidRDefault="00956F9E" w:rsidP="00956F9E">
      <w:pPr>
        <w:pStyle w:val="ListBullet"/>
        <w:tabs>
          <w:tab w:val="num" w:pos="720"/>
        </w:tabs>
        <w:spacing w:after="120"/>
        <w:ind w:left="720"/>
      </w:pPr>
      <w:r w:rsidRPr="00D612CA">
        <w:t xml:space="preserve">Incoming Shipment (used when restricting units to patients) </w:t>
      </w:r>
      <w:r w:rsidRPr="00D612CA">
        <w:rPr>
          <w:vanish/>
        </w:rPr>
        <w:t>UC_01</w:t>
      </w:r>
    </w:p>
    <w:p w:rsidR="00956F9E" w:rsidRPr="00D612CA" w:rsidRDefault="00956F9E" w:rsidP="00956F9E">
      <w:pPr>
        <w:pStyle w:val="ListBullet"/>
        <w:numPr>
          <w:ilvl w:val="0"/>
          <w:numId w:val="0"/>
        </w:numPr>
        <w:ind w:left="288" w:hanging="288"/>
      </w:pPr>
      <w:r>
        <w:t xml:space="preserve">Main </w:t>
      </w:r>
      <w:r w:rsidRPr="00D612CA">
        <w:t>Menu: Tools</w:t>
      </w:r>
    </w:p>
    <w:p w:rsidR="00956F9E" w:rsidRPr="00D612CA" w:rsidRDefault="00956F9E" w:rsidP="00956F9E">
      <w:pPr>
        <w:pStyle w:val="ListBullet"/>
        <w:tabs>
          <w:tab w:val="num" w:pos="720"/>
        </w:tabs>
        <w:ind w:left="720"/>
      </w:pPr>
      <w:r w:rsidRPr="00D612CA">
        <w:t xml:space="preserve">Blood Products </w:t>
      </w:r>
      <w:r w:rsidRPr="00D612CA">
        <w:rPr>
          <w:vanish/>
        </w:rPr>
        <w:t>UC_08</w:t>
      </w:r>
    </w:p>
    <w:p w:rsidR="00956F9E" w:rsidRPr="00D612CA" w:rsidRDefault="00956F9E" w:rsidP="00956F9E">
      <w:pPr>
        <w:pStyle w:val="ListBullet"/>
        <w:tabs>
          <w:tab w:val="num" w:pos="720"/>
        </w:tabs>
        <w:ind w:left="720"/>
      </w:pPr>
      <w:r w:rsidRPr="00D612CA">
        <w:t xml:space="preserve">Component Classes </w:t>
      </w:r>
      <w:r w:rsidRPr="00D612CA">
        <w:rPr>
          <w:vanish/>
        </w:rPr>
        <w:t>UC_5</w:t>
      </w:r>
    </w:p>
    <w:p w:rsidR="00956F9E" w:rsidRPr="00D612CA" w:rsidRDefault="00956F9E" w:rsidP="00956F9E">
      <w:pPr>
        <w:pStyle w:val="ListBullet"/>
        <w:tabs>
          <w:tab w:val="num" w:pos="720"/>
        </w:tabs>
        <w:ind w:left="720"/>
      </w:pPr>
      <w:r w:rsidRPr="00D612CA">
        <w:rPr>
          <w:vanish/>
        </w:rPr>
        <w:t>UC_84</w:t>
      </w:r>
      <w:r w:rsidRPr="00D612CA">
        <w:t xml:space="preserve">Transfusion Complications </w:t>
      </w:r>
      <w:r w:rsidRPr="00D612CA">
        <w:rPr>
          <w:vanish/>
        </w:rPr>
        <w:t>UC_3</w:t>
      </w:r>
    </w:p>
    <w:p w:rsidR="00956F9E" w:rsidRPr="00D612CA" w:rsidRDefault="00956F9E" w:rsidP="00956F9E">
      <w:pPr>
        <w:pStyle w:val="ListBullet"/>
        <w:tabs>
          <w:tab w:val="num" w:pos="720"/>
        </w:tabs>
        <w:ind w:left="720"/>
      </w:pPr>
      <w:r w:rsidRPr="00D612CA">
        <w:t xml:space="preserve">Transfusion Effectiveness </w:t>
      </w:r>
      <w:r w:rsidRPr="00D612CA">
        <w:rPr>
          <w:vanish/>
        </w:rPr>
        <w:t>UC_3</w:t>
      </w:r>
    </w:p>
    <w:p w:rsidR="00956F9E" w:rsidRPr="00D612CA" w:rsidRDefault="00956F9E" w:rsidP="00956F9E">
      <w:pPr>
        <w:pStyle w:val="ListBullet"/>
        <w:tabs>
          <w:tab w:val="num" w:pos="720"/>
        </w:tabs>
        <w:spacing w:after="120"/>
        <w:ind w:left="720"/>
      </w:pPr>
      <w:r w:rsidRPr="00D612CA">
        <w:t xml:space="preserve"> Workload Codes </w:t>
      </w:r>
      <w:r w:rsidRPr="00D612CA">
        <w:rPr>
          <w:vanish/>
        </w:rPr>
        <w:t>UC_2</w:t>
      </w:r>
    </w:p>
    <w:p w:rsidR="00956F9E" w:rsidRPr="00D612CA" w:rsidRDefault="00956F9E" w:rsidP="00956F9E">
      <w:pPr>
        <w:pStyle w:val="ListBullet"/>
        <w:numPr>
          <w:ilvl w:val="0"/>
          <w:numId w:val="0"/>
        </w:numPr>
        <w:ind w:left="288" w:hanging="288"/>
      </w:pPr>
      <w:r>
        <w:t xml:space="preserve">Main </w:t>
      </w:r>
      <w:r w:rsidRPr="00D612CA">
        <w:t>Menu: Supervisor</w:t>
      </w:r>
    </w:p>
    <w:p w:rsidR="00956F9E" w:rsidRDefault="00956F9E" w:rsidP="00956F9E">
      <w:pPr>
        <w:pStyle w:val="ListBullet"/>
        <w:tabs>
          <w:tab w:val="num" w:pos="720"/>
        </w:tabs>
        <w:spacing w:after="120"/>
        <w:ind w:left="720"/>
        <w:rPr>
          <w:lang w:val="fr-FR"/>
        </w:rPr>
      </w:pPr>
      <w:r w:rsidRPr="00D612CA">
        <w:rPr>
          <w:snapToGrid w:val="0"/>
          <w:lang w:val="fr-FR"/>
        </w:rPr>
        <w:t>Document ABO</w:t>
      </w:r>
      <w:r w:rsidRPr="006E05B3">
        <w:rPr>
          <w:snapToGrid w:val="0"/>
          <w:lang w:val="fr-FR"/>
        </w:rPr>
        <w:t xml:space="preserve"> Incompatible </w:t>
      </w:r>
      <w:r w:rsidRPr="00F3392A">
        <w:rPr>
          <w:snapToGrid w:val="0"/>
          <w:lang w:val="fr-FR"/>
        </w:rPr>
        <w:t>Transfusion</w:t>
      </w:r>
      <w:r w:rsidRPr="00F3392A">
        <w:rPr>
          <w:lang w:val="fr-FR"/>
        </w:rPr>
        <w:t xml:space="preserve"> </w:t>
      </w:r>
      <w:r w:rsidRPr="00F3392A">
        <w:rPr>
          <w:vanish/>
          <w:lang w:val="fr-FR"/>
        </w:rPr>
        <w:t>U</w:t>
      </w:r>
      <w:r w:rsidR="00F3392A" w:rsidRPr="00F3392A">
        <w:rPr>
          <w:vanish/>
          <w:lang w:val="fr-FR"/>
        </w:rPr>
        <w:t>C</w:t>
      </w:r>
      <w:r w:rsidR="00F3392A">
        <w:rPr>
          <w:vanish/>
          <w:lang w:val="fr-FR"/>
        </w:rPr>
        <w:t>_69</w:t>
      </w:r>
    </w:p>
    <w:p w:rsidR="00956F9E" w:rsidRPr="00D612CA" w:rsidRDefault="00956F9E" w:rsidP="00956F9E">
      <w:pPr>
        <w:pStyle w:val="ListBullet"/>
        <w:numPr>
          <w:ilvl w:val="0"/>
          <w:numId w:val="0"/>
        </w:numPr>
      </w:pPr>
      <w:r>
        <w:t xml:space="preserve">Main </w:t>
      </w:r>
      <w:r w:rsidRPr="00D612CA">
        <w:t xml:space="preserve">Menu: </w:t>
      </w:r>
      <w:r>
        <w:t>Reports</w:t>
      </w:r>
    </w:p>
    <w:p w:rsidR="00956F9E" w:rsidRPr="00953FEE" w:rsidRDefault="00956F9E" w:rsidP="00956F9E">
      <w:pPr>
        <w:pStyle w:val="ListBullet"/>
        <w:tabs>
          <w:tab w:val="num" w:pos="720"/>
        </w:tabs>
        <w:ind w:left="720"/>
      </w:pPr>
      <w:r w:rsidRPr="00953FEE">
        <w:lastRenderedPageBreak/>
        <w:t xml:space="preserve">Transfusion Complications Report </w:t>
      </w:r>
      <w:r w:rsidRPr="00953FEE">
        <w:rPr>
          <w:vanish/>
        </w:rPr>
        <w:t>UC_90</w:t>
      </w:r>
    </w:p>
    <w:p w:rsidR="00956F9E" w:rsidRPr="00953FEE" w:rsidRDefault="00956F9E" w:rsidP="00956F9E">
      <w:pPr>
        <w:pStyle w:val="ListBullet"/>
        <w:tabs>
          <w:tab w:val="num" w:pos="720"/>
        </w:tabs>
        <w:ind w:left="720"/>
      </w:pPr>
      <w:r w:rsidRPr="00953FEE">
        <w:t xml:space="preserve">Transfusion Effectiveness Report </w:t>
      </w:r>
      <w:r w:rsidRPr="00953FEE">
        <w:rPr>
          <w:vanish/>
        </w:rPr>
        <w:t>UC_91</w:t>
      </w:r>
    </w:p>
    <w:p w:rsidR="00956F9E" w:rsidRDefault="00956F9E" w:rsidP="00956F9E">
      <w:pPr>
        <w:pStyle w:val="ListBullet"/>
        <w:tabs>
          <w:tab w:val="num" w:pos="720"/>
        </w:tabs>
        <w:ind w:left="720"/>
      </w:pPr>
      <w:r w:rsidRPr="00953FEE">
        <w:t xml:space="preserve">Transfusion Requirements Report </w:t>
      </w:r>
      <w:r w:rsidRPr="00953FEE">
        <w:rPr>
          <w:vanish/>
        </w:rPr>
        <w:t>UC_89</w:t>
      </w:r>
      <w:r w:rsidRPr="00D612CA">
        <w:t xml:space="preserve"> </w:t>
      </w:r>
    </w:p>
    <w:p w:rsidR="00956F9E" w:rsidRPr="00953FEE" w:rsidRDefault="00956F9E" w:rsidP="00956F9E">
      <w:pPr>
        <w:pStyle w:val="ListBullet"/>
        <w:tabs>
          <w:tab w:val="num" w:pos="720"/>
        </w:tabs>
        <w:spacing w:after="120"/>
        <w:ind w:left="720"/>
      </w:pPr>
      <w:r w:rsidRPr="00953FEE">
        <w:t xml:space="preserve">Medication Profile </w:t>
      </w:r>
      <w:r w:rsidRPr="00953FEE">
        <w:rPr>
          <w:vanish/>
        </w:rPr>
        <w:t>UC_46</w:t>
      </w:r>
      <w:r>
        <w:t>(Reports or from the Patient Tool Bar icon)</w:t>
      </w:r>
    </w:p>
    <w:p w:rsidR="00956F9E" w:rsidRPr="006E05B3" w:rsidRDefault="00956F9E" w:rsidP="00956F9E">
      <w:pPr>
        <w:pStyle w:val="ListBullet"/>
        <w:numPr>
          <w:ilvl w:val="0"/>
          <w:numId w:val="0"/>
        </w:numPr>
        <w:rPr>
          <w:lang w:val="fr-FR"/>
        </w:rPr>
      </w:pPr>
      <w:r>
        <w:rPr>
          <w:lang w:val="fr-FR"/>
        </w:rPr>
        <w:t>Main menu window, icon in the bottom of the window:</w:t>
      </w:r>
    </w:p>
    <w:p w:rsidR="00956F9E" w:rsidRPr="00953FEE" w:rsidRDefault="00956F9E" w:rsidP="00956F9E">
      <w:pPr>
        <w:pStyle w:val="ListBullet"/>
        <w:tabs>
          <w:tab w:val="num" w:pos="720"/>
        </w:tabs>
        <w:ind w:left="720"/>
      </w:pPr>
      <w:r>
        <w:t>Display Order Alerts</w:t>
      </w:r>
    </w:p>
    <w:p w:rsidR="002A21AE" w:rsidRDefault="00956F9E" w:rsidP="00956F9E">
      <w:pPr>
        <w:pStyle w:val="Caption"/>
      </w:pPr>
      <w:r>
        <w:br w:type="page"/>
      </w:r>
      <w:bookmarkStart w:id="34" w:name="_Ref317760654"/>
      <w:r w:rsidR="002A21AE">
        <w:lastRenderedPageBreak/>
        <w:t xml:space="preserve">Figure </w:t>
      </w:r>
      <w:r w:rsidR="00C17F7C">
        <w:fldChar w:fldCharType="begin"/>
      </w:r>
      <w:r w:rsidR="00C17F7C">
        <w:instrText xml:space="preserve"> SEQ Figure \* ARABIC </w:instrText>
      </w:r>
      <w:r w:rsidR="00C17F7C">
        <w:fldChar w:fldCharType="separate"/>
      </w:r>
      <w:r w:rsidR="005F38BC">
        <w:rPr>
          <w:noProof/>
        </w:rPr>
        <w:t>1</w:t>
      </w:r>
      <w:r w:rsidR="00C17F7C">
        <w:fldChar w:fldCharType="end"/>
      </w:r>
      <w:bookmarkEnd w:id="33"/>
      <w:r w:rsidR="002A21AE">
        <w:t>: System Schematic</w:t>
      </w:r>
      <w:bookmarkEnd w:id="29"/>
      <w:bookmarkEnd w:id="30"/>
      <w:bookmarkEnd w:id="31"/>
      <w:bookmarkEnd w:id="32"/>
      <w:bookmarkEnd w:id="34"/>
      <w:r w:rsidR="002A21AE">
        <w:fldChar w:fldCharType="begin"/>
      </w:r>
      <w:r w:rsidR="002A21AE">
        <w:instrText xml:space="preserve"> XE </w:instrText>
      </w:r>
      <w:r w:rsidR="00FA7E65">
        <w:instrText>“</w:instrText>
      </w:r>
      <w:r w:rsidR="002A21AE">
        <w:instrText>Figures:System Schematic</w:instrText>
      </w:r>
      <w:r w:rsidR="00FA7E65">
        <w:instrText>”</w:instrText>
      </w:r>
      <w:r w:rsidR="002A21AE">
        <w:instrText xml:space="preserve"> </w:instrText>
      </w:r>
      <w:r w:rsidR="002A21AE">
        <w:fldChar w:fldCharType="end"/>
      </w:r>
    </w:p>
    <w:p w:rsidR="002A21AE" w:rsidRDefault="00275D49">
      <w:pPr>
        <w:pStyle w:val="BodyText"/>
      </w:pPr>
      <w:r>
        <w:object w:dxaOrig="12910" w:dyaOrig="11366">
          <v:shape id="_x0000_i1025" type="#_x0000_t75" style="width:468pt;height:411.75pt" o:ole="">
            <v:imagedata r:id="rId25" o:title=""/>
          </v:shape>
          <o:OLEObject Type="Embed" ProgID="Visio.Drawing.11" ShapeID="_x0000_i1025" DrawAspect="Content" ObjectID="_1538556478" r:id="rId26"/>
        </w:object>
      </w:r>
    </w:p>
    <w:p w:rsidR="002A21AE" w:rsidRDefault="00634BFC">
      <w:pPr>
        <w:pStyle w:val="Caution"/>
      </w:pPr>
      <w:r>
        <w:rPr>
          <w:noProof/>
        </w:rPr>
        <w:drawing>
          <wp:inline distT="0" distB="0" distL="0" distR="0">
            <wp:extent cx="266700" cy="2190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2A21AE">
        <w:t>Users may not change or replace operating platforms.</w:t>
      </w:r>
    </w:p>
    <w:p w:rsidR="002A21AE" w:rsidRDefault="002A21AE" w:rsidP="009F591F">
      <w:pPr>
        <w:pStyle w:val="Heading2"/>
      </w:pPr>
      <w:r>
        <w:br w:type="page"/>
      </w:r>
      <w:bookmarkStart w:id="35" w:name="_Toc459900033"/>
      <w:r>
        <w:lastRenderedPageBreak/>
        <w:t>Customer Support</w:t>
      </w:r>
      <w:bookmarkEnd w:id="35"/>
      <w:r w:rsidR="00115A2A">
        <w:t xml:space="preserve"> </w:t>
      </w:r>
      <w:r w:rsidR="00115A2A" w:rsidRPr="00115A2A">
        <w:rPr>
          <w:rFonts w:ascii="Arial Bold" w:hAnsi="Arial Bold"/>
          <w:vanish/>
        </w:rPr>
        <w:t>DR 4514</w:t>
      </w:r>
      <w:r>
        <w:fldChar w:fldCharType="begin"/>
      </w:r>
      <w:r>
        <w:instrText xml:space="preserve"> XE </w:instrText>
      </w:r>
      <w:r w:rsidR="00FA7E65">
        <w:instrText>“</w:instrText>
      </w:r>
      <w:r>
        <w:instrText>Customer Support</w:instrText>
      </w:r>
      <w:r w:rsidR="00FA7E65">
        <w:instrText>”</w:instrText>
      </w:r>
      <w:r>
        <w:instrText xml:space="preserve"> </w:instrText>
      </w:r>
      <w:r>
        <w:fldChar w:fldCharType="end"/>
      </w:r>
    </w:p>
    <w:p w:rsidR="002A21AE" w:rsidRDefault="002A21AE">
      <w:pPr>
        <w:pStyle w:val="Heading3"/>
      </w:pPr>
      <w:bookmarkStart w:id="36" w:name="_Toc459900034"/>
      <w:r>
        <w:t>Problems?</w:t>
      </w:r>
      <w:bookmarkEnd w:id="36"/>
      <w:r>
        <w:fldChar w:fldCharType="begin"/>
      </w:r>
      <w:r>
        <w:instrText xml:space="preserve"> XE </w:instrText>
      </w:r>
      <w:r w:rsidR="00FA7E65">
        <w:instrText>“</w:instrText>
      </w:r>
      <w:r>
        <w:instrText>Problems?</w:instrText>
      </w:r>
      <w:r w:rsidR="00FA7E65">
        <w:instrText>”</w:instrText>
      </w:r>
      <w:r>
        <w:instrText xml:space="preserve"> </w:instrText>
      </w:r>
      <w:r>
        <w:fldChar w:fldCharType="end"/>
      </w:r>
    </w:p>
    <w:p w:rsidR="00F45086" w:rsidRPr="000A2E81" w:rsidRDefault="00F45086" w:rsidP="00F45086">
      <w:pPr>
        <w:keepNext/>
        <w:spacing w:before="240" w:after="60"/>
        <w:outlineLvl w:val="2"/>
        <w:rPr>
          <w:noProof/>
          <w:sz w:val="22"/>
          <w:szCs w:val="22"/>
        </w:rPr>
      </w:pPr>
      <w:bookmarkStart w:id="37" w:name="_MailAutoSig"/>
      <w:r w:rsidRPr="000A2E81">
        <w:rPr>
          <w:noProof/>
          <w:sz w:val="22"/>
          <w:szCs w:val="22"/>
        </w:rPr>
        <w:t>Contact your</w:t>
      </w:r>
      <w:r w:rsidRPr="000A2E81">
        <w:rPr>
          <w:b/>
          <w:noProof/>
          <w:sz w:val="22"/>
          <w:szCs w:val="22"/>
        </w:rPr>
        <w:t xml:space="preserve"> Local</w:t>
      </w:r>
      <w:r w:rsidRPr="000A2E81">
        <w:rPr>
          <w:noProof/>
          <w:sz w:val="22"/>
          <w:szCs w:val="22"/>
        </w:rPr>
        <w:t xml:space="preserve"> Information Resource Management (IRM) or Laboratory Automated Data Processing Application Coordinator (ADPAC) if you encounter </w:t>
      </w:r>
      <w:r>
        <w:rPr>
          <w:noProof/>
          <w:sz w:val="22"/>
          <w:szCs w:val="22"/>
        </w:rPr>
        <w:t xml:space="preserve">VistA or CPRS connection </w:t>
      </w:r>
      <w:r w:rsidRPr="000A2E81">
        <w:rPr>
          <w:noProof/>
          <w:sz w:val="22"/>
          <w:szCs w:val="22"/>
        </w:rPr>
        <w:t>problems and for training support</w:t>
      </w:r>
      <w:r w:rsidRPr="000A2E81">
        <w:rPr>
          <w:b/>
          <w:noProof/>
          <w:sz w:val="22"/>
          <w:szCs w:val="22"/>
          <w:u w:val="single"/>
        </w:rPr>
        <w:t xml:space="preserve"> before</w:t>
      </w:r>
      <w:r w:rsidRPr="000A2E81">
        <w:rPr>
          <w:noProof/>
          <w:sz w:val="22"/>
          <w:szCs w:val="22"/>
        </w:rPr>
        <w:t xml:space="preserve"> contacting the National </w:t>
      </w:r>
      <w:r>
        <w:rPr>
          <w:noProof/>
          <w:sz w:val="22"/>
          <w:szCs w:val="22"/>
        </w:rPr>
        <w:t>Service</w:t>
      </w:r>
      <w:r w:rsidRPr="000A2E81">
        <w:rPr>
          <w:noProof/>
          <w:sz w:val="22"/>
          <w:szCs w:val="22"/>
        </w:rPr>
        <w:t xml:space="preserve"> Desk</w:t>
      </w:r>
      <w:r>
        <w:rPr>
          <w:noProof/>
          <w:sz w:val="22"/>
          <w:szCs w:val="22"/>
        </w:rPr>
        <w:t xml:space="preserve"> (NSD)</w:t>
      </w:r>
      <w:r w:rsidRPr="000A2E81">
        <w:rPr>
          <w:noProof/>
          <w:sz w:val="22"/>
          <w:szCs w:val="22"/>
        </w:rPr>
        <w:t>.</w:t>
      </w:r>
    </w:p>
    <w:p w:rsidR="00F45086" w:rsidRDefault="00F45086" w:rsidP="00F45086">
      <w:pPr>
        <w:keepNext/>
        <w:pBdr>
          <w:top w:val="single" w:sz="4" w:space="1" w:color="auto"/>
          <w:left w:val="single" w:sz="4" w:space="4" w:color="auto"/>
          <w:bottom w:val="single" w:sz="4" w:space="1" w:color="auto"/>
          <w:right w:val="single" w:sz="4" w:space="4" w:color="auto"/>
        </w:pBdr>
        <w:spacing w:before="240" w:after="60"/>
        <w:rPr>
          <w:b/>
          <w:bCs/>
          <w:sz w:val="22"/>
          <w:szCs w:val="22"/>
        </w:rPr>
      </w:pPr>
      <w:r w:rsidRPr="000A2E81">
        <w:rPr>
          <w:b/>
          <w:bCs/>
          <w:sz w:val="22"/>
          <w:szCs w:val="22"/>
        </w:rPr>
        <w:t>Please ensure local VistA Support contact information is available at all times.</w:t>
      </w:r>
      <w:r>
        <w:rPr>
          <w:b/>
          <w:bCs/>
          <w:sz w:val="22"/>
          <w:szCs w:val="22"/>
        </w:rPr>
        <w:t xml:space="preserve"> National Support will engage </w:t>
      </w:r>
      <w:r w:rsidR="00705F3D">
        <w:rPr>
          <w:b/>
          <w:bCs/>
          <w:sz w:val="22"/>
          <w:szCs w:val="22"/>
        </w:rPr>
        <w:t>Enterprise Operations (</w:t>
      </w:r>
      <w:r>
        <w:rPr>
          <w:b/>
          <w:bCs/>
          <w:sz w:val="22"/>
          <w:szCs w:val="22"/>
        </w:rPr>
        <w:t>EO</w:t>
      </w:r>
      <w:r w:rsidR="00705F3D">
        <w:rPr>
          <w:b/>
          <w:bCs/>
          <w:sz w:val="22"/>
          <w:szCs w:val="22"/>
        </w:rPr>
        <w:t>)</w:t>
      </w:r>
      <w:r>
        <w:rPr>
          <w:b/>
          <w:bCs/>
          <w:sz w:val="22"/>
          <w:szCs w:val="22"/>
        </w:rPr>
        <w:t xml:space="preserve"> personnel as needed.</w:t>
      </w:r>
    </w:p>
    <w:p w:rsidR="00F45086" w:rsidRPr="000A2E81" w:rsidRDefault="00F45086" w:rsidP="00F45086">
      <w:pPr>
        <w:keepNext/>
        <w:pBdr>
          <w:top w:val="single" w:sz="4" w:space="1" w:color="auto"/>
          <w:left w:val="single" w:sz="4" w:space="4" w:color="auto"/>
          <w:bottom w:val="single" w:sz="4" w:space="1" w:color="auto"/>
          <w:right w:val="single" w:sz="4" w:space="4" w:color="auto"/>
        </w:pBdr>
        <w:spacing w:before="240" w:after="60"/>
        <w:rPr>
          <w:b/>
          <w:bCs/>
          <w:sz w:val="22"/>
          <w:szCs w:val="22"/>
        </w:rPr>
      </w:pPr>
      <w:r w:rsidRPr="000A2E81">
        <w:rPr>
          <w:b/>
          <w:bCs/>
          <w:sz w:val="22"/>
          <w:szCs w:val="22"/>
        </w:rPr>
        <w:t>Problems with connectivity to VistA and CPRS may require pers</w:t>
      </w:r>
      <w:r w:rsidR="00705F3D">
        <w:rPr>
          <w:b/>
          <w:bCs/>
          <w:sz w:val="22"/>
          <w:szCs w:val="22"/>
        </w:rPr>
        <w:t xml:space="preserve">onnel from </w:t>
      </w:r>
      <w:r w:rsidRPr="000A2E81">
        <w:rPr>
          <w:b/>
          <w:bCs/>
          <w:sz w:val="22"/>
          <w:szCs w:val="22"/>
        </w:rPr>
        <w:t>EO with VBECS server administrator access and</w:t>
      </w:r>
      <w:r>
        <w:rPr>
          <w:b/>
          <w:bCs/>
          <w:sz w:val="22"/>
          <w:szCs w:val="22"/>
        </w:rPr>
        <w:t xml:space="preserve"> VistA IT support access.  </w:t>
      </w:r>
    </w:p>
    <w:p w:rsidR="00F45086" w:rsidRPr="000A2E81" w:rsidRDefault="00F45086" w:rsidP="00F45086">
      <w:pPr>
        <w:keepNext/>
        <w:spacing w:before="240" w:after="60"/>
        <w:outlineLvl w:val="2"/>
        <w:rPr>
          <w:b/>
          <w:bCs/>
          <w:noProof/>
          <w:sz w:val="22"/>
          <w:szCs w:val="22"/>
        </w:rPr>
      </w:pPr>
      <w:r w:rsidRPr="000A2E81">
        <w:rPr>
          <w:b/>
          <w:bCs/>
          <w:noProof/>
          <w:sz w:val="22"/>
          <w:szCs w:val="22"/>
          <w:u w:val="single"/>
        </w:rPr>
        <w:t xml:space="preserve">If the problem remains unresolved after </w:t>
      </w:r>
      <w:r>
        <w:rPr>
          <w:b/>
          <w:bCs/>
          <w:noProof/>
          <w:sz w:val="22"/>
          <w:szCs w:val="22"/>
          <w:u w:val="single"/>
        </w:rPr>
        <w:t>local VistA</w:t>
      </w:r>
      <w:r w:rsidRPr="000A2E81">
        <w:rPr>
          <w:b/>
          <w:bCs/>
          <w:noProof/>
          <w:sz w:val="22"/>
          <w:szCs w:val="22"/>
          <w:u w:val="single"/>
        </w:rPr>
        <w:t xml:space="preserve"> triage</w:t>
      </w:r>
      <w:r w:rsidRPr="000A2E81">
        <w:rPr>
          <w:b/>
          <w:bCs/>
          <w:noProof/>
          <w:sz w:val="22"/>
          <w:szCs w:val="22"/>
        </w:rPr>
        <w:t>, contact the national Information Technology (IT) support service</w:t>
      </w:r>
      <w:r>
        <w:rPr>
          <w:b/>
          <w:bCs/>
          <w:noProof/>
          <w:sz w:val="22"/>
          <w:szCs w:val="22"/>
        </w:rPr>
        <w:t xml:space="preserve"> or request a region ticket to be reassigned to</w:t>
      </w:r>
      <w:r w:rsidRPr="000A2E81">
        <w:rPr>
          <w:b/>
          <w:bCs/>
          <w:noProof/>
          <w:sz w:val="22"/>
          <w:szCs w:val="22"/>
        </w:rPr>
        <w:t>:</w:t>
      </w:r>
    </w:p>
    <w:p w:rsidR="00D4562A" w:rsidRPr="00D43CE9" w:rsidRDefault="00D4562A" w:rsidP="00D4562A">
      <w:pPr>
        <w:keepNext/>
        <w:spacing w:before="240" w:after="60"/>
        <w:outlineLvl w:val="3"/>
        <w:rPr>
          <w:b/>
          <w:noProof/>
          <w:sz w:val="22"/>
          <w:szCs w:val="22"/>
        </w:rPr>
      </w:pPr>
      <w:r w:rsidRPr="00D43CE9">
        <w:rPr>
          <w:b/>
          <w:noProof/>
          <w:sz w:val="22"/>
          <w:szCs w:val="22"/>
        </w:rPr>
        <w:t>National VA Service Desk</w:t>
      </w:r>
      <w:r w:rsidRPr="00D43CE9">
        <w:rPr>
          <w:sz w:val="22"/>
          <w:szCs w:val="22"/>
        </w:rPr>
        <w:fldChar w:fldCharType="begin"/>
      </w:r>
      <w:r w:rsidRPr="00D43CE9">
        <w:rPr>
          <w:b/>
          <w:noProof/>
          <w:sz w:val="22"/>
          <w:szCs w:val="22"/>
        </w:rPr>
        <w:instrText xml:space="preserve"> XE "VA Service Desk" </w:instrText>
      </w:r>
      <w:r w:rsidRPr="00D43CE9">
        <w:rPr>
          <w:sz w:val="22"/>
          <w:szCs w:val="22"/>
        </w:rPr>
        <w:fldChar w:fldCharType="end"/>
      </w:r>
      <w:r w:rsidRPr="00D43CE9">
        <w:rPr>
          <w:b/>
          <w:noProof/>
          <w:sz w:val="22"/>
          <w:szCs w:val="22"/>
        </w:rPr>
        <w:t xml:space="preserve"> Contact</w:t>
      </w:r>
    </w:p>
    <w:p w:rsidR="00F45086" w:rsidRPr="000A2E81" w:rsidRDefault="00C84455" w:rsidP="00C84455">
      <w:pPr>
        <w:pStyle w:val="BodyText"/>
      </w:pPr>
      <w:r w:rsidRPr="00AC58FB">
        <w:t>For Information Technology (IT) support, call the National Service Desk (NSD), 855-NSD-HELP (855-673-4357) toll free, 24 hours per day, 7 days per week.</w:t>
      </w:r>
      <w:r w:rsidR="00F45086" w:rsidRPr="000A2E81">
        <w:rPr>
          <w:noProof/>
        </w:rPr>
        <w:t xml:space="preserve"> [Users with access to the VASD-supported request tool (e.g., </w:t>
      </w:r>
      <w:r w:rsidR="00F45086">
        <w:rPr>
          <w:noProof/>
        </w:rPr>
        <w:t>CA SDM</w:t>
      </w:r>
      <w:r w:rsidR="00F45086" w:rsidRPr="000A2E81">
        <w:rPr>
          <w:noProof/>
        </w:rPr>
        <w:t xml:space="preserve">) may file a ticket in lieu of calling the </w:t>
      </w:r>
      <w:r w:rsidR="00F45086">
        <w:rPr>
          <w:noProof/>
        </w:rPr>
        <w:t>NSD</w:t>
      </w:r>
      <w:r w:rsidR="00F45086" w:rsidRPr="000A2E81">
        <w:rPr>
          <w:noProof/>
        </w:rPr>
        <w:t>.]</w:t>
      </w:r>
      <w:r>
        <w:rPr>
          <w:noProof/>
        </w:rPr>
        <w:t xml:space="preserve"> </w:t>
      </w:r>
      <w:r w:rsidRPr="00C84455">
        <w:rPr>
          <w:noProof/>
          <w:vanish/>
        </w:rPr>
        <w:t>Defect 362099</w:t>
      </w:r>
    </w:p>
    <w:p w:rsidR="00D4562A" w:rsidRPr="00D43CE9" w:rsidRDefault="00D4562A" w:rsidP="00D4562A">
      <w:pPr>
        <w:keepNext/>
        <w:spacing w:before="240" w:after="60"/>
        <w:outlineLvl w:val="3"/>
        <w:rPr>
          <w:b/>
          <w:noProof/>
          <w:sz w:val="22"/>
          <w:szCs w:val="22"/>
        </w:rPr>
      </w:pPr>
      <w:r w:rsidRPr="00D43CE9">
        <w:rPr>
          <w:b/>
          <w:noProof/>
          <w:sz w:val="22"/>
          <w:szCs w:val="22"/>
        </w:rPr>
        <w:t>National VA Service Desk Alternate Contacts</w:t>
      </w:r>
    </w:p>
    <w:p w:rsidR="00D4562A" w:rsidRDefault="00D4562A" w:rsidP="002F6D7B">
      <w:pPr>
        <w:numPr>
          <w:ilvl w:val="0"/>
          <w:numId w:val="43"/>
        </w:numPr>
        <w:spacing w:line="240" w:lineRule="atLeast"/>
        <w:rPr>
          <w:noProof/>
          <w:spacing w:val="-5"/>
          <w:sz w:val="22"/>
          <w:szCs w:val="22"/>
          <w:lang w:val="fr-FR"/>
        </w:rPr>
      </w:pPr>
      <w:r w:rsidRPr="00D43CE9">
        <w:rPr>
          <w:noProof/>
          <w:spacing w:val="-5"/>
          <w:sz w:val="22"/>
          <w:szCs w:val="22"/>
          <w:lang w:val="fr-FR"/>
        </w:rPr>
        <w:t xml:space="preserve">Web site: </w:t>
      </w:r>
      <w:hyperlink r:id="rId27" w:history="1">
        <w:r w:rsidR="00C04389" w:rsidRPr="00063AF8">
          <w:rPr>
            <w:rStyle w:val="Hyperlink"/>
            <w:noProof/>
            <w:spacing w:val="-5"/>
            <w:sz w:val="22"/>
            <w:szCs w:val="22"/>
            <w:lang w:val="fr-FR"/>
          </w:rPr>
          <w:t>http://vaww.aac.va.gov/</w:t>
        </w:r>
        <w:r w:rsidR="00C04389" w:rsidRPr="00063AF8">
          <w:rPr>
            <w:rStyle w:val="Hyperlink"/>
            <w:noProof/>
            <w:spacing w:val="-5"/>
            <w:sz w:val="22"/>
            <w:szCs w:val="22"/>
            <w:lang w:val="fr-FR"/>
          </w:rPr>
          <w:t>s</w:t>
        </w:r>
        <w:r w:rsidR="00C04389" w:rsidRPr="00063AF8">
          <w:rPr>
            <w:rStyle w:val="Hyperlink"/>
            <w:noProof/>
            <w:spacing w:val="-5"/>
            <w:sz w:val="22"/>
            <w:szCs w:val="22"/>
            <w:lang w:val="fr-FR"/>
          </w:rPr>
          <w:t>ervicedesk/</w:t>
        </w:r>
      </w:hyperlink>
      <w:r w:rsidR="00C04389">
        <w:rPr>
          <w:noProof/>
          <w:spacing w:val="-5"/>
          <w:sz w:val="22"/>
          <w:szCs w:val="22"/>
          <w:lang w:val="fr-FR"/>
        </w:rPr>
        <w:t xml:space="preserve"> </w:t>
      </w:r>
      <w:r w:rsidRPr="00D43CE9">
        <w:rPr>
          <w:noProof/>
          <w:spacing w:val="-5"/>
          <w:sz w:val="22"/>
          <w:szCs w:val="22"/>
          <w:lang w:val="fr-FR"/>
        </w:rPr>
        <w:t>(National Service Desk Tuscaloosa).</w:t>
      </w:r>
    </w:p>
    <w:p w:rsidR="00C04389" w:rsidRPr="00C04389" w:rsidRDefault="001A21EF" w:rsidP="002F6D7B">
      <w:pPr>
        <w:numPr>
          <w:ilvl w:val="0"/>
          <w:numId w:val="43"/>
        </w:numPr>
        <w:spacing w:line="240" w:lineRule="atLeast"/>
        <w:rPr>
          <w:noProof/>
          <w:spacing w:val="-5"/>
          <w:sz w:val="22"/>
          <w:szCs w:val="22"/>
          <w:lang w:val="fr-FR"/>
        </w:rPr>
      </w:pPr>
      <w:r>
        <w:rPr>
          <w:noProof/>
          <w:spacing w:val="-5"/>
          <w:sz w:val="22"/>
          <w:szCs w:val="22"/>
          <w:lang w:val="fr-FR"/>
        </w:rPr>
        <w:t>Email</w:t>
      </w:r>
      <w:r w:rsidR="00D4562A">
        <w:rPr>
          <w:noProof/>
          <w:spacing w:val="-5"/>
          <w:sz w:val="22"/>
          <w:szCs w:val="22"/>
          <w:lang w:val="fr-FR"/>
        </w:rPr>
        <w:t xml:space="preserve">: </w:t>
      </w:r>
      <w:hyperlink r:id="rId28" w:history="1">
        <w:r w:rsidR="00C04389" w:rsidRPr="00063AF8">
          <w:rPr>
            <w:rStyle w:val="Hyperlink"/>
            <w:noProof/>
            <w:spacing w:val="-5"/>
            <w:sz w:val="22"/>
            <w:szCs w:val="22"/>
            <w:lang w:val="fr-FR"/>
          </w:rPr>
          <w:t>NSDTuscaloosaU</w:t>
        </w:r>
        <w:r w:rsidR="00C04389" w:rsidRPr="00063AF8">
          <w:rPr>
            <w:rStyle w:val="Hyperlink"/>
            <w:noProof/>
            <w:spacing w:val="-5"/>
            <w:sz w:val="22"/>
            <w:szCs w:val="22"/>
            <w:lang w:val="fr-FR"/>
          </w:rPr>
          <w:t>S</w:t>
        </w:r>
        <w:r w:rsidR="00C04389" w:rsidRPr="00063AF8">
          <w:rPr>
            <w:rStyle w:val="Hyperlink"/>
            <w:noProof/>
            <w:spacing w:val="-5"/>
            <w:sz w:val="22"/>
            <w:szCs w:val="22"/>
            <w:lang w:val="fr-FR"/>
          </w:rPr>
          <w:t>D@va.gov</w:t>
        </w:r>
      </w:hyperlink>
      <w:r w:rsidR="00C04389">
        <w:rPr>
          <w:noProof/>
          <w:spacing w:val="-5"/>
          <w:sz w:val="22"/>
          <w:szCs w:val="22"/>
          <w:lang w:val="fr-FR"/>
        </w:rPr>
        <w:t xml:space="preserve"> </w:t>
      </w:r>
    </w:p>
    <w:p w:rsidR="002A21AE" w:rsidRDefault="002A21AE" w:rsidP="00385548">
      <w:pPr>
        <w:pStyle w:val="Heading2"/>
      </w:pPr>
      <w:bookmarkStart w:id="38" w:name="_Toc459900035"/>
      <w:bookmarkEnd w:id="37"/>
      <w:r>
        <w:t>Using the Software</w:t>
      </w:r>
      <w:bookmarkEnd w:id="38"/>
      <w:r>
        <w:fldChar w:fldCharType="begin"/>
      </w:r>
      <w:r>
        <w:instrText xml:space="preserve"> XE </w:instrText>
      </w:r>
      <w:r w:rsidR="00FA7E65">
        <w:instrText>“</w:instrText>
      </w:r>
      <w:r>
        <w:instrText>Using the Software</w:instrText>
      </w:r>
      <w:r w:rsidR="00FA7E65">
        <w:instrText>”</w:instrText>
      </w:r>
      <w:r>
        <w:instrText xml:space="preserve"> </w:instrText>
      </w:r>
      <w:r>
        <w:fldChar w:fldCharType="end"/>
      </w:r>
    </w:p>
    <w:p w:rsidR="002A21AE" w:rsidRDefault="002A21AE" w:rsidP="00FA7E65">
      <w:pPr>
        <w:pStyle w:val="BodyText"/>
      </w:pPr>
      <w:r>
        <w:t>Using the Software explains:</w:t>
      </w:r>
    </w:p>
    <w:p w:rsidR="002A21AE" w:rsidRDefault="002A21AE">
      <w:pPr>
        <w:pStyle w:val="ListBullet"/>
      </w:pPr>
      <w:r>
        <w:t xml:space="preserve">How to access VBECS and </w:t>
      </w:r>
      <w:r w:rsidR="000C7684" w:rsidRPr="000C7684">
        <w:rPr>
          <w:bCs/>
        </w:rPr>
        <w:t>VistA</w:t>
      </w:r>
    </w:p>
    <w:p w:rsidR="002A21AE" w:rsidRDefault="002A21AE">
      <w:pPr>
        <w:pStyle w:val="ListBullet"/>
      </w:pPr>
      <w:r>
        <w:t>What users will see on the screen</w:t>
      </w:r>
    </w:p>
    <w:p w:rsidR="002A21AE" w:rsidRDefault="002A21AE">
      <w:pPr>
        <w:pStyle w:val="ListBullet"/>
      </w:pPr>
      <w:r>
        <w:t>What the icons and other symbols mean</w:t>
      </w:r>
    </w:p>
    <w:p w:rsidR="002A21AE" w:rsidRDefault="002A21AE">
      <w:pPr>
        <w:pStyle w:val="ListBullet"/>
      </w:pPr>
      <w:r>
        <w:t>Which conventions are used in this guide</w:t>
      </w:r>
    </w:p>
    <w:p w:rsidR="002A21AE" w:rsidRDefault="002A21AE">
      <w:pPr>
        <w:pStyle w:val="ListBullet"/>
      </w:pPr>
      <w:r>
        <w:t xml:space="preserve">How to exit VBECS </w:t>
      </w:r>
    </w:p>
    <w:p w:rsidR="002A21AE" w:rsidRDefault="002A21AE">
      <w:pPr>
        <w:pStyle w:val="Heading2"/>
      </w:pPr>
      <w:bookmarkStart w:id="39" w:name="_Toc78678591"/>
      <w:bookmarkStart w:id="40" w:name="_Toc459900036"/>
      <w:r>
        <w:t>Software Basics</w:t>
      </w:r>
      <w:bookmarkEnd w:id="39"/>
      <w:bookmarkEnd w:id="40"/>
      <w:r>
        <w:fldChar w:fldCharType="begin"/>
      </w:r>
      <w:r>
        <w:instrText xml:space="preserve"> XE </w:instrText>
      </w:r>
      <w:r w:rsidR="00FA7E65">
        <w:instrText>“</w:instrText>
      </w:r>
      <w:r>
        <w:instrText>Software Basics</w:instrText>
      </w:r>
      <w:r w:rsidR="00FA7E65">
        <w:instrText>”</w:instrText>
      </w:r>
      <w:r>
        <w:instrText xml:space="preserve"> </w:instrText>
      </w:r>
      <w:r>
        <w:fldChar w:fldCharType="end"/>
      </w:r>
    </w:p>
    <w:p w:rsidR="00045762" w:rsidRDefault="00045762" w:rsidP="00045762">
      <w:pPr>
        <w:pStyle w:val="ListBullet"/>
      </w:pPr>
      <w:r>
        <w:t xml:space="preserve">When a message window requires a user response and VBECS displays it </w:t>
      </w:r>
      <w:r w:rsidRPr="00BA627C">
        <w:t xml:space="preserve">behind the active window, the user must minimize the active window </w:t>
      </w:r>
      <w:r>
        <w:t xml:space="preserve">or </w:t>
      </w:r>
      <w:r w:rsidRPr="00BA627C">
        <w:t xml:space="preserve">click and drag dialog boxes to expose the </w:t>
      </w:r>
      <w:r>
        <w:t>message window</w:t>
      </w:r>
      <w:r w:rsidR="00A4315F">
        <w:t>.</w:t>
      </w:r>
    </w:p>
    <w:p w:rsidR="00795493" w:rsidRDefault="00795493">
      <w:pPr>
        <w:pStyle w:val="ListBullet"/>
      </w:pPr>
      <w:r>
        <w:t xml:space="preserve">Press the </w:t>
      </w:r>
      <w:r w:rsidRPr="00795493">
        <w:rPr>
          <w:b/>
        </w:rPr>
        <w:t>F1 key</w:t>
      </w:r>
      <w:r>
        <w:t xml:space="preserve"> to view screen-specific online help.</w:t>
      </w:r>
    </w:p>
    <w:p w:rsidR="002A21AE" w:rsidRDefault="002A21AE">
      <w:pPr>
        <w:pStyle w:val="ListBullet"/>
      </w:pPr>
      <w:r>
        <w:t xml:space="preserve">A user may click </w:t>
      </w:r>
      <w:r>
        <w:rPr>
          <w:b/>
        </w:rPr>
        <w:t>Cancel</w:t>
      </w:r>
      <w:r>
        <w:t xml:space="preserve">, </w:t>
      </w:r>
      <w:r>
        <w:rPr>
          <w:b/>
        </w:rPr>
        <w:t>Close</w:t>
      </w:r>
      <w:r>
        <w:t xml:space="preserve">, or </w:t>
      </w:r>
      <w:r w:rsidRPr="00D1343E">
        <w:rPr>
          <w:rStyle w:val="BodyTextChar"/>
          <w:rFonts w:ascii="Wingdings 2" w:hAnsi="Wingdings 2"/>
          <w:b/>
        </w:rPr>
        <w:t></w:t>
      </w:r>
      <w:r>
        <w:t xml:space="preserve"> in the upper right corner at any time to exit without saving.</w:t>
      </w:r>
    </w:p>
    <w:p w:rsidR="002A21AE" w:rsidRDefault="002A21AE">
      <w:pPr>
        <w:pStyle w:val="ListBullet"/>
      </w:pPr>
      <w:r>
        <w:t>All operations depend on the user being logged into the appropriate division.</w:t>
      </w:r>
    </w:p>
    <w:p w:rsidR="002A21AE" w:rsidRDefault="002A21AE">
      <w:pPr>
        <w:pStyle w:val="ListBullet"/>
      </w:pPr>
      <w:r>
        <w:t>A user may click a column heading to resort the items in that column</w:t>
      </w:r>
      <w:r w:rsidR="00A76428">
        <w:t xml:space="preserve"> (</w:t>
      </w:r>
      <w:r w:rsidR="00FE0C0C">
        <w:fldChar w:fldCharType="begin"/>
      </w:r>
      <w:r w:rsidR="00FE0C0C">
        <w:instrText xml:space="preserve"> REF _Ref126482360 \h </w:instrText>
      </w:r>
      <w:r w:rsidR="00FE0C0C">
        <w:fldChar w:fldCharType="separate"/>
      </w:r>
      <w:r w:rsidR="005F38BC">
        <w:t xml:space="preserve">Figure </w:t>
      </w:r>
      <w:r w:rsidR="005F38BC">
        <w:rPr>
          <w:noProof/>
        </w:rPr>
        <w:t>2</w:t>
      </w:r>
      <w:r w:rsidR="00FE0C0C">
        <w:fldChar w:fldCharType="end"/>
      </w:r>
      <w:r w:rsidR="00A76428">
        <w:t xml:space="preserve"> and </w:t>
      </w:r>
      <w:r w:rsidR="00FE0C0C">
        <w:fldChar w:fldCharType="begin"/>
      </w:r>
      <w:r w:rsidR="00FE0C0C">
        <w:instrText xml:space="preserve"> REF _Ref126482369 \h </w:instrText>
      </w:r>
      <w:r w:rsidR="00FE0C0C">
        <w:fldChar w:fldCharType="separate"/>
      </w:r>
      <w:r w:rsidR="005F38BC">
        <w:t xml:space="preserve">Figure </w:t>
      </w:r>
      <w:r w:rsidR="005F38BC">
        <w:rPr>
          <w:noProof/>
        </w:rPr>
        <w:t>3</w:t>
      </w:r>
      <w:r w:rsidR="00FE0C0C">
        <w:fldChar w:fldCharType="end"/>
      </w:r>
      <w:r w:rsidR="00A76428">
        <w:t>)</w:t>
      </w:r>
      <w:r>
        <w:t>.</w:t>
      </w:r>
    </w:p>
    <w:p w:rsidR="00163C35" w:rsidRDefault="002A21AE" w:rsidP="00163C35">
      <w:pPr>
        <w:pStyle w:val="ListBullet"/>
      </w:pPr>
      <w:r>
        <w:rPr>
          <w:vanish/>
          <w:spacing w:val="0"/>
        </w:rPr>
        <w:t xml:space="preserve">BR_2.48 </w:t>
      </w:r>
      <w:r>
        <w:t>Reaction results entries are allowed for only those reagents defined as part of the reagent rack</w:t>
      </w:r>
      <w:r w:rsidR="00F53A23">
        <w:t>.</w:t>
      </w:r>
    </w:p>
    <w:p w:rsidR="002A21AE" w:rsidRDefault="002A21AE">
      <w:pPr>
        <w:pStyle w:val="ListBullet"/>
      </w:pPr>
      <w:r>
        <w:t>Select a date from the calendar in the drop-down list to edit a date, or click each part of the date to edit the date and time</w:t>
      </w:r>
      <w:r w:rsidR="00F2615F">
        <w:t xml:space="preserve"> (</w:t>
      </w:r>
      <w:r w:rsidR="00622085">
        <w:fldChar w:fldCharType="begin"/>
      </w:r>
      <w:r w:rsidR="00622085">
        <w:instrText xml:space="preserve"> REF _Ref126483157 \h </w:instrText>
      </w:r>
      <w:r w:rsidR="00622085">
        <w:fldChar w:fldCharType="separate"/>
      </w:r>
      <w:r w:rsidR="005F38BC">
        <w:t xml:space="preserve">Figure </w:t>
      </w:r>
      <w:r w:rsidR="005F38BC">
        <w:rPr>
          <w:noProof/>
        </w:rPr>
        <w:t>4</w:t>
      </w:r>
      <w:r w:rsidR="00622085">
        <w:fldChar w:fldCharType="end"/>
      </w:r>
      <w:r w:rsidR="00622085">
        <w:t xml:space="preserve"> and </w:t>
      </w:r>
      <w:r w:rsidR="00622085" w:rsidRPr="00622085">
        <w:rPr>
          <w:b/>
        </w:rPr>
        <w:fldChar w:fldCharType="begin"/>
      </w:r>
      <w:r w:rsidR="00622085" w:rsidRPr="00622085">
        <w:rPr>
          <w:b/>
        </w:rPr>
        <w:instrText xml:space="preserve"> REF _Ref126483764 \h </w:instrText>
      </w:r>
      <w:r w:rsidR="00622085" w:rsidRPr="00622085">
        <w:rPr>
          <w:b/>
        </w:rPr>
      </w:r>
      <w:r w:rsidR="00622085">
        <w:rPr>
          <w:b/>
        </w:rPr>
        <w:instrText xml:space="preserve"> \* MERGEFORMAT </w:instrText>
      </w:r>
      <w:r w:rsidR="00622085" w:rsidRPr="00622085">
        <w:rPr>
          <w:b/>
        </w:rPr>
        <w:fldChar w:fldCharType="separate"/>
      </w:r>
      <w:r w:rsidR="005F38BC" w:rsidRPr="005F38BC">
        <w:rPr>
          <w:rStyle w:val="CaptionChar1"/>
          <w:b w:val="0"/>
        </w:rPr>
        <w:t xml:space="preserve">Figure </w:t>
      </w:r>
      <w:r w:rsidR="005F38BC" w:rsidRPr="005F38BC">
        <w:rPr>
          <w:rStyle w:val="CaptionChar1"/>
          <w:b w:val="0"/>
          <w:noProof/>
        </w:rPr>
        <w:t>5</w:t>
      </w:r>
      <w:r w:rsidR="00622085" w:rsidRPr="00622085">
        <w:rPr>
          <w:b/>
        </w:rPr>
        <w:fldChar w:fldCharType="end"/>
      </w:r>
      <w:r w:rsidR="00622085">
        <w:t>).</w:t>
      </w:r>
    </w:p>
    <w:p w:rsidR="000C156B" w:rsidRPr="00AA4AB6" w:rsidRDefault="007F6441" w:rsidP="000C156B">
      <w:pPr>
        <w:pStyle w:val="ListBullet"/>
      </w:pPr>
      <w:r>
        <w:rPr>
          <w:rFonts w:eastAsia="Arial Unicode MS"/>
        </w:rPr>
        <w:t>Labels shown in figures</w:t>
      </w:r>
      <w:r w:rsidR="000C156B">
        <w:rPr>
          <w:rFonts w:eastAsia="Arial Unicode MS"/>
        </w:rPr>
        <w:t xml:space="preserve"> are visual aids only and do not represent actual labels</w:t>
      </w:r>
      <w:r>
        <w:rPr>
          <w:rFonts w:eastAsia="Arial Unicode MS"/>
        </w:rPr>
        <w:t>.</w:t>
      </w:r>
    </w:p>
    <w:p w:rsidR="00AA4AB6" w:rsidRDefault="00AA4AB6" w:rsidP="00AA4AB6">
      <w:pPr>
        <w:pStyle w:val="ListBullet"/>
      </w:pPr>
      <w:r>
        <w:lastRenderedPageBreak/>
        <w:t>VBECS does not offer a spell-check feature. (The user may write text in Microsoft Word, spell check the text, and then copy and paste the text into VBECS.)</w:t>
      </w:r>
    </w:p>
    <w:p w:rsidR="00023520" w:rsidRPr="002B06B2" w:rsidRDefault="00634BFC" w:rsidP="002B06B2">
      <w:pPr>
        <w:pStyle w:val="Caution"/>
      </w:pPr>
      <w:r>
        <w:rPr>
          <w:noProof/>
        </w:rPr>
        <w:drawing>
          <wp:inline distT="0" distB="0" distL="0" distR="0">
            <wp:extent cx="266700" cy="2190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3640CD">
        <w:t xml:space="preserve"> </w:t>
      </w:r>
      <w:r w:rsidR="002B06B2">
        <w:t>Although t</w:t>
      </w:r>
      <w:r w:rsidR="00023520" w:rsidRPr="002B06B2">
        <w:t>he copy-and-paste function is enabled</w:t>
      </w:r>
      <w:r w:rsidR="002B06B2">
        <w:t>, do</w:t>
      </w:r>
      <w:r w:rsidR="00023520" w:rsidRPr="002B06B2">
        <w:t xml:space="preserve"> not use it to enter patient identification information. </w:t>
      </w:r>
      <w:r w:rsidR="005A68C1">
        <w:t>It is highly</w:t>
      </w:r>
      <w:r w:rsidR="00023520" w:rsidRPr="002B06B2">
        <w:t xml:space="preserve"> recommend</w:t>
      </w:r>
      <w:r w:rsidR="005A68C1">
        <w:t>ed</w:t>
      </w:r>
      <w:r w:rsidR="00023520" w:rsidRPr="002B06B2">
        <w:t xml:space="preserve"> that the user scan this information when possible</w:t>
      </w:r>
      <w:r w:rsidR="002B06B2">
        <w:t>;</w:t>
      </w:r>
      <w:r w:rsidR="00023520" w:rsidRPr="002B06B2">
        <w:t xml:space="preserve"> otherwise</w:t>
      </w:r>
      <w:r w:rsidR="002B06B2">
        <w:t>,</w:t>
      </w:r>
      <w:r w:rsidR="00A137C8">
        <w:t xml:space="preserve"> enter it</w:t>
      </w:r>
      <w:r w:rsidR="00A137C8" w:rsidRPr="00703B36">
        <w:rPr>
          <w:vanish/>
        </w:rPr>
        <w:t xml:space="preserve"> </w:t>
      </w:r>
      <w:r w:rsidR="00C83CF0" w:rsidRPr="002B06B2">
        <w:rPr>
          <w:vanish/>
        </w:rPr>
        <w:t>(DR 2,519)</w:t>
      </w:r>
      <w:r w:rsidR="00C83CF0" w:rsidRPr="002B06B2">
        <w:t>.</w:t>
      </w:r>
    </w:p>
    <w:p w:rsidR="001A234F" w:rsidRDefault="001A234F" w:rsidP="00A76428">
      <w:pPr>
        <w:pStyle w:val="Caption"/>
        <w:tabs>
          <w:tab w:val="left" w:pos="4860"/>
        </w:tabs>
      </w:pPr>
      <w:bookmarkStart w:id="41" w:name="_Ref126482360"/>
      <w:r>
        <w:t xml:space="preserve">Figure </w:t>
      </w:r>
      <w:r w:rsidR="00C17F7C">
        <w:fldChar w:fldCharType="begin"/>
      </w:r>
      <w:r w:rsidR="00C17F7C">
        <w:instrText xml:space="preserve"> SEQ Figure \* ARABIC </w:instrText>
      </w:r>
      <w:r w:rsidR="00C17F7C">
        <w:fldChar w:fldCharType="separate"/>
      </w:r>
      <w:r w:rsidR="005F38BC">
        <w:rPr>
          <w:noProof/>
        </w:rPr>
        <w:t>2</w:t>
      </w:r>
      <w:r w:rsidR="00C17F7C">
        <w:fldChar w:fldCharType="end"/>
      </w:r>
      <w:bookmarkEnd w:id="41"/>
      <w:r>
        <w:t>: Click to Sort by Patient Name</w:t>
      </w:r>
      <w:r>
        <w:tab/>
      </w:r>
    </w:p>
    <w:p w:rsidR="000A2260" w:rsidRDefault="00634BFC" w:rsidP="000A2260">
      <w:pPr>
        <w:pStyle w:val="BodyText"/>
      </w:pPr>
      <w:r>
        <w:rPr>
          <w:noProof/>
        </w:rPr>
        <w:drawing>
          <wp:inline distT="0" distB="0" distL="0" distR="0">
            <wp:extent cx="5486400" cy="1600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1600200"/>
                    </a:xfrm>
                    <a:prstGeom prst="rect">
                      <a:avLst/>
                    </a:prstGeom>
                    <a:noFill/>
                    <a:ln>
                      <a:noFill/>
                    </a:ln>
                  </pic:spPr>
                </pic:pic>
              </a:graphicData>
            </a:graphic>
          </wp:inline>
        </w:drawing>
      </w:r>
      <w:r>
        <w:rPr>
          <w:noProof/>
        </w:rPr>
        <mc:AlternateContent>
          <mc:Choice Requires="wps">
            <w:drawing>
              <wp:anchor distT="0" distB="0" distL="114300" distR="114300" simplePos="0" relativeHeight="251770368" behindDoc="0" locked="0" layoutInCell="1" allowOverlap="1">
                <wp:simplePos x="0" y="0"/>
                <wp:positionH relativeFrom="column">
                  <wp:posOffset>-3086100</wp:posOffset>
                </wp:positionH>
                <wp:positionV relativeFrom="paragraph">
                  <wp:posOffset>328295</wp:posOffset>
                </wp:positionV>
                <wp:extent cx="685800" cy="228600"/>
                <wp:effectExtent l="9525" t="13970" r="9525" b="5080"/>
                <wp:wrapNone/>
                <wp:docPr id="597" name="Oval 1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ellipse">
                          <a:avLst/>
                        </a:prstGeom>
                        <a:solidFill>
                          <a:srgbClr val="FFFFFF">
                            <a:alpha val="0"/>
                          </a:srgb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23" o:spid="_x0000_s1026" style="position:absolute;margin-left:-243pt;margin-top:25.85pt;width:54pt;height:18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">
                <v:fill opacity="0"/>
              </v:oval>
            </w:pict>
          </mc:Fallback>
        </mc:AlternateContent>
      </w:r>
    </w:p>
    <w:p w:rsidR="00730FE6" w:rsidRDefault="0086195D" w:rsidP="00AA6FFB">
      <w:pPr>
        <w:pStyle w:val="Caption"/>
        <w:tabs>
          <w:tab w:val="left" w:pos="4860"/>
        </w:tabs>
      </w:pPr>
      <w:bookmarkStart w:id="42" w:name="_Ref126467503"/>
      <w:bookmarkStart w:id="43" w:name="_Ref126467446"/>
      <w:bookmarkStart w:id="44" w:name="_Ref126482369"/>
      <w:r>
        <w:t xml:space="preserve">Figure </w:t>
      </w:r>
      <w:r w:rsidR="00C17F7C">
        <w:fldChar w:fldCharType="begin"/>
      </w:r>
      <w:r w:rsidR="00C17F7C">
        <w:instrText xml:space="preserve"> SEQ Figure \* ARABIC </w:instrText>
      </w:r>
      <w:r w:rsidR="00C17F7C">
        <w:fldChar w:fldCharType="separate"/>
      </w:r>
      <w:r w:rsidR="005F38BC">
        <w:rPr>
          <w:noProof/>
        </w:rPr>
        <w:t>3</w:t>
      </w:r>
      <w:r w:rsidR="00C17F7C">
        <w:fldChar w:fldCharType="end"/>
      </w:r>
      <w:bookmarkEnd w:id="44"/>
      <w:r>
        <w:t>: Click to Sort by Request</w:t>
      </w:r>
    </w:p>
    <w:p w:rsidR="0086195D" w:rsidRDefault="00634BFC" w:rsidP="00A542EE">
      <w:pPr>
        <w:pStyle w:val="BodyText"/>
      </w:pPr>
      <w:r>
        <w:rPr>
          <w:b/>
          <w:noProof/>
        </w:rPr>
        <w:drawing>
          <wp:inline distT="0" distB="0" distL="0" distR="0">
            <wp:extent cx="5486400" cy="1600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1600200"/>
                    </a:xfrm>
                    <a:prstGeom prst="rect">
                      <a:avLst/>
                    </a:prstGeom>
                    <a:noFill/>
                    <a:ln>
                      <a:noFill/>
                    </a:ln>
                  </pic:spPr>
                </pic:pic>
              </a:graphicData>
            </a:graphic>
          </wp:inline>
        </w:drawing>
      </w:r>
    </w:p>
    <w:p w:rsidR="00A542EE" w:rsidRDefault="00A542EE" w:rsidP="00AA6FFB">
      <w:pPr>
        <w:pStyle w:val="Caption"/>
        <w:tabs>
          <w:tab w:val="left" w:pos="4860"/>
        </w:tabs>
        <w:sectPr w:rsidR="00A542EE" w:rsidSect="00EE771C">
          <w:footerReference w:type="default" r:id="rId31"/>
          <w:pgSz w:w="12240" w:h="15840" w:code="1"/>
          <w:pgMar w:top="1440" w:right="1440" w:bottom="1440" w:left="1440" w:header="720" w:footer="720" w:gutter="0"/>
          <w:pgNumType w:start="1"/>
          <w:cols w:space="720"/>
          <w:docGrid w:linePitch="360"/>
        </w:sectPr>
      </w:pPr>
    </w:p>
    <w:p w:rsidR="00A542EE" w:rsidRDefault="008F3522" w:rsidP="00EE11ED">
      <w:pPr>
        <w:pStyle w:val="Caption"/>
      </w:pPr>
      <w:bookmarkStart w:id="45" w:name="_Ref126483157"/>
      <w:r>
        <w:lastRenderedPageBreak/>
        <w:t xml:space="preserve">Figure </w:t>
      </w:r>
      <w:r w:rsidR="00C17F7C">
        <w:fldChar w:fldCharType="begin"/>
      </w:r>
      <w:r w:rsidR="00C17F7C">
        <w:instrText xml:space="preserve"> SEQ Figure \* ARABIC </w:instrText>
      </w:r>
      <w:r w:rsidR="00C17F7C">
        <w:fldChar w:fldCharType="separate"/>
      </w:r>
      <w:r w:rsidR="005F38BC">
        <w:rPr>
          <w:noProof/>
        </w:rPr>
        <w:t>4</w:t>
      </w:r>
      <w:r w:rsidR="00C17F7C">
        <w:fldChar w:fldCharType="end"/>
      </w:r>
      <w:bookmarkEnd w:id="43"/>
      <w:bookmarkEnd w:id="45"/>
      <w:r>
        <w:t>: Select a Date from the Calendar</w:t>
      </w:r>
    </w:p>
    <w:p w:rsidR="004D098F" w:rsidRDefault="00634BFC" w:rsidP="007C191F">
      <w:pPr>
        <w:pStyle w:val="BodyText"/>
      </w:pPr>
      <w:bookmarkStart w:id="46" w:name="_Ref126483168"/>
      <w:r>
        <w:rPr>
          <w:noProof/>
        </w:rPr>
        <w:drawing>
          <wp:inline distT="0" distB="0" distL="0" distR="0">
            <wp:extent cx="1943100" cy="1962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43100" cy="1962150"/>
                    </a:xfrm>
                    <a:prstGeom prst="rect">
                      <a:avLst/>
                    </a:prstGeom>
                    <a:noFill/>
                    <a:ln>
                      <a:noFill/>
                    </a:ln>
                  </pic:spPr>
                </pic:pic>
              </a:graphicData>
            </a:graphic>
          </wp:inline>
        </w:drawing>
      </w:r>
    </w:p>
    <w:p w:rsidR="00250F92" w:rsidRDefault="00250F92" w:rsidP="007C191F">
      <w:pPr>
        <w:pStyle w:val="BodyText"/>
      </w:pPr>
    </w:p>
    <w:p w:rsidR="00A542EE" w:rsidRDefault="00A542EE" w:rsidP="007C191F">
      <w:pPr>
        <w:pStyle w:val="BodyText"/>
        <w:rPr>
          <w:rStyle w:val="CaptionChar1"/>
        </w:rPr>
      </w:pPr>
      <w:r>
        <w:br w:type="column"/>
      </w:r>
      <w:bookmarkStart w:id="47" w:name="_Ref126483764"/>
      <w:bookmarkEnd w:id="42"/>
      <w:r w:rsidRPr="007C191F">
        <w:rPr>
          <w:rStyle w:val="CaptionChar1"/>
        </w:rPr>
        <w:lastRenderedPageBreak/>
        <w:t xml:space="preserve">Figure </w:t>
      </w:r>
      <w:r w:rsidR="00C17F7C">
        <w:rPr>
          <w:rStyle w:val="CaptionChar1"/>
        </w:rPr>
        <w:fldChar w:fldCharType="begin"/>
      </w:r>
      <w:r w:rsidR="00C17F7C">
        <w:rPr>
          <w:rStyle w:val="CaptionChar1"/>
        </w:rPr>
        <w:instrText xml:space="preserve"> SEQ Figure \* ARABIC </w:instrText>
      </w:r>
      <w:r w:rsidR="00C17F7C">
        <w:rPr>
          <w:rStyle w:val="CaptionChar1"/>
        </w:rPr>
        <w:fldChar w:fldCharType="separate"/>
      </w:r>
      <w:r w:rsidR="005F38BC">
        <w:rPr>
          <w:rStyle w:val="CaptionChar1"/>
          <w:noProof/>
        </w:rPr>
        <w:t>5</w:t>
      </w:r>
      <w:r w:rsidR="00C17F7C">
        <w:rPr>
          <w:rStyle w:val="CaptionChar1"/>
        </w:rPr>
        <w:fldChar w:fldCharType="end"/>
      </w:r>
      <w:bookmarkEnd w:id="46"/>
      <w:bookmarkEnd w:id="47"/>
      <w:r w:rsidRPr="007C191F">
        <w:rPr>
          <w:rStyle w:val="CaptionChar1"/>
        </w:rPr>
        <w:t>: Edit the Date and Time</w:t>
      </w:r>
    </w:p>
    <w:p w:rsidR="00A542EE" w:rsidRPr="00A542EE" w:rsidRDefault="00634BFC" w:rsidP="007C191F">
      <w:pPr>
        <w:pStyle w:val="BodyText"/>
      </w:pPr>
      <w:r>
        <w:rPr>
          <w:noProof/>
        </w:rPr>
        <w:drawing>
          <wp:inline distT="0" distB="0" distL="0" distR="0">
            <wp:extent cx="1447800" cy="5619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7800" cy="561975"/>
                    </a:xfrm>
                    <a:prstGeom prst="rect">
                      <a:avLst/>
                    </a:prstGeom>
                    <a:noFill/>
                    <a:ln>
                      <a:noFill/>
                    </a:ln>
                  </pic:spPr>
                </pic:pic>
              </a:graphicData>
            </a:graphic>
          </wp:inline>
        </w:drawing>
      </w:r>
    </w:p>
    <w:p w:rsidR="00544CE2" w:rsidRPr="00544CE2" w:rsidRDefault="00544CE2" w:rsidP="00FF4766">
      <w:pPr>
        <w:pStyle w:val="Heading2"/>
        <w:sectPr w:rsidR="00544CE2" w:rsidRPr="00544CE2" w:rsidSect="00EE771C">
          <w:type w:val="continuous"/>
          <w:pgSz w:w="12240" w:h="15840" w:code="1"/>
          <w:pgMar w:top="1440" w:right="1440" w:bottom="1440" w:left="1440" w:header="720" w:footer="720" w:gutter="0"/>
          <w:cols w:num="2" w:space="720"/>
          <w:docGrid w:linePitch="360"/>
        </w:sectPr>
      </w:pPr>
    </w:p>
    <w:p w:rsidR="00C47F9D" w:rsidRDefault="00D51A40" w:rsidP="00C47F9D">
      <w:pPr>
        <w:pStyle w:val="Heading2"/>
      </w:pPr>
      <w:r>
        <w:lastRenderedPageBreak/>
        <w:br w:type="page"/>
      </w:r>
      <w:bookmarkStart w:id="48" w:name="_Toc459900037"/>
      <w:r w:rsidR="00C47F9D">
        <w:lastRenderedPageBreak/>
        <w:t>Commonly Used System Rules</w:t>
      </w:r>
      <w:bookmarkEnd w:id="48"/>
      <w:r w:rsidR="00C47F9D">
        <w:fldChar w:fldCharType="begin"/>
      </w:r>
      <w:r w:rsidR="00C47F9D">
        <w:instrText xml:space="preserve"> XE "</w:instrText>
      </w:r>
      <w:r w:rsidR="00C47F9D" w:rsidRPr="003536AD">
        <w:instrText>Commonly Used System Rules</w:instrText>
      </w:r>
      <w:r w:rsidR="00C47F9D">
        <w:instrText xml:space="preserve">" </w:instrText>
      </w:r>
      <w:r w:rsidR="00C47F9D">
        <w:fldChar w:fldCharType="end"/>
      </w:r>
    </w:p>
    <w:p w:rsidR="00C47F9D" w:rsidRDefault="00C47F9D" w:rsidP="00C47F9D">
      <w:pPr>
        <w:pStyle w:val="BodyText"/>
      </w:pPr>
      <w:r>
        <w:t>This section includes system rules that apply to several or all options.</w:t>
      </w:r>
    </w:p>
    <w:p w:rsidR="00995145" w:rsidRDefault="00995145" w:rsidP="00C47F9D">
      <w:pPr>
        <w:pStyle w:val="Heading3"/>
      </w:pPr>
      <w:bookmarkStart w:id="49" w:name="_Toc459900038"/>
      <w:r>
        <w:t>Date and Time</w:t>
      </w:r>
      <w:bookmarkEnd w:id="49"/>
      <w:r w:rsidR="00A51F68">
        <w:fldChar w:fldCharType="begin"/>
      </w:r>
      <w:r w:rsidR="00A51F68">
        <w:instrText xml:space="preserve"> XE "</w:instrText>
      </w:r>
      <w:r w:rsidR="00A51F68" w:rsidRPr="00FA7A9D">
        <w:instrText>Date and Time</w:instrText>
      </w:r>
      <w:r w:rsidR="00A51F68">
        <w:instrText xml:space="preserve">" </w:instrText>
      </w:r>
      <w:r w:rsidR="00A51F68">
        <w:fldChar w:fldCharType="end"/>
      </w:r>
    </w:p>
    <w:p w:rsidR="00995145" w:rsidRDefault="00995145" w:rsidP="00995145">
      <w:pPr>
        <w:pStyle w:val="ListBullet"/>
      </w:pPr>
      <w:r>
        <w:t>S</w:t>
      </w:r>
      <w:r w:rsidR="00063AED">
        <w:t>ites are not notifie</w:t>
      </w:r>
      <w:r>
        <w:t>d when an administrator changes the date or time on the s</w:t>
      </w:r>
      <w:r w:rsidR="009204CC">
        <w:t xml:space="preserve">erver. Users must contact the National Help Desk </w:t>
      </w:r>
      <w:r>
        <w:t>when the date or time is incorrect.</w:t>
      </w:r>
    </w:p>
    <w:p w:rsidR="0038414C" w:rsidRDefault="0038414C" w:rsidP="0038414C">
      <w:pPr>
        <w:pStyle w:val="ListBullet"/>
      </w:pPr>
      <w:r>
        <w:t xml:space="preserve">The date, time, and time zone </w:t>
      </w:r>
      <w:r w:rsidRPr="0038414C">
        <w:t xml:space="preserve">in VBECS is defined where the blood bank is located. </w:t>
      </w:r>
      <w:r>
        <w:t>Any requests for</w:t>
      </w:r>
      <w:r w:rsidRPr="0038414C">
        <w:t xml:space="preserve"> data from </w:t>
      </w:r>
      <w:r>
        <w:t>a particul</w:t>
      </w:r>
      <w:r w:rsidR="008B2A87">
        <w:t>ar blood b</w:t>
      </w:r>
      <w:r>
        <w:t xml:space="preserve">ank </w:t>
      </w:r>
      <w:r w:rsidRPr="0038414C">
        <w:t>database will reflect the time zone where the data was created and not the time zone where the report is generated.</w:t>
      </w:r>
      <w:r>
        <w:t xml:space="preserve"> </w:t>
      </w:r>
      <w:r>
        <w:rPr>
          <w:vanish/>
        </w:rPr>
        <w:t>DR 3838</w:t>
      </w:r>
    </w:p>
    <w:p w:rsidR="00A51F68" w:rsidRPr="00995145" w:rsidRDefault="00063AED" w:rsidP="00995145">
      <w:pPr>
        <w:pStyle w:val="ListBullet"/>
      </w:pPr>
      <w:r>
        <w:t>Refer to</w:t>
      </w:r>
      <w:r w:rsidR="00A51F68">
        <w:t xml:space="preserve"> </w:t>
      </w:r>
      <w:r w:rsidRPr="00063AED">
        <w:rPr>
          <w:i/>
        </w:rPr>
        <w:t>VistA Blood Establishment Computer Software (VBECS) Technical Manual-Security Guide</w:t>
      </w:r>
      <w:r w:rsidRPr="00063AED">
        <w:t xml:space="preserve"> </w:t>
      </w:r>
      <w:r w:rsidR="00A51F68">
        <w:t>to change the time zone.</w:t>
      </w:r>
    </w:p>
    <w:p w:rsidR="00C47F9D" w:rsidRPr="00C47F9D" w:rsidRDefault="00C47F9D" w:rsidP="00C47F9D">
      <w:pPr>
        <w:pStyle w:val="Heading3"/>
      </w:pPr>
      <w:bookmarkStart w:id="50" w:name="_Toc459900039"/>
      <w:r>
        <w:t>Locking and Time-Outs</w:t>
      </w:r>
      <w:bookmarkEnd w:id="50"/>
      <w:r>
        <w:fldChar w:fldCharType="begin"/>
      </w:r>
      <w:r>
        <w:instrText xml:space="preserve"> XE "</w:instrText>
      </w:r>
      <w:r w:rsidRPr="001935CB">
        <w:instrText>Locking and Time-Outs</w:instrText>
      </w:r>
      <w:r>
        <w:instrText xml:space="preserve">" </w:instrText>
      </w:r>
      <w:r>
        <w:fldChar w:fldCharType="end"/>
      </w:r>
    </w:p>
    <w:p w:rsidR="00A62384" w:rsidRDefault="00422274" w:rsidP="00422274">
      <w:pPr>
        <w:pStyle w:val="ListBullet"/>
      </w:pPr>
      <w:r w:rsidRPr="00ED2F18">
        <w:t xml:space="preserve">In </w:t>
      </w:r>
      <w:r w:rsidRPr="00422274">
        <w:t>many</w:t>
      </w:r>
      <w:r w:rsidRPr="00ED2F18">
        <w:t xml:space="preserve"> cases, VBECS’s locking feature prevents more than one user from accessing data. </w:t>
      </w:r>
      <w:r>
        <w:t>When</w:t>
      </w:r>
      <w:r w:rsidRPr="00ED2F18">
        <w:t xml:space="preserve"> a user attempts to access locked data, </w:t>
      </w:r>
      <w:r>
        <w:t xml:space="preserve">VBECS displays </w:t>
      </w:r>
      <w:r w:rsidRPr="00ED2F18">
        <w:t xml:space="preserve">a message indicating </w:t>
      </w:r>
      <w:r w:rsidR="0067601B">
        <w:t>which user</w:t>
      </w:r>
      <w:r w:rsidRPr="00ED2F18">
        <w:t xml:space="preserve"> has </w:t>
      </w:r>
      <w:r w:rsidR="0067601B">
        <w:t xml:space="preserve">the </w:t>
      </w:r>
      <w:r w:rsidRPr="00ED2F18">
        <w:t>locked</w:t>
      </w:r>
      <w:r w:rsidR="0067601B">
        <w:t xml:space="preserve"> data</w:t>
      </w:r>
      <w:r w:rsidRPr="00ED2F18">
        <w:t>.</w:t>
      </w:r>
    </w:p>
    <w:p w:rsidR="00847A1C" w:rsidRDefault="00847A1C" w:rsidP="00847A1C">
      <w:pPr>
        <w:pStyle w:val="ListBullet"/>
      </w:pPr>
      <w:r>
        <w:t>A local configurable setting (Lock Inactivity Timeout field) specifies how long a user can be idle and in control of data being edited.</w:t>
      </w:r>
      <w:r w:rsidRPr="00847A1C">
        <w:t xml:space="preserve"> </w:t>
      </w:r>
      <w:r>
        <w:rPr>
          <w:vanish/>
          <w:szCs w:val="18"/>
        </w:rPr>
        <w:t>MBR_2.13</w:t>
      </w:r>
      <w:r>
        <w:t>VBECS warns the user 60 seconds before the lock inactivity period expires that he will lose priority for the data. When he responds within 60 seconds, VBECS clears the warning and resets the lock activity timer. Otherwise, VBECS informs him that his lock was released and he must reenter his changes.</w:t>
      </w:r>
    </w:p>
    <w:p w:rsidR="00A62384" w:rsidRDefault="00A62384" w:rsidP="00A62384">
      <w:pPr>
        <w:pStyle w:val="Heading3"/>
      </w:pPr>
      <w:bookmarkStart w:id="51" w:name="_Toc459900040"/>
      <w:r>
        <w:t>Working with Data</w:t>
      </w:r>
      <w:bookmarkEnd w:id="51"/>
      <w:r>
        <w:fldChar w:fldCharType="begin"/>
      </w:r>
      <w:r>
        <w:instrText xml:space="preserve"> XE </w:instrText>
      </w:r>
      <w:r w:rsidR="00FA7E65">
        <w:instrText>“</w:instrText>
      </w:r>
      <w:r>
        <w:instrText>Working with Data</w:instrText>
      </w:r>
      <w:r w:rsidR="00FA7E65">
        <w:instrText>”</w:instrText>
      </w:r>
      <w:r>
        <w:instrText xml:space="preserve"> </w:instrText>
      </w:r>
      <w:r>
        <w:fldChar w:fldCharType="end"/>
      </w:r>
    </w:p>
    <w:p w:rsidR="009C003E" w:rsidRDefault="009C003E" w:rsidP="002B6B38">
      <w:pPr>
        <w:pStyle w:val="ListBullet"/>
      </w:pPr>
      <w:r>
        <w:t>VBECS will emit an audible alert when a user exceeds the maximum character limit for a field.</w:t>
      </w:r>
      <w:r>
        <w:rPr>
          <w:vanish/>
        </w:rPr>
        <w:t xml:space="preserve"> DR 3825</w:t>
      </w:r>
    </w:p>
    <w:p w:rsidR="002B6B38" w:rsidRDefault="002B6B38" w:rsidP="002B6B38">
      <w:pPr>
        <w:pStyle w:val="ListBullet"/>
      </w:pPr>
      <w:r>
        <w:t xml:space="preserve">The user may enter interpretations and reactions in full-service facilities. The user may enter only interpretations in transfusion-only facilities. </w:t>
      </w:r>
    </w:p>
    <w:p w:rsidR="0067711F" w:rsidRDefault="0067711F" w:rsidP="003B2567">
      <w:pPr>
        <w:pStyle w:val="ListBullet"/>
      </w:pPr>
      <w:r>
        <w:t>Information displayed on a</w:t>
      </w:r>
      <w:r w:rsidR="00AC7D83">
        <w:t>n active</w:t>
      </w:r>
      <w:r>
        <w:t xml:space="preserve"> window is updated with information</w:t>
      </w:r>
      <w:r w:rsidR="00AC7D83">
        <w:t xml:space="preserve"> from other options only when</w:t>
      </w:r>
      <w:r w:rsidR="00C242AA">
        <w:t xml:space="preserve"> it is refreshed (i.e., closed and reopened</w:t>
      </w:r>
      <w:r w:rsidR="00AC7D83">
        <w:t>)</w:t>
      </w:r>
      <w:r w:rsidR="00F569CC">
        <w:t xml:space="preserve"> in </w:t>
      </w:r>
      <w:r>
        <w:t xml:space="preserve">the </w:t>
      </w:r>
      <w:r w:rsidR="00AC7D83">
        <w:t>active window</w:t>
      </w:r>
      <w:r>
        <w:t>.</w:t>
      </w:r>
    </w:p>
    <w:p w:rsidR="00A62384" w:rsidRDefault="00A62384" w:rsidP="00A62384">
      <w:pPr>
        <w:pStyle w:val="ListBullet"/>
      </w:pPr>
      <w:r>
        <w:rPr>
          <w:vanish/>
          <w:spacing w:val="0"/>
        </w:rPr>
        <w:t xml:space="preserve">BR_1.03 </w:t>
      </w:r>
      <w:r>
        <w:t>When VBECS displays a scanner icon next to a data entry field, a user may enter or scan the data.</w:t>
      </w:r>
      <w:r w:rsidR="00340676">
        <w:t xml:space="preserve"> The Caps Lock key must not be engaged.</w:t>
      </w:r>
      <w:r w:rsidR="00340676" w:rsidRPr="00340676">
        <w:rPr>
          <w:vanish/>
        </w:rPr>
        <w:t xml:space="preserve"> (DR 2,733)</w:t>
      </w:r>
      <w:r w:rsidR="00340676">
        <w:t xml:space="preserve"> </w:t>
      </w:r>
    </w:p>
    <w:p w:rsidR="00413ECA" w:rsidRDefault="00413ECA" w:rsidP="00413ECA">
      <w:pPr>
        <w:pStyle w:val="ListBullet"/>
      </w:pPr>
      <w:r>
        <w:rPr>
          <w:vanish/>
          <w:spacing w:val="0"/>
        </w:rPr>
        <w:t xml:space="preserve">BR_1.04 </w:t>
      </w:r>
      <w:r>
        <w:t>VBECS accommodates Codabar and ISBT 128-labeled units. VBECS uses special data identifiers embedded in an ISBT 128 product code to determine the label type scanned. The lack of data identifiers indicates that the barcode is for a Codabar unit (default: unknown).</w:t>
      </w:r>
    </w:p>
    <w:p w:rsidR="00E23074" w:rsidRPr="00EB3107" w:rsidRDefault="00CA7F03" w:rsidP="00413ECA">
      <w:pPr>
        <w:pStyle w:val="ListBullet"/>
      </w:pPr>
      <w:r w:rsidRPr="00EB3107">
        <w:rPr>
          <w:spacing w:val="0"/>
        </w:rPr>
        <w:t xml:space="preserve">VBECS warns the user when a </w:t>
      </w:r>
      <w:r w:rsidR="00E23074" w:rsidRPr="00EB3107">
        <w:rPr>
          <w:spacing w:val="0"/>
        </w:rPr>
        <w:t>Codabar unit ID contain</w:t>
      </w:r>
      <w:r w:rsidRPr="00EB3107">
        <w:rPr>
          <w:spacing w:val="0"/>
        </w:rPr>
        <w:t>s</w:t>
      </w:r>
      <w:r w:rsidR="00E23074" w:rsidRPr="00EB3107">
        <w:rPr>
          <w:spacing w:val="0"/>
        </w:rPr>
        <w:t xml:space="preserve"> “A,” “B,” “I,” “O,” or “U”</w:t>
      </w:r>
      <w:r w:rsidR="00EB3107" w:rsidRPr="00EB3107">
        <w:rPr>
          <w:spacing w:val="0"/>
        </w:rPr>
        <w:t xml:space="preserve"> (invalid </w:t>
      </w:r>
      <w:r w:rsidR="00C06130">
        <w:rPr>
          <w:spacing w:val="0"/>
        </w:rPr>
        <w:t>characters) and does not save the unit.</w:t>
      </w:r>
    </w:p>
    <w:p w:rsidR="00413ECA" w:rsidRDefault="00413ECA" w:rsidP="00413ECA">
      <w:pPr>
        <w:pStyle w:val="ListBullet"/>
      </w:pPr>
      <w:r>
        <w:rPr>
          <w:vanish/>
          <w:spacing w:val="0"/>
        </w:rPr>
        <w:t xml:space="preserve">BR_28.26 </w:t>
      </w:r>
      <w:r>
        <w:t>VBECS captures all technologist IDs and the name of the technologist who displays and/or prints testing information on reports associated with entering test results on a worksheet.</w:t>
      </w:r>
    </w:p>
    <w:p w:rsidR="00413ECA" w:rsidRDefault="00413ECA" w:rsidP="00413ECA">
      <w:pPr>
        <w:pStyle w:val="ListBullet"/>
      </w:pPr>
      <w:r>
        <w:rPr>
          <w:vanish/>
          <w:spacing w:val="0"/>
        </w:rPr>
        <w:t>BR_40.06</w:t>
      </w:r>
      <w:r w:rsidR="00D415FB">
        <w:rPr>
          <w:vanish/>
          <w:spacing w:val="0"/>
        </w:rPr>
        <w:t xml:space="preserve"> </w:t>
      </w:r>
      <w:r w:rsidR="004E0817">
        <w:rPr>
          <w:spacing w:val="0"/>
        </w:rPr>
        <w:t>With each valid keystroke entry in</w:t>
      </w:r>
      <w:r w:rsidR="003937C6" w:rsidRPr="004E0817">
        <w:rPr>
          <w:spacing w:val="0"/>
        </w:rPr>
        <w:t xml:space="preserve"> the antibody screen </w:t>
      </w:r>
      <w:r w:rsidR="004E0817">
        <w:rPr>
          <w:spacing w:val="0"/>
        </w:rPr>
        <w:t>and</w:t>
      </w:r>
      <w:r w:rsidR="003937C6" w:rsidRPr="004E0817">
        <w:rPr>
          <w:spacing w:val="0"/>
        </w:rPr>
        <w:t xml:space="preserve"> crossmatch test grids, VBECS moves </w:t>
      </w:r>
      <w:r>
        <w:t>the cursor from top to bottom in the far left column within the cells in which results are being entered. The cursor returns to the top cell in the next column to the right and so on across the worksheet grid. The cursor stays in the reaction results cells by default (the technologist may navigate independently) until the last entry is made in the reaction result portion of the grid</w:t>
      </w:r>
      <w:r w:rsidR="00D415FB">
        <w:t>, t</w:t>
      </w:r>
      <w:r>
        <w:t>hen the cursor moves to the first (top) interpretation cell.</w:t>
      </w:r>
    </w:p>
    <w:p w:rsidR="00E73E6C" w:rsidRDefault="00A32CB7" w:rsidP="00A32CB7">
      <w:pPr>
        <w:pStyle w:val="ListBullet"/>
      </w:pPr>
      <w:bookmarkStart w:id="52" w:name="OLE_LINK35"/>
      <w:bookmarkStart w:id="53" w:name="OLE_LINK36"/>
      <w:r>
        <w:t>To clear an entry in a test grid cell, press</w:t>
      </w:r>
      <w:r w:rsidR="004F3C85">
        <w:t xml:space="preserve"> the</w:t>
      </w:r>
      <w:r>
        <w:t xml:space="preserve"> </w:t>
      </w:r>
      <w:r w:rsidRPr="00A32CB7">
        <w:rPr>
          <w:b/>
        </w:rPr>
        <w:t>Backspace</w:t>
      </w:r>
      <w:r w:rsidR="004F3C85">
        <w:t xml:space="preserve"> key.</w:t>
      </w:r>
    </w:p>
    <w:p w:rsidR="00A32CB7" w:rsidRDefault="00E73E6C" w:rsidP="00E73E6C">
      <w:pPr>
        <w:pStyle w:val="ListBullet"/>
      </w:pPr>
      <w:r>
        <w:t xml:space="preserve">VBECS allows selection of deceased patients without a warning message presented when VBECS has not received a patient death update message from VistA. </w:t>
      </w:r>
      <w:r>
        <w:rPr>
          <w:vanish/>
        </w:rPr>
        <w:t>DR 3064</w:t>
      </w:r>
    </w:p>
    <w:bookmarkEnd w:id="52"/>
    <w:bookmarkEnd w:id="53"/>
    <w:p w:rsidR="00413ECA" w:rsidRDefault="00413ECA" w:rsidP="00413ECA">
      <w:pPr>
        <w:pStyle w:val="ListBullet"/>
      </w:pPr>
      <w:r w:rsidRPr="009174D5">
        <w:rPr>
          <w:vanish/>
          <w:spacing w:val="0"/>
        </w:rPr>
        <w:lastRenderedPageBreak/>
        <w:t>BR_2.18</w:t>
      </w:r>
      <w:r>
        <w:rPr>
          <w:vanish/>
          <w:spacing w:val="0"/>
        </w:rPr>
        <w:t xml:space="preserve"> </w:t>
      </w:r>
      <w:r>
        <w:t xml:space="preserve">VBECS displays the data that a user enters in a session. The user may edit the data and save them. When a user cancels, VBECS warns that it will not save the data. VBECS </w:t>
      </w:r>
      <w:r w:rsidR="00A62384" w:rsidRPr="00CF619F">
        <w:t>closes the form and</w:t>
      </w:r>
      <w:r w:rsidR="005A3214">
        <w:t xml:space="preserve"> </w:t>
      </w:r>
      <w:r w:rsidRPr="00CF619F">
        <w:t>returns the user to the main menu screen that may include unrelated open windows</w:t>
      </w:r>
      <w:r>
        <w:t>.</w:t>
      </w:r>
    </w:p>
    <w:p w:rsidR="00413ECA" w:rsidRDefault="00413ECA" w:rsidP="00413ECA">
      <w:pPr>
        <w:pStyle w:val="ListBullet"/>
      </w:pPr>
      <w:r>
        <w:rPr>
          <w:vanish/>
          <w:spacing w:val="0"/>
        </w:rPr>
        <w:t xml:space="preserve">BR_38.08 </w:t>
      </w:r>
      <w:r>
        <w:t xml:space="preserve">VBECS displays </w:t>
      </w:r>
      <w:r w:rsidR="00941683">
        <w:t xml:space="preserve">and enforces active </w:t>
      </w:r>
      <w:r w:rsidR="003937C6">
        <w:t>Transfusion R</w:t>
      </w:r>
      <w:r>
        <w:t xml:space="preserve">equirements </w:t>
      </w:r>
      <w:r w:rsidR="003937C6">
        <w:t xml:space="preserve">(TRs) </w:t>
      </w:r>
      <w:r>
        <w:t>to all divisions in a multi</w:t>
      </w:r>
      <w:r w:rsidR="00941683">
        <w:t>divisional database.</w:t>
      </w:r>
    </w:p>
    <w:p w:rsidR="00413ECA" w:rsidRDefault="00413ECA" w:rsidP="00413ECA">
      <w:pPr>
        <w:pStyle w:val="ListBullet"/>
      </w:pPr>
      <w:r>
        <w:rPr>
          <w:vanish/>
          <w:spacing w:val="0"/>
        </w:rPr>
        <w:t xml:space="preserve">BR_52.04 </w:t>
      </w:r>
      <w:r>
        <w:t>The user may not edit the title column of the data grid that specifies the reagent used in the test with a patient specimen.</w:t>
      </w:r>
    </w:p>
    <w:p w:rsidR="00413ECA" w:rsidRDefault="00413ECA" w:rsidP="00413ECA">
      <w:pPr>
        <w:pStyle w:val="ListBullet"/>
      </w:pPr>
      <w:r>
        <w:rPr>
          <w:vanish/>
          <w:spacing w:val="0"/>
        </w:rPr>
        <w:t xml:space="preserve">BR_2.01 </w:t>
      </w:r>
      <w:r>
        <w:t>Unless otherwise indicated, data entry and retrieval are restricted to the division logged into.</w:t>
      </w:r>
    </w:p>
    <w:p w:rsidR="00413ECA" w:rsidRDefault="00413ECA" w:rsidP="00413ECA">
      <w:pPr>
        <w:pStyle w:val="ListBullet"/>
      </w:pPr>
      <w:r>
        <w:rPr>
          <w:vanish/>
          <w:spacing w:val="0"/>
        </w:rPr>
        <w:t xml:space="preserve">BR_56.08 </w:t>
      </w:r>
      <w:r w:rsidR="00AD6662" w:rsidRPr="00AD6662">
        <w:rPr>
          <w:spacing w:val="0"/>
        </w:rPr>
        <w:t>To enter data after VBECS has been unavailable, a</w:t>
      </w:r>
      <w:r w:rsidRPr="00AD6662">
        <w:t xml:space="preserve"> u</w:t>
      </w:r>
      <w:r>
        <w:t xml:space="preserve">ser may </w:t>
      </w:r>
      <w:r w:rsidR="00AD6662">
        <w:t>enter</w:t>
      </w:r>
      <w:r>
        <w:t xml:space="preserve"> a past date, time, and the technologist who performed the work.</w:t>
      </w:r>
    </w:p>
    <w:p w:rsidR="00413ECA" w:rsidRDefault="00413ECA" w:rsidP="00413ECA">
      <w:pPr>
        <w:pStyle w:val="ListBullet"/>
      </w:pPr>
      <w:r>
        <w:rPr>
          <w:vanish/>
          <w:spacing w:val="0"/>
        </w:rPr>
        <w:t xml:space="preserve">BR_77.10 </w:t>
      </w:r>
      <w:r>
        <w:t>VBECS displays changes in reverse chronological order.</w:t>
      </w:r>
    </w:p>
    <w:p w:rsidR="00A62384" w:rsidRDefault="00413ECA" w:rsidP="00413ECA">
      <w:pPr>
        <w:pStyle w:val="ListBullet"/>
      </w:pPr>
      <w:r>
        <w:rPr>
          <w:vanish/>
          <w:spacing w:val="0"/>
        </w:rPr>
        <w:t xml:space="preserve">BR_3.22 </w:t>
      </w:r>
      <w:r>
        <w:t>VBECS calculates and displays the days (hours, if less than one day) remaining until a unit’s expiration based on the date and time of unit selection entered during modification.</w:t>
      </w:r>
    </w:p>
    <w:p w:rsidR="00A62384" w:rsidRDefault="00A62384" w:rsidP="00A62384">
      <w:pPr>
        <w:pStyle w:val="ListBullet"/>
      </w:pPr>
      <w:r>
        <w:rPr>
          <w:vanish/>
          <w:spacing w:val="0"/>
        </w:rPr>
        <w:t>BR_1.22</w:t>
      </w:r>
      <w:r w:rsidR="00CE3961">
        <w:rPr>
          <w:vanish/>
          <w:spacing w:val="0"/>
        </w:rPr>
        <w:t>,</w:t>
      </w:r>
      <w:r>
        <w:rPr>
          <w:vanish/>
          <w:spacing w:val="0"/>
        </w:rPr>
        <w:t xml:space="preserve"> BR_1.23 </w:t>
      </w:r>
      <w:r>
        <w:rPr>
          <w:color w:val="000000"/>
        </w:rPr>
        <w:t>The format of an</w:t>
      </w:r>
      <w:r>
        <w:t xml:space="preserve"> expiration date may be “mmddyy” or “mmddyyyy” (Codabar)</w:t>
      </w:r>
      <w:r w:rsidR="003937C6">
        <w:t>.</w:t>
      </w:r>
    </w:p>
    <w:p w:rsidR="00A62384" w:rsidRDefault="00A62384" w:rsidP="00A62384">
      <w:pPr>
        <w:pStyle w:val="ListBullet"/>
      </w:pPr>
      <w:r>
        <w:t>Data are never deleted: they are saved indefinitely.</w:t>
      </w:r>
    </w:p>
    <w:p w:rsidR="00EF6BBD" w:rsidRDefault="00EF6BBD" w:rsidP="00A62384">
      <w:pPr>
        <w:pStyle w:val="ListBullet"/>
      </w:pPr>
      <w:r>
        <w:t xml:space="preserve">Although a user may </w:t>
      </w:r>
      <w:r w:rsidR="00C71503">
        <w:t xml:space="preserve">appear to </w:t>
      </w:r>
      <w:r>
        <w:t>select and delete data in gray fields, VBECS does not save such edits.</w:t>
      </w:r>
    </w:p>
    <w:p w:rsidR="00993A74" w:rsidRDefault="00993A74" w:rsidP="00A62384">
      <w:pPr>
        <w:pStyle w:val="ListBullet"/>
      </w:pPr>
      <w:r>
        <w:t xml:space="preserve">A column’s width may be adjusted or hidden for a session. This view returns to the default presentation when the view is opened again. </w:t>
      </w:r>
      <w:r w:rsidRPr="00C242AA">
        <w:rPr>
          <w:vanish/>
        </w:rPr>
        <w:t>DR 2218</w:t>
      </w:r>
    </w:p>
    <w:p w:rsidR="00A62384" w:rsidRDefault="00A62384" w:rsidP="00A62384">
      <w:pPr>
        <w:pStyle w:val="Heading3"/>
      </w:pPr>
      <w:bookmarkStart w:id="54" w:name="_Toc459900041"/>
      <w:r>
        <w:t>Searching the Database</w:t>
      </w:r>
      <w:bookmarkEnd w:id="54"/>
      <w:r>
        <w:fldChar w:fldCharType="begin"/>
      </w:r>
      <w:r>
        <w:instrText xml:space="preserve"> XE </w:instrText>
      </w:r>
      <w:r w:rsidR="00FA7E65">
        <w:instrText>“</w:instrText>
      </w:r>
      <w:r>
        <w:instrText>Searching the Database</w:instrText>
      </w:r>
      <w:r w:rsidR="00FA7E65">
        <w:instrText>”</w:instrText>
      </w:r>
      <w:r>
        <w:instrText xml:space="preserve"> </w:instrText>
      </w:r>
      <w:r>
        <w:fldChar w:fldCharType="end"/>
      </w:r>
    </w:p>
    <w:p w:rsidR="00A62384" w:rsidRDefault="00A62384" w:rsidP="00A62384">
      <w:pPr>
        <w:pStyle w:val="ListBullet"/>
      </w:pPr>
      <w:r>
        <w:rPr>
          <w:vanish/>
          <w:spacing w:val="0"/>
        </w:rPr>
        <w:t xml:space="preserve">BR_3.20 </w:t>
      </w:r>
      <w:r>
        <w:rPr>
          <w:rFonts w:cs="Arial"/>
        </w:rPr>
        <w:t>A user may</w:t>
      </w:r>
      <w:r>
        <w:t xml:space="preserve"> search for a patient by:</w:t>
      </w:r>
    </w:p>
    <w:p w:rsidR="00A62384" w:rsidRDefault="00A62384" w:rsidP="00A12E97">
      <w:pPr>
        <w:pStyle w:val="ListBullet2"/>
      </w:pPr>
      <w:r>
        <w:t>Last name</w:t>
      </w:r>
    </w:p>
    <w:p w:rsidR="00A62384" w:rsidRDefault="00A62384" w:rsidP="00A12E97">
      <w:pPr>
        <w:pStyle w:val="ListBullet2"/>
      </w:pPr>
      <w:r>
        <w:t>ID</w:t>
      </w:r>
      <w:r w:rsidR="00882CF0">
        <w:t xml:space="preserve"> </w:t>
      </w:r>
      <w:r w:rsidR="00EB26C9">
        <w:t>(omit hyphens)</w:t>
      </w:r>
      <w:r w:rsidR="006F2228">
        <w:t xml:space="preserve"> (“Full”)</w:t>
      </w:r>
    </w:p>
    <w:p w:rsidR="00A62384" w:rsidRDefault="00A62384" w:rsidP="00A12E97">
      <w:pPr>
        <w:pStyle w:val="ListBullet2"/>
      </w:pPr>
      <w:r>
        <w:t>Initial of the last name and last four numbers of the ID</w:t>
      </w:r>
      <w:r w:rsidR="006F2228">
        <w:t xml:space="preserve"> (“Last 5”)</w:t>
      </w:r>
    </w:p>
    <w:p w:rsidR="00A62384" w:rsidRDefault="00A62384" w:rsidP="00A12E97">
      <w:pPr>
        <w:pStyle w:val="ListBullet2"/>
      </w:pPr>
      <w:r>
        <w:t>Last four numbers of the ID</w:t>
      </w:r>
      <w:r w:rsidR="006F2228">
        <w:t xml:space="preserve"> (“Last 4”)</w:t>
      </w:r>
    </w:p>
    <w:p w:rsidR="00A62384" w:rsidRDefault="00A62384" w:rsidP="00A62384">
      <w:pPr>
        <w:pStyle w:val="ListBullet"/>
      </w:pPr>
      <w:r>
        <w:rPr>
          <w:vanish/>
          <w:spacing w:val="0"/>
        </w:rPr>
        <w:t xml:space="preserve">BR_4.01 </w:t>
      </w:r>
      <w:r>
        <w:t xml:space="preserve">A user must scan or enter a unit ID and a product code to select a unit from inventory. </w:t>
      </w:r>
    </w:p>
    <w:p w:rsidR="00A62384" w:rsidRDefault="00A62384" w:rsidP="00A62384">
      <w:pPr>
        <w:pStyle w:val="ListBullet"/>
        <w:rPr>
          <w:vanish/>
          <w:spacing w:val="0"/>
        </w:rPr>
      </w:pPr>
      <w:r>
        <w:rPr>
          <w:vanish/>
          <w:spacing w:val="0"/>
        </w:rPr>
        <w:t>(BR_6.02 This rule is included in the Security section.)</w:t>
      </w:r>
    </w:p>
    <w:p w:rsidR="00413ECA" w:rsidRDefault="00A62384" w:rsidP="00413ECA">
      <w:pPr>
        <w:pStyle w:val="ListBullet"/>
      </w:pPr>
      <w:r w:rsidRPr="00B36B12">
        <w:rPr>
          <w:vanish/>
          <w:spacing w:val="0"/>
        </w:rPr>
        <w:t>BR_27.13</w:t>
      </w:r>
      <w:r>
        <w:rPr>
          <w:vanish/>
          <w:spacing w:val="0"/>
        </w:rPr>
        <w:t xml:space="preserve"> </w:t>
      </w:r>
      <w:r>
        <w:t>When VBECS does not find a unit record, it displays an error message stating that the unit wa</w:t>
      </w:r>
      <w:r w:rsidR="00413ECA">
        <w:t>s not found and instructing the user to reenter unit information. A user may close this message</w:t>
      </w:r>
      <w:r w:rsidR="0049278C">
        <w:t xml:space="preserve">, click </w:t>
      </w:r>
      <w:r w:rsidR="0049278C" w:rsidRPr="0049278C">
        <w:rPr>
          <w:b/>
        </w:rPr>
        <w:t>Clear</w:t>
      </w:r>
      <w:r w:rsidR="0049278C">
        <w:t>,</w:t>
      </w:r>
      <w:r w:rsidR="00413ECA">
        <w:t xml:space="preserve"> and enter </w:t>
      </w:r>
      <w:r w:rsidR="0049278C">
        <w:t>another</w:t>
      </w:r>
      <w:r w:rsidR="00413ECA">
        <w:t xml:space="preserve"> unit ID and product code.</w:t>
      </w:r>
      <w:r w:rsidR="0049278C">
        <w:t xml:space="preserve"> </w:t>
      </w:r>
    </w:p>
    <w:p w:rsidR="00413ECA" w:rsidRDefault="00413ECA" w:rsidP="00413ECA">
      <w:pPr>
        <w:pStyle w:val="ListBullet"/>
      </w:pPr>
      <w:r>
        <w:rPr>
          <w:vanish/>
          <w:spacing w:val="0"/>
        </w:rPr>
        <w:t xml:space="preserve">BR_2.13 </w:t>
      </w:r>
      <w:r>
        <w:t>VBECS associates the technologist ID, date, time, and division with each process for retrieval by division.</w:t>
      </w:r>
    </w:p>
    <w:p w:rsidR="00D776D1" w:rsidRDefault="00413ECA" w:rsidP="00D776D1">
      <w:pPr>
        <w:pStyle w:val="ListBullet"/>
      </w:pPr>
      <w:r>
        <w:rPr>
          <w:vanish/>
          <w:spacing w:val="0"/>
        </w:rPr>
        <w:t xml:space="preserve">BR_5.02 </w:t>
      </w:r>
      <w:r>
        <w:t>VBECS lists all or part of a division</w:t>
      </w:r>
      <w:r w:rsidR="00FA7E65">
        <w:t>’</w:t>
      </w:r>
      <w:r w:rsidR="00A62384">
        <w:t>s blood component inventory, based on system rules. A user may enter a varied co</w:t>
      </w:r>
      <w:r w:rsidR="00D776D1">
        <w:t>mbination of unit information to create a customized list of selectable units, including:</w:t>
      </w:r>
    </w:p>
    <w:p w:rsidR="00D776D1" w:rsidRDefault="00D776D1" w:rsidP="00D776D1">
      <w:pPr>
        <w:pStyle w:val="ListBullet2"/>
      </w:pPr>
      <w:r>
        <w:t>Unit ID</w:t>
      </w:r>
    </w:p>
    <w:p w:rsidR="00D776D1" w:rsidRDefault="00D776D1" w:rsidP="00D776D1">
      <w:pPr>
        <w:pStyle w:val="ListBullet2"/>
      </w:pPr>
      <w:r>
        <w:t>Product type</w:t>
      </w:r>
    </w:p>
    <w:p w:rsidR="00D776D1" w:rsidRDefault="00D776D1" w:rsidP="00D776D1">
      <w:pPr>
        <w:pStyle w:val="ListBullet2"/>
      </w:pPr>
      <w:r>
        <w:t>ABO/Rh</w:t>
      </w:r>
    </w:p>
    <w:p w:rsidR="00D776D1" w:rsidRDefault="00D776D1" w:rsidP="00D776D1">
      <w:pPr>
        <w:pStyle w:val="ListBullet2"/>
      </w:pPr>
      <w:r>
        <w:t>Special testing</w:t>
      </w:r>
    </w:p>
    <w:p w:rsidR="00D776D1" w:rsidRDefault="00D776D1" w:rsidP="00D776D1">
      <w:pPr>
        <w:pStyle w:val="ListBullet2"/>
      </w:pPr>
      <w:r>
        <w:t>RBC antigens (available only for the RED BLOOD CELLS component class)</w:t>
      </w:r>
    </w:p>
    <w:p w:rsidR="00A62384" w:rsidRDefault="00D776D1" w:rsidP="00D776D1">
      <w:pPr>
        <w:pStyle w:val="ListBullet2"/>
      </w:pPr>
      <w:r>
        <w:t>Received date range</w:t>
      </w:r>
    </w:p>
    <w:p w:rsidR="00A62384" w:rsidRDefault="00A62384" w:rsidP="00A62384">
      <w:pPr>
        <w:pStyle w:val="ListBullet2"/>
      </w:pPr>
      <w:r>
        <w:t>Expiration date range</w:t>
      </w:r>
    </w:p>
    <w:p w:rsidR="00A62384" w:rsidRDefault="00A62384" w:rsidP="00A62384">
      <w:pPr>
        <w:pStyle w:val="TableText"/>
      </w:pPr>
    </w:p>
    <w:p w:rsidR="00A62384" w:rsidRDefault="00A62384" w:rsidP="00A62384">
      <w:pPr>
        <w:pStyle w:val="ListBullet"/>
        <w:numPr>
          <w:ilvl w:val="0"/>
          <w:numId w:val="0"/>
        </w:numPr>
        <w:ind w:left="576"/>
      </w:pPr>
      <w:r>
        <w:t xml:space="preserve">VBECS displays this unit information in the selection list whether full inventory, subset, or filtered subset: </w:t>
      </w:r>
    </w:p>
    <w:p w:rsidR="00A62384" w:rsidRDefault="00A62384" w:rsidP="00A62384">
      <w:pPr>
        <w:pStyle w:val="ListBullet2"/>
      </w:pPr>
      <w:r>
        <w:t>Unit ID</w:t>
      </w:r>
    </w:p>
    <w:p w:rsidR="00A62384" w:rsidRDefault="00A62384" w:rsidP="00A62384">
      <w:pPr>
        <w:pStyle w:val="ListBullet2"/>
      </w:pPr>
      <w:r>
        <w:t>Unit ABO/Rh</w:t>
      </w:r>
    </w:p>
    <w:p w:rsidR="00A62384" w:rsidRDefault="00A62384" w:rsidP="00A62384">
      <w:pPr>
        <w:pStyle w:val="ListBullet2"/>
      </w:pPr>
      <w:r>
        <w:t>Product short name</w:t>
      </w:r>
    </w:p>
    <w:p w:rsidR="00A62384" w:rsidRDefault="00A62384" w:rsidP="00A62384">
      <w:pPr>
        <w:pStyle w:val="ListBullet2"/>
      </w:pPr>
      <w:r>
        <w:t>Product code</w:t>
      </w:r>
    </w:p>
    <w:p w:rsidR="00A62384" w:rsidRDefault="00A62384" w:rsidP="00A62384">
      <w:pPr>
        <w:pStyle w:val="ListBullet2"/>
      </w:pPr>
      <w:r>
        <w:lastRenderedPageBreak/>
        <w:t>Unit status</w:t>
      </w:r>
    </w:p>
    <w:p w:rsidR="00A62384" w:rsidRDefault="00A62384" w:rsidP="00A62384">
      <w:pPr>
        <w:pStyle w:val="ListBullet2"/>
      </w:pPr>
      <w:r>
        <w:t>Unit expiration date</w:t>
      </w:r>
    </w:p>
    <w:p w:rsidR="00A62384" w:rsidRDefault="00A62384" w:rsidP="00A62384">
      <w:pPr>
        <w:pStyle w:val="ListBullet2"/>
      </w:pPr>
      <w:r>
        <w:t>Donation type</w:t>
      </w:r>
    </w:p>
    <w:p w:rsidR="00176C67" w:rsidRDefault="00176C67" w:rsidP="00A62384">
      <w:pPr>
        <w:pStyle w:val="ListBullet2"/>
      </w:pPr>
      <w:r>
        <w:t xml:space="preserve">Restricted for patient name, when available </w:t>
      </w:r>
      <w:r w:rsidRPr="00176C67">
        <w:rPr>
          <w:vanish/>
        </w:rPr>
        <w:t>BR_5.02</w:t>
      </w:r>
    </w:p>
    <w:p w:rsidR="00A62384" w:rsidRDefault="00A62384" w:rsidP="00A62384">
      <w:pPr>
        <w:pStyle w:val="ListBullet2"/>
      </w:pPr>
      <w:r>
        <w:t>Date and time received (standard format)</w:t>
      </w:r>
    </w:p>
    <w:p w:rsidR="00A62384" w:rsidRDefault="00A62384" w:rsidP="00A62384">
      <w:pPr>
        <w:pStyle w:val="Heading3"/>
      </w:pPr>
      <w:bookmarkStart w:id="55" w:name="_Toc459900042"/>
      <w:r>
        <w:t>Testing</w:t>
      </w:r>
      <w:bookmarkEnd w:id="55"/>
      <w:r>
        <w:fldChar w:fldCharType="begin"/>
      </w:r>
      <w:r>
        <w:instrText xml:space="preserve"> XE </w:instrText>
      </w:r>
      <w:r w:rsidR="00FA7E65">
        <w:instrText>“</w:instrText>
      </w:r>
      <w:r>
        <w:instrText>Testing</w:instrText>
      </w:r>
      <w:r w:rsidR="00FA7E65">
        <w:instrText>”</w:instrText>
      </w:r>
      <w:r>
        <w:instrText xml:space="preserve"> </w:instrText>
      </w:r>
      <w:r>
        <w:fldChar w:fldCharType="end"/>
      </w:r>
    </w:p>
    <w:p w:rsidR="00FB5C42" w:rsidRDefault="00154095" w:rsidP="00A62384">
      <w:pPr>
        <w:pStyle w:val="ListBulle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sidR="00377EE1">
        <w:t xml:space="preserve">Administrator/Supervisors may configure reagent racks to use </w:t>
      </w:r>
      <w:r w:rsidR="002C1235">
        <w:t xml:space="preserve">a </w:t>
      </w:r>
      <w:r w:rsidR="00377EE1">
        <w:t>tube</w:t>
      </w:r>
      <w:r w:rsidR="003937C6">
        <w:t xml:space="preserve">, solid phase, </w:t>
      </w:r>
      <w:r w:rsidR="00377EE1">
        <w:t xml:space="preserve">or gel </w:t>
      </w:r>
      <w:r w:rsidR="002C1235">
        <w:t>method</w:t>
      </w:r>
      <w:r w:rsidR="00377EE1">
        <w:t xml:space="preserve">. </w:t>
      </w:r>
    </w:p>
    <w:p w:rsidR="004B7774" w:rsidRDefault="000873D0" w:rsidP="004B7774">
      <w:pPr>
        <w:pStyle w:val="ListBullet2"/>
        <w:ind w:left="900" w:hanging="252"/>
      </w:pPr>
      <w:r>
        <w:t xml:space="preserve">VBECS allows a user to </w:t>
      </w:r>
      <w:r w:rsidR="001F33D5">
        <w:t>perform QC testing at AHG and later perform patient testing at all phases using a rack configured for AHG only</w:t>
      </w:r>
      <w:r>
        <w:t xml:space="preserve">. </w:t>
      </w:r>
    </w:p>
    <w:p w:rsidR="004B7774" w:rsidRDefault="00FF4225" w:rsidP="004B7774">
      <w:pPr>
        <w:pStyle w:val="ListBullet2"/>
        <w:ind w:left="900" w:hanging="252"/>
      </w:pPr>
      <w:r>
        <w:t xml:space="preserve">VBECS does not verify that the phase of testing matches the reagents used for testing. </w:t>
      </w:r>
    </w:p>
    <w:p w:rsidR="00FB5C42" w:rsidRDefault="000F57D8" w:rsidP="004B7774">
      <w:pPr>
        <w:pStyle w:val="ListBullet2"/>
        <w:ind w:left="900" w:hanging="252"/>
      </w:pPr>
      <w:r>
        <w:t xml:space="preserve">Users </w:t>
      </w:r>
      <w:r w:rsidR="00B3507E">
        <w:t>working with</w:t>
      </w:r>
      <w:r w:rsidR="00D47277">
        <w:t xml:space="preserve"> reagent racks </w:t>
      </w:r>
      <w:r w:rsidR="00B3507E">
        <w:t>containing</w:t>
      </w:r>
      <w:r w:rsidR="00D47277">
        <w:t xml:space="preserve"> different reagents must </w:t>
      </w:r>
      <w:r w:rsidR="001911CF">
        <w:t>do so in accordance with</w:t>
      </w:r>
      <w:r w:rsidR="00D47277">
        <w:t xml:space="preserve"> local policy and procedure</w:t>
      </w:r>
      <w:r w:rsidR="00440BE1">
        <w:t>s</w:t>
      </w:r>
      <w:r w:rsidR="00D47277">
        <w:t xml:space="preserve">. </w:t>
      </w:r>
    </w:p>
    <w:p w:rsidR="0048460C" w:rsidRDefault="00A62384" w:rsidP="00A62384">
      <w:pPr>
        <w:pStyle w:val="ListBullet"/>
      </w:pPr>
      <w:r>
        <w:t>Reaction result cells in the data grid contain only symbols. A legend of the symbols and their meanings, specific to the data grid and its truth tables, is located in the bottom left corner of the form and is available to the user throughout data entry.</w:t>
      </w:r>
      <w:r w:rsidR="0048460C" w:rsidRPr="0048460C">
        <w:t xml:space="preserve"> </w:t>
      </w:r>
    </w:p>
    <w:p w:rsidR="00A62384" w:rsidRDefault="0048460C" w:rsidP="00A62384">
      <w:pPr>
        <w:pStyle w:val="ListBullet"/>
      </w:pPr>
      <w:r>
        <w:t xml:space="preserve">Entry of a symbol (not a number or letter) </w:t>
      </w:r>
      <w:r w:rsidRPr="0048460C">
        <w:t xml:space="preserve">into a test grid reaction result cell or interpretation </w:t>
      </w:r>
      <w:r>
        <w:t>field</w:t>
      </w:r>
      <w:r w:rsidRPr="0048460C">
        <w:t xml:space="preserve"> </w:t>
      </w:r>
      <w:r>
        <w:t>will not elicit a sy</w:t>
      </w:r>
      <w:r w:rsidRPr="0048460C">
        <w:t>stem response. The entry of the symbol is not allowed and does not overwrite the previous entry, if any</w:t>
      </w:r>
      <w:r w:rsidR="002106D5">
        <w:t xml:space="preserve">. </w:t>
      </w:r>
      <w:r w:rsidR="002106D5" w:rsidRPr="00331163">
        <w:t xml:space="preserve">See </w:t>
      </w:r>
      <w:r w:rsidR="002106D5" w:rsidRPr="00331163">
        <w:fldChar w:fldCharType="begin"/>
      </w:r>
      <w:r w:rsidR="002106D5" w:rsidRPr="00331163">
        <w:instrText xml:space="preserve"> REF _Ref256686283 \h </w:instrText>
      </w:r>
      <w:r w:rsidR="002106D5" w:rsidRPr="00331163">
        <w:instrText xml:space="preserve"> \* MERGEFORMAT </w:instrText>
      </w:r>
      <w:r w:rsidR="002106D5" w:rsidRPr="00331163">
        <w:fldChar w:fldCharType="separate"/>
      </w:r>
      <w:r w:rsidR="005F38BC">
        <w:t xml:space="preserve">Table </w:t>
      </w:r>
      <w:r w:rsidR="005F38BC">
        <w:rPr>
          <w:noProof/>
        </w:rPr>
        <w:t>2</w:t>
      </w:r>
      <w:r w:rsidR="002106D5" w:rsidRPr="00331163">
        <w:fldChar w:fldCharType="end"/>
      </w:r>
      <w:r w:rsidR="002106D5" w:rsidRPr="00331163">
        <w:t xml:space="preserve"> for</w:t>
      </w:r>
      <w:r w:rsidR="00F84DED" w:rsidRPr="00331163">
        <w:t xml:space="preserve"> valid</w:t>
      </w:r>
      <w:r w:rsidR="002106D5" w:rsidRPr="00331163">
        <w:t xml:space="preserve"> observed test result entries.</w:t>
      </w:r>
      <w:r w:rsidRPr="0048460C">
        <w:rPr>
          <w:vanish/>
        </w:rPr>
        <w:t>DR 2,877</w:t>
      </w:r>
    </w:p>
    <w:p w:rsidR="00E755C0" w:rsidRDefault="00E755C0" w:rsidP="00A62384">
      <w:pPr>
        <w:pStyle w:val="ListBullet"/>
      </w:pPr>
      <w:r>
        <w:t xml:space="preserve">After entering a canned or free-text comment in the testing comment field of the testing grid, the user must press </w:t>
      </w:r>
      <w:r w:rsidRPr="00E755C0">
        <w:rPr>
          <w:b/>
        </w:rPr>
        <w:t>Enter</w:t>
      </w:r>
      <w:r>
        <w:t xml:space="preserve"> to store the comment.</w:t>
      </w:r>
    </w:p>
    <w:p w:rsidR="00B071D4" w:rsidRDefault="00A62384" w:rsidP="00B071D4">
      <w:pPr>
        <w:pStyle w:val="ListBullet"/>
      </w:pPr>
      <w:r>
        <w:t>The user may enter canned comments in comment cells by selecting from a pick list, or enter free-text</w:t>
      </w:r>
      <w:r w:rsidR="005A3214">
        <w:t xml:space="preserve"> </w:t>
      </w:r>
      <w:r w:rsidR="00B071D4">
        <w:t>comments by selecting “Other.”</w:t>
      </w:r>
    </w:p>
    <w:p w:rsidR="00A62384" w:rsidRDefault="00B071D4" w:rsidP="00B071D4">
      <w:pPr>
        <w:pStyle w:val="Caption"/>
      </w:pPr>
      <w:bookmarkStart w:id="56" w:name="_Ref256686283"/>
      <w:r>
        <w:t xml:space="preserve">Table </w:t>
      </w:r>
      <w:r>
        <w:fldChar w:fldCharType="begin"/>
      </w:r>
      <w:r>
        <w:instrText xml:space="preserve"> SEQ Table \* ARABIC </w:instrText>
      </w:r>
      <w:r>
        <w:fldChar w:fldCharType="separate"/>
      </w:r>
      <w:r w:rsidR="005F38BC">
        <w:rPr>
          <w:noProof/>
        </w:rPr>
        <w:t>2</w:t>
      </w:r>
      <w:r>
        <w:fldChar w:fldCharType="end"/>
      </w:r>
      <w:bookmarkEnd w:id="56"/>
      <w:r>
        <w:t>: Valid Observed Test Result Entries</w:t>
      </w:r>
      <w:r>
        <w:fldChar w:fldCharType="begin"/>
      </w:r>
      <w:r>
        <w:instrText xml:space="preserve"> XE “Tables:Valid Observed Test Results Entries” </w:instrText>
      </w:r>
      <w:r>
        <w:fldChar w:fldCharType="end"/>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520"/>
        <w:gridCol w:w="1260"/>
      </w:tblGrid>
      <w:tr w:rsidR="00F77F81">
        <w:trPr>
          <w:tblHeader/>
        </w:trPr>
        <w:tc>
          <w:tcPr>
            <w:tcW w:w="720" w:type="dxa"/>
            <w:shd w:val="clear" w:color="auto" w:fill="B3B3B3"/>
            <w:vAlign w:val="bottom"/>
          </w:tcPr>
          <w:p w:rsidR="00F77F81" w:rsidRDefault="00F77F81" w:rsidP="008E68C8">
            <w:pPr>
              <w:pStyle w:val="TableText"/>
              <w:jc w:val="center"/>
              <w:rPr>
                <w:b/>
              </w:rPr>
            </w:pPr>
            <w:r>
              <w:rPr>
                <w:b/>
              </w:rPr>
              <w:t>Entry</w:t>
            </w:r>
          </w:p>
        </w:tc>
        <w:tc>
          <w:tcPr>
            <w:tcW w:w="3780" w:type="dxa"/>
            <w:gridSpan w:val="2"/>
            <w:shd w:val="clear" w:color="auto" w:fill="B3B3B3"/>
            <w:vAlign w:val="bottom"/>
          </w:tcPr>
          <w:p w:rsidR="00F77F81" w:rsidRDefault="00F77F81" w:rsidP="008E68C8">
            <w:pPr>
              <w:pStyle w:val="TableText"/>
              <w:jc w:val="center"/>
              <w:rPr>
                <w:b/>
              </w:rPr>
            </w:pPr>
            <w:r>
              <w:rPr>
                <w:b/>
              </w:rPr>
              <w:t>VBECS Translation</w:t>
            </w:r>
          </w:p>
        </w:tc>
      </w:tr>
      <w:tr w:rsidR="00F77F81">
        <w:tc>
          <w:tcPr>
            <w:tcW w:w="720" w:type="dxa"/>
            <w:vAlign w:val="bottom"/>
          </w:tcPr>
          <w:p w:rsidR="00F77F81" w:rsidRDefault="00F77F81" w:rsidP="008E68C8">
            <w:pPr>
              <w:pStyle w:val="TableText"/>
              <w:jc w:val="center"/>
            </w:pPr>
            <w:r>
              <w:t>H</w:t>
            </w:r>
          </w:p>
        </w:tc>
        <w:tc>
          <w:tcPr>
            <w:tcW w:w="2520" w:type="dxa"/>
            <w:vAlign w:val="bottom"/>
          </w:tcPr>
          <w:p w:rsidR="00F77F81" w:rsidRDefault="00F77F81" w:rsidP="008E68C8">
            <w:pPr>
              <w:pStyle w:val="TableText"/>
            </w:pPr>
            <w:r>
              <w:t>Hemolysis</w:t>
            </w:r>
          </w:p>
        </w:tc>
        <w:tc>
          <w:tcPr>
            <w:tcW w:w="1260" w:type="dxa"/>
            <w:vAlign w:val="bottom"/>
          </w:tcPr>
          <w:p w:rsidR="00F77F81" w:rsidRDefault="00F77F81" w:rsidP="008E68C8">
            <w:pPr>
              <w:pStyle w:val="TableText"/>
            </w:pPr>
            <w:r>
              <w:t>Positive</w:t>
            </w:r>
          </w:p>
        </w:tc>
      </w:tr>
      <w:tr w:rsidR="00F77F81">
        <w:tc>
          <w:tcPr>
            <w:tcW w:w="720" w:type="dxa"/>
            <w:vAlign w:val="bottom"/>
          </w:tcPr>
          <w:p w:rsidR="00F77F81" w:rsidRDefault="00F77F81" w:rsidP="008E68C8">
            <w:pPr>
              <w:pStyle w:val="TableText"/>
              <w:jc w:val="center"/>
            </w:pPr>
            <w:r>
              <w:t>W</w:t>
            </w:r>
          </w:p>
        </w:tc>
        <w:tc>
          <w:tcPr>
            <w:tcW w:w="2520" w:type="dxa"/>
            <w:vAlign w:val="bottom"/>
          </w:tcPr>
          <w:p w:rsidR="00F77F81" w:rsidRDefault="00F77F81" w:rsidP="008E68C8">
            <w:pPr>
              <w:pStyle w:val="TableText"/>
            </w:pPr>
            <w:r>
              <w:t>Weak</w:t>
            </w:r>
          </w:p>
        </w:tc>
        <w:tc>
          <w:tcPr>
            <w:tcW w:w="1260" w:type="dxa"/>
            <w:vAlign w:val="bottom"/>
          </w:tcPr>
          <w:p w:rsidR="00F77F81" w:rsidRDefault="00F77F81" w:rsidP="008E68C8">
            <w:pPr>
              <w:pStyle w:val="TableText"/>
            </w:pPr>
            <w:r>
              <w:t>Positive</w:t>
            </w:r>
          </w:p>
        </w:tc>
      </w:tr>
      <w:tr w:rsidR="00F77F81">
        <w:tc>
          <w:tcPr>
            <w:tcW w:w="720" w:type="dxa"/>
            <w:vAlign w:val="bottom"/>
          </w:tcPr>
          <w:p w:rsidR="00F77F81" w:rsidRDefault="00F77F81" w:rsidP="008E68C8">
            <w:pPr>
              <w:pStyle w:val="TableText"/>
              <w:jc w:val="center"/>
            </w:pPr>
            <w:r>
              <w:t>F</w:t>
            </w:r>
          </w:p>
        </w:tc>
        <w:tc>
          <w:tcPr>
            <w:tcW w:w="2520" w:type="dxa"/>
            <w:vAlign w:val="bottom"/>
          </w:tcPr>
          <w:p w:rsidR="00F77F81" w:rsidRDefault="00F77F81" w:rsidP="008E68C8">
            <w:pPr>
              <w:pStyle w:val="TableText"/>
            </w:pPr>
            <w:r>
              <w:t>Mixed Field</w:t>
            </w:r>
          </w:p>
        </w:tc>
        <w:tc>
          <w:tcPr>
            <w:tcW w:w="1260" w:type="dxa"/>
            <w:vAlign w:val="bottom"/>
          </w:tcPr>
          <w:p w:rsidR="00F77F81" w:rsidRDefault="00F77F81" w:rsidP="008E68C8">
            <w:pPr>
              <w:pStyle w:val="TableText"/>
            </w:pPr>
            <w:r>
              <w:t>Positive</w:t>
            </w:r>
          </w:p>
        </w:tc>
      </w:tr>
      <w:tr w:rsidR="00F77F81">
        <w:tc>
          <w:tcPr>
            <w:tcW w:w="720" w:type="dxa"/>
            <w:vAlign w:val="bottom"/>
          </w:tcPr>
          <w:p w:rsidR="00F77F81" w:rsidRDefault="00F77F81" w:rsidP="008E68C8">
            <w:pPr>
              <w:pStyle w:val="TableText"/>
              <w:jc w:val="center"/>
            </w:pPr>
            <w:r>
              <w:t>M</w:t>
            </w:r>
          </w:p>
        </w:tc>
        <w:tc>
          <w:tcPr>
            <w:tcW w:w="2520" w:type="dxa"/>
            <w:vAlign w:val="bottom"/>
          </w:tcPr>
          <w:p w:rsidR="00F77F81" w:rsidRDefault="00F77F81" w:rsidP="008E68C8">
            <w:pPr>
              <w:pStyle w:val="TableText"/>
            </w:pPr>
            <w:r>
              <w:t>Microscopic</w:t>
            </w:r>
          </w:p>
        </w:tc>
        <w:tc>
          <w:tcPr>
            <w:tcW w:w="1260" w:type="dxa"/>
            <w:vAlign w:val="bottom"/>
          </w:tcPr>
          <w:p w:rsidR="00F77F81" w:rsidRDefault="00F77F81" w:rsidP="008E68C8">
            <w:pPr>
              <w:pStyle w:val="TableText"/>
            </w:pPr>
            <w:r>
              <w:t>Positive</w:t>
            </w:r>
          </w:p>
        </w:tc>
      </w:tr>
      <w:tr w:rsidR="00F77F81">
        <w:tc>
          <w:tcPr>
            <w:tcW w:w="720" w:type="dxa"/>
            <w:vAlign w:val="bottom"/>
          </w:tcPr>
          <w:p w:rsidR="00F77F81" w:rsidRDefault="00F77F81" w:rsidP="008E68C8">
            <w:pPr>
              <w:pStyle w:val="TableText"/>
              <w:jc w:val="center"/>
            </w:pPr>
            <w:r>
              <w:t>1</w:t>
            </w:r>
          </w:p>
        </w:tc>
        <w:tc>
          <w:tcPr>
            <w:tcW w:w="2520" w:type="dxa"/>
            <w:vAlign w:val="bottom"/>
          </w:tcPr>
          <w:p w:rsidR="00F77F81" w:rsidRDefault="00F77F81" w:rsidP="008E68C8">
            <w:pPr>
              <w:pStyle w:val="TableText"/>
            </w:pPr>
            <w:r>
              <w:t>1+</w:t>
            </w:r>
          </w:p>
        </w:tc>
        <w:tc>
          <w:tcPr>
            <w:tcW w:w="1260" w:type="dxa"/>
            <w:vAlign w:val="bottom"/>
          </w:tcPr>
          <w:p w:rsidR="00F77F81" w:rsidRDefault="00F77F81" w:rsidP="008E68C8">
            <w:pPr>
              <w:pStyle w:val="TableText"/>
            </w:pPr>
            <w:r>
              <w:t>Positive</w:t>
            </w:r>
          </w:p>
        </w:tc>
      </w:tr>
      <w:tr w:rsidR="00F77F81">
        <w:tc>
          <w:tcPr>
            <w:tcW w:w="720" w:type="dxa"/>
            <w:vAlign w:val="bottom"/>
          </w:tcPr>
          <w:p w:rsidR="00F77F81" w:rsidRDefault="00F77F81" w:rsidP="008E68C8">
            <w:pPr>
              <w:pStyle w:val="TableText"/>
              <w:jc w:val="center"/>
            </w:pPr>
            <w:r>
              <w:t>2</w:t>
            </w:r>
          </w:p>
        </w:tc>
        <w:tc>
          <w:tcPr>
            <w:tcW w:w="2520" w:type="dxa"/>
            <w:vAlign w:val="bottom"/>
          </w:tcPr>
          <w:p w:rsidR="00F77F81" w:rsidRDefault="00F77F81" w:rsidP="008E68C8">
            <w:pPr>
              <w:pStyle w:val="TableText"/>
            </w:pPr>
            <w:r>
              <w:t>2+</w:t>
            </w:r>
          </w:p>
        </w:tc>
        <w:tc>
          <w:tcPr>
            <w:tcW w:w="1260" w:type="dxa"/>
            <w:vAlign w:val="bottom"/>
          </w:tcPr>
          <w:p w:rsidR="00F77F81" w:rsidRDefault="00F77F81" w:rsidP="008E68C8">
            <w:pPr>
              <w:pStyle w:val="TableText"/>
            </w:pPr>
            <w:r>
              <w:t>Positive</w:t>
            </w:r>
          </w:p>
        </w:tc>
      </w:tr>
      <w:tr w:rsidR="00F77F81">
        <w:tc>
          <w:tcPr>
            <w:tcW w:w="720" w:type="dxa"/>
            <w:vAlign w:val="bottom"/>
          </w:tcPr>
          <w:p w:rsidR="00F77F81" w:rsidRDefault="00F77F81" w:rsidP="008E68C8">
            <w:pPr>
              <w:pStyle w:val="TableText"/>
              <w:jc w:val="center"/>
            </w:pPr>
            <w:r>
              <w:t>3</w:t>
            </w:r>
          </w:p>
        </w:tc>
        <w:tc>
          <w:tcPr>
            <w:tcW w:w="2520" w:type="dxa"/>
            <w:vAlign w:val="bottom"/>
          </w:tcPr>
          <w:p w:rsidR="00F77F81" w:rsidRDefault="00F77F81" w:rsidP="008E68C8">
            <w:pPr>
              <w:pStyle w:val="TableText"/>
            </w:pPr>
            <w:r>
              <w:t>3+</w:t>
            </w:r>
          </w:p>
        </w:tc>
        <w:tc>
          <w:tcPr>
            <w:tcW w:w="1260" w:type="dxa"/>
            <w:vAlign w:val="bottom"/>
          </w:tcPr>
          <w:p w:rsidR="00F77F81" w:rsidRDefault="00F77F81" w:rsidP="008E68C8">
            <w:pPr>
              <w:pStyle w:val="TableText"/>
            </w:pPr>
            <w:r>
              <w:t>Positive</w:t>
            </w:r>
          </w:p>
        </w:tc>
      </w:tr>
      <w:tr w:rsidR="00F77F81">
        <w:tc>
          <w:tcPr>
            <w:tcW w:w="720" w:type="dxa"/>
            <w:vAlign w:val="bottom"/>
          </w:tcPr>
          <w:p w:rsidR="00F77F81" w:rsidRDefault="00F77F81" w:rsidP="008E68C8">
            <w:pPr>
              <w:pStyle w:val="TableText"/>
              <w:jc w:val="center"/>
            </w:pPr>
            <w:r>
              <w:t>4</w:t>
            </w:r>
          </w:p>
        </w:tc>
        <w:tc>
          <w:tcPr>
            <w:tcW w:w="2520" w:type="dxa"/>
            <w:vAlign w:val="bottom"/>
          </w:tcPr>
          <w:p w:rsidR="00F77F81" w:rsidRDefault="00F77F81" w:rsidP="008E68C8">
            <w:pPr>
              <w:pStyle w:val="TableText"/>
            </w:pPr>
            <w:r>
              <w:t>4+</w:t>
            </w:r>
          </w:p>
        </w:tc>
        <w:tc>
          <w:tcPr>
            <w:tcW w:w="1260" w:type="dxa"/>
            <w:vAlign w:val="bottom"/>
          </w:tcPr>
          <w:p w:rsidR="00F77F81" w:rsidRDefault="00F77F81" w:rsidP="008E68C8">
            <w:pPr>
              <w:pStyle w:val="TableText"/>
            </w:pPr>
            <w:r>
              <w:t>Positive</w:t>
            </w:r>
          </w:p>
        </w:tc>
      </w:tr>
      <w:tr w:rsidR="00F77F81">
        <w:tc>
          <w:tcPr>
            <w:tcW w:w="720" w:type="dxa"/>
            <w:vAlign w:val="bottom"/>
          </w:tcPr>
          <w:p w:rsidR="00F77F81" w:rsidRDefault="00F77F81" w:rsidP="008E68C8">
            <w:pPr>
              <w:pStyle w:val="TableText"/>
              <w:jc w:val="center"/>
            </w:pPr>
            <w:r>
              <w:t>X</w:t>
            </w:r>
          </w:p>
        </w:tc>
        <w:tc>
          <w:tcPr>
            <w:tcW w:w="2520" w:type="dxa"/>
            <w:vAlign w:val="bottom"/>
          </w:tcPr>
          <w:p w:rsidR="00F77F81" w:rsidRDefault="00F77F81" w:rsidP="008E68C8">
            <w:pPr>
              <w:pStyle w:val="TableText"/>
            </w:pPr>
            <w:r>
              <w:t>Not Tested</w:t>
            </w:r>
          </w:p>
        </w:tc>
        <w:tc>
          <w:tcPr>
            <w:tcW w:w="1260" w:type="dxa"/>
            <w:vAlign w:val="bottom"/>
          </w:tcPr>
          <w:p w:rsidR="00F77F81" w:rsidRDefault="00F77F81" w:rsidP="008E68C8">
            <w:pPr>
              <w:pStyle w:val="TableText"/>
            </w:pPr>
            <w:r>
              <w:t>Not Tested</w:t>
            </w:r>
          </w:p>
        </w:tc>
      </w:tr>
      <w:tr w:rsidR="00F77F81">
        <w:tc>
          <w:tcPr>
            <w:tcW w:w="720" w:type="dxa"/>
            <w:vAlign w:val="bottom"/>
          </w:tcPr>
          <w:p w:rsidR="00F77F81" w:rsidRDefault="00F77F81" w:rsidP="008E68C8">
            <w:pPr>
              <w:pStyle w:val="TableText"/>
              <w:jc w:val="center"/>
            </w:pPr>
            <w:r>
              <w:t>0</w:t>
            </w:r>
          </w:p>
        </w:tc>
        <w:tc>
          <w:tcPr>
            <w:tcW w:w="2520" w:type="dxa"/>
            <w:vAlign w:val="bottom"/>
          </w:tcPr>
          <w:p w:rsidR="00F77F81" w:rsidRDefault="00F77F81" w:rsidP="008E68C8">
            <w:pPr>
              <w:pStyle w:val="TableText"/>
            </w:pPr>
            <w:r>
              <w:t>No Agglutination</w:t>
            </w:r>
          </w:p>
        </w:tc>
        <w:tc>
          <w:tcPr>
            <w:tcW w:w="1260" w:type="dxa"/>
            <w:vAlign w:val="bottom"/>
          </w:tcPr>
          <w:p w:rsidR="00F77F81" w:rsidRDefault="00F77F81" w:rsidP="008E68C8">
            <w:pPr>
              <w:pStyle w:val="TableText"/>
            </w:pPr>
            <w:r>
              <w:t>Negative</w:t>
            </w:r>
          </w:p>
        </w:tc>
      </w:tr>
      <w:tr w:rsidR="00F77F81">
        <w:tc>
          <w:tcPr>
            <w:tcW w:w="720" w:type="dxa"/>
            <w:vAlign w:val="bottom"/>
          </w:tcPr>
          <w:p w:rsidR="00F77F81" w:rsidRDefault="00F77F81" w:rsidP="008E68C8">
            <w:pPr>
              <w:pStyle w:val="TableText"/>
              <w:jc w:val="center"/>
            </w:pPr>
            <w:r>
              <w:t>R</w:t>
            </w:r>
          </w:p>
        </w:tc>
        <w:tc>
          <w:tcPr>
            <w:tcW w:w="2520" w:type="dxa"/>
            <w:vAlign w:val="bottom"/>
          </w:tcPr>
          <w:p w:rsidR="00F77F81" w:rsidRDefault="00F77F81" w:rsidP="008E68C8">
            <w:pPr>
              <w:pStyle w:val="TableText"/>
            </w:pPr>
            <w:r>
              <w:t>Rouleaux, No Agglutination</w:t>
            </w:r>
          </w:p>
        </w:tc>
        <w:tc>
          <w:tcPr>
            <w:tcW w:w="1260" w:type="dxa"/>
            <w:vAlign w:val="bottom"/>
          </w:tcPr>
          <w:p w:rsidR="00F77F81" w:rsidRDefault="00F77F81" w:rsidP="008E68C8">
            <w:pPr>
              <w:pStyle w:val="TableText"/>
            </w:pPr>
            <w:r>
              <w:t>Negative</w:t>
            </w:r>
          </w:p>
        </w:tc>
      </w:tr>
    </w:tbl>
    <w:p w:rsidR="00F77F81" w:rsidRDefault="00F77F81" w:rsidP="00F77F81">
      <w:pPr>
        <w:pStyle w:val="ListBullet"/>
      </w:pPr>
      <w:r>
        <w:t>When recording test results:</w:t>
      </w:r>
    </w:p>
    <w:p w:rsidR="00CF5E49" w:rsidRDefault="00F77F81" w:rsidP="000349A0">
      <w:pPr>
        <w:pStyle w:val="ListBullet2"/>
      </w:pPr>
      <w:r>
        <w:t>In the Test Details window, click a check box to select a rack.</w:t>
      </w:r>
    </w:p>
    <w:p w:rsidR="00CF5E49" w:rsidRDefault="00F77F81" w:rsidP="0021580D">
      <w:pPr>
        <w:pStyle w:val="ListBullet2"/>
        <w:ind w:left="1440" w:hanging="792"/>
      </w:pPr>
      <w:r>
        <w:t>In the Date Tested field, select the default date and time (current date and time) for testing performed, which the user may edit to a past date and time.</w:t>
      </w:r>
    </w:p>
    <w:p w:rsidR="00CF5E49" w:rsidRDefault="00F77F81" w:rsidP="0021580D">
      <w:pPr>
        <w:pStyle w:val="ListBullet2"/>
        <w:ind w:left="1440" w:hanging="792"/>
      </w:pPr>
      <w:r>
        <w:t>In the Tested By field, select the default identification (current user) for the testing technologist or another user from the drop-down menu.</w:t>
      </w:r>
    </w:p>
    <w:p w:rsidR="00CF5E49" w:rsidRPr="00D0406D" w:rsidRDefault="00F77F81" w:rsidP="0021580D">
      <w:pPr>
        <w:pStyle w:val="ListBullet2"/>
        <w:ind w:left="1440" w:hanging="792"/>
      </w:pPr>
      <w:r w:rsidRPr="00D0406D">
        <w:t>Click the appropriate radio button to determine the grid configuration for antibody screen and crossma</w:t>
      </w:r>
      <w:r w:rsidR="006F2884" w:rsidRPr="00D0406D">
        <w:t xml:space="preserve">tch grids [All phases </w:t>
      </w:r>
      <w:r w:rsidRPr="00D0406D">
        <w:t xml:space="preserve">or </w:t>
      </w:r>
      <w:r w:rsidR="00594F8A" w:rsidRPr="00D0406D">
        <w:t>Anti-Human Globulin (</w:t>
      </w:r>
      <w:r w:rsidRPr="00D0406D">
        <w:t>AHG</w:t>
      </w:r>
      <w:r w:rsidR="00594F8A" w:rsidRPr="00D0406D">
        <w:t>)</w:t>
      </w:r>
      <w:r w:rsidRPr="00D0406D">
        <w:t xml:space="preserve"> only</w:t>
      </w:r>
      <w:r w:rsidR="006F2884" w:rsidRPr="00D0406D">
        <w:t xml:space="preserve"> (pre-checked default varies with local configuration)</w:t>
      </w:r>
      <w:r w:rsidRPr="00D0406D">
        <w:t>].</w:t>
      </w:r>
      <w:r w:rsidR="00F15743" w:rsidRPr="00D0406D">
        <w:t xml:space="preserve"> </w:t>
      </w:r>
      <w:r w:rsidR="00F15743" w:rsidRPr="00D0406D">
        <w:rPr>
          <w:vanish/>
        </w:rPr>
        <w:t>DR 4345</w:t>
      </w:r>
    </w:p>
    <w:p w:rsidR="00F77F81" w:rsidRDefault="00F77F81" w:rsidP="0021580D">
      <w:pPr>
        <w:pStyle w:val="ListBullet2"/>
        <w:ind w:left="1440" w:hanging="792"/>
      </w:pPr>
      <w:r>
        <w:lastRenderedPageBreak/>
        <w:t xml:space="preserve">When an automated instrument is used, click the </w:t>
      </w:r>
      <w:r>
        <w:rPr>
          <w:b/>
          <w:bCs/>
        </w:rPr>
        <w:t>Using Automated Instrument</w:t>
      </w:r>
      <w:r>
        <w:t xml:space="preserve"> check box, enter the instrument name in the Instrument Name field, and click the</w:t>
      </w:r>
      <w:r w:rsidR="00F77C01">
        <w:rPr>
          <w:b/>
        </w:rPr>
        <w:t xml:space="preserve"> Instrument QC’d</w:t>
      </w:r>
      <w:r>
        <w:rPr>
          <w:b/>
        </w:rPr>
        <w:t>?</w:t>
      </w:r>
      <w:r>
        <w:t xml:space="preserve"> check box, as appropriate.</w:t>
      </w:r>
    </w:p>
    <w:p w:rsidR="00F77F81" w:rsidRDefault="00F77F81" w:rsidP="00577E43">
      <w:pPr>
        <w:pStyle w:val="ListBullet"/>
      </w:pPr>
      <w:r w:rsidRPr="009174D5">
        <w:rPr>
          <w:vanish/>
          <w:spacing w:val="0"/>
        </w:rPr>
        <w:t>BR_2.07</w:t>
      </w:r>
      <w:r w:rsidRPr="00D8503C">
        <w:rPr>
          <w:vanish/>
          <w:color w:val="0000FF"/>
          <w:spacing w:val="0"/>
        </w:rPr>
        <w:t xml:space="preserve"> </w:t>
      </w:r>
      <w:r w:rsidR="00577E43">
        <w:t>VBECS requires units in ICCBBA component classes Red Blood Cells, Whole Blood, Granulocytes and Leukocytes to have ABO confirmation testing (forward typing), and Rh confirmation testing for units labeled as Rh negative</w:t>
      </w:r>
      <w:r>
        <w:t xml:space="preserve">. </w:t>
      </w:r>
    </w:p>
    <w:p w:rsidR="00F77F81" w:rsidRDefault="00F77F81" w:rsidP="00F77F81">
      <w:pPr>
        <w:pStyle w:val="ListBullet"/>
      </w:pPr>
      <w:r>
        <w:rPr>
          <w:vanish/>
          <w:spacing w:val="0"/>
        </w:rPr>
        <w:t xml:space="preserve">BR_2.22 </w:t>
      </w:r>
      <w:r>
        <w:t>The user may not edit VBECS-populated grid worksheet fields that contain unit or patient data.</w:t>
      </w:r>
    </w:p>
    <w:p w:rsidR="00F77F81" w:rsidRDefault="00F77F81" w:rsidP="00F77F81">
      <w:pPr>
        <w:pStyle w:val="ListBullet"/>
      </w:pPr>
      <w:r>
        <w:rPr>
          <w:vanish/>
        </w:rPr>
        <w:t xml:space="preserve">BR_2.23 </w:t>
      </w:r>
      <w:r>
        <w:t>The user may sort worksheet entries only before beginning data entry, preferably during unit selection. When the user wishes to sort a worksheet after entering the first reaction result, he must exit without saving the work and begin again.</w:t>
      </w:r>
    </w:p>
    <w:p w:rsidR="00F77F81" w:rsidRDefault="00C549FA" w:rsidP="00F77F81">
      <w:pPr>
        <w:pStyle w:val="ListBullet"/>
      </w:pPr>
      <w:r w:rsidRPr="00896F17">
        <w:rPr>
          <w:rStyle w:val="BullhornChar"/>
        </w:rPr>
        <w:t></w:t>
      </w:r>
      <w:r>
        <w:rPr>
          <w:rFonts w:ascii="Webdings" w:hAnsi="Webdings"/>
        </w:rPr>
        <w:t></w:t>
      </w:r>
      <w:r w:rsidRPr="00263B24">
        <w:t>Wh</w:t>
      </w:r>
      <w:r>
        <w:t>en</w:t>
      </w:r>
      <w:r w:rsidR="00A62384">
        <w:t xml:space="preserve"> a user enters an invalid symbol in a cell, VBECS emits an audible alert and prevents the cursor from moving to th</w:t>
      </w:r>
      <w:r w:rsidR="00F77F81">
        <w:t>e next cell.</w:t>
      </w:r>
    </w:p>
    <w:p w:rsidR="00F77F81" w:rsidRDefault="00F77F81" w:rsidP="00F77F81">
      <w:pPr>
        <w:pStyle w:val="ListBullet"/>
      </w:pPr>
      <w:r>
        <w:rPr>
          <w:vanish/>
          <w:spacing w:val="0"/>
        </w:rPr>
        <w:t xml:space="preserve">BR_2.29 </w:t>
      </w:r>
      <w:r>
        <w:t>VBECS moves the cursor to the comment cell automatically, when applicable; the user may also use the mouse to move to another cell.</w:t>
      </w:r>
    </w:p>
    <w:p w:rsidR="00F77F81" w:rsidRDefault="00F77F81" w:rsidP="00F77F81">
      <w:pPr>
        <w:pStyle w:val="ListBullet"/>
      </w:pPr>
      <w:r>
        <w:rPr>
          <w:vanish/>
          <w:spacing w:val="0"/>
        </w:rPr>
        <w:t xml:space="preserve">BR_2.36, BR_2.37, BR_2.38 </w:t>
      </w:r>
      <w:r>
        <w:t>VBECS displays</w:t>
      </w:r>
      <w:r>
        <w:rPr>
          <w:highlight w:val="red"/>
        </w:rPr>
        <w:fldChar w:fldCharType="begin">
          <w:ffData>
            <w:name w:val="Text1"/>
            <w:enabled/>
            <w:calcOnExit w:val="0"/>
            <w:textInput>
              <w:default w:val=" E "/>
              <w:maxLength w:val="3"/>
            </w:textInput>
          </w:ffData>
        </w:fldChar>
      </w:r>
      <w:r>
        <w:rPr>
          <w:highlight w:val="red"/>
        </w:rPr>
        <w:instrText xml:space="preserve"> FORMTEXT </w:instrText>
      </w:r>
      <w:r>
        <w:rPr>
          <w:highlight w:val="red"/>
        </w:rPr>
      </w:r>
      <w:r>
        <w:rPr>
          <w:highlight w:val="red"/>
        </w:rPr>
        <w:fldChar w:fldCharType="separate"/>
      </w:r>
      <w:r w:rsidR="00A510F2">
        <w:rPr>
          <w:noProof/>
          <w:highlight w:val="red"/>
        </w:rPr>
        <w:t xml:space="preserve"> E </w:t>
      </w:r>
      <w:r>
        <w:rPr>
          <w:highlight w:val="red"/>
        </w:rPr>
        <w:fldChar w:fldCharType="end"/>
      </w:r>
      <w:r>
        <w:t>(error) at the beginning of invalid rows and</w:t>
      </w:r>
      <w:r>
        <w:rPr>
          <w:highlight w:val="green"/>
        </w:rPr>
        <w:fldChar w:fldCharType="begin">
          <w:ffData>
            <w:name w:val=""/>
            <w:enabled/>
            <w:calcOnExit w:val="0"/>
            <w:textInput>
              <w:default w:val=" V "/>
              <w:maxLength w:val="3"/>
            </w:textInput>
          </w:ffData>
        </w:fldChar>
      </w:r>
      <w:r>
        <w:rPr>
          <w:highlight w:val="green"/>
        </w:rPr>
        <w:instrText xml:space="preserve"> FORMTEXT </w:instrText>
      </w:r>
      <w:r>
        <w:rPr>
          <w:highlight w:val="green"/>
        </w:rPr>
      </w:r>
      <w:r>
        <w:rPr>
          <w:highlight w:val="green"/>
        </w:rPr>
        <w:fldChar w:fldCharType="separate"/>
      </w:r>
      <w:r w:rsidR="00A510F2">
        <w:rPr>
          <w:noProof/>
          <w:highlight w:val="green"/>
        </w:rPr>
        <w:t xml:space="preserve"> V </w:t>
      </w:r>
      <w:r>
        <w:rPr>
          <w:highlight w:val="green"/>
        </w:rPr>
        <w:fldChar w:fldCharType="end"/>
      </w:r>
      <w:r>
        <w:t>(valid reagent) or</w:t>
      </w:r>
      <w:r w:rsidRPr="0025233A">
        <w:rPr>
          <w:highlight w:val="yellow"/>
        </w:rPr>
        <w:fldChar w:fldCharType="begin">
          <w:ffData>
            <w:name w:val=""/>
            <w:enabled/>
            <w:calcOnExit w:val="0"/>
            <w:textInput>
              <w:default w:val=" W  "/>
              <w:maxLength w:val="4"/>
            </w:textInput>
          </w:ffData>
        </w:fldChar>
      </w:r>
      <w:r w:rsidRPr="0025233A">
        <w:rPr>
          <w:highlight w:val="yellow"/>
        </w:rPr>
        <w:instrText xml:space="preserve"> FORMTEXT </w:instrText>
      </w:r>
      <w:r w:rsidRPr="0025233A">
        <w:rPr>
          <w:highlight w:val="yellow"/>
        </w:rPr>
      </w:r>
      <w:r w:rsidRPr="0025233A">
        <w:rPr>
          <w:highlight w:val="yellow"/>
        </w:rPr>
        <w:fldChar w:fldCharType="separate"/>
      </w:r>
      <w:r w:rsidR="00A510F2">
        <w:rPr>
          <w:noProof/>
          <w:highlight w:val="yellow"/>
        </w:rPr>
        <w:t xml:space="preserve"> W  </w:t>
      </w:r>
      <w:r w:rsidRPr="0025233A">
        <w:rPr>
          <w:highlight w:val="yellow"/>
        </w:rPr>
        <w:fldChar w:fldCharType="end"/>
      </w:r>
      <w:r>
        <w:t xml:space="preserve">(reagent will expire within 24 hours) at the beginning of valid rows. These warning icons change as the user updates information. When the user holds the mouse over an icon, VBECS displays the message associated with the truth table interpretation (as with a tool tip). </w:t>
      </w:r>
    </w:p>
    <w:p w:rsidR="00F77F81" w:rsidRDefault="00F77F81" w:rsidP="00F77F81">
      <w:pPr>
        <w:pStyle w:val="ListBullet"/>
      </w:pPr>
      <w:r>
        <w:rPr>
          <w:vanish/>
          <w:spacing w:val="0"/>
        </w:rPr>
        <w:t xml:space="preserve">BR_2.39 </w:t>
      </w:r>
      <w:r>
        <w:t>VBECS compares user-entered interpretations with truth table data.</w:t>
      </w:r>
    </w:p>
    <w:p w:rsidR="00F77F81" w:rsidRDefault="00F77F81" w:rsidP="00F77F81">
      <w:pPr>
        <w:pStyle w:val="ListBullet"/>
      </w:pPr>
      <w:r>
        <w:t xml:space="preserve">The user performs tests and enters data simultaneously. </w:t>
      </w:r>
    </w:p>
    <w:p w:rsidR="00F77F81" w:rsidRDefault="00F77F81" w:rsidP="00F77F81">
      <w:pPr>
        <w:pStyle w:val="ListBullet"/>
      </w:pPr>
      <w:r>
        <w:t>Throughout this option, the user may view the patient’s VBECS demographics, including the information entered in the patient Special Instructions (SIs), Transfusion Requirements (TRs), and other clinical lab results related to the transfusion through CPRS.</w:t>
      </w:r>
    </w:p>
    <w:p w:rsidR="00A62384" w:rsidRDefault="00F77F81" w:rsidP="00F77F81">
      <w:pPr>
        <w:pStyle w:val="ListBullet"/>
      </w:pPr>
      <w:r>
        <w:t>The historical ABO/Rh display includes the date and division of creation or indicates that the record is from the</w:t>
      </w:r>
      <w:r w:rsidR="00A62384">
        <w:t xml:space="preserve"> </w:t>
      </w:r>
      <w:r w:rsidR="000C7684" w:rsidRPr="000C7684">
        <w:t>VistA</w:t>
      </w:r>
      <w:r w:rsidR="00A62384">
        <w:t xml:space="preserve"> database conversion.</w:t>
      </w:r>
    </w:p>
    <w:p w:rsidR="006C0002" w:rsidRDefault="00A62384" w:rsidP="006C0002">
      <w:pPr>
        <w:pStyle w:val="ListBullet"/>
      </w:pPr>
      <w:r>
        <w:rPr>
          <w:vanish/>
          <w:spacing w:val="0"/>
        </w:rPr>
        <w:t xml:space="preserve">BR_56.06 </w:t>
      </w:r>
      <w:r>
        <w:t>The test record captures the ente</w:t>
      </w:r>
      <w:r w:rsidR="006C0002">
        <w:t>ring and testing technologists’ ID and the display/print technologists’ name, the division, date, and time of the save, the content (details of the verified testing), QC rack ID (if not by automated instrument), test method, automated test instrument information, if indicated, data entries, interpretations, and comments. (When the configuration changes in Configure Testing after the test data are entered, the record is retrievable as originally configured.)</w:t>
      </w:r>
    </w:p>
    <w:p w:rsidR="002317C3" w:rsidRDefault="00C549FA" w:rsidP="002317C3">
      <w:pPr>
        <w:pStyle w:val="ListBullet"/>
      </w:pPr>
      <w:r w:rsidRPr="00896F17">
        <w:rPr>
          <w:rStyle w:val="BullhornChar"/>
        </w:rPr>
        <w:t></w:t>
      </w:r>
      <w:r>
        <w:rPr>
          <w:rFonts w:ascii="Webdings" w:hAnsi="Webdings"/>
        </w:rPr>
        <w:t></w:t>
      </w:r>
      <w:r w:rsidR="0073350C" w:rsidRPr="0073350C">
        <w:rPr>
          <w:rStyle w:val="BodyTextChar"/>
          <w:vanish/>
        </w:rPr>
        <w:t xml:space="preserve">BR_56.07 </w:t>
      </w:r>
      <w:r w:rsidRPr="00263B24">
        <w:t>Wh</w:t>
      </w:r>
      <w:r>
        <w:t>en</w:t>
      </w:r>
      <w:r w:rsidR="00A62384">
        <w:t xml:space="preserve"> a </w:t>
      </w:r>
      <w:r w:rsidR="003C244C">
        <w:t>site</w:t>
      </w:r>
      <w:r w:rsidR="00A62384">
        <w:t xml:space="preserve"> is defin</w:t>
      </w:r>
      <w:r w:rsidR="002317C3">
        <w:t xml:space="preserve">ed as “full service” and daily QC was not performed on the selected rack or the Not in Use Today check box was checked for the current 24-hour period (beginning with the time set for the alert defined in Configure Daily QC), VBECS emits an audible alert, warns the user, and asks whether he wishes to continue. </w:t>
      </w:r>
      <w:r w:rsidR="002317C3">
        <w:rPr>
          <w:b/>
        </w:rPr>
        <w:t>Yes</w:t>
      </w:r>
      <w:r w:rsidR="002317C3">
        <w:t xml:space="preserve"> requires a comment and captures details for inclusion in the Exception Report (exception type: QC not performed on rack used for testing). </w:t>
      </w:r>
      <w:r w:rsidR="002317C3">
        <w:rPr>
          <w:b/>
        </w:rPr>
        <w:t>No</w:t>
      </w:r>
      <w:r w:rsidR="002317C3">
        <w:t xml:space="preserve"> allows the user to select a different rack or cancel and return to the main menu.</w:t>
      </w:r>
    </w:p>
    <w:p w:rsidR="002317C3" w:rsidRDefault="002317C3" w:rsidP="002317C3">
      <w:pPr>
        <w:pStyle w:val="ListBullet"/>
      </w:pPr>
      <w:r>
        <w:rPr>
          <w:vanish/>
          <w:spacing w:val="0"/>
        </w:rPr>
        <w:t xml:space="preserve">BR_56.09 </w:t>
      </w:r>
      <w:r>
        <w:t>Repeat tests</w:t>
      </w:r>
      <w:r w:rsidR="00280EE5">
        <w:t xml:space="preserve"> </w:t>
      </w:r>
      <w:r>
        <w:t>are not billable. Repeat tests are not available to the patient chart unless they are part of a corrected report test.</w:t>
      </w:r>
    </w:p>
    <w:p w:rsidR="002317C3" w:rsidRPr="001F4C96" w:rsidRDefault="002317C3" w:rsidP="002317C3">
      <w:pPr>
        <w:pStyle w:val="ListBullet"/>
      </w:pPr>
      <w:r w:rsidRPr="001F4C96">
        <w:rPr>
          <w:vanish/>
          <w:spacing w:val="0"/>
        </w:rPr>
        <w:t xml:space="preserve">BR_28.09 </w:t>
      </w:r>
      <w:r w:rsidRPr="001F4C96">
        <w:t>When reagent</w:t>
      </w:r>
      <w:r w:rsidR="00F93F8F" w:rsidRPr="001F4C96">
        <w:t>s or antisera are</w:t>
      </w:r>
      <w:r w:rsidRPr="001F4C96">
        <w:t xml:space="preserve"> within 24 hours of expiration (23:59 on th</w:t>
      </w:r>
      <w:r w:rsidR="001F4C96" w:rsidRPr="001F4C96">
        <w:t xml:space="preserve">e expiration date), VBECS warns the user when the </w:t>
      </w:r>
      <w:r w:rsidRPr="001F4C96">
        <w:t xml:space="preserve">reagent will expire and asks whether the user wishes to continue. </w:t>
      </w:r>
      <w:r w:rsidRPr="001F4C96">
        <w:rPr>
          <w:b/>
        </w:rPr>
        <w:t>Yes</w:t>
      </w:r>
      <w:r w:rsidRPr="001F4C96">
        <w:t xml:space="preserve"> allows the user to continue testing. </w:t>
      </w:r>
      <w:r w:rsidRPr="001F4C96">
        <w:rPr>
          <w:b/>
        </w:rPr>
        <w:t xml:space="preserve">No </w:t>
      </w:r>
      <w:r w:rsidRPr="001F4C96">
        <w:t>moves the cursor to a cleared lot number cell, which is ready for the user to enter a new lot number.</w:t>
      </w:r>
    </w:p>
    <w:p w:rsidR="002317C3" w:rsidRDefault="002317C3" w:rsidP="002317C3">
      <w:pPr>
        <w:pStyle w:val="ListBullet"/>
      </w:pPr>
      <w:r>
        <w:rPr>
          <w:vanish/>
          <w:spacing w:val="0"/>
        </w:rPr>
        <w:t xml:space="preserve">BR_3.56 </w:t>
      </w:r>
      <w:r>
        <w:t>The unit record will capture the entering tech ID, and display and/or print the entering tech name; the selecting tech ID, and display and/or print the selecting tech name; division, date, and time of the save; and the content (details of the unit selection), if indicated, data entries, interpretations, and comments.</w:t>
      </w:r>
    </w:p>
    <w:p w:rsidR="002317C3" w:rsidRDefault="002317C3" w:rsidP="002317C3">
      <w:pPr>
        <w:pStyle w:val="ListBullet"/>
      </w:pPr>
      <w:r>
        <w:rPr>
          <w:vanish/>
          <w:spacing w:val="0"/>
        </w:rPr>
        <w:lastRenderedPageBreak/>
        <w:t xml:space="preserve">BR_56.02 </w:t>
      </w:r>
      <w:r>
        <w:t>VBECS allows a user to save partially completed tests and allows the same or different user to complete the tests later. A first or second user may enter only new results and may not edit prior entries. VBECS allows the user to save partially completed testing. The user may return to complete the pending tasks, but may not edit saved interpretations.</w:t>
      </w:r>
    </w:p>
    <w:p w:rsidR="002317C3" w:rsidRDefault="002317C3" w:rsidP="002317C3">
      <w:pPr>
        <w:pStyle w:val="Heading3"/>
      </w:pPr>
      <w:bookmarkStart w:id="57" w:name="_Toc459900043"/>
      <w:r>
        <w:t>Creating and Viewing Reports</w:t>
      </w:r>
      <w:bookmarkEnd w:id="57"/>
      <w:r>
        <w:fldChar w:fldCharType="begin"/>
      </w:r>
      <w:r>
        <w:instrText xml:space="preserve"> XE “Creating and Viewing Reports” </w:instrText>
      </w:r>
      <w:r>
        <w:fldChar w:fldCharType="end"/>
      </w:r>
      <w:r w:rsidRPr="002317C3">
        <w:t xml:space="preserve"> </w:t>
      </w:r>
    </w:p>
    <w:p w:rsidR="00636531" w:rsidRDefault="00636531" w:rsidP="00636531">
      <w:pPr>
        <w:pStyle w:val="ListBullet"/>
      </w:pPr>
      <w:r>
        <w:t>A division’s</w:t>
      </w:r>
      <w:r w:rsidRPr="00F50D62">
        <w:t xml:space="preserve"> printer name cannot </w:t>
      </w:r>
      <w:r>
        <w:t>exceed</w:t>
      </w:r>
      <w:r w:rsidRPr="00F50D62">
        <w:t xml:space="preserve"> 50 characters</w:t>
      </w:r>
      <w:r>
        <w:t xml:space="preserve"> in length.</w:t>
      </w:r>
      <w:r w:rsidRPr="00636531">
        <w:rPr>
          <w:vanish/>
        </w:rPr>
        <w:t>DR 2,897</w:t>
      </w:r>
    </w:p>
    <w:p w:rsidR="002317C3" w:rsidRDefault="002317C3" w:rsidP="002317C3">
      <w:pPr>
        <w:pStyle w:val="ListBullet"/>
      </w:pPr>
      <w:r>
        <w:t xml:space="preserve">Click </w:t>
      </w:r>
      <w:r w:rsidRPr="002D4435">
        <w:rPr>
          <w:rFonts w:ascii="Wingdings" w:hAnsi="Wingdings"/>
        </w:rPr>
        <w:t></w:t>
      </w:r>
      <w:r>
        <w:t xml:space="preserve"> in the Include Report Sections area to select all report sections</w:t>
      </w:r>
      <w:r w:rsidR="00E365A8">
        <w:t xml:space="preserve"> (</w:t>
      </w:r>
      <w:r w:rsidR="00E365A8">
        <w:fldChar w:fldCharType="begin"/>
      </w:r>
      <w:r w:rsidR="00E365A8">
        <w:instrText xml:space="preserve"> REF _Ref127154331 \h </w:instrText>
      </w:r>
      <w:r w:rsidR="00E365A8">
        <w:fldChar w:fldCharType="separate"/>
      </w:r>
      <w:r w:rsidR="005F38BC">
        <w:t xml:space="preserve">Figure </w:t>
      </w:r>
      <w:r w:rsidR="005F38BC">
        <w:rPr>
          <w:noProof/>
        </w:rPr>
        <w:t>6</w:t>
      </w:r>
      <w:r w:rsidR="00E365A8">
        <w:fldChar w:fldCharType="end"/>
      </w:r>
      <w:r w:rsidR="00E365A8">
        <w:t>)</w:t>
      </w:r>
      <w:r>
        <w:t>.</w:t>
      </w:r>
    </w:p>
    <w:p w:rsidR="005B6E37" w:rsidRDefault="002317C3" w:rsidP="002317C3">
      <w:pPr>
        <w:pStyle w:val="ListBullet"/>
        <w:sectPr w:rsidR="005B6E37" w:rsidSect="00EE771C">
          <w:headerReference w:type="default" r:id="rId34"/>
          <w:footerReference w:type="default" r:id="rId35"/>
          <w:type w:val="continuous"/>
          <w:pgSz w:w="12240" w:h="15840" w:code="1"/>
          <w:pgMar w:top="1440" w:right="1440" w:bottom="1440" w:left="1440" w:header="720" w:footer="720" w:gutter="0"/>
          <w:cols w:space="720"/>
          <w:docGrid w:linePitch="360"/>
        </w:sectPr>
      </w:pPr>
      <w:r>
        <w:t xml:space="preserve">Click </w:t>
      </w:r>
      <w:r w:rsidRPr="00D1343E">
        <w:rPr>
          <w:rFonts w:ascii="Wingdings 2" w:hAnsi="Wingdings 2" w:cs="Geneva"/>
          <w:b/>
        </w:rPr>
        <w:t></w:t>
      </w:r>
      <w:r>
        <w:t xml:space="preserve"> in the Include Report Sections area to clear all report sections</w:t>
      </w:r>
      <w:r w:rsidR="00931AD5">
        <w:t xml:space="preserve"> (</w:t>
      </w:r>
      <w:r w:rsidR="00931AD5">
        <w:fldChar w:fldCharType="begin"/>
      </w:r>
      <w:r w:rsidR="00931AD5">
        <w:instrText xml:space="preserve"> REF _Ref127154367 \h </w:instrText>
      </w:r>
      <w:r w:rsidR="00931AD5">
        <w:fldChar w:fldCharType="separate"/>
      </w:r>
      <w:r w:rsidR="005F38BC">
        <w:t xml:space="preserve">Figure </w:t>
      </w:r>
      <w:r w:rsidR="005F38BC">
        <w:rPr>
          <w:noProof/>
        </w:rPr>
        <w:t>7</w:t>
      </w:r>
      <w:r w:rsidR="00931AD5">
        <w:fldChar w:fldCharType="end"/>
      </w:r>
      <w:r w:rsidR="00931AD5">
        <w:t>)</w:t>
      </w:r>
      <w:r>
        <w:t>.</w:t>
      </w:r>
    </w:p>
    <w:p w:rsidR="005B6E37" w:rsidRDefault="005B6E37" w:rsidP="005B6E37">
      <w:pPr>
        <w:pStyle w:val="Caption"/>
      </w:pPr>
      <w:bookmarkStart w:id="58" w:name="_Ref127154331"/>
      <w:r>
        <w:lastRenderedPageBreak/>
        <w:t xml:space="preserve">Figure </w:t>
      </w:r>
      <w:r w:rsidR="00C17F7C">
        <w:fldChar w:fldCharType="begin"/>
      </w:r>
      <w:r w:rsidR="00C17F7C">
        <w:instrText xml:space="preserve"> SEQ Figure \* ARABIC </w:instrText>
      </w:r>
      <w:r w:rsidR="00C17F7C">
        <w:fldChar w:fldCharType="separate"/>
      </w:r>
      <w:r w:rsidR="005F38BC">
        <w:rPr>
          <w:noProof/>
        </w:rPr>
        <w:t>6</w:t>
      </w:r>
      <w:r w:rsidR="00C17F7C">
        <w:fldChar w:fldCharType="end"/>
      </w:r>
      <w:bookmarkEnd w:id="58"/>
      <w:r>
        <w:t>: Click to Select All Report Sections</w:t>
      </w:r>
    </w:p>
    <w:p w:rsidR="00814342" w:rsidRPr="00814342" w:rsidRDefault="00814342" w:rsidP="00814342"/>
    <w:p w:rsidR="005B6E37" w:rsidRDefault="005B6E37" w:rsidP="005B6E37">
      <w:pPr>
        <w:pStyle w:val="Caption"/>
      </w:pPr>
      <w:r>
        <w:br w:type="column"/>
      </w:r>
      <w:bookmarkStart w:id="59" w:name="_Ref127154367"/>
      <w:r>
        <w:lastRenderedPageBreak/>
        <w:t xml:space="preserve">Figure </w:t>
      </w:r>
      <w:r w:rsidR="00C17F7C">
        <w:fldChar w:fldCharType="begin"/>
      </w:r>
      <w:r w:rsidR="00C17F7C">
        <w:instrText xml:space="preserve"> SEQ Figure \* ARABIC </w:instrText>
      </w:r>
      <w:r w:rsidR="00C17F7C">
        <w:fldChar w:fldCharType="separate"/>
      </w:r>
      <w:r w:rsidR="005F38BC">
        <w:rPr>
          <w:noProof/>
        </w:rPr>
        <w:t>7</w:t>
      </w:r>
      <w:r w:rsidR="00C17F7C">
        <w:fldChar w:fldCharType="end"/>
      </w:r>
      <w:bookmarkEnd w:id="59"/>
      <w:r>
        <w:t xml:space="preserve">: Click to Clear All Report Sections </w:t>
      </w:r>
    </w:p>
    <w:p w:rsidR="005B6E37" w:rsidRDefault="00634BFC" w:rsidP="00814342">
      <w:pPr>
        <w:pStyle w:val="BodyText"/>
        <w:sectPr w:rsidR="005B6E37" w:rsidSect="00EE771C">
          <w:type w:val="continuous"/>
          <w:pgSz w:w="12240" w:h="15840" w:code="1"/>
          <w:pgMar w:top="1440" w:right="1440" w:bottom="1440" w:left="1440" w:header="720" w:footer="720" w:gutter="0"/>
          <w:pgNumType w:start="1"/>
          <w:cols w:num="2" w:space="720"/>
          <w:docGrid w:linePitch="360"/>
        </w:sectPr>
      </w:pPr>
      <w:r>
        <w:rPr>
          <w:noProof/>
        </w:rPr>
        <w:drawing>
          <wp:anchor distT="0" distB="0" distL="114300" distR="114300" simplePos="0" relativeHeight="251773440" behindDoc="1" locked="0" layoutInCell="1" allowOverlap="0">
            <wp:simplePos x="0" y="0"/>
            <wp:positionH relativeFrom="column">
              <wp:posOffset>-3200400</wp:posOffset>
            </wp:positionH>
            <wp:positionV relativeFrom="paragraph">
              <wp:posOffset>11430</wp:posOffset>
            </wp:positionV>
            <wp:extent cx="2971800" cy="3381375"/>
            <wp:effectExtent l="0" t="0" r="0" b="9525"/>
            <wp:wrapTight wrapText="right">
              <wp:wrapPolygon edited="0">
                <wp:start x="0" y="0"/>
                <wp:lineTo x="0" y="21539"/>
                <wp:lineTo x="21462" y="21539"/>
                <wp:lineTo x="21462" y="0"/>
                <wp:lineTo x="0" y="0"/>
              </wp:wrapPolygon>
            </wp:wrapTight>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1800" cy="3381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2971800" cy="34004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71800" cy="3400425"/>
                    </a:xfrm>
                    <a:prstGeom prst="rect">
                      <a:avLst/>
                    </a:prstGeom>
                    <a:noFill/>
                    <a:ln>
                      <a:noFill/>
                    </a:ln>
                  </pic:spPr>
                </pic:pic>
              </a:graphicData>
            </a:graphic>
          </wp:inline>
        </w:drawing>
      </w:r>
    </w:p>
    <w:p w:rsidR="004E67E9" w:rsidRPr="004E67E9" w:rsidRDefault="004E67E9" w:rsidP="004E67E9">
      <w:pPr>
        <w:pStyle w:val="ListBullet"/>
        <w:numPr>
          <w:ilvl w:val="0"/>
          <w:numId w:val="0"/>
        </w:numPr>
      </w:pPr>
    </w:p>
    <w:p w:rsidR="002317C3" w:rsidRDefault="002317C3" w:rsidP="005B6E37">
      <w:pPr>
        <w:pStyle w:val="ListBullet"/>
      </w:pPr>
      <w:r>
        <w:rPr>
          <w:vanish/>
        </w:rPr>
        <w:t xml:space="preserve">BR_20.17 </w:t>
      </w:r>
      <w:r>
        <w:t xml:space="preserve">In the Report Compilation area, click the </w:t>
      </w:r>
      <w:r>
        <w:rPr>
          <w:b/>
        </w:rPr>
        <w:t>Create Report Now</w:t>
      </w:r>
      <w:r>
        <w:t xml:space="preserve"> </w:t>
      </w:r>
      <w:r w:rsidRPr="00BF2E41">
        <w:t>radio button</w:t>
      </w:r>
      <w:r>
        <w:t xml:space="preserve"> and </w:t>
      </w:r>
      <w:r>
        <w:rPr>
          <w:b/>
        </w:rPr>
        <w:t>OK</w:t>
      </w:r>
      <w:r>
        <w:t xml:space="preserve"> to view the report, or click the </w:t>
      </w:r>
      <w:r>
        <w:rPr>
          <w:b/>
        </w:rPr>
        <w:t>Schedule Print Job</w:t>
      </w:r>
      <w:r>
        <w:t xml:space="preserve"> </w:t>
      </w:r>
      <w:r w:rsidRPr="00BF2E41">
        <w:t>radio button</w:t>
      </w:r>
      <w:r>
        <w:rPr>
          <w:b/>
        </w:rPr>
        <w:t xml:space="preserve"> </w:t>
      </w:r>
      <w:r>
        <w:t xml:space="preserve">and </w:t>
      </w:r>
      <w:r>
        <w:rPr>
          <w:b/>
        </w:rPr>
        <w:t>OK</w:t>
      </w:r>
      <w:r>
        <w:t xml:space="preserve">, then enter or select a print date and printer name, then click </w:t>
      </w:r>
      <w:r>
        <w:rPr>
          <w:b/>
        </w:rPr>
        <w:t>OK</w:t>
      </w:r>
      <w:r>
        <w:t xml:space="preserve"> to view and print the report.</w:t>
      </w:r>
    </w:p>
    <w:p w:rsidR="00855A2D" w:rsidRPr="00855A2D" w:rsidRDefault="00855A2D" w:rsidP="002317C3">
      <w:pPr>
        <w:pStyle w:val="ListBullet"/>
      </w:pPr>
      <w:r w:rsidRPr="00855A2D">
        <w:rPr>
          <w:spacing w:val="0"/>
        </w:rPr>
        <w:t>Reports are printed only in their entirety.</w:t>
      </w:r>
    </w:p>
    <w:p w:rsidR="002317C3" w:rsidRDefault="002317C3" w:rsidP="002317C3">
      <w:pPr>
        <w:pStyle w:val="ListBullet"/>
      </w:pPr>
      <w:r>
        <w:rPr>
          <w:vanish/>
          <w:spacing w:val="0"/>
        </w:rPr>
        <w:t xml:space="preserve">BR_77.02 </w:t>
      </w:r>
      <w:r>
        <w:t xml:space="preserve">A single-division report includes information from one division. </w:t>
      </w:r>
    </w:p>
    <w:p w:rsidR="002317C3" w:rsidRDefault="002317C3" w:rsidP="002317C3">
      <w:pPr>
        <w:pStyle w:val="ListBullet"/>
      </w:pPr>
      <w:r>
        <w:rPr>
          <w:vanish/>
          <w:spacing w:val="0"/>
        </w:rPr>
        <w:t xml:space="preserve">BR_104.02 </w:t>
      </w:r>
      <w:r>
        <w:t>When a site is a single division or a user does not have multidivisional access and a report has a multiple-division option, the user may not select a multidivisional report.</w:t>
      </w:r>
    </w:p>
    <w:p w:rsidR="002317C3" w:rsidRDefault="002317C3" w:rsidP="002317C3">
      <w:pPr>
        <w:pStyle w:val="ListBullet"/>
      </w:pPr>
      <w:r>
        <w:rPr>
          <w:vanish/>
          <w:spacing w:val="0"/>
        </w:rPr>
        <w:t xml:space="preserve">BR_27.10 </w:t>
      </w:r>
      <w:r>
        <w:t>VBECS maintains a cumulative history of all transactions, including testing and status changes, for every blood unit entered in the database (Unit History Report).</w:t>
      </w:r>
    </w:p>
    <w:p w:rsidR="002317C3" w:rsidRDefault="002317C3" w:rsidP="002317C3">
      <w:pPr>
        <w:pStyle w:val="ListBullet"/>
      </w:pPr>
      <w:r>
        <w:rPr>
          <w:vanish/>
          <w:spacing w:val="0"/>
        </w:rPr>
        <w:t xml:space="preserve">BR_12.02 </w:t>
      </w:r>
      <w:r>
        <w:t>VBECS captures changes to verified data for inclusion in an audit trail report (Audit Trail Report, Unit History Report, Patient History Report, and Order History Report).</w:t>
      </w:r>
    </w:p>
    <w:p w:rsidR="002317C3" w:rsidRDefault="002317C3" w:rsidP="002317C3">
      <w:pPr>
        <w:pStyle w:val="ListBullet"/>
      </w:pPr>
      <w:r>
        <w:rPr>
          <w:vanish/>
          <w:spacing w:val="0"/>
        </w:rPr>
        <w:t xml:space="preserve">BR_56.10 </w:t>
      </w:r>
      <w:r>
        <w:t>VBECS displays patient ABO/Rh results in reverse chronological order, regardless of division, then from the</w:t>
      </w:r>
      <w:r w:rsidR="00A62384">
        <w:t xml:space="preserve"> </w:t>
      </w:r>
      <w:r w:rsidR="000C7684" w:rsidRPr="000C7684">
        <w:rPr>
          <w:bCs/>
        </w:rPr>
        <w:t>VistA</w:t>
      </w:r>
      <w:r w:rsidR="00A62384">
        <w:t xml:space="preserve"> database conversion. When no ABO/Rh records exist, VBECS displays “NR” (no </w:t>
      </w:r>
      <w:r w:rsidR="00A62384">
        <w:lastRenderedPageBreak/>
        <w:t>records). When there are discrep</w:t>
      </w:r>
      <w:r>
        <w:t xml:space="preserve">ant ABO/Rh results from the same </w:t>
      </w:r>
      <w:r w:rsidR="00AE2C2C">
        <w:t>universal ID (UID)</w:t>
      </w:r>
      <w:r>
        <w:t xml:space="preserve"> or from two specimen UIDs, VBECS displays the results recorded just prior to the latest result that created the discrepancy and warns the user.</w:t>
      </w:r>
    </w:p>
    <w:p w:rsidR="002317C3" w:rsidRDefault="002317C3" w:rsidP="002317C3">
      <w:pPr>
        <w:pStyle w:val="ListBullet"/>
      </w:pPr>
      <w:r>
        <w:rPr>
          <w:vanish/>
          <w:spacing w:val="0"/>
        </w:rPr>
        <w:t xml:space="preserve">BR_49.05 </w:t>
      </w:r>
      <w:r>
        <w:t xml:space="preserve">When a search will return a large number of items on the report, VBECS notifies the user that the report will be longer than 50 pages and asks whether he wants to display and perhaps print the report. </w:t>
      </w:r>
      <w:r>
        <w:rPr>
          <w:b/>
        </w:rPr>
        <w:t>Y</w:t>
      </w:r>
      <w:r w:rsidRPr="002317C3">
        <w:rPr>
          <w:b/>
        </w:rPr>
        <w:t>es</w:t>
      </w:r>
      <w:r>
        <w:t xml:space="preserve"> notifies the user that the process will take a few minutes. </w:t>
      </w:r>
      <w:r>
        <w:rPr>
          <w:b/>
        </w:rPr>
        <w:t>No</w:t>
      </w:r>
      <w:r>
        <w:t xml:space="preserve"> clears the screen and returns to the option’s main menu.</w:t>
      </w:r>
    </w:p>
    <w:p w:rsidR="002317C3" w:rsidRDefault="002317C3" w:rsidP="002317C3">
      <w:pPr>
        <w:pStyle w:val="ListBullet"/>
      </w:pPr>
      <w:r>
        <w:rPr>
          <w:vanish/>
          <w:spacing w:val="0"/>
        </w:rPr>
        <w:t xml:space="preserve">BR_49.07 </w:t>
      </w:r>
      <w:r>
        <w:rPr>
          <w:noProof/>
        </w:rPr>
        <w:t>When no information that fulfills search criteria is available, VBECS notifies the user that no information is available, per entered search criteria.</w:t>
      </w:r>
    </w:p>
    <w:p w:rsidR="002317C3" w:rsidRDefault="002317C3" w:rsidP="002317C3">
      <w:pPr>
        <w:pStyle w:val="ListBullet"/>
      </w:pPr>
      <w:r>
        <w:rPr>
          <w:noProof/>
          <w:vanish/>
          <w:spacing w:val="0"/>
        </w:rPr>
        <w:t>BR_77.01</w:t>
      </w:r>
      <w:r w:rsidR="00F33FC0">
        <w:rPr>
          <w:noProof/>
          <w:vanish/>
          <w:spacing w:val="0"/>
        </w:rPr>
        <w:t>,</w:t>
      </w:r>
      <w:r>
        <w:rPr>
          <w:noProof/>
          <w:vanish/>
          <w:spacing w:val="0"/>
        </w:rPr>
        <w:t xml:space="preserve"> </w:t>
      </w:r>
      <w:r w:rsidR="00F33FC0">
        <w:rPr>
          <w:vanish/>
          <w:spacing w:val="0"/>
        </w:rPr>
        <w:t xml:space="preserve">BR_77.03, </w:t>
      </w:r>
      <w:r w:rsidR="00F33FC0">
        <w:rPr>
          <w:noProof/>
          <w:vanish/>
          <w:spacing w:val="0"/>
        </w:rPr>
        <w:t>BR_77.05</w:t>
      </w:r>
      <w:r>
        <w:t>The user may change the default start and end dates</w:t>
      </w:r>
      <w:r w:rsidR="00E43586">
        <w:t xml:space="preserve"> (the previous day). The end date</w:t>
      </w:r>
      <w:r>
        <w:t xml:space="preserve"> </w:t>
      </w:r>
      <w:r w:rsidR="00E43586">
        <w:t xml:space="preserve">and time </w:t>
      </w:r>
      <w:r>
        <w:t>must be later than</w:t>
      </w:r>
      <w:r w:rsidR="00F33FC0">
        <w:t xml:space="preserve"> or the same as</w:t>
      </w:r>
      <w:r>
        <w:t xml:space="preserve"> the start date and time</w:t>
      </w:r>
      <w:r w:rsidR="00F33FC0">
        <w:t>. Report activity begins at and includes midnight on the start date, and ends at and includes midnight on the end date. When the date range includes the current date and time, VBECS displays “Preliminary” in the header on each page of the report.</w:t>
      </w:r>
    </w:p>
    <w:p w:rsidR="002317C3" w:rsidRDefault="002317C3" w:rsidP="002317C3">
      <w:pPr>
        <w:pStyle w:val="ListBullet"/>
      </w:pPr>
      <w:r>
        <w:rPr>
          <w:vanish/>
          <w:spacing w:val="0"/>
        </w:rPr>
        <w:t xml:space="preserve">BR_77.07 </w:t>
      </w:r>
      <w:r>
        <w:t>VBECS displays headers on every page of a report; it displays search and sort criteria and date ranges at the end of the report. VBECS identifies whether reports are generated from a test environment or from a production environment.</w:t>
      </w:r>
    </w:p>
    <w:p w:rsidR="002317C3" w:rsidRDefault="002317C3" w:rsidP="002317C3">
      <w:pPr>
        <w:pStyle w:val="ListBullet"/>
      </w:pPr>
      <w:r>
        <w:rPr>
          <w:vanish/>
          <w:spacing w:val="0"/>
        </w:rPr>
        <w:t xml:space="preserve">BR_77.11 </w:t>
      </w:r>
      <w:r>
        <w:t>A user may schedule a report to run and print in the future. When the activity date range includes a date that precedes the date and time of printing, VBECS processes the data on the date and time the report is scheduled to print. When a date range is greater than 30 days, VBECS warns the user and asks whether he wishes to continue.</w:t>
      </w:r>
    </w:p>
    <w:p w:rsidR="00A62384" w:rsidRDefault="002317C3" w:rsidP="002317C3">
      <w:pPr>
        <w:pStyle w:val="ListBullet"/>
      </w:pPr>
      <w:r>
        <w:t xml:space="preserve">Local record retention policy instructs users to print, review, document, and save the </w:t>
      </w:r>
      <w:r w:rsidR="002D2971">
        <w:rPr>
          <w:rFonts w:eastAsia="Arial Unicode MS"/>
        </w:rPr>
        <w:t>Audit Trail, Exception, and Testing Worklist Reports</w:t>
      </w:r>
      <w:r>
        <w:t xml:space="preserve">. The reports contain only data entries generated in the user’s login division. </w:t>
      </w:r>
      <w:r>
        <w:rPr>
          <w:vanish/>
          <w:spacing w:val="0"/>
        </w:rPr>
        <w:t xml:space="preserve">BR_77.08 </w:t>
      </w:r>
      <w:r>
        <w:t>Each entry includes an area for supervisor acknowledgement (signature or initials and date of</w:t>
      </w:r>
      <w:r w:rsidR="00A62384">
        <w:t xml:space="preserve"> review) and comment.</w:t>
      </w:r>
    </w:p>
    <w:p w:rsidR="002C0B9B" w:rsidRPr="002C0B9B" w:rsidRDefault="002C0B9B" w:rsidP="002C0B9B">
      <w:pPr>
        <w:pStyle w:val="ListBullet"/>
      </w:pPr>
      <w:r>
        <w:t xml:space="preserve">The search functionality (binoculars icon) may not </w:t>
      </w:r>
      <w:r w:rsidR="0045199A">
        <w:t>work</w:t>
      </w:r>
      <w:r>
        <w:t xml:space="preserve"> in a displayed report. </w:t>
      </w:r>
      <w:r w:rsidRPr="002C0B9B">
        <w:rPr>
          <w:vanish/>
        </w:rPr>
        <w:t>DR 2538</w:t>
      </w:r>
    </w:p>
    <w:p w:rsidR="005A5F5C" w:rsidRPr="005A5F5C" w:rsidRDefault="002C0B9B" w:rsidP="00A62384">
      <w:pPr>
        <w:pStyle w:val="ListBullet"/>
      </w:pPr>
      <w:r w:rsidRPr="002C0B9B">
        <w:rPr>
          <w:vanish/>
          <w:spacing w:val="0"/>
        </w:rPr>
        <w:t xml:space="preserve">BR_85.06 </w:t>
      </w:r>
      <w:r w:rsidR="005A5F5C" w:rsidRPr="005A5F5C">
        <w:rPr>
          <w:spacing w:val="0"/>
        </w:rPr>
        <w:t>When the processing technologist differs from the login technologist, the report includes both names.</w:t>
      </w:r>
    </w:p>
    <w:p w:rsidR="00A62384" w:rsidRDefault="005A5F5C" w:rsidP="00A62384">
      <w:pPr>
        <w:pStyle w:val="ListBullet"/>
      </w:pPr>
      <w:r w:rsidRPr="005A5F5C">
        <w:rPr>
          <w:vanish/>
        </w:rPr>
        <w:t xml:space="preserve">BR_85.07 </w:t>
      </w:r>
      <w:r w:rsidR="00A62384">
        <w:t>When the processing date differs from the data entry date, the report includes both dates.</w:t>
      </w:r>
    </w:p>
    <w:p w:rsidR="00413ECA" w:rsidRDefault="00A62384" w:rsidP="00413ECA">
      <w:pPr>
        <w:pStyle w:val="ListBullet"/>
      </w:pPr>
      <w:r>
        <w:rPr>
          <w:vanish/>
          <w:spacing w:val="0"/>
        </w:rPr>
        <w:t xml:space="preserve">BR_65.01 </w:t>
      </w:r>
      <w:r>
        <w:t>VBECS displays the patient historical ABO/Rh</w:t>
      </w:r>
      <w:r w:rsidR="000A0BE8">
        <w:t>, antibodies identified, antigen negative requirements, and</w:t>
      </w:r>
      <w:r>
        <w:t xml:space="preserve"> </w:t>
      </w:r>
      <w:r w:rsidR="000A0BE8">
        <w:t xml:space="preserve">transfusion reaction history </w:t>
      </w:r>
      <w:r>
        <w:t xml:space="preserve">(date, division of testing, whether from the </w:t>
      </w:r>
      <w:r w:rsidR="000C7684" w:rsidRPr="000C7684">
        <w:rPr>
          <w:bCs/>
        </w:rPr>
        <w:t>VistA</w:t>
      </w:r>
      <w:r w:rsidR="00413ECA">
        <w:t xml:space="preserve"> database conversion)</w:t>
      </w:r>
      <w:r w:rsidR="00F53A23">
        <w:t>,</w:t>
      </w:r>
      <w:r w:rsidR="00413ECA">
        <w:t xml:space="preserve"> </w:t>
      </w:r>
      <w:r w:rsidR="000A0BE8">
        <w:t xml:space="preserve">and </w:t>
      </w:r>
      <w:r w:rsidR="00413ECA">
        <w:t>whether the historical ABO/Rh was changed.</w:t>
      </w:r>
    </w:p>
    <w:p w:rsidR="0092694F" w:rsidRPr="002F1554" w:rsidRDefault="00413ECA" w:rsidP="003D6B91">
      <w:pPr>
        <w:pStyle w:val="ListBullet"/>
      </w:pPr>
      <w:r>
        <w:rPr>
          <w:vanish/>
          <w:spacing w:val="0"/>
        </w:rPr>
        <w:t xml:space="preserve">BR_65.02 </w:t>
      </w:r>
      <w:r>
        <w:t>When a patient has a history of an ABO/Rh change justified through Justify ABO/Rh Change, VBECS displays “History of justified ABO/Rh change” next to the</w:t>
      </w:r>
      <w:r>
        <w:rPr>
          <w:rStyle w:val="CommentReference"/>
          <w:sz w:val="22"/>
        </w:rPr>
        <w:t xml:space="preserve"> historical ABO/Rh information</w:t>
      </w:r>
      <w:r w:rsidR="008925E8">
        <w:rPr>
          <w:rStyle w:val="CommentReference"/>
          <w:sz w:val="22"/>
        </w:rPr>
        <w:t>.</w:t>
      </w:r>
    </w:p>
    <w:p w:rsidR="002F1554" w:rsidRPr="002F1554" w:rsidRDefault="002F1554" w:rsidP="002F1554">
      <w:pPr>
        <w:pStyle w:val="ListBullet"/>
        <w:numPr>
          <w:ilvl w:val="0"/>
          <w:numId w:val="0"/>
        </w:numPr>
        <w:ind w:left="648" w:hanging="360"/>
      </w:pPr>
    </w:p>
    <w:p w:rsidR="002F1554" w:rsidRPr="00037A18" w:rsidRDefault="00B54E55" w:rsidP="002F1554">
      <w:pPr>
        <w:rPr>
          <w:sz w:val="22"/>
          <w:szCs w:val="22"/>
        </w:rPr>
      </w:pPr>
      <w:r>
        <w:rPr>
          <w:sz w:val="22"/>
          <w:szCs w:val="22"/>
        </w:rPr>
        <w:br w:type="page"/>
      </w:r>
      <w:r w:rsidR="002F1554" w:rsidRPr="00037A18">
        <w:rPr>
          <w:sz w:val="22"/>
          <w:szCs w:val="22"/>
        </w:rPr>
        <w:lastRenderedPageBreak/>
        <w:t>Reports in VBECS are created using a Microsoft technology called SQL Server Reporting Services (SSRS). Reports are rendered on screen using ReportViewer control. Reports are not deployed on the reporting server but as a part of the main application. All reports can be exported. The user has the option to export reports</w:t>
      </w:r>
      <w:r w:rsidR="002F1554">
        <w:rPr>
          <w:sz w:val="22"/>
          <w:szCs w:val="22"/>
        </w:rPr>
        <w:t xml:space="preserve"> in three different formats (PDF</w:t>
      </w:r>
      <w:r w:rsidR="002F1554" w:rsidRPr="00037A18">
        <w:rPr>
          <w:sz w:val="22"/>
          <w:szCs w:val="22"/>
        </w:rPr>
        <w:t>, Excel and/or Word).</w:t>
      </w:r>
    </w:p>
    <w:p w:rsidR="002F1554" w:rsidRPr="00037A18" w:rsidRDefault="002F1554" w:rsidP="002F1554">
      <w:pPr>
        <w:pStyle w:val="Heading2"/>
      </w:pPr>
      <w:bookmarkStart w:id="60" w:name="_Toc459900044"/>
      <w:r w:rsidRPr="00037A18">
        <w:t>Report Toolbar</w:t>
      </w:r>
      <w:bookmarkEnd w:id="60"/>
      <w:r w:rsidR="002B5CD5">
        <w:t xml:space="preserve"> </w:t>
      </w:r>
      <w:r w:rsidR="002B5CD5" w:rsidRPr="002B5CD5">
        <w:rPr>
          <w:rFonts w:ascii="Arial Bold" w:hAnsi="Arial Bold"/>
          <w:vanish/>
        </w:rPr>
        <w:t>DR 4581</w:t>
      </w:r>
    </w:p>
    <w:p w:rsidR="002F1554" w:rsidRPr="00037A18" w:rsidRDefault="002F1554" w:rsidP="002F1554">
      <w:pPr>
        <w:rPr>
          <w:sz w:val="22"/>
          <w:szCs w:val="22"/>
        </w:rPr>
      </w:pPr>
      <w:r w:rsidRPr="00037A18">
        <w:rPr>
          <w:sz w:val="22"/>
          <w:szCs w:val="22"/>
        </w:rPr>
        <w:t>Each report in VBECS will have a toolbar on top that allows the user to interact with the report (</w:t>
      </w:r>
      <w:r w:rsidR="00430868">
        <w:rPr>
          <w:sz w:val="22"/>
          <w:szCs w:val="22"/>
        </w:rPr>
        <w:fldChar w:fldCharType="begin"/>
      </w:r>
      <w:r w:rsidR="00430868">
        <w:rPr>
          <w:sz w:val="22"/>
          <w:szCs w:val="22"/>
        </w:rPr>
        <w:instrText xml:space="preserve"> REF _Ref353374018 \h </w:instrText>
      </w:r>
      <w:r w:rsidR="00430868">
        <w:rPr>
          <w:sz w:val="22"/>
          <w:szCs w:val="22"/>
        </w:rPr>
      </w:r>
      <w:r w:rsidR="00430868">
        <w:rPr>
          <w:sz w:val="22"/>
          <w:szCs w:val="22"/>
        </w:rPr>
        <w:fldChar w:fldCharType="separate"/>
      </w:r>
      <w:r w:rsidR="005F38BC" w:rsidRPr="00037A18">
        <w:t xml:space="preserve">Figure </w:t>
      </w:r>
      <w:r w:rsidR="005F38BC">
        <w:rPr>
          <w:noProof/>
        </w:rPr>
        <w:t>8</w:t>
      </w:r>
      <w:r w:rsidR="00430868">
        <w:rPr>
          <w:sz w:val="22"/>
          <w:szCs w:val="22"/>
        </w:rPr>
        <w:fldChar w:fldCharType="end"/>
      </w:r>
      <w:r w:rsidRPr="00037A18">
        <w:rPr>
          <w:sz w:val="22"/>
          <w:szCs w:val="22"/>
        </w:rPr>
        <w:t>).</w:t>
      </w:r>
      <w:r w:rsidR="009A5050">
        <w:rPr>
          <w:sz w:val="22"/>
          <w:szCs w:val="22"/>
        </w:rPr>
        <w:t xml:space="preserve"> The following sub-sections elaborate on the controls found on the Report Toolbar. It is suggested that users create a local directory for exporting their reports (see the </w:t>
      </w:r>
      <w:r w:rsidR="009A5050" w:rsidRPr="009A5050">
        <w:rPr>
          <w:i/>
          <w:sz w:val="22"/>
          <w:szCs w:val="22"/>
        </w:rPr>
        <w:t>VistA Blood Establishme</w:t>
      </w:r>
      <w:r w:rsidR="008343A9">
        <w:rPr>
          <w:i/>
          <w:sz w:val="22"/>
          <w:szCs w:val="22"/>
        </w:rPr>
        <w:t xml:space="preserve">nt Computer Software (VBECS) </w:t>
      </w:r>
      <w:r w:rsidR="009A5050" w:rsidRPr="009A5050">
        <w:rPr>
          <w:i/>
          <w:sz w:val="22"/>
          <w:szCs w:val="22"/>
        </w:rPr>
        <w:t>Technical Manual-Security Guide</w:t>
      </w:r>
      <w:r w:rsidR="009A5050">
        <w:rPr>
          <w:sz w:val="22"/>
          <w:szCs w:val="22"/>
        </w:rPr>
        <w:t>, Configure the Report Share and the Configure a Shortcut to the Report Share sections for more information).</w:t>
      </w:r>
    </w:p>
    <w:p w:rsidR="002F1554" w:rsidRPr="00037A18" w:rsidRDefault="002F1554" w:rsidP="002F1554">
      <w:pPr>
        <w:pStyle w:val="Caption"/>
      </w:pPr>
      <w:bookmarkStart w:id="61" w:name="_Ref353374018"/>
      <w:r w:rsidRPr="00037A18">
        <w:t xml:space="preserve">Figure </w:t>
      </w:r>
      <w:r w:rsidRPr="00037A18">
        <w:fldChar w:fldCharType="begin"/>
      </w:r>
      <w:r w:rsidRPr="00037A18">
        <w:instrText xml:space="preserve"> SEQ Figure \* ARABIC </w:instrText>
      </w:r>
      <w:r w:rsidRPr="00037A18">
        <w:fldChar w:fldCharType="separate"/>
      </w:r>
      <w:r w:rsidR="005F38BC">
        <w:rPr>
          <w:noProof/>
        </w:rPr>
        <w:t>8</w:t>
      </w:r>
      <w:r w:rsidRPr="00037A18">
        <w:fldChar w:fldCharType="end"/>
      </w:r>
      <w:bookmarkEnd w:id="61"/>
      <w:r w:rsidRPr="00037A18">
        <w:t>: Report Toolbar</w:t>
      </w:r>
      <w:r w:rsidR="00BC7F26">
        <w:t xml:space="preserve"> </w:t>
      </w:r>
      <w:r w:rsidR="00BC7F26" w:rsidRPr="00BC7F26">
        <w:rPr>
          <w:vanish/>
        </w:rPr>
        <w:t>DR 4835</w:t>
      </w:r>
    </w:p>
    <w:p w:rsidR="002F1554" w:rsidRPr="00A777D2" w:rsidRDefault="00634BFC" w:rsidP="002F1554">
      <w:pPr>
        <w:pStyle w:val="BodyText"/>
        <w:rPr>
          <w:highlight w:val="yellow"/>
        </w:rPr>
      </w:pPr>
      <w:r>
        <w:rPr>
          <w:noProof/>
        </w:rPr>
        <w:drawing>
          <wp:inline distT="0" distB="0" distL="0" distR="0">
            <wp:extent cx="5000625" cy="2667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00625" cy="266700"/>
                    </a:xfrm>
                    <a:prstGeom prst="rect">
                      <a:avLst/>
                    </a:prstGeom>
                    <a:noFill/>
                    <a:ln>
                      <a:noFill/>
                    </a:ln>
                  </pic:spPr>
                </pic:pic>
              </a:graphicData>
            </a:graphic>
          </wp:inline>
        </w:drawing>
      </w:r>
    </w:p>
    <w:p w:rsidR="002F1554" w:rsidRPr="00037A18" w:rsidRDefault="002F1554" w:rsidP="002F1554">
      <w:pPr>
        <w:pStyle w:val="Heading3"/>
      </w:pPr>
      <w:bookmarkStart w:id="62" w:name="_Toc459900045"/>
      <w:r w:rsidRPr="00037A18">
        <w:t>Navigation Arrows and Report Pages</w:t>
      </w:r>
      <w:bookmarkEnd w:id="62"/>
      <w:r w:rsidR="00270083">
        <w:t xml:space="preserve"> </w:t>
      </w:r>
      <w:r w:rsidR="00270083" w:rsidRPr="00270083">
        <w:rPr>
          <w:rFonts w:ascii="Arial Bold" w:hAnsi="Arial Bold"/>
          <w:vanish/>
        </w:rPr>
        <w:t>DR 4761</w:t>
      </w:r>
      <w:r w:rsidRPr="00FC73FB">
        <w:rPr>
          <w:rFonts w:ascii="Arial Bold" w:hAnsi="Arial Bold"/>
          <w:vanish/>
        </w:rPr>
        <w:t xml:space="preserve"> DR 4589</w:t>
      </w:r>
    </w:p>
    <w:p w:rsidR="002F1554" w:rsidRPr="00037A18" w:rsidRDefault="002F1554" w:rsidP="002F1554">
      <w:pPr>
        <w:rPr>
          <w:sz w:val="22"/>
          <w:szCs w:val="22"/>
        </w:rPr>
      </w:pPr>
      <w:r w:rsidRPr="00037A18">
        <w:rPr>
          <w:sz w:val="22"/>
          <w:szCs w:val="22"/>
        </w:rPr>
        <w:t xml:space="preserve">Navigation arrows allow the user to move to the next or previous page of the report. If the user is on the first page of the report, the arrows pointing to the left will be disabled. If the user is on the last page of the report, the arrows pointing to the right will be disabled. </w:t>
      </w:r>
    </w:p>
    <w:p w:rsidR="00540EB1" w:rsidRDefault="002F1554" w:rsidP="0066150B">
      <w:pPr>
        <w:spacing w:after="100" w:afterAutospacing="1"/>
        <w:rPr>
          <w:sz w:val="22"/>
          <w:szCs w:val="22"/>
        </w:rPr>
      </w:pPr>
      <w:r w:rsidRPr="00037A18">
        <w:rPr>
          <w:sz w:val="22"/>
          <w:szCs w:val="22"/>
        </w:rPr>
        <w:t xml:space="preserve">The first arrow button </w:t>
      </w:r>
      <w:r w:rsidR="00634BFC">
        <w:rPr>
          <w:noProof/>
          <w:sz w:val="22"/>
          <w:szCs w:val="22"/>
        </w:rPr>
        <w:drawing>
          <wp:inline distT="0" distB="0" distL="0" distR="0">
            <wp:extent cx="219075" cy="2476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sidRPr="00037A18">
        <w:rPr>
          <w:sz w:val="22"/>
          <w:szCs w:val="22"/>
        </w:rPr>
        <w:t xml:space="preserve"> moves the report by one page forward (or backward for left facing arrow). The second </w:t>
      </w:r>
      <w:r w:rsidR="00634BFC">
        <w:rPr>
          <w:noProof/>
          <w:sz w:val="22"/>
          <w:szCs w:val="22"/>
        </w:rPr>
        <w:drawing>
          <wp:inline distT="0" distB="0" distL="0" distR="0">
            <wp:extent cx="247650" cy="2381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Pr="00037A18">
        <w:rPr>
          <w:sz w:val="22"/>
          <w:szCs w:val="22"/>
        </w:rPr>
        <w:t xml:space="preserve"> moves the report to either the last or first page (in case of the left facing arrow). The number X of Y tells user which page is currently being viewed (X) and what is the total number of pages (Y).</w:t>
      </w:r>
      <w:r w:rsidRPr="00E4667F">
        <w:rPr>
          <w:sz w:val="22"/>
          <w:szCs w:val="22"/>
        </w:rPr>
        <w:t xml:space="preserve"> </w:t>
      </w:r>
    </w:p>
    <w:p w:rsidR="00BC7F26" w:rsidRDefault="00D611E5" w:rsidP="00D611E5">
      <w:pPr>
        <w:pStyle w:val="Heading3"/>
      </w:pPr>
      <w:bookmarkStart w:id="63" w:name="_Toc369769739"/>
      <w:bookmarkStart w:id="64" w:name="_Ref370117404"/>
      <w:bookmarkStart w:id="65" w:name="_Ref370803698"/>
      <w:bookmarkStart w:id="66" w:name="_Ref370807571"/>
      <w:bookmarkStart w:id="67" w:name="_Toc459900046"/>
      <w:r>
        <w:t>Report Layout</w:t>
      </w:r>
      <w:bookmarkEnd w:id="63"/>
      <w:bookmarkEnd w:id="64"/>
      <w:bookmarkEnd w:id="65"/>
      <w:bookmarkEnd w:id="66"/>
      <w:bookmarkEnd w:id="67"/>
    </w:p>
    <w:p w:rsidR="00D611E5" w:rsidRPr="00BC7F26" w:rsidRDefault="00BC7F26" w:rsidP="00D611E5">
      <w:pPr>
        <w:pStyle w:val="Heading3"/>
        <w:rPr>
          <w:rFonts w:ascii="Arial Bold" w:hAnsi="Arial Bold"/>
          <w:vanish/>
        </w:rPr>
      </w:pPr>
      <w:r w:rsidRPr="00BC7F26">
        <w:rPr>
          <w:rFonts w:ascii="Arial Bold" w:hAnsi="Arial Bold"/>
          <w:vanish/>
        </w:rPr>
        <w:t>DR 4835</w:t>
      </w:r>
    </w:p>
    <w:p w:rsidR="00D611E5" w:rsidRDefault="00D611E5" w:rsidP="00004139">
      <w:pPr>
        <w:spacing w:before="100" w:beforeAutospacing="1" w:after="100" w:afterAutospacing="1"/>
        <w:rPr>
          <w:sz w:val="22"/>
          <w:szCs w:val="22"/>
        </w:rPr>
      </w:pPr>
      <w:r w:rsidRPr="00D611E5">
        <w:rPr>
          <w:sz w:val="22"/>
          <w:szCs w:val="22"/>
        </w:rPr>
        <w:t xml:space="preserve">There are two ways (layouts) in which reports can be displayed. By default, reports are displayed in Print Layout. It allows reports to appear on the screen exactly how they will look when printed. However when reports are displayed in Print Layout mode, the Report Search function (see </w:t>
      </w:r>
      <w:r w:rsidRPr="00D611E5">
        <w:rPr>
          <w:sz w:val="22"/>
          <w:szCs w:val="22"/>
        </w:rPr>
        <w:fldChar w:fldCharType="begin"/>
      </w:r>
      <w:r w:rsidRPr="00D611E5">
        <w:rPr>
          <w:sz w:val="22"/>
          <w:szCs w:val="22"/>
        </w:rPr>
        <w:instrText xml:space="preserve"> REF _Ref370803220 \h </w:instrText>
      </w:r>
      <w:r w:rsidRPr="00D611E5">
        <w:rPr>
          <w:sz w:val="22"/>
          <w:szCs w:val="22"/>
        </w:rPr>
      </w:r>
      <w:r>
        <w:rPr>
          <w:sz w:val="22"/>
          <w:szCs w:val="22"/>
        </w:rPr>
        <w:instrText xml:space="preserve"> \* MERGEFORMAT </w:instrText>
      </w:r>
      <w:r w:rsidRPr="00D611E5">
        <w:rPr>
          <w:sz w:val="22"/>
          <w:szCs w:val="22"/>
        </w:rPr>
        <w:fldChar w:fldCharType="separate"/>
      </w:r>
      <w:r w:rsidR="005F38BC" w:rsidRPr="005F38BC">
        <w:rPr>
          <w:sz w:val="22"/>
          <w:szCs w:val="22"/>
        </w:rPr>
        <w:t>Report Search</w:t>
      </w:r>
      <w:r w:rsidRPr="00D611E5">
        <w:rPr>
          <w:sz w:val="22"/>
          <w:szCs w:val="22"/>
        </w:rPr>
        <w:fldChar w:fldCharType="end"/>
      </w:r>
      <w:r w:rsidRPr="00D611E5">
        <w:rPr>
          <w:sz w:val="22"/>
          <w:szCs w:val="22"/>
        </w:rPr>
        <w:t xml:space="preserve">) is disabled. In order to be able to use Report Search, the user has to turn off Print Layout mode by pressing this icon: </w:t>
      </w:r>
      <w:r w:rsidR="00634BFC">
        <w:rPr>
          <w:noProof/>
          <w:sz w:val="22"/>
          <w:szCs w:val="22"/>
        </w:rPr>
        <w:drawing>
          <wp:inline distT="0" distB="0" distL="0" distR="0">
            <wp:extent cx="276225" cy="2762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D611E5">
        <w:rPr>
          <w:sz w:val="22"/>
          <w:szCs w:val="22"/>
        </w:rPr>
        <w:t xml:space="preserve">. When Print Layout is disabled, the icon will look like this: </w:t>
      </w:r>
      <w:r w:rsidR="00634BFC">
        <w:rPr>
          <w:noProof/>
          <w:sz w:val="22"/>
          <w:szCs w:val="22"/>
        </w:rPr>
        <w:drawing>
          <wp:inline distT="0" distB="0" distL="0" distR="0">
            <wp:extent cx="219075" cy="2476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sidRPr="00D611E5">
        <w:rPr>
          <w:sz w:val="22"/>
          <w:szCs w:val="22"/>
        </w:rPr>
        <w:t>. It can be pressed again to return to Print Layout mode.</w:t>
      </w:r>
    </w:p>
    <w:p w:rsidR="00D611E5" w:rsidRPr="00D611E5" w:rsidRDefault="00D611E5" w:rsidP="00D611E5">
      <w:pPr>
        <w:rPr>
          <w:sz w:val="22"/>
          <w:szCs w:val="22"/>
        </w:rPr>
      </w:pPr>
      <w:r w:rsidRPr="00D611E5">
        <w:rPr>
          <w:sz w:val="22"/>
          <w:szCs w:val="22"/>
        </w:rPr>
        <w:t>Page size of reports not displayed in Print Layout mode differs from the regular letter size (8.5in. x 11in.) and that is why the total number of pages for the same report displayed in different layouts may differ.</w:t>
      </w:r>
    </w:p>
    <w:p w:rsidR="00BF56F1" w:rsidRPr="00037A18" w:rsidRDefault="00004139" w:rsidP="00BF56F1">
      <w:pPr>
        <w:pStyle w:val="Heading3"/>
      </w:pPr>
      <w:r>
        <w:br w:type="page"/>
      </w:r>
      <w:bookmarkStart w:id="68" w:name="_Toc459900047"/>
      <w:r w:rsidR="00BF56F1" w:rsidRPr="00037A18">
        <w:lastRenderedPageBreak/>
        <w:t>Report Zoom-in/Zoom-out</w:t>
      </w:r>
      <w:bookmarkEnd w:id="68"/>
    </w:p>
    <w:p w:rsidR="00BF56F1" w:rsidRPr="00037A18" w:rsidRDefault="00BF56F1" w:rsidP="00BF56F1">
      <w:pPr>
        <w:rPr>
          <w:sz w:val="22"/>
          <w:szCs w:val="22"/>
        </w:rPr>
      </w:pPr>
      <w:r w:rsidRPr="00037A18">
        <w:rPr>
          <w:sz w:val="22"/>
          <w:szCs w:val="22"/>
        </w:rPr>
        <w:t>Clicking the drop-down menu showing 100% will give the user a choice of the report display size (</w:t>
      </w:r>
      <w:r w:rsidR="00430868">
        <w:rPr>
          <w:sz w:val="22"/>
          <w:szCs w:val="22"/>
        </w:rPr>
        <w:fldChar w:fldCharType="begin"/>
      </w:r>
      <w:r w:rsidR="00430868">
        <w:rPr>
          <w:sz w:val="22"/>
          <w:szCs w:val="22"/>
        </w:rPr>
        <w:instrText xml:space="preserve"> REF _Ref353985437 \h </w:instrText>
      </w:r>
      <w:r w:rsidR="00430868">
        <w:rPr>
          <w:sz w:val="22"/>
          <w:szCs w:val="22"/>
        </w:rPr>
      </w:r>
      <w:r w:rsidR="00430868">
        <w:rPr>
          <w:sz w:val="22"/>
          <w:szCs w:val="22"/>
        </w:rPr>
        <w:fldChar w:fldCharType="separate"/>
      </w:r>
      <w:r w:rsidR="005F38BC" w:rsidRPr="00037A18">
        <w:t xml:space="preserve">Figure </w:t>
      </w:r>
      <w:r w:rsidR="005F38BC">
        <w:rPr>
          <w:noProof/>
        </w:rPr>
        <w:t>9</w:t>
      </w:r>
      <w:r w:rsidR="00430868">
        <w:rPr>
          <w:sz w:val="22"/>
          <w:szCs w:val="22"/>
        </w:rPr>
        <w:fldChar w:fldCharType="end"/>
      </w:r>
      <w:r w:rsidRPr="00037A18">
        <w:rPr>
          <w:sz w:val="22"/>
          <w:szCs w:val="22"/>
        </w:rPr>
        <w:t>).</w:t>
      </w:r>
    </w:p>
    <w:p w:rsidR="00BF56F1" w:rsidRPr="00037A18" w:rsidRDefault="00BF56F1" w:rsidP="00BF56F1">
      <w:pPr>
        <w:pStyle w:val="Caption"/>
      </w:pPr>
      <w:bookmarkStart w:id="69" w:name="_Ref353985437"/>
      <w:r w:rsidRPr="00037A18">
        <w:t xml:space="preserve">Figure </w:t>
      </w:r>
      <w:r w:rsidRPr="00037A18">
        <w:fldChar w:fldCharType="begin"/>
      </w:r>
      <w:r w:rsidRPr="00037A18">
        <w:instrText xml:space="preserve"> SEQ Figure \* ARABIC </w:instrText>
      </w:r>
      <w:r w:rsidRPr="00037A18">
        <w:fldChar w:fldCharType="separate"/>
      </w:r>
      <w:r w:rsidR="005F38BC">
        <w:rPr>
          <w:noProof/>
        </w:rPr>
        <w:t>9</w:t>
      </w:r>
      <w:r w:rsidRPr="00037A18">
        <w:fldChar w:fldCharType="end"/>
      </w:r>
      <w:bookmarkEnd w:id="69"/>
      <w:r w:rsidRPr="00037A18">
        <w:t>: Report Zoom-in/Zoom-out Control</w:t>
      </w:r>
    </w:p>
    <w:p w:rsidR="00BF56F1" w:rsidRPr="00A777D2" w:rsidRDefault="00634BFC" w:rsidP="00BF56F1">
      <w:pPr>
        <w:pStyle w:val="BodyText"/>
        <w:rPr>
          <w:highlight w:val="yellow"/>
        </w:rPr>
      </w:pPr>
      <w:r>
        <w:rPr>
          <w:noProof/>
        </w:rPr>
        <w:drawing>
          <wp:inline distT="0" distB="0" distL="0" distR="0">
            <wp:extent cx="1085850" cy="140970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85850" cy="1409700"/>
                    </a:xfrm>
                    <a:prstGeom prst="rect">
                      <a:avLst/>
                    </a:prstGeom>
                    <a:noFill/>
                    <a:ln w="6350" cmpd="sng">
                      <a:solidFill>
                        <a:srgbClr val="000000"/>
                      </a:solidFill>
                      <a:miter lim="800000"/>
                      <a:headEnd/>
                      <a:tailEnd/>
                    </a:ln>
                    <a:effectLst/>
                  </pic:spPr>
                </pic:pic>
              </a:graphicData>
            </a:graphic>
          </wp:inline>
        </w:drawing>
      </w:r>
    </w:p>
    <w:p w:rsidR="00BF56F1" w:rsidRDefault="00BF56F1" w:rsidP="002F1554">
      <w:pPr>
        <w:rPr>
          <w:sz w:val="22"/>
          <w:szCs w:val="22"/>
        </w:rPr>
      </w:pPr>
      <w:r w:rsidRPr="00037A18">
        <w:rPr>
          <w:sz w:val="22"/>
          <w:szCs w:val="22"/>
        </w:rPr>
        <w:t>The default value is 100%. The option Page Width will resize the report to fit the screen horizontal size. The option Whole Page will display the entire page on the screen. Selecting an option less than 100% will zoom out the report making the font smaller and allowing more data to fit on the screen. Selecting an option higher than 100% will zoom in the report making the font bigger. If the report does not fit on the screen, the user will be able to use scroll bars to scroll up or down and left or r</w:t>
      </w:r>
      <w:r>
        <w:rPr>
          <w:sz w:val="22"/>
          <w:szCs w:val="22"/>
        </w:rPr>
        <w:t>ight to view the entire report.</w:t>
      </w:r>
    </w:p>
    <w:p w:rsidR="00540EB1" w:rsidRPr="00037A18" w:rsidRDefault="00540EB1" w:rsidP="00540EB1">
      <w:pPr>
        <w:pStyle w:val="Heading3"/>
      </w:pPr>
      <w:bookmarkStart w:id="70" w:name="_Ref370803220"/>
      <w:bookmarkStart w:id="71" w:name="_Toc459900048"/>
      <w:r w:rsidRPr="00037A18">
        <w:t>Report Search</w:t>
      </w:r>
      <w:bookmarkEnd w:id="70"/>
      <w:bookmarkEnd w:id="71"/>
      <w:r w:rsidR="00BC7F26">
        <w:t xml:space="preserve"> </w:t>
      </w:r>
      <w:r w:rsidR="00BC7F26" w:rsidRPr="00BC7F26">
        <w:rPr>
          <w:rFonts w:ascii="Arial Bold" w:hAnsi="Arial Bold"/>
          <w:vanish/>
        </w:rPr>
        <w:t>DR 4835</w:t>
      </w:r>
    </w:p>
    <w:p w:rsidR="00540EB1" w:rsidRPr="00A510F2" w:rsidRDefault="00540EB1" w:rsidP="00540EB1">
      <w:pPr>
        <w:rPr>
          <w:sz w:val="22"/>
          <w:szCs w:val="22"/>
        </w:rPr>
      </w:pPr>
      <w:r w:rsidRPr="00A510F2">
        <w:rPr>
          <w:sz w:val="22"/>
          <w:szCs w:val="22"/>
        </w:rPr>
        <w:t>This option allows the user to searc</w:t>
      </w:r>
      <w:r w:rsidR="006B122E" w:rsidRPr="00A510F2">
        <w:rPr>
          <w:sz w:val="22"/>
          <w:szCs w:val="22"/>
        </w:rPr>
        <w:t>h for specific text in a report and is only enabled if Print Layout is disabled</w:t>
      </w:r>
      <w:r w:rsidR="00A510F2" w:rsidRPr="00A510F2">
        <w:rPr>
          <w:sz w:val="22"/>
          <w:szCs w:val="22"/>
        </w:rPr>
        <w:t xml:space="preserve"> (see </w:t>
      </w:r>
      <w:r w:rsidR="00A510F2" w:rsidRPr="00A510F2">
        <w:rPr>
          <w:sz w:val="22"/>
          <w:szCs w:val="22"/>
        </w:rPr>
        <w:fldChar w:fldCharType="begin"/>
      </w:r>
      <w:r w:rsidR="00A510F2" w:rsidRPr="00A510F2">
        <w:rPr>
          <w:sz w:val="22"/>
          <w:szCs w:val="22"/>
        </w:rPr>
        <w:instrText xml:space="preserve"> REF _Ref370807571 \h </w:instrText>
      </w:r>
      <w:r w:rsidR="00A510F2" w:rsidRPr="00A510F2">
        <w:rPr>
          <w:sz w:val="22"/>
          <w:szCs w:val="22"/>
        </w:rPr>
      </w:r>
      <w:r w:rsidR="00A510F2">
        <w:rPr>
          <w:sz w:val="22"/>
          <w:szCs w:val="22"/>
        </w:rPr>
        <w:instrText xml:space="preserve"> \* MERGEFORMAT </w:instrText>
      </w:r>
      <w:r w:rsidR="00A510F2" w:rsidRPr="00A510F2">
        <w:rPr>
          <w:sz w:val="22"/>
          <w:szCs w:val="22"/>
        </w:rPr>
        <w:fldChar w:fldCharType="separate"/>
      </w:r>
      <w:r w:rsidR="005F38BC" w:rsidRPr="005F38BC">
        <w:rPr>
          <w:sz w:val="22"/>
          <w:szCs w:val="22"/>
        </w:rPr>
        <w:t>Report Layout</w:t>
      </w:r>
      <w:r w:rsidR="00A510F2" w:rsidRPr="00A510F2">
        <w:rPr>
          <w:sz w:val="22"/>
          <w:szCs w:val="22"/>
        </w:rPr>
        <w:fldChar w:fldCharType="end"/>
      </w:r>
      <w:r w:rsidR="00A510F2" w:rsidRPr="00A510F2">
        <w:rPr>
          <w:sz w:val="22"/>
          <w:szCs w:val="22"/>
        </w:rPr>
        <w:t>)</w:t>
      </w:r>
      <w:r w:rsidR="006B122E" w:rsidRPr="00A510F2">
        <w:rPr>
          <w:sz w:val="22"/>
          <w:szCs w:val="22"/>
        </w:rPr>
        <w:t>.</w:t>
      </w:r>
      <w:r w:rsidRPr="00A510F2">
        <w:rPr>
          <w:sz w:val="22"/>
          <w:szCs w:val="22"/>
        </w:rPr>
        <w:t xml:space="preserve"> By default, the </w:t>
      </w:r>
      <w:r w:rsidRPr="00A510F2">
        <w:rPr>
          <w:b/>
          <w:sz w:val="22"/>
          <w:szCs w:val="22"/>
        </w:rPr>
        <w:t>Find</w:t>
      </w:r>
      <w:r w:rsidRPr="00A510F2">
        <w:rPr>
          <w:sz w:val="22"/>
          <w:szCs w:val="22"/>
        </w:rPr>
        <w:t xml:space="preserve"> and </w:t>
      </w:r>
      <w:r w:rsidRPr="00A510F2">
        <w:rPr>
          <w:b/>
          <w:sz w:val="22"/>
          <w:szCs w:val="22"/>
        </w:rPr>
        <w:t>Next</w:t>
      </w:r>
      <w:r w:rsidRPr="00A510F2">
        <w:rPr>
          <w:sz w:val="22"/>
          <w:szCs w:val="22"/>
        </w:rPr>
        <w:t xml:space="preserve"> buttons are disabled. Once the user enters text in the search box, the </w:t>
      </w:r>
      <w:r w:rsidRPr="00A510F2">
        <w:rPr>
          <w:b/>
          <w:sz w:val="22"/>
          <w:szCs w:val="22"/>
        </w:rPr>
        <w:t>Find</w:t>
      </w:r>
      <w:r w:rsidRPr="00A510F2">
        <w:rPr>
          <w:sz w:val="22"/>
          <w:szCs w:val="22"/>
        </w:rPr>
        <w:t xml:space="preserve"> button becomes enabled (</w:t>
      </w:r>
      <w:r w:rsidR="00430868" w:rsidRPr="00A510F2">
        <w:rPr>
          <w:sz w:val="22"/>
          <w:szCs w:val="22"/>
        </w:rPr>
        <w:fldChar w:fldCharType="begin"/>
      </w:r>
      <w:r w:rsidR="00430868" w:rsidRPr="00A510F2">
        <w:rPr>
          <w:sz w:val="22"/>
          <w:szCs w:val="22"/>
        </w:rPr>
        <w:instrText xml:space="preserve"> REF _Ref353985455 \h </w:instrText>
      </w:r>
      <w:r w:rsidR="00430868" w:rsidRPr="00A510F2">
        <w:rPr>
          <w:sz w:val="22"/>
          <w:szCs w:val="22"/>
        </w:rPr>
      </w:r>
      <w:r w:rsidR="00A510F2">
        <w:rPr>
          <w:sz w:val="22"/>
          <w:szCs w:val="22"/>
        </w:rPr>
        <w:instrText xml:space="preserve"> \* MERGEFORMAT </w:instrText>
      </w:r>
      <w:r w:rsidR="00430868" w:rsidRPr="00A510F2">
        <w:rPr>
          <w:sz w:val="22"/>
          <w:szCs w:val="22"/>
        </w:rPr>
        <w:fldChar w:fldCharType="separate"/>
      </w:r>
      <w:r w:rsidR="005F38BC" w:rsidRPr="005F38BC">
        <w:rPr>
          <w:sz w:val="22"/>
          <w:szCs w:val="22"/>
        </w:rPr>
        <w:t xml:space="preserve">Figure </w:t>
      </w:r>
      <w:r w:rsidR="005F38BC" w:rsidRPr="005F38BC">
        <w:rPr>
          <w:noProof/>
          <w:sz w:val="22"/>
          <w:szCs w:val="22"/>
        </w:rPr>
        <w:t>10</w:t>
      </w:r>
      <w:r w:rsidR="00430868" w:rsidRPr="00A510F2">
        <w:rPr>
          <w:sz w:val="22"/>
          <w:szCs w:val="22"/>
        </w:rPr>
        <w:fldChar w:fldCharType="end"/>
      </w:r>
      <w:r w:rsidRPr="00A510F2">
        <w:rPr>
          <w:sz w:val="22"/>
          <w:szCs w:val="22"/>
        </w:rPr>
        <w:t>).</w:t>
      </w:r>
    </w:p>
    <w:p w:rsidR="00540EB1" w:rsidRPr="00037A18" w:rsidRDefault="00540EB1" w:rsidP="00540EB1">
      <w:pPr>
        <w:pStyle w:val="Caption"/>
      </w:pPr>
      <w:bookmarkStart w:id="72" w:name="_Ref353985455"/>
      <w:r w:rsidRPr="00037A18">
        <w:t xml:space="preserve">Figure </w:t>
      </w:r>
      <w:r w:rsidRPr="00037A18">
        <w:fldChar w:fldCharType="begin"/>
      </w:r>
      <w:r w:rsidRPr="00037A18">
        <w:instrText xml:space="preserve"> SEQ Figure \* ARABIC </w:instrText>
      </w:r>
      <w:r w:rsidRPr="00037A18">
        <w:fldChar w:fldCharType="separate"/>
      </w:r>
      <w:r w:rsidR="005F38BC">
        <w:rPr>
          <w:noProof/>
        </w:rPr>
        <w:t>10</w:t>
      </w:r>
      <w:r w:rsidRPr="00037A18">
        <w:fldChar w:fldCharType="end"/>
      </w:r>
      <w:bookmarkEnd w:id="72"/>
      <w:r w:rsidRPr="00037A18">
        <w:t>: Report Search Control</w:t>
      </w:r>
    </w:p>
    <w:p w:rsidR="00540EB1" w:rsidRDefault="00634BFC" w:rsidP="00540EB1">
      <w:pPr>
        <w:pStyle w:val="BodyText"/>
        <w:rPr>
          <w:highlight w:val="yellow"/>
        </w:rPr>
      </w:pPr>
      <w:r>
        <w:rPr>
          <w:noProof/>
        </w:rPr>
        <w:drawing>
          <wp:inline distT="0" distB="0" distL="0" distR="0">
            <wp:extent cx="1514475" cy="238125"/>
            <wp:effectExtent l="19050" t="19050" r="28575"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14475" cy="238125"/>
                    </a:xfrm>
                    <a:prstGeom prst="rect">
                      <a:avLst/>
                    </a:prstGeom>
                    <a:noFill/>
                    <a:ln w="6350" cmpd="sng">
                      <a:solidFill>
                        <a:srgbClr val="000000"/>
                      </a:solidFill>
                      <a:miter lim="800000"/>
                      <a:headEnd/>
                      <a:tailEnd/>
                    </a:ln>
                    <a:effectLst/>
                  </pic:spPr>
                </pic:pic>
              </a:graphicData>
            </a:graphic>
          </wp:inline>
        </w:drawing>
      </w:r>
    </w:p>
    <w:p w:rsidR="00540EB1" w:rsidRPr="00037A18" w:rsidRDefault="00540EB1" w:rsidP="00540EB1">
      <w:pPr>
        <w:pStyle w:val="BodyText"/>
      </w:pPr>
      <w:r w:rsidRPr="00037A18">
        <w:t xml:space="preserve">Clicking the </w:t>
      </w:r>
      <w:r w:rsidRPr="00634DAB">
        <w:rPr>
          <w:b/>
        </w:rPr>
        <w:t>Find</w:t>
      </w:r>
      <w:r w:rsidRPr="00037A18">
        <w:t xml:space="preserve"> button will search the entire report. If the searched text is found, the report will display the page where it was found. The </w:t>
      </w:r>
      <w:r w:rsidRPr="00634DAB">
        <w:rPr>
          <w:b/>
        </w:rPr>
        <w:t>Next</w:t>
      </w:r>
      <w:r w:rsidRPr="00037A18">
        <w:t xml:space="preserve"> button will then become enabled allowing the user to search for subsequent instances of the search string. If the searched text cannot be found, the user will be presented with the message shown in</w:t>
      </w:r>
      <w:r w:rsidR="00430868">
        <w:t xml:space="preserve"> </w:t>
      </w:r>
      <w:r w:rsidR="00430868">
        <w:fldChar w:fldCharType="begin"/>
      </w:r>
      <w:r w:rsidR="00430868">
        <w:instrText xml:space="preserve"> REF _Ref353985470 \h </w:instrText>
      </w:r>
      <w:r w:rsidR="00430868">
        <w:fldChar w:fldCharType="separate"/>
      </w:r>
      <w:r w:rsidR="005F38BC" w:rsidRPr="00037A18">
        <w:t xml:space="preserve">Figure </w:t>
      </w:r>
      <w:r w:rsidR="005F38BC">
        <w:rPr>
          <w:noProof/>
        </w:rPr>
        <w:t>11</w:t>
      </w:r>
      <w:r w:rsidR="00430868">
        <w:fldChar w:fldCharType="end"/>
      </w:r>
      <w:r w:rsidRPr="00037A18">
        <w:t>.</w:t>
      </w:r>
    </w:p>
    <w:p w:rsidR="00540EB1" w:rsidRPr="00037A18" w:rsidRDefault="00540EB1" w:rsidP="00540EB1">
      <w:pPr>
        <w:pStyle w:val="Caption"/>
      </w:pPr>
      <w:bookmarkStart w:id="73" w:name="_Ref353985470"/>
      <w:r w:rsidRPr="00037A18">
        <w:t xml:space="preserve">Figure </w:t>
      </w:r>
      <w:r w:rsidRPr="00037A18">
        <w:fldChar w:fldCharType="begin"/>
      </w:r>
      <w:r w:rsidRPr="00037A18">
        <w:instrText xml:space="preserve"> SEQ Figure \* ARABIC </w:instrText>
      </w:r>
      <w:r w:rsidRPr="00037A18">
        <w:fldChar w:fldCharType="separate"/>
      </w:r>
      <w:r w:rsidR="005F38BC">
        <w:rPr>
          <w:noProof/>
        </w:rPr>
        <w:t>11</w:t>
      </w:r>
      <w:r w:rsidRPr="00037A18">
        <w:fldChar w:fldCharType="end"/>
      </w:r>
      <w:bookmarkEnd w:id="73"/>
      <w:r w:rsidRPr="00037A18">
        <w:t>: Report Search Warning Message</w:t>
      </w:r>
    </w:p>
    <w:p w:rsidR="002F1554" w:rsidRPr="00D611E5" w:rsidRDefault="00634BFC" w:rsidP="00BF56F1">
      <w:pPr>
        <w:pStyle w:val="BodyText"/>
      </w:pPr>
      <w:r>
        <w:rPr>
          <w:noProof/>
        </w:rPr>
        <w:drawing>
          <wp:inline distT="0" distB="0" distL="0" distR="0">
            <wp:extent cx="3419475" cy="1381125"/>
            <wp:effectExtent l="19050" t="19050" r="28575"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19475" cy="1381125"/>
                    </a:xfrm>
                    <a:prstGeom prst="rect">
                      <a:avLst/>
                    </a:prstGeom>
                    <a:noFill/>
                    <a:ln w="6350" cmpd="sng">
                      <a:solidFill>
                        <a:srgbClr val="000000"/>
                      </a:solidFill>
                      <a:miter lim="800000"/>
                      <a:headEnd/>
                      <a:tailEnd/>
                    </a:ln>
                    <a:effectLst/>
                  </pic:spPr>
                </pic:pic>
              </a:graphicData>
            </a:graphic>
          </wp:inline>
        </w:drawing>
      </w:r>
      <w:r w:rsidR="002F1554" w:rsidRPr="00E4667F">
        <w:rPr>
          <w:vanish/>
        </w:rPr>
        <w:t>DR 4589</w:t>
      </w:r>
    </w:p>
    <w:p w:rsidR="002F1554" w:rsidRPr="00037A18" w:rsidRDefault="002F1554" w:rsidP="00416BB3">
      <w:pPr>
        <w:pStyle w:val="Heading3"/>
      </w:pPr>
      <w:bookmarkStart w:id="74" w:name="_Toc459900049"/>
      <w:r w:rsidRPr="00037A18">
        <w:lastRenderedPageBreak/>
        <w:t>Report Export</w:t>
      </w:r>
      <w:bookmarkEnd w:id="74"/>
    </w:p>
    <w:p w:rsidR="009D47C1" w:rsidRDefault="009D47C1" w:rsidP="009D47C1">
      <w:pPr>
        <w:rPr>
          <w:b/>
          <w:sz w:val="22"/>
          <w:szCs w:val="22"/>
        </w:rPr>
      </w:pPr>
      <w:bookmarkStart w:id="75" w:name="_Ref353374027"/>
      <w:r w:rsidRPr="00037A18">
        <w:rPr>
          <w:sz w:val="22"/>
          <w:szCs w:val="22"/>
        </w:rPr>
        <w:t>The user has an option to export the re</w:t>
      </w:r>
      <w:r>
        <w:rPr>
          <w:sz w:val="22"/>
          <w:szCs w:val="22"/>
        </w:rPr>
        <w:t xml:space="preserve">port in three different formats: PDF, Excel and Word. The export to PDF creates a report that is Read-Only (may not be modified) and will match the report that users can see directly in VBECS in terms of data and format. The export to Excel and Word creates a report that may be modified. </w:t>
      </w:r>
      <w:r>
        <w:rPr>
          <w:b/>
          <w:sz w:val="22"/>
          <w:szCs w:val="22"/>
        </w:rPr>
        <w:t xml:space="preserve">VBECS reports </w:t>
      </w:r>
      <w:r w:rsidRPr="007839DA">
        <w:rPr>
          <w:b/>
          <w:sz w:val="22"/>
          <w:szCs w:val="22"/>
        </w:rPr>
        <w:t xml:space="preserve">exported </w:t>
      </w:r>
      <w:r>
        <w:rPr>
          <w:b/>
          <w:sz w:val="22"/>
          <w:szCs w:val="22"/>
        </w:rPr>
        <w:t>to Excel or Word can be altered by a user. O</w:t>
      </w:r>
      <w:r w:rsidRPr="007839DA">
        <w:rPr>
          <w:b/>
          <w:sz w:val="22"/>
          <w:szCs w:val="22"/>
        </w:rPr>
        <w:t xml:space="preserve">nly copies printed directly from VBECS should be shared with clinicians to ensure data integrity. </w:t>
      </w:r>
    </w:p>
    <w:p w:rsidR="009D47C1" w:rsidRDefault="00634BFC" w:rsidP="009D47C1">
      <w:pPr>
        <w:rPr>
          <w:b/>
          <w:sz w:val="22"/>
          <w:szCs w:val="22"/>
        </w:rPr>
      </w:pPr>
      <w:r>
        <w:rPr>
          <w:noProof/>
        </w:rPr>
        <mc:AlternateContent>
          <mc:Choice Requires="wps">
            <w:drawing>
              <wp:anchor distT="0" distB="0" distL="114300" distR="114300" simplePos="0" relativeHeight="251807232" behindDoc="0" locked="0" layoutInCell="1" allowOverlap="1">
                <wp:simplePos x="0" y="0"/>
                <wp:positionH relativeFrom="column">
                  <wp:posOffset>-24130</wp:posOffset>
                </wp:positionH>
                <wp:positionV relativeFrom="paragraph">
                  <wp:posOffset>111760</wp:posOffset>
                </wp:positionV>
                <wp:extent cx="5949950" cy="809625"/>
                <wp:effectExtent l="13970" t="16510" r="17780" b="21590"/>
                <wp:wrapNone/>
                <wp:docPr id="5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809625"/>
                        </a:xfrm>
                        <a:prstGeom prst="rect">
                          <a:avLst/>
                        </a:prstGeom>
                        <a:solidFill>
                          <a:srgbClr val="FFFFFF"/>
                        </a:solidFill>
                        <a:ln w="25400">
                          <a:solidFill>
                            <a:srgbClr val="FF0000"/>
                          </a:solidFill>
                          <a:miter lim="800000"/>
                          <a:headEnd/>
                          <a:tailEnd/>
                        </a:ln>
                      </wps:spPr>
                      <wps:txbx>
                        <w:txbxContent>
                          <w:p w:rsidR="00ED1FEE" w:rsidRDefault="00ED1FEE" w:rsidP="009D47C1">
                            <w:pPr>
                              <w:rPr>
                                <w:sz w:val="22"/>
                                <w:szCs w:val="22"/>
                              </w:rPr>
                            </w:pPr>
                            <w:r w:rsidRPr="007839DA">
                              <w:rPr>
                                <w:b/>
                                <w:sz w:val="22"/>
                                <w:szCs w:val="22"/>
                              </w:rPr>
                              <w:t>The data output from VBECS is not controlled by the medical device and must be strictly regulated by local facility personnel. Many of the reports contain patient sensitive information and must be treated as such. Use of the exported reports, including alteration of data, is the responsibility of the user.</w:t>
                            </w:r>
                            <w:r w:rsidRPr="007839DA">
                              <w:rPr>
                                <w:sz w:val="22"/>
                                <w:szCs w:val="22"/>
                              </w:rPr>
                              <w:t xml:space="preserve"> </w:t>
                            </w:r>
                          </w:p>
                          <w:p w:rsidR="00ED1FEE" w:rsidRDefault="00ED1FEE" w:rsidP="009D47C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pt;margin-top:8.8pt;width:468.5pt;height:63.7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" strokecolor="red" strokeweight="2pt">
                <v:textbox>
                  <w:txbxContent>
                    <w:p w:rsidR="00ED1FEE" w:rsidRDefault="00ED1FEE" w:rsidP="009D47C1">
                      <w:pPr>
                        <w:rPr>
                          <w:sz w:val="22"/>
                          <w:szCs w:val="22"/>
                        </w:rPr>
                      </w:pPr>
                      <w:r w:rsidRPr="007839DA">
                        <w:rPr>
                          <w:b/>
                          <w:sz w:val="22"/>
                          <w:szCs w:val="22"/>
                        </w:rPr>
                        <w:t>The data output from VBECS is not controlled by the medical device and must be strictly regulated by local facility personnel. Many of the reports contain patient sensitive information and must be treated as such. Use of the exported reports, including alteration of data, is the responsibility of the user.</w:t>
                      </w:r>
                      <w:r w:rsidRPr="007839DA">
                        <w:rPr>
                          <w:sz w:val="22"/>
                          <w:szCs w:val="22"/>
                        </w:rPr>
                        <w:t xml:space="preserve"> </w:t>
                      </w:r>
                    </w:p>
                    <w:p w:rsidR="00ED1FEE" w:rsidRDefault="00ED1FEE" w:rsidP="009D47C1"/>
                  </w:txbxContent>
                </v:textbox>
              </v:shape>
            </w:pict>
          </mc:Fallback>
        </mc:AlternateContent>
      </w:r>
    </w:p>
    <w:p w:rsidR="009D47C1" w:rsidRDefault="009D47C1" w:rsidP="009D47C1">
      <w:pPr>
        <w:rPr>
          <w:b/>
          <w:sz w:val="22"/>
          <w:szCs w:val="22"/>
        </w:rPr>
      </w:pPr>
    </w:p>
    <w:p w:rsidR="009D47C1" w:rsidRDefault="009D47C1" w:rsidP="009D47C1">
      <w:pPr>
        <w:rPr>
          <w:b/>
          <w:sz w:val="22"/>
          <w:szCs w:val="22"/>
        </w:rPr>
      </w:pPr>
    </w:p>
    <w:p w:rsidR="009D47C1" w:rsidRDefault="009D47C1" w:rsidP="009D47C1">
      <w:pPr>
        <w:rPr>
          <w:b/>
          <w:sz w:val="22"/>
          <w:szCs w:val="22"/>
        </w:rPr>
      </w:pPr>
    </w:p>
    <w:p w:rsidR="009D47C1" w:rsidRDefault="009D47C1" w:rsidP="009D47C1">
      <w:pPr>
        <w:rPr>
          <w:b/>
          <w:sz w:val="22"/>
          <w:szCs w:val="22"/>
        </w:rPr>
      </w:pPr>
    </w:p>
    <w:p w:rsidR="009D47C1" w:rsidRDefault="009D47C1" w:rsidP="009D47C1">
      <w:pPr>
        <w:rPr>
          <w:b/>
          <w:sz w:val="22"/>
          <w:szCs w:val="22"/>
        </w:rPr>
      </w:pPr>
    </w:p>
    <w:p w:rsidR="009D47C1" w:rsidRDefault="009D47C1" w:rsidP="009D47C1">
      <w:pPr>
        <w:rPr>
          <w:sz w:val="22"/>
          <w:szCs w:val="22"/>
        </w:rPr>
      </w:pPr>
      <w:r w:rsidRPr="005956D0">
        <w:rPr>
          <w:vanish/>
          <w:sz w:val="22"/>
          <w:szCs w:val="22"/>
        </w:rPr>
        <w:t>DR 4627</w:t>
      </w:r>
    </w:p>
    <w:p w:rsidR="009D47C1" w:rsidRPr="009D47C1" w:rsidRDefault="009D47C1" w:rsidP="009D47C1">
      <w:pPr>
        <w:rPr>
          <w:sz w:val="22"/>
          <w:szCs w:val="22"/>
        </w:rPr>
      </w:pPr>
      <w:r w:rsidRPr="009D47C1">
        <w:rPr>
          <w:sz w:val="22"/>
          <w:szCs w:val="22"/>
        </w:rPr>
        <w:t xml:space="preserve">Export of the reports to Excel and Word comes with known problems. Reports exported to Excel or Word contain the same data as reports that can be seen directly in VBECS; however, their formatting may differ from the original report. Not all reports can be exported to all the identified formats. </w:t>
      </w:r>
      <w:r w:rsidRPr="009D47C1">
        <w:rPr>
          <w:sz w:val="22"/>
          <w:szCs w:val="22"/>
        </w:rPr>
        <w:fldChar w:fldCharType="begin"/>
      </w:r>
      <w:r w:rsidRPr="009D47C1">
        <w:rPr>
          <w:sz w:val="22"/>
          <w:szCs w:val="22"/>
        </w:rPr>
        <w:instrText xml:space="preserve"> REF _Ref416093445 \h </w:instrText>
      </w:r>
      <w:r w:rsidRPr="009D47C1">
        <w:rPr>
          <w:sz w:val="22"/>
          <w:szCs w:val="22"/>
        </w:rPr>
      </w:r>
      <w:r>
        <w:rPr>
          <w:sz w:val="22"/>
          <w:szCs w:val="22"/>
        </w:rPr>
        <w:instrText xml:space="preserve"> \* MERGEFORMAT </w:instrText>
      </w:r>
      <w:r w:rsidRPr="009D47C1">
        <w:rPr>
          <w:sz w:val="22"/>
          <w:szCs w:val="22"/>
        </w:rPr>
        <w:fldChar w:fldCharType="separate"/>
      </w:r>
      <w:r w:rsidR="005F38BC" w:rsidRPr="005F38BC">
        <w:rPr>
          <w:sz w:val="22"/>
          <w:szCs w:val="22"/>
        </w:rPr>
        <w:t xml:space="preserve">Table </w:t>
      </w:r>
      <w:r w:rsidR="005F38BC" w:rsidRPr="005F38BC">
        <w:rPr>
          <w:noProof/>
          <w:sz w:val="22"/>
          <w:szCs w:val="22"/>
        </w:rPr>
        <w:t>3</w:t>
      </w:r>
      <w:r w:rsidRPr="009D47C1">
        <w:rPr>
          <w:sz w:val="22"/>
          <w:szCs w:val="22"/>
        </w:rPr>
        <w:fldChar w:fldCharType="end"/>
      </w:r>
      <w:r w:rsidRPr="009D47C1">
        <w:rPr>
          <w:sz w:val="22"/>
          <w:szCs w:val="22"/>
        </w:rPr>
        <w:t xml:space="preserve"> lists the reports and their exportable formats.</w:t>
      </w:r>
    </w:p>
    <w:p w:rsidR="009D47C1" w:rsidRPr="009454C1" w:rsidRDefault="009D47C1" w:rsidP="009D47C1">
      <w:pPr>
        <w:pStyle w:val="Caption"/>
        <w:rPr>
          <w:b w:val="0"/>
        </w:rPr>
      </w:pPr>
      <w:bookmarkStart w:id="76" w:name="_Ref416093445"/>
      <w:r>
        <w:t xml:space="preserve">Table </w:t>
      </w:r>
      <w:r>
        <w:fldChar w:fldCharType="begin"/>
      </w:r>
      <w:r>
        <w:instrText xml:space="preserve"> SEQ Table \* ARABIC </w:instrText>
      </w:r>
      <w:r>
        <w:fldChar w:fldCharType="separate"/>
      </w:r>
      <w:r w:rsidR="005F38BC">
        <w:rPr>
          <w:noProof/>
        </w:rPr>
        <w:t>3</w:t>
      </w:r>
      <w:r>
        <w:fldChar w:fldCharType="end"/>
      </w:r>
      <w:bookmarkEnd w:id="76"/>
      <w:r>
        <w:t>: Exportable Formats for Reports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1080"/>
        <w:gridCol w:w="990"/>
        <w:gridCol w:w="1008"/>
      </w:tblGrid>
      <w:tr w:rsidR="009D47C1" w:rsidRPr="00245D96" w:rsidTr="006462CD">
        <w:tc>
          <w:tcPr>
            <w:tcW w:w="6498" w:type="dxa"/>
            <w:shd w:val="clear" w:color="auto" w:fill="auto"/>
          </w:tcPr>
          <w:p w:rsidR="009D47C1" w:rsidRPr="00245D96" w:rsidRDefault="009D47C1" w:rsidP="006462CD">
            <w:pPr>
              <w:rPr>
                <w:b/>
                <w:sz w:val="22"/>
                <w:szCs w:val="22"/>
              </w:rPr>
            </w:pPr>
            <w:r w:rsidRPr="00245D96">
              <w:rPr>
                <w:b/>
                <w:sz w:val="22"/>
                <w:szCs w:val="22"/>
              </w:rPr>
              <w:t>Report Name</w:t>
            </w:r>
          </w:p>
        </w:tc>
        <w:tc>
          <w:tcPr>
            <w:tcW w:w="1080" w:type="dxa"/>
            <w:shd w:val="clear" w:color="auto" w:fill="auto"/>
          </w:tcPr>
          <w:p w:rsidR="009D47C1" w:rsidRPr="00245D96" w:rsidRDefault="009D47C1" w:rsidP="006462CD">
            <w:pPr>
              <w:rPr>
                <w:b/>
                <w:sz w:val="22"/>
                <w:szCs w:val="22"/>
              </w:rPr>
            </w:pPr>
            <w:r w:rsidRPr="00245D96">
              <w:rPr>
                <w:b/>
                <w:sz w:val="22"/>
                <w:szCs w:val="22"/>
              </w:rPr>
              <w:t>PDF</w:t>
            </w:r>
          </w:p>
        </w:tc>
        <w:tc>
          <w:tcPr>
            <w:tcW w:w="990" w:type="dxa"/>
            <w:shd w:val="clear" w:color="auto" w:fill="auto"/>
          </w:tcPr>
          <w:p w:rsidR="009D47C1" w:rsidRPr="00245D96" w:rsidRDefault="009D47C1" w:rsidP="006462CD">
            <w:pPr>
              <w:rPr>
                <w:b/>
                <w:sz w:val="22"/>
                <w:szCs w:val="22"/>
              </w:rPr>
            </w:pPr>
            <w:r w:rsidRPr="00245D96">
              <w:rPr>
                <w:b/>
                <w:sz w:val="22"/>
                <w:szCs w:val="22"/>
              </w:rPr>
              <w:t>Word</w:t>
            </w:r>
          </w:p>
        </w:tc>
        <w:tc>
          <w:tcPr>
            <w:tcW w:w="1008" w:type="dxa"/>
            <w:shd w:val="clear" w:color="auto" w:fill="auto"/>
          </w:tcPr>
          <w:p w:rsidR="009D47C1" w:rsidRPr="00245D96" w:rsidRDefault="009D47C1" w:rsidP="006462CD">
            <w:pPr>
              <w:rPr>
                <w:b/>
                <w:sz w:val="22"/>
                <w:szCs w:val="22"/>
              </w:rPr>
            </w:pPr>
            <w:r w:rsidRPr="00245D96">
              <w:rPr>
                <w:b/>
                <w:sz w:val="22"/>
                <w:szCs w:val="22"/>
              </w:rPr>
              <w:t>Excel</w:t>
            </w:r>
          </w:p>
        </w:tc>
      </w:tr>
      <w:tr w:rsidR="009D47C1" w:rsidRPr="00245D96" w:rsidTr="006462CD">
        <w:tc>
          <w:tcPr>
            <w:tcW w:w="6498" w:type="dxa"/>
            <w:shd w:val="clear" w:color="auto" w:fill="auto"/>
          </w:tcPr>
          <w:p w:rsidR="009D47C1" w:rsidRPr="00245D96" w:rsidRDefault="009D47C1" w:rsidP="006462CD">
            <w:pPr>
              <w:rPr>
                <w:sz w:val="22"/>
                <w:szCs w:val="22"/>
              </w:rPr>
            </w:pPr>
            <w:r w:rsidRPr="00245D96">
              <w:rPr>
                <w:sz w:val="22"/>
                <w:szCs w:val="22"/>
              </w:rPr>
              <w:t>Maintain Reagent Inventory</w:t>
            </w:r>
          </w:p>
        </w:tc>
        <w:tc>
          <w:tcPr>
            <w:tcW w:w="1080" w:type="dxa"/>
            <w:shd w:val="clear" w:color="auto" w:fill="auto"/>
          </w:tcPr>
          <w:p w:rsidR="009D47C1" w:rsidRPr="00245D96" w:rsidRDefault="009D47C1" w:rsidP="006462CD">
            <w:pPr>
              <w:rPr>
                <w:sz w:val="22"/>
                <w:szCs w:val="22"/>
              </w:rPr>
            </w:pPr>
            <w:r w:rsidRPr="00245D96">
              <w:rPr>
                <w:sz w:val="22"/>
                <w:szCs w:val="22"/>
              </w:rPr>
              <w:t>Yes</w:t>
            </w:r>
          </w:p>
        </w:tc>
        <w:tc>
          <w:tcPr>
            <w:tcW w:w="990" w:type="dxa"/>
            <w:shd w:val="clear" w:color="auto" w:fill="auto"/>
          </w:tcPr>
          <w:p w:rsidR="009D47C1" w:rsidRPr="00245D96" w:rsidRDefault="009D47C1" w:rsidP="006462CD">
            <w:pPr>
              <w:rPr>
                <w:sz w:val="22"/>
                <w:szCs w:val="22"/>
              </w:rPr>
            </w:pPr>
            <w:r w:rsidRPr="00245D96">
              <w:rPr>
                <w:sz w:val="22"/>
                <w:szCs w:val="22"/>
              </w:rPr>
              <w:t>Yes</w:t>
            </w:r>
          </w:p>
        </w:tc>
        <w:tc>
          <w:tcPr>
            <w:tcW w:w="1008" w:type="dxa"/>
            <w:shd w:val="clear" w:color="auto" w:fill="auto"/>
          </w:tcPr>
          <w:p w:rsidR="009D47C1" w:rsidRPr="00245D96" w:rsidRDefault="009D47C1" w:rsidP="006462CD">
            <w:pPr>
              <w:rPr>
                <w:sz w:val="22"/>
                <w:szCs w:val="22"/>
              </w:rPr>
            </w:pPr>
            <w:r w:rsidRPr="00245D96">
              <w:rPr>
                <w:sz w:val="22"/>
                <w:szCs w:val="22"/>
              </w:rPr>
              <w:t>No</w:t>
            </w:r>
          </w:p>
        </w:tc>
      </w:tr>
      <w:tr w:rsidR="009D47C1" w:rsidRPr="00245D96" w:rsidTr="006462CD">
        <w:tc>
          <w:tcPr>
            <w:tcW w:w="6498" w:type="dxa"/>
            <w:shd w:val="clear" w:color="auto" w:fill="auto"/>
          </w:tcPr>
          <w:p w:rsidR="009D47C1" w:rsidRPr="00245D96" w:rsidRDefault="009D47C1" w:rsidP="006462CD">
            <w:pPr>
              <w:rPr>
                <w:sz w:val="22"/>
                <w:szCs w:val="22"/>
              </w:rPr>
            </w:pPr>
            <w:r w:rsidRPr="00245D96">
              <w:rPr>
                <w:sz w:val="22"/>
                <w:szCs w:val="22"/>
              </w:rPr>
              <w:t>Testing Worklist Report</w:t>
            </w:r>
          </w:p>
        </w:tc>
        <w:tc>
          <w:tcPr>
            <w:tcW w:w="1080" w:type="dxa"/>
            <w:shd w:val="clear" w:color="auto" w:fill="auto"/>
          </w:tcPr>
          <w:p w:rsidR="009D47C1" w:rsidRPr="00245D96" w:rsidRDefault="009D47C1" w:rsidP="006462CD">
            <w:pPr>
              <w:rPr>
                <w:sz w:val="22"/>
                <w:szCs w:val="22"/>
              </w:rPr>
            </w:pPr>
            <w:r w:rsidRPr="00245D96">
              <w:rPr>
                <w:sz w:val="22"/>
                <w:szCs w:val="22"/>
              </w:rPr>
              <w:t>Yes</w:t>
            </w:r>
          </w:p>
        </w:tc>
        <w:tc>
          <w:tcPr>
            <w:tcW w:w="990" w:type="dxa"/>
            <w:shd w:val="clear" w:color="auto" w:fill="auto"/>
          </w:tcPr>
          <w:p w:rsidR="009D47C1" w:rsidRPr="00245D96" w:rsidRDefault="009D47C1" w:rsidP="006462CD">
            <w:pPr>
              <w:rPr>
                <w:sz w:val="22"/>
                <w:szCs w:val="22"/>
              </w:rPr>
            </w:pPr>
            <w:r w:rsidRPr="00245D96">
              <w:rPr>
                <w:sz w:val="22"/>
                <w:szCs w:val="22"/>
              </w:rPr>
              <w:t>Yes</w:t>
            </w:r>
          </w:p>
        </w:tc>
        <w:tc>
          <w:tcPr>
            <w:tcW w:w="1008" w:type="dxa"/>
            <w:shd w:val="clear" w:color="auto" w:fill="auto"/>
          </w:tcPr>
          <w:p w:rsidR="009D47C1" w:rsidRPr="00245D96" w:rsidRDefault="009D47C1" w:rsidP="006462CD">
            <w:pPr>
              <w:rPr>
                <w:sz w:val="22"/>
                <w:szCs w:val="22"/>
              </w:rPr>
            </w:pPr>
            <w:r w:rsidRPr="00245D96">
              <w:rPr>
                <w:sz w:val="22"/>
                <w:szCs w:val="22"/>
              </w:rPr>
              <w:t>No</w:t>
            </w:r>
          </w:p>
        </w:tc>
      </w:tr>
      <w:tr w:rsidR="009D47C1" w:rsidRPr="00245D96" w:rsidTr="006462CD">
        <w:tc>
          <w:tcPr>
            <w:tcW w:w="6498" w:type="dxa"/>
            <w:shd w:val="clear" w:color="auto" w:fill="auto"/>
          </w:tcPr>
          <w:p w:rsidR="009D47C1" w:rsidRPr="00245D96" w:rsidRDefault="009D47C1" w:rsidP="006462CD">
            <w:pPr>
              <w:rPr>
                <w:sz w:val="22"/>
                <w:szCs w:val="22"/>
              </w:rPr>
            </w:pPr>
            <w:r w:rsidRPr="00245D96">
              <w:rPr>
                <w:sz w:val="22"/>
                <w:szCs w:val="22"/>
              </w:rPr>
              <w:t>Blood Availability Report</w:t>
            </w:r>
          </w:p>
        </w:tc>
        <w:tc>
          <w:tcPr>
            <w:tcW w:w="1080" w:type="dxa"/>
            <w:shd w:val="clear" w:color="auto" w:fill="auto"/>
          </w:tcPr>
          <w:p w:rsidR="009D47C1" w:rsidRPr="00245D96" w:rsidRDefault="009D47C1" w:rsidP="006462CD">
            <w:pPr>
              <w:rPr>
                <w:sz w:val="22"/>
                <w:szCs w:val="22"/>
              </w:rPr>
            </w:pPr>
            <w:r w:rsidRPr="00245D96">
              <w:rPr>
                <w:sz w:val="22"/>
                <w:szCs w:val="22"/>
              </w:rPr>
              <w:t>Yes</w:t>
            </w:r>
          </w:p>
        </w:tc>
        <w:tc>
          <w:tcPr>
            <w:tcW w:w="990" w:type="dxa"/>
            <w:shd w:val="clear" w:color="auto" w:fill="auto"/>
          </w:tcPr>
          <w:p w:rsidR="009D47C1" w:rsidRPr="00245D96" w:rsidRDefault="009D47C1" w:rsidP="006462CD">
            <w:pPr>
              <w:rPr>
                <w:sz w:val="22"/>
                <w:szCs w:val="22"/>
              </w:rPr>
            </w:pPr>
            <w:r w:rsidRPr="00245D96">
              <w:rPr>
                <w:sz w:val="22"/>
                <w:szCs w:val="22"/>
              </w:rPr>
              <w:t>Yes</w:t>
            </w:r>
          </w:p>
        </w:tc>
        <w:tc>
          <w:tcPr>
            <w:tcW w:w="1008" w:type="dxa"/>
            <w:shd w:val="clear" w:color="auto" w:fill="auto"/>
          </w:tcPr>
          <w:p w:rsidR="009D47C1" w:rsidRPr="00245D96" w:rsidRDefault="009D47C1" w:rsidP="006462CD">
            <w:pPr>
              <w:rPr>
                <w:sz w:val="22"/>
                <w:szCs w:val="22"/>
              </w:rPr>
            </w:pPr>
            <w:r w:rsidRPr="00245D96">
              <w:rPr>
                <w:sz w:val="22"/>
                <w:szCs w:val="22"/>
              </w:rPr>
              <w:t>No</w:t>
            </w:r>
          </w:p>
        </w:tc>
      </w:tr>
      <w:tr w:rsidR="009D47C1" w:rsidRPr="00245D96" w:rsidTr="006462CD">
        <w:tc>
          <w:tcPr>
            <w:tcW w:w="6498" w:type="dxa"/>
            <w:shd w:val="clear" w:color="auto" w:fill="auto"/>
          </w:tcPr>
          <w:p w:rsidR="009D47C1" w:rsidRPr="00245D96" w:rsidRDefault="009D47C1" w:rsidP="006462CD">
            <w:pPr>
              <w:rPr>
                <w:sz w:val="22"/>
                <w:szCs w:val="22"/>
              </w:rPr>
            </w:pPr>
            <w:r w:rsidRPr="00245D96">
              <w:rPr>
                <w:sz w:val="22"/>
                <w:szCs w:val="22"/>
              </w:rPr>
              <w:t>Division Transfusion Report</w:t>
            </w:r>
          </w:p>
        </w:tc>
        <w:tc>
          <w:tcPr>
            <w:tcW w:w="1080" w:type="dxa"/>
            <w:shd w:val="clear" w:color="auto" w:fill="auto"/>
          </w:tcPr>
          <w:p w:rsidR="009D47C1" w:rsidRPr="00245D96" w:rsidRDefault="009D47C1" w:rsidP="006462CD">
            <w:pPr>
              <w:rPr>
                <w:sz w:val="22"/>
                <w:szCs w:val="22"/>
              </w:rPr>
            </w:pPr>
            <w:r w:rsidRPr="00245D96">
              <w:rPr>
                <w:sz w:val="22"/>
                <w:szCs w:val="22"/>
              </w:rPr>
              <w:t>Yes</w:t>
            </w:r>
          </w:p>
        </w:tc>
        <w:tc>
          <w:tcPr>
            <w:tcW w:w="990" w:type="dxa"/>
            <w:shd w:val="clear" w:color="auto" w:fill="auto"/>
          </w:tcPr>
          <w:p w:rsidR="009D47C1" w:rsidRPr="00245D96" w:rsidRDefault="009D47C1" w:rsidP="006462CD">
            <w:pPr>
              <w:rPr>
                <w:sz w:val="22"/>
                <w:szCs w:val="22"/>
              </w:rPr>
            </w:pPr>
            <w:r w:rsidRPr="00245D96">
              <w:rPr>
                <w:sz w:val="22"/>
                <w:szCs w:val="22"/>
              </w:rPr>
              <w:t>Yes</w:t>
            </w:r>
          </w:p>
        </w:tc>
        <w:tc>
          <w:tcPr>
            <w:tcW w:w="1008" w:type="dxa"/>
            <w:shd w:val="clear" w:color="auto" w:fill="auto"/>
          </w:tcPr>
          <w:p w:rsidR="009D47C1" w:rsidRPr="00245D96" w:rsidRDefault="009D47C1" w:rsidP="006462CD">
            <w:pPr>
              <w:rPr>
                <w:sz w:val="22"/>
                <w:szCs w:val="22"/>
              </w:rPr>
            </w:pPr>
            <w:r w:rsidRPr="00245D96">
              <w:rPr>
                <w:sz w:val="22"/>
                <w:szCs w:val="22"/>
              </w:rPr>
              <w:t>No</w:t>
            </w:r>
          </w:p>
        </w:tc>
      </w:tr>
      <w:tr w:rsidR="009D47C1" w:rsidRPr="00245D96" w:rsidTr="006462CD">
        <w:tc>
          <w:tcPr>
            <w:tcW w:w="6498" w:type="dxa"/>
            <w:shd w:val="clear" w:color="auto" w:fill="auto"/>
          </w:tcPr>
          <w:p w:rsidR="009D47C1" w:rsidRPr="00245D96" w:rsidRDefault="009D47C1" w:rsidP="006462CD">
            <w:pPr>
              <w:rPr>
                <w:sz w:val="22"/>
                <w:szCs w:val="22"/>
              </w:rPr>
            </w:pPr>
            <w:r w:rsidRPr="00245D96">
              <w:rPr>
                <w:sz w:val="22"/>
                <w:szCs w:val="22"/>
              </w:rPr>
              <w:t>Blood Bank Supplies Report</w:t>
            </w:r>
          </w:p>
        </w:tc>
        <w:tc>
          <w:tcPr>
            <w:tcW w:w="1080" w:type="dxa"/>
            <w:shd w:val="clear" w:color="auto" w:fill="auto"/>
          </w:tcPr>
          <w:p w:rsidR="009D47C1" w:rsidRPr="00245D96" w:rsidRDefault="009D47C1" w:rsidP="006462CD">
            <w:pPr>
              <w:rPr>
                <w:sz w:val="22"/>
                <w:szCs w:val="22"/>
              </w:rPr>
            </w:pPr>
            <w:r w:rsidRPr="00245D96">
              <w:rPr>
                <w:sz w:val="22"/>
                <w:szCs w:val="22"/>
              </w:rPr>
              <w:t>Yes</w:t>
            </w:r>
          </w:p>
        </w:tc>
        <w:tc>
          <w:tcPr>
            <w:tcW w:w="990" w:type="dxa"/>
            <w:shd w:val="clear" w:color="auto" w:fill="auto"/>
          </w:tcPr>
          <w:p w:rsidR="009D47C1" w:rsidRPr="00245D96" w:rsidRDefault="009D47C1" w:rsidP="006462CD">
            <w:pPr>
              <w:rPr>
                <w:sz w:val="22"/>
                <w:szCs w:val="22"/>
              </w:rPr>
            </w:pPr>
            <w:r w:rsidRPr="00245D96">
              <w:rPr>
                <w:sz w:val="22"/>
                <w:szCs w:val="22"/>
              </w:rPr>
              <w:t>Yes</w:t>
            </w:r>
          </w:p>
        </w:tc>
        <w:tc>
          <w:tcPr>
            <w:tcW w:w="1008" w:type="dxa"/>
            <w:shd w:val="clear" w:color="auto" w:fill="auto"/>
          </w:tcPr>
          <w:p w:rsidR="009D47C1" w:rsidRPr="00245D96" w:rsidRDefault="009D47C1" w:rsidP="006462CD">
            <w:pPr>
              <w:rPr>
                <w:sz w:val="22"/>
                <w:szCs w:val="22"/>
              </w:rPr>
            </w:pPr>
            <w:r w:rsidRPr="00245D96">
              <w:rPr>
                <w:sz w:val="22"/>
                <w:szCs w:val="22"/>
              </w:rPr>
              <w:t>No</w:t>
            </w:r>
          </w:p>
        </w:tc>
      </w:tr>
      <w:tr w:rsidR="009D47C1" w:rsidRPr="00245D96" w:rsidTr="006462CD">
        <w:tc>
          <w:tcPr>
            <w:tcW w:w="6498" w:type="dxa"/>
            <w:shd w:val="clear" w:color="auto" w:fill="auto"/>
          </w:tcPr>
          <w:p w:rsidR="009D47C1" w:rsidRPr="00245D96" w:rsidRDefault="009D47C1" w:rsidP="006462CD">
            <w:pPr>
              <w:rPr>
                <w:sz w:val="22"/>
                <w:szCs w:val="22"/>
              </w:rPr>
            </w:pPr>
            <w:r w:rsidRPr="00245D96">
              <w:rPr>
                <w:sz w:val="22"/>
                <w:szCs w:val="22"/>
              </w:rPr>
              <w:t>Unit History Report</w:t>
            </w:r>
          </w:p>
        </w:tc>
        <w:tc>
          <w:tcPr>
            <w:tcW w:w="1080" w:type="dxa"/>
            <w:shd w:val="clear" w:color="auto" w:fill="auto"/>
          </w:tcPr>
          <w:p w:rsidR="009D47C1" w:rsidRPr="00245D96" w:rsidRDefault="009D47C1" w:rsidP="006462CD">
            <w:pPr>
              <w:rPr>
                <w:sz w:val="22"/>
                <w:szCs w:val="22"/>
              </w:rPr>
            </w:pPr>
            <w:r w:rsidRPr="00245D96">
              <w:rPr>
                <w:sz w:val="22"/>
                <w:szCs w:val="22"/>
              </w:rPr>
              <w:t>Yes</w:t>
            </w:r>
          </w:p>
        </w:tc>
        <w:tc>
          <w:tcPr>
            <w:tcW w:w="990" w:type="dxa"/>
            <w:shd w:val="clear" w:color="auto" w:fill="auto"/>
          </w:tcPr>
          <w:p w:rsidR="009D47C1" w:rsidRPr="00245D96" w:rsidRDefault="009D47C1" w:rsidP="006462CD">
            <w:pPr>
              <w:rPr>
                <w:sz w:val="22"/>
                <w:szCs w:val="22"/>
              </w:rPr>
            </w:pPr>
            <w:r w:rsidRPr="00245D96">
              <w:rPr>
                <w:sz w:val="22"/>
                <w:szCs w:val="22"/>
              </w:rPr>
              <w:t>Yes</w:t>
            </w:r>
          </w:p>
        </w:tc>
        <w:tc>
          <w:tcPr>
            <w:tcW w:w="1008" w:type="dxa"/>
            <w:shd w:val="clear" w:color="auto" w:fill="auto"/>
          </w:tcPr>
          <w:p w:rsidR="009D47C1" w:rsidRPr="00245D96" w:rsidRDefault="009D47C1" w:rsidP="006462CD">
            <w:pPr>
              <w:rPr>
                <w:sz w:val="22"/>
                <w:szCs w:val="22"/>
              </w:rPr>
            </w:pPr>
            <w:r w:rsidRPr="00245D96">
              <w:rPr>
                <w:sz w:val="22"/>
                <w:szCs w:val="22"/>
              </w:rPr>
              <w:t>No</w:t>
            </w:r>
          </w:p>
        </w:tc>
      </w:tr>
      <w:tr w:rsidR="009D47C1" w:rsidRPr="00245D96" w:rsidTr="006462CD">
        <w:tc>
          <w:tcPr>
            <w:tcW w:w="6498" w:type="dxa"/>
            <w:shd w:val="clear" w:color="auto" w:fill="auto"/>
          </w:tcPr>
          <w:p w:rsidR="009D47C1" w:rsidRPr="00245D96" w:rsidRDefault="009D47C1" w:rsidP="006462CD">
            <w:pPr>
              <w:rPr>
                <w:sz w:val="22"/>
                <w:szCs w:val="22"/>
              </w:rPr>
            </w:pPr>
            <w:r w:rsidRPr="00245D96">
              <w:rPr>
                <w:sz w:val="22"/>
                <w:szCs w:val="22"/>
              </w:rPr>
              <w:t>Patient History Report</w:t>
            </w:r>
          </w:p>
        </w:tc>
        <w:tc>
          <w:tcPr>
            <w:tcW w:w="1080" w:type="dxa"/>
            <w:shd w:val="clear" w:color="auto" w:fill="auto"/>
          </w:tcPr>
          <w:p w:rsidR="009D47C1" w:rsidRPr="00245D96" w:rsidRDefault="009D47C1" w:rsidP="006462CD">
            <w:pPr>
              <w:rPr>
                <w:sz w:val="22"/>
                <w:szCs w:val="22"/>
              </w:rPr>
            </w:pPr>
            <w:r w:rsidRPr="00245D96">
              <w:rPr>
                <w:sz w:val="22"/>
                <w:szCs w:val="22"/>
              </w:rPr>
              <w:t>Yes</w:t>
            </w:r>
          </w:p>
        </w:tc>
        <w:tc>
          <w:tcPr>
            <w:tcW w:w="990" w:type="dxa"/>
            <w:shd w:val="clear" w:color="auto" w:fill="auto"/>
          </w:tcPr>
          <w:p w:rsidR="009D47C1" w:rsidRPr="00245D96" w:rsidRDefault="009D47C1" w:rsidP="006462CD">
            <w:pPr>
              <w:rPr>
                <w:sz w:val="22"/>
                <w:szCs w:val="22"/>
              </w:rPr>
            </w:pPr>
            <w:r w:rsidRPr="00245D96">
              <w:rPr>
                <w:sz w:val="22"/>
                <w:szCs w:val="22"/>
              </w:rPr>
              <w:t>Yes</w:t>
            </w:r>
          </w:p>
        </w:tc>
        <w:tc>
          <w:tcPr>
            <w:tcW w:w="1008" w:type="dxa"/>
            <w:shd w:val="clear" w:color="auto" w:fill="auto"/>
          </w:tcPr>
          <w:p w:rsidR="009D47C1" w:rsidRPr="00245D96" w:rsidRDefault="009D47C1" w:rsidP="006462CD">
            <w:pPr>
              <w:rPr>
                <w:sz w:val="22"/>
                <w:szCs w:val="22"/>
              </w:rPr>
            </w:pPr>
            <w:r w:rsidRPr="00245D96">
              <w:rPr>
                <w:sz w:val="22"/>
                <w:szCs w:val="22"/>
              </w:rPr>
              <w:t>No</w:t>
            </w:r>
          </w:p>
        </w:tc>
      </w:tr>
      <w:tr w:rsidR="009D47C1" w:rsidRPr="00245D96" w:rsidTr="006462CD">
        <w:tc>
          <w:tcPr>
            <w:tcW w:w="6498" w:type="dxa"/>
            <w:shd w:val="clear" w:color="auto" w:fill="auto"/>
          </w:tcPr>
          <w:p w:rsidR="009D47C1" w:rsidRPr="00245D96" w:rsidRDefault="009D47C1" w:rsidP="006462CD">
            <w:pPr>
              <w:rPr>
                <w:sz w:val="22"/>
                <w:szCs w:val="22"/>
              </w:rPr>
            </w:pPr>
            <w:r w:rsidRPr="00245D96">
              <w:rPr>
                <w:sz w:val="22"/>
                <w:szCs w:val="22"/>
              </w:rPr>
              <w:t>Other VBECS reports</w:t>
            </w:r>
          </w:p>
        </w:tc>
        <w:tc>
          <w:tcPr>
            <w:tcW w:w="1080" w:type="dxa"/>
            <w:shd w:val="clear" w:color="auto" w:fill="auto"/>
          </w:tcPr>
          <w:p w:rsidR="009D47C1" w:rsidRPr="00245D96" w:rsidRDefault="009D47C1" w:rsidP="006462CD">
            <w:pPr>
              <w:rPr>
                <w:sz w:val="22"/>
                <w:szCs w:val="22"/>
              </w:rPr>
            </w:pPr>
            <w:r w:rsidRPr="00245D96">
              <w:rPr>
                <w:sz w:val="22"/>
                <w:szCs w:val="22"/>
              </w:rPr>
              <w:t>Yes</w:t>
            </w:r>
          </w:p>
        </w:tc>
        <w:tc>
          <w:tcPr>
            <w:tcW w:w="990" w:type="dxa"/>
            <w:shd w:val="clear" w:color="auto" w:fill="auto"/>
          </w:tcPr>
          <w:p w:rsidR="009D47C1" w:rsidRPr="00245D96" w:rsidRDefault="009D47C1" w:rsidP="006462CD">
            <w:pPr>
              <w:rPr>
                <w:sz w:val="22"/>
                <w:szCs w:val="22"/>
              </w:rPr>
            </w:pPr>
            <w:r w:rsidRPr="00245D96">
              <w:rPr>
                <w:sz w:val="22"/>
                <w:szCs w:val="22"/>
              </w:rPr>
              <w:t>Yes</w:t>
            </w:r>
          </w:p>
        </w:tc>
        <w:tc>
          <w:tcPr>
            <w:tcW w:w="1008" w:type="dxa"/>
            <w:shd w:val="clear" w:color="auto" w:fill="auto"/>
          </w:tcPr>
          <w:p w:rsidR="009D47C1" w:rsidRPr="00245D96" w:rsidRDefault="009D47C1" w:rsidP="006462CD">
            <w:pPr>
              <w:rPr>
                <w:sz w:val="22"/>
                <w:szCs w:val="22"/>
              </w:rPr>
            </w:pPr>
            <w:r w:rsidRPr="00245D96">
              <w:rPr>
                <w:sz w:val="22"/>
                <w:szCs w:val="22"/>
              </w:rPr>
              <w:t>Yes</w:t>
            </w:r>
          </w:p>
        </w:tc>
      </w:tr>
    </w:tbl>
    <w:p w:rsidR="009D47C1" w:rsidRDefault="009D47C1" w:rsidP="009D47C1">
      <w:pPr>
        <w:rPr>
          <w:sz w:val="22"/>
          <w:szCs w:val="22"/>
        </w:rPr>
      </w:pPr>
    </w:p>
    <w:p w:rsidR="009D47C1" w:rsidRPr="009D47C1" w:rsidRDefault="009D47C1" w:rsidP="009D47C1">
      <w:pPr>
        <w:rPr>
          <w:sz w:val="22"/>
          <w:szCs w:val="22"/>
        </w:rPr>
      </w:pPr>
      <w:r w:rsidRPr="009D47C1">
        <w:rPr>
          <w:sz w:val="22"/>
          <w:szCs w:val="22"/>
        </w:rPr>
        <w:t xml:space="preserve">There is also a bug in Microsoft Word that causes the message “Word cannot start the converter MSWRD632.wpc” to display when opening files in Microsoft Word that were not created using Microsoft Word (e.g., a text file that was renamed as a .doc file). This message also shows for reports exported to Microsoft Word from VBECS. Microsoft published an article that describes the bug and steps on how to fix it ( </w:t>
      </w:r>
      <w:hyperlink r:id="rId46" w:history="1">
        <w:r w:rsidRPr="009D47C1">
          <w:rPr>
            <w:rStyle w:val="Hyperlink"/>
            <w:sz w:val="22"/>
            <w:szCs w:val="22"/>
          </w:rPr>
          <w:t>http://support.microsoft.com/kb/973904</w:t>
        </w:r>
      </w:hyperlink>
      <w:r w:rsidRPr="009D47C1">
        <w:rPr>
          <w:sz w:val="22"/>
          <w:szCs w:val="22"/>
        </w:rPr>
        <w:t xml:space="preserve"> ). The fix needs to be applied to the machine in which the exported reports are being opened and not to the VBECS application server. The PC used to view reports will get this error. Users can either click on the error to dismiss it each time an exported report is opened or apply the Microsoft hotfix to correct the issue.</w:t>
      </w:r>
      <w:r w:rsidRPr="009D47C1">
        <w:rPr>
          <w:vanish/>
          <w:sz w:val="22"/>
          <w:szCs w:val="22"/>
        </w:rPr>
        <w:t>DR 4821DR 4627</w:t>
      </w:r>
    </w:p>
    <w:p w:rsidR="009D47C1" w:rsidRPr="009D47C1" w:rsidRDefault="00A66B66" w:rsidP="009D47C1">
      <w:pPr>
        <w:pStyle w:val="BodyText"/>
      </w:pPr>
      <w:r>
        <w:br w:type="page"/>
      </w:r>
      <w:r w:rsidR="009D47C1" w:rsidRPr="009D47C1">
        <w:lastRenderedPageBreak/>
        <w:t xml:space="preserve">By clicking on </w:t>
      </w:r>
      <w:r w:rsidR="00634BFC">
        <w:rPr>
          <w:noProof/>
        </w:rPr>
        <w:drawing>
          <wp:inline distT="0" distB="0" distL="0" distR="0">
            <wp:extent cx="323850" cy="238125"/>
            <wp:effectExtent l="0" t="0" r="0" b="9525"/>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238125"/>
                    </a:xfrm>
                    <a:prstGeom prst="rect">
                      <a:avLst/>
                    </a:prstGeom>
                    <a:noFill/>
                    <a:ln>
                      <a:noFill/>
                    </a:ln>
                  </pic:spPr>
                </pic:pic>
              </a:graphicData>
            </a:graphic>
          </wp:inline>
        </w:drawing>
      </w:r>
      <w:r w:rsidR="009D47C1" w:rsidRPr="009D47C1">
        <w:t xml:space="preserve"> , the user has the option to select and export to an Excel, PDF or Word file (</w:t>
      </w:r>
      <w:r w:rsidR="0095211D">
        <w:fldChar w:fldCharType="begin"/>
      </w:r>
      <w:r w:rsidR="0095211D">
        <w:instrText xml:space="preserve"> REF _Ref416093779 \h </w:instrText>
      </w:r>
      <w:r w:rsidR="0095211D">
        <w:fldChar w:fldCharType="separate"/>
      </w:r>
      <w:r w:rsidR="005F38BC">
        <w:t xml:space="preserve">Figure </w:t>
      </w:r>
      <w:r w:rsidR="005F38BC">
        <w:rPr>
          <w:noProof/>
        </w:rPr>
        <w:t>12</w:t>
      </w:r>
      <w:r w:rsidR="0095211D">
        <w:fldChar w:fldCharType="end"/>
      </w:r>
      <w:r w:rsidR="009D47C1" w:rsidRPr="009D47C1">
        <w:t>). Choosing any of these options will open the dialog shown in</w:t>
      </w:r>
      <w:r w:rsidR="0095211D">
        <w:t xml:space="preserve"> </w:t>
      </w:r>
      <w:r w:rsidR="0095211D">
        <w:fldChar w:fldCharType="begin"/>
      </w:r>
      <w:r w:rsidR="0095211D">
        <w:instrText xml:space="preserve"> REF _Ref353374029 \h </w:instrText>
      </w:r>
      <w:r w:rsidR="0095211D">
        <w:fldChar w:fldCharType="separate"/>
      </w:r>
      <w:r w:rsidR="005F38BC" w:rsidRPr="00037A18">
        <w:t xml:space="preserve">Figure </w:t>
      </w:r>
      <w:r w:rsidR="005F38BC">
        <w:rPr>
          <w:noProof/>
        </w:rPr>
        <w:t>13</w:t>
      </w:r>
      <w:r w:rsidR="0095211D">
        <w:fldChar w:fldCharType="end"/>
      </w:r>
      <w:r w:rsidR="009D47C1" w:rsidRPr="009D47C1">
        <w:t xml:space="preserve">. </w:t>
      </w:r>
      <w:r w:rsidR="009D47C1" w:rsidRPr="009D47C1">
        <w:rPr>
          <w:vanish/>
        </w:rPr>
        <w:t>DR 4607</w:t>
      </w:r>
    </w:p>
    <w:p w:rsidR="002F1554" w:rsidRDefault="002F1554" w:rsidP="002F1554">
      <w:pPr>
        <w:pStyle w:val="Caption"/>
      </w:pPr>
      <w:bookmarkStart w:id="77" w:name="_Ref416093779"/>
      <w:r>
        <w:t xml:space="preserve">Figure </w:t>
      </w:r>
      <w:r>
        <w:fldChar w:fldCharType="begin"/>
      </w:r>
      <w:r>
        <w:instrText xml:space="preserve"> SEQ Figure \* ARABIC </w:instrText>
      </w:r>
      <w:r>
        <w:fldChar w:fldCharType="separate"/>
      </w:r>
      <w:r w:rsidR="005F38BC">
        <w:rPr>
          <w:noProof/>
        </w:rPr>
        <w:t>12</w:t>
      </w:r>
      <w:r>
        <w:fldChar w:fldCharType="end"/>
      </w:r>
      <w:bookmarkEnd w:id="75"/>
      <w:bookmarkEnd w:id="77"/>
      <w:r>
        <w:t>: Report Export Toolbar</w:t>
      </w:r>
    </w:p>
    <w:p w:rsidR="002F1554" w:rsidRPr="00FC73FB" w:rsidRDefault="00634BFC" w:rsidP="002F1554">
      <w:pPr>
        <w:pStyle w:val="BodyText"/>
      </w:pPr>
      <w:r>
        <w:rPr>
          <w:noProof/>
        </w:rPr>
        <w:drawing>
          <wp:inline distT="0" distB="0" distL="0" distR="0">
            <wp:extent cx="923925" cy="866775"/>
            <wp:effectExtent l="19050" t="19050" r="28575"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23925" cy="866775"/>
                    </a:xfrm>
                    <a:prstGeom prst="rect">
                      <a:avLst/>
                    </a:prstGeom>
                    <a:noFill/>
                    <a:ln w="6350" cmpd="sng">
                      <a:solidFill>
                        <a:srgbClr val="000000"/>
                      </a:solidFill>
                      <a:miter lim="800000"/>
                      <a:headEnd/>
                      <a:tailEnd/>
                    </a:ln>
                    <a:effectLst/>
                  </pic:spPr>
                </pic:pic>
              </a:graphicData>
            </a:graphic>
          </wp:inline>
        </w:drawing>
      </w:r>
    </w:p>
    <w:p w:rsidR="002F1554" w:rsidRPr="00037A18" w:rsidRDefault="002F1554" w:rsidP="002F1554">
      <w:pPr>
        <w:pStyle w:val="Caption"/>
      </w:pPr>
      <w:bookmarkStart w:id="78" w:name="_Ref353374029"/>
      <w:r w:rsidRPr="00037A18">
        <w:t xml:space="preserve">Figure </w:t>
      </w:r>
      <w:r w:rsidRPr="00037A18">
        <w:fldChar w:fldCharType="begin"/>
      </w:r>
      <w:r w:rsidRPr="00037A18">
        <w:instrText xml:space="preserve"> SEQ Figure \* ARABIC </w:instrText>
      </w:r>
      <w:r w:rsidRPr="00037A18">
        <w:fldChar w:fldCharType="separate"/>
      </w:r>
      <w:r w:rsidR="005F38BC">
        <w:rPr>
          <w:noProof/>
        </w:rPr>
        <w:t>13</w:t>
      </w:r>
      <w:r w:rsidRPr="00037A18">
        <w:fldChar w:fldCharType="end"/>
      </w:r>
      <w:bookmarkEnd w:id="78"/>
      <w:r w:rsidRPr="00037A18">
        <w:t>: Example of Report Export Dialog with Assumption that Report Expor</w:t>
      </w:r>
      <w:r w:rsidR="00BA0222">
        <w:t>t Directory is D:\VBECSReports</w:t>
      </w:r>
      <w:r w:rsidRPr="00037A18">
        <w:t>\</w:t>
      </w:r>
    </w:p>
    <w:p w:rsidR="002F1554" w:rsidRPr="00A777D2" w:rsidRDefault="00634BFC" w:rsidP="002F1554">
      <w:pPr>
        <w:pStyle w:val="BodyText"/>
        <w:rPr>
          <w:highlight w:val="yellow"/>
        </w:rPr>
      </w:pPr>
      <w:r>
        <w:rPr>
          <w:noProof/>
          <w:color w:val="1F497D"/>
        </w:rPr>
        <w:drawing>
          <wp:inline distT="0" distB="0" distL="0" distR="0">
            <wp:extent cx="6210300" cy="1733550"/>
            <wp:effectExtent l="0" t="0" r="0" b="0"/>
            <wp:docPr id="32" name="Picture 32" descr="cid:image001.png@01CE3B7C.276C5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id:image001.png@01CE3B7C.276C5E40"/>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6210300" cy="1733550"/>
                    </a:xfrm>
                    <a:prstGeom prst="rect">
                      <a:avLst/>
                    </a:prstGeom>
                    <a:noFill/>
                    <a:ln>
                      <a:noFill/>
                    </a:ln>
                  </pic:spPr>
                </pic:pic>
              </a:graphicData>
            </a:graphic>
          </wp:inline>
        </w:drawing>
      </w:r>
    </w:p>
    <w:p w:rsidR="002F1554" w:rsidRDefault="002F1554" w:rsidP="002F1554">
      <w:pPr>
        <w:rPr>
          <w:sz w:val="22"/>
          <w:szCs w:val="22"/>
        </w:rPr>
      </w:pPr>
      <w:r w:rsidRPr="00037A18">
        <w:rPr>
          <w:sz w:val="22"/>
          <w:szCs w:val="22"/>
        </w:rPr>
        <w:t>This dialog allows the user to specify the name of the file to which the report will be exported. The extension of the file is pre-filled for the user and depends on which export option was selected (.xls for Excel, .</w:t>
      </w:r>
      <w:r>
        <w:rPr>
          <w:sz w:val="22"/>
          <w:szCs w:val="22"/>
        </w:rPr>
        <w:t xml:space="preserve">pdf for PDF or .doc for Word). The </w:t>
      </w:r>
      <w:r w:rsidRPr="00037A18">
        <w:rPr>
          <w:sz w:val="22"/>
          <w:szCs w:val="22"/>
        </w:rPr>
        <w:t>file name</w:t>
      </w:r>
      <w:r>
        <w:rPr>
          <w:sz w:val="22"/>
          <w:szCs w:val="22"/>
        </w:rPr>
        <w:t xml:space="preserve"> length is limited to</w:t>
      </w:r>
      <w:r w:rsidRPr="00037A18">
        <w:rPr>
          <w:sz w:val="22"/>
          <w:szCs w:val="22"/>
        </w:rPr>
        <w:t xml:space="preserve"> </w:t>
      </w:r>
      <w:r>
        <w:rPr>
          <w:sz w:val="22"/>
          <w:szCs w:val="22"/>
        </w:rPr>
        <w:t>200</w:t>
      </w:r>
      <w:r w:rsidRPr="00037A18">
        <w:rPr>
          <w:sz w:val="22"/>
          <w:szCs w:val="22"/>
        </w:rPr>
        <w:t xml:space="preserve"> characters</w:t>
      </w:r>
      <w:r>
        <w:rPr>
          <w:sz w:val="22"/>
          <w:szCs w:val="22"/>
        </w:rPr>
        <w:t xml:space="preserve"> and will not accept special characters as part of the name (e.g., \ / ? % * | : ’ ” &lt; &gt;).</w:t>
      </w:r>
    </w:p>
    <w:p w:rsidR="002F1554" w:rsidRPr="00037A18" w:rsidRDefault="002F1554" w:rsidP="002F1554">
      <w:pPr>
        <w:spacing w:before="120"/>
        <w:rPr>
          <w:sz w:val="22"/>
          <w:szCs w:val="22"/>
        </w:rPr>
      </w:pPr>
      <w:r w:rsidRPr="00037A18">
        <w:rPr>
          <w:sz w:val="22"/>
          <w:szCs w:val="22"/>
        </w:rPr>
        <w:t xml:space="preserve">If the user attempts to </w:t>
      </w:r>
      <w:r>
        <w:rPr>
          <w:sz w:val="22"/>
          <w:szCs w:val="22"/>
        </w:rPr>
        <w:t>use a special character in the file name, it will be ignored and not appear on the screen.</w:t>
      </w:r>
    </w:p>
    <w:p w:rsidR="002F1554" w:rsidRPr="00037A18" w:rsidRDefault="002F1554" w:rsidP="002F1554">
      <w:pPr>
        <w:pStyle w:val="BodyText"/>
      </w:pPr>
      <w:r w:rsidRPr="00037A18">
        <w:t xml:space="preserve">Once the user enters a proper file name, the </w:t>
      </w:r>
      <w:r w:rsidRPr="00037A18">
        <w:rPr>
          <w:b/>
        </w:rPr>
        <w:t>OK</w:t>
      </w:r>
      <w:r w:rsidRPr="00037A18">
        <w:t xml:space="preserve"> button will become enabled. Clicking the </w:t>
      </w:r>
      <w:r w:rsidRPr="00037A18">
        <w:rPr>
          <w:b/>
        </w:rPr>
        <w:t>OK</w:t>
      </w:r>
      <w:r w:rsidRPr="00037A18">
        <w:t xml:space="preserve"> button will present the user with the message shown in</w:t>
      </w:r>
      <w:r w:rsidR="00430868">
        <w:t xml:space="preserve"> </w:t>
      </w:r>
      <w:r w:rsidR="00430868">
        <w:fldChar w:fldCharType="begin"/>
      </w:r>
      <w:r w:rsidR="00430868">
        <w:instrText xml:space="preserve"> REF _Ref353374032 \h </w:instrText>
      </w:r>
      <w:r w:rsidR="00430868">
        <w:fldChar w:fldCharType="separate"/>
      </w:r>
      <w:r w:rsidR="005F38BC" w:rsidRPr="00037A18">
        <w:t xml:space="preserve">Figure </w:t>
      </w:r>
      <w:r w:rsidR="005F38BC">
        <w:rPr>
          <w:noProof/>
        </w:rPr>
        <w:t>14</w:t>
      </w:r>
      <w:r w:rsidR="00430868">
        <w:fldChar w:fldCharType="end"/>
      </w:r>
      <w:r w:rsidRPr="00037A18">
        <w:t>.</w:t>
      </w:r>
    </w:p>
    <w:p w:rsidR="002F1554" w:rsidRPr="00037A18" w:rsidRDefault="002F1554" w:rsidP="002F1554">
      <w:pPr>
        <w:pStyle w:val="Caption"/>
      </w:pPr>
      <w:bookmarkStart w:id="79" w:name="_Ref353374032"/>
      <w:r w:rsidRPr="00037A18">
        <w:t xml:space="preserve">Figure </w:t>
      </w:r>
      <w:r w:rsidRPr="00037A18">
        <w:fldChar w:fldCharType="begin"/>
      </w:r>
      <w:r w:rsidRPr="00037A18">
        <w:instrText xml:space="preserve"> SEQ Figure \* ARABIC </w:instrText>
      </w:r>
      <w:r w:rsidRPr="00037A18">
        <w:fldChar w:fldCharType="separate"/>
      </w:r>
      <w:r w:rsidR="005F38BC">
        <w:rPr>
          <w:noProof/>
        </w:rPr>
        <w:t>14</w:t>
      </w:r>
      <w:r w:rsidRPr="00037A18">
        <w:fldChar w:fldCharType="end"/>
      </w:r>
      <w:bookmarkEnd w:id="79"/>
      <w:r w:rsidRPr="00037A18">
        <w:t>: Report Exporting in Progress</w:t>
      </w:r>
    </w:p>
    <w:p w:rsidR="002F1554" w:rsidRPr="00A777D2" w:rsidRDefault="00634BFC" w:rsidP="002F1554">
      <w:pPr>
        <w:pStyle w:val="BodyText"/>
        <w:rPr>
          <w:highlight w:val="yellow"/>
        </w:rPr>
      </w:pPr>
      <w:r>
        <w:rPr>
          <w:noProof/>
        </w:rPr>
        <w:drawing>
          <wp:inline distT="0" distB="0" distL="0" distR="0">
            <wp:extent cx="2638425" cy="1200150"/>
            <wp:effectExtent l="19050" t="19050" r="28575"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38425" cy="1200150"/>
                    </a:xfrm>
                    <a:prstGeom prst="rect">
                      <a:avLst/>
                    </a:prstGeom>
                    <a:noFill/>
                    <a:ln w="6350" cmpd="sng">
                      <a:solidFill>
                        <a:srgbClr val="000000"/>
                      </a:solidFill>
                      <a:miter lim="800000"/>
                      <a:headEnd/>
                      <a:tailEnd/>
                    </a:ln>
                    <a:effectLst/>
                  </pic:spPr>
                </pic:pic>
              </a:graphicData>
            </a:graphic>
          </wp:inline>
        </w:drawing>
      </w:r>
    </w:p>
    <w:p w:rsidR="002F1554" w:rsidRPr="00037A18" w:rsidRDefault="00A66B66" w:rsidP="002F1554">
      <w:pPr>
        <w:pStyle w:val="BodyText"/>
      </w:pPr>
      <w:r>
        <w:br w:type="page"/>
      </w:r>
      <w:r w:rsidR="002F1554" w:rsidRPr="00037A18">
        <w:lastRenderedPageBreak/>
        <w:t xml:space="preserve">Clicking the </w:t>
      </w:r>
      <w:r w:rsidR="002F1554" w:rsidRPr="00037A18">
        <w:rPr>
          <w:b/>
        </w:rPr>
        <w:t>Cancel</w:t>
      </w:r>
      <w:r w:rsidR="002F1554" w:rsidRPr="00037A18">
        <w:t xml:space="preserve"> button will stop the e</w:t>
      </w:r>
      <w:r w:rsidR="009144AE">
        <w:t>xport and</w:t>
      </w:r>
      <w:r w:rsidR="005B08F5">
        <w:t xml:space="preserve"> the user will be reverted back to viewing the report</w:t>
      </w:r>
      <w:r w:rsidR="002F1554" w:rsidRPr="00037A18">
        <w:t xml:space="preserve">. If the export </w:t>
      </w:r>
      <w:r w:rsidR="005B08F5">
        <w:t>is</w:t>
      </w:r>
      <w:r w:rsidR="002F1554" w:rsidRPr="00037A18">
        <w:t xml:space="preserve"> successful, the user will be presented with the message shown in</w:t>
      </w:r>
      <w:r w:rsidR="00B2123B">
        <w:t xml:space="preserve"> </w:t>
      </w:r>
      <w:r w:rsidR="00430868">
        <w:fldChar w:fldCharType="begin"/>
      </w:r>
      <w:r w:rsidR="00430868">
        <w:instrText xml:space="preserve"> REF _Ref353374155 \h </w:instrText>
      </w:r>
      <w:r w:rsidR="00430868">
        <w:fldChar w:fldCharType="separate"/>
      </w:r>
      <w:r w:rsidR="005F38BC" w:rsidRPr="00037A18">
        <w:t xml:space="preserve">Figure </w:t>
      </w:r>
      <w:r w:rsidR="005F38BC">
        <w:rPr>
          <w:noProof/>
        </w:rPr>
        <w:t>15</w:t>
      </w:r>
      <w:r w:rsidR="00430868">
        <w:fldChar w:fldCharType="end"/>
      </w:r>
      <w:r w:rsidR="002F1554" w:rsidRPr="00037A18">
        <w:t>.</w:t>
      </w:r>
    </w:p>
    <w:p w:rsidR="002F1554" w:rsidRPr="00037A18" w:rsidRDefault="002F1554" w:rsidP="002F1554">
      <w:pPr>
        <w:pStyle w:val="Caption"/>
      </w:pPr>
      <w:bookmarkStart w:id="80" w:name="_Ref353374155"/>
      <w:r w:rsidRPr="00037A18">
        <w:t xml:space="preserve">Figure </w:t>
      </w:r>
      <w:r w:rsidRPr="00037A18">
        <w:fldChar w:fldCharType="begin"/>
      </w:r>
      <w:r w:rsidRPr="00037A18">
        <w:instrText xml:space="preserve"> SEQ Figure \* ARABIC </w:instrText>
      </w:r>
      <w:r w:rsidRPr="00037A18">
        <w:fldChar w:fldCharType="separate"/>
      </w:r>
      <w:r w:rsidR="005F38BC">
        <w:rPr>
          <w:noProof/>
        </w:rPr>
        <w:t>15</w:t>
      </w:r>
      <w:r w:rsidRPr="00037A18">
        <w:fldChar w:fldCharType="end"/>
      </w:r>
      <w:bookmarkEnd w:id="80"/>
      <w:r w:rsidRPr="00037A18">
        <w:t>: Example of Report Exporting Success</w:t>
      </w:r>
    </w:p>
    <w:p w:rsidR="002F1554" w:rsidRPr="00A777D2" w:rsidRDefault="00634BFC" w:rsidP="002F1554">
      <w:pPr>
        <w:pStyle w:val="BodyText"/>
        <w:rPr>
          <w:highlight w:val="yellow"/>
        </w:rPr>
      </w:pPr>
      <w:r>
        <w:rPr>
          <w:noProof/>
          <w:color w:val="1F497D"/>
        </w:rPr>
        <w:drawing>
          <wp:inline distT="0" distB="0" distL="0" distR="0">
            <wp:extent cx="2876550" cy="1381125"/>
            <wp:effectExtent l="0" t="0" r="0" b="9525"/>
            <wp:docPr id="34" name="Picture 34" descr="cid:image001.png@01CE3F3B.609C9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id:image001.png@01CE3F3B.609C9D20"/>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2876550" cy="1381125"/>
                    </a:xfrm>
                    <a:prstGeom prst="rect">
                      <a:avLst/>
                    </a:prstGeom>
                    <a:noFill/>
                    <a:ln>
                      <a:noFill/>
                    </a:ln>
                  </pic:spPr>
                </pic:pic>
              </a:graphicData>
            </a:graphic>
          </wp:inline>
        </w:drawing>
      </w:r>
    </w:p>
    <w:p w:rsidR="002F1554" w:rsidRPr="00037A18" w:rsidRDefault="002F1554" w:rsidP="002F1554">
      <w:pPr>
        <w:pStyle w:val="BodyText"/>
      </w:pPr>
      <w:r w:rsidRPr="00037A18">
        <w:t>This dialog shows the full path to the report and its name allowing the user to find it quickly using Windows Explorer.</w:t>
      </w:r>
    </w:p>
    <w:p w:rsidR="002F1554" w:rsidRPr="00037A18" w:rsidRDefault="002F1554" w:rsidP="002F1554">
      <w:pPr>
        <w:pStyle w:val="BodyText"/>
      </w:pPr>
      <w:r w:rsidRPr="00037A18">
        <w:t>If the user enters the name of a report that already exists, the system will present the message shown in</w:t>
      </w:r>
      <w:r w:rsidR="00430868">
        <w:t xml:space="preserve"> </w:t>
      </w:r>
      <w:r w:rsidR="00430868">
        <w:fldChar w:fldCharType="begin"/>
      </w:r>
      <w:r w:rsidR="00430868">
        <w:instrText xml:space="preserve"> REF _Ref353374172 \h </w:instrText>
      </w:r>
      <w:r w:rsidR="00430868">
        <w:fldChar w:fldCharType="separate"/>
      </w:r>
      <w:r w:rsidR="005F38BC" w:rsidRPr="00037A18">
        <w:t xml:space="preserve">Figure </w:t>
      </w:r>
      <w:r w:rsidR="005F38BC">
        <w:rPr>
          <w:noProof/>
        </w:rPr>
        <w:t>16</w:t>
      </w:r>
      <w:r w:rsidR="00430868">
        <w:fldChar w:fldCharType="end"/>
      </w:r>
      <w:r w:rsidRPr="00037A18">
        <w:t>.</w:t>
      </w:r>
    </w:p>
    <w:p w:rsidR="002F1554" w:rsidRPr="00037A18" w:rsidRDefault="002F1554" w:rsidP="002F1554">
      <w:pPr>
        <w:pStyle w:val="Caption"/>
      </w:pPr>
      <w:bookmarkStart w:id="81" w:name="_Ref353374172"/>
      <w:r w:rsidRPr="00037A18">
        <w:t xml:space="preserve">Figure </w:t>
      </w:r>
      <w:r w:rsidRPr="00037A18">
        <w:fldChar w:fldCharType="begin"/>
      </w:r>
      <w:r w:rsidRPr="00037A18">
        <w:instrText xml:space="preserve"> SEQ Figure \* ARABIC </w:instrText>
      </w:r>
      <w:r w:rsidRPr="00037A18">
        <w:fldChar w:fldCharType="separate"/>
      </w:r>
      <w:r w:rsidR="005F38BC">
        <w:rPr>
          <w:noProof/>
        </w:rPr>
        <w:t>16</w:t>
      </w:r>
      <w:r w:rsidRPr="00037A18">
        <w:fldChar w:fldCharType="end"/>
      </w:r>
      <w:bookmarkEnd w:id="81"/>
      <w:r w:rsidRPr="00037A18">
        <w:t>: Report File Already Exists</w:t>
      </w:r>
    </w:p>
    <w:p w:rsidR="002F1554" w:rsidRPr="00A777D2" w:rsidRDefault="00634BFC" w:rsidP="002F1554">
      <w:pPr>
        <w:pStyle w:val="BodyText"/>
        <w:rPr>
          <w:noProof/>
          <w:highlight w:val="yellow"/>
        </w:rPr>
      </w:pPr>
      <w:r>
        <w:rPr>
          <w:noProof/>
        </w:rPr>
        <w:drawing>
          <wp:inline distT="0" distB="0" distL="0" distR="0">
            <wp:extent cx="3819525" cy="1381125"/>
            <wp:effectExtent l="19050" t="19050" r="28575" b="28575"/>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19525" cy="1381125"/>
                    </a:xfrm>
                    <a:prstGeom prst="rect">
                      <a:avLst/>
                    </a:prstGeom>
                    <a:noFill/>
                    <a:ln w="6350" cmpd="sng">
                      <a:solidFill>
                        <a:srgbClr val="000000"/>
                      </a:solidFill>
                      <a:miter lim="800000"/>
                      <a:headEnd/>
                      <a:tailEnd/>
                    </a:ln>
                    <a:effectLst/>
                  </pic:spPr>
                </pic:pic>
              </a:graphicData>
            </a:graphic>
          </wp:inline>
        </w:drawing>
      </w:r>
    </w:p>
    <w:p w:rsidR="002F1554" w:rsidRDefault="002F1554" w:rsidP="002F1554">
      <w:pPr>
        <w:pStyle w:val="BodyText"/>
      </w:pPr>
      <w:r w:rsidRPr="00037A18">
        <w:t xml:space="preserve">Clicking </w:t>
      </w:r>
      <w:r w:rsidRPr="00037A18">
        <w:rPr>
          <w:b/>
        </w:rPr>
        <w:t>Yes</w:t>
      </w:r>
      <w:r w:rsidRPr="00037A18">
        <w:t xml:space="preserve"> will overwrite the existing file. Clicking </w:t>
      </w:r>
      <w:r w:rsidRPr="00037A18">
        <w:rPr>
          <w:b/>
        </w:rPr>
        <w:t>No</w:t>
      </w:r>
      <w:r w:rsidRPr="00037A18">
        <w:t xml:space="preserve"> will allow the user to specify a new name.</w:t>
      </w:r>
    </w:p>
    <w:p w:rsidR="00DC40FC" w:rsidRPr="00037A18" w:rsidRDefault="00A66B66" w:rsidP="00DC40FC">
      <w:pPr>
        <w:pStyle w:val="Heading3"/>
      </w:pPr>
      <w:r>
        <w:br w:type="page"/>
      </w:r>
      <w:bookmarkStart w:id="82" w:name="_Toc459900050"/>
      <w:r w:rsidR="00186E73">
        <w:lastRenderedPageBreak/>
        <w:t>Copying</w:t>
      </w:r>
      <w:r w:rsidR="00DC40FC">
        <w:t xml:space="preserve"> an Exported Report</w:t>
      </w:r>
      <w:bookmarkEnd w:id="82"/>
    </w:p>
    <w:p w:rsidR="00DC40FC" w:rsidRDefault="00DC40FC" w:rsidP="002F1554">
      <w:pPr>
        <w:pStyle w:val="BodyText"/>
      </w:pPr>
      <w:r>
        <w:t xml:space="preserve">Here are some tips for </w:t>
      </w:r>
      <w:r w:rsidR="00186E73">
        <w:t>copying</w:t>
      </w:r>
      <w:r>
        <w:t xml:space="preserve"> a file or folder of files from </w:t>
      </w:r>
      <w:r w:rsidR="00EF230F">
        <w:t>one location to another</w:t>
      </w:r>
      <w:r>
        <w:t>.</w:t>
      </w:r>
    </w:p>
    <w:p w:rsidR="005F536B" w:rsidRPr="005F536B" w:rsidRDefault="005F536B" w:rsidP="002F1554">
      <w:pPr>
        <w:pStyle w:val="BodyText"/>
        <w:rPr>
          <w:b/>
        </w:rPr>
      </w:pPr>
      <w:r w:rsidRPr="005F536B">
        <w:rPr>
          <w:b/>
        </w:rPr>
        <w:t>Before you begin:</w:t>
      </w:r>
    </w:p>
    <w:p w:rsidR="005F536B" w:rsidRDefault="005F536B" w:rsidP="002F6D7B">
      <w:pPr>
        <w:pStyle w:val="BodyText"/>
        <w:numPr>
          <w:ilvl w:val="0"/>
          <w:numId w:val="47"/>
        </w:numPr>
      </w:pPr>
      <w:r>
        <w:t xml:space="preserve">Verify that you or the person </w:t>
      </w:r>
      <w:r w:rsidR="00186E73">
        <w:t>copying</w:t>
      </w:r>
      <w:r>
        <w:t xml:space="preserve"> the file has pe</w:t>
      </w:r>
      <w:r w:rsidR="003C4FA9">
        <w:t xml:space="preserve">rmissions to access both the folder you are </w:t>
      </w:r>
      <w:r w:rsidR="00186E73">
        <w:t>copying</w:t>
      </w:r>
      <w:r w:rsidR="003C4FA9">
        <w:t xml:space="preserve"> files from and the folder you are </w:t>
      </w:r>
      <w:r w:rsidR="00186E73">
        <w:t>copying</w:t>
      </w:r>
      <w:r w:rsidR="003C4FA9">
        <w:t xml:space="preserve"> the files to</w:t>
      </w:r>
      <w:r>
        <w:t>.</w:t>
      </w:r>
    </w:p>
    <w:p w:rsidR="005F536B" w:rsidRDefault="005F536B" w:rsidP="002F6D7B">
      <w:pPr>
        <w:pStyle w:val="BodyText"/>
        <w:numPr>
          <w:ilvl w:val="0"/>
          <w:numId w:val="47"/>
        </w:numPr>
      </w:pPr>
      <w:r>
        <w:t>Determine the type of file (i.e., PDF, Word or Excel) you want to use for you</w:t>
      </w:r>
      <w:r w:rsidR="003C4FA9">
        <w:t>r</w:t>
      </w:r>
      <w:r>
        <w:t xml:space="preserve"> local document before you export. Do not change the file type during this process.</w:t>
      </w:r>
    </w:p>
    <w:p w:rsidR="005F536B" w:rsidRDefault="005F536B" w:rsidP="005F536B">
      <w:pPr>
        <w:pStyle w:val="BodyText"/>
      </w:pPr>
      <w:r>
        <w:t>You may have a shortcut defined on your desktop that opens the report export folder on the server (</w:t>
      </w:r>
      <w:r w:rsidR="00EF230F">
        <w:fldChar w:fldCharType="begin"/>
      </w:r>
      <w:r w:rsidR="00EF230F">
        <w:instrText xml:space="preserve"> REF _Ref414957542 \h </w:instrText>
      </w:r>
      <w:r w:rsidR="00EF230F">
        <w:fldChar w:fldCharType="separate"/>
      </w:r>
      <w:r w:rsidR="005F38BC">
        <w:t xml:space="preserve">Figure </w:t>
      </w:r>
      <w:r w:rsidR="005F38BC">
        <w:rPr>
          <w:noProof/>
        </w:rPr>
        <w:t>17</w:t>
      </w:r>
      <w:r w:rsidR="00EF230F">
        <w:fldChar w:fldCharType="end"/>
      </w:r>
      <w:r>
        <w:t>). This allows you to open files on the server on your local PC. It is the server’s D: drive, which is (Y) in this example.</w:t>
      </w:r>
    </w:p>
    <w:p w:rsidR="005F536B" w:rsidRDefault="005F536B" w:rsidP="005F536B">
      <w:pPr>
        <w:pStyle w:val="Caption"/>
      </w:pPr>
      <w:bookmarkStart w:id="83" w:name="_Ref414957542"/>
      <w:r>
        <w:t xml:space="preserve">Figure </w:t>
      </w:r>
      <w:r>
        <w:fldChar w:fldCharType="begin"/>
      </w:r>
      <w:r>
        <w:instrText xml:space="preserve"> SEQ Figure \* ARABIC </w:instrText>
      </w:r>
      <w:r>
        <w:fldChar w:fldCharType="separate"/>
      </w:r>
      <w:r w:rsidR="005F38BC">
        <w:rPr>
          <w:noProof/>
        </w:rPr>
        <w:t>17</w:t>
      </w:r>
      <w:r>
        <w:fldChar w:fldCharType="end"/>
      </w:r>
      <w:bookmarkEnd w:id="83"/>
      <w:r>
        <w:t>: Example of D: Drive</w:t>
      </w:r>
    </w:p>
    <w:p w:rsidR="005F536B" w:rsidRDefault="00634BFC" w:rsidP="005F536B">
      <w:pPr>
        <w:pStyle w:val="BodyText"/>
      </w:pPr>
      <w:r>
        <w:rPr>
          <w:noProof/>
        </w:rPr>
        <w:drawing>
          <wp:inline distT="0" distB="0" distL="0" distR="0">
            <wp:extent cx="628650" cy="638175"/>
            <wp:effectExtent l="19050" t="19050" r="19050" b="285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w="12700" cmpd="sng">
                      <a:solidFill>
                        <a:srgbClr val="000000"/>
                      </a:solidFill>
                      <a:miter lim="800000"/>
                      <a:headEnd/>
                      <a:tailEnd/>
                    </a:ln>
                    <a:effectLst/>
                  </pic:spPr>
                </pic:pic>
              </a:graphicData>
            </a:graphic>
          </wp:inline>
        </w:drawing>
      </w:r>
    </w:p>
    <w:p w:rsidR="00A66B66" w:rsidRDefault="00A66B66" w:rsidP="005F536B">
      <w:pPr>
        <w:pStyle w:val="BodyText"/>
        <w:rPr>
          <w:b/>
        </w:rPr>
      </w:pPr>
    </w:p>
    <w:p w:rsidR="005F536B" w:rsidRPr="006E65B3" w:rsidRDefault="005F536B" w:rsidP="005F536B">
      <w:pPr>
        <w:pStyle w:val="BodyText"/>
      </w:pPr>
      <w:r w:rsidRPr="006E65B3">
        <w:rPr>
          <w:b/>
        </w:rPr>
        <w:t>Option One</w:t>
      </w:r>
      <w:r w:rsidR="0044329E" w:rsidRPr="006E65B3">
        <w:rPr>
          <w:b/>
        </w:rPr>
        <w:t xml:space="preserve">: </w:t>
      </w:r>
      <w:r w:rsidR="0044329E" w:rsidRPr="006E65B3">
        <w:t xml:space="preserve">Drag and drop a copy of the file in </w:t>
      </w:r>
      <w:r w:rsidR="00EB17AC" w:rsidRPr="006E65B3">
        <w:t>“</w:t>
      </w:r>
      <w:r w:rsidR="0044329E" w:rsidRPr="006E65B3">
        <w:t>MY LOCAL FOLDER</w:t>
      </w:r>
      <w:r w:rsidR="00EB17AC" w:rsidRPr="006E65B3">
        <w:t>”</w:t>
      </w:r>
      <w:r w:rsidR="0044329E" w:rsidRPr="006E65B3">
        <w:t>.</w:t>
      </w:r>
    </w:p>
    <w:p w:rsidR="0044329E" w:rsidRPr="006E65B3" w:rsidRDefault="0044329E" w:rsidP="005F536B">
      <w:pPr>
        <w:pStyle w:val="BodyText"/>
      </w:pPr>
      <w:r w:rsidRPr="006E65B3">
        <w:t xml:space="preserve">This works well when you do not need to change the file name when </w:t>
      </w:r>
      <w:r w:rsidR="00EF230F" w:rsidRPr="006E65B3">
        <w:t>placing</w:t>
      </w:r>
      <w:r w:rsidRPr="006E65B3">
        <w:t xml:space="preserve"> it in your local folder.</w:t>
      </w:r>
    </w:p>
    <w:p w:rsidR="0044329E" w:rsidRPr="006E65B3" w:rsidRDefault="0044329E" w:rsidP="0044329E">
      <w:pPr>
        <w:pStyle w:val="ListNumber2"/>
        <w:rPr>
          <w:sz w:val="22"/>
          <w:szCs w:val="22"/>
        </w:rPr>
      </w:pPr>
      <w:r w:rsidRPr="006E65B3">
        <w:rPr>
          <w:sz w:val="22"/>
          <w:szCs w:val="22"/>
        </w:rPr>
        <w:t xml:space="preserve">When in ‘Windows Explorer’ (not Internet Explorer), left-click on the file and </w:t>
      </w:r>
      <w:r w:rsidR="00EF230F" w:rsidRPr="006E65B3">
        <w:rPr>
          <w:sz w:val="22"/>
          <w:szCs w:val="22"/>
        </w:rPr>
        <w:t>while</w:t>
      </w:r>
      <w:r w:rsidRPr="006E65B3">
        <w:rPr>
          <w:sz w:val="22"/>
          <w:szCs w:val="22"/>
        </w:rPr>
        <w:t xml:space="preserve"> </w:t>
      </w:r>
      <w:r w:rsidR="00EF230F" w:rsidRPr="006E65B3">
        <w:rPr>
          <w:sz w:val="22"/>
          <w:szCs w:val="22"/>
        </w:rPr>
        <w:t>holding down</w:t>
      </w:r>
      <w:r w:rsidRPr="006E65B3">
        <w:rPr>
          <w:sz w:val="22"/>
          <w:szCs w:val="22"/>
        </w:rPr>
        <w:t xml:space="preserve"> the mouse button, drag the file to </w:t>
      </w:r>
      <w:r w:rsidR="003C4FA9">
        <w:rPr>
          <w:sz w:val="22"/>
          <w:szCs w:val="22"/>
        </w:rPr>
        <w:t>the destination</w:t>
      </w:r>
      <w:r w:rsidRPr="006E65B3">
        <w:rPr>
          <w:sz w:val="22"/>
          <w:szCs w:val="22"/>
        </w:rPr>
        <w:t xml:space="preserve"> folder. The dark-blue “Admin Data Report 071514” is selected (</w:t>
      </w:r>
      <w:r w:rsidR="00EF230F" w:rsidRPr="006E65B3">
        <w:rPr>
          <w:sz w:val="22"/>
          <w:szCs w:val="22"/>
        </w:rPr>
        <w:fldChar w:fldCharType="begin"/>
      </w:r>
      <w:r w:rsidR="00EF230F" w:rsidRPr="006E65B3">
        <w:rPr>
          <w:sz w:val="22"/>
          <w:szCs w:val="22"/>
        </w:rPr>
        <w:instrText xml:space="preserve"> REF _Ref414957587 \h </w:instrText>
      </w:r>
      <w:r w:rsidR="00EF230F" w:rsidRPr="006E65B3">
        <w:rPr>
          <w:sz w:val="22"/>
          <w:szCs w:val="22"/>
        </w:rPr>
      </w:r>
      <w:r w:rsidR="006E65B3">
        <w:rPr>
          <w:sz w:val="22"/>
          <w:szCs w:val="22"/>
        </w:rPr>
        <w:instrText xml:space="preserve"> \* MERGEFORMAT </w:instrText>
      </w:r>
      <w:r w:rsidR="00EF230F" w:rsidRPr="006E65B3">
        <w:rPr>
          <w:sz w:val="22"/>
          <w:szCs w:val="22"/>
        </w:rPr>
        <w:fldChar w:fldCharType="separate"/>
      </w:r>
      <w:r w:rsidR="005F38BC" w:rsidRPr="005F38BC">
        <w:rPr>
          <w:sz w:val="22"/>
          <w:szCs w:val="22"/>
        </w:rPr>
        <w:t xml:space="preserve">Figure </w:t>
      </w:r>
      <w:r w:rsidR="005F38BC" w:rsidRPr="005F38BC">
        <w:rPr>
          <w:noProof/>
          <w:sz w:val="22"/>
          <w:szCs w:val="22"/>
        </w:rPr>
        <w:t>18</w:t>
      </w:r>
      <w:r w:rsidR="00EF230F" w:rsidRPr="006E65B3">
        <w:rPr>
          <w:sz w:val="22"/>
          <w:szCs w:val="22"/>
        </w:rPr>
        <w:fldChar w:fldCharType="end"/>
      </w:r>
      <w:r w:rsidRPr="006E65B3">
        <w:rPr>
          <w:sz w:val="22"/>
          <w:szCs w:val="22"/>
        </w:rPr>
        <w:t>).</w:t>
      </w:r>
    </w:p>
    <w:p w:rsidR="0044329E" w:rsidRPr="006E65B3" w:rsidRDefault="0044329E" w:rsidP="0044329E">
      <w:pPr>
        <w:pStyle w:val="Caption"/>
      </w:pPr>
      <w:bookmarkStart w:id="84" w:name="_Ref414957587"/>
      <w:r w:rsidRPr="006E65B3">
        <w:t xml:space="preserve">Figure </w:t>
      </w:r>
      <w:r w:rsidRPr="006E65B3">
        <w:fldChar w:fldCharType="begin"/>
      </w:r>
      <w:r w:rsidRPr="006E65B3">
        <w:instrText xml:space="preserve"> SEQ Figure \* ARABIC </w:instrText>
      </w:r>
      <w:r w:rsidRPr="006E65B3">
        <w:fldChar w:fldCharType="separate"/>
      </w:r>
      <w:r w:rsidR="005F38BC">
        <w:rPr>
          <w:noProof/>
        </w:rPr>
        <w:t>18</w:t>
      </w:r>
      <w:r w:rsidRPr="006E65B3">
        <w:fldChar w:fldCharType="end"/>
      </w:r>
      <w:bookmarkEnd w:id="84"/>
      <w:r w:rsidRPr="006E65B3">
        <w:t>: Example of Selection of "Admin Data Report 071514"</w:t>
      </w:r>
    </w:p>
    <w:p w:rsidR="0044329E" w:rsidRPr="0044329E" w:rsidRDefault="00634BFC" w:rsidP="0044329E">
      <w:pPr>
        <w:pStyle w:val="BodyText"/>
      </w:pPr>
      <w:r>
        <w:rPr>
          <w:noProof/>
          <w:sz w:val="24"/>
          <w:szCs w:val="24"/>
        </w:rPr>
        <w:drawing>
          <wp:inline distT="0" distB="0" distL="0" distR="0">
            <wp:extent cx="4572000" cy="276225"/>
            <wp:effectExtent l="19050" t="19050" r="19050"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2000" cy="276225"/>
                    </a:xfrm>
                    <a:prstGeom prst="rect">
                      <a:avLst/>
                    </a:prstGeom>
                    <a:noFill/>
                    <a:ln w="12700" cmpd="sng">
                      <a:solidFill>
                        <a:srgbClr val="000000"/>
                      </a:solidFill>
                      <a:miter lim="800000"/>
                      <a:headEnd/>
                      <a:tailEnd/>
                    </a:ln>
                    <a:effectLst/>
                  </pic:spPr>
                </pic:pic>
              </a:graphicData>
            </a:graphic>
          </wp:inline>
        </w:drawing>
      </w:r>
    </w:p>
    <w:p w:rsidR="0044329E" w:rsidRPr="006E65B3" w:rsidRDefault="0044329E" w:rsidP="0044329E">
      <w:pPr>
        <w:pStyle w:val="ListNumber2"/>
        <w:rPr>
          <w:sz w:val="22"/>
          <w:szCs w:val="22"/>
        </w:rPr>
      </w:pPr>
      <w:r w:rsidRPr="006E65B3">
        <w:rPr>
          <w:sz w:val="22"/>
          <w:szCs w:val="22"/>
        </w:rPr>
        <w:t xml:space="preserve">Release the left mouse button when hovering over </w:t>
      </w:r>
      <w:r w:rsidR="00EB17AC" w:rsidRPr="006E65B3">
        <w:rPr>
          <w:sz w:val="22"/>
          <w:szCs w:val="22"/>
        </w:rPr>
        <w:t>“</w:t>
      </w:r>
      <w:r w:rsidRPr="006E65B3">
        <w:rPr>
          <w:sz w:val="22"/>
          <w:szCs w:val="22"/>
        </w:rPr>
        <w:t>MY LOCAL FOLDER</w:t>
      </w:r>
      <w:r w:rsidR="00EB17AC" w:rsidRPr="006E65B3">
        <w:rPr>
          <w:sz w:val="22"/>
          <w:szCs w:val="22"/>
        </w:rPr>
        <w:t>”</w:t>
      </w:r>
      <w:r w:rsidRPr="006E65B3">
        <w:rPr>
          <w:sz w:val="22"/>
          <w:szCs w:val="22"/>
        </w:rPr>
        <w:t xml:space="preserve">. The file may </w:t>
      </w:r>
      <w:r w:rsidR="00186E73">
        <w:rPr>
          <w:sz w:val="22"/>
          <w:szCs w:val="22"/>
        </w:rPr>
        <w:t>copy</w:t>
      </w:r>
      <w:r w:rsidRPr="006E65B3">
        <w:rPr>
          <w:sz w:val="22"/>
          <w:szCs w:val="22"/>
        </w:rPr>
        <w:t xml:space="preserve"> without any notification or may have a copying window appear if it is a large file (</w:t>
      </w:r>
      <w:r w:rsidR="00EF230F" w:rsidRPr="006E65B3">
        <w:rPr>
          <w:sz w:val="22"/>
          <w:szCs w:val="22"/>
        </w:rPr>
        <w:fldChar w:fldCharType="begin"/>
      </w:r>
      <w:r w:rsidR="00EF230F" w:rsidRPr="006E65B3">
        <w:rPr>
          <w:sz w:val="22"/>
          <w:szCs w:val="22"/>
        </w:rPr>
        <w:instrText xml:space="preserve"> REF _Ref414957654 \h </w:instrText>
      </w:r>
      <w:r w:rsidR="00EF230F" w:rsidRPr="006E65B3">
        <w:rPr>
          <w:sz w:val="22"/>
          <w:szCs w:val="22"/>
        </w:rPr>
      </w:r>
      <w:r w:rsidR="006E65B3">
        <w:rPr>
          <w:sz w:val="22"/>
          <w:szCs w:val="22"/>
        </w:rPr>
        <w:instrText xml:space="preserve"> \* MERGEFORMAT </w:instrText>
      </w:r>
      <w:r w:rsidR="00EF230F" w:rsidRPr="006E65B3">
        <w:rPr>
          <w:sz w:val="22"/>
          <w:szCs w:val="22"/>
        </w:rPr>
        <w:fldChar w:fldCharType="separate"/>
      </w:r>
      <w:r w:rsidR="005F38BC" w:rsidRPr="005F38BC">
        <w:rPr>
          <w:sz w:val="22"/>
          <w:szCs w:val="22"/>
        </w:rPr>
        <w:t xml:space="preserve">Figure </w:t>
      </w:r>
      <w:r w:rsidR="005F38BC" w:rsidRPr="005F38BC">
        <w:rPr>
          <w:noProof/>
          <w:sz w:val="22"/>
          <w:szCs w:val="22"/>
        </w:rPr>
        <w:t>19</w:t>
      </w:r>
      <w:r w:rsidR="00EF230F" w:rsidRPr="006E65B3">
        <w:rPr>
          <w:sz w:val="22"/>
          <w:szCs w:val="22"/>
        </w:rPr>
        <w:fldChar w:fldCharType="end"/>
      </w:r>
      <w:r w:rsidRPr="006E65B3">
        <w:rPr>
          <w:sz w:val="22"/>
          <w:szCs w:val="22"/>
        </w:rPr>
        <w:t>).</w:t>
      </w:r>
    </w:p>
    <w:p w:rsidR="0044329E" w:rsidRPr="006E65B3" w:rsidRDefault="0044329E" w:rsidP="0044329E">
      <w:pPr>
        <w:pStyle w:val="Caption"/>
      </w:pPr>
      <w:bookmarkStart w:id="85" w:name="_Ref414957654"/>
      <w:r w:rsidRPr="006E65B3">
        <w:t xml:space="preserve">Figure </w:t>
      </w:r>
      <w:r w:rsidRPr="006E65B3">
        <w:fldChar w:fldCharType="begin"/>
      </w:r>
      <w:r w:rsidRPr="006E65B3">
        <w:instrText xml:space="preserve"> SEQ Figure \* ARABIC </w:instrText>
      </w:r>
      <w:r w:rsidRPr="006E65B3">
        <w:fldChar w:fldCharType="separate"/>
      </w:r>
      <w:r w:rsidR="005F38BC">
        <w:rPr>
          <w:noProof/>
        </w:rPr>
        <w:t>19</w:t>
      </w:r>
      <w:r w:rsidRPr="006E65B3">
        <w:fldChar w:fldCharType="end"/>
      </w:r>
      <w:bookmarkEnd w:id="85"/>
      <w:r w:rsidRPr="006E65B3">
        <w:t>: Example of a Copying Window</w:t>
      </w:r>
    </w:p>
    <w:p w:rsidR="0044329E" w:rsidRPr="0044329E" w:rsidRDefault="00634BFC" w:rsidP="0044329E">
      <w:pPr>
        <w:pStyle w:val="BodyText"/>
      </w:pPr>
      <w:r>
        <w:rPr>
          <w:noProof/>
          <w:sz w:val="24"/>
          <w:szCs w:val="24"/>
        </w:rPr>
        <w:drawing>
          <wp:inline distT="0" distB="0" distL="0" distR="0">
            <wp:extent cx="2105025" cy="962025"/>
            <wp:effectExtent l="19050" t="19050" r="28575" b="285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05025" cy="962025"/>
                    </a:xfrm>
                    <a:prstGeom prst="rect">
                      <a:avLst/>
                    </a:prstGeom>
                    <a:noFill/>
                    <a:ln w="12700" cmpd="sng">
                      <a:solidFill>
                        <a:srgbClr val="000000"/>
                      </a:solidFill>
                      <a:miter lim="800000"/>
                      <a:headEnd/>
                      <a:tailEnd/>
                    </a:ln>
                    <a:effectLst/>
                  </pic:spPr>
                </pic:pic>
              </a:graphicData>
            </a:graphic>
          </wp:inline>
        </w:drawing>
      </w:r>
    </w:p>
    <w:p w:rsidR="0044329E" w:rsidRPr="006E65B3" w:rsidRDefault="00EB17AC" w:rsidP="0044329E">
      <w:pPr>
        <w:pStyle w:val="ListNumber2"/>
        <w:rPr>
          <w:sz w:val="22"/>
          <w:szCs w:val="22"/>
        </w:rPr>
      </w:pPr>
      <w:r w:rsidRPr="006E65B3">
        <w:rPr>
          <w:sz w:val="22"/>
          <w:szCs w:val="22"/>
        </w:rPr>
        <w:t>Skip to Step 3 of Option Two.</w:t>
      </w:r>
    </w:p>
    <w:p w:rsidR="00186E73" w:rsidRDefault="00186E73" w:rsidP="00EB17AC">
      <w:pPr>
        <w:pStyle w:val="BodyText"/>
        <w:rPr>
          <w:b/>
        </w:rPr>
      </w:pPr>
    </w:p>
    <w:p w:rsidR="00EB17AC" w:rsidRDefault="00A66B66" w:rsidP="00EB17AC">
      <w:pPr>
        <w:pStyle w:val="BodyText"/>
      </w:pPr>
      <w:r>
        <w:rPr>
          <w:b/>
        </w:rPr>
        <w:br w:type="page"/>
      </w:r>
      <w:r w:rsidR="00EB17AC" w:rsidRPr="0044329E">
        <w:rPr>
          <w:b/>
        </w:rPr>
        <w:lastRenderedPageBreak/>
        <w:t xml:space="preserve">Option </w:t>
      </w:r>
      <w:r w:rsidR="00EB17AC">
        <w:rPr>
          <w:b/>
        </w:rPr>
        <w:t xml:space="preserve">Two: </w:t>
      </w:r>
      <w:r w:rsidR="00EB17AC">
        <w:t>Open the document and save a copy to another file.</w:t>
      </w:r>
    </w:p>
    <w:p w:rsidR="00EB17AC" w:rsidRPr="00A66B66" w:rsidRDefault="00EB17AC" w:rsidP="002F6D7B">
      <w:pPr>
        <w:pStyle w:val="ListNumber2"/>
        <w:numPr>
          <w:ilvl w:val="0"/>
          <w:numId w:val="49"/>
        </w:numPr>
        <w:rPr>
          <w:sz w:val="22"/>
          <w:szCs w:val="22"/>
        </w:rPr>
      </w:pPr>
      <w:r w:rsidRPr="00A66B66">
        <w:rPr>
          <w:sz w:val="22"/>
          <w:szCs w:val="22"/>
        </w:rPr>
        <w:t>Open the document from the server folder.</w:t>
      </w:r>
    </w:p>
    <w:p w:rsidR="00EB17AC" w:rsidRPr="00A66B66" w:rsidRDefault="00EB17AC" w:rsidP="002F6D7B">
      <w:pPr>
        <w:pStyle w:val="ListNumber2"/>
        <w:numPr>
          <w:ilvl w:val="0"/>
          <w:numId w:val="49"/>
        </w:numPr>
        <w:rPr>
          <w:sz w:val="22"/>
          <w:szCs w:val="22"/>
        </w:rPr>
      </w:pPr>
      <w:r w:rsidRPr="00A66B66">
        <w:rPr>
          <w:sz w:val="22"/>
          <w:szCs w:val="22"/>
        </w:rPr>
        <w:t xml:space="preserve">Select the </w:t>
      </w:r>
      <w:r w:rsidRPr="00A66B66">
        <w:rPr>
          <w:b/>
          <w:sz w:val="22"/>
          <w:szCs w:val="22"/>
        </w:rPr>
        <w:t>Save As</w:t>
      </w:r>
      <w:r w:rsidRPr="00A66B66">
        <w:rPr>
          <w:sz w:val="22"/>
          <w:szCs w:val="22"/>
        </w:rPr>
        <w:t xml:space="preserve"> option and then the local folder, which in this example is called MY LOCAL FOLDER.</w:t>
      </w:r>
    </w:p>
    <w:p w:rsidR="00CB1989" w:rsidRPr="00A66B66" w:rsidRDefault="00CB1989" w:rsidP="00CB1989">
      <w:pPr>
        <w:pStyle w:val="ListNumber2"/>
        <w:numPr>
          <w:ilvl w:val="0"/>
          <w:numId w:val="0"/>
        </w:numPr>
        <w:ind w:left="720"/>
        <w:rPr>
          <w:sz w:val="22"/>
          <w:szCs w:val="22"/>
        </w:rPr>
      </w:pPr>
    </w:p>
    <w:p w:rsidR="00CB1989" w:rsidRPr="00A66B66" w:rsidRDefault="00CB1989" w:rsidP="00CB1989">
      <w:pPr>
        <w:pStyle w:val="ListNumber2"/>
        <w:numPr>
          <w:ilvl w:val="0"/>
          <w:numId w:val="0"/>
        </w:numPr>
        <w:ind w:left="720"/>
        <w:rPr>
          <w:sz w:val="22"/>
          <w:szCs w:val="22"/>
        </w:rPr>
      </w:pPr>
      <w:r w:rsidRPr="00A66B66">
        <w:rPr>
          <w:sz w:val="22"/>
          <w:szCs w:val="22"/>
        </w:rPr>
        <w:t>You may edit the file name at this point. The name you use for the file in your local folder should be something that allows you to manage those files as you use them. You can name the exported file accordingly or edit the file name in your local folder. A generic file name allows you to save and refresh the information. It may be appropriate for something like the Cumulative Transfusion Requirements report (</w:t>
      </w:r>
      <w:r w:rsidR="00186E73" w:rsidRPr="00A66B66">
        <w:rPr>
          <w:sz w:val="22"/>
          <w:szCs w:val="22"/>
        </w:rPr>
        <w:fldChar w:fldCharType="begin"/>
      </w:r>
      <w:r w:rsidR="00186E73" w:rsidRPr="00A66B66">
        <w:rPr>
          <w:sz w:val="22"/>
          <w:szCs w:val="22"/>
        </w:rPr>
        <w:instrText xml:space="preserve"> REF _Ref414957839 \h </w:instrText>
      </w:r>
      <w:r w:rsidR="00186E73" w:rsidRPr="00A66B66">
        <w:rPr>
          <w:sz w:val="22"/>
          <w:szCs w:val="22"/>
        </w:rPr>
      </w:r>
      <w:r w:rsidR="00A66B66">
        <w:rPr>
          <w:sz w:val="22"/>
          <w:szCs w:val="22"/>
        </w:rPr>
        <w:instrText xml:space="preserve"> \* MERGEFORMAT </w:instrText>
      </w:r>
      <w:r w:rsidR="00186E73" w:rsidRPr="00A66B66">
        <w:rPr>
          <w:sz w:val="22"/>
          <w:szCs w:val="22"/>
        </w:rPr>
        <w:fldChar w:fldCharType="separate"/>
      </w:r>
      <w:r w:rsidR="005F38BC" w:rsidRPr="005F38BC">
        <w:rPr>
          <w:sz w:val="22"/>
          <w:szCs w:val="22"/>
        </w:rPr>
        <w:t xml:space="preserve">Figure </w:t>
      </w:r>
      <w:r w:rsidR="005F38BC" w:rsidRPr="005F38BC">
        <w:rPr>
          <w:noProof/>
          <w:sz w:val="22"/>
          <w:szCs w:val="22"/>
        </w:rPr>
        <w:t>20</w:t>
      </w:r>
      <w:r w:rsidR="00186E73" w:rsidRPr="00A66B66">
        <w:rPr>
          <w:sz w:val="22"/>
          <w:szCs w:val="22"/>
        </w:rPr>
        <w:fldChar w:fldCharType="end"/>
      </w:r>
      <w:r w:rsidRPr="00A66B66">
        <w:rPr>
          <w:sz w:val="22"/>
          <w:szCs w:val="22"/>
        </w:rPr>
        <w:t>).</w:t>
      </w:r>
    </w:p>
    <w:p w:rsidR="00CB1989" w:rsidRPr="00A66B66" w:rsidRDefault="00CB1989" w:rsidP="00CB1989">
      <w:pPr>
        <w:pStyle w:val="Caption"/>
      </w:pPr>
      <w:bookmarkStart w:id="86" w:name="_Ref414957839"/>
      <w:r w:rsidRPr="00A66B66">
        <w:t xml:space="preserve">Figure </w:t>
      </w:r>
      <w:r w:rsidRPr="00A66B66">
        <w:fldChar w:fldCharType="begin"/>
      </w:r>
      <w:r w:rsidRPr="00A66B66">
        <w:instrText xml:space="preserve"> SEQ Figure \* ARABIC </w:instrText>
      </w:r>
      <w:r w:rsidRPr="00A66B66">
        <w:fldChar w:fldCharType="separate"/>
      </w:r>
      <w:r w:rsidR="005F38BC">
        <w:rPr>
          <w:noProof/>
        </w:rPr>
        <w:t>20</w:t>
      </w:r>
      <w:r w:rsidRPr="00A66B66">
        <w:fldChar w:fldCharType="end"/>
      </w:r>
      <w:bookmarkEnd w:id="86"/>
      <w:r w:rsidRPr="00A66B66">
        <w:t>: Example of File Name</w:t>
      </w:r>
    </w:p>
    <w:p w:rsidR="00CB1989" w:rsidRPr="00CB1989" w:rsidRDefault="00634BFC" w:rsidP="00CB1989">
      <w:pPr>
        <w:pStyle w:val="BodyText"/>
      </w:pPr>
      <w:r>
        <w:rPr>
          <w:noProof/>
          <w:sz w:val="24"/>
          <w:szCs w:val="24"/>
        </w:rPr>
        <w:drawing>
          <wp:inline distT="0" distB="0" distL="0" distR="0">
            <wp:extent cx="3562350" cy="333375"/>
            <wp:effectExtent l="19050" t="19050" r="19050"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62350" cy="333375"/>
                    </a:xfrm>
                    <a:prstGeom prst="rect">
                      <a:avLst/>
                    </a:prstGeom>
                    <a:solidFill>
                      <a:srgbClr val="000000"/>
                    </a:solidFill>
                    <a:ln w="12700" cmpd="sng">
                      <a:solidFill>
                        <a:srgbClr val="000000"/>
                      </a:solidFill>
                      <a:miter lim="800000"/>
                      <a:headEnd/>
                      <a:tailEnd/>
                    </a:ln>
                    <a:effectLst/>
                  </pic:spPr>
                </pic:pic>
              </a:graphicData>
            </a:graphic>
          </wp:inline>
        </w:drawing>
      </w:r>
    </w:p>
    <w:p w:rsidR="00CB1989" w:rsidRPr="006E65B3" w:rsidRDefault="00CB1989" w:rsidP="00CB1989">
      <w:pPr>
        <w:pStyle w:val="ListNumber2"/>
        <w:numPr>
          <w:ilvl w:val="0"/>
          <w:numId w:val="0"/>
        </w:numPr>
        <w:ind w:left="720"/>
        <w:rPr>
          <w:sz w:val="22"/>
          <w:szCs w:val="22"/>
        </w:rPr>
      </w:pPr>
      <w:r w:rsidRPr="006E65B3">
        <w:rPr>
          <w:sz w:val="22"/>
          <w:szCs w:val="22"/>
        </w:rPr>
        <w:t>You may also opt to save with a date in the file name to allow a snapshot report for historic purposes (</w:t>
      </w:r>
      <w:r w:rsidR="00EF230F" w:rsidRPr="006E65B3">
        <w:rPr>
          <w:sz w:val="22"/>
          <w:szCs w:val="22"/>
        </w:rPr>
        <w:fldChar w:fldCharType="begin"/>
      </w:r>
      <w:r w:rsidR="00EF230F" w:rsidRPr="006E65B3">
        <w:rPr>
          <w:sz w:val="22"/>
          <w:szCs w:val="22"/>
        </w:rPr>
        <w:instrText xml:space="preserve"> REF _Ref414957853 \h </w:instrText>
      </w:r>
      <w:r w:rsidR="00EF230F" w:rsidRPr="006E65B3">
        <w:rPr>
          <w:sz w:val="22"/>
          <w:szCs w:val="22"/>
        </w:rPr>
      </w:r>
      <w:r w:rsidR="006E65B3">
        <w:rPr>
          <w:sz w:val="22"/>
          <w:szCs w:val="22"/>
        </w:rPr>
        <w:instrText xml:space="preserve"> \* MERGEFORMAT </w:instrText>
      </w:r>
      <w:r w:rsidR="00EF230F" w:rsidRPr="006E65B3">
        <w:rPr>
          <w:sz w:val="22"/>
          <w:szCs w:val="22"/>
        </w:rPr>
        <w:fldChar w:fldCharType="separate"/>
      </w:r>
      <w:r w:rsidR="005F38BC" w:rsidRPr="005F38BC">
        <w:rPr>
          <w:sz w:val="22"/>
          <w:szCs w:val="22"/>
        </w:rPr>
        <w:t xml:space="preserve">Figure </w:t>
      </w:r>
      <w:r w:rsidR="005F38BC" w:rsidRPr="005F38BC">
        <w:rPr>
          <w:noProof/>
          <w:sz w:val="22"/>
          <w:szCs w:val="22"/>
        </w:rPr>
        <w:t>21</w:t>
      </w:r>
      <w:r w:rsidR="00EF230F" w:rsidRPr="006E65B3">
        <w:rPr>
          <w:sz w:val="22"/>
          <w:szCs w:val="22"/>
        </w:rPr>
        <w:fldChar w:fldCharType="end"/>
      </w:r>
      <w:r w:rsidRPr="006E65B3">
        <w:rPr>
          <w:sz w:val="22"/>
          <w:szCs w:val="22"/>
        </w:rPr>
        <w:t>).</w:t>
      </w:r>
    </w:p>
    <w:p w:rsidR="00CB1989" w:rsidRPr="006E65B3" w:rsidRDefault="00CB1989" w:rsidP="00CB1989">
      <w:pPr>
        <w:pStyle w:val="Caption"/>
      </w:pPr>
      <w:bookmarkStart w:id="87" w:name="_Ref414957853"/>
      <w:r w:rsidRPr="006E65B3">
        <w:t xml:space="preserve">Figure </w:t>
      </w:r>
      <w:r w:rsidRPr="006E65B3">
        <w:fldChar w:fldCharType="begin"/>
      </w:r>
      <w:r w:rsidRPr="006E65B3">
        <w:instrText xml:space="preserve"> SEQ Figure \* ARABIC </w:instrText>
      </w:r>
      <w:r w:rsidRPr="006E65B3">
        <w:fldChar w:fldCharType="separate"/>
      </w:r>
      <w:r w:rsidR="005F38BC">
        <w:rPr>
          <w:noProof/>
        </w:rPr>
        <w:t>21</w:t>
      </w:r>
      <w:r w:rsidRPr="006E65B3">
        <w:fldChar w:fldCharType="end"/>
      </w:r>
      <w:bookmarkEnd w:id="87"/>
      <w:r w:rsidRPr="006E65B3">
        <w:t>: Example of Dated File Name</w:t>
      </w:r>
    </w:p>
    <w:p w:rsidR="00CB1989" w:rsidRPr="00CB1989" w:rsidRDefault="00634BFC" w:rsidP="00CB1989">
      <w:pPr>
        <w:pStyle w:val="BodyText"/>
      </w:pPr>
      <w:r>
        <w:rPr>
          <w:noProof/>
        </w:rPr>
        <w:drawing>
          <wp:inline distT="0" distB="0" distL="0" distR="0">
            <wp:extent cx="4038600" cy="304800"/>
            <wp:effectExtent l="19050" t="19050" r="19050"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38600" cy="304800"/>
                    </a:xfrm>
                    <a:prstGeom prst="rect">
                      <a:avLst/>
                    </a:prstGeom>
                    <a:noFill/>
                    <a:ln w="12700" cmpd="sng">
                      <a:solidFill>
                        <a:srgbClr val="000000"/>
                      </a:solidFill>
                      <a:miter lim="800000"/>
                      <a:headEnd/>
                      <a:tailEnd/>
                    </a:ln>
                    <a:effectLst/>
                  </pic:spPr>
                </pic:pic>
              </a:graphicData>
            </a:graphic>
          </wp:inline>
        </w:drawing>
      </w:r>
    </w:p>
    <w:p w:rsidR="00CB1989" w:rsidRPr="006E65B3" w:rsidRDefault="00CB1989" w:rsidP="002F6D7B">
      <w:pPr>
        <w:pStyle w:val="ListNumber2"/>
        <w:numPr>
          <w:ilvl w:val="0"/>
          <w:numId w:val="49"/>
        </w:numPr>
        <w:rPr>
          <w:sz w:val="22"/>
          <w:szCs w:val="22"/>
        </w:rPr>
      </w:pPr>
      <w:r w:rsidRPr="006E65B3">
        <w:rPr>
          <w:sz w:val="22"/>
          <w:szCs w:val="22"/>
        </w:rPr>
        <w:t>Verify that “MY LOCAL FOLD</w:t>
      </w:r>
      <w:r w:rsidR="005E0472">
        <w:rPr>
          <w:sz w:val="22"/>
          <w:szCs w:val="22"/>
        </w:rPr>
        <w:t>E</w:t>
      </w:r>
      <w:r w:rsidRPr="006E65B3">
        <w:rPr>
          <w:sz w:val="22"/>
          <w:szCs w:val="22"/>
        </w:rPr>
        <w:t>R” contains the saved file. You can edit and save to this folder with those changes (</w:t>
      </w:r>
      <w:r w:rsidR="006E65B3" w:rsidRPr="006E65B3">
        <w:rPr>
          <w:sz w:val="22"/>
          <w:szCs w:val="22"/>
        </w:rPr>
        <w:fldChar w:fldCharType="begin"/>
      </w:r>
      <w:r w:rsidR="006E65B3" w:rsidRPr="006E65B3">
        <w:rPr>
          <w:sz w:val="22"/>
          <w:szCs w:val="22"/>
        </w:rPr>
        <w:instrText xml:space="preserve"> REF _Ref414957903 \h </w:instrText>
      </w:r>
      <w:r w:rsidR="006E65B3" w:rsidRPr="006E65B3">
        <w:rPr>
          <w:sz w:val="22"/>
          <w:szCs w:val="22"/>
        </w:rPr>
      </w:r>
      <w:r w:rsidR="006E65B3">
        <w:rPr>
          <w:sz w:val="22"/>
          <w:szCs w:val="22"/>
        </w:rPr>
        <w:instrText xml:space="preserve"> \* MERGEFORMAT </w:instrText>
      </w:r>
      <w:r w:rsidR="006E65B3" w:rsidRPr="006E65B3">
        <w:rPr>
          <w:sz w:val="22"/>
          <w:szCs w:val="22"/>
        </w:rPr>
        <w:fldChar w:fldCharType="separate"/>
      </w:r>
      <w:r w:rsidR="005F38BC" w:rsidRPr="005F38BC">
        <w:rPr>
          <w:sz w:val="22"/>
          <w:szCs w:val="22"/>
        </w:rPr>
        <w:t xml:space="preserve">Figure </w:t>
      </w:r>
      <w:r w:rsidR="005F38BC" w:rsidRPr="005F38BC">
        <w:rPr>
          <w:noProof/>
          <w:sz w:val="22"/>
          <w:szCs w:val="22"/>
        </w:rPr>
        <w:t>22</w:t>
      </w:r>
      <w:r w:rsidR="006E65B3" w:rsidRPr="006E65B3">
        <w:rPr>
          <w:sz w:val="22"/>
          <w:szCs w:val="22"/>
        </w:rPr>
        <w:fldChar w:fldCharType="end"/>
      </w:r>
      <w:r w:rsidRPr="006E65B3">
        <w:rPr>
          <w:sz w:val="22"/>
          <w:szCs w:val="22"/>
        </w:rPr>
        <w:t>). Unlike the server file, you may also delete this file.</w:t>
      </w:r>
    </w:p>
    <w:p w:rsidR="00CB1989" w:rsidRPr="006E65B3" w:rsidRDefault="00CB1989" w:rsidP="00CB1989">
      <w:pPr>
        <w:pStyle w:val="Caption"/>
      </w:pPr>
      <w:bookmarkStart w:id="88" w:name="_Ref414957903"/>
      <w:r w:rsidRPr="006E65B3">
        <w:t xml:space="preserve">Figure </w:t>
      </w:r>
      <w:r w:rsidRPr="006E65B3">
        <w:fldChar w:fldCharType="begin"/>
      </w:r>
      <w:r w:rsidRPr="006E65B3">
        <w:instrText xml:space="preserve"> SEQ Figure \* ARABIC </w:instrText>
      </w:r>
      <w:r w:rsidRPr="006E65B3">
        <w:fldChar w:fldCharType="separate"/>
      </w:r>
      <w:r w:rsidR="005F38BC">
        <w:rPr>
          <w:noProof/>
        </w:rPr>
        <w:t>22</w:t>
      </w:r>
      <w:r w:rsidRPr="006E65B3">
        <w:fldChar w:fldCharType="end"/>
      </w:r>
      <w:bookmarkEnd w:id="88"/>
      <w:r w:rsidRPr="006E65B3">
        <w:t>: Example of Saved File</w:t>
      </w:r>
    </w:p>
    <w:p w:rsidR="00DC40FC" w:rsidRDefault="00634BFC" w:rsidP="002F1554">
      <w:pPr>
        <w:pStyle w:val="BodyText"/>
      </w:pPr>
      <w:r>
        <w:rPr>
          <w:noProof/>
        </w:rPr>
        <w:drawing>
          <wp:inline distT="0" distB="0" distL="0" distR="0">
            <wp:extent cx="4876800" cy="733425"/>
            <wp:effectExtent l="19050" t="19050" r="19050" b="285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76800" cy="733425"/>
                    </a:xfrm>
                    <a:prstGeom prst="rect">
                      <a:avLst/>
                    </a:prstGeom>
                    <a:noFill/>
                    <a:ln w="12700" cmpd="sng">
                      <a:solidFill>
                        <a:srgbClr val="000000"/>
                      </a:solidFill>
                      <a:miter lim="800000"/>
                      <a:headEnd/>
                      <a:tailEnd/>
                    </a:ln>
                    <a:effectLst/>
                  </pic:spPr>
                </pic:pic>
              </a:graphicData>
            </a:graphic>
          </wp:inline>
        </w:drawing>
      </w:r>
    </w:p>
    <w:p w:rsidR="006A5B6D" w:rsidRPr="00382DF2" w:rsidRDefault="006A5B6D" w:rsidP="002F1554">
      <w:pPr>
        <w:pStyle w:val="BodyText"/>
      </w:pPr>
      <w:r w:rsidRPr="006A5B6D">
        <w:rPr>
          <w:b/>
        </w:rPr>
        <w:t>Note:</w:t>
      </w:r>
      <w:r>
        <w:t xml:space="preserve"> The copy of the file you save to your local folder is separate and does not update the file in the server folder.</w:t>
      </w:r>
    </w:p>
    <w:p w:rsidR="002A21AE" w:rsidRDefault="00A66B66">
      <w:pPr>
        <w:pStyle w:val="Heading2"/>
      </w:pPr>
      <w:bookmarkStart w:id="89" w:name="OLE_LINK45"/>
      <w:bookmarkStart w:id="90" w:name="OLE_LINK46"/>
      <w:r>
        <w:br w:type="page"/>
      </w:r>
      <w:bookmarkStart w:id="91" w:name="_Toc459900051"/>
      <w:r w:rsidR="002A21AE">
        <w:lastRenderedPageBreak/>
        <w:t>Using VBECS</w:t>
      </w:r>
      <w:bookmarkEnd w:id="91"/>
      <w:r w:rsidR="002A21AE">
        <w:fldChar w:fldCharType="begin"/>
      </w:r>
      <w:r w:rsidR="002A21AE">
        <w:instrText xml:space="preserve"> XE </w:instrText>
      </w:r>
      <w:r w:rsidR="00FA7E65">
        <w:instrText>“</w:instrText>
      </w:r>
      <w:r w:rsidR="002A21AE">
        <w:instrText>Using VBECS</w:instrText>
      </w:r>
      <w:r w:rsidR="00FA7E65">
        <w:instrText>”</w:instrText>
      </w:r>
      <w:r w:rsidR="002A21AE">
        <w:instrText xml:space="preserve"> </w:instrText>
      </w:r>
      <w:r w:rsidR="002A21AE">
        <w:fldChar w:fldCharType="end"/>
      </w:r>
    </w:p>
    <w:p w:rsidR="002A21AE" w:rsidRDefault="002A21AE" w:rsidP="00FA7E65">
      <w:pPr>
        <w:pStyle w:val="BodyText"/>
      </w:pPr>
      <w:bookmarkStart w:id="92" w:name="OLE_LINK37"/>
      <w:bookmarkStart w:id="93" w:name="OLE_LINK38"/>
      <w:r>
        <w:t xml:space="preserve">VBECS is a Windows-based application. </w:t>
      </w:r>
    </w:p>
    <w:p w:rsidR="002A21AE" w:rsidRDefault="002A21AE" w:rsidP="00FA7E65">
      <w:pPr>
        <w:pStyle w:val="BodyText"/>
      </w:pPr>
      <w:r>
        <w:t>One VBEC</w:t>
      </w:r>
      <w:r w:rsidR="00434529">
        <w:t>S system</w:t>
      </w:r>
      <w:r>
        <w:t xml:space="preserve"> is implemented for each </w:t>
      </w:r>
      <w:r w:rsidR="000C7684" w:rsidRPr="000C7684">
        <w:rPr>
          <w:bCs/>
        </w:rPr>
        <w:t>VistA</w:t>
      </w:r>
      <w:r>
        <w:t xml:space="preserve"> database.</w:t>
      </w:r>
    </w:p>
    <w:p w:rsidR="00F07C4D" w:rsidRDefault="00F07C4D" w:rsidP="00F05B26">
      <w:pPr>
        <w:pStyle w:val="BodyText"/>
      </w:pPr>
      <w:r>
        <w:t xml:space="preserve">Subject matter experts (SMEs) at user sites will help implement VBECS and train blood bank staff and </w:t>
      </w:r>
      <w:r w:rsidR="00443802" w:rsidRPr="00F05B26">
        <w:t xml:space="preserve">other </w:t>
      </w:r>
      <w:r w:rsidRPr="00F05B26">
        <w:t>authorized users.</w:t>
      </w:r>
    </w:p>
    <w:p w:rsidR="00F94855" w:rsidRDefault="00F94855" w:rsidP="00F05B26">
      <w:pPr>
        <w:pStyle w:val="BodyText"/>
      </w:pPr>
      <w:r>
        <w:t>The VA Software Document Library (VDL) site contains VBECS user documents (</w:t>
      </w:r>
      <w:hyperlink r:id="rId61" w:history="1">
        <w:r w:rsidRPr="00DD5CD4">
          <w:rPr>
            <w:rStyle w:val="Hyperlink"/>
          </w:rPr>
          <w:t>http://www.va.gov/vdl/application.asp?appid=182</w:t>
        </w:r>
      </w:hyperlink>
      <w:r>
        <w:t>).</w:t>
      </w:r>
    </w:p>
    <w:p w:rsidR="002A21AE" w:rsidRPr="00F05B26" w:rsidRDefault="00200CB8" w:rsidP="00F05B26">
      <w:pPr>
        <w:pStyle w:val="BodyText"/>
      </w:pPr>
      <w:r w:rsidRPr="00791497">
        <w:t xml:space="preserve">The VBECS </w:t>
      </w:r>
      <w:r w:rsidR="002A4CB4" w:rsidRPr="00791497">
        <w:t>SharePoint</w:t>
      </w:r>
      <w:r w:rsidRPr="00791497">
        <w:t xml:space="preserve"> site contains training, Frequently Asked Questions (FAQs)</w:t>
      </w:r>
      <w:r w:rsidR="00791497" w:rsidRPr="00791497">
        <w:t xml:space="preserve">, Technical Bulletins, </w:t>
      </w:r>
      <w:r w:rsidRPr="00791497">
        <w:t xml:space="preserve">ListServ </w:t>
      </w:r>
      <w:r w:rsidR="00F94855">
        <w:t>messages and sign up</w:t>
      </w:r>
      <w:r w:rsidR="00D00E0D">
        <w:t>, etc.</w:t>
      </w:r>
      <w:r w:rsidRPr="00791497">
        <w:t xml:space="preserve"> to support the implementation and use of VBECS</w:t>
      </w:r>
      <w:r w:rsidR="00434529">
        <w:t xml:space="preserve"> (</w:t>
      </w:r>
      <w:hyperlink r:id="rId62" w:history="1">
        <w:r w:rsidR="00434529" w:rsidRPr="00B83A00">
          <w:rPr>
            <w:rStyle w:val="Hyperlink"/>
          </w:rPr>
          <w:t>http://vaww.oed.portal.va.gov/projects/vbecs/default.aspx</w:t>
        </w:r>
      </w:hyperlink>
      <w:r w:rsidR="00434529">
        <w:t>)</w:t>
      </w:r>
      <w:r w:rsidRPr="00791497">
        <w:t>.</w:t>
      </w:r>
      <w:r w:rsidR="00F94855">
        <w:t xml:space="preserve"> </w:t>
      </w:r>
      <w:r w:rsidR="00C84BC5" w:rsidRPr="00F05B26">
        <w:t xml:space="preserve">Users may access links to </w:t>
      </w:r>
      <w:r w:rsidR="00F05B26" w:rsidRPr="00F05B26">
        <w:t xml:space="preserve">VBECS </w:t>
      </w:r>
      <w:r w:rsidR="00C84BC5" w:rsidRPr="00F05B26">
        <w:t xml:space="preserve">training </w:t>
      </w:r>
      <w:r w:rsidR="00FF50AC" w:rsidRPr="00F05B26">
        <w:t>modules</w:t>
      </w:r>
      <w:r w:rsidR="00F05B26" w:rsidRPr="00F05B26">
        <w:t xml:space="preserve"> and frequently asked questions, and join a ListServ (an email distribution list to manage discussion groups) for announcements and updates</w:t>
      </w:r>
      <w:r w:rsidR="00520684">
        <w:t xml:space="preserve"> on the VBECS </w:t>
      </w:r>
      <w:r w:rsidR="002A4CB4">
        <w:t>SharePoint</w:t>
      </w:r>
      <w:r w:rsidR="00520684">
        <w:t xml:space="preserve"> site</w:t>
      </w:r>
      <w:r w:rsidR="00F05B26" w:rsidRPr="00F05B26">
        <w:t>.</w:t>
      </w:r>
      <w:r w:rsidR="00C84BC5" w:rsidRPr="00F05B26">
        <w:t> Contact information is provided for comments and questions</w:t>
      </w:r>
      <w:bookmarkEnd w:id="89"/>
      <w:bookmarkEnd w:id="90"/>
      <w:r w:rsidR="00F05B26" w:rsidRPr="00F05B26">
        <w:t>.</w:t>
      </w:r>
    </w:p>
    <w:bookmarkEnd w:id="92"/>
    <w:bookmarkEnd w:id="93"/>
    <w:p w:rsidR="00FF50AC" w:rsidRDefault="00FF50AC" w:rsidP="00FF50AC">
      <w:pPr>
        <w:pStyle w:val="Heading4"/>
      </w:pPr>
      <w:r>
        <w:t>Documentation</w:t>
      </w:r>
    </w:p>
    <w:p w:rsidR="00FF50AC" w:rsidRDefault="00FF50AC" w:rsidP="00FF50AC">
      <w:pPr>
        <w:pStyle w:val="BodyText"/>
      </w:pPr>
      <w:r>
        <w:t>Users may retrieve VistA documentation from the VistA Documentation Library (VDL) Web page.</w:t>
      </w:r>
    </w:p>
    <w:p w:rsidR="00524D66" w:rsidRDefault="00A66B66" w:rsidP="00A479CC">
      <w:pPr>
        <w:pStyle w:val="Heading2"/>
      </w:pPr>
      <w:bookmarkStart w:id="94" w:name="_Options_at_a_Glance: VBECS and Vist"/>
      <w:bookmarkEnd w:id="94"/>
      <w:r>
        <w:br w:type="page"/>
      </w:r>
      <w:bookmarkStart w:id="95" w:name="_Toc459900052"/>
      <w:r w:rsidR="00524D66">
        <w:lastRenderedPageBreak/>
        <w:t>Using Online Help</w:t>
      </w:r>
      <w:bookmarkEnd w:id="95"/>
      <w:r w:rsidR="00524D66">
        <w:fldChar w:fldCharType="begin"/>
      </w:r>
      <w:r w:rsidR="00524D66">
        <w:instrText xml:space="preserve"> XE "</w:instrText>
      </w:r>
      <w:r w:rsidR="00524D66" w:rsidRPr="00D0500B">
        <w:instrText>Using Online Help</w:instrText>
      </w:r>
      <w:r w:rsidR="00524D66">
        <w:instrText xml:space="preserve">" </w:instrText>
      </w:r>
      <w:r w:rsidR="00524D66">
        <w:fldChar w:fldCharType="end"/>
      </w:r>
    </w:p>
    <w:p w:rsidR="006C04E6" w:rsidRDefault="00C57E2F" w:rsidP="009C0BE9">
      <w:pPr>
        <w:pStyle w:val="BodyText"/>
      </w:pPr>
      <w:r>
        <w:t xml:space="preserve">Select </w:t>
      </w:r>
      <w:r w:rsidR="00957F1C" w:rsidRPr="00C57E2F">
        <w:rPr>
          <w:b/>
        </w:rPr>
        <w:t>VBECS Help</w:t>
      </w:r>
      <w:r>
        <w:t xml:space="preserve"> from the Help menu</w:t>
      </w:r>
      <w:r w:rsidR="002118B0">
        <w:t xml:space="preserve"> (</w:t>
      </w:r>
      <w:r w:rsidR="006C04E6">
        <w:fldChar w:fldCharType="begin"/>
      </w:r>
      <w:r w:rsidR="006C04E6">
        <w:instrText xml:space="preserve"> REF _Ref138165913 \h </w:instrText>
      </w:r>
      <w:r w:rsidR="006C04E6">
        <w:fldChar w:fldCharType="separate"/>
      </w:r>
      <w:r w:rsidR="005F38BC">
        <w:t xml:space="preserve">Figure </w:t>
      </w:r>
      <w:r w:rsidR="005F38BC">
        <w:rPr>
          <w:noProof/>
        </w:rPr>
        <w:t>23</w:t>
      </w:r>
      <w:r w:rsidR="006C04E6">
        <w:fldChar w:fldCharType="end"/>
      </w:r>
      <w:r w:rsidR="002118B0">
        <w:t>)</w:t>
      </w:r>
      <w:r w:rsidR="003A6D5C">
        <w:t xml:space="preserve"> </w:t>
      </w:r>
      <w:r w:rsidR="009C0BE9">
        <w:t xml:space="preserve">to view a </w:t>
      </w:r>
      <w:r w:rsidR="006C04E6">
        <w:t>directory</w:t>
      </w:r>
      <w:r w:rsidR="009C0BE9">
        <w:t xml:space="preserve"> of help contents</w:t>
      </w:r>
      <w:r w:rsidR="006C04E6">
        <w:t xml:space="preserve"> (</w:t>
      </w:r>
      <w:r w:rsidR="006C04E6">
        <w:fldChar w:fldCharType="begin"/>
      </w:r>
      <w:r w:rsidR="006C04E6">
        <w:instrText xml:space="preserve"> REF _Ref126467708 \h </w:instrText>
      </w:r>
      <w:r w:rsidR="006C04E6">
        <w:fldChar w:fldCharType="separate"/>
      </w:r>
      <w:r w:rsidR="005F38BC">
        <w:t xml:space="preserve">Figure </w:t>
      </w:r>
      <w:r w:rsidR="005F38BC">
        <w:rPr>
          <w:noProof/>
        </w:rPr>
        <w:t>24</w:t>
      </w:r>
      <w:r w:rsidR="006C04E6">
        <w:fldChar w:fldCharType="end"/>
      </w:r>
      <w:r w:rsidR="006C04E6">
        <w:t>).</w:t>
      </w:r>
      <w:r w:rsidR="009C0BE9">
        <w:t xml:space="preserve"> </w:t>
      </w:r>
    </w:p>
    <w:p w:rsidR="00C17F7C" w:rsidRDefault="00C17F7C" w:rsidP="00C17F7C">
      <w:pPr>
        <w:pStyle w:val="Caption"/>
      </w:pPr>
      <w:bookmarkStart w:id="96" w:name="_Ref138165913"/>
      <w:r>
        <w:t xml:space="preserve">Figure </w:t>
      </w:r>
      <w:r>
        <w:fldChar w:fldCharType="begin"/>
      </w:r>
      <w:r>
        <w:instrText xml:space="preserve"> SEQ Figure \* ARABIC </w:instrText>
      </w:r>
      <w:r>
        <w:fldChar w:fldCharType="separate"/>
      </w:r>
      <w:r w:rsidR="005F38BC">
        <w:rPr>
          <w:noProof/>
        </w:rPr>
        <w:t>23</w:t>
      </w:r>
      <w:r>
        <w:fldChar w:fldCharType="end"/>
      </w:r>
      <w:bookmarkEnd w:id="96"/>
      <w:r>
        <w:t>: VBECS Help</w:t>
      </w:r>
    </w:p>
    <w:p w:rsidR="00C17F7C" w:rsidRDefault="00634BFC" w:rsidP="006128A6">
      <w:pPr>
        <w:pStyle w:val="BodyText"/>
      </w:pPr>
      <w:r>
        <w:rPr>
          <w:noProof/>
        </w:rPr>
        <w:drawing>
          <wp:inline distT="0" distB="0" distL="0" distR="0">
            <wp:extent cx="6048375" cy="828675"/>
            <wp:effectExtent l="0" t="0" r="9525" b="9525"/>
            <wp:docPr id="42" name="Picture 42" descr="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ure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48375" cy="828675"/>
                    </a:xfrm>
                    <a:prstGeom prst="rect">
                      <a:avLst/>
                    </a:prstGeom>
                    <a:noFill/>
                    <a:ln>
                      <a:noFill/>
                    </a:ln>
                  </pic:spPr>
                </pic:pic>
              </a:graphicData>
            </a:graphic>
          </wp:inline>
        </w:drawing>
      </w:r>
    </w:p>
    <w:p w:rsidR="009C0BE9" w:rsidRDefault="009C0BE9" w:rsidP="009C0BE9">
      <w:pPr>
        <w:pStyle w:val="Caption"/>
      </w:pPr>
      <w:bookmarkStart w:id="97" w:name="_Ref126467708"/>
      <w:r>
        <w:t xml:space="preserve">Figure </w:t>
      </w:r>
      <w:r>
        <w:fldChar w:fldCharType="begin"/>
      </w:r>
      <w:r>
        <w:instrText xml:space="preserve"> SEQ Figure \* ARABIC </w:instrText>
      </w:r>
      <w:r>
        <w:fldChar w:fldCharType="separate"/>
      </w:r>
      <w:r w:rsidR="005F38BC">
        <w:rPr>
          <w:noProof/>
        </w:rPr>
        <w:t>24</w:t>
      </w:r>
      <w:r>
        <w:fldChar w:fldCharType="end"/>
      </w:r>
      <w:bookmarkEnd w:id="97"/>
      <w:r>
        <w:t xml:space="preserve">: </w:t>
      </w:r>
      <w:r w:rsidR="007E1B6B">
        <w:t xml:space="preserve">Example </w:t>
      </w:r>
      <w:r w:rsidR="009174D5">
        <w:t xml:space="preserve">of </w:t>
      </w:r>
      <w:r>
        <w:t>VBECS Online Help</w:t>
      </w:r>
      <w:r w:rsidR="009174D5">
        <w:t xml:space="preserve"> Contents</w:t>
      </w:r>
    </w:p>
    <w:p w:rsidR="009C0BE9" w:rsidRDefault="00634BFC" w:rsidP="006128A6">
      <w:pPr>
        <w:pStyle w:val="BodyText"/>
        <w:rPr>
          <w:rFonts w:ascii="Arial" w:hAnsi="Arial" w:cs="Arial"/>
          <w:sz w:val="20"/>
          <w:szCs w:val="20"/>
        </w:rPr>
      </w:pPr>
      <w:r>
        <w:rPr>
          <w:noProof/>
        </w:rPr>
        <w:drawing>
          <wp:inline distT="0" distB="0" distL="0" distR="0">
            <wp:extent cx="4924425" cy="33718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24425" cy="3371850"/>
                    </a:xfrm>
                    <a:prstGeom prst="rect">
                      <a:avLst/>
                    </a:prstGeom>
                    <a:noFill/>
                    <a:ln>
                      <a:noFill/>
                    </a:ln>
                  </pic:spPr>
                </pic:pic>
              </a:graphicData>
            </a:graphic>
          </wp:inline>
        </w:drawing>
      </w:r>
    </w:p>
    <w:p w:rsidR="009C0BE9" w:rsidRDefault="00DC5B95" w:rsidP="009C0BE9">
      <w:pPr>
        <w:pStyle w:val="BodyText"/>
      </w:pPr>
      <w:bookmarkStart w:id="98" w:name="_Ref138154110"/>
      <w:r>
        <w:br w:type="page"/>
      </w:r>
      <w:r w:rsidR="006C04E6">
        <w:lastRenderedPageBreak/>
        <w:t xml:space="preserve">Press the </w:t>
      </w:r>
      <w:r w:rsidR="006C04E6" w:rsidRPr="006C04E6">
        <w:rPr>
          <w:b/>
        </w:rPr>
        <w:t>F1 key</w:t>
      </w:r>
      <w:r w:rsidR="006C04E6">
        <w:t xml:space="preserve"> to view screen-specific help (</w:t>
      </w:r>
      <w:r w:rsidR="006C04E6">
        <w:fldChar w:fldCharType="begin"/>
      </w:r>
      <w:r w:rsidR="006C04E6">
        <w:instrText xml:space="preserve"> REF _Ref138166056 \h </w:instrText>
      </w:r>
      <w:r w:rsidR="006C04E6">
        <w:fldChar w:fldCharType="separate"/>
      </w:r>
      <w:r w:rsidR="005F38BC">
        <w:t xml:space="preserve">Figure </w:t>
      </w:r>
      <w:r w:rsidR="005F38BC">
        <w:rPr>
          <w:noProof/>
        </w:rPr>
        <w:t>25</w:t>
      </w:r>
      <w:r w:rsidR="006C04E6">
        <w:fldChar w:fldCharType="end"/>
      </w:r>
      <w:r w:rsidR="006C04E6">
        <w:t>). Click text in blue to expose more information.</w:t>
      </w:r>
    </w:p>
    <w:p w:rsidR="009C0BE9" w:rsidRDefault="009C0BE9" w:rsidP="009C0BE9">
      <w:pPr>
        <w:pStyle w:val="Caption"/>
      </w:pPr>
      <w:bookmarkStart w:id="99" w:name="_Ref138166056"/>
      <w:r>
        <w:t xml:space="preserve">Figure </w:t>
      </w:r>
      <w:r>
        <w:fldChar w:fldCharType="begin"/>
      </w:r>
      <w:r>
        <w:instrText xml:space="preserve"> SEQ Figure \* ARABIC </w:instrText>
      </w:r>
      <w:r>
        <w:fldChar w:fldCharType="separate"/>
      </w:r>
      <w:r w:rsidR="005F38BC">
        <w:rPr>
          <w:noProof/>
        </w:rPr>
        <w:t>25</w:t>
      </w:r>
      <w:r>
        <w:fldChar w:fldCharType="end"/>
      </w:r>
      <w:bookmarkEnd w:id="98"/>
      <w:bookmarkEnd w:id="99"/>
      <w:r>
        <w:t>: Example of Screen-Specific Online Help</w:t>
      </w:r>
    </w:p>
    <w:p w:rsidR="00AB0325" w:rsidRDefault="00634BFC" w:rsidP="00A815F7">
      <w:pPr>
        <w:pStyle w:val="BodyText"/>
      </w:pPr>
      <w:r>
        <w:rPr>
          <w:noProof/>
        </w:rPr>
        <w:drawing>
          <wp:inline distT="0" distB="0" distL="0" distR="0">
            <wp:extent cx="5943600" cy="43910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4391025"/>
                    </a:xfrm>
                    <a:prstGeom prst="rect">
                      <a:avLst/>
                    </a:prstGeom>
                    <a:noFill/>
                    <a:ln>
                      <a:noFill/>
                    </a:ln>
                  </pic:spPr>
                </pic:pic>
              </a:graphicData>
            </a:graphic>
          </wp:inline>
        </w:drawing>
      </w:r>
    </w:p>
    <w:p w:rsidR="00AB0325" w:rsidRDefault="0079794A" w:rsidP="00A815F7">
      <w:pPr>
        <w:pStyle w:val="Heading3"/>
      </w:pPr>
      <w:r>
        <w:br w:type="page"/>
      </w:r>
      <w:bookmarkStart w:id="100" w:name="_Toc459900053"/>
      <w:r w:rsidR="00AB0325">
        <w:lastRenderedPageBreak/>
        <w:t>Contents</w:t>
      </w:r>
      <w:r w:rsidR="00A815F7">
        <w:t xml:space="preserve"> Tab</w:t>
      </w:r>
      <w:bookmarkEnd w:id="100"/>
      <w:r w:rsidR="006C04E6">
        <w:fldChar w:fldCharType="begin"/>
      </w:r>
      <w:r w:rsidR="006C04E6">
        <w:instrText xml:space="preserve"> XE "</w:instrText>
      </w:r>
      <w:r w:rsidR="006C04E6" w:rsidRPr="001246FE">
        <w:instrText>Contents Tab</w:instrText>
      </w:r>
      <w:r w:rsidR="006C04E6">
        <w:instrText xml:space="preserve">" </w:instrText>
      </w:r>
      <w:r w:rsidR="006C04E6">
        <w:fldChar w:fldCharType="end"/>
      </w:r>
    </w:p>
    <w:p w:rsidR="00A815F7" w:rsidRDefault="00A815F7" w:rsidP="00DE6822">
      <w:pPr>
        <w:pStyle w:val="BodyText"/>
      </w:pPr>
      <w:r>
        <w:t xml:space="preserve">Click the </w:t>
      </w:r>
      <w:r w:rsidRPr="00A815F7">
        <w:rPr>
          <w:b/>
        </w:rPr>
        <w:t xml:space="preserve">Contents </w:t>
      </w:r>
      <w:r w:rsidRPr="00BF2E41">
        <w:t>tab</w:t>
      </w:r>
      <w:r>
        <w:t xml:space="preserve"> </w:t>
      </w:r>
      <w:r w:rsidR="00C97617">
        <w:t xml:space="preserve">in the </w:t>
      </w:r>
      <w:r w:rsidR="00A1063F">
        <w:t>navigation</w:t>
      </w:r>
      <w:r w:rsidR="00C97617">
        <w:t xml:space="preserve"> panel on the left </w:t>
      </w:r>
      <w:r>
        <w:t>to display categories of VBECS functions.</w:t>
      </w:r>
      <w:r w:rsidR="00F26D97">
        <w:t xml:space="preserve"> Click a plus sign (+) to view </w:t>
      </w:r>
      <w:r w:rsidR="00A202AF">
        <w:t>the</w:t>
      </w:r>
      <w:r w:rsidR="00F26D97">
        <w:t xml:space="preserve"> </w:t>
      </w:r>
      <w:r w:rsidR="00E3453A">
        <w:t>topics</w:t>
      </w:r>
      <w:r w:rsidR="00F26D97">
        <w:t xml:space="preserve"> in each category. </w:t>
      </w:r>
      <w:r w:rsidR="00E3453A">
        <w:t xml:space="preserve">Click a topic preceded by a question mark </w:t>
      </w:r>
      <w:r w:rsidR="00A202AF">
        <w:t>to view</w:t>
      </w:r>
      <w:r w:rsidR="00E3453A">
        <w:t xml:space="preserve"> information on that topic </w:t>
      </w:r>
      <w:r w:rsidR="00A202AF">
        <w:t xml:space="preserve">on the right </w:t>
      </w:r>
      <w:r w:rsidR="00E3453A">
        <w:t>(</w:t>
      </w:r>
      <w:r w:rsidR="00E3453A">
        <w:fldChar w:fldCharType="begin"/>
      </w:r>
      <w:r w:rsidR="00E3453A">
        <w:instrText xml:space="preserve"> REF _Ref138163651 \h </w:instrText>
      </w:r>
      <w:r w:rsidR="00E3453A">
        <w:fldChar w:fldCharType="separate"/>
      </w:r>
      <w:r w:rsidR="005F38BC">
        <w:t xml:space="preserve">Figure </w:t>
      </w:r>
      <w:r w:rsidR="005F38BC">
        <w:rPr>
          <w:noProof/>
        </w:rPr>
        <w:t>26</w:t>
      </w:r>
      <w:r w:rsidR="00E3453A">
        <w:fldChar w:fldCharType="end"/>
      </w:r>
      <w:r w:rsidR="00E3453A">
        <w:t xml:space="preserve">). </w:t>
      </w:r>
      <w:r w:rsidR="00F26D97">
        <w:t>Click a minus sign (–) to condense a list.</w:t>
      </w:r>
    </w:p>
    <w:p w:rsidR="00E3453A" w:rsidRDefault="00E3453A" w:rsidP="00E3453A">
      <w:pPr>
        <w:pStyle w:val="Caption"/>
      </w:pPr>
      <w:bookmarkStart w:id="101" w:name="_Ref138163651"/>
      <w:r>
        <w:t xml:space="preserve">Figure </w:t>
      </w:r>
      <w:r>
        <w:fldChar w:fldCharType="begin"/>
      </w:r>
      <w:r>
        <w:instrText xml:space="preserve"> SEQ Figure \* ARABIC </w:instrText>
      </w:r>
      <w:r>
        <w:fldChar w:fldCharType="separate"/>
      </w:r>
      <w:r w:rsidR="005F38BC">
        <w:rPr>
          <w:noProof/>
        </w:rPr>
        <w:t>26</w:t>
      </w:r>
      <w:r>
        <w:fldChar w:fldCharType="end"/>
      </w:r>
      <w:bookmarkEnd w:id="101"/>
      <w:r>
        <w:t xml:space="preserve">: </w:t>
      </w:r>
      <w:r w:rsidR="00352790">
        <w:t>Using the Contents Tab</w:t>
      </w:r>
    </w:p>
    <w:p w:rsidR="00E3453A" w:rsidRPr="00A815F7" w:rsidRDefault="00634BFC" w:rsidP="006128A6">
      <w:pPr>
        <w:pStyle w:val="BodyText"/>
      </w:pPr>
      <w:r>
        <w:rPr>
          <w:noProof/>
        </w:rPr>
        <w:drawing>
          <wp:inline distT="0" distB="0" distL="0" distR="0">
            <wp:extent cx="5943600" cy="43910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4391025"/>
                    </a:xfrm>
                    <a:prstGeom prst="rect">
                      <a:avLst/>
                    </a:prstGeom>
                    <a:noFill/>
                    <a:ln>
                      <a:noFill/>
                    </a:ln>
                  </pic:spPr>
                </pic:pic>
              </a:graphicData>
            </a:graphic>
          </wp:inline>
        </w:drawing>
      </w:r>
    </w:p>
    <w:p w:rsidR="00AB0325" w:rsidRDefault="0079794A" w:rsidP="006128A6">
      <w:pPr>
        <w:pStyle w:val="Heading3"/>
      </w:pPr>
      <w:r>
        <w:br w:type="page"/>
      </w:r>
      <w:bookmarkStart w:id="102" w:name="_Toc459900054"/>
      <w:r w:rsidR="00AB0325">
        <w:lastRenderedPageBreak/>
        <w:t>Index</w:t>
      </w:r>
      <w:r w:rsidR="006128A6">
        <w:t xml:space="preserve"> Tab</w:t>
      </w:r>
      <w:bookmarkEnd w:id="102"/>
      <w:r w:rsidR="006C04E6">
        <w:fldChar w:fldCharType="begin"/>
      </w:r>
      <w:r w:rsidR="006C04E6">
        <w:instrText xml:space="preserve"> XE "</w:instrText>
      </w:r>
      <w:r w:rsidR="006C04E6" w:rsidRPr="001246FE">
        <w:instrText>Index Tab</w:instrText>
      </w:r>
      <w:r w:rsidR="006C04E6">
        <w:instrText xml:space="preserve">" </w:instrText>
      </w:r>
      <w:r w:rsidR="006C04E6">
        <w:fldChar w:fldCharType="end"/>
      </w:r>
    </w:p>
    <w:p w:rsidR="00352790" w:rsidRDefault="00352790" w:rsidP="00DE6822">
      <w:pPr>
        <w:pStyle w:val="BodyText"/>
      </w:pPr>
      <w:r>
        <w:t>Enter a keyword (or one or more letters of a keyword) in the t</w:t>
      </w:r>
      <w:r w:rsidR="003814BF">
        <w:t>ext box to find a topic. Double-</w:t>
      </w:r>
      <w:r>
        <w:t xml:space="preserve">click the topic to view </w:t>
      </w:r>
      <w:r w:rsidR="006C04E6">
        <w:t>the topic</w:t>
      </w:r>
      <w:r w:rsidR="00A202AF">
        <w:t xml:space="preserve"> on the right</w:t>
      </w:r>
      <w:r w:rsidR="00C97617">
        <w:t xml:space="preserve"> (</w:t>
      </w:r>
      <w:r w:rsidR="00C97617">
        <w:fldChar w:fldCharType="begin"/>
      </w:r>
      <w:r w:rsidR="00C97617">
        <w:instrText xml:space="preserve"> REF _Ref138166149 \h </w:instrText>
      </w:r>
      <w:r w:rsidR="00C97617">
        <w:fldChar w:fldCharType="separate"/>
      </w:r>
      <w:r w:rsidR="005F38BC">
        <w:t xml:space="preserve">Figure </w:t>
      </w:r>
      <w:r w:rsidR="005F38BC">
        <w:rPr>
          <w:noProof/>
        </w:rPr>
        <w:t>27</w:t>
      </w:r>
      <w:r w:rsidR="00C97617">
        <w:fldChar w:fldCharType="end"/>
      </w:r>
      <w:r w:rsidR="00C97617">
        <w:t>)</w:t>
      </w:r>
      <w:r>
        <w:t>.</w:t>
      </w:r>
    </w:p>
    <w:p w:rsidR="00352790" w:rsidRDefault="00352790" w:rsidP="00352790">
      <w:pPr>
        <w:pStyle w:val="Caption"/>
      </w:pPr>
      <w:bookmarkStart w:id="103" w:name="_Ref138166149"/>
      <w:r>
        <w:t xml:space="preserve">Figure </w:t>
      </w:r>
      <w:r>
        <w:fldChar w:fldCharType="begin"/>
      </w:r>
      <w:r>
        <w:instrText xml:space="preserve"> SEQ Figure \* ARABIC </w:instrText>
      </w:r>
      <w:r>
        <w:fldChar w:fldCharType="separate"/>
      </w:r>
      <w:r w:rsidR="005F38BC">
        <w:rPr>
          <w:noProof/>
        </w:rPr>
        <w:t>27</w:t>
      </w:r>
      <w:r>
        <w:fldChar w:fldCharType="end"/>
      </w:r>
      <w:bookmarkEnd w:id="103"/>
      <w:r>
        <w:t>: Using the Index Tab</w:t>
      </w:r>
    </w:p>
    <w:p w:rsidR="006128A6" w:rsidRPr="006128A6" w:rsidRDefault="00634BFC" w:rsidP="00352790">
      <w:pPr>
        <w:pStyle w:val="BodyText"/>
      </w:pPr>
      <w:r>
        <w:rPr>
          <w:noProof/>
        </w:rPr>
        <w:drawing>
          <wp:inline distT="0" distB="0" distL="0" distR="0">
            <wp:extent cx="5943600" cy="43910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4391025"/>
                    </a:xfrm>
                    <a:prstGeom prst="rect">
                      <a:avLst/>
                    </a:prstGeom>
                    <a:noFill/>
                    <a:ln>
                      <a:noFill/>
                    </a:ln>
                  </pic:spPr>
                </pic:pic>
              </a:graphicData>
            </a:graphic>
          </wp:inline>
        </w:drawing>
      </w:r>
      <w:r w:rsidR="00352790">
        <w:t xml:space="preserve"> </w:t>
      </w:r>
    </w:p>
    <w:p w:rsidR="00AB0325" w:rsidRDefault="0079794A" w:rsidP="00352790">
      <w:pPr>
        <w:pStyle w:val="Heading3"/>
      </w:pPr>
      <w:r>
        <w:br w:type="page"/>
      </w:r>
      <w:bookmarkStart w:id="104" w:name="_Toc459900055"/>
      <w:r w:rsidR="00AB0325">
        <w:lastRenderedPageBreak/>
        <w:t>Search</w:t>
      </w:r>
      <w:r w:rsidR="00352790">
        <w:t xml:space="preserve"> Tab</w:t>
      </w:r>
      <w:bookmarkEnd w:id="104"/>
      <w:r w:rsidR="006C04E6">
        <w:fldChar w:fldCharType="begin"/>
      </w:r>
      <w:r w:rsidR="006C04E6">
        <w:instrText xml:space="preserve"> XE "</w:instrText>
      </w:r>
      <w:r w:rsidR="006C04E6" w:rsidRPr="001246FE">
        <w:instrText>Search Tab</w:instrText>
      </w:r>
      <w:r w:rsidR="006C04E6">
        <w:instrText xml:space="preserve">" </w:instrText>
      </w:r>
      <w:r w:rsidR="006C04E6">
        <w:fldChar w:fldCharType="end"/>
      </w:r>
    </w:p>
    <w:p w:rsidR="00352790" w:rsidRDefault="002C3957" w:rsidP="00DE6822">
      <w:pPr>
        <w:pStyle w:val="BodyText"/>
      </w:pPr>
      <w:r>
        <w:t xml:space="preserve">Enter a keyword or phrase in the text box and click </w:t>
      </w:r>
      <w:r w:rsidRPr="002C3957">
        <w:rPr>
          <w:b/>
        </w:rPr>
        <w:t>List Topics</w:t>
      </w:r>
      <w:r>
        <w:t xml:space="preserve">. Select a topic and click </w:t>
      </w:r>
      <w:r w:rsidRPr="006C04E6">
        <w:rPr>
          <w:b/>
        </w:rPr>
        <w:t>Display</w:t>
      </w:r>
      <w:r w:rsidR="003814BF">
        <w:t>, or double-</w:t>
      </w:r>
      <w:r>
        <w:t>click the topic. The topic appears on the right; each instance of the keyword entered is highlighted (</w:t>
      </w:r>
      <w:r>
        <w:fldChar w:fldCharType="begin"/>
      </w:r>
      <w:r>
        <w:instrText xml:space="preserve"> REF _Ref138164937 \h </w:instrText>
      </w:r>
      <w:r>
        <w:fldChar w:fldCharType="separate"/>
      </w:r>
      <w:r w:rsidR="005F38BC">
        <w:t xml:space="preserve">Figure </w:t>
      </w:r>
      <w:r w:rsidR="005F38BC">
        <w:rPr>
          <w:noProof/>
        </w:rPr>
        <w:t>28</w:t>
      </w:r>
      <w:r>
        <w:fldChar w:fldCharType="end"/>
      </w:r>
      <w:r>
        <w:t xml:space="preserve">). (To turn the highlight feature on or off, click </w:t>
      </w:r>
      <w:r w:rsidRPr="002C3957">
        <w:rPr>
          <w:b/>
        </w:rPr>
        <w:t>Options</w:t>
      </w:r>
      <w:r>
        <w:t xml:space="preserve"> at the top of the screen. Click </w:t>
      </w:r>
      <w:r w:rsidRPr="002C3957">
        <w:rPr>
          <w:b/>
        </w:rPr>
        <w:t>Search Highlight On</w:t>
      </w:r>
      <w:r>
        <w:t xml:space="preserve"> or </w:t>
      </w:r>
      <w:r w:rsidRPr="002C3957">
        <w:rPr>
          <w:b/>
        </w:rPr>
        <w:t>Search Highlight Off</w:t>
      </w:r>
      <w:r>
        <w:t>.)</w:t>
      </w:r>
    </w:p>
    <w:p w:rsidR="002C3957" w:rsidRDefault="002C3957" w:rsidP="002C3957">
      <w:pPr>
        <w:pStyle w:val="Caption"/>
      </w:pPr>
      <w:bookmarkStart w:id="105" w:name="_Ref138164937"/>
      <w:r>
        <w:t xml:space="preserve">Figure </w:t>
      </w:r>
      <w:r>
        <w:fldChar w:fldCharType="begin"/>
      </w:r>
      <w:r>
        <w:instrText xml:space="preserve"> SEQ Figure \* ARABIC </w:instrText>
      </w:r>
      <w:r>
        <w:fldChar w:fldCharType="separate"/>
      </w:r>
      <w:r w:rsidR="005F38BC">
        <w:rPr>
          <w:noProof/>
        </w:rPr>
        <w:t>28</w:t>
      </w:r>
      <w:r>
        <w:fldChar w:fldCharType="end"/>
      </w:r>
      <w:bookmarkEnd w:id="105"/>
      <w:r>
        <w:t>: Using the Search Tab</w:t>
      </w:r>
    </w:p>
    <w:p w:rsidR="002C3957" w:rsidRPr="00352790" w:rsidRDefault="00634BFC" w:rsidP="00DE6822">
      <w:pPr>
        <w:pStyle w:val="BodyText"/>
      </w:pPr>
      <w:r>
        <w:rPr>
          <w:noProof/>
        </w:rPr>
        <w:drawing>
          <wp:inline distT="0" distB="0" distL="0" distR="0">
            <wp:extent cx="5943600" cy="43910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4391025"/>
                    </a:xfrm>
                    <a:prstGeom prst="rect">
                      <a:avLst/>
                    </a:prstGeom>
                    <a:noFill/>
                    <a:ln>
                      <a:noFill/>
                    </a:ln>
                  </pic:spPr>
                </pic:pic>
              </a:graphicData>
            </a:graphic>
          </wp:inline>
        </w:drawing>
      </w:r>
    </w:p>
    <w:p w:rsidR="00AB0325" w:rsidRDefault="0079794A" w:rsidP="00DE6822">
      <w:pPr>
        <w:pStyle w:val="Heading3"/>
      </w:pPr>
      <w:r>
        <w:br w:type="page"/>
      </w:r>
      <w:bookmarkStart w:id="106" w:name="_Toc459900056"/>
      <w:r w:rsidR="00AB0325">
        <w:lastRenderedPageBreak/>
        <w:t>Glossary</w:t>
      </w:r>
      <w:r w:rsidR="00DE6822">
        <w:t xml:space="preserve"> Tab</w:t>
      </w:r>
      <w:bookmarkEnd w:id="106"/>
      <w:r w:rsidR="006C04E6">
        <w:fldChar w:fldCharType="begin"/>
      </w:r>
      <w:r w:rsidR="006C04E6">
        <w:instrText xml:space="preserve"> XE "</w:instrText>
      </w:r>
      <w:r w:rsidR="006C04E6" w:rsidRPr="001246FE">
        <w:instrText>Glossary Tab</w:instrText>
      </w:r>
      <w:r w:rsidR="006C04E6">
        <w:instrText xml:space="preserve">" </w:instrText>
      </w:r>
      <w:r w:rsidR="006C04E6">
        <w:fldChar w:fldCharType="end"/>
      </w:r>
    </w:p>
    <w:p w:rsidR="00DE6822" w:rsidRDefault="00C97617" w:rsidP="00DE6822">
      <w:pPr>
        <w:pStyle w:val="BodyText"/>
      </w:pPr>
      <w:r>
        <w:t>Click and drag the scroll bar</w:t>
      </w:r>
      <w:r w:rsidR="00DE6822">
        <w:t xml:space="preserve"> </w:t>
      </w:r>
      <w:r>
        <w:t xml:space="preserve">up or down </w:t>
      </w:r>
      <w:r w:rsidR="006C04E6">
        <w:t>to find a word or phrase. C</w:t>
      </w:r>
      <w:r w:rsidR="00DE6822">
        <w:t xml:space="preserve">lick </w:t>
      </w:r>
      <w:r w:rsidR="006C04E6">
        <w:t>the</w:t>
      </w:r>
      <w:r w:rsidR="00DE6822">
        <w:t xml:space="preserve"> word or phrase to display a definition at the bottom (</w:t>
      </w:r>
      <w:r w:rsidR="006C04E6">
        <w:fldChar w:fldCharType="begin"/>
      </w:r>
      <w:r w:rsidR="006C04E6">
        <w:instrText xml:space="preserve"> REF _Ref138165576 \h </w:instrText>
      </w:r>
      <w:r w:rsidR="006C04E6">
        <w:fldChar w:fldCharType="separate"/>
      </w:r>
      <w:r w:rsidR="005F38BC">
        <w:t xml:space="preserve">Figure </w:t>
      </w:r>
      <w:r w:rsidR="005F38BC">
        <w:rPr>
          <w:noProof/>
        </w:rPr>
        <w:t>29</w:t>
      </w:r>
      <w:r w:rsidR="006C04E6">
        <w:fldChar w:fldCharType="end"/>
      </w:r>
      <w:r w:rsidR="00DE6822">
        <w:t>).</w:t>
      </w:r>
    </w:p>
    <w:p w:rsidR="00DE6822" w:rsidRDefault="00DE6822" w:rsidP="00DE6822">
      <w:pPr>
        <w:pStyle w:val="Caption"/>
      </w:pPr>
      <w:bookmarkStart w:id="107" w:name="_Ref138165576"/>
      <w:r>
        <w:t xml:space="preserve">Figure </w:t>
      </w:r>
      <w:r>
        <w:fldChar w:fldCharType="begin"/>
      </w:r>
      <w:r>
        <w:instrText xml:space="preserve"> SEQ Figure \* ARABIC </w:instrText>
      </w:r>
      <w:r>
        <w:fldChar w:fldCharType="separate"/>
      </w:r>
      <w:r w:rsidR="005F38BC">
        <w:rPr>
          <w:noProof/>
        </w:rPr>
        <w:t>29</w:t>
      </w:r>
      <w:r>
        <w:fldChar w:fldCharType="end"/>
      </w:r>
      <w:bookmarkEnd w:id="107"/>
      <w:r>
        <w:t>: Using the Glossary Tab</w:t>
      </w:r>
    </w:p>
    <w:p w:rsidR="00DE6822" w:rsidRDefault="00634BFC" w:rsidP="00DE6822">
      <w:pPr>
        <w:pStyle w:val="BodyText"/>
      </w:pPr>
      <w:r>
        <w:rPr>
          <w:noProof/>
        </w:rPr>
        <w:drawing>
          <wp:inline distT="0" distB="0" distL="0" distR="0">
            <wp:extent cx="2390775" cy="56388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90775" cy="5638800"/>
                    </a:xfrm>
                    <a:prstGeom prst="rect">
                      <a:avLst/>
                    </a:prstGeom>
                    <a:noFill/>
                    <a:ln>
                      <a:noFill/>
                    </a:ln>
                  </pic:spPr>
                </pic:pic>
              </a:graphicData>
            </a:graphic>
          </wp:inline>
        </w:drawing>
      </w:r>
    </w:p>
    <w:p w:rsidR="00877F00" w:rsidRPr="00D23470" w:rsidRDefault="0079794A" w:rsidP="00D23470">
      <w:pPr>
        <w:pStyle w:val="Heading2"/>
        <w:rPr>
          <w:b w:val="0"/>
          <w:bCs w:val="0"/>
          <w:i w:val="0"/>
          <w:iCs w:val="0"/>
          <w:sz w:val="18"/>
        </w:rPr>
      </w:pPr>
      <w:bookmarkStart w:id="108" w:name="OLE_LINK39"/>
      <w:bookmarkStart w:id="109" w:name="OLE_LINK40"/>
      <w:r>
        <w:br w:type="page"/>
      </w:r>
      <w:bookmarkStart w:id="110" w:name="_Toc459900057"/>
      <w:r w:rsidR="00877F00">
        <w:lastRenderedPageBreak/>
        <w:t>Viewing the VBECS Version Number</w:t>
      </w:r>
      <w:bookmarkEnd w:id="110"/>
      <w:r w:rsidR="00877F00">
        <w:fldChar w:fldCharType="begin"/>
      </w:r>
      <w:r w:rsidR="00877F00">
        <w:instrText xml:space="preserve"> XE “Viewing the VBECS Version Number” </w:instrText>
      </w:r>
      <w:r w:rsidR="00877F00">
        <w:fldChar w:fldCharType="end"/>
      </w:r>
      <w:r w:rsidR="00263B38">
        <w:t xml:space="preserve"> </w:t>
      </w:r>
      <w:r w:rsidR="00637E48" w:rsidRPr="00637E48">
        <w:rPr>
          <w:rFonts w:ascii="Times New Roman" w:hAnsi="Times New Roman" w:cs="Times New Roman"/>
          <w:b w:val="0"/>
          <w:i w:val="0"/>
          <w:vanish/>
          <w:sz w:val="22"/>
          <w:szCs w:val="22"/>
        </w:rPr>
        <w:t>DR 4991</w:t>
      </w:r>
      <w:r w:rsidR="00637E48">
        <w:rPr>
          <w:rFonts w:ascii="Arial Bold" w:hAnsi="Arial Bold"/>
          <w:vanish/>
        </w:rPr>
        <w:t xml:space="preserve"> </w:t>
      </w:r>
      <w:r w:rsidR="00263B38" w:rsidRPr="00263B38">
        <w:rPr>
          <w:rFonts w:ascii="Times New Roman" w:hAnsi="Times New Roman" w:cs="Times New Roman"/>
          <w:b w:val="0"/>
          <w:i w:val="0"/>
          <w:vanish/>
          <w:sz w:val="22"/>
          <w:szCs w:val="22"/>
        </w:rPr>
        <w:t>Task 1297</w:t>
      </w:r>
    </w:p>
    <w:p w:rsidR="00D23470" w:rsidRPr="00D23470" w:rsidRDefault="00D23470" w:rsidP="00D23470">
      <w:pPr>
        <w:pStyle w:val="BodyText"/>
      </w:pPr>
      <w:r w:rsidRPr="00D23470">
        <w:t>In earlier VBECS patch releases, the user documentation referred to the VBECS versio</w:t>
      </w:r>
      <w:r w:rsidR="00BD658A">
        <w:t>n in a 4-digit format (e.g., 2.1.0.2 – where 2.1</w:t>
      </w:r>
      <w:r w:rsidRPr="00D23470">
        <w:t xml:space="preserve">.0 represents the patch version and </w:t>
      </w:r>
      <w:r w:rsidR="0055788D">
        <w:t xml:space="preserve">the last </w:t>
      </w:r>
      <w:r w:rsidR="00BD658A">
        <w:t>digit (</w:t>
      </w:r>
      <w:r w:rsidRPr="00D23470">
        <w:t>2</w:t>
      </w:r>
      <w:r w:rsidR="00BD658A">
        <w:t>)</w:t>
      </w:r>
      <w:r w:rsidRPr="00D23470">
        <w:t xml:space="preserve"> is the patch build number). The build number is used by VBECS Product Support for diagnostic and troubleshooting purposes.</w:t>
      </w:r>
    </w:p>
    <w:p w:rsidR="00E51319" w:rsidRPr="00E51319" w:rsidRDefault="00E51319" w:rsidP="00E51319">
      <w:pPr>
        <w:pStyle w:val="BodyText"/>
        <w:rPr>
          <w:lang w:val="en"/>
        </w:rPr>
      </w:pPr>
      <w:bookmarkStart w:id="111" w:name="_Ref300821872"/>
      <w:bookmarkStart w:id="112" w:name="_Ref300821896"/>
      <w:r w:rsidRPr="00E51319">
        <w:t xml:space="preserve">The VBECS build number was changed starting with the VBECS 2.2.0 patch release. The new patch release number is now </w:t>
      </w:r>
      <w:r w:rsidRPr="00E51319">
        <w:rPr>
          <w:lang w:val="en"/>
        </w:rPr>
        <w:t>composed of four sets of numbers (a.k.a., elements), separated by periods in this format: “majorminor.patchcontent.days.time” (e.g., 0202.0001.5746.31276). The elements are defined in this manner:</w:t>
      </w:r>
    </w:p>
    <w:p w:rsidR="00E51319" w:rsidRPr="00E51319" w:rsidRDefault="00E51319" w:rsidP="00DB7466">
      <w:pPr>
        <w:numPr>
          <w:ilvl w:val="0"/>
          <w:numId w:val="60"/>
        </w:numPr>
        <w:rPr>
          <w:sz w:val="22"/>
          <w:szCs w:val="22"/>
          <w:lang w:val="en"/>
        </w:rPr>
      </w:pPr>
      <w:r w:rsidRPr="00E51319">
        <w:rPr>
          <w:sz w:val="22"/>
          <w:szCs w:val="22"/>
          <w:lang w:val="en"/>
        </w:rPr>
        <w:t xml:space="preserve">The </w:t>
      </w:r>
      <w:r w:rsidRPr="00E51319">
        <w:rPr>
          <w:i/>
          <w:sz w:val="22"/>
          <w:szCs w:val="22"/>
          <w:lang w:val="en"/>
        </w:rPr>
        <w:t>major</w:t>
      </w:r>
      <w:r w:rsidRPr="00E51319">
        <w:rPr>
          <w:sz w:val="22"/>
          <w:szCs w:val="22"/>
          <w:lang w:val="en"/>
        </w:rPr>
        <w:t xml:space="preserve"> element is a two-digit number that is incremented when the functionality is significantly altered. </w:t>
      </w:r>
    </w:p>
    <w:p w:rsidR="00E51319" w:rsidRPr="00E51319" w:rsidRDefault="00E51319" w:rsidP="00DB7466">
      <w:pPr>
        <w:numPr>
          <w:ilvl w:val="0"/>
          <w:numId w:val="60"/>
        </w:numPr>
        <w:rPr>
          <w:sz w:val="22"/>
          <w:szCs w:val="22"/>
          <w:lang w:val="en"/>
        </w:rPr>
      </w:pPr>
      <w:r w:rsidRPr="00E51319">
        <w:rPr>
          <w:sz w:val="22"/>
          <w:szCs w:val="22"/>
          <w:lang w:val="en"/>
        </w:rPr>
        <w:t xml:space="preserve">The </w:t>
      </w:r>
      <w:r w:rsidRPr="00E51319">
        <w:rPr>
          <w:i/>
          <w:sz w:val="22"/>
          <w:szCs w:val="22"/>
          <w:lang w:val="en"/>
        </w:rPr>
        <w:t>minor</w:t>
      </w:r>
      <w:r w:rsidRPr="00E51319">
        <w:rPr>
          <w:sz w:val="22"/>
          <w:szCs w:val="22"/>
          <w:lang w:val="en"/>
        </w:rPr>
        <w:t xml:space="preserve"> element is a two-digit number that is incremented for all other fixes or maintenance. </w:t>
      </w:r>
    </w:p>
    <w:p w:rsidR="00E51319" w:rsidRPr="00E51319" w:rsidRDefault="00E51319" w:rsidP="00DB7466">
      <w:pPr>
        <w:numPr>
          <w:ilvl w:val="0"/>
          <w:numId w:val="60"/>
        </w:numPr>
        <w:rPr>
          <w:sz w:val="22"/>
          <w:szCs w:val="22"/>
          <w:lang w:val="en"/>
        </w:rPr>
      </w:pPr>
      <w:r w:rsidRPr="00E51319">
        <w:rPr>
          <w:sz w:val="22"/>
          <w:szCs w:val="22"/>
          <w:lang w:val="en"/>
        </w:rPr>
        <w:t xml:space="preserve">The </w:t>
      </w:r>
      <w:r w:rsidRPr="00E51319">
        <w:rPr>
          <w:i/>
          <w:sz w:val="22"/>
          <w:szCs w:val="22"/>
          <w:lang w:val="en"/>
        </w:rPr>
        <w:t>patch</w:t>
      </w:r>
      <w:r w:rsidRPr="00E51319">
        <w:rPr>
          <w:sz w:val="22"/>
          <w:szCs w:val="22"/>
          <w:lang w:val="en"/>
        </w:rPr>
        <w:t xml:space="preserve"> element is a two-digit number that is for emergency cases of a high priority that may impact the application’s production environment execution or processing capabilities. These changes are usually time sensitive and cannot be postponed to the next planned release.</w:t>
      </w:r>
    </w:p>
    <w:p w:rsidR="00E51319" w:rsidRPr="00E51319" w:rsidRDefault="00E51319" w:rsidP="00DB7466">
      <w:pPr>
        <w:numPr>
          <w:ilvl w:val="0"/>
          <w:numId w:val="60"/>
        </w:numPr>
        <w:rPr>
          <w:sz w:val="22"/>
          <w:szCs w:val="22"/>
          <w:lang w:val="en"/>
        </w:rPr>
      </w:pPr>
      <w:r w:rsidRPr="00E51319">
        <w:rPr>
          <w:sz w:val="22"/>
          <w:szCs w:val="22"/>
          <w:lang w:val="en"/>
        </w:rPr>
        <w:t xml:space="preserve">The </w:t>
      </w:r>
      <w:r w:rsidRPr="00E51319">
        <w:rPr>
          <w:i/>
          <w:sz w:val="22"/>
          <w:szCs w:val="22"/>
          <w:lang w:val="en"/>
        </w:rPr>
        <w:t>content</w:t>
      </w:r>
      <w:r w:rsidRPr="00E51319">
        <w:rPr>
          <w:sz w:val="22"/>
          <w:szCs w:val="22"/>
          <w:lang w:val="en"/>
        </w:rPr>
        <w:t xml:space="preserve"> element is a two-digit number used to identify the need for a new build (e.g., scope increases, defect discovered, etc.).</w:t>
      </w:r>
    </w:p>
    <w:p w:rsidR="00E51319" w:rsidRPr="00E51319" w:rsidRDefault="00E51319" w:rsidP="00DB7466">
      <w:pPr>
        <w:numPr>
          <w:ilvl w:val="0"/>
          <w:numId w:val="60"/>
        </w:numPr>
        <w:rPr>
          <w:sz w:val="22"/>
          <w:szCs w:val="22"/>
          <w:lang w:val="en"/>
        </w:rPr>
      </w:pPr>
      <w:r w:rsidRPr="00E51319">
        <w:rPr>
          <w:sz w:val="22"/>
          <w:szCs w:val="22"/>
          <w:lang w:val="en"/>
        </w:rPr>
        <w:t xml:space="preserve">The </w:t>
      </w:r>
      <w:r w:rsidRPr="00E51319">
        <w:rPr>
          <w:i/>
          <w:sz w:val="22"/>
          <w:szCs w:val="22"/>
          <w:lang w:val="en"/>
        </w:rPr>
        <w:t>days</w:t>
      </w:r>
      <w:r w:rsidRPr="00E51319">
        <w:rPr>
          <w:sz w:val="22"/>
          <w:szCs w:val="22"/>
          <w:lang w:val="en"/>
        </w:rPr>
        <w:t xml:space="preserve"> element is a four-digit number that is incremented daily and represents the number of days since January 1st 2000.</w:t>
      </w:r>
    </w:p>
    <w:p w:rsidR="00E51319" w:rsidRPr="00E51319" w:rsidRDefault="00E51319" w:rsidP="00DB7466">
      <w:pPr>
        <w:numPr>
          <w:ilvl w:val="0"/>
          <w:numId w:val="60"/>
        </w:numPr>
        <w:rPr>
          <w:sz w:val="22"/>
          <w:szCs w:val="22"/>
          <w:lang w:val="en"/>
        </w:rPr>
      </w:pPr>
      <w:r w:rsidRPr="00E51319">
        <w:rPr>
          <w:sz w:val="22"/>
          <w:szCs w:val="22"/>
          <w:lang w:val="en"/>
        </w:rPr>
        <w:t xml:space="preserve">The </w:t>
      </w:r>
      <w:r w:rsidRPr="00E51319">
        <w:rPr>
          <w:i/>
          <w:sz w:val="22"/>
          <w:szCs w:val="22"/>
          <w:lang w:val="en"/>
        </w:rPr>
        <w:t>time</w:t>
      </w:r>
      <w:r w:rsidRPr="00E51319">
        <w:rPr>
          <w:sz w:val="22"/>
          <w:szCs w:val="22"/>
          <w:lang w:val="en"/>
        </w:rPr>
        <w:t xml:space="preserve"> element is a five-digit number that is calculated by taking the number of seconds since midnight local time (without taking into account time zone adjustments for daylight saving time), divided by 2.</w:t>
      </w:r>
    </w:p>
    <w:p w:rsidR="00E51319" w:rsidRPr="00E51319" w:rsidRDefault="00E51319" w:rsidP="00E51319">
      <w:pPr>
        <w:rPr>
          <w:sz w:val="22"/>
          <w:szCs w:val="22"/>
        </w:rPr>
      </w:pPr>
    </w:p>
    <w:p w:rsidR="00E51319" w:rsidRPr="00E51319" w:rsidRDefault="00E51319" w:rsidP="00E51319">
      <w:pPr>
        <w:rPr>
          <w:sz w:val="22"/>
          <w:szCs w:val="22"/>
        </w:rPr>
      </w:pPr>
      <w:r w:rsidRPr="00E51319">
        <w:rPr>
          <w:sz w:val="22"/>
          <w:szCs w:val="22"/>
        </w:rPr>
        <w:t>The first two numbers [&lt;MajorMinor&gt; and &lt;PatchContent&gt;] tell us the content/scope that we are building to (e.g., 0202.0001 which can be also referred to as 2.2.0.1).</w:t>
      </w:r>
    </w:p>
    <w:p w:rsidR="00E51319" w:rsidRPr="00E51319" w:rsidRDefault="00E51319" w:rsidP="00E51319">
      <w:pPr>
        <w:rPr>
          <w:sz w:val="22"/>
          <w:szCs w:val="22"/>
        </w:rPr>
      </w:pPr>
    </w:p>
    <w:p w:rsidR="00E51319" w:rsidRPr="00E51319" w:rsidRDefault="00E51319" w:rsidP="00E51319">
      <w:pPr>
        <w:rPr>
          <w:sz w:val="22"/>
          <w:szCs w:val="22"/>
        </w:rPr>
      </w:pPr>
      <w:r w:rsidRPr="00E51319">
        <w:rPr>
          <w:sz w:val="22"/>
          <w:szCs w:val="22"/>
        </w:rPr>
        <w:t>The last two numbers &lt;</w:t>
      </w:r>
      <w:r w:rsidRPr="00E51319">
        <w:rPr>
          <w:i/>
          <w:sz w:val="22"/>
          <w:szCs w:val="22"/>
        </w:rPr>
        <w:t>days</w:t>
      </w:r>
      <w:r w:rsidRPr="00E51319">
        <w:rPr>
          <w:sz w:val="22"/>
          <w:szCs w:val="22"/>
        </w:rPr>
        <w:t>&gt; and &lt;</w:t>
      </w:r>
      <w:r w:rsidRPr="00E51319">
        <w:rPr>
          <w:i/>
          <w:sz w:val="22"/>
          <w:szCs w:val="22"/>
        </w:rPr>
        <w:t>time&gt;</w:t>
      </w:r>
      <w:r w:rsidRPr="00E51319">
        <w:rPr>
          <w:sz w:val="22"/>
          <w:szCs w:val="22"/>
        </w:rPr>
        <w:t xml:space="preserve"> are automatically generated by the software used to perform the code builds and are unique for each build. These last 2 numbers along with the first two numbers formally identify the latest official build (e.g., 0202.0001.</w:t>
      </w:r>
      <w:r w:rsidRPr="00E51319">
        <w:rPr>
          <w:sz w:val="22"/>
          <w:szCs w:val="22"/>
          <w:lang w:val="en"/>
        </w:rPr>
        <w:t>5746.31276</w:t>
      </w:r>
      <w:r w:rsidRPr="00E51319">
        <w:rPr>
          <w:sz w:val="22"/>
          <w:szCs w:val="22"/>
        </w:rPr>
        <w:t>).</w:t>
      </w:r>
    </w:p>
    <w:p w:rsidR="00E51319" w:rsidRPr="00E51319" w:rsidRDefault="00E51319" w:rsidP="00E51319">
      <w:pPr>
        <w:rPr>
          <w:sz w:val="22"/>
          <w:szCs w:val="22"/>
        </w:rPr>
      </w:pPr>
    </w:p>
    <w:p w:rsidR="00E51319" w:rsidRPr="00E51319" w:rsidRDefault="00E51319" w:rsidP="00E51319">
      <w:pPr>
        <w:rPr>
          <w:sz w:val="22"/>
          <w:szCs w:val="22"/>
        </w:rPr>
      </w:pPr>
      <w:r w:rsidRPr="00E51319">
        <w:rPr>
          <w:sz w:val="22"/>
          <w:szCs w:val="22"/>
        </w:rPr>
        <w:t>When it comes time to assign a new version number, the first four elements (major, minor, patch, content) are dependent on each other which means that when any of these four elements is incremented, all subsequent elements are reset as follows:</w:t>
      </w:r>
    </w:p>
    <w:p w:rsidR="00E51319" w:rsidRPr="00E51319" w:rsidRDefault="00E51319" w:rsidP="00DB7466">
      <w:pPr>
        <w:numPr>
          <w:ilvl w:val="0"/>
          <w:numId w:val="60"/>
        </w:numPr>
        <w:rPr>
          <w:sz w:val="22"/>
          <w:szCs w:val="22"/>
          <w:lang w:val="en"/>
        </w:rPr>
      </w:pPr>
      <w:r w:rsidRPr="00E51319">
        <w:rPr>
          <w:sz w:val="22"/>
          <w:szCs w:val="22"/>
          <w:lang w:val="en"/>
        </w:rPr>
        <w:t xml:space="preserve">At a major release start, the major number is incremented by one, the minor and patch numbers return to zero, the content number always returns to one, and the </w:t>
      </w:r>
      <w:r w:rsidRPr="00E51319">
        <w:rPr>
          <w:i/>
          <w:sz w:val="22"/>
          <w:szCs w:val="22"/>
          <w:lang w:val="en"/>
        </w:rPr>
        <w:t xml:space="preserve">days </w:t>
      </w:r>
      <w:r w:rsidRPr="00E51319">
        <w:rPr>
          <w:sz w:val="22"/>
          <w:szCs w:val="22"/>
          <w:lang w:val="en"/>
        </w:rPr>
        <w:t xml:space="preserve">and </w:t>
      </w:r>
      <w:r w:rsidRPr="00E51319">
        <w:rPr>
          <w:i/>
          <w:sz w:val="22"/>
          <w:szCs w:val="22"/>
          <w:lang w:val="en"/>
        </w:rPr>
        <w:t xml:space="preserve">time </w:t>
      </w:r>
      <w:r w:rsidRPr="00E51319">
        <w:rPr>
          <w:sz w:val="22"/>
          <w:szCs w:val="22"/>
          <w:lang w:val="en"/>
        </w:rPr>
        <w:t>numbers are regenerated using the build time (e.g., 0203.0303.</w:t>
      </w:r>
      <w:r w:rsidRPr="00E51319">
        <w:rPr>
          <w:i/>
          <w:sz w:val="22"/>
          <w:szCs w:val="22"/>
          <w:lang w:val="en"/>
        </w:rPr>
        <w:t>days</w:t>
      </w:r>
      <w:r w:rsidRPr="00E51319">
        <w:rPr>
          <w:sz w:val="22"/>
          <w:szCs w:val="22"/>
          <w:lang w:val="en"/>
        </w:rPr>
        <w:t>.</w:t>
      </w:r>
      <w:r w:rsidRPr="00E51319">
        <w:rPr>
          <w:i/>
          <w:sz w:val="22"/>
          <w:szCs w:val="22"/>
          <w:lang w:val="en"/>
        </w:rPr>
        <w:t xml:space="preserve">time </w:t>
      </w:r>
      <w:r w:rsidRPr="00E51319">
        <w:rPr>
          <w:sz w:val="22"/>
          <w:szCs w:val="22"/>
          <w:lang w:val="en"/>
        </w:rPr>
        <w:sym w:font="Wingdings" w:char="F0E0"/>
      </w:r>
      <w:r w:rsidRPr="00E51319">
        <w:rPr>
          <w:sz w:val="22"/>
          <w:szCs w:val="22"/>
          <w:lang w:val="en"/>
        </w:rPr>
        <w:t xml:space="preserve"> 0300.0001.</w:t>
      </w:r>
      <w:r w:rsidRPr="00E51319">
        <w:rPr>
          <w:i/>
          <w:sz w:val="22"/>
          <w:szCs w:val="22"/>
          <w:lang w:val="en"/>
        </w:rPr>
        <w:t>days</w:t>
      </w:r>
      <w:r w:rsidRPr="00E51319">
        <w:rPr>
          <w:sz w:val="22"/>
          <w:szCs w:val="22"/>
          <w:lang w:val="en"/>
        </w:rPr>
        <w:t>.</w:t>
      </w:r>
      <w:r w:rsidRPr="00E51319">
        <w:rPr>
          <w:i/>
          <w:sz w:val="22"/>
          <w:szCs w:val="22"/>
          <w:lang w:val="en"/>
        </w:rPr>
        <w:t>time</w:t>
      </w:r>
      <w:r w:rsidRPr="00E51319">
        <w:rPr>
          <w:sz w:val="22"/>
          <w:szCs w:val="22"/>
          <w:lang w:val="en"/>
        </w:rPr>
        <w:t xml:space="preserve">). </w:t>
      </w:r>
    </w:p>
    <w:p w:rsidR="00E51319" w:rsidRPr="00E51319" w:rsidRDefault="00E51319" w:rsidP="00DB7466">
      <w:pPr>
        <w:numPr>
          <w:ilvl w:val="0"/>
          <w:numId w:val="60"/>
        </w:numPr>
        <w:rPr>
          <w:sz w:val="22"/>
          <w:szCs w:val="22"/>
          <w:lang w:val="en"/>
        </w:rPr>
      </w:pPr>
      <w:r w:rsidRPr="00E51319">
        <w:rPr>
          <w:sz w:val="22"/>
          <w:szCs w:val="22"/>
          <w:lang w:val="en"/>
        </w:rPr>
        <w:t xml:space="preserve">At a minor release start, the major number remains the same, the minor number is incremented by one, the patch number returns to zero and the content number returns to one, and the </w:t>
      </w:r>
      <w:r w:rsidRPr="00E51319">
        <w:rPr>
          <w:i/>
          <w:sz w:val="22"/>
          <w:szCs w:val="22"/>
          <w:lang w:val="en"/>
        </w:rPr>
        <w:t xml:space="preserve">days </w:t>
      </w:r>
      <w:r w:rsidRPr="00E51319">
        <w:rPr>
          <w:sz w:val="22"/>
          <w:szCs w:val="22"/>
          <w:lang w:val="en"/>
        </w:rPr>
        <w:t xml:space="preserve">and </w:t>
      </w:r>
      <w:r w:rsidRPr="00E51319">
        <w:rPr>
          <w:i/>
          <w:sz w:val="22"/>
          <w:szCs w:val="22"/>
          <w:lang w:val="en"/>
        </w:rPr>
        <w:t xml:space="preserve">time </w:t>
      </w:r>
      <w:r w:rsidRPr="00E51319">
        <w:rPr>
          <w:sz w:val="22"/>
          <w:szCs w:val="22"/>
          <w:lang w:val="en"/>
        </w:rPr>
        <w:t>numbers are regenerated using the build time (e.g., 0203.002.</w:t>
      </w:r>
      <w:r w:rsidRPr="00E51319">
        <w:rPr>
          <w:i/>
          <w:sz w:val="22"/>
          <w:szCs w:val="22"/>
          <w:lang w:val="en"/>
        </w:rPr>
        <w:t>days</w:t>
      </w:r>
      <w:r w:rsidRPr="00E51319">
        <w:rPr>
          <w:sz w:val="22"/>
          <w:szCs w:val="22"/>
          <w:lang w:val="en"/>
        </w:rPr>
        <w:t>.</w:t>
      </w:r>
      <w:r w:rsidRPr="00E51319">
        <w:rPr>
          <w:i/>
          <w:sz w:val="22"/>
          <w:szCs w:val="22"/>
          <w:lang w:val="en"/>
        </w:rPr>
        <w:t>time</w:t>
      </w:r>
      <w:r w:rsidRPr="00E51319">
        <w:rPr>
          <w:sz w:val="22"/>
          <w:szCs w:val="22"/>
          <w:lang w:val="en"/>
        </w:rPr>
        <w:t xml:space="preserve"> </w:t>
      </w:r>
      <w:r w:rsidRPr="00E51319">
        <w:rPr>
          <w:sz w:val="22"/>
          <w:szCs w:val="22"/>
          <w:lang w:val="en"/>
        </w:rPr>
        <w:sym w:font="Wingdings" w:char="F0E0"/>
      </w:r>
      <w:r w:rsidRPr="00E51319">
        <w:rPr>
          <w:sz w:val="22"/>
          <w:szCs w:val="22"/>
          <w:lang w:val="en"/>
        </w:rPr>
        <w:t>0204.0001.</w:t>
      </w:r>
      <w:r w:rsidRPr="00E51319">
        <w:rPr>
          <w:i/>
          <w:sz w:val="22"/>
          <w:szCs w:val="22"/>
          <w:lang w:val="en"/>
        </w:rPr>
        <w:t>days</w:t>
      </w:r>
      <w:r w:rsidRPr="00E51319">
        <w:rPr>
          <w:sz w:val="22"/>
          <w:szCs w:val="22"/>
          <w:lang w:val="en"/>
        </w:rPr>
        <w:t>.</w:t>
      </w:r>
      <w:r w:rsidRPr="00E51319">
        <w:rPr>
          <w:i/>
          <w:sz w:val="22"/>
          <w:szCs w:val="22"/>
          <w:lang w:val="en"/>
        </w:rPr>
        <w:t>time</w:t>
      </w:r>
      <w:r w:rsidRPr="00E51319">
        <w:rPr>
          <w:sz w:val="22"/>
          <w:szCs w:val="22"/>
          <w:lang w:val="en"/>
        </w:rPr>
        <w:t xml:space="preserve">). </w:t>
      </w:r>
    </w:p>
    <w:p w:rsidR="00E51319" w:rsidRPr="00E51319" w:rsidRDefault="00E51319" w:rsidP="00DB7466">
      <w:pPr>
        <w:numPr>
          <w:ilvl w:val="0"/>
          <w:numId w:val="60"/>
        </w:numPr>
        <w:rPr>
          <w:sz w:val="22"/>
          <w:szCs w:val="22"/>
          <w:lang w:val="en"/>
        </w:rPr>
      </w:pPr>
      <w:r w:rsidRPr="00E51319">
        <w:rPr>
          <w:sz w:val="22"/>
          <w:szCs w:val="22"/>
          <w:lang w:val="en"/>
        </w:rPr>
        <w:t xml:space="preserve">At a patch release start, the major and minor numbers remain the same, the patch number is incremented by one, the content number returns to one, and the </w:t>
      </w:r>
      <w:r w:rsidRPr="00E51319">
        <w:rPr>
          <w:i/>
          <w:sz w:val="22"/>
          <w:szCs w:val="22"/>
          <w:lang w:val="en"/>
        </w:rPr>
        <w:t xml:space="preserve">days </w:t>
      </w:r>
      <w:r w:rsidRPr="00E51319">
        <w:rPr>
          <w:sz w:val="22"/>
          <w:szCs w:val="22"/>
          <w:lang w:val="en"/>
        </w:rPr>
        <w:t xml:space="preserve">and </w:t>
      </w:r>
      <w:r w:rsidRPr="00E51319">
        <w:rPr>
          <w:i/>
          <w:sz w:val="22"/>
          <w:szCs w:val="22"/>
          <w:lang w:val="en"/>
        </w:rPr>
        <w:t xml:space="preserve">time </w:t>
      </w:r>
      <w:r w:rsidRPr="00E51319">
        <w:rPr>
          <w:sz w:val="22"/>
          <w:szCs w:val="22"/>
          <w:lang w:val="en"/>
        </w:rPr>
        <w:t>numbers are regenerated using the build time (e.g., 0204.0003.</w:t>
      </w:r>
      <w:r w:rsidRPr="00E51319">
        <w:rPr>
          <w:i/>
          <w:sz w:val="22"/>
          <w:szCs w:val="22"/>
          <w:lang w:val="en"/>
        </w:rPr>
        <w:t>days</w:t>
      </w:r>
      <w:r w:rsidRPr="00E51319">
        <w:rPr>
          <w:sz w:val="22"/>
          <w:szCs w:val="22"/>
          <w:lang w:val="en"/>
        </w:rPr>
        <w:t>.</w:t>
      </w:r>
      <w:r w:rsidRPr="00E51319">
        <w:rPr>
          <w:i/>
          <w:sz w:val="22"/>
          <w:szCs w:val="22"/>
          <w:lang w:val="en"/>
        </w:rPr>
        <w:t>time</w:t>
      </w:r>
      <w:r w:rsidRPr="00E51319">
        <w:rPr>
          <w:sz w:val="22"/>
          <w:szCs w:val="22"/>
          <w:lang w:val="en"/>
        </w:rPr>
        <w:t xml:space="preserve"> </w:t>
      </w:r>
      <w:r w:rsidRPr="00E51319">
        <w:rPr>
          <w:sz w:val="22"/>
          <w:szCs w:val="22"/>
          <w:lang w:val="en"/>
        </w:rPr>
        <w:sym w:font="Wingdings" w:char="F0E0"/>
      </w:r>
      <w:r w:rsidRPr="00E51319">
        <w:rPr>
          <w:sz w:val="22"/>
          <w:szCs w:val="22"/>
          <w:lang w:val="en"/>
        </w:rPr>
        <w:t>0204.0101.</w:t>
      </w:r>
      <w:r w:rsidRPr="00E51319">
        <w:rPr>
          <w:i/>
          <w:sz w:val="22"/>
          <w:szCs w:val="22"/>
          <w:lang w:val="en"/>
        </w:rPr>
        <w:t>days</w:t>
      </w:r>
      <w:r w:rsidRPr="00E51319">
        <w:rPr>
          <w:sz w:val="22"/>
          <w:szCs w:val="22"/>
          <w:lang w:val="en"/>
        </w:rPr>
        <w:t>.</w:t>
      </w:r>
      <w:r w:rsidRPr="00E51319">
        <w:rPr>
          <w:i/>
          <w:sz w:val="22"/>
          <w:szCs w:val="22"/>
          <w:lang w:val="en"/>
        </w:rPr>
        <w:t>time</w:t>
      </w:r>
      <w:r w:rsidRPr="00E51319">
        <w:rPr>
          <w:sz w:val="22"/>
          <w:szCs w:val="22"/>
          <w:lang w:val="en"/>
        </w:rPr>
        <w:t>).</w:t>
      </w:r>
    </w:p>
    <w:p w:rsidR="00E51319" w:rsidRPr="00E51319" w:rsidRDefault="00E51319" w:rsidP="00DB7466">
      <w:pPr>
        <w:numPr>
          <w:ilvl w:val="0"/>
          <w:numId w:val="60"/>
        </w:numPr>
        <w:rPr>
          <w:sz w:val="22"/>
          <w:szCs w:val="22"/>
          <w:lang w:val="en"/>
        </w:rPr>
      </w:pPr>
      <w:r w:rsidRPr="00E51319">
        <w:rPr>
          <w:sz w:val="22"/>
          <w:szCs w:val="22"/>
          <w:lang w:val="en"/>
        </w:rPr>
        <w:t xml:space="preserve">When new content/scope is being added, the content number is incremented by one (e.g., 0204.0003.days.time </w:t>
      </w:r>
      <w:r w:rsidRPr="00E51319">
        <w:rPr>
          <w:sz w:val="22"/>
          <w:szCs w:val="22"/>
          <w:lang w:val="en"/>
        </w:rPr>
        <w:sym w:font="Wingdings" w:char="F0E0"/>
      </w:r>
      <w:r w:rsidRPr="00E51319">
        <w:rPr>
          <w:sz w:val="22"/>
          <w:szCs w:val="22"/>
          <w:lang w:val="en"/>
        </w:rPr>
        <w:t>0204.0004.days.time).</w:t>
      </w:r>
    </w:p>
    <w:p w:rsidR="00E51319" w:rsidRPr="00E51319" w:rsidRDefault="00E51319" w:rsidP="00E51319">
      <w:pPr>
        <w:rPr>
          <w:sz w:val="22"/>
          <w:szCs w:val="22"/>
          <w:lang w:val="en"/>
        </w:rPr>
      </w:pPr>
    </w:p>
    <w:p w:rsidR="00E51319" w:rsidRPr="00E51319" w:rsidRDefault="00E51319" w:rsidP="00E51319">
      <w:pPr>
        <w:rPr>
          <w:sz w:val="22"/>
          <w:szCs w:val="22"/>
        </w:rPr>
      </w:pPr>
      <w:r w:rsidRPr="00E51319">
        <w:rPr>
          <w:sz w:val="22"/>
          <w:szCs w:val="22"/>
        </w:rPr>
        <w:lastRenderedPageBreak/>
        <w:t>This patch release number methodology is specifically used for software identification while VBECS document titles use various elements of the software version number.</w:t>
      </w:r>
    </w:p>
    <w:p w:rsidR="00E51319" w:rsidRPr="00E51319" w:rsidRDefault="00E51319" w:rsidP="00E51319">
      <w:pPr>
        <w:pStyle w:val="ListBullet"/>
        <w:numPr>
          <w:ilvl w:val="0"/>
          <w:numId w:val="0"/>
        </w:numPr>
        <w:ind w:left="360"/>
      </w:pPr>
    </w:p>
    <w:p w:rsidR="00E51319" w:rsidRPr="00E51319" w:rsidRDefault="00E51319" w:rsidP="00E51319">
      <w:pPr>
        <w:pStyle w:val="ListBullet"/>
        <w:numPr>
          <w:ilvl w:val="0"/>
          <w:numId w:val="0"/>
        </w:numPr>
      </w:pPr>
      <w:r w:rsidRPr="00E51319">
        <w:t xml:space="preserve">The revision letter tracks database-only updates (e.g., blood product table and canned comment updates). The revision letter is normally a single alpha character (e.g., C), but can be two characters (e.g., AA, AB, AC) in the unlikely event that more than 25 database updates are made before a code change is implemented. The revision letter starts at A with each new code change and is incremented to B when the first database-only update is made. The revision letter is then updated by one alpha character for every successive database-only update until a new code change is implemented at which time the revision letter reverts back to A. The version submitted for system testing will be revision A, but the version customers receive can be revision A, B or higher. </w:t>
      </w:r>
    </w:p>
    <w:p w:rsidR="00E51319" w:rsidRPr="00E51319" w:rsidRDefault="00E51319" w:rsidP="00E51319">
      <w:pPr>
        <w:pStyle w:val="ListBullet"/>
        <w:numPr>
          <w:ilvl w:val="0"/>
          <w:numId w:val="0"/>
        </w:numPr>
      </w:pPr>
    </w:p>
    <w:p w:rsidR="00E51319" w:rsidRPr="00E51319" w:rsidRDefault="00E51319" w:rsidP="00E51319">
      <w:pPr>
        <w:pStyle w:val="ListBullet"/>
        <w:numPr>
          <w:ilvl w:val="0"/>
          <w:numId w:val="0"/>
        </w:numPr>
      </w:pPr>
      <w:r w:rsidRPr="00E51319">
        <w:t xml:space="preserve">The VBECS </w:t>
      </w:r>
      <w:r w:rsidRPr="00E51319">
        <w:rPr>
          <w:b/>
        </w:rPr>
        <w:t>Help</w:t>
      </w:r>
      <w:r w:rsidRPr="00E51319">
        <w:t>,</w:t>
      </w:r>
      <w:r w:rsidRPr="00E51319">
        <w:rPr>
          <w:b/>
        </w:rPr>
        <w:t xml:space="preserve"> About VBECS</w:t>
      </w:r>
      <w:r w:rsidRPr="00E51319">
        <w:t xml:space="preserve"> window (</w:t>
      </w:r>
      <w:r w:rsidRPr="00E51319">
        <w:fldChar w:fldCharType="begin"/>
      </w:r>
      <w:r w:rsidRPr="00E51319">
        <w:instrText xml:space="preserve"> REF _Ref447112729 \h </w:instrText>
      </w:r>
      <w:r>
        <w:instrText xml:space="preserve"> \* MERGEFORMAT </w:instrText>
      </w:r>
      <w:r w:rsidRPr="00E51319">
        <w:fldChar w:fldCharType="separate"/>
      </w:r>
      <w:r w:rsidR="005F38BC" w:rsidRPr="00E51319">
        <w:t xml:space="preserve">Figure </w:t>
      </w:r>
      <w:r w:rsidR="005F38BC">
        <w:rPr>
          <w:noProof/>
        </w:rPr>
        <w:t>30</w:t>
      </w:r>
      <w:r w:rsidRPr="00E51319">
        <w:fldChar w:fldCharType="end"/>
      </w:r>
      <w:r w:rsidRPr="00E51319">
        <w:t xml:space="preserve"> and </w:t>
      </w:r>
      <w:r w:rsidRPr="00E51319">
        <w:fldChar w:fldCharType="begin"/>
      </w:r>
      <w:r w:rsidRPr="00E51319">
        <w:instrText xml:space="preserve"> REF _Ref300821912 \h </w:instrText>
      </w:r>
      <w:r>
        <w:instrText xml:space="preserve"> \* MERGEFORMAT </w:instrText>
      </w:r>
      <w:r w:rsidRPr="00E51319">
        <w:fldChar w:fldCharType="separate"/>
      </w:r>
      <w:r w:rsidR="005F38BC">
        <w:t xml:space="preserve">Figure </w:t>
      </w:r>
      <w:r w:rsidR="005F38BC">
        <w:rPr>
          <w:noProof/>
        </w:rPr>
        <w:t>31</w:t>
      </w:r>
      <w:r w:rsidRPr="00E51319">
        <w:fldChar w:fldCharType="end"/>
      </w:r>
      <w:r w:rsidRPr="00E51319">
        <w:t>) display the release number (e.g., 2.2.0), the formal build number (e.g., 0202.0002.5932.58767) and the revision letter (e.g., A).</w:t>
      </w:r>
    </w:p>
    <w:p w:rsidR="00877F00" w:rsidRPr="00E51319" w:rsidRDefault="00877F00" w:rsidP="00877F00">
      <w:pPr>
        <w:pStyle w:val="Caption"/>
      </w:pPr>
      <w:bookmarkStart w:id="113" w:name="_Ref447112729"/>
      <w:r w:rsidRPr="00E51319">
        <w:t xml:space="preserve">Figure </w:t>
      </w:r>
      <w:r w:rsidRPr="00E51319">
        <w:fldChar w:fldCharType="begin"/>
      </w:r>
      <w:r w:rsidRPr="00E51319">
        <w:instrText xml:space="preserve"> SEQ Figure \* ARABIC </w:instrText>
      </w:r>
      <w:r w:rsidRPr="00E51319">
        <w:fldChar w:fldCharType="separate"/>
      </w:r>
      <w:r w:rsidR="005F38BC">
        <w:rPr>
          <w:noProof/>
        </w:rPr>
        <w:t>30</w:t>
      </w:r>
      <w:r w:rsidRPr="00E51319">
        <w:fldChar w:fldCharType="end"/>
      </w:r>
      <w:bookmarkEnd w:id="112"/>
      <w:bookmarkEnd w:id="113"/>
      <w:r w:rsidRPr="00E51319">
        <w:t>: About VBECS</w:t>
      </w:r>
      <w:bookmarkEnd w:id="111"/>
    </w:p>
    <w:p w:rsidR="00877F00" w:rsidRDefault="00634BFC" w:rsidP="00C00C0D">
      <w:pPr>
        <w:pStyle w:val="BodyText"/>
      </w:pPr>
      <w:r>
        <w:rPr>
          <w:noProof/>
        </w:rPr>
        <w:drawing>
          <wp:inline distT="0" distB="0" distL="0" distR="0">
            <wp:extent cx="6372225" cy="933450"/>
            <wp:effectExtent l="0" t="0" r="9525" b="0"/>
            <wp:docPr id="49" name="Picture 49" descr="Fig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gure 3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72225" cy="933450"/>
                    </a:xfrm>
                    <a:prstGeom prst="rect">
                      <a:avLst/>
                    </a:prstGeom>
                    <a:noFill/>
                    <a:ln>
                      <a:noFill/>
                    </a:ln>
                  </pic:spPr>
                </pic:pic>
              </a:graphicData>
            </a:graphic>
          </wp:inline>
        </w:drawing>
      </w:r>
    </w:p>
    <w:p w:rsidR="00877F00" w:rsidRDefault="00877F00" w:rsidP="00877F00">
      <w:pPr>
        <w:pStyle w:val="Caption"/>
      </w:pPr>
      <w:bookmarkStart w:id="114" w:name="_Ref300821912"/>
      <w:bookmarkStart w:id="115" w:name="_Ref301523957"/>
      <w:r>
        <w:lastRenderedPageBreak/>
        <w:t xml:space="preserve">Figure </w:t>
      </w:r>
      <w:r>
        <w:fldChar w:fldCharType="begin"/>
      </w:r>
      <w:r>
        <w:instrText xml:space="preserve"> SEQ Figure \* ARABIC </w:instrText>
      </w:r>
      <w:r>
        <w:fldChar w:fldCharType="separate"/>
      </w:r>
      <w:r w:rsidR="005F38BC">
        <w:rPr>
          <w:noProof/>
        </w:rPr>
        <w:t>31</w:t>
      </w:r>
      <w:r>
        <w:fldChar w:fldCharType="end"/>
      </w:r>
      <w:bookmarkEnd w:id="114"/>
      <w:bookmarkEnd w:id="115"/>
      <w:r>
        <w:t>:</w:t>
      </w:r>
      <w:r w:rsidR="001D2967">
        <w:t xml:space="preserve"> Example of</w:t>
      </w:r>
      <w:r>
        <w:t xml:space="preserve"> VBECS Version </w:t>
      </w:r>
      <w:r w:rsidR="001D2967">
        <w:t xml:space="preserve">and Build </w:t>
      </w:r>
      <w:r>
        <w:t>Number</w:t>
      </w:r>
      <w:r w:rsidR="001D2967">
        <w:t>s</w:t>
      </w:r>
      <w:r w:rsidR="00EE771C">
        <w:t xml:space="preserve"> </w:t>
      </w:r>
      <w:r w:rsidR="00EE771C" w:rsidRPr="00EE771C">
        <w:rPr>
          <w:vanish/>
        </w:rPr>
        <w:t>DR 4991</w:t>
      </w:r>
    </w:p>
    <w:p w:rsidR="00877F00" w:rsidRDefault="00634BFC" w:rsidP="00C00C0D">
      <w:pPr>
        <w:pStyle w:val="BodyText"/>
      </w:pPr>
      <w:r>
        <w:rPr>
          <w:noProof/>
        </w:rPr>
        <w:drawing>
          <wp:inline distT="0" distB="0" distL="0" distR="0">
            <wp:extent cx="4810125" cy="46101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10125" cy="4610100"/>
                    </a:xfrm>
                    <a:prstGeom prst="rect">
                      <a:avLst/>
                    </a:prstGeom>
                    <a:noFill/>
                    <a:ln>
                      <a:noFill/>
                    </a:ln>
                  </pic:spPr>
                </pic:pic>
              </a:graphicData>
            </a:graphic>
          </wp:inline>
        </w:drawing>
      </w:r>
    </w:p>
    <w:p w:rsidR="00EE771C" w:rsidRDefault="00EE771C" w:rsidP="00877F00"/>
    <w:p w:rsidR="00BB6AB5" w:rsidRDefault="00F05A35" w:rsidP="007E27AF">
      <w:pPr>
        <w:pStyle w:val="Heading2"/>
      </w:pPr>
      <w:r>
        <w:br w:type="page"/>
      </w:r>
      <w:bookmarkStart w:id="116" w:name="_Toc459900058"/>
      <w:r w:rsidR="00BB6AB5">
        <w:lastRenderedPageBreak/>
        <w:t xml:space="preserve">VistA </w:t>
      </w:r>
      <w:r w:rsidR="001A5555">
        <w:t>Records</w:t>
      </w:r>
      <w:r w:rsidR="00BB6AB5">
        <w:t xml:space="preserve"> in VBECS</w:t>
      </w:r>
      <w:bookmarkEnd w:id="116"/>
      <w:r w:rsidR="007E27AF">
        <w:fldChar w:fldCharType="begin"/>
      </w:r>
      <w:r w:rsidR="007E27AF">
        <w:instrText xml:space="preserve"> XE "</w:instrText>
      </w:r>
      <w:r w:rsidR="007E27AF" w:rsidRPr="00C85A38">
        <w:instrText>VistA Records in VBECS</w:instrText>
      </w:r>
      <w:r w:rsidR="007E27AF">
        <w:instrText xml:space="preserve">" </w:instrText>
      </w:r>
      <w:r w:rsidR="007E27AF">
        <w:fldChar w:fldCharType="end"/>
      </w:r>
    </w:p>
    <w:p w:rsidR="00C97C16" w:rsidRDefault="000F37DC" w:rsidP="00C97C16">
      <w:pPr>
        <w:pStyle w:val="BodyText"/>
      </w:pPr>
      <w:r>
        <w:t>Historic</w:t>
      </w:r>
      <w:r w:rsidR="00550B93">
        <w:t xml:space="preserve"> </w:t>
      </w:r>
      <w:r w:rsidR="00BB6AB5">
        <w:t xml:space="preserve">VistA blood bank </w:t>
      </w:r>
      <w:r w:rsidR="001A5555">
        <w:t>records were</w:t>
      </w:r>
      <w:r w:rsidR="00BB6AB5">
        <w:t xml:space="preserve"> transferred to VBECS</w:t>
      </w:r>
      <w:r w:rsidR="000C18F8">
        <w:t xml:space="preserve"> </w:t>
      </w:r>
      <w:r w:rsidR="004C470C">
        <w:t xml:space="preserve">and validated </w:t>
      </w:r>
      <w:r w:rsidR="000C18F8">
        <w:t>during the database conversion</w:t>
      </w:r>
      <w:r w:rsidR="00550B93">
        <w:t xml:space="preserve">. </w:t>
      </w:r>
      <w:r w:rsidR="007E27AF">
        <w:t>VBECS handles these records in accordance with system rules:</w:t>
      </w:r>
      <w:r w:rsidR="004C470C" w:rsidRPr="004C470C">
        <w:t xml:space="preserve"> </w:t>
      </w:r>
    </w:p>
    <w:p w:rsidR="00C97C16" w:rsidRPr="00D93651" w:rsidRDefault="00634BFC" w:rsidP="00C97C16">
      <w:pPr>
        <w:pStyle w:val="Caution"/>
      </w:pPr>
      <w:r>
        <w:rPr>
          <w:noProof/>
        </w:rPr>
        <w:drawing>
          <wp:inline distT="0" distB="0" distL="0" distR="0">
            <wp:extent cx="266700" cy="2190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2A11A1">
        <w:t xml:space="preserve">VBECS </w:t>
      </w:r>
      <w:r w:rsidR="0009655B">
        <w:t>d</w:t>
      </w:r>
      <w:r w:rsidR="002A11A1">
        <w:t>oes not store or display patient name prefixes or suffixes from VistA</w:t>
      </w:r>
      <w:r w:rsidR="00C71E72">
        <w:t xml:space="preserve">. </w:t>
      </w:r>
      <w:r w:rsidR="00C71E72">
        <w:rPr>
          <w:vanish/>
        </w:rPr>
        <w:t>DR 3424</w:t>
      </w:r>
      <w:r w:rsidR="00C71E72">
        <w:t xml:space="preserve"> </w:t>
      </w:r>
    </w:p>
    <w:p w:rsidR="004C470C" w:rsidRDefault="004C470C" w:rsidP="004C470C">
      <w:pPr>
        <w:pStyle w:val="BodyText"/>
      </w:pPr>
    </w:p>
    <w:p w:rsidR="002A11A1" w:rsidRDefault="00634BFC" w:rsidP="004C470C">
      <w:pPr>
        <w:pStyle w:val="Caution"/>
      </w:pPr>
      <w:r>
        <w:rPr>
          <w:noProof/>
        </w:rPr>
        <w:drawing>
          <wp:inline distT="0" distB="0" distL="0" distR="0">
            <wp:extent cx="266700" cy="2190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C97C16">
        <w:t xml:space="preserve">Patient names in VistA that exceed the database standard for File </w:t>
      </w:r>
      <w:r w:rsidR="00531232">
        <w:t>#2 (</w:t>
      </w:r>
      <w:r w:rsidR="00C97C16">
        <w:t>30 characters</w:t>
      </w:r>
      <w:r w:rsidR="004E57F7">
        <w:t xml:space="preserve">) </w:t>
      </w:r>
      <w:r w:rsidR="004B00E6">
        <w:t>or do not have a first or last name</w:t>
      </w:r>
      <w:r w:rsidR="00531232">
        <w:t xml:space="preserve"> </w:t>
      </w:r>
      <w:r w:rsidR="005A7EE0">
        <w:t>do not convert to V</w:t>
      </w:r>
      <w:r w:rsidR="00551EF1">
        <w:t>BECS</w:t>
      </w:r>
      <w:r w:rsidR="002A11A1">
        <w:t>.</w:t>
      </w:r>
    </w:p>
    <w:p w:rsidR="00BB6AB5" w:rsidRDefault="001A5555" w:rsidP="004305BC">
      <w:pPr>
        <w:pStyle w:val="ListBullet"/>
      </w:pPr>
      <w:r>
        <w:t xml:space="preserve">VBECS may display patient information differently from VistA. For example, </w:t>
      </w:r>
      <w:r w:rsidR="00550B93">
        <w:t xml:space="preserve">VBECS displays patient </w:t>
      </w:r>
      <w:r w:rsidR="00810930">
        <w:t>name</w:t>
      </w:r>
      <w:r w:rsidR="0080180A">
        <w:t>s</w:t>
      </w:r>
      <w:r w:rsidR="00550B93">
        <w:t xml:space="preserve"> as “</w:t>
      </w:r>
      <w:r w:rsidR="00BE05CD">
        <w:t xml:space="preserve">LAST NAME, FIRST NAME, MIDDLE NAME </w:t>
      </w:r>
      <w:r w:rsidR="00E12A85">
        <w:t xml:space="preserve">or </w:t>
      </w:r>
      <w:r w:rsidR="00BE05CD">
        <w:t>INITIAL</w:t>
      </w:r>
      <w:r w:rsidR="00550B93">
        <w:t>.”</w:t>
      </w:r>
    </w:p>
    <w:p w:rsidR="00837204" w:rsidRDefault="009333B1" w:rsidP="004305BC">
      <w:pPr>
        <w:pStyle w:val="ListBullet"/>
      </w:pPr>
      <w:r>
        <w:t xml:space="preserve">VBECS will truncate </w:t>
      </w:r>
      <w:r w:rsidR="00837204">
        <w:t>Special Instructions (SIs) text from the VistA database conversion</w:t>
      </w:r>
      <w:r>
        <w:t>.</w:t>
      </w:r>
    </w:p>
    <w:p w:rsidR="00CF225C" w:rsidRDefault="00524EDF" w:rsidP="004305BC">
      <w:pPr>
        <w:pStyle w:val="ListBullet"/>
      </w:pPr>
      <w:r w:rsidRPr="00524EDF">
        <w:rPr>
          <w:vanish/>
        </w:rPr>
        <w:t xml:space="preserve">BR_3.05 </w:t>
      </w:r>
      <w:r w:rsidR="00CF225C">
        <w:t xml:space="preserve">VBECS displays historic ABO/Rh types from the database conversion, </w:t>
      </w:r>
      <w:r w:rsidR="00C14A0B">
        <w:t>but</w:t>
      </w:r>
      <w:r w:rsidR="00CF225C">
        <w:t xml:space="preserve"> doesn’t use </w:t>
      </w:r>
      <w:r w:rsidR="005F34AE">
        <w:t>them</w:t>
      </w:r>
      <w:r w:rsidR="00CF225C">
        <w:t xml:space="preserve"> for issuing blood or for comparing test results. </w:t>
      </w:r>
    </w:p>
    <w:p w:rsidR="00524EDF" w:rsidRDefault="00524EDF" w:rsidP="00524EDF">
      <w:pPr>
        <w:pStyle w:val="ListBullet"/>
      </w:pPr>
      <w:r>
        <w:rPr>
          <w:vanish/>
        </w:rPr>
        <w:t xml:space="preserve">BR_37.05 </w:t>
      </w:r>
      <w:r w:rsidR="00150930" w:rsidRPr="00150930">
        <w:t>SIs from d</w:t>
      </w:r>
      <w:r>
        <w:t>ata</w:t>
      </w:r>
      <w:r w:rsidR="00150930">
        <w:t>base</w:t>
      </w:r>
      <w:r>
        <w:t xml:space="preserve"> conversion entries are labeled as such.</w:t>
      </w:r>
    </w:p>
    <w:p w:rsidR="00150930" w:rsidRDefault="00150930" w:rsidP="00150930">
      <w:pPr>
        <w:pStyle w:val="ListBullet"/>
      </w:pPr>
      <w:r w:rsidRPr="00CA6E27">
        <w:rPr>
          <w:bCs/>
        </w:rPr>
        <w:t>VistA</w:t>
      </w:r>
      <w:r>
        <w:t xml:space="preserve"> SIs from the database conversion </w:t>
      </w:r>
      <w:r w:rsidR="00216287">
        <w:t>may include component or antigen negative requirements. The</w:t>
      </w:r>
      <w:r w:rsidR="00D40EB2">
        <w:t xml:space="preserve"> VistA SIs</w:t>
      </w:r>
      <w:r>
        <w:t xml:space="preserve"> remain SIs and are not enforced unless </w:t>
      </w:r>
      <w:r w:rsidR="00646F65">
        <w:t xml:space="preserve">they are </w:t>
      </w:r>
      <w:r>
        <w:t xml:space="preserve">entered in </w:t>
      </w:r>
      <w:r w:rsidR="00646F65">
        <w:t xml:space="preserve">the </w:t>
      </w:r>
      <w:r>
        <w:t>T</w:t>
      </w:r>
      <w:r w:rsidR="00646F65">
        <w:t xml:space="preserve">ransfusion </w:t>
      </w:r>
      <w:r>
        <w:t>R</w:t>
      </w:r>
      <w:r w:rsidR="00646F65">
        <w:t>equirement</w:t>
      </w:r>
      <w:r>
        <w:t>s</w:t>
      </w:r>
      <w:r w:rsidR="00646F65">
        <w:t xml:space="preserve"> tab in Special Instructions &amp; Transfusion Requirements</w:t>
      </w:r>
      <w:r>
        <w:t>.</w:t>
      </w:r>
    </w:p>
    <w:p w:rsidR="001F561F" w:rsidRDefault="001F561F" w:rsidP="001F561F">
      <w:pPr>
        <w:pStyle w:val="ListBullet"/>
      </w:pPr>
      <w:r>
        <w:t xml:space="preserve">Patient antibody identifications from </w:t>
      </w:r>
      <w:r w:rsidRPr="00CA6E27">
        <w:rPr>
          <w:bCs/>
        </w:rPr>
        <w:t>VistA</w:t>
      </w:r>
      <w:r>
        <w:t xml:space="preserve"> are included in the database conversion. </w:t>
      </w:r>
    </w:p>
    <w:p w:rsidR="005F34AE" w:rsidRDefault="005F34AE" w:rsidP="001F561F">
      <w:pPr>
        <w:pStyle w:val="ListBullet"/>
      </w:pPr>
      <w:r>
        <w:t>Antigen negative requirements properly set in VistA will be transferred to antigen negative requirements in VBECS.</w:t>
      </w:r>
    </w:p>
    <w:p w:rsidR="00181ECD" w:rsidRPr="00181ECD" w:rsidRDefault="00181ECD" w:rsidP="001F561F">
      <w:pPr>
        <w:pStyle w:val="ListBullet"/>
        <w:rPr>
          <w:vanish/>
        </w:rPr>
      </w:pPr>
      <w:r w:rsidRPr="00181ECD">
        <w:rPr>
          <w:vanish/>
        </w:rPr>
        <w:t xml:space="preserve">BR_65.03 </w:t>
      </w:r>
      <w:r w:rsidRPr="00181ECD">
        <w:t>VBECS informs the user when the displayed historical ABO/Rh, transfusion reaction history, and/or antigen typing result from the database conversion</w:t>
      </w:r>
      <w:r>
        <w:t>.</w:t>
      </w:r>
      <w:r w:rsidR="00541DC0">
        <w:t xml:space="preserve"> </w:t>
      </w:r>
    </w:p>
    <w:p w:rsidR="00C57E2F" w:rsidRDefault="001912FC" w:rsidP="001F561F">
      <w:pPr>
        <w:pStyle w:val="ListBullet"/>
      </w:pPr>
      <w:r>
        <w:t>T</w:t>
      </w:r>
      <w:r w:rsidR="00181ECD">
        <w:t>ransfusion reaction types</w:t>
      </w:r>
      <w:r>
        <w:t xml:space="preserve"> without their associated units</w:t>
      </w:r>
      <w:r w:rsidR="00181ECD">
        <w:t xml:space="preserve"> are transferred to VBECS.</w:t>
      </w:r>
    </w:p>
    <w:bookmarkEnd w:id="108"/>
    <w:bookmarkEnd w:id="109"/>
    <w:p w:rsidR="002A21AE" w:rsidRDefault="008F1BF3">
      <w:pPr>
        <w:pStyle w:val="Heading2"/>
      </w:pPr>
      <w:r>
        <w:br w:type="page"/>
      </w:r>
      <w:bookmarkStart w:id="117" w:name="_Toc459900059"/>
      <w:r w:rsidR="002A21AE">
        <w:lastRenderedPageBreak/>
        <w:t>Accessing the System</w:t>
      </w:r>
      <w:bookmarkEnd w:id="117"/>
      <w:r w:rsidR="002A21AE">
        <w:fldChar w:fldCharType="begin"/>
      </w:r>
      <w:r w:rsidR="002A21AE">
        <w:instrText xml:space="preserve"> XE </w:instrText>
      </w:r>
      <w:r w:rsidR="00FA7E65">
        <w:instrText>“</w:instrText>
      </w:r>
      <w:r w:rsidR="002A21AE">
        <w:instrText>Accessing the System</w:instrText>
      </w:r>
      <w:r w:rsidR="00FA7E65">
        <w:instrText>”</w:instrText>
      </w:r>
      <w:r w:rsidR="002A21AE">
        <w:instrText xml:space="preserve"> </w:instrText>
      </w:r>
      <w:r w:rsidR="002A21AE">
        <w:fldChar w:fldCharType="end"/>
      </w:r>
    </w:p>
    <w:p w:rsidR="002A21AE" w:rsidRDefault="002A21AE">
      <w:pPr>
        <w:pStyle w:val="Heading3"/>
      </w:pPr>
      <w:bookmarkStart w:id="118" w:name="_Toc86743614"/>
      <w:bookmarkStart w:id="119" w:name="OLE_LINK19"/>
      <w:bookmarkStart w:id="120" w:name="_Toc459900060"/>
      <w:r>
        <w:t>Log Into VBECS</w:t>
      </w:r>
      <w:bookmarkEnd w:id="118"/>
      <w:r>
        <w:t xml:space="preserve"> and</w:t>
      </w:r>
      <w:r w:rsidR="00CA0045">
        <w:t xml:space="preserve"> VistA</w:t>
      </w:r>
      <w:bookmarkEnd w:id="119"/>
      <w:bookmarkEnd w:id="120"/>
      <w:r>
        <w:rPr>
          <w:b w:val="0"/>
          <w:vanish/>
        </w:rPr>
        <w:fldChar w:fldCharType="begin"/>
      </w:r>
      <w:r>
        <w:rPr>
          <w:vanish/>
        </w:rPr>
        <w:instrText xml:space="preserve"> XE </w:instrText>
      </w:r>
      <w:r w:rsidR="00FA7E65">
        <w:rPr>
          <w:vanish/>
        </w:rPr>
        <w:instrText>“</w:instrText>
      </w:r>
      <w:r>
        <w:rPr>
          <w:vanish/>
        </w:rPr>
        <w:instrText>Log Into VBECS and</w:instrText>
      </w:r>
      <w:r w:rsidR="00CA0045">
        <w:rPr>
          <w:vanish/>
        </w:rPr>
        <w:instrText xml:space="preserve"> VistA</w:instrText>
      </w:r>
      <w:r w:rsidR="00FA7E65">
        <w:rPr>
          <w:vanish/>
        </w:rPr>
        <w:instrText>”</w:instrText>
      </w:r>
      <w:r>
        <w:rPr>
          <w:vanish/>
        </w:rPr>
        <w:instrText xml:space="preserve"> </w:instrText>
      </w:r>
      <w:r>
        <w:rPr>
          <w:b w:val="0"/>
          <w:vanish/>
        </w:rPr>
        <w:fldChar w:fldCharType="end"/>
      </w:r>
      <w:r>
        <w:rPr>
          <w:b w:val="0"/>
          <w:vanish/>
        </w:rPr>
        <w:t xml:space="preserve"> </w:t>
      </w:r>
      <w:r>
        <w:rPr>
          <w:vanish/>
        </w:rPr>
        <w:t>UC_18, UC_102</w:t>
      </w:r>
    </w:p>
    <w:p w:rsidR="002A21AE" w:rsidRDefault="002A21AE" w:rsidP="00FA7E65">
      <w:pPr>
        <w:pStyle w:val="BodyText"/>
      </w:pPr>
      <w:r>
        <w:t>A user may work in only one division at a time. After login</w:t>
      </w:r>
      <w:r w:rsidR="00670304">
        <w:rPr>
          <w:rStyle w:val="FootnoteReference"/>
        </w:rPr>
        <w:footnoteReference w:id="1"/>
      </w:r>
      <w:r>
        <w:t>, a user with access privileges in several divisions may change divisions. There is no option to change divisions in a single-division installation. A user must have access privileges in at least two divisions to change divisions.</w:t>
      </w:r>
    </w:p>
    <w:p w:rsidR="002A21AE" w:rsidRDefault="002A21AE">
      <w:pPr>
        <w:pStyle w:val="Heading4"/>
      </w:pPr>
      <w:r>
        <w:t>Assumptions</w:t>
      </w:r>
    </w:p>
    <w:p w:rsidR="002A21AE" w:rsidRDefault="00272139">
      <w:pPr>
        <w:pStyle w:val="ListBullet"/>
      </w:pPr>
      <w:r>
        <w:t>The user’s role is configure</w:t>
      </w:r>
      <w:r w:rsidR="00373CB1">
        <w:t>d</w:t>
      </w:r>
      <w:r>
        <w:t xml:space="preserve"> in both</w:t>
      </w:r>
      <w:r w:rsidR="002A21AE">
        <w:t xml:space="preserve"> </w:t>
      </w:r>
      <w:r w:rsidR="00CA0045" w:rsidRPr="00CA0045">
        <w:t>VistA</w:t>
      </w:r>
      <w:r>
        <w:t xml:space="preserve"> and VBECS. </w:t>
      </w:r>
      <w:r w:rsidR="00C00476">
        <w:t>(</w:t>
      </w:r>
      <w:r>
        <w:t>See Update User Roles.</w:t>
      </w:r>
      <w:r w:rsidR="00C00476">
        <w:t>)</w:t>
      </w:r>
    </w:p>
    <w:p w:rsidR="002A21AE" w:rsidRDefault="002A21AE">
      <w:pPr>
        <w:pStyle w:val="ListBullet"/>
      </w:pPr>
      <w:r>
        <w:rPr>
          <w:vanish/>
          <w:spacing w:val="0"/>
        </w:rPr>
        <w:t xml:space="preserve">BR_18.01 </w:t>
      </w:r>
      <w:r>
        <w:t>A user must be associated with at least one division to gain access to VBECS.</w:t>
      </w:r>
    </w:p>
    <w:p w:rsidR="002A21AE" w:rsidRDefault="002A21AE">
      <w:pPr>
        <w:pStyle w:val="ListBullet"/>
      </w:pPr>
      <w:r>
        <w:rPr>
          <w:vanish/>
          <w:spacing w:val="0"/>
        </w:rPr>
        <w:t xml:space="preserve">BR_18.04 </w:t>
      </w:r>
      <w:r>
        <w:t>VBECS allows access only to valid divisions associated with the user.</w:t>
      </w:r>
    </w:p>
    <w:p w:rsidR="002A21AE" w:rsidRDefault="002A21AE">
      <w:pPr>
        <w:pStyle w:val="Heading4"/>
        <w:rPr>
          <w:i/>
        </w:rPr>
      </w:pPr>
      <w:r>
        <w:t>Outcome</w:t>
      </w:r>
      <w:r>
        <w:rPr>
          <w:i/>
        </w:rPr>
        <w:t xml:space="preserve"> </w:t>
      </w:r>
    </w:p>
    <w:p w:rsidR="002A21AE" w:rsidRDefault="002A21AE">
      <w:pPr>
        <w:pStyle w:val="ListBullet"/>
      </w:pPr>
      <w:r>
        <w:t>A user is logged into the selected division.</w:t>
      </w:r>
    </w:p>
    <w:p w:rsidR="002A21AE" w:rsidRDefault="002A21AE">
      <w:pPr>
        <w:pStyle w:val="Heading4"/>
      </w:pPr>
      <w:r>
        <w:t>Limitations and Restrictions</w:t>
      </w:r>
    </w:p>
    <w:p w:rsidR="002A21AE" w:rsidRDefault="00E27D9F">
      <w:pPr>
        <w:pStyle w:val="ListBullet"/>
      </w:pPr>
      <w:r>
        <w:rPr>
          <w:vanish/>
          <w:spacing w:val="0"/>
        </w:rPr>
        <w:t>BR_18.05</w:t>
      </w:r>
      <w:r w:rsidR="002A21AE">
        <w:t>VBECS automatically logs a</w:t>
      </w:r>
      <w:r w:rsidR="002A21AE" w:rsidRPr="00BF7321">
        <w:rPr>
          <w:spacing w:val="0"/>
        </w:rPr>
        <w:t xml:space="preserve"> </w:t>
      </w:r>
      <w:r w:rsidR="002A21AE">
        <w:t xml:space="preserve">user with access to only one division into that division. </w:t>
      </w:r>
    </w:p>
    <w:p w:rsidR="002A21AE" w:rsidRDefault="002A21AE">
      <w:pPr>
        <w:pStyle w:val="Heading4"/>
      </w:pPr>
      <w:r>
        <w:t>Additional Information</w:t>
      </w:r>
    </w:p>
    <w:p w:rsidR="00297ACE" w:rsidRDefault="00297ACE" w:rsidP="00297ACE">
      <w:pPr>
        <w:pStyle w:val="ListBullet"/>
      </w:pPr>
      <w:r>
        <w:t>It is recommend</w:t>
      </w:r>
      <w:r w:rsidR="00272139">
        <w:t>ed</w:t>
      </w:r>
      <w:r>
        <w:t xml:space="preserve"> that local policy limit a user to only one </w:t>
      </w:r>
      <w:r w:rsidRPr="008F72F4">
        <w:t xml:space="preserve">VBECS session </w:t>
      </w:r>
      <w:r>
        <w:t>per terminal.</w:t>
      </w:r>
    </w:p>
    <w:p w:rsidR="00297ACE" w:rsidRPr="007E7C08" w:rsidRDefault="00297ACE" w:rsidP="004B6116">
      <w:pPr>
        <w:pStyle w:val="ListBullet"/>
        <w:rPr>
          <w:szCs w:val="20"/>
        </w:rPr>
      </w:pPr>
      <w:r>
        <w:t>The</w:t>
      </w:r>
      <w:r w:rsidRPr="008F72F4">
        <w:t xml:space="preserve"> user may log into multiple terminals simultaneously.</w:t>
      </w:r>
    </w:p>
    <w:p w:rsidR="007E7C08" w:rsidRPr="00297ACE" w:rsidRDefault="007E7C08" w:rsidP="004B6116">
      <w:pPr>
        <w:pStyle w:val="ListBullet"/>
        <w:rPr>
          <w:szCs w:val="20"/>
        </w:rPr>
      </w:pPr>
      <w:r>
        <w:t>A user with multidivisional access privileges may change divisions during a VBECS session.</w:t>
      </w:r>
    </w:p>
    <w:p w:rsidR="002A21AE" w:rsidRDefault="002A21AE" w:rsidP="004B6116">
      <w:pPr>
        <w:pStyle w:val="ListBullet"/>
        <w:rPr>
          <w:szCs w:val="20"/>
        </w:rPr>
      </w:pPr>
      <w:r>
        <w:rPr>
          <w:vanish/>
          <w:spacing w:val="0"/>
        </w:rPr>
        <w:t xml:space="preserve">BR_102.03 </w:t>
      </w:r>
      <w:r>
        <w:t xml:space="preserve">VBECS provides an interface (VistALink) with </w:t>
      </w:r>
      <w:r w:rsidR="00CA0045" w:rsidRPr="00CA0045">
        <w:t>VistA</w:t>
      </w:r>
      <w:r>
        <w:t xml:space="preserve"> to allow the user to log onto </w:t>
      </w:r>
      <w:r w:rsidR="00CA0045" w:rsidRPr="00CA0045">
        <w:t>VistA</w:t>
      </w:r>
      <w:r w:rsidR="004B6116">
        <w:rPr>
          <w:b/>
        </w:rPr>
        <w:t xml:space="preserve"> </w:t>
      </w:r>
      <w:r w:rsidR="004B6116" w:rsidRPr="004B6116">
        <w:t xml:space="preserve">(not </w:t>
      </w:r>
      <w:r w:rsidR="0023368D">
        <w:t>required</w:t>
      </w:r>
      <w:r w:rsidR="004B6116" w:rsidRPr="004B6116">
        <w:t xml:space="preserve"> for most options; see </w:t>
      </w:r>
      <w:r w:rsidR="004B6116">
        <w:t xml:space="preserve">the </w:t>
      </w:r>
      <w:r w:rsidR="004B6116" w:rsidRPr="004B6116">
        <w:t>list of options that use VistALink in Hardware and Infrastructure Architecture)</w:t>
      </w:r>
      <w:r>
        <w:t xml:space="preserve">. VBECS checks the characters in the Access and Verify Codes and warns when there are fewer than six characters or when a semicolon (;), colon (:), or caret (^) is entered. VBECS sends the entered Access and Verify Codes to </w:t>
      </w:r>
      <w:r w:rsidR="00CA0045" w:rsidRPr="00CA0045">
        <w:t>VistA</w:t>
      </w:r>
      <w:r>
        <w:t xml:space="preserve">. </w:t>
      </w:r>
      <w:r w:rsidR="00CA0045" w:rsidRPr="00CA0045">
        <w:t>VistA</w:t>
      </w:r>
      <w:r>
        <w:t xml:space="preserve"> checks the codes and responds to VBECS with a message stating whether the entered Access and Verify Codes are invalid or valid for the user attempting to log on. VBECS warns when </w:t>
      </w:r>
      <w:r w:rsidR="00CA0045" w:rsidRPr="00CA0045">
        <w:t>VistA</w:t>
      </w:r>
      <w:r>
        <w:t xml:space="preserve"> does not accept the Access and Verify Codes entered.</w:t>
      </w:r>
      <w:r>
        <w:rPr>
          <w:szCs w:val="20"/>
        </w:rPr>
        <w:t> </w:t>
      </w:r>
    </w:p>
    <w:p w:rsidR="002A21AE" w:rsidRDefault="002A21AE">
      <w:pPr>
        <w:pStyle w:val="ListBullet"/>
      </w:pPr>
      <w:r>
        <w:rPr>
          <w:vanish/>
          <w:spacing w:val="0"/>
        </w:rPr>
        <w:t xml:space="preserve">BR_102.05 </w:t>
      </w:r>
      <w:r>
        <w:t xml:space="preserve">After </w:t>
      </w:r>
      <w:r w:rsidR="001A1C71">
        <w:t>a number of</w:t>
      </w:r>
      <w:r w:rsidR="00EB6924">
        <w:t xml:space="preserve"> </w:t>
      </w:r>
      <w:r w:rsidR="001A1C71">
        <w:t xml:space="preserve">unsuccessful attempts </w:t>
      </w:r>
      <w:r>
        <w:t xml:space="preserve">to log onto </w:t>
      </w:r>
      <w:r w:rsidR="00CA0045" w:rsidRPr="00CA0045">
        <w:t>VistA</w:t>
      </w:r>
      <w:r w:rsidR="001A1C71" w:rsidRPr="001A1C71">
        <w:t xml:space="preserve"> </w:t>
      </w:r>
      <w:r w:rsidR="001A1C71">
        <w:t>(defined in VistA server settings)</w:t>
      </w:r>
      <w:r>
        <w:t xml:space="preserve">, the </w:t>
      </w:r>
      <w:r w:rsidR="00CA0045" w:rsidRPr="00CA0045">
        <w:t>VistA</w:t>
      </w:r>
      <w:r>
        <w:t xml:space="preserve"> server terminates the logon session and displays a message prompting the user to log onto </w:t>
      </w:r>
      <w:r w:rsidR="00CA0045" w:rsidRPr="00CA0045">
        <w:t>VistA</w:t>
      </w:r>
      <w:r>
        <w:t xml:space="preserve"> again. </w:t>
      </w:r>
    </w:p>
    <w:p w:rsidR="00847A1C" w:rsidRDefault="002A21AE" w:rsidP="00847A1C">
      <w:pPr>
        <w:pStyle w:val="ListBullet"/>
      </w:pPr>
      <w:r>
        <w:rPr>
          <w:vanish/>
          <w:spacing w:val="0"/>
        </w:rPr>
        <w:t xml:space="preserve">BR_102.01 </w:t>
      </w:r>
      <w:r>
        <w:t xml:space="preserve">The user initially logs onto </w:t>
      </w:r>
      <w:r w:rsidR="00CA0045" w:rsidRPr="00CA0045">
        <w:t>VistA</w:t>
      </w:r>
      <w:r>
        <w:t xml:space="preserve"> by entering </w:t>
      </w:r>
      <w:r w:rsidR="00CA0045" w:rsidRPr="00CA0045">
        <w:t>VistA</w:t>
      </w:r>
      <w:r>
        <w:t xml:space="preserve"> Access and Verify Codes. The system reuses the security credentials (</w:t>
      </w:r>
      <w:r w:rsidR="00CA0045" w:rsidRPr="00CA0045">
        <w:t>VistA</w:t>
      </w:r>
      <w:r>
        <w:t xml:space="preserve"> Access and Verify Codes) initially entered in the user’s session to perform </w:t>
      </w:r>
      <w:r w:rsidR="00CA0045" w:rsidRPr="00CA0045">
        <w:t>VistA</w:t>
      </w:r>
      <w:r>
        <w:t xml:space="preserve"> logoff and logon without user interaction.</w:t>
      </w:r>
    </w:p>
    <w:p w:rsidR="00BD44DA" w:rsidRDefault="00BD44DA">
      <w:pPr>
        <w:pStyle w:val="ListBullet"/>
      </w:pPr>
      <w:r>
        <w:t>After 15 minutes of inactivity, VBECS disconnects the user from the server. When the user logs back in, he will see the last screen he worked on.</w:t>
      </w:r>
      <w:r w:rsidR="00C5000E">
        <w:t xml:space="preserve"> </w:t>
      </w:r>
      <w:r>
        <w:t>After 30 minutes</w:t>
      </w:r>
      <w:r w:rsidR="00A47D9A">
        <w:t xml:space="preserve"> of inactivity,</w:t>
      </w:r>
      <w:r>
        <w:t xml:space="preserve"> </w:t>
      </w:r>
      <w:r w:rsidR="00A47D9A">
        <w:t>w</w:t>
      </w:r>
      <w:r>
        <w:t>ork done after the last save will be lost. The user must log in and start over.</w:t>
      </w:r>
    </w:p>
    <w:p w:rsidR="002A21AE" w:rsidRDefault="002A21AE">
      <w:pPr>
        <w:pStyle w:val="Heading4"/>
        <w:rPr>
          <w:b w:val="0"/>
        </w:rPr>
      </w:pPr>
      <w:r>
        <w:t>User Roles with Access to This Option</w:t>
      </w:r>
      <w:r>
        <w:rPr>
          <w:b w:val="0"/>
        </w:rPr>
        <w:t xml:space="preserve"> </w:t>
      </w:r>
    </w:p>
    <w:p w:rsidR="002A21AE" w:rsidRDefault="00237C52">
      <w:pPr>
        <w:pStyle w:val="Roles"/>
      </w:pPr>
      <w:r>
        <w:t>All users</w:t>
      </w:r>
    </w:p>
    <w:p w:rsidR="002A21AE" w:rsidRDefault="002A21AE">
      <w:pPr>
        <w:pStyle w:val="Heading4"/>
      </w:pPr>
      <w:r>
        <w:lastRenderedPageBreak/>
        <w:t>Log Into VBECS</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6138"/>
      </w:tblGrid>
      <w:tr w:rsidR="002A21AE">
        <w:tblPrEx>
          <w:tblCellMar>
            <w:top w:w="0" w:type="dxa"/>
            <w:bottom w:w="0" w:type="dxa"/>
          </w:tblCellMar>
        </w:tblPrEx>
        <w:trPr>
          <w:tblHeader/>
        </w:trPr>
        <w:tc>
          <w:tcPr>
            <w:tcW w:w="3330" w:type="dxa"/>
            <w:shd w:val="pct30" w:color="auto" w:fill="FFFFFF"/>
            <w:vAlign w:val="bottom"/>
          </w:tcPr>
          <w:p w:rsidR="002A21AE" w:rsidRDefault="002A21AE">
            <w:pPr>
              <w:pStyle w:val="TableText"/>
              <w:rPr>
                <w:b/>
              </w:rPr>
            </w:pPr>
            <w:r>
              <w:rPr>
                <w:b/>
              </w:rPr>
              <w:t>User Action</w:t>
            </w:r>
          </w:p>
        </w:tc>
        <w:tc>
          <w:tcPr>
            <w:tcW w:w="6138"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rPr>
          <w:trHeight w:val="782"/>
        </w:trPr>
        <w:tc>
          <w:tcPr>
            <w:tcW w:w="3330" w:type="dxa"/>
          </w:tcPr>
          <w:p w:rsidR="00ED7401" w:rsidRDefault="002A21AE" w:rsidP="006B6C5C">
            <w:pPr>
              <w:pStyle w:val="TableTextNumbers"/>
            </w:pPr>
            <w:r>
              <w:t xml:space="preserve">To log into VBECS, </w:t>
            </w:r>
            <w:r w:rsidR="003814BF">
              <w:t>double-</w:t>
            </w:r>
            <w:r w:rsidR="00C81E8B">
              <w:t>click</w:t>
            </w:r>
            <w:r w:rsidR="00EB6924">
              <w:t xml:space="preserve"> </w:t>
            </w:r>
            <w:r w:rsidR="00C81E8B">
              <w:t>the</w:t>
            </w:r>
            <w:r>
              <w:t xml:space="preserve"> </w:t>
            </w:r>
            <w:r w:rsidRPr="00C81E8B">
              <w:rPr>
                <w:b/>
              </w:rPr>
              <w:t>Remote Desktop Connectio</w:t>
            </w:r>
            <w:r w:rsidR="00C81E8B" w:rsidRPr="00C81E8B">
              <w:rPr>
                <w:b/>
              </w:rPr>
              <w:t>n</w:t>
            </w:r>
            <w:r w:rsidR="00C81E8B">
              <w:t xml:space="preserve"> </w:t>
            </w:r>
            <w:r>
              <w:rPr>
                <w:b/>
              </w:rPr>
              <w:t>icon</w:t>
            </w:r>
            <w:r w:rsidR="006C04EE">
              <w:rPr>
                <w:b/>
              </w:rPr>
              <w:t xml:space="preserve"> </w:t>
            </w:r>
            <w:r w:rsidR="00182C38">
              <w:t>on the Windows desktop</w:t>
            </w:r>
            <w:r>
              <w:t>.</w:t>
            </w:r>
            <w:r w:rsidR="00775C2B">
              <w:t xml:space="preserve"> </w:t>
            </w:r>
          </w:p>
          <w:p w:rsidR="00775C2B" w:rsidRDefault="00775C2B" w:rsidP="00182C38">
            <w:pPr>
              <w:pStyle w:val="TableTextNumbersContinued"/>
            </w:pPr>
          </w:p>
        </w:tc>
        <w:tc>
          <w:tcPr>
            <w:tcW w:w="6138" w:type="dxa"/>
          </w:tcPr>
          <w:p w:rsidR="00ED7401" w:rsidRDefault="006B6C5C" w:rsidP="006B6C5C">
            <w:pPr>
              <w:pStyle w:val="TableTextBullet"/>
            </w:pPr>
            <w:r>
              <w:t>Displays the Remote Desktop Connection screen.</w:t>
            </w:r>
          </w:p>
        </w:tc>
      </w:tr>
      <w:tr w:rsidR="00182C38">
        <w:tblPrEx>
          <w:tblCellMar>
            <w:top w:w="0" w:type="dxa"/>
            <w:bottom w:w="0" w:type="dxa"/>
          </w:tblCellMar>
        </w:tblPrEx>
        <w:tc>
          <w:tcPr>
            <w:tcW w:w="3330" w:type="dxa"/>
          </w:tcPr>
          <w:p w:rsidR="00182C38" w:rsidRDefault="00182C38">
            <w:pPr>
              <w:pStyle w:val="TableTextNumbers"/>
            </w:pPr>
            <w:r>
              <w:t xml:space="preserve">Enter or select the name of the VBECS server on the </w:t>
            </w:r>
            <w:r w:rsidRPr="00C81E8B">
              <w:rPr>
                <w:b/>
              </w:rPr>
              <w:t>Remote Desktop Connection</w:t>
            </w:r>
            <w:r>
              <w:rPr>
                <w:b/>
              </w:rPr>
              <w:t xml:space="preserve"> </w:t>
            </w:r>
            <w:r w:rsidR="00675961" w:rsidRPr="006C04EE">
              <w:t>(</w:t>
            </w:r>
            <w:r w:rsidR="00675961">
              <w:fldChar w:fldCharType="begin"/>
            </w:r>
            <w:r w:rsidR="00675961">
              <w:instrText xml:space="preserve"> REF _Ref136339357 \h </w:instrText>
            </w:r>
            <w:r w:rsidR="006B6C5C">
              <w:instrText xml:space="preserve"> \* MERGEFORMAT </w:instrText>
            </w:r>
            <w:r w:rsidR="00675961">
              <w:fldChar w:fldCharType="separate"/>
            </w:r>
            <w:r w:rsidR="005F38BC">
              <w:t xml:space="preserve">Figure </w:t>
            </w:r>
            <w:r w:rsidR="005F38BC">
              <w:rPr>
                <w:noProof/>
              </w:rPr>
              <w:t>32</w:t>
            </w:r>
            <w:r w:rsidR="00675961">
              <w:fldChar w:fldCharType="end"/>
            </w:r>
            <w:r w:rsidR="00675961" w:rsidRPr="006C04EE">
              <w:t>)</w:t>
            </w:r>
            <w:r w:rsidR="00675961">
              <w:t xml:space="preserve"> screen</w:t>
            </w:r>
            <w:r>
              <w:t xml:space="preserve"> and click </w:t>
            </w:r>
            <w:r>
              <w:rPr>
                <w:b/>
              </w:rPr>
              <w:t>Connect</w:t>
            </w:r>
            <w:r>
              <w:t>.</w:t>
            </w:r>
          </w:p>
        </w:tc>
        <w:tc>
          <w:tcPr>
            <w:tcW w:w="6138" w:type="dxa"/>
          </w:tcPr>
          <w:p w:rsidR="00182C38" w:rsidRDefault="00675961">
            <w:pPr>
              <w:pStyle w:val="TableTextBullet"/>
            </w:pPr>
            <w:r>
              <w:t>Displays Security Warning screen.</w:t>
            </w:r>
          </w:p>
        </w:tc>
      </w:tr>
      <w:tr w:rsidR="00675961">
        <w:tblPrEx>
          <w:tblCellMar>
            <w:top w:w="0" w:type="dxa"/>
            <w:bottom w:w="0" w:type="dxa"/>
          </w:tblCellMar>
        </w:tblPrEx>
        <w:tc>
          <w:tcPr>
            <w:tcW w:w="3330" w:type="dxa"/>
          </w:tcPr>
          <w:p w:rsidR="00675961" w:rsidRDefault="00675961">
            <w:pPr>
              <w:pStyle w:val="TableTextNumbers"/>
            </w:pPr>
            <w:r>
              <w:t xml:space="preserve">Click </w:t>
            </w:r>
            <w:r>
              <w:rPr>
                <w:b/>
              </w:rPr>
              <w:t>OK</w:t>
            </w:r>
            <w:r>
              <w:t xml:space="preserve"> on the Security Warning screen.</w:t>
            </w:r>
          </w:p>
        </w:tc>
        <w:tc>
          <w:tcPr>
            <w:tcW w:w="6138" w:type="dxa"/>
          </w:tcPr>
          <w:p w:rsidR="00675961" w:rsidRDefault="00675961">
            <w:pPr>
              <w:pStyle w:val="TableTextBullet"/>
            </w:pPr>
            <w:r>
              <w:t>Displays Log On to Windows screen.</w:t>
            </w:r>
          </w:p>
        </w:tc>
      </w:tr>
      <w:tr w:rsidR="00675961">
        <w:tblPrEx>
          <w:tblCellMar>
            <w:top w:w="0" w:type="dxa"/>
            <w:bottom w:w="0" w:type="dxa"/>
          </w:tblCellMar>
        </w:tblPrEx>
        <w:tc>
          <w:tcPr>
            <w:tcW w:w="3330" w:type="dxa"/>
          </w:tcPr>
          <w:p w:rsidR="00675961" w:rsidRDefault="00675961">
            <w:pPr>
              <w:pStyle w:val="TableTextNumbers"/>
            </w:pPr>
            <w:r>
              <w:t>Enter your user name, password and</w:t>
            </w:r>
            <w:r w:rsidR="006B6C5C">
              <w:t xml:space="preserve"> domain</w:t>
            </w:r>
            <w:r>
              <w:t xml:space="preserve"> (log on to field) on the Log On to Windows screen.</w:t>
            </w:r>
          </w:p>
          <w:p w:rsidR="00675961" w:rsidRDefault="00675961" w:rsidP="00675961">
            <w:pPr>
              <w:pStyle w:val="TableTextNumbers"/>
              <w:numPr>
                <w:ilvl w:val="0"/>
                <w:numId w:val="0"/>
              </w:numPr>
            </w:pPr>
          </w:p>
          <w:p w:rsidR="00675961" w:rsidRDefault="00675961" w:rsidP="00675961">
            <w:pPr>
              <w:pStyle w:val="TableTextNumbers"/>
              <w:numPr>
                <w:ilvl w:val="0"/>
                <w:numId w:val="0"/>
              </w:numPr>
              <w:ind w:left="288"/>
            </w:pPr>
            <w:r>
              <w:t xml:space="preserve">Click </w:t>
            </w:r>
            <w:r w:rsidRPr="00675961">
              <w:rPr>
                <w:b/>
              </w:rPr>
              <w:t>OK</w:t>
            </w:r>
            <w:r>
              <w:t>.</w:t>
            </w:r>
          </w:p>
        </w:tc>
        <w:tc>
          <w:tcPr>
            <w:tcW w:w="6138" w:type="dxa"/>
          </w:tcPr>
          <w:p w:rsidR="005B1DF4" w:rsidRDefault="006B6C5C" w:rsidP="002A5604">
            <w:pPr>
              <w:pStyle w:val="TableTextBullet"/>
            </w:pPr>
            <w:r>
              <w:t>Displays VBECS server desktop with VBECS.exe, VBECS Test.exe, VBECS Administrator.exe, and VBECS Administrator Test.exe icons.</w:t>
            </w:r>
          </w:p>
          <w:p w:rsidR="005B1DF4" w:rsidRDefault="005B1DF4" w:rsidP="005B1DF4">
            <w:pPr>
              <w:pStyle w:val="TableTextBullet"/>
              <w:numPr>
                <w:ilvl w:val="0"/>
                <w:numId w:val="0"/>
              </w:numPr>
            </w:pPr>
          </w:p>
          <w:p w:rsidR="005B1DF4" w:rsidRPr="005B1DF4" w:rsidRDefault="00634BFC" w:rsidP="005B1DF4">
            <w:pPr>
              <w:pStyle w:val="TableText"/>
              <w:rPr>
                <w:b/>
                <w:bCs/>
              </w:rPr>
            </w:pPr>
            <w:r>
              <w:rPr>
                <w:noProof/>
              </w:rPr>
              <mc:AlternateContent>
                <mc:Choice Requires="wps">
                  <w:drawing>
                    <wp:anchor distT="0" distB="0" distL="114300" distR="114300" simplePos="0" relativeHeight="25178675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95" name="Line 1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4" o:spid="_x0000_s1026" style="position:absolute;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8aFQIAAC4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GiQ&#10;PxoVAgAALgQAAA4AAAAAAAAAAAAAAAAALgIAAGRycy9lMm9Eb2MueG1sUEsBAi0AFAAGAAgAAAAh&#10;ABdPMBLbAAAACAEAAA8AAAAAAAAAAAAAAAAAbwQAAGRycy9kb3ducmV2LnhtbFBLBQYAAAAABAAE&#10;APMAAAB3BQAAAAA=&#10;" strokeweight="1.5pt"/>
                  </w:pict>
                </mc:Fallback>
              </mc:AlternateContent>
            </w:r>
            <w:r w:rsidR="005B1DF4">
              <w:rPr>
                <w:b/>
                <w:bCs/>
              </w:rPr>
              <w:t>NOTES</w:t>
            </w:r>
          </w:p>
          <w:p w:rsidR="005B1DF4" w:rsidRDefault="005B1DF4" w:rsidP="005B1DF4">
            <w:pPr>
              <w:pStyle w:val="NotesText"/>
            </w:pPr>
            <w:r>
              <w:t>Users with VBECS Administrator access can select to start VBECS administrator or VBECS.</w:t>
            </w:r>
          </w:p>
          <w:p w:rsidR="002A5604" w:rsidRPr="005B1DF4" w:rsidRDefault="002A5604" w:rsidP="005B1DF4">
            <w:pPr>
              <w:pStyle w:val="TableText"/>
              <w:rPr>
                <w:b/>
                <w:bCs/>
              </w:rPr>
            </w:pPr>
          </w:p>
        </w:tc>
      </w:tr>
      <w:tr w:rsidR="006B6C5C">
        <w:tblPrEx>
          <w:tblCellMar>
            <w:top w:w="0" w:type="dxa"/>
            <w:bottom w:w="0" w:type="dxa"/>
          </w:tblCellMar>
        </w:tblPrEx>
        <w:tc>
          <w:tcPr>
            <w:tcW w:w="3330" w:type="dxa"/>
          </w:tcPr>
          <w:p w:rsidR="006B6C5C" w:rsidRDefault="006B6C5C" w:rsidP="002A5604">
            <w:pPr>
              <w:pStyle w:val="TableTextNumbers"/>
            </w:pPr>
            <w:r>
              <w:t xml:space="preserve">Click on the </w:t>
            </w:r>
            <w:r w:rsidRPr="006B6C5C">
              <w:rPr>
                <w:b/>
              </w:rPr>
              <w:t>VBECS.exe</w:t>
            </w:r>
            <w:r>
              <w:t xml:space="preserve"> or </w:t>
            </w:r>
            <w:r w:rsidRPr="006B6C5C">
              <w:rPr>
                <w:b/>
              </w:rPr>
              <w:t>VBECS Test.exe</w:t>
            </w:r>
            <w:r>
              <w:t xml:space="preserve"> icon to access VBECS.</w:t>
            </w:r>
          </w:p>
        </w:tc>
        <w:tc>
          <w:tcPr>
            <w:tcW w:w="6138" w:type="dxa"/>
          </w:tcPr>
          <w:p w:rsidR="006B6C5C" w:rsidRDefault="006B6C5C" w:rsidP="006B6C5C">
            <w:pPr>
              <w:pStyle w:val="TableTextBullet"/>
            </w:pPr>
            <w:r>
              <w:t>Displays the Select Division screen when the user has access privileges to multiple divisions in a single VBECS installation.</w:t>
            </w:r>
          </w:p>
          <w:p w:rsidR="006B6C5C" w:rsidRDefault="006B6C5C" w:rsidP="006B6C5C">
            <w:pPr>
              <w:pStyle w:val="TableText"/>
            </w:pPr>
          </w:p>
          <w:p w:rsidR="006B6C5C" w:rsidRDefault="00634BFC" w:rsidP="006B6C5C">
            <w:pPr>
              <w:pStyle w:val="TableText"/>
              <w:rPr>
                <w:b/>
                <w:bCs/>
                <w:szCs w:val="18"/>
              </w:rPr>
            </w:pPr>
            <w:r>
              <w:rPr>
                <w:b/>
                <w:bCs/>
                <w:noProof/>
              </w:rPr>
              <mc:AlternateContent>
                <mc:Choice Requires="wps">
                  <w:drawing>
                    <wp:anchor distT="0" distB="0" distL="114300" distR="114300" simplePos="0" relativeHeight="25178777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94" name="Line 1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5" o:spid="_x0000_s1026" style="position:absolute;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JIqFQIAAC4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ImE&#10;kioVAgAALgQAAA4AAAAAAAAAAAAAAAAALgIAAGRycy9lMm9Eb2MueG1sUEsBAi0AFAAGAAgAAAAh&#10;ABdPMBLbAAAACAEAAA8AAAAAAAAAAAAAAAAAbwQAAGRycy9kb3ducmV2LnhtbFBLBQYAAAAABAAE&#10;APMAAAB3BQAAAAA=&#10;" strokeweight="1.5pt"/>
                  </w:pict>
                </mc:Fallback>
              </mc:AlternateContent>
            </w:r>
            <w:r w:rsidR="006B6C5C">
              <w:rPr>
                <w:b/>
                <w:bCs/>
                <w:szCs w:val="18"/>
              </w:rPr>
              <w:t>NOTES</w:t>
            </w:r>
          </w:p>
          <w:p w:rsidR="006B6C5C" w:rsidRDefault="006B6C5C" w:rsidP="006B6C5C">
            <w:pPr>
              <w:pStyle w:val="NotesText"/>
            </w:pPr>
          </w:p>
          <w:p w:rsidR="006B6C5C" w:rsidRDefault="006B6C5C" w:rsidP="006B6C5C">
            <w:pPr>
              <w:pStyle w:val="NotesText"/>
            </w:pPr>
            <w:r w:rsidRPr="00E274BF">
              <w:rPr>
                <w:rFonts w:cs="Arial"/>
                <w:vanish/>
                <w:szCs w:val="18"/>
              </w:rPr>
              <w:t>BR_18.08</w:t>
            </w:r>
            <w:r>
              <w:rPr>
                <w:rFonts w:ascii="Times New Roman" w:hAnsi="Times New Roman"/>
                <w:vanish/>
                <w:sz w:val="22"/>
              </w:rPr>
              <w:t xml:space="preserve"> </w:t>
            </w:r>
            <w:r>
              <w:t xml:space="preserve">A user may exit without logging into a division. </w:t>
            </w:r>
            <w:r w:rsidRPr="00E274BF">
              <w:rPr>
                <w:rFonts w:cs="Arial"/>
                <w:vanish/>
                <w:szCs w:val="18"/>
              </w:rPr>
              <w:t>BR_103.03</w:t>
            </w:r>
          </w:p>
        </w:tc>
      </w:tr>
      <w:tr w:rsidR="002A21AE">
        <w:tblPrEx>
          <w:tblCellMar>
            <w:top w:w="0" w:type="dxa"/>
            <w:bottom w:w="0" w:type="dxa"/>
          </w:tblCellMar>
        </w:tblPrEx>
        <w:tc>
          <w:tcPr>
            <w:tcW w:w="3330" w:type="dxa"/>
          </w:tcPr>
          <w:p w:rsidR="002A5604" w:rsidRDefault="002A5604" w:rsidP="002A5604">
            <w:pPr>
              <w:pStyle w:val="TableTextNumbers"/>
            </w:pPr>
            <w:r>
              <w:t>Multidivision users will be prompted to s</w:t>
            </w:r>
            <w:r w:rsidR="002A21AE">
              <w:t xml:space="preserve">elect a division from the </w:t>
            </w:r>
            <w:r w:rsidR="002A21AE">
              <w:rPr>
                <w:b/>
              </w:rPr>
              <w:t>Select Division</w:t>
            </w:r>
            <w:r w:rsidR="002A21AE">
              <w:t xml:space="preserve"> list and click </w:t>
            </w:r>
            <w:r w:rsidR="002A21AE">
              <w:rPr>
                <w:b/>
              </w:rPr>
              <w:t>OK</w:t>
            </w:r>
            <w:r w:rsidR="003814BF">
              <w:rPr>
                <w:bCs/>
              </w:rPr>
              <w:t>, or double-</w:t>
            </w:r>
            <w:r w:rsidR="002A21AE">
              <w:rPr>
                <w:bCs/>
              </w:rPr>
              <w:t>click the division.</w:t>
            </w:r>
          </w:p>
        </w:tc>
        <w:tc>
          <w:tcPr>
            <w:tcW w:w="6138" w:type="dxa"/>
          </w:tcPr>
          <w:p w:rsidR="002A21AE" w:rsidRDefault="002A21AE">
            <w:pPr>
              <w:pStyle w:val="TableText"/>
              <w:rPr>
                <w:b/>
                <w:bCs/>
                <w:szCs w:val="18"/>
              </w:rPr>
            </w:pPr>
          </w:p>
          <w:p w:rsidR="000925E5" w:rsidRDefault="000925E5" w:rsidP="000925E5">
            <w:pPr>
              <w:pStyle w:val="TableTextBullet"/>
            </w:pPr>
            <w:r w:rsidRPr="000925E5">
              <w:rPr>
                <w:vanish/>
              </w:rPr>
              <w:t xml:space="preserve">BR_18.10 </w:t>
            </w:r>
            <w:r w:rsidRPr="006B6C5C">
              <w:t xml:space="preserve">Displays an </w:t>
            </w:r>
            <w:r w:rsidRPr="00A942EB">
              <w:t xml:space="preserve">error message to the user when </w:t>
            </w:r>
            <w:r>
              <w:t>logging</w:t>
            </w:r>
            <w:r w:rsidRPr="00A942EB">
              <w:t xml:space="preserve"> into </w:t>
            </w:r>
            <w:r w:rsidR="006B6C5C">
              <w:t>VBECS</w:t>
            </w:r>
            <w:r w:rsidRPr="00A942EB">
              <w:t>, or switch</w:t>
            </w:r>
            <w:r>
              <w:t>ing</w:t>
            </w:r>
            <w:r w:rsidRPr="00A942EB">
              <w:t xml:space="preserve"> divisions, </w:t>
            </w:r>
            <w:r>
              <w:t xml:space="preserve">if the default printer </w:t>
            </w:r>
            <w:r w:rsidR="00842346">
              <w:t xml:space="preserve">for the division </w:t>
            </w:r>
            <w:r>
              <w:t>was removed.</w:t>
            </w:r>
            <w:r w:rsidR="009D459D" w:rsidRPr="009D459D">
              <w:rPr>
                <w:vanish/>
              </w:rPr>
              <w:t>DR 2,884</w:t>
            </w:r>
          </w:p>
          <w:p w:rsidR="000925E5" w:rsidRDefault="000925E5" w:rsidP="000925E5">
            <w:pPr>
              <w:pStyle w:val="TableTextBullet"/>
              <w:numPr>
                <w:ilvl w:val="0"/>
                <w:numId w:val="0"/>
              </w:numPr>
            </w:pPr>
          </w:p>
          <w:p w:rsidR="002A21AE" w:rsidRDefault="00634BFC">
            <w:pPr>
              <w:pStyle w:val="TableText"/>
              <w:rPr>
                <w:b/>
                <w:bCs/>
                <w:szCs w:val="18"/>
              </w:rPr>
            </w:pPr>
            <w:r>
              <w:rPr>
                <w:b/>
                <w:bCs/>
                <w:noProof/>
              </w:rPr>
              <mc:AlternateContent>
                <mc:Choice Requires="wps">
                  <w:drawing>
                    <wp:anchor distT="0" distB="0" distL="114300" distR="114300" simplePos="0" relativeHeight="25153689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93"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9" o:spid="_x0000_s1026" style="position:absolute;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u4aFQ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FTe&#10;7ho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t>When VBECS is started, the user may have access to more than one division.</w:t>
            </w:r>
          </w:p>
        </w:tc>
      </w:tr>
      <w:tr w:rsidR="002A21AE">
        <w:tblPrEx>
          <w:tblCellMar>
            <w:top w:w="0" w:type="dxa"/>
            <w:bottom w:w="0" w:type="dxa"/>
          </w:tblCellMar>
        </w:tblPrEx>
        <w:tc>
          <w:tcPr>
            <w:tcW w:w="3330" w:type="dxa"/>
          </w:tcPr>
          <w:p w:rsidR="002A21AE" w:rsidRDefault="002A21AE">
            <w:pPr>
              <w:pStyle w:val="TableTextNumbers"/>
            </w:pPr>
            <w:r>
              <w:t xml:space="preserve">Continue to the </w:t>
            </w:r>
            <w:r w:rsidR="00CA0045" w:rsidRPr="00CA0045">
              <w:rPr>
                <w:bCs/>
              </w:rPr>
              <w:t>VistA</w:t>
            </w:r>
            <w:r>
              <w:t xml:space="preserve"> logon screen</w:t>
            </w:r>
            <w:r w:rsidR="0073377E">
              <w:t xml:space="preserve"> (</w:t>
            </w:r>
            <w:r w:rsidR="00F02B80">
              <w:fldChar w:fldCharType="begin"/>
            </w:r>
            <w:r w:rsidR="00F02B80">
              <w:instrText xml:space="preserve"> REF _Ref136339358 \h </w:instrText>
            </w:r>
            <w:r w:rsidR="00F02B80">
              <w:fldChar w:fldCharType="separate"/>
            </w:r>
            <w:r w:rsidR="005F38BC">
              <w:t xml:space="preserve">Figure </w:t>
            </w:r>
            <w:r w:rsidR="005F38BC">
              <w:rPr>
                <w:noProof/>
              </w:rPr>
              <w:t>33</w:t>
            </w:r>
            <w:r w:rsidR="00F02B80">
              <w:fldChar w:fldCharType="end"/>
            </w:r>
            <w:r w:rsidR="0073377E">
              <w:t>)</w:t>
            </w:r>
            <w:r>
              <w:t>.</w:t>
            </w:r>
          </w:p>
        </w:tc>
        <w:tc>
          <w:tcPr>
            <w:tcW w:w="6138" w:type="dxa"/>
          </w:tcPr>
          <w:p w:rsidR="002A21AE" w:rsidRDefault="002A21AE">
            <w:pPr>
              <w:pStyle w:val="TableTextBullet"/>
            </w:pPr>
            <w:r>
              <w:t xml:space="preserve">Opens the </w:t>
            </w:r>
            <w:r w:rsidR="00CA0045" w:rsidRPr="00CA0045">
              <w:rPr>
                <w:bCs/>
              </w:rPr>
              <w:t>VistA</w:t>
            </w:r>
            <w:r>
              <w:t xml:space="preserve"> Logon – Authorization screen. The user may log onto </w:t>
            </w:r>
            <w:r w:rsidR="00CA0045" w:rsidRPr="00CA0045">
              <w:rPr>
                <w:bCs/>
              </w:rPr>
              <w:t>VistA</w:t>
            </w:r>
            <w:r>
              <w:t xml:space="preserve"> or continue and log on as needed.</w:t>
            </w:r>
          </w:p>
          <w:p w:rsidR="002A21AE" w:rsidRDefault="002A21AE">
            <w:pPr>
              <w:pStyle w:val="TableTextBullet"/>
            </w:pPr>
            <w:r>
              <w:t>Displays a division login message.</w:t>
            </w:r>
          </w:p>
          <w:p w:rsidR="002A21AE" w:rsidRDefault="002A21AE">
            <w:pPr>
              <w:pStyle w:val="TableText"/>
              <w:rPr>
                <w:b/>
                <w:bCs/>
                <w:szCs w:val="18"/>
              </w:rPr>
            </w:pPr>
          </w:p>
          <w:p w:rsidR="002A21AE" w:rsidRDefault="00634BFC">
            <w:pPr>
              <w:pStyle w:val="TableText"/>
              <w:rPr>
                <w:b/>
                <w:bCs/>
                <w:szCs w:val="18"/>
              </w:rPr>
            </w:pPr>
            <w:r>
              <w:rPr>
                <w:b/>
                <w:bCs/>
                <w:noProof/>
              </w:rPr>
              <mc:AlternateContent>
                <mc:Choice Requires="wps">
                  <w:drawing>
                    <wp:anchor distT="0" distB="0" distL="114300" distR="114300" simplePos="0" relativeHeight="25153382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92"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5" o:spid="_x0000_s1026" style="position:absolute;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kQKFQ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LBi&#10;RAo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78056E" w:rsidRDefault="0078056E" w:rsidP="0078056E">
            <w:pPr>
              <w:pStyle w:val="NotesText"/>
            </w:pPr>
            <w:r w:rsidRPr="00E274BF">
              <w:rPr>
                <w:rFonts w:cs="Arial"/>
                <w:vanish/>
                <w:szCs w:val="18"/>
              </w:rPr>
              <w:t>BR_103.03</w:t>
            </w:r>
            <w:r>
              <w:rPr>
                <w:rFonts w:ascii="Times New Roman" w:hAnsi="Times New Roman"/>
                <w:vanish/>
                <w:sz w:val="22"/>
              </w:rPr>
              <w:t xml:space="preserve"> </w:t>
            </w:r>
            <w:r>
              <w:t>VBECS allows the user to log in without establishing a VistALink connection.</w:t>
            </w:r>
          </w:p>
          <w:p w:rsidR="0078056E" w:rsidRDefault="0078056E" w:rsidP="0078056E">
            <w:pPr>
              <w:pStyle w:val="NotesText"/>
            </w:pPr>
          </w:p>
          <w:p w:rsidR="002A21AE" w:rsidRDefault="002A21AE" w:rsidP="0078056E">
            <w:pPr>
              <w:pStyle w:val="NotesText"/>
              <w:rPr>
                <w:i/>
                <w:color w:val="339966"/>
              </w:rPr>
            </w:pPr>
            <w:r>
              <w:t>The division login message allows the display of data as each user logs into his division. When no login message text is entered, VBECS does not display a login message.</w:t>
            </w:r>
          </w:p>
        </w:tc>
      </w:tr>
      <w:tr w:rsidR="002A21AE">
        <w:tblPrEx>
          <w:tblCellMar>
            <w:top w:w="0" w:type="dxa"/>
            <w:bottom w:w="0" w:type="dxa"/>
          </w:tblCellMar>
        </w:tblPrEx>
        <w:tc>
          <w:tcPr>
            <w:tcW w:w="3330" w:type="dxa"/>
          </w:tcPr>
          <w:p w:rsidR="002A21AE" w:rsidRDefault="002A21AE">
            <w:pPr>
              <w:pStyle w:val="TableTextNumbers"/>
            </w:pPr>
            <w:r>
              <w:t xml:space="preserve">Log onto </w:t>
            </w:r>
            <w:r w:rsidR="00CA0045" w:rsidRPr="00CA0045">
              <w:rPr>
                <w:bCs/>
              </w:rPr>
              <w:t>VistA</w:t>
            </w:r>
            <w:r>
              <w:t xml:space="preserve"> at VBECS startup or at the invocation of any option that uses VistALink when VistALink is not connected.</w:t>
            </w:r>
          </w:p>
        </w:tc>
        <w:tc>
          <w:tcPr>
            <w:tcW w:w="6138" w:type="dxa"/>
          </w:tcPr>
          <w:p w:rsidR="002A21AE" w:rsidRDefault="002A21AE">
            <w:pPr>
              <w:pStyle w:val="TableTextBullet"/>
            </w:pPr>
            <w:r w:rsidRPr="00E274BF">
              <w:rPr>
                <w:rFonts w:cs="Arial"/>
                <w:vanish/>
                <w:szCs w:val="18"/>
              </w:rPr>
              <w:t>BR_102.06</w:t>
            </w:r>
            <w:r>
              <w:rPr>
                <w:rFonts w:ascii="Times New Roman" w:hAnsi="Times New Roman"/>
                <w:vanish/>
                <w:sz w:val="22"/>
              </w:rPr>
              <w:t xml:space="preserve"> </w:t>
            </w:r>
            <w:r>
              <w:t xml:space="preserve">Allows a user to log on by entering </w:t>
            </w:r>
            <w:r w:rsidR="00CA0045" w:rsidRPr="00CA0045">
              <w:rPr>
                <w:bCs/>
              </w:rPr>
              <w:t>VistA</w:t>
            </w:r>
            <w:r>
              <w:t xml:space="preserve"> Access and Verify Codes, separated by a semicolon (;), in the Access Code data entry field.</w:t>
            </w:r>
          </w:p>
          <w:p w:rsidR="002A21AE" w:rsidRDefault="002A21AE">
            <w:pPr>
              <w:pStyle w:val="TableTextBullet"/>
            </w:pPr>
            <w:r w:rsidRPr="00E274BF">
              <w:rPr>
                <w:rFonts w:cs="Arial"/>
                <w:vanish/>
                <w:szCs w:val="18"/>
              </w:rPr>
              <w:t>BR_103.01</w:t>
            </w:r>
            <w:r>
              <w:rPr>
                <w:rFonts w:ascii="Times New Roman" w:hAnsi="Times New Roman"/>
                <w:vanish/>
                <w:sz w:val="22"/>
              </w:rPr>
              <w:t xml:space="preserve"> </w:t>
            </w:r>
            <w:r>
              <w:t>When a user accesses an option that requires a VistALink connection and the connection becomes unavailable, allows the user to restore the connection.</w:t>
            </w:r>
          </w:p>
          <w:p w:rsidR="002A21AE" w:rsidRDefault="002A21AE">
            <w:pPr>
              <w:pStyle w:val="TableTextBullet"/>
            </w:pPr>
            <w:r w:rsidRPr="00E274BF">
              <w:rPr>
                <w:rFonts w:cs="Arial"/>
                <w:vanish/>
                <w:szCs w:val="18"/>
              </w:rPr>
              <w:t>BR_103.04</w:t>
            </w:r>
            <w:r>
              <w:rPr>
                <w:rFonts w:ascii="Times New Roman" w:hAnsi="Times New Roman"/>
                <w:vanish/>
                <w:sz w:val="22"/>
              </w:rPr>
              <w:t xml:space="preserve"> </w:t>
            </w:r>
            <w:r>
              <w:t>When a reconnection attempt is successful, VBECS closes the connection status window and returns to the desktop. The VistALink Connected icon in the status bar indicates a successful connection. When a reconnection attempt is unsuccessful, VBECS attempts to reconnect to VistALink until the user cancels.</w:t>
            </w:r>
          </w:p>
          <w:p w:rsidR="002A21AE" w:rsidRDefault="002A21AE">
            <w:pPr>
              <w:pStyle w:val="TableText"/>
              <w:rPr>
                <w:b/>
                <w:bCs/>
                <w:szCs w:val="18"/>
              </w:rPr>
            </w:pPr>
          </w:p>
          <w:p w:rsidR="002A21AE" w:rsidRDefault="00634BFC">
            <w:pPr>
              <w:pStyle w:val="TableText"/>
              <w:rPr>
                <w:b/>
                <w:bCs/>
                <w:szCs w:val="18"/>
              </w:rPr>
            </w:pPr>
            <w:r>
              <w:rPr>
                <w:b/>
                <w:bCs/>
                <w:noProof/>
              </w:rPr>
              <mc:AlternateContent>
                <mc:Choice Requires="wps">
                  <w:drawing>
                    <wp:anchor distT="0" distB="0" distL="114300" distR="114300" simplePos="0" relativeHeight="25153587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91"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8" o:spid="_x0000_s1026" style="position:absolute;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dNqFQ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BDx&#10;02o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ind w:left="0"/>
            </w:pPr>
          </w:p>
          <w:p w:rsidR="00A0100F" w:rsidRPr="009F55FD" w:rsidRDefault="00A0100F">
            <w:pPr>
              <w:pStyle w:val="NotesText"/>
            </w:pPr>
            <w:r>
              <w:rPr>
                <w:rFonts w:cs="Arial"/>
                <w:vanish/>
                <w:szCs w:val="18"/>
              </w:rPr>
              <w:t>DR 1,116</w:t>
            </w:r>
            <w:r w:rsidR="009F55FD" w:rsidRPr="009F55FD">
              <w:t xml:space="preserve">When a user logs into VBECS, the connection to VistA is </w:t>
            </w:r>
            <w:r w:rsidR="009F55FD" w:rsidRPr="009F55FD">
              <w:lastRenderedPageBreak/>
              <w:t xml:space="preserve">established, and the data in the cache tables </w:t>
            </w:r>
            <w:r w:rsidR="009F55FD">
              <w:t>are</w:t>
            </w:r>
            <w:r w:rsidR="009F55FD" w:rsidRPr="009F55FD">
              <w:t xml:space="preserve"> out of date, VBECS retrieves the current data from VistA and saves them. This update process may delay user login.</w:t>
            </w:r>
          </w:p>
          <w:p w:rsidR="00A0100F" w:rsidRDefault="00A0100F">
            <w:pPr>
              <w:pStyle w:val="NotesText"/>
              <w:rPr>
                <w:rFonts w:cs="Arial"/>
                <w:vanish/>
                <w:szCs w:val="18"/>
              </w:rPr>
            </w:pPr>
          </w:p>
          <w:p w:rsidR="002A21AE" w:rsidRDefault="002A21AE">
            <w:pPr>
              <w:pStyle w:val="NotesText"/>
            </w:pPr>
            <w:r w:rsidRPr="00E274BF">
              <w:rPr>
                <w:rFonts w:cs="Arial"/>
                <w:vanish/>
                <w:szCs w:val="18"/>
              </w:rPr>
              <w:t>BR_103.02</w:t>
            </w:r>
            <w:r>
              <w:rPr>
                <w:rFonts w:ascii="Times New Roman" w:hAnsi="Times New Roman"/>
                <w:vanish/>
                <w:sz w:val="22"/>
              </w:rPr>
              <w:t xml:space="preserve"> </w:t>
            </w:r>
            <w:r>
              <w:t>When the VistALink connection is not restorable, VBECS displays a message stating that the requested use cannot be executed because VistALink is unavailable.</w:t>
            </w:r>
          </w:p>
        </w:tc>
      </w:tr>
      <w:tr w:rsidR="002A21AE">
        <w:tblPrEx>
          <w:tblCellMar>
            <w:top w:w="0" w:type="dxa"/>
            <w:bottom w:w="0" w:type="dxa"/>
          </w:tblCellMar>
        </w:tblPrEx>
        <w:tc>
          <w:tcPr>
            <w:tcW w:w="3330" w:type="dxa"/>
          </w:tcPr>
          <w:p w:rsidR="002A21AE" w:rsidRDefault="002A21AE">
            <w:pPr>
              <w:pStyle w:val="TableTextNumbers"/>
            </w:pPr>
            <w:r>
              <w:lastRenderedPageBreak/>
              <w:t xml:space="preserve">Enter the </w:t>
            </w:r>
            <w:r w:rsidR="00CA0045" w:rsidRPr="00CA0045">
              <w:rPr>
                <w:bCs/>
              </w:rPr>
              <w:t>VistA</w:t>
            </w:r>
            <w:r>
              <w:t xml:space="preserve"> Access and Verify Codes.</w:t>
            </w:r>
          </w:p>
        </w:tc>
        <w:tc>
          <w:tcPr>
            <w:tcW w:w="6138" w:type="dxa"/>
          </w:tcPr>
          <w:p w:rsidR="002A21AE" w:rsidRPr="001F5982" w:rsidRDefault="002A21AE">
            <w:pPr>
              <w:pStyle w:val="TableTextBullet"/>
              <w:rPr>
                <w:szCs w:val="20"/>
              </w:rPr>
            </w:pPr>
            <w:r w:rsidRPr="00E274BF">
              <w:rPr>
                <w:rFonts w:cs="Arial"/>
                <w:vanish/>
                <w:szCs w:val="18"/>
              </w:rPr>
              <w:t>BR_102.02</w:t>
            </w:r>
            <w:r>
              <w:rPr>
                <w:rFonts w:ascii="Times New Roman" w:hAnsi="Times New Roman"/>
                <w:vanish/>
                <w:sz w:val="22"/>
              </w:rPr>
              <w:t xml:space="preserve"> </w:t>
            </w:r>
            <w:r>
              <w:t xml:space="preserve">Verifies that the user credentials for the VBECS and </w:t>
            </w:r>
            <w:r w:rsidR="00CA0045" w:rsidRPr="00CA0045">
              <w:rPr>
                <w:bCs/>
              </w:rPr>
              <w:t>VistA</w:t>
            </w:r>
            <w:r>
              <w:t xml:space="preserve"> Access and Verify Codes belong to the same user.</w:t>
            </w:r>
          </w:p>
          <w:p w:rsidR="001F5982" w:rsidRPr="007D57F9" w:rsidRDefault="001F5982" w:rsidP="001F5982">
            <w:pPr>
              <w:pStyle w:val="TableTextBullet"/>
              <w:rPr>
                <w:szCs w:val="20"/>
              </w:rPr>
            </w:pPr>
            <w:r>
              <w:rPr>
                <w:vanish/>
              </w:rPr>
              <w:t xml:space="preserve">BR_102.09 </w:t>
            </w:r>
            <w:r>
              <w:t xml:space="preserve">VBECS will attempt to resend queued DSS information when </w:t>
            </w:r>
            <w:r w:rsidR="00D77997">
              <w:t>VistALink</w:t>
            </w:r>
            <w:r>
              <w:t xml:space="preserve"> is available after any user logs in.</w:t>
            </w:r>
          </w:p>
          <w:p w:rsidR="007D57F9" w:rsidRPr="007D57F9" w:rsidRDefault="007D57F9">
            <w:pPr>
              <w:pStyle w:val="TableTextBullet"/>
              <w:rPr>
                <w:szCs w:val="20"/>
              </w:rPr>
            </w:pPr>
            <w:r w:rsidRPr="007D57F9">
              <w:rPr>
                <w:rFonts w:cs="Arial"/>
                <w:szCs w:val="18"/>
              </w:rPr>
              <w:t>Emits a tone</w:t>
            </w:r>
            <w:r>
              <w:rPr>
                <w:rFonts w:cs="Arial"/>
                <w:szCs w:val="18"/>
              </w:rPr>
              <w:t xml:space="preserve"> to verify </w:t>
            </w:r>
            <w:r w:rsidR="00450A29">
              <w:rPr>
                <w:rFonts w:cs="Arial"/>
                <w:szCs w:val="18"/>
              </w:rPr>
              <w:t xml:space="preserve">that the </w:t>
            </w:r>
            <w:r w:rsidR="005F7BF5">
              <w:rPr>
                <w:rFonts w:cs="Arial"/>
                <w:szCs w:val="18"/>
              </w:rPr>
              <w:t>workstation</w:t>
            </w:r>
            <w:r w:rsidR="004B1206">
              <w:rPr>
                <w:rFonts w:cs="Arial"/>
                <w:szCs w:val="18"/>
              </w:rPr>
              <w:t xml:space="preserve">’s </w:t>
            </w:r>
            <w:r w:rsidR="00450A29">
              <w:rPr>
                <w:rFonts w:cs="Arial"/>
                <w:szCs w:val="18"/>
              </w:rPr>
              <w:t>sound works</w:t>
            </w:r>
            <w:r w:rsidRPr="007D57F9">
              <w:rPr>
                <w:rFonts w:cs="Arial"/>
                <w:szCs w:val="18"/>
              </w:rPr>
              <w:t>.</w:t>
            </w:r>
          </w:p>
        </w:tc>
      </w:tr>
      <w:tr w:rsidR="002A21AE">
        <w:tblPrEx>
          <w:tblCellMar>
            <w:top w:w="0" w:type="dxa"/>
            <w:bottom w:w="0" w:type="dxa"/>
          </w:tblCellMar>
        </w:tblPrEx>
        <w:tc>
          <w:tcPr>
            <w:tcW w:w="3330" w:type="dxa"/>
          </w:tcPr>
          <w:p w:rsidR="002A21AE" w:rsidRDefault="002A21AE">
            <w:pPr>
              <w:pStyle w:val="TableTextNumbers"/>
            </w:pPr>
            <w:r>
              <w:t>Continue working in VBECS in the selected division.</w:t>
            </w:r>
          </w:p>
        </w:tc>
        <w:tc>
          <w:tcPr>
            <w:tcW w:w="6138" w:type="dxa"/>
          </w:tcPr>
          <w:p w:rsidR="002A21AE" w:rsidRDefault="002A21AE">
            <w:pPr>
              <w:pStyle w:val="TableTextBullet"/>
            </w:pPr>
            <w:r>
              <w:t>Displays the main menu.</w:t>
            </w:r>
          </w:p>
        </w:tc>
      </w:tr>
      <w:tr w:rsidR="002A21AE">
        <w:tblPrEx>
          <w:tblCellMar>
            <w:top w:w="0" w:type="dxa"/>
            <w:bottom w:w="0" w:type="dxa"/>
          </w:tblCellMar>
        </w:tblPrEx>
        <w:tc>
          <w:tcPr>
            <w:tcW w:w="3330" w:type="dxa"/>
          </w:tcPr>
          <w:p w:rsidR="002A21AE" w:rsidRDefault="00CA4C8E">
            <w:pPr>
              <w:pStyle w:val="TableTextNumbers"/>
            </w:pPr>
            <w:r>
              <w:t>Users with multidivisional access: t</w:t>
            </w:r>
            <w:r w:rsidR="002A21AE">
              <w:t xml:space="preserve">o change division, select </w:t>
            </w:r>
            <w:r w:rsidR="002A21AE">
              <w:rPr>
                <w:b/>
              </w:rPr>
              <w:t>File</w:t>
            </w:r>
            <w:r w:rsidR="002A21AE">
              <w:t xml:space="preserve">. </w:t>
            </w:r>
          </w:p>
          <w:p w:rsidR="002A21AE" w:rsidRDefault="002A21AE">
            <w:pPr>
              <w:pStyle w:val="TableTextNumbersContinued"/>
            </w:pPr>
          </w:p>
          <w:p w:rsidR="002A21AE" w:rsidRDefault="002A21AE">
            <w:pPr>
              <w:pStyle w:val="TableTextNumbersContinued"/>
            </w:pPr>
            <w:r>
              <w:t xml:space="preserve">Select </w:t>
            </w:r>
            <w:r>
              <w:rPr>
                <w:b/>
              </w:rPr>
              <w:t>Change Division</w:t>
            </w:r>
            <w:r>
              <w:t>.</w:t>
            </w:r>
          </w:p>
          <w:p w:rsidR="002A21AE" w:rsidRDefault="002A21AE">
            <w:pPr>
              <w:pStyle w:val="TableTextNumbersContinued"/>
            </w:pPr>
          </w:p>
          <w:p w:rsidR="002A21AE" w:rsidRDefault="002A21AE">
            <w:pPr>
              <w:pStyle w:val="TableTextNumbersContinued"/>
            </w:pPr>
            <w:r>
              <w:t>Continue at Step 2.</w:t>
            </w:r>
            <w:r w:rsidR="00282A20">
              <w:rPr>
                <w:vanish/>
                <w:color w:val="FFFFFF"/>
                <w:szCs w:val="18"/>
              </w:rPr>
              <w:fldChar w:fldCharType="begin"/>
            </w:r>
            <w:r w:rsidR="00282A20">
              <w:rPr>
                <w:vanish/>
                <w:color w:val="FFFFFF"/>
                <w:szCs w:val="18"/>
              </w:rPr>
              <w:instrText xml:space="preserve"> LISTNUM \l 1 \s 0 </w:instrText>
            </w:r>
            <w:r w:rsidR="00282A20">
              <w:rPr>
                <w:vanish/>
                <w:color w:val="FFFFFF"/>
                <w:szCs w:val="18"/>
              </w:rPr>
              <w:fldChar w:fldCharType="end"/>
            </w:r>
          </w:p>
        </w:tc>
        <w:tc>
          <w:tcPr>
            <w:tcW w:w="6138" w:type="dxa"/>
          </w:tcPr>
          <w:p w:rsidR="002A21AE" w:rsidRDefault="002A21AE">
            <w:pPr>
              <w:pStyle w:val="TableTextBullet"/>
              <w:ind w:left="0" w:firstLine="0"/>
            </w:pPr>
            <w:r>
              <w:t>Ensures that there are no incomplete activities for the user’s session.</w:t>
            </w:r>
          </w:p>
          <w:p w:rsidR="002A21AE" w:rsidRDefault="002A21AE">
            <w:pPr>
              <w:pStyle w:val="TableTextBullet"/>
              <w:ind w:left="0" w:firstLine="0"/>
            </w:pPr>
            <w:r>
              <w:t>Displays a division login message.</w:t>
            </w:r>
          </w:p>
          <w:p w:rsidR="002A21AE" w:rsidRDefault="002A21AE">
            <w:pPr>
              <w:pStyle w:val="TableTextBullet"/>
              <w:ind w:left="0" w:firstLine="0"/>
            </w:pPr>
            <w:r>
              <w:t>Opens the selected division.</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3484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90"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7" o:spid="_x0000_s1026" style="position:absolute;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RrcFQ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FGN&#10;Gtw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sidRPr="00E274BF">
              <w:rPr>
                <w:rFonts w:cs="Arial"/>
                <w:vanish/>
                <w:szCs w:val="18"/>
              </w:rPr>
              <w:t>BR_18.06</w:t>
            </w:r>
            <w:r w:rsidRPr="009660C3">
              <w:rPr>
                <w:vanish/>
                <w:szCs w:val="18"/>
              </w:rPr>
              <w:t xml:space="preserve"> </w:t>
            </w:r>
            <w:r>
              <w:t xml:space="preserve">A user may log into or change divisions without being logged onto </w:t>
            </w:r>
            <w:r w:rsidR="00CA0045" w:rsidRPr="00CA0045">
              <w:rPr>
                <w:bCs/>
              </w:rPr>
              <w:t>VistA</w:t>
            </w:r>
            <w:r>
              <w:t>.</w:t>
            </w:r>
          </w:p>
          <w:p w:rsidR="002A21AE" w:rsidRDefault="002A21AE">
            <w:pPr>
              <w:pStyle w:val="TableText"/>
            </w:pPr>
          </w:p>
          <w:p w:rsidR="002A21AE" w:rsidRDefault="002A21AE">
            <w:pPr>
              <w:pStyle w:val="NotesText"/>
            </w:pPr>
            <w:r w:rsidRPr="00E274BF">
              <w:rPr>
                <w:rFonts w:cs="Arial"/>
                <w:vanish/>
                <w:szCs w:val="18"/>
              </w:rPr>
              <w:t>BR_18.02</w:t>
            </w:r>
            <w:r w:rsidR="00E274BF">
              <w:rPr>
                <w:rFonts w:cs="Arial"/>
                <w:vanish/>
                <w:szCs w:val="18"/>
              </w:rPr>
              <w:t>,</w:t>
            </w:r>
            <w:r w:rsidRPr="00E274BF">
              <w:rPr>
                <w:rFonts w:cs="Arial"/>
                <w:vanish/>
                <w:szCs w:val="18"/>
              </w:rPr>
              <w:t xml:space="preserve"> BR_18.09</w:t>
            </w:r>
            <w:r w:rsidRPr="009660C3">
              <w:rPr>
                <w:vanish/>
                <w:szCs w:val="18"/>
              </w:rPr>
              <w:t xml:space="preserve"> </w:t>
            </w:r>
            <w:r>
              <w:t>VBECS displays a message advising the user to close dialogs and transactions with pending data changes, and closes open dialogs with no pending data changes before the user changes division.</w:t>
            </w:r>
          </w:p>
          <w:p w:rsidR="002A21AE" w:rsidRDefault="002A21AE">
            <w:pPr>
              <w:pStyle w:val="NotesText"/>
              <w:ind w:left="0"/>
            </w:pPr>
          </w:p>
          <w:p w:rsidR="002A21AE" w:rsidRDefault="002A21AE">
            <w:pPr>
              <w:pStyle w:val="NotesText"/>
            </w:pPr>
            <w:r w:rsidRPr="00E274BF">
              <w:rPr>
                <w:rFonts w:cs="Arial"/>
                <w:vanish/>
                <w:szCs w:val="18"/>
              </w:rPr>
              <w:t>BR_102.04</w:t>
            </w:r>
            <w:r w:rsidRPr="009660C3">
              <w:rPr>
                <w:vanish/>
                <w:szCs w:val="18"/>
              </w:rPr>
              <w:t xml:space="preserve"> </w:t>
            </w:r>
            <w:r>
              <w:t xml:space="preserve">VBECS automatically logs onto </w:t>
            </w:r>
            <w:r w:rsidR="00CA0045" w:rsidRPr="00CA0045">
              <w:rPr>
                <w:bCs/>
              </w:rPr>
              <w:t>VistA</w:t>
            </w:r>
            <w:r>
              <w:t xml:space="preserve"> for the selected division.</w:t>
            </w:r>
          </w:p>
        </w:tc>
      </w:tr>
    </w:tbl>
    <w:p w:rsidR="00725947" w:rsidRDefault="00725947" w:rsidP="00725947">
      <w:pPr>
        <w:pStyle w:val="Caption"/>
      </w:pPr>
      <w:bookmarkStart w:id="121" w:name="_Ref126467828"/>
      <w:bookmarkStart w:id="122" w:name="_Ref136339357"/>
      <w:r>
        <w:t xml:space="preserve">Figure </w:t>
      </w:r>
      <w:r w:rsidR="00C17F7C">
        <w:fldChar w:fldCharType="begin"/>
      </w:r>
      <w:r w:rsidR="00C17F7C">
        <w:instrText xml:space="preserve"> SEQ Figure \* ARABIC </w:instrText>
      </w:r>
      <w:r w:rsidR="00C17F7C">
        <w:fldChar w:fldCharType="separate"/>
      </w:r>
      <w:r w:rsidR="005F38BC">
        <w:rPr>
          <w:noProof/>
        </w:rPr>
        <w:t>32</w:t>
      </w:r>
      <w:r w:rsidR="00C17F7C">
        <w:fldChar w:fldCharType="end"/>
      </w:r>
      <w:bookmarkEnd w:id="122"/>
      <w:r>
        <w:t>: Remote Desktop Connection Options</w:t>
      </w:r>
    </w:p>
    <w:p w:rsidR="00725947" w:rsidRDefault="00634BFC" w:rsidP="00725947">
      <w:pPr>
        <w:pStyle w:val="BodyText"/>
      </w:pPr>
      <w:r>
        <w:rPr>
          <w:noProof/>
        </w:rPr>
        <w:drawing>
          <wp:inline distT="0" distB="0" distL="0" distR="0">
            <wp:extent cx="3933825" cy="17526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33825" cy="1752600"/>
                    </a:xfrm>
                    <a:prstGeom prst="rect">
                      <a:avLst/>
                    </a:prstGeom>
                    <a:noFill/>
                    <a:ln>
                      <a:noFill/>
                    </a:ln>
                  </pic:spPr>
                </pic:pic>
              </a:graphicData>
            </a:graphic>
          </wp:inline>
        </w:drawing>
      </w:r>
    </w:p>
    <w:p w:rsidR="0073377E" w:rsidRDefault="0073377E" w:rsidP="0073377E">
      <w:pPr>
        <w:pStyle w:val="Caption"/>
      </w:pPr>
      <w:bookmarkStart w:id="123" w:name="_Ref136339358"/>
      <w:r>
        <w:lastRenderedPageBreak/>
        <w:t xml:space="preserve">Figure </w:t>
      </w:r>
      <w:r w:rsidR="00C17F7C">
        <w:fldChar w:fldCharType="begin"/>
      </w:r>
      <w:r w:rsidR="00C17F7C">
        <w:instrText xml:space="preserve"> SEQ Figure \* ARABIC </w:instrText>
      </w:r>
      <w:r w:rsidR="00C17F7C">
        <w:fldChar w:fldCharType="separate"/>
      </w:r>
      <w:r w:rsidR="005F38BC">
        <w:rPr>
          <w:noProof/>
        </w:rPr>
        <w:t>33</w:t>
      </w:r>
      <w:r w:rsidR="00C17F7C">
        <w:fldChar w:fldCharType="end"/>
      </w:r>
      <w:bookmarkEnd w:id="121"/>
      <w:bookmarkEnd w:id="123"/>
      <w:r>
        <w:t>: VistA Logon</w:t>
      </w:r>
    </w:p>
    <w:p w:rsidR="00E35400" w:rsidRPr="00E35400" w:rsidRDefault="00634BFC" w:rsidP="00902159">
      <w:pPr>
        <w:pStyle w:val="BodyText"/>
      </w:pPr>
      <w:r>
        <w:rPr>
          <w:noProof/>
        </w:rPr>
        <w:drawing>
          <wp:inline distT="0" distB="0" distL="0" distR="0">
            <wp:extent cx="3200400" cy="23812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00400" cy="2381250"/>
                    </a:xfrm>
                    <a:prstGeom prst="rect">
                      <a:avLst/>
                    </a:prstGeom>
                    <a:noFill/>
                    <a:ln>
                      <a:noFill/>
                    </a:ln>
                  </pic:spPr>
                </pic:pic>
              </a:graphicData>
            </a:graphic>
          </wp:inline>
        </w:drawing>
      </w:r>
    </w:p>
    <w:p w:rsidR="002A21AE" w:rsidRDefault="002A21AE">
      <w:pPr>
        <w:pStyle w:val="Heading4"/>
      </w:pPr>
      <w:r>
        <w:t>Restore</w:t>
      </w:r>
      <w:r w:rsidR="00CA0045">
        <w:t xml:space="preserve"> VistA</w:t>
      </w:r>
      <w:r>
        <w:t xml:space="preserve"> Connection</w:t>
      </w:r>
      <w:r>
        <w:fldChar w:fldCharType="begin"/>
      </w:r>
      <w:r>
        <w:instrText xml:space="preserve"> XE </w:instrText>
      </w:r>
      <w:r w:rsidR="00FA7E65">
        <w:instrText>“</w:instrText>
      </w:r>
      <w:r>
        <w:instrText>Restore VistA Connection</w:instrText>
      </w:r>
      <w:r w:rsidR="00FA7E65">
        <w:instrText>”</w:instrText>
      </w:r>
      <w:r>
        <w:instrText xml:space="preserve"> </w:instrText>
      </w:r>
      <w:r>
        <w:fldChar w:fldCharType="end"/>
      </w:r>
      <w:r>
        <w:t xml:space="preserve"> </w:t>
      </w:r>
      <w:r>
        <w:rPr>
          <w:rFonts w:ascii="Times New Roman" w:hAnsi="Times New Roman"/>
          <w:b w:val="0"/>
          <w:vanish/>
        </w:rPr>
        <w:t>UC_103</w:t>
      </w:r>
    </w:p>
    <w:p w:rsidR="009D4F33" w:rsidRDefault="009D4F33" w:rsidP="00FA7E65">
      <w:pPr>
        <w:pStyle w:val="BodyText"/>
      </w:pPr>
      <w:r>
        <w:t>When a user is logged into a VBECS division and a VistA connection is not in place, VBECS attempts to reconnect.</w:t>
      </w:r>
    </w:p>
    <w:p w:rsidR="002A21AE" w:rsidRDefault="002A21AE">
      <w:pPr>
        <w:pStyle w:val="Heading4"/>
      </w:pPr>
      <w:r>
        <w:t>Restore</w:t>
      </w:r>
      <w:r w:rsidR="00CA0045">
        <w:t xml:space="preserve"> VistA</w:t>
      </w:r>
      <w:r>
        <w:t xml:space="preserve"> Connection</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6138"/>
      </w:tblGrid>
      <w:tr w:rsidR="002A21AE">
        <w:tblPrEx>
          <w:tblCellMar>
            <w:top w:w="0" w:type="dxa"/>
            <w:bottom w:w="0" w:type="dxa"/>
          </w:tblCellMar>
        </w:tblPrEx>
        <w:trPr>
          <w:tblHeader/>
        </w:trPr>
        <w:tc>
          <w:tcPr>
            <w:tcW w:w="3330" w:type="dxa"/>
            <w:shd w:val="pct30" w:color="auto" w:fill="FFFFFF"/>
            <w:vAlign w:val="bottom"/>
          </w:tcPr>
          <w:p w:rsidR="002A21AE" w:rsidRDefault="002A21AE">
            <w:pPr>
              <w:pStyle w:val="TableText"/>
              <w:rPr>
                <w:b/>
              </w:rPr>
            </w:pPr>
            <w:r>
              <w:rPr>
                <w:b/>
              </w:rPr>
              <w:t>User Action</w:t>
            </w:r>
          </w:p>
        </w:tc>
        <w:tc>
          <w:tcPr>
            <w:tcW w:w="6138"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330" w:type="dxa"/>
          </w:tcPr>
          <w:p w:rsidR="002A21AE" w:rsidRDefault="002A21AE">
            <w:pPr>
              <w:pStyle w:val="TableTextNumbers"/>
            </w:pPr>
            <w:r>
              <w:t xml:space="preserve">Attempt to use a VBECS option that requires a connection to </w:t>
            </w:r>
            <w:r w:rsidR="00CA0045" w:rsidRPr="00CA0045">
              <w:rPr>
                <w:bCs/>
              </w:rPr>
              <w:t>VistA</w:t>
            </w:r>
            <w:r>
              <w:t xml:space="preserve"> for data retrieval.</w:t>
            </w:r>
          </w:p>
        </w:tc>
        <w:tc>
          <w:tcPr>
            <w:tcW w:w="6138" w:type="dxa"/>
          </w:tcPr>
          <w:p w:rsidR="002A21AE" w:rsidRDefault="002A21AE">
            <w:pPr>
              <w:pStyle w:val="TableTextBullet"/>
            </w:pPr>
            <w:r>
              <w:t xml:space="preserve">Displays a message that the </w:t>
            </w:r>
            <w:r w:rsidR="00CA0045" w:rsidRPr="00CA0045">
              <w:rPr>
                <w:bCs/>
              </w:rPr>
              <w:t>VistA</w:t>
            </w:r>
            <w:r>
              <w:t xml:space="preserve"> connection is not available and asks whether the user wishes to attempt to reconnect.</w:t>
            </w:r>
          </w:p>
          <w:p w:rsidR="002A21AE" w:rsidRDefault="002A21AE">
            <w:pPr>
              <w:pStyle w:val="TableTextBullet"/>
            </w:pPr>
            <w:r>
              <w:t xml:space="preserve">Allows the user to enter his </w:t>
            </w:r>
            <w:r w:rsidR="00CA0045" w:rsidRPr="00CA0045">
              <w:rPr>
                <w:bCs/>
              </w:rPr>
              <w:t>VistA</w:t>
            </w:r>
            <w:r>
              <w:t xml:space="preserve"> logon information.</w:t>
            </w:r>
          </w:p>
        </w:tc>
      </w:tr>
      <w:tr w:rsidR="002A21AE">
        <w:tblPrEx>
          <w:tblCellMar>
            <w:top w:w="0" w:type="dxa"/>
            <w:bottom w:w="0" w:type="dxa"/>
          </w:tblCellMar>
        </w:tblPrEx>
        <w:tc>
          <w:tcPr>
            <w:tcW w:w="3330" w:type="dxa"/>
          </w:tcPr>
          <w:p w:rsidR="002A21AE" w:rsidRDefault="002A21AE">
            <w:pPr>
              <w:pStyle w:val="TableTextNumbers"/>
            </w:pPr>
            <w:r>
              <w:t>Enter personal logon information or cancel.</w:t>
            </w:r>
          </w:p>
        </w:tc>
        <w:tc>
          <w:tcPr>
            <w:tcW w:w="6138" w:type="dxa"/>
          </w:tcPr>
          <w:p w:rsidR="002A21AE" w:rsidRDefault="002A21AE">
            <w:pPr>
              <w:pStyle w:val="TableTextBullet"/>
            </w:pPr>
            <w:r>
              <w:t xml:space="preserve">Attempts to connect using the user’s information when logon information is entered. </w:t>
            </w:r>
          </w:p>
          <w:p w:rsidR="002A21AE" w:rsidRDefault="002A21AE">
            <w:pPr>
              <w:pStyle w:val="TableTextBullet"/>
            </w:pPr>
            <w:r>
              <w:t xml:space="preserve">When a connection </w:t>
            </w:r>
            <w:r w:rsidR="009F0876">
              <w:t xml:space="preserve">is </w:t>
            </w:r>
            <w:r>
              <w:t>achieved, closes the pop-up and takes the user to the selected option.</w:t>
            </w:r>
          </w:p>
          <w:p w:rsidR="002A21AE" w:rsidRDefault="002A21AE">
            <w:pPr>
              <w:pStyle w:val="TableTextBullet"/>
            </w:pPr>
            <w:r>
              <w:t>When a successful connection cannot be achieved, does not allow the user to continue in the option.</w:t>
            </w:r>
          </w:p>
          <w:p w:rsidR="002A21AE" w:rsidRDefault="002A21AE">
            <w:pPr>
              <w:pStyle w:val="TableTextBullet"/>
            </w:pPr>
            <w:r>
              <w:t xml:space="preserve">Closes the pop-up when the user clicks </w:t>
            </w:r>
            <w:r>
              <w:rPr>
                <w:b/>
              </w:rPr>
              <w:t>Cancel</w:t>
            </w:r>
            <w:r>
              <w:t>.</w:t>
            </w:r>
          </w:p>
        </w:tc>
      </w:tr>
      <w:tr w:rsidR="002A21AE">
        <w:tblPrEx>
          <w:tblCellMar>
            <w:top w:w="0" w:type="dxa"/>
            <w:bottom w:w="0" w:type="dxa"/>
          </w:tblCellMar>
        </w:tblPrEx>
        <w:tc>
          <w:tcPr>
            <w:tcW w:w="3330" w:type="dxa"/>
          </w:tcPr>
          <w:p w:rsidR="002A21AE" w:rsidRDefault="002A21AE">
            <w:pPr>
              <w:pStyle w:val="TableTextNumbers"/>
            </w:pPr>
            <w:r>
              <w:t>Continue in the selected option.</w:t>
            </w:r>
            <w:r w:rsidR="005A3214">
              <w:t xml:space="preserve"> </w:t>
            </w:r>
            <w:r w:rsidR="00282A20" w:rsidRPr="00912F51">
              <w:rPr>
                <w:color w:val="FFFFFF"/>
              </w:rPr>
              <w:fldChar w:fldCharType="begin"/>
            </w:r>
            <w:r w:rsidR="00282A20" w:rsidRPr="00912F51">
              <w:rPr>
                <w:color w:val="FFFFFF"/>
              </w:rPr>
              <w:instrText xml:space="preserve"> LISTNUM \l 1 \s 0 </w:instrText>
            </w:r>
            <w:r w:rsidR="00282A20" w:rsidRPr="00912F51">
              <w:rPr>
                <w:color w:val="FFFFFF"/>
              </w:rPr>
              <w:fldChar w:fldCharType="end"/>
            </w:r>
            <w:r w:rsidR="00282A20">
              <w:rPr>
                <w:vanish/>
                <w:szCs w:val="18"/>
              </w:rPr>
              <w:t xml:space="preserve"> </w:t>
            </w:r>
          </w:p>
        </w:tc>
        <w:tc>
          <w:tcPr>
            <w:tcW w:w="6138" w:type="dxa"/>
          </w:tcPr>
          <w:p w:rsidR="002A21AE" w:rsidRDefault="002A21AE" w:rsidP="00B93B42">
            <w:pPr>
              <w:pStyle w:val="TableText"/>
            </w:pPr>
          </w:p>
        </w:tc>
      </w:tr>
    </w:tbl>
    <w:p w:rsidR="00A63649" w:rsidRDefault="00A63649" w:rsidP="00A63649">
      <w:pPr>
        <w:pStyle w:val="Heading3"/>
      </w:pPr>
      <w:bookmarkStart w:id="124" w:name="_Toc459900061"/>
      <w:r>
        <w:t>Exit VBECS</w:t>
      </w:r>
      <w:bookmarkEnd w:id="124"/>
    </w:p>
    <w:p w:rsidR="00440657" w:rsidRDefault="0066150B" w:rsidP="0066150B">
      <w:pPr>
        <w:pStyle w:val="BodyText"/>
      </w:pPr>
      <w:r>
        <w:t xml:space="preserve">A user may </w:t>
      </w:r>
      <w:r w:rsidR="00A63649">
        <w:t xml:space="preserve">shut down the </w:t>
      </w:r>
      <w:r w:rsidR="00FB0351">
        <w:t>VBECS se</w:t>
      </w:r>
      <w:r w:rsidR="00A63649">
        <w:t xml:space="preserve">ssion. </w:t>
      </w:r>
    </w:p>
    <w:p w:rsidR="001615A5" w:rsidRDefault="001615A5" w:rsidP="001615A5">
      <w:pPr>
        <w:pStyle w:val="Heading4"/>
      </w:pPr>
      <w:r>
        <w:t xml:space="preserve">Shut Down </w:t>
      </w:r>
      <w:r w:rsidR="00A55BC7">
        <w:t xml:space="preserve">VBECS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6138"/>
      </w:tblGrid>
      <w:tr w:rsidR="001615A5">
        <w:tblPrEx>
          <w:tblCellMar>
            <w:top w:w="0" w:type="dxa"/>
            <w:bottom w:w="0" w:type="dxa"/>
          </w:tblCellMar>
        </w:tblPrEx>
        <w:trPr>
          <w:tblHeader/>
        </w:trPr>
        <w:tc>
          <w:tcPr>
            <w:tcW w:w="3330" w:type="dxa"/>
            <w:shd w:val="pct30" w:color="auto" w:fill="FFFFFF"/>
            <w:vAlign w:val="bottom"/>
          </w:tcPr>
          <w:p w:rsidR="001615A5" w:rsidRDefault="001615A5" w:rsidP="0065349F">
            <w:pPr>
              <w:pStyle w:val="TableText"/>
              <w:rPr>
                <w:b/>
              </w:rPr>
            </w:pPr>
            <w:r>
              <w:rPr>
                <w:b/>
              </w:rPr>
              <w:t>User Action</w:t>
            </w:r>
          </w:p>
        </w:tc>
        <w:tc>
          <w:tcPr>
            <w:tcW w:w="6138" w:type="dxa"/>
            <w:shd w:val="pct30" w:color="auto" w:fill="FFFFFF"/>
            <w:vAlign w:val="bottom"/>
          </w:tcPr>
          <w:p w:rsidR="001615A5" w:rsidRDefault="001615A5" w:rsidP="0065349F">
            <w:pPr>
              <w:pStyle w:val="TableText"/>
              <w:rPr>
                <w:b/>
              </w:rPr>
            </w:pPr>
            <w:r>
              <w:rPr>
                <w:b/>
              </w:rPr>
              <w:t>VBECS</w:t>
            </w:r>
          </w:p>
        </w:tc>
      </w:tr>
      <w:tr w:rsidR="001615A5">
        <w:tblPrEx>
          <w:tblCellMar>
            <w:top w:w="0" w:type="dxa"/>
            <w:bottom w:w="0" w:type="dxa"/>
          </w:tblCellMar>
        </w:tblPrEx>
        <w:tc>
          <w:tcPr>
            <w:tcW w:w="3330" w:type="dxa"/>
          </w:tcPr>
          <w:p w:rsidR="001615A5" w:rsidRDefault="001615A5" w:rsidP="0065349F">
            <w:pPr>
              <w:pStyle w:val="TableTextNumbers"/>
            </w:pPr>
            <w:r>
              <w:t xml:space="preserve">To shut down </w:t>
            </w:r>
            <w:r w:rsidR="00A55BC7">
              <w:t>VBECS</w:t>
            </w:r>
            <w:r>
              <w:t xml:space="preserve">, select </w:t>
            </w:r>
            <w:r w:rsidRPr="001615A5">
              <w:rPr>
                <w:b/>
              </w:rPr>
              <w:t>File</w:t>
            </w:r>
            <w:r>
              <w:t xml:space="preserve">, </w:t>
            </w:r>
            <w:r w:rsidRPr="001615A5">
              <w:rPr>
                <w:b/>
              </w:rPr>
              <w:t>Exit VBECS</w:t>
            </w:r>
            <w:r>
              <w:t>.</w:t>
            </w:r>
          </w:p>
          <w:p w:rsidR="001615A5" w:rsidRDefault="001615A5" w:rsidP="001615A5">
            <w:pPr>
              <w:pStyle w:val="TableTextNumbers"/>
              <w:numPr>
                <w:ilvl w:val="0"/>
                <w:numId w:val="0"/>
              </w:numPr>
              <w:ind w:left="288" w:hanging="288"/>
            </w:pPr>
          </w:p>
          <w:p w:rsidR="001615A5" w:rsidRDefault="001615A5" w:rsidP="001615A5">
            <w:pPr>
              <w:pStyle w:val="TableTextNumbersContinued"/>
            </w:pPr>
            <w:r>
              <w:t xml:space="preserve">Click </w:t>
            </w:r>
            <w:r w:rsidRPr="001615A5">
              <w:rPr>
                <w:b/>
              </w:rPr>
              <w:t>Yes</w:t>
            </w:r>
            <w:r>
              <w:t xml:space="preserve"> at the prompt.</w:t>
            </w:r>
          </w:p>
        </w:tc>
        <w:tc>
          <w:tcPr>
            <w:tcW w:w="6138" w:type="dxa"/>
          </w:tcPr>
          <w:p w:rsidR="001615A5" w:rsidRPr="002E1917" w:rsidRDefault="001615A5" w:rsidP="0065349F">
            <w:pPr>
              <w:pStyle w:val="TableTextBullet"/>
              <w:rPr>
                <w:b/>
                <w:bCs/>
                <w:szCs w:val="18"/>
              </w:rPr>
            </w:pPr>
            <w:r>
              <w:t>Exposes the server desktop.</w:t>
            </w:r>
          </w:p>
          <w:p w:rsidR="002E1917" w:rsidRPr="00440657" w:rsidRDefault="002E1917" w:rsidP="002E1917">
            <w:pPr>
              <w:pStyle w:val="NotesText"/>
              <w:rPr>
                <w:b/>
                <w:bCs/>
                <w:szCs w:val="18"/>
              </w:rPr>
            </w:pPr>
          </w:p>
        </w:tc>
      </w:tr>
      <w:tr w:rsidR="001615A5">
        <w:tblPrEx>
          <w:tblCellMar>
            <w:top w:w="0" w:type="dxa"/>
            <w:bottom w:w="0" w:type="dxa"/>
          </w:tblCellMar>
        </w:tblPrEx>
        <w:tc>
          <w:tcPr>
            <w:tcW w:w="3330" w:type="dxa"/>
          </w:tcPr>
          <w:p w:rsidR="001615A5" w:rsidRDefault="001615A5" w:rsidP="0065349F">
            <w:pPr>
              <w:pStyle w:val="TableTextNumbers"/>
            </w:pPr>
            <w:r>
              <w:t xml:space="preserve">Select </w:t>
            </w:r>
            <w:r>
              <w:rPr>
                <w:b/>
              </w:rPr>
              <w:t>Start</w:t>
            </w:r>
            <w:r>
              <w:t xml:space="preserve">, </w:t>
            </w:r>
            <w:r w:rsidRPr="00440657">
              <w:rPr>
                <w:b/>
              </w:rPr>
              <w:t xml:space="preserve">Log </w:t>
            </w:r>
            <w:r w:rsidR="00192E38">
              <w:rPr>
                <w:b/>
              </w:rPr>
              <w:t>O</w:t>
            </w:r>
            <w:r w:rsidRPr="00440657">
              <w:rPr>
                <w:b/>
              </w:rPr>
              <w:t>ff</w:t>
            </w:r>
            <w:r>
              <w:t xml:space="preserve">. </w:t>
            </w:r>
          </w:p>
          <w:p w:rsidR="001615A5" w:rsidRDefault="001615A5" w:rsidP="0065349F">
            <w:pPr>
              <w:pStyle w:val="TableTextNumbers"/>
              <w:numPr>
                <w:ilvl w:val="0"/>
                <w:numId w:val="0"/>
              </w:numPr>
              <w:ind w:left="288" w:hanging="288"/>
            </w:pPr>
          </w:p>
          <w:p w:rsidR="001615A5" w:rsidRDefault="001615A5" w:rsidP="0065349F">
            <w:pPr>
              <w:pStyle w:val="TableTextNumbersContinued"/>
            </w:pPr>
            <w:r>
              <w:t xml:space="preserve">At the prompt, select </w:t>
            </w:r>
            <w:r w:rsidRPr="00440657">
              <w:rPr>
                <w:b/>
              </w:rPr>
              <w:t xml:space="preserve">Log </w:t>
            </w:r>
            <w:r w:rsidR="00192E38">
              <w:rPr>
                <w:b/>
              </w:rPr>
              <w:t>O</w:t>
            </w:r>
            <w:r w:rsidRPr="00440657">
              <w:rPr>
                <w:b/>
              </w:rPr>
              <w:t>ff</w:t>
            </w:r>
            <w:r>
              <w:t xml:space="preserve"> or </w:t>
            </w:r>
            <w:r w:rsidRPr="00440657">
              <w:rPr>
                <w:b/>
              </w:rPr>
              <w:t>Cancel</w:t>
            </w:r>
            <w:r>
              <w:t xml:space="preserve">. </w:t>
            </w:r>
            <w:r w:rsidRPr="00912F51">
              <w:rPr>
                <w:color w:val="FFFFFF"/>
              </w:rPr>
              <w:fldChar w:fldCharType="begin"/>
            </w:r>
            <w:r w:rsidRPr="00912F51">
              <w:rPr>
                <w:color w:val="FFFFFF"/>
              </w:rPr>
              <w:instrText xml:space="preserve"> LISTNUM \l 1 \s 0 </w:instrText>
            </w:r>
            <w:r w:rsidRPr="00912F51">
              <w:rPr>
                <w:color w:val="FFFFFF"/>
              </w:rPr>
              <w:fldChar w:fldCharType="end"/>
            </w:r>
          </w:p>
        </w:tc>
        <w:tc>
          <w:tcPr>
            <w:tcW w:w="6138" w:type="dxa"/>
          </w:tcPr>
          <w:p w:rsidR="001615A5" w:rsidRDefault="001615A5" w:rsidP="0065349F">
            <w:pPr>
              <w:pStyle w:val="TableTextBullet"/>
              <w:ind w:left="0" w:firstLine="0"/>
            </w:pPr>
            <w:r>
              <w:t>Shuts down the session.</w:t>
            </w:r>
          </w:p>
          <w:p w:rsidR="001615A5" w:rsidRDefault="001615A5" w:rsidP="00B52C54">
            <w:pPr>
              <w:pStyle w:val="TableTextBullet"/>
              <w:ind w:left="0" w:firstLine="0"/>
            </w:pPr>
            <w:r>
              <w:t>Terminates open applications.</w:t>
            </w:r>
          </w:p>
        </w:tc>
      </w:tr>
    </w:tbl>
    <w:p w:rsidR="00BF1B17" w:rsidRDefault="00BF1B17" w:rsidP="00BF1B17">
      <w:pPr>
        <w:pStyle w:val="Heading3"/>
      </w:pPr>
      <w:bookmarkStart w:id="125" w:name="_Toc459900062"/>
      <w:r>
        <w:lastRenderedPageBreak/>
        <w:t>Screen Settings</w:t>
      </w:r>
      <w:bookmarkEnd w:id="125"/>
      <w:r>
        <w:fldChar w:fldCharType="begin"/>
      </w:r>
      <w:r>
        <w:instrText xml:space="preserve"> XE "</w:instrText>
      </w:r>
      <w:r w:rsidRPr="00775368">
        <w:instrText xml:space="preserve">Screen </w:instrText>
      </w:r>
      <w:r>
        <w:instrText xml:space="preserve">Settings" </w:instrText>
      </w:r>
      <w:r>
        <w:fldChar w:fldCharType="end"/>
      </w:r>
    </w:p>
    <w:p w:rsidR="00DF4846" w:rsidRDefault="00634BFC" w:rsidP="00794E90">
      <w:pPr>
        <w:pStyle w:val="Caution"/>
      </w:pPr>
      <w:r>
        <w:rPr>
          <w:noProof/>
        </w:rPr>
        <w:drawing>
          <wp:inline distT="0" distB="0" distL="0" distR="0">
            <wp:extent cx="266700" cy="2190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794E90">
        <w:t xml:space="preserve"> VBECS was designed to operate with the settings described in this section</w:t>
      </w:r>
      <w:r w:rsidR="00003AD8">
        <w:t xml:space="preserve"> to display </w:t>
      </w:r>
      <w:r w:rsidR="009B0422">
        <w:t>complete</w:t>
      </w:r>
      <w:r w:rsidR="00003AD8">
        <w:t xml:space="preserve"> screens</w:t>
      </w:r>
      <w:r w:rsidR="00794E90">
        <w:t xml:space="preserve">. </w:t>
      </w:r>
      <w:r w:rsidR="00003AD8">
        <w:t>Failure to maintain t</w:t>
      </w:r>
      <w:r w:rsidR="00794E90">
        <w:t>hese settings</w:t>
      </w:r>
      <w:r w:rsidR="00003AD8">
        <w:t xml:space="preserve"> may result in partial display of safety-critical informatio</w:t>
      </w:r>
      <w:r w:rsidR="009B0422">
        <w:t>n.</w:t>
      </w:r>
      <w:r w:rsidR="00DF4846" w:rsidRPr="00DF4846">
        <w:t xml:space="preserve"> </w:t>
      </w:r>
    </w:p>
    <w:p w:rsidR="009B4546" w:rsidRDefault="009B4546" w:rsidP="00BF1B17">
      <w:pPr>
        <w:pStyle w:val="Heading4"/>
      </w:pPr>
      <w:r>
        <w:t xml:space="preserve">Local Machine Screen </w:t>
      </w:r>
      <w:r w:rsidR="00BF4B65">
        <w:t>Resolution</w:t>
      </w:r>
      <w:r>
        <w:fldChar w:fldCharType="begin"/>
      </w:r>
      <w:r>
        <w:instrText xml:space="preserve"> XE "Local Machine </w:instrText>
      </w:r>
      <w:r w:rsidRPr="00775368">
        <w:instrText xml:space="preserve">Screen </w:instrText>
      </w:r>
      <w:r w:rsidR="00BF4B65">
        <w:instrText>Resolution</w:instrText>
      </w:r>
      <w:r>
        <w:instrText xml:space="preserve">" </w:instrText>
      </w:r>
      <w:r>
        <w:fldChar w:fldCharType="end"/>
      </w:r>
    </w:p>
    <w:p w:rsidR="009B4546" w:rsidRPr="00AB3B2D" w:rsidRDefault="00634BFC" w:rsidP="009B4546">
      <w:pPr>
        <w:pStyle w:val="Caution"/>
        <w:rPr>
          <w:i w:val="0"/>
        </w:rPr>
      </w:pPr>
      <w:bookmarkStart w:id="126" w:name="OLE_LINK47"/>
      <w:bookmarkStart w:id="127" w:name="OLE_LINK48"/>
      <w:r>
        <w:rPr>
          <w:noProof/>
        </w:rPr>
        <w:drawing>
          <wp:inline distT="0" distB="0" distL="0" distR="0">
            <wp:extent cx="266700" cy="2190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9B4546">
        <w:t xml:space="preserve"> </w:t>
      </w:r>
      <w:bookmarkEnd w:id="126"/>
      <w:bookmarkEnd w:id="127"/>
      <w:r w:rsidR="0078056E">
        <w:t>Set t</w:t>
      </w:r>
      <w:r w:rsidR="009B4546">
        <w:t xml:space="preserve">he local machine’s desktop </w:t>
      </w:r>
      <w:r w:rsidR="00BF4B65">
        <w:t>resolution</w:t>
      </w:r>
      <w:r w:rsidR="009B4546">
        <w:t xml:space="preserve"> to 1</w:t>
      </w:r>
      <w:r w:rsidR="00BF4B65">
        <w:t>02</w:t>
      </w:r>
      <w:r w:rsidR="009B4546">
        <w:t xml:space="preserve">4 </w:t>
      </w:r>
      <w:r w:rsidR="00176587">
        <w:t>by</w:t>
      </w:r>
      <w:r w:rsidR="009B4546">
        <w:t xml:space="preserve"> 768 pixels</w:t>
      </w:r>
      <w:r w:rsidR="006E036F">
        <w:t xml:space="preserve"> </w:t>
      </w:r>
      <w:r w:rsidR="006E036F" w:rsidRPr="00624D16">
        <w:t>or higher</w:t>
      </w:r>
      <w:r w:rsidR="0078056E" w:rsidRPr="00624D16">
        <w:t xml:space="preserve"> for</w:t>
      </w:r>
      <w:r w:rsidR="0078056E">
        <w:t xml:space="preserve"> optimal display</w:t>
      </w:r>
      <w:r w:rsidR="009B4546">
        <w:t>.</w:t>
      </w:r>
      <w:r w:rsidR="00AB3B2D">
        <w:rPr>
          <w:i w:val="0"/>
          <w:vanish/>
        </w:rPr>
        <w:t xml:space="preserve"> DR 3738</w:t>
      </w:r>
    </w:p>
    <w:p w:rsidR="009B4546" w:rsidRDefault="009B4546" w:rsidP="009B4546">
      <w:pPr>
        <w:pStyle w:val="BodyText"/>
      </w:pPr>
      <w:r>
        <w:t xml:space="preserve">To adjust the </w:t>
      </w:r>
      <w:r w:rsidR="00BF4B65">
        <w:t>resolution</w:t>
      </w:r>
      <w:r>
        <w:t xml:space="preserve"> of the screens that you view:</w:t>
      </w:r>
    </w:p>
    <w:p w:rsidR="009B4546" w:rsidRPr="00035F16" w:rsidRDefault="009B4546" w:rsidP="006B270F">
      <w:pPr>
        <w:pStyle w:val="ListNumber"/>
      </w:pPr>
      <w:r w:rsidRPr="00035F16">
        <w:t xml:space="preserve">Click </w:t>
      </w:r>
      <w:r w:rsidRPr="006B270F">
        <w:rPr>
          <w:b/>
        </w:rPr>
        <w:t>Start</w:t>
      </w:r>
      <w:r w:rsidRPr="00035F16">
        <w:t xml:space="preserve">, </w:t>
      </w:r>
      <w:r w:rsidRPr="006B270F">
        <w:rPr>
          <w:b/>
        </w:rPr>
        <w:t>Settings</w:t>
      </w:r>
      <w:r w:rsidRPr="00035F16">
        <w:t>,</w:t>
      </w:r>
      <w:r w:rsidRPr="008F1B39">
        <w:t xml:space="preserve"> </w:t>
      </w:r>
      <w:r w:rsidRPr="006B270F">
        <w:rPr>
          <w:b/>
        </w:rPr>
        <w:t>Control Panel</w:t>
      </w:r>
      <w:r w:rsidRPr="00035F16">
        <w:t>.</w:t>
      </w:r>
    </w:p>
    <w:p w:rsidR="009B4546" w:rsidRPr="00035F16" w:rsidRDefault="009B4546" w:rsidP="006B270F">
      <w:pPr>
        <w:pStyle w:val="ListNumber"/>
      </w:pPr>
      <w:r>
        <w:t>C</w:t>
      </w:r>
      <w:r w:rsidRPr="00035F16">
        <w:t xml:space="preserve">lick </w:t>
      </w:r>
      <w:r w:rsidR="003964D7" w:rsidRPr="006B270F">
        <w:rPr>
          <w:b/>
        </w:rPr>
        <w:t>Appearance and Themes</w:t>
      </w:r>
      <w:r w:rsidRPr="00035F16">
        <w:t>.</w:t>
      </w:r>
    </w:p>
    <w:p w:rsidR="009B4546" w:rsidRPr="00035F16" w:rsidRDefault="009B4546" w:rsidP="006B270F">
      <w:pPr>
        <w:pStyle w:val="ListNumber"/>
      </w:pPr>
      <w:r>
        <w:t>C</w:t>
      </w:r>
      <w:r w:rsidRPr="00035F16">
        <w:t xml:space="preserve">lick </w:t>
      </w:r>
      <w:r w:rsidR="003964D7" w:rsidRPr="006B270F">
        <w:rPr>
          <w:b/>
        </w:rPr>
        <w:t>Change the screen resolution</w:t>
      </w:r>
      <w:r w:rsidRPr="00035F16">
        <w:t>.</w:t>
      </w:r>
    </w:p>
    <w:p w:rsidR="009B4546" w:rsidRDefault="009B4546" w:rsidP="006B270F">
      <w:pPr>
        <w:pStyle w:val="ListNumber"/>
      </w:pPr>
      <w:r>
        <w:t xml:space="preserve">Select the </w:t>
      </w:r>
      <w:r w:rsidR="003964D7">
        <w:rPr>
          <w:b/>
        </w:rPr>
        <w:t>Settings</w:t>
      </w:r>
      <w:r w:rsidRPr="00E712C8">
        <w:rPr>
          <w:b/>
        </w:rPr>
        <w:t xml:space="preserve"> </w:t>
      </w:r>
      <w:r w:rsidRPr="00CC3C89">
        <w:t>tab</w:t>
      </w:r>
      <w:r w:rsidR="00BF4B65">
        <w:rPr>
          <w:b/>
        </w:rPr>
        <w:t xml:space="preserve"> </w:t>
      </w:r>
      <w:r w:rsidR="00BF4B65" w:rsidRPr="00BF4B65">
        <w:t>(</w:t>
      </w:r>
      <w:r w:rsidR="009F26EA">
        <w:fldChar w:fldCharType="begin"/>
      </w:r>
      <w:r w:rsidR="009F26EA">
        <w:instrText xml:space="preserve"> REF _Ref133622881 \h </w:instrText>
      </w:r>
      <w:r w:rsidR="006B270F">
        <w:instrText xml:space="preserve"> \* MERGEFORMAT </w:instrText>
      </w:r>
      <w:r w:rsidR="009F26EA">
        <w:fldChar w:fldCharType="separate"/>
      </w:r>
      <w:r w:rsidR="005F38BC">
        <w:t xml:space="preserve">Figure </w:t>
      </w:r>
      <w:r w:rsidR="005F38BC">
        <w:rPr>
          <w:noProof/>
        </w:rPr>
        <w:t>34</w:t>
      </w:r>
      <w:r w:rsidR="009F26EA">
        <w:fldChar w:fldCharType="end"/>
      </w:r>
      <w:r w:rsidR="00BF4B65" w:rsidRPr="00BF4B65">
        <w:t>)</w:t>
      </w:r>
      <w:r>
        <w:t>.</w:t>
      </w:r>
    </w:p>
    <w:p w:rsidR="009B4546" w:rsidRDefault="009B4546" w:rsidP="006B270F">
      <w:pPr>
        <w:pStyle w:val="ListNumber"/>
      </w:pPr>
      <w:r>
        <w:t>C</w:t>
      </w:r>
      <w:r w:rsidRPr="00035F16">
        <w:t xml:space="preserve">lick, hold, and slide the pointer to </w:t>
      </w:r>
      <w:r w:rsidR="006751FA">
        <w:t xml:space="preserve">a </w:t>
      </w:r>
      <w:r w:rsidR="00BF4B65">
        <w:t xml:space="preserve">screen resolution </w:t>
      </w:r>
      <w:r w:rsidR="006751FA">
        <w:t>of</w:t>
      </w:r>
      <w:r w:rsidR="00BF4B65">
        <w:t xml:space="preserve"> 1024 </w:t>
      </w:r>
      <w:r w:rsidR="00176587">
        <w:t>by</w:t>
      </w:r>
      <w:r w:rsidR="00BF4B65">
        <w:t xml:space="preserve"> 768 pixels</w:t>
      </w:r>
      <w:r w:rsidRPr="00035F16">
        <w:t>.</w:t>
      </w:r>
    </w:p>
    <w:p w:rsidR="00BF4B65" w:rsidRDefault="00BF4B65" w:rsidP="006B270F">
      <w:pPr>
        <w:pStyle w:val="ListNumber"/>
      </w:pPr>
      <w:r>
        <w:t xml:space="preserve">Click </w:t>
      </w:r>
      <w:r w:rsidRPr="00BF4B65">
        <w:rPr>
          <w:b/>
        </w:rPr>
        <w:t>Apply</w:t>
      </w:r>
      <w:r>
        <w:t>.</w:t>
      </w:r>
    </w:p>
    <w:p w:rsidR="009B4546" w:rsidRDefault="009B4546" w:rsidP="006B270F">
      <w:pPr>
        <w:pStyle w:val="ListNumber"/>
      </w:pPr>
      <w:r w:rsidRPr="00035F16">
        <w:t>Cl</w:t>
      </w:r>
      <w:r>
        <w:t xml:space="preserve">ick </w:t>
      </w:r>
      <w:r w:rsidRPr="003247FD">
        <w:rPr>
          <w:b/>
        </w:rPr>
        <w:t>OK</w:t>
      </w:r>
      <w:r>
        <w:t xml:space="preserve"> to save the setting.</w:t>
      </w:r>
    </w:p>
    <w:p w:rsidR="00BF4B65" w:rsidRDefault="00BF4B65" w:rsidP="00BF4B65">
      <w:pPr>
        <w:pStyle w:val="Caption"/>
      </w:pPr>
      <w:bookmarkStart w:id="128" w:name="_Ref133622881"/>
      <w:r>
        <w:t xml:space="preserve">Figure </w:t>
      </w:r>
      <w:r w:rsidR="00C17F7C">
        <w:fldChar w:fldCharType="begin"/>
      </w:r>
      <w:r w:rsidR="00C17F7C">
        <w:instrText xml:space="preserve"> SEQ Figure \* ARABIC </w:instrText>
      </w:r>
      <w:r w:rsidR="00C17F7C">
        <w:fldChar w:fldCharType="separate"/>
      </w:r>
      <w:r w:rsidR="005F38BC">
        <w:rPr>
          <w:noProof/>
        </w:rPr>
        <w:t>34</w:t>
      </w:r>
      <w:r w:rsidR="00C17F7C">
        <w:fldChar w:fldCharType="end"/>
      </w:r>
      <w:bookmarkEnd w:id="128"/>
      <w:r>
        <w:t xml:space="preserve">: </w:t>
      </w:r>
      <w:r w:rsidR="00FF5AF5">
        <w:t>Local Machine Screen Resolution</w:t>
      </w:r>
    </w:p>
    <w:p w:rsidR="00BF4B65" w:rsidRDefault="00634BFC" w:rsidP="00BF4B65">
      <w:pPr>
        <w:pStyle w:val="BodyText"/>
      </w:pPr>
      <w:r>
        <w:rPr>
          <w:noProof/>
        </w:rPr>
        <w:drawing>
          <wp:inline distT="0" distB="0" distL="0" distR="0">
            <wp:extent cx="3848100" cy="43338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48100" cy="4333875"/>
                    </a:xfrm>
                    <a:prstGeom prst="rect">
                      <a:avLst/>
                    </a:prstGeom>
                    <a:noFill/>
                    <a:ln>
                      <a:noFill/>
                    </a:ln>
                  </pic:spPr>
                </pic:pic>
              </a:graphicData>
            </a:graphic>
          </wp:inline>
        </w:drawing>
      </w:r>
    </w:p>
    <w:p w:rsidR="00BF1B17" w:rsidRDefault="00BF1B17" w:rsidP="00BF1B17">
      <w:pPr>
        <w:pStyle w:val="Heading4"/>
      </w:pPr>
      <w:r>
        <w:lastRenderedPageBreak/>
        <w:t>Remote Desktop Connection Screen Size</w:t>
      </w:r>
      <w:r>
        <w:fldChar w:fldCharType="begin"/>
      </w:r>
      <w:r>
        <w:instrText xml:space="preserve"> XE "</w:instrText>
      </w:r>
      <w:r w:rsidRPr="00775368">
        <w:instrText xml:space="preserve">Remote Desktop </w:instrText>
      </w:r>
      <w:r>
        <w:instrText xml:space="preserve">Connections </w:instrText>
      </w:r>
      <w:r w:rsidRPr="00775368">
        <w:instrText>Screen Size</w:instrText>
      </w:r>
      <w:r>
        <w:instrText xml:space="preserve">" </w:instrText>
      </w:r>
      <w:r>
        <w:fldChar w:fldCharType="end"/>
      </w:r>
    </w:p>
    <w:p w:rsidR="00BF1B17" w:rsidRDefault="00634BFC" w:rsidP="00BF1B17">
      <w:pPr>
        <w:pStyle w:val="Caution"/>
      </w:pPr>
      <w:r>
        <w:rPr>
          <w:noProof/>
        </w:rPr>
        <w:drawing>
          <wp:inline distT="0" distB="0" distL="0" distR="0">
            <wp:extent cx="266700" cy="2190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BF1B17">
        <w:t xml:space="preserve"> The Remote Desktop Connection desktop size must be set to “Full Screen.”</w:t>
      </w:r>
    </w:p>
    <w:p w:rsidR="00BF1B17" w:rsidRDefault="00BF1B17" w:rsidP="00DD75E5">
      <w:pPr>
        <w:pStyle w:val="BodyText"/>
      </w:pPr>
      <w:r>
        <w:t>To adjust the dimension of the screens that you view:</w:t>
      </w:r>
    </w:p>
    <w:p w:rsidR="00BF1B17" w:rsidRPr="00624D16" w:rsidRDefault="00430868" w:rsidP="002F6D7B">
      <w:pPr>
        <w:pStyle w:val="ListNumber"/>
        <w:numPr>
          <w:ilvl w:val="0"/>
          <w:numId w:val="16"/>
        </w:numPr>
      </w:pPr>
      <w:r>
        <w:t>Double-</w:t>
      </w:r>
      <w:r w:rsidR="00BF1B17" w:rsidRPr="00624D16">
        <w:t xml:space="preserve">click </w:t>
      </w:r>
      <w:r w:rsidR="00BF1B17" w:rsidRPr="00624D16">
        <w:object w:dxaOrig="495" w:dyaOrig="525">
          <v:shape id="_x0000_i1026" type="#_x0000_t75" style="width:15pt;height:15.75pt" o:ole="">
            <v:imagedata r:id="rId75" o:title=""/>
          </v:shape>
          <o:OLEObject Type="Embed" ProgID="PBrush" ShapeID="_x0000_i1026" DrawAspect="Content" ObjectID="_1538556479" r:id="rId76"/>
        </w:object>
      </w:r>
      <w:r w:rsidR="00BF1B17" w:rsidRPr="00624D16">
        <w:t xml:space="preserve"> </w:t>
      </w:r>
      <w:r w:rsidR="006E036F" w:rsidRPr="00624D16">
        <w:t>the VBECS (</w:t>
      </w:r>
      <w:r w:rsidR="00BF1B17" w:rsidRPr="00624D16">
        <w:rPr>
          <w:b/>
        </w:rPr>
        <w:t>Remote Desktop Connection icon</w:t>
      </w:r>
      <w:r w:rsidR="00BF1B17" w:rsidRPr="00624D16">
        <w:t>)</w:t>
      </w:r>
      <w:r w:rsidR="006E036F" w:rsidRPr="00624D16">
        <w:t xml:space="preserve"> located on the local workstation desktop</w:t>
      </w:r>
      <w:r w:rsidR="00BF1B17" w:rsidRPr="00624D16">
        <w:t>.</w:t>
      </w:r>
      <w:r w:rsidR="00AB3B2D">
        <w:rPr>
          <w:vanish/>
        </w:rPr>
        <w:t xml:space="preserve"> DR 3738</w:t>
      </w:r>
    </w:p>
    <w:p w:rsidR="00BF1B17" w:rsidRDefault="00BF1B17" w:rsidP="00BF1B17">
      <w:pPr>
        <w:pStyle w:val="ListNumber"/>
      </w:pPr>
      <w:r>
        <w:t xml:space="preserve">Click </w:t>
      </w:r>
      <w:r w:rsidRPr="00D75808">
        <w:rPr>
          <w:b/>
        </w:rPr>
        <w:t>Options</w:t>
      </w:r>
      <w:r>
        <w:rPr>
          <w:b/>
        </w:rPr>
        <w:t xml:space="preserve"> </w:t>
      </w:r>
      <w:r>
        <w:t>(</w:t>
      </w:r>
      <w:r w:rsidR="00155F6F">
        <w:fldChar w:fldCharType="begin"/>
      </w:r>
      <w:r w:rsidR="00155F6F">
        <w:instrText xml:space="preserve"> REF _Ref133623493 \h </w:instrText>
      </w:r>
      <w:r w:rsidR="00155F6F">
        <w:fldChar w:fldCharType="separate"/>
      </w:r>
      <w:r w:rsidR="005F38BC">
        <w:t xml:space="preserve">Figure </w:t>
      </w:r>
      <w:r w:rsidR="005F38BC">
        <w:rPr>
          <w:noProof/>
        </w:rPr>
        <w:t>35</w:t>
      </w:r>
      <w:r w:rsidR="00155F6F">
        <w:fldChar w:fldCharType="end"/>
      </w:r>
      <w:r>
        <w:t>).</w:t>
      </w:r>
    </w:p>
    <w:p w:rsidR="00BF1B17" w:rsidRDefault="00BF1B17" w:rsidP="00BF1B17">
      <w:pPr>
        <w:pStyle w:val="Caption"/>
      </w:pPr>
      <w:bookmarkStart w:id="129" w:name="_Ref133623493"/>
      <w:r>
        <w:t xml:space="preserve">Figure </w:t>
      </w:r>
      <w:r w:rsidR="00C17F7C">
        <w:fldChar w:fldCharType="begin"/>
      </w:r>
      <w:r w:rsidR="00C17F7C">
        <w:instrText xml:space="preserve"> SEQ Figure \* ARABIC </w:instrText>
      </w:r>
      <w:r w:rsidR="00C17F7C">
        <w:fldChar w:fldCharType="separate"/>
      </w:r>
      <w:r w:rsidR="005F38BC">
        <w:rPr>
          <w:noProof/>
        </w:rPr>
        <w:t>35</w:t>
      </w:r>
      <w:r w:rsidR="00C17F7C">
        <w:fldChar w:fldCharType="end"/>
      </w:r>
      <w:bookmarkEnd w:id="129"/>
      <w:r>
        <w:t>: Remote Desktop Connection Options</w:t>
      </w:r>
    </w:p>
    <w:p w:rsidR="00BF1B17" w:rsidRDefault="00634BFC" w:rsidP="00BF1B17">
      <w:pPr>
        <w:pStyle w:val="BodyText"/>
      </w:pPr>
      <w:r>
        <w:rPr>
          <w:noProof/>
        </w:rPr>
        <w:drawing>
          <wp:inline distT="0" distB="0" distL="0" distR="0">
            <wp:extent cx="3933825" cy="17526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33825" cy="1752600"/>
                    </a:xfrm>
                    <a:prstGeom prst="rect">
                      <a:avLst/>
                    </a:prstGeom>
                    <a:noFill/>
                    <a:ln>
                      <a:noFill/>
                    </a:ln>
                  </pic:spPr>
                </pic:pic>
              </a:graphicData>
            </a:graphic>
          </wp:inline>
        </w:drawing>
      </w:r>
    </w:p>
    <w:p w:rsidR="00BF1B17" w:rsidRDefault="00E627F1" w:rsidP="00BF1B17">
      <w:pPr>
        <w:pStyle w:val="ListNumber"/>
      </w:pPr>
      <w:r>
        <w:br w:type="page"/>
      </w:r>
      <w:r w:rsidR="00BF1B17">
        <w:lastRenderedPageBreak/>
        <w:t xml:space="preserve">Click the </w:t>
      </w:r>
      <w:r w:rsidR="00BF1B17" w:rsidRPr="00C57974">
        <w:rPr>
          <w:b/>
        </w:rPr>
        <w:t xml:space="preserve">Display </w:t>
      </w:r>
      <w:r w:rsidR="00BF1B17" w:rsidRPr="00CC3C89">
        <w:t xml:space="preserve">tab </w:t>
      </w:r>
      <w:r w:rsidR="00BF1B17" w:rsidRPr="00CF76AE">
        <w:t>(</w:t>
      </w:r>
      <w:r w:rsidR="00A058F9">
        <w:fldChar w:fldCharType="begin"/>
      </w:r>
      <w:r w:rsidR="00A058F9">
        <w:instrText xml:space="preserve"> REF _Ref133623604 \h </w:instrText>
      </w:r>
      <w:r w:rsidR="00A058F9">
        <w:fldChar w:fldCharType="separate"/>
      </w:r>
      <w:r w:rsidR="005F38BC">
        <w:t xml:space="preserve">Figure </w:t>
      </w:r>
      <w:r w:rsidR="005F38BC">
        <w:rPr>
          <w:noProof/>
        </w:rPr>
        <w:t>36</w:t>
      </w:r>
      <w:r w:rsidR="00A058F9">
        <w:fldChar w:fldCharType="end"/>
      </w:r>
      <w:r w:rsidR="00BF1B17" w:rsidRPr="009A2B4C">
        <w:t>)</w:t>
      </w:r>
      <w:r w:rsidR="00BF1B17">
        <w:t>.</w:t>
      </w:r>
    </w:p>
    <w:p w:rsidR="00BF1B17" w:rsidRDefault="00BF1B17" w:rsidP="00BF1B17">
      <w:pPr>
        <w:pStyle w:val="Caption"/>
      </w:pPr>
      <w:bookmarkStart w:id="130" w:name="_Ref133623604"/>
      <w:r>
        <w:t xml:space="preserve">Figure </w:t>
      </w:r>
      <w:r w:rsidR="00C17F7C">
        <w:fldChar w:fldCharType="begin"/>
      </w:r>
      <w:r w:rsidR="00C17F7C">
        <w:instrText xml:space="preserve"> SEQ Figure \* ARABIC </w:instrText>
      </w:r>
      <w:r w:rsidR="00C17F7C">
        <w:fldChar w:fldCharType="separate"/>
      </w:r>
      <w:r w:rsidR="005F38BC">
        <w:rPr>
          <w:noProof/>
        </w:rPr>
        <w:t>36</w:t>
      </w:r>
      <w:r w:rsidR="00C17F7C">
        <w:fldChar w:fldCharType="end"/>
      </w:r>
      <w:bookmarkEnd w:id="130"/>
      <w:r>
        <w:t xml:space="preserve">: </w:t>
      </w:r>
      <w:r w:rsidRPr="009E7F89">
        <w:t xml:space="preserve">Remote Desktop Connection Remote </w:t>
      </w:r>
      <w:r>
        <w:t>Desktop Size</w:t>
      </w:r>
    </w:p>
    <w:p w:rsidR="00BF1B17" w:rsidRDefault="00634BFC" w:rsidP="00BF1B17">
      <w:pPr>
        <w:pStyle w:val="BodyText"/>
      </w:pPr>
      <w:r>
        <w:rPr>
          <w:noProof/>
        </w:rPr>
        <w:drawing>
          <wp:inline distT="0" distB="0" distL="0" distR="0">
            <wp:extent cx="3914775" cy="44862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14775" cy="4486275"/>
                    </a:xfrm>
                    <a:prstGeom prst="rect">
                      <a:avLst/>
                    </a:prstGeom>
                    <a:noFill/>
                    <a:ln>
                      <a:noFill/>
                    </a:ln>
                  </pic:spPr>
                </pic:pic>
              </a:graphicData>
            </a:graphic>
          </wp:inline>
        </w:drawing>
      </w:r>
    </w:p>
    <w:p w:rsidR="00BF1B17" w:rsidRDefault="00BF1B17" w:rsidP="00BF1B17">
      <w:pPr>
        <w:pStyle w:val="ListNumber"/>
      </w:pPr>
      <w:r>
        <w:t>C</w:t>
      </w:r>
      <w:r w:rsidRPr="00035F16">
        <w:t xml:space="preserve">lick, hold, and slide the pointer to </w:t>
      </w:r>
      <w:r>
        <w:t>the right until “Full Screen” appears</w:t>
      </w:r>
      <w:r w:rsidRPr="00035F16">
        <w:t>.</w:t>
      </w:r>
    </w:p>
    <w:p w:rsidR="006E036F" w:rsidRPr="00624D16" w:rsidRDefault="006E036F" w:rsidP="00BF1B17">
      <w:pPr>
        <w:pStyle w:val="ListNumber"/>
      </w:pPr>
      <w:r w:rsidRPr="00624D16">
        <w:t xml:space="preserve">Click on the </w:t>
      </w:r>
      <w:r w:rsidRPr="00624D16">
        <w:rPr>
          <w:b/>
        </w:rPr>
        <w:t>General</w:t>
      </w:r>
      <w:r w:rsidRPr="00624D16">
        <w:t xml:space="preserve"> tab.</w:t>
      </w:r>
      <w:r w:rsidR="00522BC8">
        <w:rPr>
          <w:vanish/>
        </w:rPr>
        <w:t xml:space="preserve"> DR 3738</w:t>
      </w:r>
    </w:p>
    <w:p w:rsidR="00BF1B17" w:rsidRDefault="00BF1B17" w:rsidP="00BF1B17">
      <w:pPr>
        <w:pStyle w:val="ListNumber"/>
      </w:pPr>
      <w:r w:rsidRPr="00035F16">
        <w:t>Cl</w:t>
      </w:r>
      <w:r>
        <w:t xml:space="preserve">ick </w:t>
      </w:r>
      <w:r w:rsidR="006E036F">
        <w:rPr>
          <w:b/>
        </w:rPr>
        <w:t>SAVE</w:t>
      </w:r>
      <w:r>
        <w:t xml:space="preserve"> to save the setting.</w:t>
      </w:r>
    </w:p>
    <w:p w:rsidR="00727879" w:rsidRDefault="00E627F1">
      <w:pPr>
        <w:pStyle w:val="Heading3"/>
      </w:pPr>
      <w:r>
        <w:br w:type="page"/>
      </w:r>
      <w:bookmarkStart w:id="131" w:name="_Toc459900063"/>
      <w:r w:rsidR="002A21AE">
        <w:lastRenderedPageBreak/>
        <w:t>Screen Display</w:t>
      </w:r>
      <w:bookmarkEnd w:id="131"/>
      <w:r w:rsidR="00D07403">
        <w:fldChar w:fldCharType="begin"/>
      </w:r>
      <w:r w:rsidR="00D07403">
        <w:instrText xml:space="preserve"> XE "</w:instrText>
      </w:r>
      <w:r w:rsidR="00D07403" w:rsidRPr="00775368">
        <w:instrText>Screen Display</w:instrText>
      </w:r>
      <w:r w:rsidR="00D07403">
        <w:instrText xml:space="preserve">" </w:instrText>
      </w:r>
      <w:r w:rsidR="00D07403">
        <w:fldChar w:fldCharType="end"/>
      </w:r>
    </w:p>
    <w:p w:rsidR="002A21AE" w:rsidRDefault="002A21AE" w:rsidP="00FA7E65">
      <w:pPr>
        <w:pStyle w:val="BodyText"/>
      </w:pPr>
      <w:r>
        <w:t xml:space="preserve">A </w:t>
      </w:r>
      <w:r>
        <w:rPr>
          <w:i/>
        </w:rPr>
        <w:t>window</w:t>
      </w:r>
      <w:r>
        <w:t xml:space="preserve"> is the section of the screen that displays the active application or file. </w:t>
      </w:r>
    </w:p>
    <w:p w:rsidR="002A21AE" w:rsidRDefault="002A21AE" w:rsidP="00FA7E65">
      <w:pPr>
        <w:pStyle w:val="BodyText"/>
      </w:pPr>
      <w:r>
        <w:t>Click t</w:t>
      </w:r>
      <w:r w:rsidR="00634DAB">
        <w:t>he control buttons in the upper-</w:t>
      </w:r>
      <w:r>
        <w:t xml:space="preserve">right corner </w:t>
      </w:r>
      <w:r w:rsidR="00E627F1">
        <w:t>(</w:t>
      </w:r>
      <w:r w:rsidR="00E627F1">
        <w:fldChar w:fldCharType="begin"/>
      </w:r>
      <w:r w:rsidR="00E627F1">
        <w:instrText xml:space="preserve"> REF _Ref393444039 \h </w:instrText>
      </w:r>
      <w:r w:rsidR="00E627F1">
        <w:fldChar w:fldCharType="separate"/>
      </w:r>
      <w:r w:rsidR="005F38BC">
        <w:t xml:space="preserve">Figure </w:t>
      </w:r>
      <w:r w:rsidR="005F38BC">
        <w:rPr>
          <w:noProof/>
        </w:rPr>
        <w:t>37</w:t>
      </w:r>
      <w:r w:rsidR="00E627F1">
        <w:fldChar w:fldCharType="end"/>
      </w:r>
      <w:r w:rsidR="00E627F1">
        <w:t xml:space="preserve">) </w:t>
      </w:r>
      <w:r>
        <w:t xml:space="preserve">of an open file or application window to: </w:t>
      </w:r>
    </w:p>
    <w:p w:rsidR="002A21AE" w:rsidRDefault="002A21AE">
      <w:pPr>
        <w:pStyle w:val="ListBullet"/>
      </w:pPr>
      <w:r>
        <w:t xml:space="preserve">Minimize: reduce the window </w:t>
      </w:r>
      <w:r>
        <w:rPr>
          <w:szCs w:val="24"/>
        </w:rPr>
        <w:t>to appear as a button (rectangle) at the bottom of the screen. Click the button to enlarge the window to its original size.</w:t>
      </w:r>
    </w:p>
    <w:p w:rsidR="002A21AE" w:rsidRDefault="002A21AE">
      <w:pPr>
        <w:pStyle w:val="ListBullet"/>
      </w:pPr>
      <w:r>
        <w:t>Maximize: enlarge a window to fill the entire screen</w:t>
      </w:r>
    </w:p>
    <w:p w:rsidR="002A21AE" w:rsidRDefault="002A21AE">
      <w:pPr>
        <w:pStyle w:val="ListBullet"/>
      </w:pPr>
      <w:r>
        <w:t>Restore: return a window to a smaller size that can be adjusted</w:t>
      </w:r>
      <w:r w:rsidR="004E10A2">
        <w:t xml:space="preserve"> (Figure 38</w:t>
      </w:r>
      <w:r w:rsidR="00E627F1">
        <w:t>)</w:t>
      </w:r>
    </w:p>
    <w:p w:rsidR="002A21AE" w:rsidRDefault="002A21AE">
      <w:pPr>
        <w:pStyle w:val="ListBullet"/>
      </w:pPr>
      <w:r>
        <w:t xml:space="preserve">Close: shut down a document or application quickly </w:t>
      </w:r>
    </w:p>
    <w:p w:rsidR="00DF4846" w:rsidRPr="00DF4846" w:rsidRDefault="00634BFC" w:rsidP="00DF4846">
      <w:pPr>
        <w:pStyle w:val="Caution"/>
      </w:pPr>
      <w:r>
        <w:rPr>
          <w:noProof/>
        </w:rPr>
        <w:drawing>
          <wp:inline distT="0" distB="0" distL="0" distR="0">
            <wp:extent cx="266700" cy="2190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DF4846">
        <w:t xml:space="preserve"> Maximize option windows</w:t>
      </w:r>
      <w:r w:rsidR="00DF4846" w:rsidRPr="00DF4846">
        <w:t xml:space="preserve"> to display safety-critical information</w:t>
      </w:r>
      <w:r w:rsidR="00DF4846">
        <w:t xml:space="preserve"> in full.</w:t>
      </w:r>
      <w:r w:rsidR="00DF4846" w:rsidRPr="00DF4846">
        <w:rPr>
          <w:vanish/>
        </w:rPr>
        <w:t xml:space="preserve"> UserDoc Task 1124.</w:t>
      </w:r>
    </w:p>
    <w:p w:rsidR="007E150C" w:rsidRDefault="007E150C" w:rsidP="007E150C">
      <w:pPr>
        <w:pStyle w:val="Caption"/>
        <w:tabs>
          <w:tab w:val="left" w:pos="6120"/>
        </w:tabs>
      </w:pPr>
      <w:bookmarkStart w:id="132" w:name="_Ref393444039"/>
      <w:r>
        <w:t xml:space="preserve">Figure </w:t>
      </w:r>
      <w:r w:rsidR="00C17F7C">
        <w:fldChar w:fldCharType="begin"/>
      </w:r>
      <w:r w:rsidR="00C17F7C">
        <w:instrText xml:space="preserve"> SEQ Figure \* ARABIC </w:instrText>
      </w:r>
      <w:r w:rsidR="00C17F7C">
        <w:fldChar w:fldCharType="separate"/>
      </w:r>
      <w:r w:rsidR="005F38BC">
        <w:rPr>
          <w:noProof/>
        </w:rPr>
        <w:t>37</w:t>
      </w:r>
      <w:r w:rsidR="00C17F7C">
        <w:fldChar w:fldCharType="end"/>
      </w:r>
      <w:bookmarkEnd w:id="132"/>
      <w:r>
        <w:t>: Resize or Close a Window</w:t>
      </w:r>
      <w:r>
        <w:tab/>
        <w:t xml:space="preserve">Figure </w:t>
      </w:r>
      <w:r w:rsidR="00C17F7C">
        <w:fldChar w:fldCharType="begin"/>
      </w:r>
      <w:r w:rsidR="00C17F7C">
        <w:instrText xml:space="preserve"> SEQ Figure \* ARABIC </w:instrText>
      </w:r>
      <w:r w:rsidR="00C17F7C">
        <w:fldChar w:fldCharType="separate"/>
      </w:r>
      <w:r w:rsidR="005F38BC">
        <w:rPr>
          <w:noProof/>
        </w:rPr>
        <w:t>38</w:t>
      </w:r>
      <w:r w:rsidR="00C17F7C">
        <w:fldChar w:fldCharType="end"/>
      </w:r>
      <w:r>
        <w:t>: Restore a Window</w:t>
      </w:r>
    </w:p>
    <w:p w:rsidR="002A21AE" w:rsidRDefault="00634BFC">
      <w:pPr>
        <w:pStyle w:val="BodyText"/>
      </w:pPr>
      <w:r>
        <w:rPr>
          <w:noProof/>
        </w:rPr>
        <mc:AlternateContent>
          <mc:Choice Requires="wpc">
            <w:drawing>
              <wp:anchor distT="0" distB="0" distL="114300" distR="114300" simplePos="0" relativeHeight="251493888" behindDoc="0" locked="0" layoutInCell="1" allowOverlap="1">
                <wp:simplePos x="0" y="0"/>
                <wp:positionH relativeFrom="character">
                  <wp:posOffset>0</wp:posOffset>
                </wp:positionH>
                <wp:positionV relativeFrom="line">
                  <wp:posOffset>0</wp:posOffset>
                </wp:positionV>
                <wp:extent cx="3848100" cy="1009650"/>
                <wp:effectExtent l="0" t="0" r="0" b="0"/>
                <wp:wrapNone/>
                <wp:docPr id="589"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82"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0160" y="494665"/>
                            <a:ext cx="344360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3" name="Line 5"/>
                        <wps:cNvCnPr/>
                        <wps:spPr bwMode="auto">
                          <a:xfrm flipH="1">
                            <a:off x="3299460" y="349250"/>
                            <a:ext cx="208280" cy="229235"/>
                          </a:xfrm>
                          <a:prstGeom prst="line">
                            <a:avLst/>
                          </a:prstGeom>
                          <a:noFill/>
                          <a:ln w="2540" cap="rnd">
                            <a:solidFill>
                              <a:srgbClr val="000000"/>
                            </a:solidFill>
                            <a:round/>
                            <a:headEnd/>
                            <a:tailEnd/>
                          </a:ln>
                          <a:extLst>
                            <a:ext uri="{909E8E84-426E-40DD-AFC4-6F175D3DCCD1}">
                              <a14:hiddenFill xmlns:a14="http://schemas.microsoft.com/office/drawing/2010/main">
                                <a:noFill/>
                              </a14:hiddenFill>
                            </a:ext>
                          </a:extLst>
                        </wps:spPr>
                        <wps:bodyPr/>
                      </wps:wsp>
                      <wps:wsp>
                        <wps:cNvPr id="584" name="Rectangle 6"/>
                        <wps:cNvSpPr>
                          <a:spLocks noChangeArrowheads="1"/>
                        </wps:cNvSpPr>
                        <wps:spPr bwMode="auto">
                          <a:xfrm>
                            <a:off x="3597910" y="298450"/>
                            <a:ext cx="22733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FEE" w:rsidRDefault="00ED1FEE">
                              <w:r>
                                <w:rPr>
                                  <w:rFonts w:ascii="Arial" w:hAnsi="Arial" w:cs="Arial"/>
                                  <w:color w:val="000000"/>
                                  <w:sz w:val="14"/>
                                  <w:szCs w:val="14"/>
                                </w:rPr>
                                <w:t>Close</w:t>
                              </w:r>
                            </w:p>
                          </w:txbxContent>
                        </wps:txbx>
                        <wps:bodyPr rot="0" vert="horz" wrap="square" lIns="0" tIns="0" rIns="0" bIns="0" anchor="t" anchorCtr="0" upright="1">
                          <a:noAutofit/>
                        </wps:bodyPr>
                      </wps:wsp>
                      <wps:wsp>
                        <wps:cNvPr id="585" name="Line 7"/>
                        <wps:cNvCnPr/>
                        <wps:spPr bwMode="auto">
                          <a:xfrm>
                            <a:off x="2880995" y="421005"/>
                            <a:ext cx="104775" cy="157480"/>
                          </a:xfrm>
                          <a:prstGeom prst="line">
                            <a:avLst/>
                          </a:prstGeom>
                          <a:noFill/>
                          <a:ln w="2540" cap="rnd">
                            <a:solidFill>
                              <a:srgbClr val="000000"/>
                            </a:solidFill>
                            <a:round/>
                            <a:headEnd/>
                            <a:tailEnd/>
                          </a:ln>
                          <a:extLst>
                            <a:ext uri="{909E8E84-426E-40DD-AFC4-6F175D3DCCD1}">
                              <a14:hiddenFill xmlns:a14="http://schemas.microsoft.com/office/drawing/2010/main">
                                <a:noFill/>
                              </a14:hiddenFill>
                            </a:ext>
                          </a:extLst>
                        </wps:spPr>
                        <wps:bodyPr/>
                      </wps:wsp>
                      <wps:wsp>
                        <wps:cNvPr id="586" name="Rectangle 8"/>
                        <wps:cNvSpPr>
                          <a:spLocks noChangeArrowheads="1"/>
                        </wps:cNvSpPr>
                        <wps:spPr bwMode="auto">
                          <a:xfrm>
                            <a:off x="2693035" y="267970"/>
                            <a:ext cx="3511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FEE" w:rsidRDefault="00ED1FEE">
                              <w:r>
                                <w:rPr>
                                  <w:rFonts w:ascii="Arial" w:hAnsi="Arial" w:cs="Arial"/>
                                  <w:color w:val="000000"/>
                                  <w:sz w:val="14"/>
                                  <w:szCs w:val="14"/>
                                </w:rPr>
                                <w:t>Minimize</w:t>
                              </w:r>
                            </w:p>
                          </w:txbxContent>
                        </wps:txbx>
                        <wps:bodyPr rot="0" vert="horz" wrap="square" lIns="0" tIns="0" rIns="0" bIns="0" anchor="t" anchorCtr="0" upright="1">
                          <a:noAutofit/>
                        </wps:bodyPr>
                      </wps:wsp>
                      <wps:wsp>
                        <wps:cNvPr id="587" name="Line 9"/>
                        <wps:cNvCnPr/>
                        <wps:spPr bwMode="auto">
                          <a:xfrm flipH="1">
                            <a:off x="3142615" y="185420"/>
                            <a:ext cx="52070" cy="366395"/>
                          </a:xfrm>
                          <a:prstGeom prst="line">
                            <a:avLst/>
                          </a:prstGeom>
                          <a:noFill/>
                          <a:ln w="2540" cap="rnd">
                            <a:solidFill>
                              <a:srgbClr val="000000"/>
                            </a:solidFill>
                            <a:round/>
                            <a:headEnd/>
                            <a:tailEnd/>
                          </a:ln>
                          <a:extLst>
                            <a:ext uri="{909E8E84-426E-40DD-AFC4-6F175D3DCCD1}">
                              <a14:hiddenFill xmlns:a14="http://schemas.microsoft.com/office/drawing/2010/main">
                                <a:noFill/>
                              </a14:hiddenFill>
                            </a:ext>
                          </a:extLst>
                        </wps:spPr>
                        <wps:bodyPr/>
                      </wps:wsp>
                      <wps:wsp>
                        <wps:cNvPr id="588" name="Rectangle 10"/>
                        <wps:cNvSpPr>
                          <a:spLocks noChangeArrowheads="1"/>
                        </wps:cNvSpPr>
                        <wps:spPr bwMode="auto">
                          <a:xfrm>
                            <a:off x="3011805" y="30480"/>
                            <a:ext cx="3759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FEE" w:rsidRDefault="00ED1FEE">
                              <w:r>
                                <w:rPr>
                                  <w:rFonts w:ascii="Arial" w:hAnsi="Arial" w:cs="Arial"/>
                                  <w:color w:val="000000"/>
                                  <w:sz w:val="14"/>
                                  <w:szCs w:val="14"/>
                                </w:rPr>
                                <w:t xml:space="preserve">Maximize </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2" o:spid="_x0000_s1027" editas="canvas" style="position:absolute;margin-left:0;margin-top:0;width:303pt;height:79.5pt;z-index:251493888;mso-position-horizontal-relative:char;mso-position-vertical-relative:line" coordsize="38481,100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">
                <v:shape id="_x0000_s1028" type="#_x0000_t75" style="position:absolute;width:38481;height:10096;visibility:visible;mso-wrap-style:square">
                  <v:fill o:detectmouseclick="t"/>
                  <v:path o:connecttype="none"/>
                </v:shape>
                <v:shape id="Picture 4" o:spid="_x0000_s1029" type="#_x0000_t75" style="position:absolute;left:101;top:4946;width:34436;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kdBjDAAAA3AAAAA8AAABkcnMvZG93bnJldi54bWxEj0GLwjAUhO8L/ofwBG/bVGFFq1GquOJJ&#10;tApeH82zLTYvpYm2++83wsIeh5n5hlmue1OLF7WusqxgHMUgiHOrKy4UXC/fnzMQziNrrC2Tgh9y&#10;sF4NPpaYaNvxmV6ZL0SAsEtQQel9k0jp8pIMusg2xMG729agD7ItpG6xC3BTy0kcT6XBisNCiQ1t&#10;S8of2dMo2HK2SSVlm/w2P/r+fjp1u32q1GjYpwsQnnr/H/5rH7SCr9kE3mfCEZ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eR0GMMAAADcAAAADwAAAAAAAAAAAAAAAACf&#10;AgAAZHJzL2Rvd25yZXYueG1sUEsFBgAAAAAEAAQA9wAAAI8DAAAAAA==&#10;">
                  <v:imagedata r:id="rId79" o:title=""/>
                </v:shape>
                <v:line id="Line 5" o:spid="_x0000_s1030" style="position:absolute;flip:x;visibility:visible;mso-wrap-style:square" from="32994,3492" to="35077,5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v6GMQAAADcAAAADwAAAGRycy9kb3ducmV2LnhtbESPT4vCMBTE74LfITzBm6Yqu0g1igq6&#10;exBh/YPXZ/Nsi81LabK2+umNsLDHYWZ+w0znjSnEnSqXW1Yw6EcgiBOrc04VHA/r3hiE88gaC8uk&#10;4EEO5rN2a4qxtjX/0H3vUxEg7GJUkHlfxlK6JCODrm9L4uBdbWXQB1mlUldYB7gp5DCKPqXBnMNC&#10;hiWtMkpu+1+jQBKn5+UJb7vtV/3MN7a5HMulUt1Os5iA8NT4//Bf+1sr+BiP4H0mHAE5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e/oYxAAAANwAAAAPAAAAAAAAAAAA&#10;AAAAAKECAABkcnMvZG93bnJldi54bWxQSwUGAAAAAAQABAD5AAAAkgMAAAAA&#10;" strokeweight=".2pt">
                  <v:stroke endcap="round"/>
                </v:line>
                <v:rect id="Rectangle 6" o:spid="_x0000_s1031" style="position:absolute;left:35979;top:2984;width:2273;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FCsYA&#10;AADcAAAADwAAAGRycy9kb3ducmV2LnhtbESPT2vCQBTE74V+h+UVvNWNRUuM2Yj0D3qsUVBvj+wz&#10;CWbfhuzWxH76bqHgcZiZ3zDpcjCNuFLnassKJuMIBHFhdc2lgv3u8zkG4TyyxsYyKbiRg2X2+JBi&#10;om3PW7rmvhQBwi5BBZX3bSKlKyoy6Ma2JQ7e2XYGfZBdKXWHfYCbRr5E0as0WHNYqLClt4qKS/5t&#10;FKzjdnXc2J++bD5O68PXYf6+m3ulRk/DagHC0+Dv4f/2RiuYxV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xFCsYAAADcAAAADwAAAAAAAAAAAAAAAACYAgAAZHJz&#10;L2Rvd25yZXYueG1sUEsFBgAAAAAEAAQA9QAAAIsDAAAAAA==&#10;" filled="f" stroked="f">
                  <v:textbox inset="0,0,0,0">
                    <w:txbxContent>
                      <w:p w:rsidR="00ED1FEE" w:rsidRDefault="00ED1FEE">
                        <w:r>
                          <w:rPr>
                            <w:rFonts w:ascii="Arial" w:hAnsi="Arial" w:cs="Arial"/>
                            <w:color w:val="000000"/>
                            <w:sz w:val="14"/>
                            <w:szCs w:val="14"/>
                          </w:rPr>
                          <w:t>Close</w:t>
                        </w:r>
                      </w:p>
                    </w:txbxContent>
                  </v:textbox>
                </v:rect>
                <v:line id="Line 7" o:spid="_x0000_s1032" style="position:absolute;visibility:visible;mso-wrap-style:square" from="28809,4210" to="29857,5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QwjMUAAADcAAAADwAAAGRycy9kb3ducmV2LnhtbESPQWvCQBSE74X+h+UVems2ikqMbqQW&#10;iuKttqLHR/Y1G5J9G7NbTf99tyB4HGbmG2a5GmwrLtT72rGCUZKCIC6drrlS8PX5/pKB8AFZY+uY&#10;FPySh1Xx+LDEXLsrf9BlHyoRIexzVGBC6HIpfWnIok9cRxy9b9dbDFH2ldQ9XiPctnKcpjNpsea4&#10;YLCjN0Nls/+xCnbcrMesj9l8Mt9Mht3pYPx5pNTz0/C6ABFoCPfwrb3VCqbZFP7PxCM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gQwjMUAAADcAAAADwAAAAAAAAAA&#10;AAAAAAChAgAAZHJzL2Rvd25yZXYueG1sUEsFBgAAAAAEAAQA+QAAAJMDAAAAAA==&#10;" strokeweight=".2pt">
                  <v:stroke endcap="round"/>
                </v:line>
                <v:rect id="Rectangle 8" o:spid="_x0000_s1033" style="position:absolute;left:26930;top:2679;width:3511;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5sUA&#10;AADcAAAADwAAAGRycy9kb3ducmV2LnhtbESPT4vCMBTE78J+h/AWvGmqoNRqFNl10aN/FtTbo3m2&#10;xealNFlb/fRGEPY4zMxvmNmiNaW4Ue0KywoG/QgEcWp1wZmC38NPLwbhPLLG0jIpuJODxfyjM8NE&#10;24Z3dNv7TAQIuwQV5N5XiZQuzcmg69uKOHgXWxv0QdaZ1DU2AW5KOYyisTRYcFjIsaKvnNLr/s8o&#10;WMfV8rSxjyYrV+f1cXucfB8m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n7mxQAAANwAAAAPAAAAAAAAAAAAAAAAAJgCAABkcnMv&#10;ZG93bnJldi54bWxQSwUGAAAAAAQABAD1AAAAigMAAAAA&#10;" filled="f" stroked="f">
                  <v:textbox inset="0,0,0,0">
                    <w:txbxContent>
                      <w:p w:rsidR="00ED1FEE" w:rsidRDefault="00ED1FEE">
                        <w:r>
                          <w:rPr>
                            <w:rFonts w:ascii="Arial" w:hAnsi="Arial" w:cs="Arial"/>
                            <w:color w:val="000000"/>
                            <w:sz w:val="14"/>
                            <w:szCs w:val="14"/>
                          </w:rPr>
                          <w:t>Minimize</w:t>
                        </w:r>
                      </w:p>
                    </w:txbxContent>
                  </v:textbox>
                </v:rect>
                <v:line id="Line 9" o:spid="_x0000_s1034" style="position:absolute;flip:x;visibility:visible;mso-wrap-style:square" from="31426,1854" to="31946,5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D8G8QAAADcAAAADwAAAGRycy9kb3ducmV2LnhtbESPT4vCMBTE74LfITzBm6YK7ko1igq6&#10;exBh/YPXZ/Nsi81LabK2+umNsLDHYWZ+w0znjSnEnSqXW1Yw6EcgiBOrc04VHA/r3hiE88gaC8uk&#10;4EEO5rN2a4qxtjX/0H3vUxEg7GJUkHlfxlK6JCODrm9L4uBdbWXQB1mlUldYB7gp5DCKPqTBnMNC&#10;hiWtMkpu+1+jQBKn5+UJb7vtV/3MN7a5HMulUt1Os5iA8NT4//Bf+1srGI0/4X0mHAE5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QPwbxAAAANwAAAAPAAAAAAAAAAAA&#10;AAAAAKECAABkcnMvZG93bnJldi54bWxQSwUGAAAAAAQABAD5AAAAkgMAAAAA&#10;" strokeweight=".2pt">
                  <v:stroke endcap="round"/>
                </v:line>
                <v:rect id="Rectangle 10" o:spid="_x0000_s1035" style="position:absolute;left:30118;top:304;width:3759;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PD8EA&#10;AADcAAAADwAAAGRycy9kb3ducmV2LnhtbERPy4rCMBTdC/5DuII7TRWU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RTw/BAAAA3AAAAA8AAAAAAAAAAAAAAAAAmAIAAGRycy9kb3du&#10;cmV2LnhtbFBLBQYAAAAABAAEAPUAAACGAwAAAAA=&#10;" filled="f" stroked="f">
                  <v:textbox inset="0,0,0,0">
                    <w:txbxContent>
                      <w:p w:rsidR="00ED1FEE" w:rsidRDefault="00ED1FEE">
                        <w:r>
                          <w:rPr>
                            <w:rFonts w:ascii="Arial" w:hAnsi="Arial" w:cs="Arial"/>
                            <w:color w:val="000000"/>
                            <w:sz w:val="14"/>
                            <w:szCs w:val="14"/>
                          </w:rPr>
                          <w:t xml:space="preserve">Maximize </w:t>
                        </w:r>
                      </w:p>
                    </w:txbxContent>
                  </v:textbox>
                </v:rect>
                <w10:wrap anchory="line"/>
              </v:group>
            </w:pict>
          </mc:Fallback>
        </mc:AlternateContent>
      </w:r>
      <w:r>
        <w:rPr>
          <w:noProof/>
        </w:rPr>
        <mc:AlternateContent>
          <mc:Choice Requires="wps">
            <w:drawing>
              <wp:inline distT="0" distB="0" distL="0" distR="0">
                <wp:extent cx="3848100" cy="1009650"/>
                <wp:effectExtent l="0" t="0" r="0" b="0"/>
                <wp:docPr id="1" name="AutoShape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48100"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3" o:spid="_x0000_s1026" style="width:303pt;height: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" filled="f" stroked="f">
                <o:lock v:ext="edit" aspectratio="t"/>
                <w10:anchorlock/>
              </v:rect>
            </w:pict>
          </mc:Fallback>
        </mc:AlternateContent>
      </w:r>
      <w:r>
        <w:rPr>
          <w:noProof/>
        </w:rPr>
        <w:drawing>
          <wp:inline distT="0" distB="0" distL="0" distR="0">
            <wp:extent cx="1600200" cy="6000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00200" cy="600075"/>
                    </a:xfrm>
                    <a:prstGeom prst="rect">
                      <a:avLst/>
                    </a:prstGeom>
                    <a:noFill/>
                    <a:ln>
                      <a:noFill/>
                    </a:ln>
                  </pic:spPr>
                </pic:pic>
              </a:graphicData>
            </a:graphic>
          </wp:inline>
        </w:drawing>
      </w:r>
    </w:p>
    <w:p w:rsidR="002A21AE" w:rsidRPr="00762A84" w:rsidRDefault="00EF41C4" w:rsidP="00EF41C4">
      <w:pPr>
        <w:pStyle w:val="Caution"/>
      </w:pPr>
      <w:bookmarkStart w:id="133" w:name="OLE_LINK43"/>
      <w:bookmarkStart w:id="134" w:name="OLE_LINK44"/>
      <w:r>
        <w:t>When</w:t>
      </w:r>
      <w:r w:rsidR="00762A84">
        <w:t xml:space="preserve"> a</w:t>
      </w:r>
      <w:r>
        <w:t xml:space="preserve"> </w:t>
      </w:r>
      <w:r w:rsidR="00947497">
        <w:t xml:space="preserve">window is partially displayed or </w:t>
      </w:r>
      <w:r>
        <w:t>freezes</w:t>
      </w:r>
      <w:r w:rsidR="00762A84">
        <w:t>;</w:t>
      </w:r>
      <w:r>
        <w:t xml:space="preserve"> </w:t>
      </w:r>
      <w:r w:rsidR="00762A84">
        <w:t xml:space="preserve">or when you move from one window to another, enter information, return to the original window, and the entered information is not available, minimize then maximize the window to refresh it. </w:t>
      </w:r>
      <w:bookmarkEnd w:id="133"/>
      <w:bookmarkEnd w:id="134"/>
    </w:p>
    <w:p w:rsidR="002A21AE" w:rsidRDefault="002A21AE" w:rsidP="00FA7E65">
      <w:pPr>
        <w:pStyle w:val="BodyText"/>
      </w:pPr>
      <w:r>
        <w:t xml:space="preserve">To resize an open window: </w:t>
      </w:r>
    </w:p>
    <w:p w:rsidR="002A21AE" w:rsidRDefault="002A21AE">
      <w:pPr>
        <w:pStyle w:val="ListBullet"/>
      </w:pPr>
      <w:r>
        <w:t>Make sure the Maximize symbol is visible.</w:t>
      </w:r>
    </w:p>
    <w:p w:rsidR="002A21AE" w:rsidRDefault="002A21AE">
      <w:pPr>
        <w:pStyle w:val="ListBullet"/>
      </w:pPr>
      <w:r>
        <w:t xml:space="preserve">Change the width: move the mouse cursor to the left or right window border until the pointer changes into a horizontal double-headed arrow, then drag the border to the right or left. </w:t>
      </w:r>
    </w:p>
    <w:p w:rsidR="002A21AE" w:rsidRDefault="002A21AE">
      <w:pPr>
        <w:pStyle w:val="ListBullet"/>
      </w:pPr>
      <w:r>
        <w:t xml:space="preserve">Change the height: move the mouse cursor to the top or bottom window border until the pointer changes into a vertical double-headed arrow, then drag the border up or down. </w:t>
      </w:r>
    </w:p>
    <w:p w:rsidR="002A21AE" w:rsidRDefault="002A21AE">
      <w:pPr>
        <w:pStyle w:val="ListBullet"/>
      </w:pPr>
      <w:r>
        <w:t xml:space="preserve">Change the height and width together: move the mouse cursor to any window corner until the pointer changes into a diagonal double-headed arrow, and then drag the border in any direction. </w:t>
      </w:r>
    </w:p>
    <w:p w:rsidR="002A21AE" w:rsidRDefault="002A21AE">
      <w:pPr>
        <w:pStyle w:val="Caution"/>
      </w:pPr>
      <w:r>
        <w:t>A maximized window cannot be resized or moved.</w:t>
      </w:r>
    </w:p>
    <w:p w:rsidR="003802FB" w:rsidRDefault="002A21AE" w:rsidP="003802FB">
      <w:pPr>
        <w:pStyle w:val="BodyText"/>
      </w:pPr>
      <w:r>
        <w:t xml:space="preserve">To move a window, click the dark blue bar at the top of the window. While </w:t>
      </w:r>
      <w:r w:rsidR="00DA43CD">
        <w:t>depressing</w:t>
      </w:r>
      <w:r>
        <w:t xml:space="preserve"> the mouse button, drag the </w:t>
      </w:r>
      <w:r w:rsidR="00B917A8">
        <w:t>window to the desired position.</w:t>
      </w:r>
    </w:p>
    <w:p w:rsidR="002755DA" w:rsidRDefault="00EB27C1" w:rsidP="003802FB">
      <w:pPr>
        <w:pStyle w:val="BodyText"/>
      </w:pPr>
      <w:r>
        <w:t xml:space="preserve">Select </w:t>
      </w:r>
      <w:r w:rsidRPr="00EB27C1">
        <w:rPr>
          <w:b/>
        </w:rPr>
        <w:t>Help</w:t>
      </w:r>
      <w:r>
        <w:t xml:space="preserve">, </w:t>
      </w:r>
      <w:r w:rsidRPr="00EB27C1">
        <w:rPr>
          <w:b/>
        </w:rPr>
        <w:t>VBECS Help</w:t>
      </w:r>
      <w:r w:rsidRPr="00EB27C1">
        <w:t>,</w:t>
      </w:r>
      <w:r>
        <w:t xml:space="preserve"> or p</w:t>
      </w:r>
      <w:r w:rsidR="002755DA">
        <w:t>ress F1 at any time for screen-specific online help</w:t>
      </w:r>
      <w:r w:rsidR="00BA2D0A">
        <w:fldChar w:fldCharType="begin"/>
      </w:r>
      <w:r w:rsidR="00BA2D0A">
        <w:instrText xml:space="preserve"> XE </w:instrText>
      </w:r>
      <w:r w:rsidR="00FA7E65">
        <w:instrText>“</w:instrText>
      </w:r>
      <w:r w:rsidR="00BA2D0A">
        <w:instrText>O</w:instrText>
      </w:r>
      <w:r w:rsidR="00BA2D0A" w:rsidRPr="00C1058E">
        <w:instrText xml:space="preserve">nline </w:instrText>
      </w:r>
      <w:r w:rsidR="00BA2D0A">
        <w:instrText>H</w:instrText>
      </w:r>
      <w:r w:rsidR="00BA2D0A" w:rsidRPr="00C1058E">
        <w:instrText>elp</w:instrText>
      </w:r>
      <w:r w:rsidR="00BA2D0A">
        <w:instrText xml:space="preserve"> F1</w:instrText>
      </w:r>
      <w:r w:rsidR="00FA7E65">
        <w:instrText>”</w:instrText>
      </w:r>
      <w:r w:rsidR="00BA2D0A">
        <w:instrText xml:space="preserve"> </w:instrText>
      </w:r>
      <w:r w:rsidR="00BA2D0A">
        <w:fldChar w:fldCharType="end"/>
      </w:r>
      <w:r w:rsidR="002755DA">
        <w:t>.</w:t>
      </w:r>
    </w:p>
    <w:p w:rsidR="002A21AE" w:rsidRDefault="002A21AE" w:rsidP="00FA7E65">
      <w:pPr>
        <w:pStyle w:val="BodyText"/>
      </w:pPr>
      <w:r>
        <w:t xml:space="preserve">The </w:t>
      </w:r>
      <w:r w:rsidR="00794B04">
        <w:t>first time a user opens a form [</w:t>
      </w:r>
      <w:r>
        <w:t>such as the Blood Transfusion Record Form</w:t>
      </w:r>
      <w:r w:rsidR="00794B04">
        <w:t xml:space="preserve"> (BTRF</w:t>
      </w:r>
      <w:r>
        <w:t>)</w:t>
      </w:r>
      <w:r w:rsidR="00794B04">
        <w:t>]</w:t>
      </w:r>
      <w:r>
        <w:t>, VBECS displays it in cascade style. When a user opens the form again, VBECS displays it in the size and position last selected.</w:t>
      </w:r>
    </w:p>
    <w:p w:rsidR="002A21AE" w:rsidRDefault="002A21AE">
      <w:pPr>
        <w:pStyle w:val="Caution"/>
      </w:pPr>
      <w:r>
        <w:t>Forms can be resized and moved in the same way that windows are resized and moved.</w:t>
      </w:r>
    </w:p>
    <w:p w:rsidR="009521D3" w:rsidRDefault="009521D3" w:rsidP="009521D3">
      <w:pPr>
        <w:pStyle w:val="Heading3"/>
      </w:pPr>
      <w:bookmarkStart w:id="135" w:name="_Toc459900064"/>
      <w:r>
        <w:lastRenderedPageBreak/>
        <w:t>Sound</w:t>
      </w:r>
      <w:bookmarkEnd w:id="135"/>
      <w:r>
        <w:fldChar w:fldCharType="begin"/>
      </w:r>
      <w:r>
        <w:instrText xml:space="preserve"> XE "</w:instrText>
      </w:r>
      <w:r w:rsidRPr="0052484B">
        <w:instrText>Sound</w:instrText>
      </w:r>
      <w:r>
        <w:instrText xml:space="preserve">" </w:instrText>
      </w:r>
      <w:r>
        <w:fldChar w:fldCharType="end"/>
      </w:r>
    </w:p>
    <w:p w:rsidR="009521D3" w:rsidRDefault="009521D3" w:rsidP="009521D3">
      <w:pPr>
        <w:pStyle w:val="BodyText"/>
      </w:pPr>
      <w:r>
        <w:t xml:space="preserve">To enable sound on Remote Desktop Connection: </w:t>
      </w:r>
    </w:p>
    <w:p w:rsidR="009521D3" w:rsidRDefault="00430868" w:rsidP="002F6D7B">
      <w:pPr>
        <w:pStyle w:val="ListNumber"/>
        <w:numPr>
          <w:ilvl w:val="0"/>
          <w:numId w:val="17"/>
        </w:numPr>
      </w:pPr>
      <w:r>
        <w:t>Double-</w:t>
      </w:r>
      <w:r w:rsidR="009521D3">
        <w:t xml:space="preserve">click </w:t>
      </w:r>
      <w:r w:rsidR="00440D46">
        <w:object w:dxaOrig="495" w:dyaOrig="525">
          <v:shape id="_x0000_i1027" type="#_x0000_t75" style="width:15pt;height:15.75pt" o:ole="">
            <v:imagedata r:id="rId75" o:title=""/>
          </v:shape>
          <o:OLEObject Type="Embed" ProgID="PBrush" ShapeID="_x0000_i1027" DrawAspect="Content" ObjectID="_1538556480" r:id="rId81"/>
        </w:object>
      </w:r>
      <w:r w:rsidR="00440D46">
        <w:t xml:space="preserve"> </w:t>
      </w:r>
      <w:r w:rsidR="009521D3">
        <w:t xml:space="preserve">(the </w:t>
      </w:r>
      <w:r w:rsidR="009521D3" w:rsidRPr="00D75808">
        <w:rPr>
          <w:b/>
        </w:rPr>
        <w:t>Remote Desktop Connection icon</w:t>
      </w:r>
      <w:r w:rsidR="009521D3" w:rsidRPr="006B174A">
        <w:t>).</w:t>
      </w:r>
    </w:p>
    <w:p w:rsidR="009521D3" w:rsidRDefault="009521D3" w:rsidP="009521D3">
      <w:pPr>
        <w:pStyle w:val="ListNumber"/>
      </w:pPr>
      <w:r>
        <w:t xml:space="preserve">Click </w:t>
      </w:r>
      <w:r w:rsidRPr="00D75808">
        <w:rPr>
          <w:b/>
        </w:rPr>
        <w:t>Options</w:t>
      </w:r>
      <w:r>
        <w:rPr>
          <w:b/>
        </w:rPr>
        <w:t xml:space="preserve"> </w:t>
      </w:r>
      <w:r>
        <w:t>(</w:t>
      </w:r>
      <w:r w:rsidR="002D0252">
        <w:fldChar w:fldCharType="begin"/>
      </w:r>
      <w:r w:rsidR="002D0252">
        <w:instrText xml:space="preserve"> REF _Ref129412677 \h </w:instrText>
      </w:r>
      <w:r w:rsidR="002D0252">
        <w:fldChar w:fldCharType="separate"/>
      </w:r>
      <w:r w:rsidR="005F38BC">
        <w:t xml:space="preserve">Figure </w:t>
      </w:r>
      <w:r w:rsidR="005F38BC">
        <w:rPr>
          <w:noProof/>
        </w:rPr>
        <w:t>39</w:t>
      </w:r>
      <w:r w:rsidR="002D0252">
        <w:fldChar w:fldCharType="end"/>
      </w:r>
      <w:r>
        <w:t>).</w:t>
      </w:r>
    </w:p>
    <w:p w:rsidR="009521D3" w:rsidRDefault="009521D3" w:rsidP="009521D3">
      <w:pPr>
        <w:pStyle w:val="ListNumber"/>
      </w:pPr>
      <w:r>
        <w:t xml:space="preserve">Click the </w:t>
      </w:r>
      <w:r w:rsidRPr="00D75808">
        <w:rPr>
          <w:b/>
        </w:rPr>
        <w:t xml:space="preserve">Local Resources </w:t>
      </w:r>
      <w:r w:rsidRPr="003814BF">
        <w:t>tab</w:t>
      </w:r>
      <w:r>
        <w:t>.</w:t>
      </w:r>
    </w:p>
    <w:p w:rsidR="009521D3" w:rsidRDefault="009521D3" w:rsidP="009521D3">
      <w:pPr>
        <w:pStyle w:val="ListNumber"/>
      </w:pPr>
      <w:r>
        <w:t xml:space="preserve">Select </w:t>
      </w:r>
      <w:r w:rsidRPr="00D75808">
        <w:rPr>
          <w:b/>
        </w:rPr>
        <w:t xml:space="preserve">Bring to this computer </w:t>
      </w:r>
      <w:r>
        <w:t>from the Remote computer sound drop-down list.</w:t>
      </w:r>
    </w:p>
    <w:p w:rsidR="009521D3" w:rsidRDefault="009521D3" w:rsidP="009521D3">
      <w:pPr>
        <w:pStyle w:val="Caption"/>
      </w:pPr>
      <w:bookmarkStart w:id="136" w:name="_Ref129412677"/>
      <w:r>
        <w:t xml:space="preserve">Figure </w:t>
      </w:r>
      <w:r w:rsidR="00C17F7C">
        <w:fldChar w:fldCharType="begin"/>
      </w:r>
      <w:r w:rsidR="00C17F7C">
        <w:instrText xml:space="preserve"> SEQ Figure \* ARABIC </w:instrText>
      </w:r>
      <w:r w:rsidR="00C17F7C">
        <w:fldChar w:fldCharType="separate"/>
      </w:r>
      <w:r w:rsidR="005F38BC">
        <w:rPr>
          <w:noProof/>
        </w:rPr>
        <w:t>39</w:t>
      </w:r>
      <w:r w:rsidR="00C17F7C">
        <w:fldChar w:fldCharType="end"/>
      </w:r>
      <w:bookmarkEnd w:id="136"/>
      <w:r>
        <w:t>: Remote Desktop Connection Remote Computer Sound</w:t>
      </w:r>
    </w:p>
    <w:p w:rsidR="009521D3" w:rsidRDefault="00634BFC" w:rsidP="009521D3">
      <w:pPr>
        <w:pStyle w:val="BodyText"/>
      </w:pPr>
      <w:r>
        <w:rPr>
          <w:noProof/>
        </w:rPr>
        <w:drawing>
          <wp:inline distT="0" distB="0" distL="0" distR="0">
            <wp:extent cx="3200400" cy="36480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00400" cy="3648075"/>
                    </a:xfrm>
                    <a:prstGeom prst="rect">
                      <a:avLst/>
                    </a:prstGeom>
                    <a:noFill/>
                    <a:ln>
                      <a:noFill/>
                    </a:ln>
                  </pic:spPr>
                </pic:pic>
              </a:graphicData>
            </a:graphic>
          </wp:inline>
        </w:drawing>
      </w:r>
    </w:p>
    <w:p w:rsidR="009521D3" w:rsidRDefault="009521D3" w:rsidP="009521D3">
      <w:pPr>
        <w:pStyle w:val="ListNumber"/>
      </w:pPr>
      <w:r>
        <w:t xml:space="preserve">Click the </w:t>
      </w:r>
      <w:r w:rsidRPr="004008D5">
        <w:rPr>
          <w:b/>
        </w:rPr>
        <w:t xml:space="preserve">Experience </w:t>
      </w:r>
      <w:r w:rsidRPr="00430868">
        <w:t>tab</w:t>
      </w:r>
      <w:r>
        <w:t>.</w:t>
      </w:r>
    </w:p>
    <w:p w:rsidR="009521D3" w:rsidRDefault="007F06CA" w:rsidP="009521D3">
      <w:pPr>
        <w:pStyle w:val="ListNumber"/>
      </w:pPr>
      <w:r>
        <w:br w:type="page"/>
      </w:r>
      <w:r w:rsidR="009521D3">
        <w:lastRenderedPageBreak/>
        <w:t xml:space="preserve">Select </w:t>
      </w:r>
      <w:r w:rsidR="009521D3" w:rsidRPr="004008D5">
        <w:rPr>
          <w:b/>
        </w:rPr>
        <w:t>LAN</w:t>
      </w:r>
      <w:r w:rsidR="009521D3">
        <w:t xml:space="preserve"> from the </w:t>
      </w:r>
      <w:r w:rsidR="009521D3" w:rsidRPr="0059143B">
        <w:rPr>
          <w:b/>
        </w:rPr>
        <w:t>Choose your connect</w:t>
      </w:r>
      <w:r w:rsidR="00D051B7" w:rsidRPr="0059143B">
        <w:rPr>
          <w:b/>
        </w:rPr>
        <w:t>i</w:t>
      </w:r>
      <w:r w:rsidR="009521D3" w:rsidRPr="0059143B">
        <w:rPr>
          <w:b/>
        </w:rPr>
        <w:t>on speed to optimize performance</w:t>
      </w:r>
      <w:r w:rsidR="009521D3">
        <w:t xml:space="preserve"> drop-down list</w:t>
      </w:r>
      <w:r w:rsidR="0059143B">
        <w:t xml:space="preserve"> (</w:t>
      </w:r>
      <w:r w:rsidR="0059143B">
        <w:fldChar w:fldCharType="begin"/>
      </w:r>
      <w:r w:rsidR="0059143B">
        <w:instrText xml:space="preserve"> REF _Ref220808042 \h </w:instrText>
      </w:r>
      <w:r w:rsidR="0059143B">
        <w:fldChar w:fldCharType="separate"/>
      </w:r>
      <w:r w:rsidR="005F38BC">
        <w:t xml:space="preserve">Figure </w:t>
      </w:r>
      <w:r w:rsidR="005F38BC">
        <w:rPr>
          <w:noProof/>
        </w:rPr>
        <w:t>40</w:t>
      </w:r>
      <w:r w:rsidR="0059143B">
        <w:fldChar w:fldCharType="end"/>
      </w:r>
      <w:r w:rsidR="0059143B">
        <w:t>).</w:t>
      </w:r>
    </w:p>
    <w:p w:rsidR="009521D3" w:rsidRDefault="009521D3" w:rsidP="009521D3">
      <w:pPr>
        <w:pStyle w:val="Caption"/>
      </w:pPr>
      <w:bookmarkStart w:id="137" w:name="_Ref220808042"/>
      <w:r>
        <w:t xml:space="preserve">Figure </w:t>
      </w:r>
      <w:r w:rsidR="00C17F7C">
        <w:fldChar w:fldCharType="begin"/>
      </w:r>
      <w:r w:rsidR="00C17F7C">
        <w:instrText xml:space="preserve"> SEQ Figure \* ARABIC </w:instrText>
      </w:r>
      <w:r w:rsidR="00C17F7C">
        <w:fldChar w:fldCharType="separate"/>
      </w:r>
      <w:r w:rsidR="005F38BC">
        <w:rPr>
          <w:noProof/>
        </w:rPr>
        <w:t>40</w:t>
      </w:r>
      <w:r w:rsidR="00C17F7C">
        <w:fldChar w:fldCharType="end"/>
      </w:r>
      <w:bookmarkEnd w:id="137"/>
      <w:r>
        <w:t>: Remote Desktop Connection Choose Connection Speed</w:t>
      </w:r>
    </w:p>
    <w:p w:rsidR="009521D3" w:rsidRDefault="00634BFC" w:rsidP="009521D3">
      <w:pPr>
        <w:pStyle w:val="BodyText"/>
      </w:pPr>
      <w:r>
        <w:rPr>
          <w:noProof/>
        </w:rPr>
        <w:drawing>
          <wp:inline distT="0" distB="0" distL="0" distR="0">
            <wp:extent cx="3200400" cy="36766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00400" cy="3676650"/>
                    </a:xfrm>
                    <a:prstGeom prst="rect">
                      <a:avLst/>
                    </a:prstGeom>
                    <a:noFill/>
                    <a:ln>
                      <a:noFill/>
                    </a:ln>
                  </pic:spPr>
                </pic:pic>
              </a:graphicData>
            </a:graphic>
          </wp:inline>
        </w:drawing>
      </w:r>
    </w:p>
    <w:p w:rsidR="009521D3" w:rsidRDefault="009521D3" w:rsidP="009521D3">
      <w:pPr>
        <w:pStyle w:val="ListNumber"/>
      </w:pPr>
      <w:r>
        <w:t xml:space="preserve">Click </w:t>
      </w:r>
      <w:r w:rsidRPr="00D75808">
        <w:rPr>
          <w:b/>
        </w:rPr>
        <w:t>Connect</w:t>
      </w:r>
      <w:r>
        <w:t>.</w:t>
      </w:r>
    </w:p>
    <w:p w:rsidR="009521D3" w:rsidRDefault="003221AE" w:rsidP="009521D3">
      <w:pPr>
        <w:pStyle w:val="Heading3"/>
      </w:pPr>
      <w:r>
        <w:br w:type="page"/>
      </w:r>
      <w:bookmarkStart w:id="138" w:name="_Toc459900065"/>
      <w:r w:rsidR="009521D3">
        <w:lastRenderedPageBreak/>
        <w:t>Volume</w:t>
      </w:r>
      <w:bookmarkEnd w:id="138"/>
      <w:r w:rsidR="009521D3">
        <w:fldChar w:fldCharType="begin"/>
      </w:r>
      <w:r w:rsidR="009521D3">
        <w:instrText xml:space="preserve"> XE "</w:instrText>
      </w:r>
      <w:r w:rsidR="009521D3" w:rsidRPr="001226D8">
        <w:instrText xml:space="preserve"> Volume</w:instrText>
      </w:r>
      <w:r w:rsidR="009521D3">
        <w:instrText xml:space="preserve">" </w:instrText>
      </w:r>
      <w:r w:rsidR="009521D3">
        <w:fldChar w:fldCharType="end"/>
      </w:r>
    </w:p>
    <w:p w:rsidR="009521D3" w:rsidRDefault="00634BFC" w:rsidP="009521D3">
      <w:pPr>
        <w:pStyle w:val="Caution"/>
      </w:pPr>
      <w:r>
        <w:rPr>
          <w:noProof/>
        </w:rPr>
        <w:drawing>
          <wp:inline distT="0" distB="0" distL="0" distR="0">
            <wp:extent cx="266700" cy="2190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9521D3">
        <w:t>Do not change volume settings unless alerts are inaudible (muted) or low.</w:t>
      </w:r>
    </w:p>
    <w:p w:rsidR="009521D3" w:rsidRDefault="009521D3" w:rsidP="009521D3">
      <w:pPr>
        <w:pStyle w:val="BodyText"/>
      </w:pPr>
      <w:r>
        <w:t xml:space="preserve">VBECS uses sound </w:t>
      </w:r>
      <w:r w:rsidR="00DF3323">
        <w:t xml:space="preserve">as one way </w:t>
      </w:r>
      <w:r>
        <w:t>to alert users. To restore the volume setting on your workstation so that alerts are audible:</w:t>
      </w:r>
    </w:p>
    <w:p w:rsidR="00190939" w:rsidRDefault="00190939" w:rsidP="002F6D7B">
      <w:pPr>
        <w:pStyle w:val="ListNumber"/>
        <w:numPr>
          <w:ilvl w:val="0"/>
          <w:numId w:val="18"/>
        </w:numPr>
      </w:pPr>
      <w:r>
        <w:t xml:space="preserve">Click </w:t>
      </w:r>
      <w:r w:rsidRPr="00F8408D">
        <w:rPr>
          <w:b/>
        </w:rPr>
        <w:t>Start</w:t>
      </w:r>
      <w:r>
        <w:t xml:space="preserve">, </w:t>
      </w:r>
      <w:r w:rsidRPr="00F8408D">
        <w:rPr>
          <w:b/>
        </w:rPr>
        <w:t>Settings</w:t>
      </w:r>
      <w:r>
        <w:t xml:space="preserve">, </w:t>
      </w:r>
      <w:r w:rsidRPr="00F8408D">
        <w:rPr>
          <w:b/>
        </w:rPr>
        <w:t>Control Panel</w:t>
      </w:r>
      <w:r>
        <w:t>.</w:t>
      </w:r>
    </w:p>
    <w:p w:rsidR="00190939" w:rsidRPr="00F8408D" w:rsidRDefault="00190939" w:rsidP="00F8408D">
      <w:pPr>
        <w:pStyle w:val="ListNumber"/>
      </w:pPr>
      <w:r w:rsidRPr="00190939">
        <w:t xml:space="preserve">Click </w:t>
      </w:r>
      <w:r w:rsidRPr="00F8408D">
        <w:rPr>
          <w:b/>
        </w:rPr>
        <w:t>Sounds, Speech, and Audio Devices</w:t>
      </w:r>
      <w:r w:rsidRPr="00F8408D">
        <w:t>.</w:t>
      </w:r>
    </w:p>
    <w:p w:rsidR="00190939" w:rsidRPr="00F8408D" w:rsidRDefault="00190939" w:rsidP="00F8408D">
      <w:pPr>
        <w:pStyle w:val="ListNumber"/>
      </w:pPr>
      <w:r w:rsidRPr="00F8408D">
        <w:t xml:space="preserve">Click </w:t>
      </w:r>
      <w:r w:rsidRPr="00F8408D">
        <w:rPr>
          <w:b/>
        </w:rPr>
        <w:t>Sounds and Audio Devices</w:t>
      </w:r>
      <w:r w:rsidRPr="00F8408D">
        <w:t>.</w:t>
      </w:r>
    </w:p>
    <w:p w:rsidR="00190939" w:rsidRPr="00F8408D" w:rsidRDefault="00190939" w:rsidP="00F8408D">
      <w:pPr>
        <w:pStyle w:val="ListNumber"/>
      </w:pPr>
      <w:r w:rsidRPr="00F8408D">
        <w:t xml:space="preserve">Select the </w:t>
      </w:r>
      <w:r w:rsidRPr="00F8408D">
        <w:rPr>
          <w:b/>
        </w:rPr>
        <w:t xml:space="preserve">Volume </w:t>
      </w:r>
      <w:r w:rsidRPr="003814BF">
        <w:t>tab</w:t>
      </w:r>
      <w:r w:rsidR="007F06CA">
        <w:rPr>
          <w:b/>
        </w:rPr>
        <w:t xml:space="preserve"> </w:t>
      </w:r>
      <w:r w:rsidR="007F06CA" w:rsidRPr="007F06CA">
        <w:t>(</w:t>
      </w:r>
      <w:r w:rsidR="007F06CA">
        <w:fldChar w:fldCharType="begin"/>
      </w:r>
      <w:r w:rsidR="007F06CA">
        <w:instrText xml:space="preserve"> REF _Ref220808182 \h </w:instrText>
      </w:r>
      <w:r w:rsidR="007F06CA">
        <w:fldChar w:fldCharType="separate"/>
      </w:r>
      <w:r w:rsidR="005F38BC">
        <w:t xml:space="preserve">Figure </w:t>
      </w:r>
      <w:r w:rsidR="005F38BC">
        <w:rPr>
          <w:noProof/>
        </w:rPr>
        <w:t>41</w:t>
      </w:r>
      <w:r w:rsidR="007F06CA">
        <w:fldChar w:fldCharType="end"/>
      </w:r>
      <w:r w:rsidR="007F06CA" w:rsidRPr="007F06CA">
        <w:t>)</w:t>
      </w:r>
      <w:r w:rsidRPr="007F06CA">
        <w:t>.</w:t>
      </w:r>
    </w:p>
    <w:p w:rsidR="00190939" w:rsidRPr="00F8408D" w:rsidRDefault="00190939" w:rsidP="00F8408D">
      <w:pPr>
        <w:pStyle w:val="ListNumber"/>
      </w:pPr>
      <w:r w:rsidRPr="00F8408D">
        <w:t>Click, hold, and slide the pointer to adjust the volume.</w:t>
      </w:r>
    </w:p>
    <w:p w:rsidR="00190939" w:rsidRPr="00F8408D" w:rsidRDefault="00190939" w:rsidP="00F8408D">
      <w:pPr>
        <w:pStyle w:val="ListNumber"/>
      </w:pPr>
      <w:r w:rsidRPr="00F8408D">
        <w:t xml:space="preserve">Click </w:t>
      </w:r>
      <w:r w:rsidRPr="00F8408D">
        <w:rPr>
          <w:b/>
        </w:rPr>
        <w:t>OK</w:t>
      </w:r>
      <w:r w:rsidRPr="00F8408D">
        <w:t xml:space="preserve"> to save the setting.</w:t>
      </w:r>
    </w:p>
    <w:p w:rsidR="009521D3" w:rsidRDefault="009521D3" w:rsidP="009521D3">
      <w:pPr>
        <w:pStyle w:val="Caption"/>
      </w:pPr>
      <w:bookmarkStart w:id="139" w:name="_Ref220808182"/>
      <w:r>
        <w:t xml:space="preserve">Figure </w:t>
      </w:r>
      <w:r w:rsidR="00C17F7C">
        <w:fldChar w:fldCharType="begin"/>
      </w:r>
      <w:r w:rsidR="00C17F7C">
        <w:instrText xml:space="preserve"> SEQ Figure \* ARABIC </w:instrText>
      </w:r>
      <w:r w:rsidR="00C17F7C">
        <w:fldChar w:fldCharType="separate"/>
      </w:r>
      <w:r w:rsidR="005F38BC">
        <w:rPr>
          <w:noProof/>
        </w:rPr>
        <w:t>41</w:t>
      </w:r>
      <w:r w:rsidR="00C17F7C">
        <w:fldChar w:fldCharType="end"/>
      </w:r>
      <w:bookmarkEnd w:id="139"/>
      <w:r>
        <w:t>: Sounds and Audio Devices: Volume</w:t>
      </w:r>
    </w:p>
    <w:p w:rsidR="009521D3" w:rsidRDefault="00634BFC" w:rsidP="009521D3">
      <w:pPr>
        <w:pStyle w:val="BodyText"/>
      </w:pPr>
      <w:r>
        <w:rPr>
          <w:noProof/>
        </w:rPr>
        <w:drawing>
          <wp:inline distT="0" distB="0" distL="0" distR="0">
            <wp:extent cx="3200400" cy="39624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00400" cy="3962400"/>
                    </a:xfrm>
                    <a:prstGeom prst="rect">
                      <a:avLst/>
                    </a:prstGeom>
                    <a:noFill/>
                    <a:ln>
                      <a:noFill/>
                    </a:ln>
                  </pic:spPr>
                </pic:pic>
              </a:graphicData>
            </a:graphic>
          </wp:inline>
        </w:drawing>
      </w:r>
    </w:p>
    <w:p w:rsidR="00963F12" w:rsidRDefault="003221AE" w:rsidP="00963F12">
      <w:pPr>
        <w:pStyle w:val="Heading3"/>
      </w:pPr>
      <w:r>
        <w:br w:type="page"/>
      </w:r>
      <w:bookmarkStart w:id="140" w:name="_Toc459900066"/>
      <w:r w:rsidR="00963F12">
        <w:lastRenderedPageBreak/>
        <w:t>Keyboard Shortcuts for Windows</w:t>
      </w:r>
      <w:bookmarkEnd w:id="140"/>
      <w:r w:rsidR="00963F12">
        <w:fldChar w:fldCharType="begin"/>
      </w:r>
      <w:r w:rsidR="00963F12">
        <w:instrText xml:space="preserve"> XE </w:instrText>
      </w:r>
      <w:r w:rsidR="00FA7E65">
        <w:instrText>“</w:instrText>
      </w:r>
      <w:r w:rsidR="00963F12" w:rsidRPr="00DB2C0F">
        <w:instrText>Keyboard Shortcuts for Windows</w:instrText>
      </w:r>
      <w:r w:rsidR="00FA7E65">
        <w:instrText>”</w:instrText>
      </w:r>
      <w:r w:rsidR="00963F12">
        <w:instrText xml:space="preserve"> </w:instrText>
      </w:r>
      <w:r w:rsidR="00963F12">
        <w:fldChar w:fldCharType="end"/>
      </w:r>
    </w:p>
    <w:p w:rsidR="00963F12" w:rsidRDefault="00963F12" w:rsidP="00FA7E65">
      <w:pPr>
        <w:pStyle w:val="BodyText"/>
      </w:pPr>
      <w:r w:rsidRPr="00FA7E65">
        <w:t>Using a mouse to navigate VBECS requires fewer steps than using the keyboard. A user who prefers using the keyboard may refer to these keyboard shortcuts</w:t>
      </w:r>
      <w:r w:rsidR="00327BDD" w:rsidRPr="00FA7E65">
        <w:t>. Keys precede</w:t>
      </w:r>
      <w:r w:rsidR="00031138" w:rsidRPr="00FA7E65">
        <w:t>d</w:t>
      </w:r>
      <w:r w:rsidR="00327BDD" w:rsidRPr="00FA7E65">
        <w:t xml:space="preserve"> </w:t>
      </w:r>
      <w:r w:rsidR="009A316C" w:rsidRPr="00FA7E65">
        <w:t>and/</w:t>
      </w:r>
      <w:r w:rsidR="00686D70">
        <w:t>or followed by “+” indicate</w:t>
      </w:r>
      <w:r w:rsidR="00327BDD" w:rsidRPr="00FA7E65">
        <w:t xml:space="preserve"> that they must be pressed simultaneously</w:t>
      </w:r>
      <w:r w:rsidRPr="00FA7E65">
        <w:t>:</w:t>
      </w:r>
    </w:p>
    <w:p w:rsidR="00BC58B1" w:rsidRPr="008D0D9B" w:rsidRDefault="00BC58B1" w:rsidP="00BC58B1">
      <w:pPr>
        <w:pStyle w:val="Caution"/>
        <w:rPr>
          <w:i w:val="0"/>
        </w:rPr>
      </w:pPr>
      <w:r>
        <w:t>Keyboard navigation of VBECS does not accommodate the presentation of error providers or tool tips. A mouse is required to reveal this information as needed.</w:t>
      </w:r>
      <w:r>
        <w:rPr>
          <w:vanish/>
        </w:rPr>
        <w:t xml:space="preserve"> DR 3590</w:t>
      </w:r>
    </w:p>
    <w:p w:rsidR="00CD612D" w:rsidRDefault="00CD612D" w:rsidP="00CD612D">
      <w:pPr>
        <w:pStyle w:val="Heading4"/>
      </w:pPr>
      <w:r>
        <w:t>CPRS and VBECS</w:t>
      </w:r>
    </w:p>
    <w:p w:rsidR="00CD612D" w:rsidRDefault="00CD612D" w:rsidP="00CD612D">
      <w:pPr>
        <w:pStyle w:val="ListBullet"/>
      </w:pPr>
      <w:r>
        <w:t xml:space="preserve">Toggle between </w:t>
      </w:r>
      <w:r w:rsidRPr="00634DAB">
        <w:rPr>
          <w:b/>
        </w:rPr>
        <w:t>VBECS</w:t>
      </w:r>
      <w:r>
        <w:t xml:space="preserve"> and </w:t>
      </w:r>
      <w:r w:rsidRPr="00634DAB">
        <w:rPr>
          <w:b/>
        </w:rPr>
        <w:t>CPRS</w:t>
      </w:r>
      <w:r>
        <w:t xml:space="preserve"> or another application: </w:t>
      </w:r>
      <w:r w:rsidRPr="00634DAB">
        <w:rPr>
          <w:b/>
        </w:rPr>
        <w:t>Alt</w:t>
      </w:r>
      <w:r w:rsidRPr="00823F58">
        <w:t xml:space="preserve"> + </w:t>
      </w:r>
      <w:r w:rsidRPr="00634DAB">
        <w:rPr>
          <w:b/>
        </w:rPr>
        <w:t>Tab</w:t>
      </w:r>
    </w:p>
    <w:p w:rsidR="00031138" w:rsidRDefault="00031138" w:rsidP="00031138">
      <w:pPr>
        <w:pStyle w:val="Heading4"/>
      </w:pPr>
      <w:r>
        <w:t>Menus</w:t>
      </w:r>
    </w:p>
    <w:p w:rsidR="00CA479B" w:rsidRPr="007E7887" w:rsidRDefault="00CA479B" w:rsidP="00CA479B">
      <w:pPr>
        <w:pStyle w:val="ListBullet"/>
      </w:pPr>
      <w:r>
        <w:t>Display</w:t>
      </w:r>
      <w:r w:rsidRPr="007E7887">
        <w:t xml:space="preserve"> the </w:t>
      </w:r>
      <w:r w:rsidRPr="00634DAB">
        <w:rPr>
          <w:b/>
        </w:rPr>
        <w:t>Start</w:t>
      </w:r>
      <w:r w:rsidRPr="007E7887">
        <w:t xml:space="preserve"> menu (use the </w:t>
      </w:r>
      <w:r>
        <w:t>arrow</w:t>
      </w:r>
      <w:r w:rsidRPr="007E7887">
        <w:t xml:space="preserve"> keys to select an item)</w:t>
      </w:r>
      <w:r>
        <w:t xml:space="preserve">: </w:t>
      </w:r>
      <w:r w:rsidRPr="00634DAB">
        <w:rPr>
          <w:b/>
        </w:rPr>
        <w:t>Alt</w:t>
      </w:r>
      <w:r>
        <w:t xml:space="preserve"> + </w:t>
      </w:r>
      <w:r w:rsidRPr="00634DAB">
        <w:rPr>
          <w:b/>
        </w:rPr>
        <w:t>Home</w:t>
      </w:r>
    </w:p>
    <w:p w:rsidR="00CA479B" w:rsidRPr="007E7887" w:rsidRDefault="00CA479B" w:rsidP="00CA479B">
      <w:pPr>
        <w:pStyle w:val="ListBullet"/>
      </w:pPr>
      <w:r w:rsidRPr="007E7887">
        <w:t xml:space="preserve">Start </w:t>
      </w:r>
      <w:r>
        <w:t xml:space="preserve">VBECS </w:t>
      </w:r>
      <w:r w:rsidRPr="007E7887">
        <w:t>online help</w:t>
      </w:r>
      <w:r>
        <w:t>:</w:t>
      </w:r>
      <w:r w:rsidRPr="00634DAB">
        <w:rPr>
          <w:b/>
        </w:rPr>
        <w:t xml:space="preserve"> F1</w:t>
      </w:r>
    </w:p>
    <w:p w:rsidR="00CA479B" w:rsidRPr="007E7887" w:rsidRDefault="00CA479B" w:rsidP="00CA479B">
      <w:pPr>
        <w:pStyle w:val="ListBullet"/>
      </w:pPr>
      <w:r w:rsidRPr="007E7887">
        <w:t xml:space="preserve">Activate </w:t>
      </w:r>
      <w:r>
        <w:t xml:space="preserve">a </w:t>
      </w:r>
      <w:r w:rsidRPr="007E7887">
        <w:t>menu bar option</w:t>
      </w:r>
      <w:r>
        <w:t xml:space="preserve">: </w:t>
      </w:r>
      <w:r w:rsidRPr="00634DAB">
        <w:rPr>
          <w:b/>
        </w:rPr>
        <w:t>F10</w:t>
      </w:r>
    </w:p>
    <w:p w:rsidR="00CA479B" w:rsidRPr="007E7887" w:rsidRDefault="00CA479B" w:rsidP="00CA479B">
      <w:pPr>
        <w:pStyle w:val="ListBullet"/>
      </w:pPr>
      <w:r w:rsidRPr="007E7887">
        <w:t>Open a menu</w:t>
      </w:r>
      <w:r>
        <w:t xml:space="preserve">: </w:t>
      </w:r>
      <w:r w:rsidRPr="00634DAB">
        <w:rPr>
          <w:b/>
        </w:rPr>
        <w:t>Alt</w:t>
      </w:r>
      <w:r w:rsidRPr="007E7887">
        <w:t xml:space="preserve"> + underscored letter</w:t>
      </w:r>
    </w:p>
    <w:p w:rsidR="00CA479B" w:rsidRPr="007E7887" w:rsidRDefault="00CA479B" w:rsidP="00CA479B">
      <w:pPr>
        <w:pStyle w:val="ListBullet"/>
      </w:pPr>
      <w:r>
        <w:t xml:space="preserve">Move to and select a menu item: Arrow key + </w:t>
      </w:r>
      <w:r w:rsidRPr="00634DAB">
        <w:rPr>
          <w:b/>
        </w:rPr>
        <w:t>Enter</w:t>
      </w:r>
    </w:p>
    <w:p w:rsidR="00CA479B" w:rsidRPr="007E7887" w:rsidRDefault="00CA479B" w:rsidP="00CA479B">
      <w:pPr>
        <w:pStyle w:val="ListBullet"/>
      </w:pPr>
      <w:r>
        <w:t xml:space="preserve">Open a submenu item: </w:t>
      </w:r>
      <w:r w:rsidRPr="00634DAB">
        <w:rPr>
          <w:b/>
        </w:rPr>
        <w:t>Shift</w:t>
      </w:r>
      <w:r>
        <w:t xml:space="preserve"> + letter (case insensitive)</w:t>
      </w:r>
    </w:p>
    <w:p w:rsidR="00CA479B" w:rsidRPr="007E7887" w:rsidRDefault="00CA479B" w:rsidP="00CA479B">
      <w:pPr>
        <w:pStyle w:val="ListBullet"/>
      </w:pPr>
      <w:r w:rsidRPr="007E7887">
        <w:t>Open a drop-down menu</w:t>
      </w:r>
      <w:r>
        <w:t xml:space="preserve">: </w:t>
      </w:r>
      <w:r w:rsidRPr="00634DAB">
        <w:rPr>
          <w:b/>
        </w:rPr>
        <w:t>Alt</w:t>
      </w:r>
      <w:r w:rsidRPr="007E7887">
        <w:t xml:space="preserve"> + </w:t>
      </w:r>
      <w:r>
        <w:t>down arrow key</w:t>
      </w:r>
    </w:p>
    <w:p w:rsidR="00CA479B" w:rsidRPr="007E7887" w:rsidRDefault="00CA479B" w:rsidP="00CA479B">
      <w:pPr>
        <w:pStyle w:val="ListBullet"/>
      </w:pPr>
      <w:r w:rsidRPr="007E7887">
        <w:t>Close a drop-down menu</w:t>
      </w:r>
      <w:r>
        <w:t xml:space="preserve">: </w:t>
      </w:r>
      <w:r w:rsidRPr="00634DAB">
        <w:rPr>
          <w:b/>
        </w:rPr>
        <w:t>Alt</w:t>
      </w:r>
      <w:r w:rsidRPr="007E7887">
        <w:t xml:space="preserve"> + </w:t>
      </w:r>
      <w:r>
        <w:t>up arrow key</w:t>
      </w:r>
    </w:p>
    <w:p w:rsidR="00CA479B" w:rsidRPr="00031138" w:rsidRDefault="00CA479B" w:rsidP="00CA479B">
      <w:pPr>
        <w:pStyle w:val="ListBullet"/>
      </w:pPr>
      <w:r>
        <w:t>Display</w:t>
      </w:r>
      <w:r w:rsidRPr="007E7887">
        <w:t xml:space="preserve"> a shortcut menu for the selected item</w:t>
      </w:r>
      <w:r>
        <w:t xml:space="preserve">: </w:t>
      </w:r>
      <w:r w:rsidRPr="007E7887">
        <w:t>Application key</w:t>
      </w:r>
      <w:r>
        <w:t xml:space="preserve"> </w:t>
      </w:r>
      <w:r>
        <w:rPr>
          <w:rFonts w:ascii="Arial" w:hAnsi="Arial"/>
          <w:sz w:val="16"/>
          <w:szCs w:val="16"/>
        </w:rPr>
        <w:t>(</w:t>
      </w:r>
      <w:r w:rsidR="00634BFC">
        <w:rPr>
          <w:rFonts w:ascii="Arial" w:hAnsi="Arial"/>
          <w:noProof/>
          <w:sz w:val="16"/>
          <w:szCs w:val="16"/>
        </w:rPr>
        <w:drawing>
          <wp:inline distT="0" distB="0" distL="0" distR="0">
            <wp:extent cx="152400" cy="161925"/>
            <wp:effectExtent l="0" t="0" r="0" b="9525"/>
            <wp:docPr id="70" name="Picture 70" descr="http://msdn.microsoft.com/library/en-us/dnacc/html/atg_keyboardshortcuts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msdn.microsoft.com/library/en-us/dnacc/html/atg_keyboardshortcuts_10.gif"/>
                    <pic:cNvPicPr>
                      <a:picLocks noChangeAspect="1" noChangeArrowheads="1"/>
                    </pic:cNvPicPr>
                  </pic:nvPicPr>
                  <pic:blipFill>
                    <a:blip r:embed="rId85" r:link="rId8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rFonts w:ascii="Arial" w:hAnsi="Arial"/>
          <w:sz w:val="16"/>
          <w:szCs w:val="16"/>
        </w:rPr>
        <w:t>)</w:t>
      </w:r>
    </w:p>
    <w:p w:rsidR="00957EE4" w:rsidRDefault="00C52F72" w:rsidP="00957EE4">
      <w:pPr>
        <w:pStyle w:val="Heading4"/>
      </w:pPr>
      <w:r>
        <w:t>Buttons, Check Boxes, and Fields</w:t>
      </w:r>
    </w:p>
    <w:p w:rsidR="00CA479B" w:rsidRPr="007E7887" w:rsidRDefault="00CA479B" w:rsidP="00CA479B">
      <w:pPr>
        <w:pStyle w:val="ListBullet"/>
      </w:pPr>
      <w:r>
        <w:t xml:space="preserve">Move to and select fields and buttons: </w:t>
      </w:r>
      <w:r w:rsidRPr="00634DAB">
        <w:rPr>
          <w:b/>
        </w:rPr>
        <w:t>Tab</w:t>
      </w:r>
      <w:r>
        <w:t xml:space="preserve"> + </w:t>
      </w:r>
      <w:r w:rsidRPr="00634DAB">
        <w:rPr>
          <w:b/>
        </w:rPr>
        <w:t>Enter</w:t>
      </w:r>
    </w:p>
    <w:p w:rsidR="00CA479B" w:rsidRDefault="00CA479B" w:rsidP="00CA479B">
      <w:pPr>
        <w:pStyle w:val="ListBullet"/>
      </w:pPr>
      <w:r>
        <w:t xml:space="preserve">Select or clear a check box: </w:t>
      </w:r>
      <w:r w:rsidRPr="00634DAB">
        <w:rPr>
          <w:b/>
        </w:rPr>
        <w:t>Tab</w:t>
      </w:r>
      <w:r>
        <w:t xml:space="preserve">, arrow key (or </w:t>
      </w:r>
      <w:r w:rsidRPr="00634DAB">
        <w:rPr>
          <w:b/>
        </w:rPr>
        <w:t>Alt</w:t>
      </w:r>
      <w:r>
        <w:t xml:space="preserve"> + underscored letter), spacebar</w:t>
      </w:r>
    </w:p>
    <w:p w:rsidR="00CA479B" w:rsidRDefault="00CA479B" w:rsidP="00CA479B">
      <w:pPr>
        <w:pStyle w:val="ListBullet"/>
      </w:pPr>
      <w:r>
        <w:t xml:space="preserve">Select or clear a radio button: </w:t>
      </w:r>
      <w:r w:rsidRPr="00634DAB">
        <w:rPr>
          <w:b/>
        </w:rPr>
        <w:t>Tab</w:t>
      </w:r>
      <w:r>
        <w:t xml:space="preserve">, arrow key (or </w:t>
      </w:r>
      <w:r w:rsidRPr="00634DAB">
        <w:rPr>
          <w:b/>
        </w:rPr>
        <w:t>Alt</w:t>
      </w:r>
      <w:r>
        <w:t xml:space="preserve"> + underscored letter)</w:t>
      </w:r>
    </w:p>
    <w:p w:rsidR="00623CD2" w:rsidRDefault="00623CD2" w:rsidP="00623CD2">
      <w:pPr>
        <w:pStyle w:val="Heading4"/>
      </w:pPr>
      <w:r>
        <w:t>Windows</w:t>
      </w:r>
    </w:p>
    <w:p w:rsidR="00623CD2" w:rsidRDefault="00623CD2" w:rsidP="00623CD2">
      <w:pPr>
        <w:pStyle w:val="ListBullet"/>
      </w:pPr>
      <w:r w:rsidRPr="007E7887">
        <w:t xml:space="preserve">Display the </w:t>
      </w:r>
      <w:r w:rsidRPr="00634DAB">
        <w:rPr>
          <w:b/>
        </w:rPr>
        <w:t>Control</w:t>
      </w:r>
      <w:r>
        <w:t xml:space="preserve"> window</w:t>
      </w:r>
      <w:r w:rsidRPr="007E7887">
        <w:t xml:space="preserve"> </w:t>
      </w:r>
      <w:r>
        <w:t>to</w:t>
      </w:r>
      <w:r w:rsidRPr="007E7887">
        <w:t xml:space="preserve"> restore, move, resize, minimize, maximize, or close the window</w:t>
      </w:r>
      <w:r>
        <w:t xml:space="preserve">: </w:t>
      </w:r>
      <w:r w:rsidRPr="00634DAB">
        <w:rPr>
          <w:b/>
        </w:rPr>
        <w:t>Alt</w:t>
      </w:r>
      <w:r>
        <w:t xml:space="preserve"> + </w:t>
      </w:r>
      <w:r w:rsidRPr="00634DAB">
        <w:rPr>
          <w:b/>
        </w:rPr>
        <w:t>Delete</w:t>
      </w:r>
    </w:p>
    <w:p w:rsidR="00623CD2" w:rsidRDefault="00623CD2" w:rsidP="00623CD2">
      <w:pPr>
        <w:pStyle w:val="ListBullet"/>
      </w:pPr>
      <w:r>
        <w:t xml:space="preserve">Switch between a window and a full screen: </w:t>
      </w:r>
      <w:r w:rsidRPr="00634DAB">
        <w:rPr>
          <w:b/>
        </w:rPr>
        <w:t>Ctrl</w:t>
      </w:r>
      <w:r>
        <w:t xml:space="preserve"> + </w:t>
      </w:r>
      <w:r w:rsidRPr="00634DAB">
        <w:rPr>
          <w:b/>
        </w:rPr>
        <w:t>Alt</w:t>
      </w:r>
      <w:r>
        <w:t xml:space="preserve"> + </w:t>
      </w:r>
      <w:r w:rsidRPr="00634DAB">
        <w:rPr>
          <w:b/>
        </w:rPr>
        <w:t>Break</w:t>
      </w:r>
    </w:p>
    <w:p w:rsidR="00623CD2" w:rsidRPr="007E7887" w:rsidRDefault="00623CD2" w:rsidP="00623CD2">
      <w:pPr>
        <w:pStyle w:val="ListBullet"/>
      </w:pPr>
      <w:r w:rsidRPr="007E7887">
        <w:t>Close the current window</w:t>
      </w:r>
      <w:r>
        <w:t xml:space="preserve">: </w:t>
      </w:r>
      <w:r w:rsidRPr="00634DAB">
        <w:rPr>
          <w:b/>
        </w:rPr>
        <w:t>Alt</w:t>
      </w:r>
      <w:r w:rsidRPr="007E7887">
        <w:t xml:space="preserve"> + </w:t>
      </w:r>
      <w:r w:rsidRPr="00634DAB">
        <w:rPr>
          <w:b/>
        </w:rPr>
        <w:t>F4</w:t>
      </w:r>
    </w:p>
    <w:p w:rsidR="00623CD2" w:rsidRDefault="00623CD2" w:rsidP="00623CD2">
      <w:pPr>
        <w:pStyle w:val="ListBullet"/>
      </w:pPr>
      <w:r>
        <w:t xml:space="preserve">Display the </w:t>
      </w:r>
      <w:r w:rsidRPr="00634DAB">
        <w:rPr>
          <w:b/>
        </w:rPr>
        <w:t>Windows Security</w:t>
      </w:r>
      <w:r>
        <w:t xml:space="preserve"> dialog box to lock the computer, log off, shut down, change a password, and access </w:t>
      </w:r>
      <w:r w:rsidRPr="00634DAB">
        <w:rPr>
          <w:b/>
        </w:rPr>
        <w:t>Task Manager</w:t>
      </w:r>
      <w:r>
        <w:t xml:space="preserve">: </w:t>
      </w:r>
      <w:r w:rsidRPr="00634DAB">
        <w:rPr>
          <w:b/>
        </w:rPr>
        <w:t>Ctrl</w:t>
      </w:r>
      <w:r>
        <w:t xml:space="preserve"> + </w:t>
      </w:r>
      <w:r w:rsidRPr="00634DAB">
        <w:rPr>
          <w:b/>
        </w:rPr>
        <w:t>Alt</w:t>
      </w:r>
      <w:r>
        <w:t xml:space="preserve"> + </w:t>
      </w:r>
      <w:r w:rsidRPr="00634DAB">
        <w:rPr>
          <w:b/>
        </w:rPr>
        <w:t>End</w:t>
      </w:r>
    </w:p>
    <w:p w:rsidR="00CD612D" w:rsidRDefault="00CD612D" w:rsidP="00CD612D">
      <w:pPr>
        <w:pStyle w:val="Heading4"/>
      </w:pPr>
      <w:r>
        <w:t>Screen Prints</w:t>
      </w:r>
    </w:p>
    <w:p w:rsidR="00CD612D" w:rsidRDefault="00CD612D" w:rsidP="00CD612D">
      <w:pPr>
        <w:pStyle w:val="ListBullet"/>
      </w:pPr>
      <w:r>
        <w:t xml:space="preserve">Place a snapshot of the desktop on the local clipboard and paste it in another application: </w:t>
      </w:r>
      <w:r w:rsidRPr="00634DAB">
        <w:rPr>
          <w:b/>
        </w:rPr>
        <w:t>Ctrl</w:t>
      </w:r>
      <w:r>
        <w:t xml:space="preserve"> + </w:t>
      </w:r>
      <w:r w:rsidRPr="00634DAB">
        <w:rPr>
          <w:b/>
        </w:rPr>
        <w:t>Alt</w:t>
      </w:r>
      <w:r>
        <w:t xml:space="preserve"> + Plus (+ on the numeric keypad; </w:t>
      </w:r>
      <w:r w:rsidRPr="00634DAB">
        <w:rPr>
          <w:b/>
        </w:rPr>
        <w:t>Ctrl</w:t>
      </w:r>
      <w:r>
        <w:t xml:space="preserve"> + </w:t>
      </w:r>
      <w:r w:rsidRPr="00634DAB">
        <w:rPr>
          <w:b/>
        </w:rPr>
        <w:t>V</w:t>
      </w:r>
      <w:r>
        <w:t xml:space="preserve"> to paste)</w:t>
      </w:r>
    </w:p>
    <w:p w:rsidR="00CD612D" w:rsidRDefault="00CD612D" w:rsidP="00CD612D">
      <w:pPr>
        <w:pStyle w:val="ListBullet"/>
      </w:pPr>
      <w:r>
        <w:t xml:space="preserve">Place a snapshot of the active window on the local clipboard and paste it in another application: </w:t>
      </w:r>
      <w:r w:rsidRPr="00634DAB">
        <w:rPr>
          <w:b/>
        </w:rPr>
        <w:t>Ctrl</w:t>
      </w:r>
      <w:r>
        <w:t xml:space="preserve"> + </w:t>
      </w:r>
      <w:r w:rsidRPr="00634DAB">
        <w:rPr>
          <w:b/>
        </w:rPr>
        <w:t>Alt</w:t>
      </w:r>
      <w:r>
        <w:t xml:space="preserve"> + Minus (</w:t>
      </w:r>
      <w:r w:rsidRPr="00634DAB">
        <w:rPr>
          <w:b/>
        </w:rPr>
        <w:t>–</w:t>
      </w:r>
      <w:r>
        <w:t xml:space="preserve"> on the numeric keypad; </w:t>
      </w:r>
      <w:r w:rsidRPr="00634DAB">
        <w:rPr>
          <w:b/>
        </w:rPr>
        <w:t>Ctrl</w:t>
      </w:r>
      <w:r>
        <w:t xml:space="preserve"> + </w:t>
      </w:r>
      <w:r w:rsidRPr="00634DAB">
        <w:rPr>
          <w:b/>
        </w:rPr>
        <w:t>V</w:t>
      </w:r>
      <w:r>
        <w:t xml:space="preserve"> to paste)</w:t>
      </w:r>
    </w:p>
    <w:p w:rsidR="002A21AE" w:rsidRDefault="003221AE" w:rsidP="00963F12">
      <w:pPr>
        <w:pStyle w:val="Heading3"/>
      </w:pPr>
      <w:r>
        <w:br w:type="page"/>
      </w:r>
      <w:bookmarkStart w:id="141" w:name="_Toc459900067"/>
      <w:r w:rsidR="002A21AE">
        <w:lastRenderedPageBreak/>
        <w:t>Drop-Down Menus</w:t>
      </w:r>
      <w:bookmarkEnd w:id="141"/>
      <w:r w:rsidR="002A21AE">
        <w:fldChar w:fldCharType="begin"/>
      </w:r>
      <w:r w:rsidR="002A21AE">
        <w:instrText xml:space="preserve"> XE </w:instrText>
      </w:r>
      <w:r w:rsidR="00FA7E65">
        <w:instrText>“</w:instrText>
      </w:r>
      <w:r w:rsidR="002A21AE">
        <w:instrText>Drop-Down Menus</w:instrText>
      </w:r>
      <w:r w:rsidR="00FA7E65">
        <w:instrText>”</w:instrText>
      </w:r>
      <w:r w:rsidR="002A21AE">
        <w:instrText xml:space="preserve"> </w:instrText>
      </w:r>
      <w:r w:rsidR="002A21AE">
        <w:fldChar w:fldCharType="end"/>
      </w:r>
      <w:r w:rsidR="002A21AE">
        <w:t xml:space="preserve"> </w:t>
      </w:r>
    </w:p>
    <w:p w:rsidR="002A21AE" w:rsidRDefault="002A21AE" w:rsidP="00FA7E65">
      <w:pPr>
        <w:pStyle w:val="BodyText"/>
      </w:pPr>
      <w:r>
        <w:t xml:space="preserve">A </w:t>
      </w:r>
      <w:r>
        <w:rPr>
          <w:i/>
        </w:rPr>
        <w:t>drop-down menu</w:t>
      </w:r>
      <w:r>
        <w:t xml:space="preserve"> may appear when a button is clicked or text is selected. Click or hold the mouse pointer over an item in a drop-down menu to reveal other items and submenus. Press an underscored letter (mnemonic) to select a menu item. To view underscored letters:</w:t>
      </w:r>
    </w:p>
    <w:p w:rsidR="002A21AE" w:rsidRPr="00F8408D" w:rsidRDefault="002A21AE" w:rsidP="002F6D7B">
      <w:pPr>
        <w:pStyle w:val="ListNumber"/>
        <w:numPr>
          <w:ilvl w:val="0"/>
          <w:numId w:val="19"/>
        </w:numPr>
      </w:pPr>
      <w:r w:rsidRPr="00F8408D">
        <w:t xml:space="preserve">Click </w:t>
      </w:r>
      <w:r w:rsidRPr="00F8408D">
        <w:rPr>
          <w:b/>
        </w:rPr>
        <w:t>Start</w:t>
      </w:r>
      <w:r w:rsidRPr="00F8408D">
        <w:t xml:space="preserve"> at the bottom left of the screen.</w:t>
      </w:r>
    </w:p>
    <w:p w:rsidR="002A21AE" w:rsidRPr="00F8408D" w:rsidRDefault="002A21AE" w:rsidP="002F6D7B">
      <w:pPr>
        <w:pStyle w:val="ListNumber"/>
        <w:numPr>
          <w:ilvl w:val="0"/>
          <w:numId w:val="19"/>
        </w:numPr>
      </w:pPr>
      <w:r w:rsidRPr="00F8408D">
        <w:t xml:space="preserve">Click </w:t>
      </w:r>
      <w:r w:rsidRPr="00F8408D">
        <w:rPr>
          <w:b/>
        </w:rPr>
        <w:t>Settings</w:t>
      </w:r>
      <w:r w:rsidRPr="00F8408D">
        <w:t>.</w:t>
      </w:r>
    </w:p>
    <w:p w:rsidR="002A21AE" w:rsidRPr="00F8408D" w:rsidRDefault="002A21AE" w:rsidP="002F6D7B">
      <w:pPr>
        <w:pStyle w:val="ListNumber"/>
        <w:numPr>
          <w:ilvl w:val="0"/>
          <w:numId w:val="19"/>
        </w:numPr>
      </w:pPr>
      <w:r w:rsidRPr="00F8408D">
        <w:t xml:space="preserve">Click </w:t>
      </w:r>
      <w:r w:rsidRPr="00F8408D">
        <w:rPr>
          <w:b/>
        </w:rPr>
        <w:t>Control Panel</w:t>
      </w:r>
      <w:r w:rsidRPr="00F8408D">
        <w:t>.</w:t>
      </w:r>
    </w:p>
    <w:p w:rsidR="002A21AE" w:rsidRPr="00F8408D" w:rsidRDefault="003814BF" w:rsidP="002F6D7B">
      <w:pPr>
        <w:pStyle w:val="ListNumber"/>
        <w:numPr>
          <w:ilvl w:val="0"/>
          <w:numId w:val="19"/>
        </w:numPr>
      </w:pPr>
      <w:r>
        <w:t>Double-</w:t>
      </w:r>
      <w:r w:rsidR="002A21AE" w:rsidRPr="00F8408D">
        <w:t xml:space="preserve">click </w:t>
      </w:r>
      <w:r w:rsidR="002A21AE" w:rsidRPr="00F8408D">
        <w:rPr>
          <w:b/>
        </w:rPr>
        <w:t>Display</w:t>
      </w:r>
      <w:r w:rsidR="002A21AE" w:rsidRPr="00F8408D">
        <w:t>.</w:t>
      </w:r>
    </w:p>
    <w:p w:rsidR="002A21AE" w:rsidRPr="00F8408D" w:rsidRDefault="002A21AE" w:rsidP="002F6D7B">
      <w:pPr>
        <w:pStyle w:val="ListNumber"/>
        <w:numPr>
          <w:ilvl w:val="0"/>
          <w:numId w:val="19"/>
        </w:numPr>
      </w:pPr>
      <w:r w:rsidRPr="00F8408D">
        <w:t xml:space="preserve">Click the </w:t>
      </w:r>
      <w:r w:rsidRPr="00F8408D">
        <w:rPr>
          <w:b/>
        </w:rPr>
        <w:t xml:space="preserve">Appearance </w:t>
      </w:r>
      <w:r w:rsidR="004B3CB3" w:rsidRPr="003814BF">
        <w:t>t</w:t>
      </w:r>
      <w:r w:rsidRPr="003814BF">
        <w:t>ab</w:t>
      </w:r>
      <w:r w:rsidRPr="00F8408D">
        <w:t>.</w:t>
      </w:r>
    </w:p>
    <w:p w:rsidR="002A21AE" w:rsidRPr="00F8408D" w:rsidRDefault="002A21AE" w:rsidP="002F6D7B">
      <w:pPr>
        <w:pStyle w:val="ListNumber"/>
        <w:numPr>
          <w:ilvl w:val="0"/>
          <w:numId w:val="19"/>
        </w:numPr>
      </w:pPr>
      <w:r w:rsidRPr="00F8408D">
        <w:t xml:space="preserve">Click </w:t>
      </w:r>
      <w:r w:rsidRPr="00F8408D">
        <w:rPr>
          <w:b/>
        </w:rPr>
        <w:t>Effects</w:t>
      </w:r>
      <w:r w:rsidRPr="00F8408D">
        <w:t>.</w:t>
      </w:r>
    </w:p>
    <w:p w:rsidR="002A21AE" w:rsidRPr="00F8408D" w:rsidRDefault="002A21AE" w:rsidP="002F6D7B">
      <w:pPr>
        <w:pStyle w:val="ListNumber"/>
        <w:numPr>
          <w:ilvl w:val="0"/>
          <w:numId w:val="19"/>
        </w:numPr>
      </w:pPr>
      <w:r w:rsidRPr="00F8408D">
        <w:t xml:space="preserve">Clear the </w:t>
      </w:r>
      <w:r w:rsidRPr="00F8408D">
        <w:rPr>
          <w:b/>
        </w:rPr>
        <w:t xml:space="preserve">Hide underlined letters for keyboard navigation until I press the Alt key </w:t>
      </w:r>
      <w:r w:rsidRPr="00D1100E">
        <w:t>check box</w:t>
      </w:r>
      <w:r w:rsidRPr="00F8408D">
        <w:t>.</w:t>
      </w:r>
    </w:p>
    <w:p w:rsidR="002A21AE" w:rsidRPr="00F8408D" w:rsidRDefault="002A21AE" w:rsidP="002F6D7B">
      <w:pPr>
        <w:pStyle w:val="ListNumber"/>
        <w:numPr>
          <w:ilvl w:val="0"/>
          <w:numId w:val="19"/>
        </w:numPr>
      </w:pPr>
      <w:r w:rsidRPr="00F8408D">
        <w:t xml:space="preserve">Click </w:t>
      </w:r>
      <w:r w:rsidRPr="00F8408D">
        <w:rPr>
          <w:b/>
        </w:rPr>
        <w:t>OK</w:t>
      </w:r>
      <w:r w:rsidRPr="00F8408D">
        <w:t xml:space="preserve"> to save the setting.</w:t>
      </w:r>
    </w:p>
    <w:p w:rsidR="002A21AE" w:rsidRPr="00F8408D" w:rsidRDefault="002A21AE" w:rsidP="002F6D7B">
      <w:pPr>
        <w:pStyle w:val="ListNumber"/>
        <w:numPr>
          <w:ilvl w:val="0"/>
          <w:numId w:val="19"/>
        </w:numPr>
      </w:pPr>
      <w:r w:rsidRPr="00F8408D">
        <w:t xml:space="preserve">Click </w:t>
      </w:r>
      <w:r w:rsidRPr="00F8408D">
        <w:rPr>
          <w:b/>
        </w:rPr>
        <w:t>OK</w:t>
      </w:r>
      <w:r w:rsidRPr="00F8408D">
        <w:t xml:space="preserve"> to close the Display Properties window.</w:t>
      </w:r>
    </w:p>
    <w:p w:rsidR="002A21AE" w:rsidRPr="00F8408D" w:rsidRDefault="002A21AE" w:rsidP="002F6D7B">
      <w:pPr>
        <w:pStyle w:val="ListNumber"/>
        <w:numPr>
          <w:ilvl w:val="0"/>
          <w:numId w:val="19"/>
        </w:numPr>
      </w:pPr>
      <w:r w:rsidRPr="00F8408D">
        <w:t>Close the Control Panel.</w:t>
      </w:r>
    </w:p>
    <w:p w:rsidR="002A21AE" w:rsidRDefault="002A21AE">
      <w:pPr>
        <w:pStyle w:val="BodyText"/>
      </w:pPr>
    </w:p>
    <w:p w:rsidR="002A21AE" w:rsidRDefault="002A21AE">
      <w:pPr>
        <w:pStyle w:val="Caution"/>
      </w:pPr>
      <w:r>
        <w:t xml:space="preserve">A </w:t>
      </w:r>
      <w:r w:rsidRPr="00092254">
        <w:rPr>
          <w:rFonts w:ascii="Webdings" w:hAnsi="Webdings"/>
          <w:i w:val="0"/>
        </w:rPr>
        <w:t></w:t>
      </w:r>
      <w:r w:rsidRPr="00092254">
        <w:rPr>
          <w:rFonts w:ascii="Webdings" w:hAnsi="Webdings"/>
        </w:rPr>
        <w:t></w:t>
      </w:r>
      <w:r>
        <w:t xml:space="preserve">(submenu arrow) next to a menu item indicates that a submenu is </w:t>
      </w:r>
      <w:r w:rsidR="00541DC0">
        <w:t>available. An</w:t>
      </w:r>
      <w:r>
        <w:t xml:space="preserve"> option that is not available to a user is visible but grayed out.</w:t>
      </w:r>
    </w:p>
    <w:p w:rsidR="002A21AE" w:rsidRDefault="002A21AE">
      <w:pPr>
        <w:pStyle w:val="Heading3"/>
      </w:pPr>
      <w:bookmarkStart w:id="142" w:name="_Toc459900068"/>
      <w:r>
        <w:t>Tool Tips</w:t>
      </w:r>
      <w:bookmarkEnd w:id="142"/>
      <w:r>
        <w:fldChar w:fldCharType="begin"/>
      </w:r>
      <w:r>
        <w:instrText xml:space="preserve"> XE </w:instrText>
      </w:r>
      <w:r w:rsidR="00FA7E65">
        <w:instrText>“</w:instrText>
      </w:r>
      <w:r>
        <w:instrText>Tool Tips</w:instrText>
      </w:r>
      <w:r w:rsidR="00FA7E65">
        <w:instrText>”</w:instrText>
      </w:r>
      <w:r>
        <w:instrText xml:space="preserve"> </w:instrText>
      </w:r>
      <w:r>
        <w:fldChar w:fldCharType="end"/>
      </w:r>
    </w:p>
    <w:p w:rsidR="002A21AE" w:rsidRDefault="002A21AE" w:rsidP="00FA7E65">
      <w:pPr>
        <w:pStyle w:val="BodyText"/>
      </w:pPr>
      <w:bookmarkStart w:id="143" w:name="OLE_LINK49"/>
      <w:bookmarkStart w:id="144" w:name="OLE_LINK50"/>
      <w:r>
        <w:t xml:space="preserve">A </w:t>
      </w:r>
      <w:r>
        <w:rPr>
          <w:i/>
          <w:iCs/>
        </w:rPr>
        <w:t>tool tip</w:t>
      </w:r>
      <w:r>
        <w:t xml:space="preserve"> is a description or explanation that appears when the mouse pointer is held over </w:t>
      </w:r>
      <w:r w:rsidR="00DB268C">
        <w:t xml:space="preserve">(not selected or highlighted) </w:t>
      </w:r>
      <w:r>
        <w:t>a tool, button, or other object (without clicking a mouse button).</w:t>
      </w:r>
      <w:bookmarkEnd w:id="143"/>
      <w:bookmarkEnd w:id="144"/>
      <w:r>
        <w:t xml:space="preserve"> </w:t>
      </w:r>
    </w:p>
    <w:p w:rsidR="002A21AE" w:rsidRDefault="002A21AE">
      <w:pPr>
        <w:pStyle w:val="Caution"/>
      </w:pPr>
      <w:r>
        <w:t xml:space="preserve">When a tool tip does not </w:t>
      </w:r>
      <w:r w:rsidR="00643C9A">
        <w:t>appear</w:t>
      </w:r>
      <w:r>
        <w:t>, wait a few moments, then reposition the mouse pointer over the tool, button, or other object. If necessary, exit and reenter the window.</w:t>
      </w:r>
    </w:p>
    <w:p w:rsidR="002A21AE" w:rsidRDefault="002A21AE" w:rsidP="00FA7E65">
      <w:pPr>
        <w:pStyle w:val="BodyText"/>
      </w:pPr>
      <w:r>
        <w:t>Tool tips appear with:</w:t>
      </w:r>
    </w:p>
    <w:p w:rsidR="002A21AE" w:rsidRDefault="002A21AE">
      <w:pPr>
        <w:pStyle w:val="ListBullet"/>
      </w:pPr>
      <w:r>
        <w:t>Some control buttons</w:t>
      </w:r>
    </w:p>
    <w:p w:rsidR="002A21AE" w:rsidRDefault="002A21AE">
      <w:pPr>
        <w:pStyle w:val="ListBullet"/>
      </w:pPr>
      <w:r>
        <w:t>Icons in the Patient Information Toolbar</w:t>
      </w:r>
    </w:p>
    <w:p w:rsidR="002A21AE" w:rsidRDefault="002A21AE">
      <w:pPr>
        <w:pStyle w:val="Caution"/>
      </w:pPr>
      <w:r>
        <w:t xml:space="preserve">Text enclosed in angle brackets (&lt; &gt;) in tool tips and messages </w:t>
      </w:r>
      <w:r w:rsidR="00443024">
        <w:t>will change</w:t>
      </w:r>
      <w:r>
        <w:t xml:space="preserve"> to reflect the current activity. </w:t>
      </w:r>
    </w:p>
    <w:p w:rsidR="002A21AE" w:rsidRDefault="00040E3B" w:rsidP="00832E21">
      <w:pPr>
        <w:pStyle w:val="Caution"/>
        <w:pBdr>
          <w:top w:val="single" w:sz="4" w:space="3" w:color="auto"/>
        </w:pBdr>
      </w:pPr>
      <w:r>
        <w:t xml:space="preserve">The user may click column headings in some data displays, such as the Pending Task List, Pending Order List, and Select Units, to sort the information in those columns. </w:t>
      </w:r>
    </w:p>
    <w:p w:rsidR="002A21AE" w:rsidRDefault="003221AE">
      <w:pPr>
        <w:pStyle w:val="Heading3"/>
      </w:pPr>
      <w:r>
        <w:br w:type="page"/>
      </w:r>
      <w:bookmarkStart w:id="145" w:name="_Toc459900069"/>
      <w:r w:rsidR="002A21AE">
        <w:lastRenderedPageBreak/>
        <w:t>Icons and Buttons</w:t>
      </w:r>
      <w:bookmarkEnd w:id="145"/>
      <w:r w:rsidR="002A21AE">
        <w:fldChar w:fldCharType="begin"/>
      </w:r>
      <w:r w:rsidR="002A21AE">
        <w:instrText xml:space="preserve"> XE </w:instrText>
      </w:r>
      <w:r w:rsidR="00FA7E65">
        <w:instrText>“</w:instrText>
      </w:r>
      <w:r w:rsidR="002A21AE">
        <w:instrText>Icons and Buttons</w:instrText>
      </w:r>
      <w:r w:rsidR="00FA7E65">
        <w:instrText>”</w:instrText>
      </w:r>
      <w:r w:rsidR="002A21AE">
        <w:instrText xml:space="preserve"> </w:instrText>
      </w:r>
      <w:r w:rsidR="002A21AE">
        <w:fldChar w:fldCharType="end"/>
      </w:r>
    </w:p>
    <w:p w:rsidR="002A21AE" w:rsidRDefault="002A21AE" w:rsidP="00FA7E65">
      <w:pPr>
        <w:pStyle w:val="BodyText"/>
      </w:pPr>
      <w:r>
        <w:t xml:space="preserve">VBECS uses several types of images to help you move through the system: </w:t>
      </w:r>
    </w:p>
    <w:p w:rsidR="002A21AE" w:rsidRDefault="002A21AE">
      <w:pPr>
        <w:pStyle w:val="ListBullet"/>
      </w:pPr>
      <w:r>
        <w:rPr>
          <w:i/>
          <w:iCs/>
        </w:rPr>
        <w:t>Icons</w:t>
      </w:r>
      <w:r>
        <w:t xml:space="preserve"> represent objects (information used in an application). The rectangular area in the lower right corner of the screen (system tray) contains icons of programs that always run in the background, such as the clock.</w:t>
      </w:r>
    </w:p>
    <w:p w:rsidR="002A21AE" w:rsidRDefault="002A21AE">
      <w:pPr>
        <w:pStyle w:val="ListBullet"/>
      </w:pPr>
      <w:r>
        <w:rPr>
          <w:i/>
          <w:iCs/>
        </w:rPr>
        <w:t>Buttons</w:t>
      </w:r>
      <w:r>
        <w:t xml:space="preserve"> are icons that represent tools or commands. </w:t>
      </w:r>
    </w:p>
    <w:p w:rsidR="002A21AE" w:rsidRDefault="002A21AE">
      <w:pPr>
        <w:pStyle w:val="ListBullet"/>
      </w:pPr>
      <w:r>
        <w:rPr>
          <w:i/>
          <w:iCs/>
        </w:rPr>
        <w:t xml:space="preserve">Radio buttons </w:t>
      </w:r>
      <w:r>
        <w:t>are small circles preceding text. Related radio buttons are grouped together. Only one button in a group may be selected: clicking a button turns the other radio buttons off.</w:t>
      </w:r>
    </w:p>
    <w:p w:rsidR="002A21AE" w:rsidRDefault="002A21AE">
      <w:pPr>
        <w:pStyle w:val="Heading3"/>
      </w:pPr>
      <w:bookmarkStart w:id="146" w:name="_Toc459900070"/>
      <w:r>
        <w:t>Toolbars</w:t>
      </w:r>
      <w:bookmarkEnd w:id="146"/>
      <w:r>
        <w:fldChar w:fldCharType="begin"/>
      </w:r>
      <w:r>
        <w:instrText xml:space="preserve"> XE </w:instrText>
      </w:r>
      <w:r w:rsidR="00FA7E65">
        <w:instrText>“</w:instrText>
      </w:r>
      <w:r>
        <w:instrText>Toolbars</w:instrText>
      </w:r>
      <w:r w:rsidR="00FA7E65">
        <w:instrText>”</w:instrText>
      </w:r>
      <w:r>
        <w:instrText xml:space="preserve"> </w:instrText>
      </w:r>
      <w:r>
        <w:fldChar w:fldCharType="end"/>
      </w:r>
      <w:r>
        <w:t xml:space="preserve"> </w:t>
      </w:r>
    </w:p>
    <w:p w:rsidR="002A21AE" w:rsidRDefault="002A21AE" w:rsidP="00FA7E65">
      <w:pPr>
        <w:pStyle w:val="BodyText"/>
      </w:pPr>
      <w:r>
        <w:t xml:space="preserve">A </w:t>
      </w:r>
      <w:r>
        <w:rPr>
          <w:i/>
        </w:rPr>
        <w:t>tool</w:t>
      </w:r>
      <w:r>
        <w:t xml:space="preserve"> is a shortcut button, usually shown on a bar near the top of a window. Tools provide quick access to commonly used functions. A </w:t>
      </w:r>
      <w:r>
        <w:rPr>
          <w:i/>
        </w:rPr>
        <w:t>toolbar</w:t>
      </w:r>
      <w:r>
        <w:t xml:space="preserve"> displays groups of tools. Toolbars may contain buttons, menus, or combinations of both. (See also Patient Information Toolbar.)</w:t>
      </w:r>
    </w:p>
    <w:p w:rsidR="002A21AE" w:rsidRDefault="002A21AE">
      <w:pPr>
        <w:pStyle w:val="Caution"/>
      </w:pPr>
      <w:r>
        <w:t>A toolbar with tools for several options (Main Toolbar) appears near the top of the screen.</w:t>
      </w:r>
    </w:p>
    <w:p w:rsidR="002A21AE" w:rsidRDefault="002A21AE" w:rsidP="00FA7E65">
      <w:pPr>
        <w:pStyle w:val="BodyText"/>
      </w:pPr>
      <w:r>
        <w:t>Click a tool to open a function</w:t>
      </w:r>
      <w:r w:rsidR="00541DC0">
        <w:t xml:space="preserve"> quickly</w:t>
      </w:r>
      <w:r>
        <w:t>.</w:t>
      </w:r>
    </w:p>
    <w:p w:rsidR="002A21AE" w:rsidRDefault="002A21AE">
      <w:pPr>
        <w:pStyle w:val="Caution"/>
      </w:pPr>
      <w:r>
        <w:t xml:space="preserve">A function may also be opened by pressing </w:t>
      </w:r>
      <w:r>
        <w:rPr>
          <w:b/>
        </w:rPr>
        <w:t>Alt</w:t>
      </w:r>
      <w:r>
        <w:t xml:space="preserve"> and the </w:t>
      </w:r>
      <w:r w:rsidRPr="00443024">
        <w:rPr>
          <w:b/>
        </w:rPr>
        <w:t xml:space="preserve">key for the </w:t>
      </w:r>
      <w:r>
        <w:rPr>
          <w:b/>
        </w:rPr>
        <w:t xml:space="preserve">underscored letter </w:t>
      </w:r>
      <w:r>
        <w:t>in the tool name.</w:t>
      </w:r>
    </w:p>
    <w:p w:rsidR="002A21AE" w:rsidRDefault="002A21AE">
      <w:pPr>
        <w:pStyle w:val="Heading4"/>
      </w:pPr>
      <w:r>
        <w:t>Main Toolbar</w:t>
      </w:r>
      <w:r>
        <w:fldChar w:fldCharType="begin"/>
      </w:r>
      <w:r>
        <w:instrText xml:space="preserve"> XE </w:instrText>
      </w:r>
      <w:r w:rsidR="00FA7E65">
        <w:instrText>“</w:instrText>
      </w:r>
      <w:r>
        <w:instrText>Main Toolbar</w:instrText>
      </w:r>
      <w:r w:rsidR="00FA7E65">
        <w:instrText>”</w:instrText>
      </w:r>
      <w:r>
        <w:instrText xml:space="preserve"> </w:instrText>
      </w:r>
      <w:r>
        <w:fldChar w:fldCharType="end"/>
      </w:r>
    </w:p>
    <w:p w:rsidR="002A21AE" w:rsidRDefault="002A21AE" w:rsidP="00FA7E65">
      <w:pPr>
        <w:pStyle w:val="BodyText"/>
      </w:pPr>
      <w:r>
        <w:t xml:space="preserve">The </w:t>
      </w:r>
      <w:r>
        <w:rPr>
          <w:i/>
          <w:iCs/>
        </w:rPr>
        <w:t>Main Toolbar</w:t>
      </w:r>
      <w:r>
        <w:t xml:space="preserve"> appears at the top of the screen. Click the icons in the Main Toolbar to access</w:t>
      </w:r>
      <w:r>
        <w:rPr>
          <w:rStyle w:val="FootnoteReference"/>
        </w:rPr>
        <w:footnoteReference w:id="2"/>
      </w:r>
      <w:r>
        <w:t>:</w:t>
      </w:r>
    </w:p>
    <w:p w:rsidR="002A21AE" w:rsidRDefault="00634BFC" w:rsidP="00246EC0">
      <w:pPr>
        <w:pStyle w:val="BodyText"/>
        <w:spacing w:after="60"/>
        <w:ind w:left="360" w:hanging="360"/>
      </w:pPr>
      <w:r>
        <w:rPr>
          <w:noProof/>
        </w:rPr>
        <w:drawing>
          <wp:inline distT="0" distB="0" distL="0" distR="0">
            <wp:extent cx="152400" cy="152400"/>
            <wp:effectExtent l="0" t="0" r="0" b="0"/>
            <wp:docPr id="71" name="Picture 71">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A21AE">
        <w:tab/>
        <w:t>Log In Reagents</w:t>
      </w:r>
    </w:p>
    <w:p w:rsidR="002A21AE" w:rsidRDefault="00634BFC" w:rsidP="00246EC0">
      <w:pPr>
        <w:pStyle w:val="BodyText"/>
        <w:spacing w:after="60"/>
        <w:ind w:left="360" w:hanging="360"/>
      </w:pPr>
      <w:r>
        <w:rPr>
          <w:noProof/>
        </w:rPr>
        <w:drawing>
          <wp:inline distT="0" distB="0" distL="0" distR="0">
            <wp:extent cx="152400" cy="152400"/>
            <wp:effectExtent l="0" t="0" r="0" b="0"/>
            <wp:docPr id="72" name="Picture 72">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A21AE">
        <w:tab/>
        <w:t>Enter Daily QC Results</w:t>
      </w:r>
    </w:p>
    <w:p w:rsidR="002A21AE" w:rsidRDefault="00634BFC" w:rsidP="00246EC0">
      <w:pPr>
        <w:pStyle w:val="BodyText"/>
        <w:spacing w:after="60"/>
        <w:ind w:left="360" w:hanging="360"/>
      </w:pPr>
      <w:r>
        <w:rPr>
          <w:noProof/>
        </w:rPr>
        <w:drawing>
          <wp:inline distT="0" distB="0" distL="0" distR="0">
            <wp:extent cx="152400" cy="152400"/>
            <wp:effectExtent l="0" t="0" r="0" b="0"/>
            <wp:docPr id="73" name="Picture 73">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A21AE">
        <w:tab/>
        <w:t>Incoming Shipment</w:t>
      </w:r>
    </w:p>
    <w:p w:rsidR="002A21AE" w:rsidRDefault="00634BFC" w:rsidP="00246EC0">
      <w:pPr>
        <w:pStyle w:val="BodyText"/>
        <w:spacing w:after="60"/>
        <w:ind w:left="360" w:hanging="360"/>
      </w:pPr>
      <w:r>
        <w:rPr>
          <w:noProof/>
        </w:rPr>
        <w:drawing>
          <wp:inline distT="0" distB="0" distL="0" distR="0">
            <wp:extent cx="152400" cy="152400"/>
            <wp:effectExtent l="0" t="0" r="0" b="0"/>
            <wp:docPr id="74" name="Picture 74">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A21AE">
        <w:tab/>
        <w:t>ABO/Rh Confirmation</w:t>
      </w:r>
    </w:p>
    <w:p w:rsidR="002A21AE" w:rsidRDefault="00634BFC" w:rsidP="00246EC0">
      <w:pPr>
        <w:pStyle w:val="BodyText"/>
        <w:spacing w:after="60"/>
        <w:ind w:left="360" w:hanging="360"/>
      </w:pPr>
      <w:r>
        <w:rPr>
          <w:noProof/>
        </w:rPr>
        <w:drawing>
          <wp:inline distT="0" distB="0" distL="0" distR="0">
            <wp:extent cx="152400" cy="152400"/>
            <wp:effectExtent l="0" t="0" r="0" b="0"/>
            <wp:docPr id="75" name="Picture 75">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A21AE">
        <w:tab/>
        <w:t>Modify Units</w:t>
      </w:r>
    </w:p>
    <w:p w:rsidR="002A21AE" w:rsidRDefault="00634BFC" w:rsidP="00246EC0">
      <w:pPr>
        <w:pStyle w:val="BodyText"/>
        <w:spacing w:after="60"/>
        <w:ind w:left="360" w:hanging="360"/>
      </w:pPr>
      <w:r>
        <w:rPr>
          <w:noProof/>
        </w:rPr>
        <w:drawing>
          <wp:inline distT="0" distB="0" distL="0" distR="0">
            <wp:extent cx="152400" cy="152400"/>
            <wp:effectExtent l="0" t="0" r="0" b="0"/>
            <wp:docPr id="76" name="Picture 76">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A21AE">
        <w:tab/>
        <w:t>Unit Antigen Typing</w:t>
      </w:r>
    </w:p>
    <w:p w:rsidR="002A21AE" w:rsidRDefault="00634BFC" w:rsidP="00246EC0">
      <w:pPr>
        <w:pStyle w:val="BodyText"/>
        <w:spacing w:after="60"/>
        <w:ind w:left="360" w:hanging="360"/>
      </w:pPr>
      <w:r>
        <w:rPr>
          <w:noProof/>
        </w:rPr>
        <w:drawing>
          <wp:inline distT="0" distB="0" distL="0" distR="0">
            <wp:extent cx="152400" cy="152400"/>
            <wp:effectExtent l="0" t="0" r="0" b="0"/>
            <wp:docPr id="77" name="Picture 77">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A21AE">
        <w:tab/>
        <w:t>Outgoing Shipment</w:t>
      </w:r>
    </w:p>
    <w:p w:rsidR="002A21AE" w:rsidRDefault="00634BFC" w:rsidP="00246EC0">
      <w:pPr>
        <w:pStyle w:val="BodyText"/>
        <w:spacing w:after="60"/>
        <w:ind w:left="360" w:hanging="360"/>
      </w:pPr>
      <w:r>
        <w:rPr>
          <w:noProof/>
        </w:rPr>
        <w:drawing>
          <wp:inline distT="0" distB="0" distL="0" distR="0">
            <wp:extent cx="152400" cy="152400"/>
            <wp:effectExtent l="0" t="0" r="0" b="0"/>
            <wp:docPr id="78" name="Picture 78">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A21AE">
        <w:tab/>
        <w:t>Accept Orders: Accept an Order</w:t>
      </w:r>
    </w:p>
    <w:p w:rsidR="002A21AE" w:rsidRDefault="00634BFC" w:rsidP="00246EC0">
      <w:pPr>
        <w:pStyle w:val="BodyText"/>
        <w:spacing w:after="60"/>
        <w:ind w:left="360" w:hanging="360"/>
      </w:pPr>
      <w:r>
        <w:rPr>
          <w:noProof/>
        </w:rPr>
        <w:drawing>
          <wp:inline distT="0" distB="0" distL="0" distR="0">
            <wp:extent cx="152400" cy="152400"/>
            <wp:effectExtent l="0" t="0" r="0" b="0"/>
            <wp:docPr id="79" name="Picture 79">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A21AE">
        <w:tab/>
        <w:t>Maintain Specimen</w:t>
      </w:r>
    </w:p>
    <w:p w:rsidR="002A21AE" w:rsidRDefault="00634BFC" w:rsidP="00246EC0">
      <w:pPr>
        <w:pStyle w:val="BodyText"/>
        <w:spacing w:after="60"/>
        <w:ind w:left="360" w:hanging="360"/>
      </w:pPr>
      <w:r>
        <w:rPr>
          <w:noProof/>
        </w:rPr>
        <w:drawing>
          <wp:inline distT="0" distB="0" distL="0" distR="0">
            <wp:extent cx="152400" cy="152400"/>
            <wp:effectExtent l="0" t="0" r="0" b="0"/>
            <wp:docPr id="80" name="Picture 80">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A21AE">
        <w:tab/>
        <w:t>Patient Testing</w:t>
      </w:r>
    </w:p>
    <w:p w:rsidR="00246EC0" w:rsidRDefault="00634BFC" w:rsidP="00246EC0">
      <w:pPr>
        <w:pStyle w:val="BodyText"/>
        <w:spacing w:after="60"/>
        <w:ind w:left="360" w:hanging="360"/>
      </w:pPr>
      <w:r>
        <w:rPr>
          <w:noProof/>
        </w:rPr>
        <w:drawing>
          <wp:inline distT="0" distB="0" distL="0" distR="0">
            <wp:extent cx="152400" cy="1524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46EC0">
        <w:t xml:space="preserve">  Automated Instrument Pending </w:t>
      </w:r>
      <w:r w:rsidR="00E57FEA">
        <w:t>Blood Unit</w:t>
      </w:r>
      <w:r w:rsidR="00246EC0">
        <w:t xml:space="preserve"> Tests</w:t>
      </w:r>
    </w:p>
    <w:p w:rsidR="00246EC0" w:rsidRDefault="00634BFC" w:rsidP="00246EC0">
      <w:pPr>
        <w:pStyle w:val="BodyText"/>
        <w:spacing w:after="60"/>
        <w:ind w:left="360" w:hanging="360"/>
      </w:pPr>
      <w:r>
        <w:rPr>
          <w:noProof/>
        </w:rPr>
        <w:drawing>
          <wp:inline distT="0" distB="0" distL="0" distR="0">
            <wp:extent cx="152400" cy="1524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46EC0">
        <w:t xml:space="preserve">  Automated Inst</w:t>
      </w:r>
      <w:r w:rsidR="00E57FEA">
        <w:t>rument Pending Patient</w:t>
      </w:r>
      <w:r w:rsidR="00246EC0">
        <w:t xml:space="preserve"> Tests</w:t>
      </w:r>
    </w:p>
    <w:p w:rsidR="002A21AE" w:rsidRDefault="00634BFC" w:rsidP="00246EC0">
      <w:pPr>
        <w:pStyle w:val="BodyText"/>
        <w:spacing w:after="60"/>
        <w:ind w:left="360" w:hanging="360"/>
      </w:pPr>
      <w:r>
        <w:rPr>
          <w:noProof/>
        </w:rPr>
        <w:drawing>
          <wp:inline distT="0" distB="0" distL="0" distR="0">
            <wp:extent cx="152400" cy="152400"/>
            <wp:effectExtent l="0" t="0" r="0" b="0"/>
            <wp:docPr id="83" name="Picture 83">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A21AE">
        <w:tab/>
        <w:t>Select Units</w:t>
      </w:r>
    </w:p>
    <w:p w:rsidR="002A21AE" w:rsidRDefault="00634BFC" w:rsidP="00246EC0">
      <w:pPr>
        <w:pStyle w:val="BodyText"/>
        <w:spacing w:after="60"/>
        <w:ind w:left="360" w:hanging="360"/>
      </w:pPr>
      <w:r>
        <w:rPr>
          <w:noProof/>
        </w:rPr>
        <w:drawing>
          <wp:inline distT="0" distB="0" distL="0" distR="0">
            <wp:extent cx="152400" cy="152400"/>
            <wp:effectExtent l="0" t="0" r="0" b="0"/>
            <wp:docPr id="84" name="Picture 84">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A21AE">
        <w:tab/>
        <w:t>Issue Blood Components</w:t>
      </w:r>
    </w:p>
    <w:p w:rsidR="002A21AE" w:rsidRDefault="00634BFC" w:rsidP="00246EC0">
      <w:pPr>
        <w:pStyle w:val="BodyText"/>
        <w:spacing w:after="60"/>
        <w:ind w:left="360" w:hanging="360"/>
      </w:pPr>
      <w:r>
        <w:rPr>
          <w:noProof/>
        </w:rPr>
        <w:drawing>
          <wp:inline distT="0" distB="0" distL="0" distR="0">
            <wp:extent cx="152400" cy="152400"/>
            <wp:effectExtent l="0" t="0" r="0" b="0"/>
            <wp:docPr id="85" name="Picture 85">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A21AE">
        <w:tab/>
        <w:t>Post-Transfusion Information</w:t>
      </w:r>
    </w:p>
    <w:p w:rsidR="00E15889" w:rsidRDefault="00E15889" w:rsidP="00E15889">
      <w:pPr>
        <w:pStyle w:val="BodyText"/>
        <w:ind w:left="360"/>
      </w:pPr>
    </w:p>
    <w:p w:rsidR="002A21AE" w:rsidRDefault="002A21AE">
      <w:pPr>
        <w:pStyle w:val="Caution"/>
      </w:pPr>
      <w:r>
        <w:t>Clicking an icon in the Main Toolbar saves a step: it’s the same as clicking the main menu item, and then on the option.</w:t>
      </w:r>
    </w:p>
    <w:p w:rsidR="002A21AE" w:rsidRDefault="002A21AE">
      <w:pPr>
        <w:pStyle w:val="BodyText"/>
      </w:pPr>
      <w:r>
        <w:t>VBECS uses tree views to displays list items. Click a plus sign (+) to expand a list. Click a minus sign (–) to condense a list.</w:t>
      </w:r>
    </w:p>
    <w:p w:rsidR="002A21AE" w:rsidRDefault="002A21AE">
      <w:pPr>
        <w:pStyle w:val="Heading2"/>
      </w:pPr>
      <w:bookmarkStart w:id="147" w:name="_Toc459900071"/>
      <w:r>
        <w:t>Patient Information Toolbar</w:t>
      </w:r>
      <w:bookmarkEnd w:id="147"/>
      <w:r>
        <w:fldChar w:fldCharType="begin"/>
      </w:r>
      <w:r>
        <w:instrText xml:space="preserve"> XE </w:instrText>
      </w:r>
      <w:r w:rsidR="00FA7E65">
        <w:instrText>“</w:instrText>
      </w:r>
      <w:r>
        <w:instrText>Patient Information Toolbar</w:instrText>
      </w:r>
      <w:r w:rsidR="00FA7E65">
        <w:instrText>”</w:instrText>
      </w:r>
      <w:r>
        <w:instrText xml:space="preserve"> </w:instrText>
      </w:r>
      <w:r>
        <w:fldChar w:fldCharType="end"/>
      </w:r>
    </w:p>
    <w:p w:rsidR="002A21AE" w:rsidRDefault="002A21AE" w:rsidP="00FA7E65">
      <w:pPr>
        <w:pStyle w:val="BodyText"/>
      </w:pPr>
      <w:r>
        <w:t xml:space="preserve">The </w:t>
      </w:r>
      <w:r>
        <w:rPr>
          <w:i/>
          <w:iCs/>
        </w:rPr>
        <w:t>Patient Information Toolbar</w:t>
      </w:r>
      <w:r>
        <w:t xml:space="preserve"> appears in the active window when a patient record is displayed.</w:t>
      </w:r>
      <w:r w:rsidR="00AD1B87">
        <w:t xml:space="preserve"> VBECS displays only the icons appropriate to the option. </w:t>
      </w:r>
      <w:r>
        <w:t>Click the icons in the Patient Information Toolbar to display:</w:t>
      </w:r>
    </w:p>
    <w:p w:rsidR="002A21AE" w:rsidRDefault="00634BFC">
      <w:pPr>
        <w:pStyle w:val="BodyText"/>
        <w:ind w:left="360" w:hanging="360"/>
      </w:pPr>
      <w:r>
        <w:rPr>
          <w:noProof/>
        </w:rPr>
        <w:drawing>
          <wp:inline distT="0" distB="0" distL="0" distR="0">
            <wp:extent cx="152400" cy="152400"/>
            <wp:effectExtent l="0" t="0" r="0" b="0"/>
            <wp:docPr id="86" name="Picture 86" descr="small_blood_availability">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mall_blood_availability"/>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A21AE">
        <w:tab/>
        <w:t xml:space="preserve">a Blood Availability Report (Blood Availability) </w:t>
      </w:r>
      <w:r w:rsidR="002A21AE">
        <w:rPr>
          <w:vanish/>
        </w:rPr>
        <w:t>UC_49</w:t>
      </w:r>
    </w:p>
    <w:p w:rsidR="002A21AE" w:rsidRDefault="00634BFC">
      <w:pPr>
        <w:pStyle w:val="BodyText"/>
        <w:ind w:left="360" w:hanging="360"/>
      </w:pPr>
      <w:r>
        <w:rPr>
          <w:noProof/>
        </w:rPr>
        <w:drawing>
          <wp:inline distT="0" distB="0" distL="0" distR="0">
            <wp:extent cx="152400" cy="152400"/>
            <wp:effectExtent l="0" t="0" r="0" b="0"/>
            <wp:docPr id="87" name="Picture 87" descr="small_patient_medications">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mall_patient_medicatio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A21AE">
        <w:tab/>
        <w:t>a patient’s current medication profile (Medication Profile)</w:t>
      </w:r>
      <w:r w:rsidR="002A21AE">
        <w:rPr>
          <w:vanish/>
        </w:rPr>
        <w:t xml:space="preserve"> UC_46</w:t>
      </w:r>
    </w:p>
    <w:p w:rsidR="002A21AE" w:rsidRDefault="00634BFC">
      <w:pPr>
        <w:pStyle w:val="BodyText"/>
        <w:ind w:left="360" w:hanging="360"/>
      </w:pPr>
      <w:r>
        <w:rPr>
          <w:noProof/>
        </w:rPr>
        <w:drawing>
          <wp:inline distT="0" distB="0" distL="0" distR="0">
            <wp:extent cx="152400" cy="152400"/>
            <wp:effectExtent l="0" t="0" r="0" b="0"/>
            <wp:docPr id="88" name="Picture 88" descr="small_recent_orders">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mall_recent_order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A21AE">
        <w:tab/>
        <w:t>a patient’s recent orders (Recent Orders)</w:t>
      </w:r>
      <w:r w:rsidR="002A21AE">
        <w:rPr>
          <w:vanish/>
        </w:rPr>
        <w:t xml:space="preserve"> UC_65</w:t>
      </w:r>
    </w:p>
    <w:p w:rsidR="002A21AE" w:rsidRDefault="00634BFC">
      <w:pPr>
        <w:pStyle w:val="BodyText"/>
        <w:ind w:left="360" w:hanging="360"/>
      </w:pPr>
      <w:r>
        <w:rPr>
          <w:noProof/>
        </w:rPr>
        <w:drawing>
          <wp:inline distT="0" distB="0" distL="0" distR="0">
            <wp:extent cx="152400" cy="152400"/>
            <wp:effectExtent l="0" t="0" r="0" b="0"/>
            <wp:docPr id="89" name="Picture 89" descr="small_si_tr">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mall_si_t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A21AE">
        <w:tab/>
        <w:t xml:space="preserve">a patient’s Special Instructions and/or Transfusion Requirements (View Special Instructions and Transfusion Requirements) </w:t>
      </w:r>
      <w:r w:rsidR="002A21AE">
        <w:rPr>
          <w:vanish/>
        </w:rPr>
        <w:t>UC_36</w:t>
      </w:r>
    </w:p>
    <w:p w:rsidR="002A21AE" w:rsidRDefault="00634BFC">
      <w:pPr>
        <w:pStyle w:val="BodyText"/>
        <w:ind w:left="360" w:hanging="360"/>
      </w:pPr>
      <w:r>
        <w:rPr>
          <w:noProof/>
        </w:rPr>
        <w:drawing>
          <wp:inline distT="0" distB="0" distL="0" distR="0">
            <wp:extent cx="152400" cy="152400"/>
            <wp:effectExtent l="0" t="0" r="0" b="0"/>
            <wp:docPr id="90" name="Picture 90" descr="small_transfusion_history">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mall_transfusion_histor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A21AE">
        <w:tab/>
        <w:t>a patient’s recent transfusion history (Recent Transfusions/Issued Units)</w:t>
      </w:r>
      <w:r w:rsidR="002A21AE">
        <w:rPr>
          <w:vanish/>
        </w:rPr>
        <w:t xml:space="preserve"> UC_65</w:t>
      </w:r>
    </w:p>
    <w:p w:rsidR="00F104FA" w:rsidRDefault="00634BFC" w:rsidP="00C12CF8">
      <w:pPr>
        <w:pStyle w:val="BodyText"/>
        <w:ind w:left="360" w:hanging="360"/>
      </w:pPr>
      <w:r>
        <w:rPr>
          <w:noProof/>
        </w:rPr>
        <w:drawing>
          <wp:inline distT="0" distB="0" distL="0" distR="0">
            <wp:extent cx="152400" cy="152400"/>
            <wp:effectExtent l="0" t="0" r="0" b="0"/>
            <wp:docPr id="91" name="Picture 91" descr="small_transfusion_reactions">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mall_transfusion_reactio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A21AE">
        <w:tab/>
        <w:t>a patient’s transfusion reaction history (Transfusion Reaction History)</w:t>
      </w:r>
      <w:r w:rsidR="00547F23" w:rsidRPr="00547F23">
        <w:rPr>
          <w:vanish/>
        </w:rPr>
        <w:t xml:space="preserve"> </w:t>
      </w:r>
      <w:r w:rsidR="00547F23">
        <w:rPr>
          <w:vanish/>
        </w:rPr>
        <w:t>UC_65</w:t>
      </w:r>
    </w:p>
    <w:p w:rsidR="00C12CF8" w:rsidRDefault="00634BFC" w:rsidP="00C12CF8">
      <w:pPr>
        <w:pStyle w:val="BodyText"/>
        <w:ind w:left="360" w:hanging="360"/>
        <w:rPr>
          <w:vanish/>
        </w:rPr>
      </w:pPr>
      <w:r>
        <w:rPr>
          <w:noProof/>
        </w:rPr>
        <w:drawing>
          <wp:inline distT="0" distB="0" distL="0" distR="0">
            <wp:extent cx="152400" cy="152400"/>
            <wp:effectExtent l="0" t="0" r="0" b="0"/>
            <wp:docPr id="92" name="Picture 92" descr="small_blood_availability">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mall_blood_availability"/>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5B6E47">
        <w:t xml:space="preserve"> </w:t>
      </w:r>
      <w:r w:rsidR="002A21AE">
        <w:rPr>
          <w:vanish/>
        </w:rPr>
        <w:t xml:space="preserve"> </w:t>
      </w:r>
    </w:p>
    <w:p w:rsidR="00577C1F" w:rsidRDefault="00577C1F" w:rsidP="00577C1F">
      <w:pPr>
        <w:pStyle w:val="Heading3"/>
      </w:pPr>
      <w:bookmarkStart w:id="148" w:name="_Medication_Profile_UC_46"/>
      <w:bookmarkStart w:id="149" w:name="_Toc459900072"/>
      <w:bookmarkEnd w:id="148"/>
      <w:r>
        <w:t>Patient Blood Availability</w:t>
      </w:r>
      <w:bookmarkEnd w:id="149"/>
      <w:r w:rsidR="00B973E2">
        <w:fldChar w:fldCharType="begin"/>
      </w:r>
      <w:r w:rsidR="00B973E2">
        <w:instrText xml:space="preserve"> XE "</w:instrText>
      </w:r>
      <w:r w:rsidR="00B973E2" w:rsidRPr="00DC29FC">
        <w:instrText>Patient Blood Availability</w:instrText>
      </w:r>
      <w:r w:rsidR="00B973E2">
        <w:instrText xml:space="preserve">" </w:instrText>
      </w:r>
      <w:r w:rsidR="00B973E2">
        <w:fldChar w:fldCharType="end"/>
      </w:r>
    </w:p>
    <w:p w:rsidR="00971D59" w:rsidRPr="00971D59" w:rsidRDefault="00971D59" w:rsidP="00971D59">
      <w:pPr>
        <w:pStyle w:val="BodyText"/>
      </w:pPr>
      <w:r w:rsidRPr="00971D59">
        <w:t>The user views blood products available to a patient. The Blood Availability Report does not include unassigned, restricted blood products. To view unassigned, restricted blood products and other custom reports, see Blood Availability.</w:t>
      </w:r>
      <w:r w:rsidR="00D407D0" w:rsidRPr="00D407D0">
        <w:rPr>
          <w:vanish/>
        </w:rPr>
        <w:t>DR 1,041</w:t>
      </w:r>
    </w:p>
    <w:p w:rsidR="002A21AE" w:rsidRPr="001F24A4" w:rsidRDefault="00E75E0A" w:rsidP="001F24A4">
      <w:pPr>
        <w:pStyle w:val="Heading3"/>
      </w:pPr>
      <w:r>
        <w:br w:type="page"/>
      </w:r>
      <w:bookmarkStart w:id="150" w:name="_Toc459900073"/>
      <w:r w:rsidR="00634BFC">
        <w:rPr>
          <w:noProof/>
        </w:rPr>
        <w:lastRenderedPageBreak/>
        <w:drawing>
          <wp:inline distT="0" distB="0" distL="0" distR="0">
            <wp:extent cx="152400" cy="190500"/>
            <wp:effectExtent l="0" t="0" r="0" b="0"/>
            <wp:docPr id="93" name="Picture 93" descr="small_patient_me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mall_patient_medicatio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002A21AE" w:rsidRPr="004C2A71">
        <w:t xml:space="preserve"> Medication Profile</w:t>
      </w:r>
      <w:bookmarkEnd w:id="150"/>
      <w:r w:rsidR="002A21AE" w:rsidRPr="004C2A71">
        <w:fldChar w:fldCharType="begin"/>
      </w:r>
      <w:r w:rsidR="002A21AE" w:rsidRPr="004C2A71">
        <w:instrText xml:space="preserve"> XE </w:instrText>
      </w:r>
      <w:r w:rsidR="00FA7E65" w:rsidRPr="004C2A71">
        <w:instrText>“</w:instrText>
      </w:r>
      <w:r w:rsidR="002A21AE" w:rsidRPr="004C2A71">
        <w:instrText>Medication Profile</w:instrText>
      </w:r>
      <w:r w:rsidR="00FA7E65" w:rsidRPr="004C2A71">
        <w:instrText>”</w:instrText>
      </w:r>
      <w:r w:rsidR="002A21AE" w:rsidRPr="004C2A71">
        <w:instrText xml:space="preserve"> </w:instrText>
      </w:r>
      <w:r w:rsidR="002A21AE" w:rsidRPr="004C2A71">
        <w:fldChar w:fldCharType="end"/>
      </w:r>
      <w:r w:rsidR="002A21AE">
        <w:t xml:space="preserve"> </w:t>
      </w:r>
      <w:r w:rsidR="002A21AE" w:rsidRPr="00C12CF8">
        <w:rPr>
          <w:vanish/>
        </w:rPr>
        <w:t>UC_46</w:t>
      </w:r>
      <w:r w:rsidR="002A21AE">
        <w:t xml:space="preserve"> </w:t>
      </w:r>
    </w:p>
    <w:p w:rsidR="002A21AE" w:rsidRDefault="002A21AE" w:rsidP="004C2A71">
      <w:pPr>
        <w:pStyle w:val="BodyText"/>
      </w:pPr>
      <w:r>
        <w:t>The user views a patient’s current medication profile.</w:t>
      </w:r>
    </w:p>
    <w:p w:rsidR="002A21AE" w:rsidRDefault="002A21AE">
      <w:pPr>
        <w:pStyle w:val="Heading4"/>
      </w:pPr>
      <w:r>
        <w:t xml:space="preserve">Assumptions </w:t>
      </w:r>
    </w:p>
    <w:p w:rsidR="002A21AE" w:rsidRDefault="002A21AE">
      <w:pPr>
        <w:pStyle w:val="ListBullet"/>
      </w:pPr>
      <w:r>
        <w:t xml:space="preserve">The connection to </w:t>
      </w:r>
      <w:r w:rsidR="00CA0045" w:rsidRPr="00CA0045">
        <w:rPr>
          <w:bCs/>
        </w:rPr>
        <w:t>VistA</w:t>
      </w:r>
      <w:r>
        <w:t xml:space="preserve"> is active. </w:t>
      </w:r>
    </w:p>
    <w:p w:rsidR="00DD75E5" w:rsidRDefault="002A21AE" w:rsidP="00DD75E5">
      <w:pPr>
        <w:pStyle w:val="Heading4"/>
      </w:pPr>
      <w:r>
        <w:t>Outcome</w:t>
      </w:r>
    </w:p>
    <w:p w:rsidR="002A21AE" w:rsidRDefault="002A21AE" w:rsidP="00DD75E5">
      <w:pPr>
        <w:pStyle w:val="ListBullet"/>
      </w:pPr>
      <w:r>
        <w:t>VBECS displays a patient’s current medications.</w:t>
      </w:r>
    </w:p>
    <w:p w:rsidR="002A21AE" w:rsidRDefault="002A21AE">
      <w:pPr>
        <w:pStyle w:val="Heading4"/>
      </w:pPr>
      <w:r>
        <w:t>Limitations and Restrictions</w:t>
      </w:r>
    </w:p>
    <w:p w:rsidR="002A21AE" w:rsidRDefault="002A21AE">
      <w:pPr>
        <w:pStyle w:val="ListBullet"/>
      </w:pPr>
      <w:r>
        <w:t>None</w:t>
      </w:r>
    </w:p>
    <w:p w:rsidR="002A21AE" w:rsidRDefault="00DD75E5">
      <w:pPr>
        <w:pStyle w:val="Heading4"/>
      </w:pPr>
      <w:r>
        <w:t>Additional Information</w:t>
      </w:r>
    </w:p>
    <w:p w:rsidR="002A21AE" w:rsidRDefault="002A21AE">
      <w:pPr>
        <w:pStyle w:val="ListBullet"/>
      </w:pPr>
      <w:r>
        <w:t>The user may access CPRS for additional information on a patient medication order.</w:t>
      </w:r>
    </w:p>
    <w:p w:rsidR="002A21AE" w:rsidRDefault="002A21AE">
      <w:pPr>
        <w:pStyle w:val="ListBullet"/>
      </w:pPr>
      <w:r>
        <w:t>These data are accessible to the user through the Patient Information Toolbar on all patient-specific screens.</w:t>
      </w:r>
    </w:p>
    <w:p w:rsidR="002A21AE" w:rsidRDefault="002A21AE">
      <w:pPr>
        <w:pStyle w:val="Heading4"/>
        <w:rPr>
          <w:b w:val="0"/>
        </w:rPr>
      </w:pPr>
      <w:r>
        <w:t>User Roles with Access to This Option</w:t>
      </w:r>
      <w:r>
        <w:rPr>
          <w:b w:val="0"/>
        </w:rPr>
        <w:t xml:space="preserve"> </w:t>
      </w:r>
    </w:p>
    <w:p w:rsidR="002A21AE" w:rsidRDefault="00237C52" w:rsidP="00237C52">
      <w:pPr>
        <w:pStyle w:val="Roles"/>
      </w:pPr>
      <w:r>
        <w:t>All users</w:t>
      </w:r>
    </w:p>
    <w:p w:rsidR="002A21AE" w:rsidRDefault="002A21AE">
      <w:pPr>
        <w:pStyle w:val="Heading4"/>
      </w:pPr>
      <w:r>
        <w:t xml:space="preserve">Medication Profile </w:t>
      </w:r>
    </w:p>
    <w:p w:rsidR="002A21AE" w:rsidRDefault="002A21AE" w:rsidP="00FA7E65">
      <w:pPr>
        <w:pStyle w:val="BodyText"/>
      </w:pPr>
      <w:r>
        <w:rPr>
          <w:bCs/>
        </w:rPr>
        <w:t>At the user’s request, VBECS queries</w:t>
      </w:r>
      <w:r>
        <w:rPr>
          <w:b/>
          <w:bCs/>
        </w:rPr>
        <w:t xml:space="preserve"> </w:t>
      </w:r>
      <w:r w:rsidR="00CA0045" w:rsidRPr="00CA0045">
        <w:rPr>
          <w:bCs/>
        </w:rPr>
        <w:t>VistA</w:t>
      </w:r>
      <w:r>
        <w:t xml:space="preserve"> to search for active prescriptions within a user-specified time frame or a default time frame of six months, regardless of division, in a multidivisional database.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rsidP="009D60F4">
            <w:pPr>
              <w:pStyle w:val="TableTextNumbers"/>
            </w:pPr>
            <w:r>
              <w:t xml:space="preserve">Select </w:t>
            </w:r>
            <w:r>
              <w:rPr>
                <w:b/>
              </w:rPr>
              <w:t>Reports</w:t>
            </w:r>
            <w:r>
              <w:t xml:space="preserve"> from the main menu.</w:t>
            </w:r>
          </w:p>
          <w:p w:rsidR="002A21AE" w:rsidRDefault="002A21AE">
            <w:pPr>
              <w:pStyle w:val="TableTextNumbersContinued"/>
              <w:rPr>
                <w:b/>
                <w:bCs/>
              </w:rPr>
            </w:pPr>
          </w:p>
          <w:p w:rsidR="002A21AE" w:rsidRDefault="002A21AE">
            <w:pPr>
              <w:pStyle w:val="TableTextNumbersContinued"/>
              <w:rPr>
                <w:b/>
                <w:bCs/>
              </w:rPr>
            </w:pPr>
            <w:r>
              <w:rPr>
                <w:bCs/>
              </w:rPr>
              <w:t>Select</w:t>
            </w:r>
            <w:r>
              <w:rPr>
                <w:b/>
                <w:bCs/>
              </w:rPr>
              <w:t xml:space="preserve"> Medication Profile.</w:t>
            </w:r>
          </w:p>
          <w:p w:rsidR="002A21AE" w:rsidRDefault="002A21AE">
            <w:pPr>
              <w:pStyle w:val="TableTextNumbersContinued"/>
              <w:rPr>
                <w:b/>
                <w:bCs/>
              </w:rPr>
            </w:pPr>
          </w:p>
          <w:p w:rsidR="002A21AE" w:rsidRDefault="002A21AE">
            <w:pPr>
              <w:pStyle w:val="TableTextNumbersContinued"/>
              <w:rPr>
                <w:bCs/>
              </w:rPr>
            </w:pPr>
            <w:r>
              <w:rPr>
                <w:bCs/>
              </w:rPr>
              <w:t>Select a patient, or</w:t>
            </w:r>
          </w:p>
          <w:p w:rsidR="002A21AE" w:rsidRDefault="002A21AE">
            <w:pPr>
              <w:pStyle w:val="TableTextNumbersContinued"/>
              <w:rPr>
                <w:bCs/>
              </w:rPr>
            </w:pPr>
          </w:p>
          <w:p w:rsidR="002A21AE" w:rsidRDefault="002A21AE">
            <w:pPr>
              <w:pStyle w:val="TableTextNumbersContinued"/>
              <w:rPr>
                <w:bCs/>
              </w:rPr>
            </w:pPr>
            <w:r>
              <w:rPr>
                <w:bCs/>
              </w:rPr>
              <w:t>Select an option that displays the Patient Information Toolbar.</w:t>
            </w:r>
          </w:p>
          <w:p w:rsidR="002A21AE" w:rsidRDefault="002A21AE">
            <w:pPr>
              <w:pStyle w:val="TableTextNumbersContinued"/>
              <w:rPr>
                <w:bCs/>
              </w:rPr>
            </w:pPr>
          </w:p>
          <w:p w:rsidR="002A21AE" w:rsidRDefault="002A21AE">
            <w:pPr>
              <w:pStyle w:val="TableTextNumbersContinued"/>
              <w:rPr>
                <w:b/>
                <w:bCs/>
              </w:rPr>
            </w:pPr>
            <w:r>
              <w:rPr>
                <w:bCs/>
              </w:rPr>
              <w:t xml:space="preserve">Click </w:t>
            </w:r>
            <w:r w:rsidR="00634BFC">
              <w:rPr>
                <w:bCs/>
                <w:noProof/>
              </w:rPr>
              <w:drawing>
                <wp:inline distT="0" distB="0" distL="0" distR="0">
                  <wp:extent cx="152400" cy="190500"/>
                  <wp:effectExtent l="0" t="0" r="0" b="0"/>
                  <wp:docPr id="94" name="Picture 94" descr="small_patient_me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mall_patient_medicatio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bCs/>
              </w:rPr>
              <w:t xml:space="preserve"> to view a patient’s current medication list.</w:t>
            </w:r>
          </w:p>
        </w:tc>
        <w:tc>
          <w:tcPr>
            <w:tcW w:w="6120" w:type="dxa"/>
          </w:tcPr>
          <w:p w:rsidR="002A21AE" w:rsidRDefault="002A21AE">
            <w:pPr>
              <w:pStyle w:val="TableTextBullet"/>
            </w:pPr>
            <w:r>
              <w:t>Lists report names.</w:t>
            </w:r>
          </w:p>
          <w:p w:rsidR="002A21AE" w:rsidRDefault="002A21AE">
            <w:pPr>
              <w:pStyle w:val="TableTextBullet"/>
            </w:pPr>
            <w:r>
              <w:t>Displays the report date range, sections, and compilation criteria.</w:t>
            </w:r>
          </w:p>
          <w:p w:rsidR="002A21AE" w:rsidRDefault="002A21AE">
            <w:pPr>
              <w:pStyle w:val="TableTextBullet"/>
            </w:pPr>
            <w:r>
              <w:t>Displays options for processing patient-related functions.</w:t>
            </w:r>
          </w:p>
          <w:p w:rsidR="002A21AE" w:rsidRDefault="002A21AE">
            <w:pPr>
              <w:pStyle w:val="TableTextBullet"/>
            </w:pPr>
            <w:r>
              <w:t>Compiles the active patient identification data.</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1984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81" name="Line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4"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KOTFQ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HA8&#10;o5M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sidRPr="00E274BF">
              <w:rPr>
                <w:rFonts w:cs="Arial"/>
                <w:vanish/>
                <w:szCs w:val="18"/>
              </w:rPr>
              <w:t xml:space="preserve">BR_46.02 </w:t>
            </w:r>
            <w:r>
              <w:t>The user may edit the default start date (six months before the current date) for the patient medication search.</w:t>
            </w:r>
          </w:p>
        </w:tc>
      </w:tr>
      <w:tr w:rsidR="002A21AE">
        <w:tblPrEx>
          <w:tblCellMar>
            <w:top w:w="0" w:type="dxa"/>
            <w:bottom w:w="0" w:type="dxa"/>
          </w:tblCellMar>
        </w:tblPrEx>
        <w:tc>
          <w:tcPr>
            <w:tcW w:w="3240" w:type="dxa"/>
          </w:tcPr>
          <w:p w:rsidR="002A21AE" w:rsidRDefault="002A21AE">
            <w:pPr>
              <w:pStyle w:val="TableTextNumbers"/>
            </w:pPr>
            <w:r>
              <w:t>Accept or edit the default start and end dates.</w:t>
            </w:r>
          </w:p>
        </w:tc>
        <w:tc>
          <w:tcPr>
            <w:tcW w:w="6120" w:type="dxa"/>
          </w:tcPr>
          <w:p w:rsidR="002A21AE" w:rsidRDefault="002A21AE">
            <w:pPr>
              <w:pStyle w:val="TableTextBullet"/>
            </w:pPr>
            <w:r>
              <w:t xml:space="preserve">Displays each medication name status, order number, and issue/start date returned from the </w:t>
            </w:r>
            <w:r w:rsidR="00CA0045" w:rsidRPr="00CA0045">
              <w:rPr>
                <w:bCs/>
              </w:rPr>
              <w:t>VistA</w:t>
            </w:r>
            <w:r>
              <w:t xml:space="preserve"> query. </w:t>
            </w:r>
          </w:p>
          <w:p w:rsidR="002A21AE" w:rsidRDefault="002A21AE">
            <w:pPr>
              <w:pStyle w:val="TableTextBullet"/>
            </w:pPr>
            <w:r w:rsidRPr="00E274BF">
              <w:rPr>
                <w:rFonts w:cs="Arial"/>
                <w:vanish/>
                <w:szCs w:val="18"/>
              </w:rPr>
              <w:t>BR_46.04</w:t>
            </w:r>
            <w:r w:rsidRPr="009660C3">
              <w:rPr>
                <w:vanish/>
                <w:szCs w:val="18"/>
              </w:rPr>
              <w:t xml:space="preserve"> </w:t>
            </w:r>
            <w:r>
              <w:t>When a query does not return any medications, notifies the user that he may repeat the query with a different date range.</w:t>
            </w:r>
          </w:p>
        </w:tc>
      </w:tr>
      <w:tr w:rsidR="002A21AE">
        <w:tblPrEx>
          <w:tblCellMar>
            <w:top w:w="0" w:type="dxa"/>
            <w:bottom w:w="0" w:type="dxa"/>
          </w:tblCellMar>
        </w:tblPrEx>
        <w:tc>
          <w:tcPr>
            <w:tcW w:w="3240" w:type="dxa"/>
          </w:tcPr>
          <w:p w:rsidR="002A21AE" w:rsidRDefault="002A21AE">
            <w:pPr>
              <w:pStyle w:val="TableTextNumbers"/>
            </w:pPr>
            <w:r>
              <w:t xml:space="preserve">View the display. When desired, go to Step 1 to repeat the query, </w:t>
            </w:r>
          </w:p>
        </w:tc>
        <w:tc>
          <w:tcPr>
            <w:tcW w:w="6120" w:type="dxa"/>
          </w:tcPr>
          <w:p w:rsidR="002A21AE" w:rsidRDefault="002A21AE">
            <w:pPr>
              <w:pStyle w:val="TableTextBullet"/>
            </w:pPr>
            <w:r>
              <w:t>Allows the user to print the displayed patient medication profile.</w:t>
            </w:r>
          </w:p>
        </w:tc>
      </w:tr>
      <w:tr w:rsidR="002A21AE">
        <w:tblPrEx>
          <w:tblCellMar>
            <w:top w:w="0" w:type="dxa"/>
            <w:bottom w:w="0" w:type="dxa"/>
          </w:tblCellMar>
        </w:tblPrEx>
        <w:tc>
          <w:tcPr>
            <w:tcW w:w="3240" w:type="dxa"/>
          </w:tcPr>
          <w:p w:rsidR="002A21AE" w:rsidRDefault="002A21AE">
            <w:pPr>
              <w:pStyle w:val="TableTextNumbers"/>
            </w:pPr>
            <w:r>
              <w:t xml:space="preserve">Print the profile or click </w:t>
            </w:r>
            <w:r>
              <w:rPr>
                <w:b/>
              </w:rPr>
              <w:t>Cancel</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rsidR="002A21AE" w:rsidRDefault="002A21AE">
            <w:pPr>
              <w:pStyle w:val="TableTextBullet"/>
            </w:pPr>
            <w:r>
              <w:t xml:space="preserve">Displays and prints the medication information profile. </w:t>
            </w:r>
          </w:p>
        </w:tc>
      </w:tr>
    </w:tbl>
    <w:p w:rsidR="002A21AE" w:rsidRDefault="002A21AE">
      <w:pPr>
        <w:pStyle w:val="Heading3"/>
        <w:sectPr w:rsidR="002A21AE" w:rsidSect="009516A4">
          <w:type w:val="continuous"/>
          <w:pgSz w:w="12240" w:h="15840" w:code="1"/>
          <w:pgMar w:top="1440" w:right="1440" w:bottom="1440" w:left="1440" w:header="720" w:footer="720" w:gutter="0"/>
          <w:pgNumType w:start="16"/>
          <w:cols w:space="720"/>
          <w:docGrid w:linePitch="360"/>
        </w:sectPr>
      </w:pPr>
    </w:p>
    <w:p w:rsidR="002A21AE" w:rsidRDefault="00634BFC">
      <w:pPr>
        <w:pStyle w:val="Heading3"/>
      </w:pPr>
      <w:bookmarkStart w:id="151" w:name="_Toc92426411"/>
      <w:bookmarkStart w:id="152" w:name="_View_Special_Instructions_and Trans"/>
      <w:bookmarkStart w:id="153" w:name="_Toc459900074"/>
      <w:bookmarkEnd w:id="152"/>
      <w:r>
        <w:rPr>
          <w:noProof/>
        </w:rPr>
        <w:lastRenderedPageBreak/>
        <w:drawing>
          <wp:inline distT="0" distB="0" distL="0" distR="0">
            <wp:extent cx="152400" cy="152400"/>
            <wp:effectExtent l="0" t="0" r="0" b="0"/>
            <wp:docPr id="95" name="Picture 95" descr="small_si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mall_si_t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A21AE">
        <w:t xml:space="preserve"> View Special Instructions and Transfusion Requirements</w:t>
      </w:r>
      <w:bookmarkEnd w:id="151"/>
      <w:bookmarkEnd w:id="153"/>
      <w:r w:rsidR="002A21AE">
        <w:rPr>
          <w:rFonts w:ascii="Times New Roman" w:hAnsi="Times New Roman" w:cs="Times New Roman"/>
          <w:b w:val="0"/>
          <w:vanish/>
          <w:sz w:val="22"/>
        </w:rPr>
        <w:fldChar w:fldCharType="begin"/>
      </w:r>
      <w:r w:rsidR="002A21AE">
        <w:rPr>
          <w:rFonts w:ascii="Times New Roman" w:hAnsi="Times New Roman" w:cs="Times New Roman"/>
          <w:b w:val="0"/>
          <w:vanish/>
          <w:sz w:val="22"/>
        </w:rPr>
        <w:instrText xml:space="preserve"> XE </w:instrText>
      </w:r>
      <w:r w:rsidR="00FA7E65">
        <w:rPr>
          <w:rFonts w:ascii="Times New Roman" w:hAnsi="Times New Roman" w:cs="Times New Roman"/>
          <w:b w:val="0"/>
          <w:vanish/>
          <w:sz w:val="22"/>
        </w:rPr>
        <w:instrText>“</w:instrText>
      </w:r>
      <w:r w:rsidR="002A21AE">
        <w:rPr>
          <w:rFonts w:ascii="Times New Roman" w:hAnsi="Times New Roman" w:cs="Times New Roman"/>
          <w:b w:val="0"/>
          <w:vanish/>
          <w:sz w:val="22"/>
        </w:rPr>
        <w:instrText>View Special Instructions and Transfusion Requirements</w:instrText>
      </w:r>
      <w:r w:rsidR="00FA7E65">
        <w:rPr>
          <w:rFonts w:ascii="Times New Roman" w:hAnsi="Times New Roman" w:cs="Times New Roman"/>
          <w:b w:val="0"/>
          <w:vanish/>
          <w:sz w:val="22"/>
        </w:rPr>
        <w:instrText>”</w:instrText>
      </w:r>
      <w:r w:rsidR="002A21AE">
        <w:rPr>
          <w:rFonts w:ascii="Times New Roman" w:hAnsi="Times New Roman" w:cs="Times New Roman"/>
          <w:b w:val="0"/>
          <w:vanish/>
          <w:sz w:val="22"/>
        </w:rPr>
        <w:instrText xml:space="preserve"> </w:instrText>
      </w:r>
      <w:r w:rsidR="002A21AE">
        <w:rPr>
          <w:rFonts w:ascii="Times New Roman" w:hAnsi="Times New Roman" w:cs="Times New Roman"/>
          <w:b w:val="0"/>
          <w:vanish/>
          <w:sz w:val="22"/>
        </w:rPr>
        <w:fldChar w:fldCharType="end"/>
      </w:r>
      <w:r w:rsidR="002A21AE">
        <w:rPr>
          <w:rFonts w:ascii="Times New Roman" w:hAnsi="Times New Roman" w:cs="Times New Roman"/>
          <w:b w:val="0"/>
          <w:vanish/>
          <w:sz w:val="22"/>
        </w:rPr>
        <w:t xml:space="preserve"> UC_36</w:t>
      </w:r>
    </w:p>
    <w:p w:rsidR="002A21AE" w:rsidRDefault="002A21AE" w:rsidP="00FA7E65">
      <w:pPr>
        <w:pStyle w:val="BodyText"/>
      </w:pPr>
      <w:r>
        <w:t xml:space="preserve">The user views patient-specific Special Instructions (SIs) and Transfusion Requirements (TRs). </w:t>
      </w:r>
    </w:p>
    <w:p w:rsidR="002A21AE" w:rsidRDefault="002A21AE">
      <w:pPr>
        <w:pStyle w:val="Heading4"/>
      </w:pPr>
      <w:r>
        <w:t>Assumptions</w:t>
      </w:r>
    </w:p>
    <w:p w:rsidR="002A21AE" w:rsidRDefault="002A21AE">
      <w:pPr>
        <w:pStyle w:val="ListBullet"/>
      </w:pPr>
      <w:r>
        <w:t xml:space="preserve">SI entries were created through Special Instructions &amp; Transfusion Requirements: Enter a Special Instruction or from </w:t>
      </w:r>
      <w:r w:rsidR="00150930">
        <w:t>database conversion</w:t>
      </w:r>
      <w:r>
        <w:t>.</w:t>
      </w:r>
    </w:p>
    <w:p w:rsidR="002A21AE" w:rsidRDefault="002A21AE">
      <w:pPr>
        <w:pStyle w:val="ListBullet"/>
      </w:pPr>
      <w:r>
        <w:t xml:space="preserve">TR entries were entered through Special Instructions &amp; Transfusion Requirements: Enter a Transfusion Requirement or Patient Testing: </w:t>
      </w:r>
      <w:r w:rsidR="00244FCD">
        <w:t>Enter Antibody Identification Results</w:t>
      </w:r>
      <w:r>
        <w:t>.</w:t>
      </w:r>
    </w:p>
    <w:p w:rsidR="002A21AE" w:rsidRDefault="002A21AE">
      <w:pPr>
        <w:pStyle w:val="Heading4"/>
        <w:rPr>
          <w:i/>
        </w:rPr>
      </w:pPr>
      <w:r>
        <w:t>Outcome</w:t>
      </w:r>
      <w:r>
        <w:rPr>
          <w:i/>
        </w:rPr>
        <w:t xml:space="preserve"> </w:t>
      </w:r>
    </w:p>
    <w:p w:rsidR="002A21AE" w:rsidRDefault="002A21AE">
      <w:pPr>
        <w:pStyle w:val="ListBullet"/>
      </w:pPr>
      <w:r>
        <w:t>VBECS displays a patient’s SIs and TRs.</w:t>
      </w:r>
    </w:p>
    <w:p w:rsidR="002A21AE" w:rsidRDefault="002A21AE" w:rsidP="00C602D5">
      <w:pPr>
        <w:pStyle w:val="Heading4"/>
      </w:pPr>
      <w:r>
        <w:t>Limitations and Restrictions</w:t>
      </w:r>
      <w:r>
        <w:rPr>
          <w:b w:val="0"/>
        </w:rPr>
        <w:t xml:space="preserve"> </w:t>
      </w:r>
    </w:p>
    <w:p w:rsidR="00C602D5" w:rsidRDefault="00C602D5" w:rsidP="00C602D5">
      <w:pPr>
        <w:pStyle w:val="ListBullet"/>
      </w:pPr>
      <w:r w:rsidRPr="00633316">
        <w:t xml:space="preserve">Changing a patient's antigen negative requirement or antibody identified after a unit is crossmatched does not provide an alert at Issue Unit regarding the type of crossmatch </w:t>
      </w:r>
      <w:r>
        <w:t xml:space="preserve">(electronic or serologic) </w:t>
      </w:r>
      <w:r w:rsidRPr="00633316">
        <w:t xml:space="preserve">performed on </w:t>
      </w:r>
      <w:r>
        <w:t xml:space="preserve">a </w:t>
      </w:r>
      <w:r w:rsidRPr="00633316">
        <w:t>unit</w:t>
      </w:r>
      <w:r>
        <w:t xml:space="preserve"> available for issue</w:t>
      </w:r>
      <w:r w:rsidRPr="00633316">
        <w:t>.</w:t>
      </w:r>
    </w:p>
    <w:p w:rsidR="002A21AE" w:rsidRDefault="002A21AE">
      <w:pPr>
        <w:pStyle w:val="Heading4"/>
      </w:pPr>
      <w:r>
        <w:t>Additional Information</w:t>
      </w:r>
      <w:r>
        <w:rPr>
          <w:i/>
        </w:rPr>
        <w:t xml:space="preserve"> </w:t>
      </w:r>
    </w:p>
    <w:p w:rsidR="002A21AE" w:rsidRDefault="002A21AE">
      <w:pPr>
        <w:pStyle w:val="ListBullet"/>
      </w:pPr>
      <w:r>
        <w:t>VBECS displays a patient’s known antibodies in all divisions in a multidivisional database. VBECS does not restrict viewing SI and TR entries by division; they are linked to the patient’s record and not to an order, a specimen, or a unit.</w:t>
      </w:r>
    </w:p>
    <w:p w:rsidR="002A21AE" w:rsidRDefault="002A21AE" w:rsidP="00C602D5">
      <w:pPr>
        <w:pStyle w:val="ListBullet"/>
      </w:pPr>
      <w:r>
        <w:t>VBECS does not enforce SIs; VBECS enforces TRs and persistent antigen negative requirements throughout the database.</w:t>
      </w:r>
    </w:p>
    <w:p w:rsidR="002A21AE" w:rsidRDefault="002A21AE">
      <w:pPr>
        <w:pStyle w:val="Heading4"/>
      </w:pPr>
      <w:r>
        <w:t>User Roles with Access to This Option</w:t>
      </w:r>
    </w:p>
    <w:p w:rsidR="002A21AE" w:rsidRPr="00237C52" w:rsidRDefault="00237C52" w:rsidP="00237C52">
      <w:pPr>
        <w:pStyle w:val="Roles"/>
      </w:pPr>
      <w:r>
        <w:t xml:space="preserve">All users </w:t>
      </w:r>
    </w:p>
    <w:p w:rsidR="002A21AE" w:rsidRDefault="002A21AE">
      <w:pPr>
        <w:pStyle w:val="Heading4"/>
      </w:pPr>
      <w:bookmarkStart w:id="154" w:name="_Toc90551769"/>
      <w:r>
        <w:t>View Special Instructions and Transfusion Requirements</w:t>
      </w:r>
      <w:bookmarkEnd w:id="154"/>
    </w:p>
    <w:p w:rsidR="002A21AE" w:rsidRDefault="002A21AE" w:rsidP="00FA7E65">
      <w:pPr>
        <w:pStyle w:val="BodyText"/>
      </w:pPr>
      <w:r>
        <w:t xml:space="preserve">The user views a patient record. When SIs and TRs are available for the patient, VBECS activates the Patient Information Toolbar icons. VBECS alerts the user when a patient’s record includes SIs and TRs. </w:t>
      </w:r>
    </w:p>
    <w:p w:rsidR="002A21AE" w:rsidRDefault="00634BFC">
      <w:pPr>
        <w:pStyle w:val="Caution"/>
      </w:pPr>
      <w:r>
        <w:rPr>
          <w:noProof/>
        </w:rPr>
        <w:drawing>
          <wp:inline distT="0" distB="0" distL="0" distR="0">
            <wp:extent cx="266700" cy="21907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443024">
        <w:t xml:space="preserve"> </w:t>
      </w:r>
      <w:r w:rsidR="002A21AE">
        <w:t xml:space="preserve">It is highly recommended that the user click every active icon when reviewing patient data.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tblHeader/>
        </w:trPr>
        <w:tc>
          <w:tcPr>
            <w:tcW w:w="3240" w:type="dxa"/>
            <w:shd w:val="pct30" w:color="auto" w:fill="FFFFFF"/>
            <w:vAlign w:val="bottom"/>
          </w:tcPr>
          <w:p w:rsidR="002A21AE" w:rsidRDefault="002A21AE">
            <w:pPr>
              <w:pStyle w:val="TableText"/>
              <w:rPr>
                <w:b/>
              </w:rPr>
            </w:pPr>
            <w:bookmarkStart w:id="155" w:name="_Toc90551770"/>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pPr>
              <w:pStyle w:val="TableTextNumbers"/>
            </w:pPr>
            <w:r>
              <w:t xml:space="preserve">Select </w:t>
            </w:r>
            <w:r>
              <w:rPr>
                <w:b/>
              </w:rPr>
              <w:t>Patients</w:t>
            </w:r>
            <w:r>
              <w:t xml:space="preserve"> from the main menu.</w:t>
            </w:r>
          </w:p>
          <w:p w:rsidR="002A21AE" w:rsidRDefault="002A21AE">
            <w:pPr>
              <w:pStyle w:val="TableTextNumbersContinued"/>
              <w:rPr>
                <w:b/>
                <w:bCs/>
              </w:rPr>
            </w:pPr>
          </w:p>
          <w:p w:rsidR="002A21AE" w:rsidRDefault="002A21AE">
            <w:pPr>
              <w:pStyle w:val="TableTextNumbersContinued"/>
            </w:pPr>
            <w:r>
              <w:t xml:space="preserve">Select </w:t>
            </w:r>
            <w:r>
              <w:rPr>
                <w:b/>
              </w:rPr>
              <w:t>Special Instructions &amp; Transfusion Requirements</w:t>
            </w:r>
            <w:r>
              <w:t>, or</w:t>
            </w:r>
          </w:p>
          <w:p w:rsidR="002A21AE" w:rsidRDefault="002A21AE">
            <w:pPr>
              <w:pStyle w:val="TableTextNumbersContinued"/>
            </w:pPr>
          </w:p>
          <w:p w:rsidR="002A21AE" w:rsidRDefault="002A21AE">
            <w:pPr>
              <w:pStyle w:val="TableTextNumbersContinued"/>
            </w:pPr>
            <w:r>
              <w:t xml:space="preserve">Click </w:t>
            </w:r>
            <w:r w:rsidR="00634BFC">
              <w:rPr>
                <w:noProof/>
              </w:rPr>
              <w:drawing>
                <wp:inline distT="0" distB="0" distL="0" distR="0">
                  <wp:extent cx="152400" cy="152400"/>
                  <wp:effectExtent l="0" t="0" r="0" b="0"/>
                  <wp:docPr id="97" name="Picture 97" descr="small_si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mall_si_t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in the Patient Information Toolbar, when it is active.</w:t>
            </w:r>
          </w:p>
        </w:tc>
        <w:tc>
          <w:tcPr>
            <w:tcW w:w="6120" w:type="dxa"/>
          </w:tcPr>
          <w:p w:rsidR="002A21AE" w:rsidRDefault="002A21AE">
            <w:pPr>
              <w:pStyle w:val="TableTextBullet"/>
            </w:pPr>
            <w:r>
              <w:t>Displays options for processing patient-related functions.</w:t>
            </w:r>
          </w:p>
          <w:p w:rsidR="002A21AE" w:rsidRDefault="002A21AE">
            <w:pPr>
              <w:pStyle w:val="TableTextBullet"/>
            </w:pPr>
            <w:r>
              <w:t xml:space="preserve">Displays the option to select a patient, when one is not already selected. </w:t>
            </w:r>
          </w:p>
          <w:p w:rsidR="002A21AE" w:rsidRDefault="002A21AE">
            <w:pPr>
              <w:pStyle w:val="TableText"/>
              <w:rPr>
                <w:b/>
                <w:bCs/>
                <w:szCs w:val="18"/>
              </w:rPr>
            </w:pPr>
          </w:p>
          <w:p w:rsidR="002A21AE" w:rsidRDefault="00634BFC">
            <w:pPr>
              <w:pStyle w:val="TableText"/>
              <w:rPr>
                <w:b/>
                <w:bCs/>
                <w:szCs w:val="18"/>
              </w:rPr>
            </w:pPr>
            <w:r>
              <w:rPr>
                <w:b/>
                <w:bCs/>
                <w:noProof/>
              </w:rPr>
              <mc:AlternateContent>
                <mc:Choice Requires="wps">
                  <w:drawing>
                    <wp:anchor distT="0" distB="0" distL="114300" distR="114300" simplePos="0" relativeHeight="25162188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80" name="Line 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6"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ezFA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" strokeweight="1.5pt"/>
                  </w:pict>
                </mc:Fallback>
              </mc:AlternateContent>
            </w:r>
            <w:r w:rsidR="002A21AE">
              <w:rPr>
                <w:b/>
                <w:bCs/>
                <w:szCs w:val="18"/>
              </w:rPr>
              <w:t>NOTES</w:t>
            </w:r>
          </w:p>
          <w:p w:rsidR="002A21AE" w:rsidRDefault="002A21AE">
            <w:pPr>
              <w:pStyle w:val="NotesText"/>
            </w:pPr>
          </w:p>
          <w:p w:rsidR="002A21AE" w:rsidRDefault="00D62E87">
            <w:pPr>
              <w:pStyle w:val="NotesText"/>
            </w:pPr>
            <w:r w:rsidRPr="00896F17">
              <w:rPr>
                <w:rStyle w:val="BullhornChar"/>
              </w:rPr>
              <w:t></w:t>
            </w:r>
            <w:r w:rsidRPr="00D62E87">
              <w:rPr>
                <w:rFonts w:ascii="Webdings" w:hAnsi="Webdings"/>
                <w:szCs w:val="22"/>
              </w:rPr>
              <w:t></w:t>
            </w:r>
            <w:r w:rsidR="002A21AE">
              <w:t>When a patient’s VBECS record includes an active TR, SI, or antigen negative requirement, VBECS emits an audible alert and notifies the user by enabling the icon.</w:t>
            </w:r>
          </w:p>
        </w:tc>
      </w:tr>
      <w:tr w:rsidR="002A21AE">
        <w:tblPrEx>
          <w:tblCellMar>
            <w:top w:w="0" w:type="dxa"/>
            <w:bottom w:w="0" w:type="dxa"/>
          </w:tblCellMar>
        </w:tblPrEx>
        <w:tc>
          <w:tcPr>
            <w:tcW w:w="3240" w:type="dxa"/>
          </w:tcPr>
          <w:p w:rsidR="002A21AE" w:rsidRDefault="002A21AE">
            <w:pPr>
              <w:pStyle w:val="TableTextNumbers"/>
            </w:pPr>
            <w:r>
              <w:t xml:space="preserve">Select a patient and click </w:t>
            </w:r>
            <w:r>
              <w:rPr>
                <w:b/>
              </w:rPr>
              <w:t>OK</w:t>
            </w:r>
            <w:r>
              <w:t>.</w:t>
            </w:r>
          </w:p>
          <w:p w:rsidR="002A21AE" w:rsidRDefault="002A21AE">
            <w:pPr>
              <w:pStyle w:val="TableTextNumbersContinued"/>
              <w:rPr>
                <w:b/>
                <w:bCs/>
              </w:rPr>
            </w:pPr>
          </w:p>
          <w:p w:rsidR="002A21AE" w:rsidRDefault="002A21AE">
            <w:pPr>
              <w:pStyle w:val="TableTextNumbersContinued"/>
            </w:pPr>
            <w:r>
              <w:t xml:space="preserve">View the data. </w:t>
            </w:r>
          </w:p>
          <w:p w:rsidR="002A21AE" w:rsidRDefault="002A21AE">
            <w:pPr>
              <w:pStyle w:val="TableTextNumbersContinued"/>
            </w:pPr>
          </w:p>
          <w:p w:rsidR="002A21AE" w:rsidRDefault="002A21AE">
            <w:pPr>
              <w:pStyle w:val="TableTextNumbersContinued"/>
            </w:pPr>
            <w:r>
              <w:lastRenderedPageBreak/>
              <w:t xml:space="preserve">Click </w:t>
            </w:r>
            <w:r>
              <w:rPr>
                <w:b/>
              </w:rPr>
              <w:t>OK</w:t>
            </w:r>
            <w:r>
              <w:t xml:space="preserve"> to continue.</w:t>
            </w:r>
          </w:p>
        </w:tc>
        <w:tc>
          <w:tcPr>
            <w:tcW w:w="6120" w:type="dxa"/>
          </w:tcPr>
          <w:p w:rsidR="002A21AE" w:rsidRDefault="002A21AE">
            <w:pPr>
              <w:pStyle w:val="TableTextBullet"/>
            </w:pPr>
            <w:r>
              <w:lastRenderedPageBreak/>
              <w:t xml:space="preserve">Displays the data. </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2086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79" name="Line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5"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9YmFg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CT&#10;x9YmFgIAAC0EAAAOAAAAAAAAAAAAAAAAAC4CAABkcnMvZTJvRG9jLnhtbFBLAQItABQABgAIAAAA&#10;IQAXTzAS2wAAAAgBAAAPAAAAAAAAAAAAAAAAAHAEAABkcnMvZG93bnJldi54bWxQSwUGAAAAAAQA&#10;BADzAAAAeAUAAAAA&#10;" strokeweight="1.5pt"/>
                  </w:pict>
                </mc:Fallback>
              </mc:AlternateContent>
            </w:r>
            <w:r w:rsidR="002A21AE">
              <w:rPr>
                <w:b/>
                <w:bCs/>
                <w:szCs w:val="18"/>
              </w:rPr>
              <w:t>NOTES</w:t>
            </w:r>
          </w:p>
          <w:p w:rsidR="002A21AE" w:rsidRDefault="002A21AE">
            <w:pPr>
              <w:pStyle w:val="NotesText"/>
            </w:pPr>
          </w:p>
          <w:p w:rsidR="002A21AE" w:rsidRPr="008D574C" w:rsidRDefault="002A21AE">
            <w:pPr>
              <w:pStyle w:val="NotesText"/>
              <w:rPr>
                <w:rFonts w:cs="Arial"/>
                <w:szCs w:val="18"/>
              </w:rPr>
            </w:pPr>
            <w:r w:rsidRPr="008D574C">
              <w:rPr>
                <w:rFonts w:cs="Arial"/>
                <w:vanish/>
                <w:szCs w:val="18"/>
              </w:rPr>
              <w:lastRenderedPageBreak/>
              <w:t xml:space="preserve">BR_36.02 </w:t>
            </w:r>
            <w:r w:rsidR="0058054E">
              <w:rPr>
                <w:rFonts w:cs="Arial"/>
                <w:szCs w:val="18"/>
              </w:rPr>
              <w:t xml:space="preserve">VBECS displays active TRs to all divisions within a multidivisional database. </w:t>
            </w:r>
          </w:p>
          <w:p w:rsidR="002A21AE" w:rsidRPr="008D574C" w:rsidRDefault="002A21AE">
            <w:pPr>
              <w:pStyle w:val="NotesText"/>
              <w:rPr>
                <w:rFonts w:cs="Arial"/>
                <w:szCs w:val="18"/>
              </w:rPr>
            </w:pPr>
          </w:p>
          <w:p w:rsidR="00201E35" w:rsidRPr="008D574C" w:rsidRDefault="00201E35">
            <w:pPr>
              <w:pStyle w:val="NotesText"/>
              <w:rPr>
                <w:rFonts w:cs="Arial"/>
                <w:szCs w:val="18"/>
              </w:rPr>
            </w:pPr>
            <w:r w:rsidRPr="008D574C">
              <w:rPr>
                <w:rFonts w:cs="Arial"/>
                <w:vanish/>
                <w:szCs w:val="18"/>
              </w:rPr>
              <w:t>BR_36.07</w:t>
            </w:r>
            <w:r w:rsidRPr="008D574C">
              <w:rPr>
                <w:rFonts w:cs="Arial"/>
                <w:szCs w:val="18"/>
              </w:rPr>
              <w:t xml:space="preserve"> VBECS alerts the user when an active TR, SI, or antigen negative requirement is in a patient’s record.</w:t>
            </w:r>
          </w:p>
          <w:p w:rsidR="00201E35" w:rsidRPr="008D574C" w:rsidRDefault="00201E35">
            <w:pPr>
              <w:pStyle w:val="NotesText"/>
              <w:rPr>
                <w:rFonts w:cs="Arial"/>
                <w:szCs w:val="18"/>
              </w:rPr>
            </w:pPr>
          </w:p>
          <w:p w:rsidR="002A21AE" w:rsidRPr="008D574C" w:rsidRDefault="002A21AE">
            <w:pPr>
              <w:pStyle w:val="NotesText"/>
              <w:rPr>
                <w:rFonts w:cs="Arial"/>
                <w:szCs w:val="18"/>
              </w:rPr>
            </w:pPr>
            <w:r w:rsidRPr="008D574C">
              <w:rPr>
                <w:rFonts w:cs="Arial"/>
                <w:vanish/>
                <w:szCs w:val="18"/>
              </w:rPr>
              <w:t xml:space="preserve">BR_38.08 </w:t>
            </w:r>
            <w:r w:rsidRPr="008D574C">
              <w:rPr>
                <w:rFonts w:cs="Arial"/>
                <w:szCs w:val="18"/>
              </w:rPr>
              <w:t>VBECS displays component requirements to all divisions in a multidivisional database. No division allows issue until requirements are met.</w:t>
            </w:r>
          </w:p>
          <w:p w:rsidR="002A21AE" w:rsidRPr="008D574C" w:rsidRDefault="002A21AE">
            <w:pPr>
              <w:pStyle w:val="NotesText"/>
              <w:rPr>
                <w:rFonts w:cs="Arial"/>
                <w:szCs w:val="18"/>
              </w:rPr>
            </w:pPr>
          </w:p>
          <w:p w:rsidR="002A21AE" w:rsidRDefault="002A21AE">
            <w:pPr>
              <w:pStyle w:val="NotesText"/>
            </w:pPr>
            <w:r w:rsidRPr="008D574C">
              <w:rPr>
                <w:rFonts w:cs="Arial"/>
                <w:vanish/>
                <w:szCs w:val="18"/>
              </w:rPr>
              <w:t>BR_36.05</w:t>
            </w:r>
            <w:r w:rsidR="00E274BF">
              <w:rPr>
                <w:rFonts w:cs="Arial"/>
                <w:vanish/>
                <w:szCs w:val="18"/>
              </w:rPr>
              <w:t>,</w:t>
            </w:r>
            <w:r w:rsidRPr="008D574C">
              <w:rPr>
                <w:rFonts w:cs="Arial"/>
                <w:vanish/>
                <w:szCs w:val="18"/>
              </w:rPr>
              <w:t xml:space="preserve"> BR_36.06</w:t>
            </w:r>
            <w:r w:rsidRPr="00E274BF">
              <w:rPr>
                <w:rFonts w:cs="Arial"/>
                <w:vanish/>
                <w:szCs w:val="18"/>
              </w:rPr>
              <w:t xml:space="preserve"> </w:t>
            </w:r>
            <w:r w:rsidRPr="008D574C">
              <w:rPr>
                <w:szCs w:val="18"/>
              </w:rPr>
              <w:t>When</w:t>
            </w:r>
            <w:r>
              <w:t xml:space="preserve"> VBECS displays the </w:t>
            </w:r>
            <w:r>
              <w:rPr>
                <w:rFonts w:cs="Arial"/>
                <w:snapToGrid w:val="0"/>
                <w:color w:val="000000"/>
              </w:rPr>
              <w:t>Patient Information Toolbar, it</w:t>
            </w:r>
            <w:r>
              <w:t xml:space="preserve"> calculates the overall compatibility percentage of units to be screened to find compatible units.</w:t>
            </w:r>
          </w:p>
          <w:p w:rsidR="007109BA" w:rsidRDefault="007109BA">
            <w:pPr>
              <w:pStyle w:val="NotesText"/>
            </w:pPr>
          </w:p>
          <w:p w:rsidR="007109BA" w:rsidRDefault="00115A2A">
            <w:pPr>
              <w:pStyle w:val="NotesText"/>
            </w:pPr>
            <w:r w:rsidRPr="00115A2A">
              <w:rPr>
                <w:vanish/>
              </w:rPr>
              <w:t>DR 4503</w:t>
            </w:r>
            <w:r>
              <w:rPr>
                <w:vanish/>
              </w:rPr>
              <w:t xml:space="preserve"> </w:t>
            </w:r>
            <w:r w:rsidR="007109BA">
              <w:t>The compatibility percentage displayed is based on the following calculation:</w:t>
            </w:r>
          </w:p>
          <w:p w:rsidR="007109BA" w:rsidRDefault="007109BA">
            <w:pPr>
              <w:pStyle w:val="NotesText"/>
            </w:pPr>
          </w:p>
          <w:p w:rsidR="007109BA" w:rsidRDefault="007109BA">
            <w:pPr>
              <w:pStyle w:val="NotesText"/>
            </w:pPr>
            <w:r>
              <w:t>Type Specific ABO % x Antigen compatibility % as defined in Antibodies equals % compatible.</w:t>
            </w:r>
          </w:p>
          <w:p w:rsidR="007109BA" w:rsidRDefault="007109BA">
            <w:pPr>
              <w:pStyle w:val="NotesText"/>
            </w:pPr>
          </w:p>
          <w:p w:rsidR="007109BA" w:rsidRDefault="007109BA">
            <w:pPr>
              <w:pStyle w:val="NotesText"/>
            </w:pPr>
            <w:r>
              <w:t>For example, if a patient is A Positive and has both Anti-E (</w:t>
            </w:r>
            <w:r w:rsidR="00C242AA">
              <w:t>compatibility</w:t>
            </w:r>
            <w:r>
              <w:t xml:space="preserve"> percentage = 75%) and Anti-K (compatibility percentage = 91%) antigen negative requirements, the percentage of the population considered compatible for this patient would be .45 x .75 x .91 = .30 (rounded).</w:t>
            </w:r>
          </w:p>
          <w:p w:rsidR="007109BA" w:rsidRDefault="007109BA" w:rsidP="007109BA">
            <w:pPr>
              <w:pStyle w:val="NotesText"/>
            </w:pPr>
            <w:r>
              <w:t>Rh type of the patient is not used in the calculation when the patient does not have an Anti-D as Rh Pos or Rh Neg units may be screened.</w:t>
            </w:r>
          </w:p>
          <w:p w:rsidR="007109BA" w:rsidRDefault="007109BA" w:rsidP="007109BA">
            <w:pPr>
              <w:pStyle w:val="NotesText"/>
            </w:pPr>
          </w:p>
          <w:p w:rsidR="007109BA" w:rsidRDefault="007109BA" w:rsidP="007556BD">
            <w:pPr>
              <w:pStyle w:val="NotesText"/>
            </w:pPr>
            <w:r>
              <w:t>The blood type percentages in VBECS are as follows and are general percentages for the American population: A is 45%, B</w:t>
            </w:r>
            <w:r w:rsidR="007556BD">
              <w:t xml:space="preserve"> is 15%, AB is 6% and O is 45%.</w:t>
            </w:r>
          </w:p>
          <w:p w:rsidR="007109BA" w:rsidRDefault="007109BA">
            <w:pPr>
              <w:pStyle w:val="NotesText"/>
            </w:pPr>
          </w:p>
        </w:tc>
      </w:tr>
      <w:tr w:rsidR="002A21AE">
        <w:tblPrEx>
          <w:tblCellMar>
            <w:top w:w="0" w:type="dxa"/>
            <w:bottom w:w="0" w:type="dxa"/>
          </w:tblCellMar>
        </w:tblPrEx>
        <w:tc>
          <w:tcPr>
            <w:tcW w:w="3240" w:type="dxa"/>
          </w:tcPr>
          <w:p w:rsidR="002A21AE" w:rsidRDefault="002A21AE">
            <w:pPr>
              <w:pStyle w:val="TableTextNumbers"/>
            </w:pPr>
            <w:r>
              <w:lastRenderedPageBreak/>
              <w:t>Select another patient and return to Step 2, if desired.</w:t>
            </w:r>
          </w:p>
        </w:tc>
        <w:tc>
          <w:tcPr>
            <w:tcW w:w="6120" w:type="dxa"/>
          </w:tcPr>
          <w:p w:rsidR="002A21AE" w:rsidRDefault="002A21AE">
            <w:pPr>
              <w:pStyle w:val="TableText"/>
            </w:pPr>
          </w:p>
        </w:tc>
      </w:tr>
      <w:tr w:rsidR="002A21AE">
        <w:tblPrEx>
          <w:tblCellMar>
            <w:top w:w="0" w:type="dxa"/>
            <w:bottom w:w="0" w:type="dxa"/>
          </w:tblCellMar>
        </w:tblPrEx>
        <w:tc>
          <w:tcPr>
            <w:tcW w:w="3240" w:type="dxa"/>
          </w:tcPr>
          <w:p w:rsidR="002A21AE" w:rsidRDefault="002A21AE">
            <w:pPr>
              <w:pStyle w:val="TableTextNumbers"/>
            </w:pPr>
            <w:r>
              <w:t xml:space="preserve">Click </w:t>
            </w:r>
            <w:r>
              <w:rPr>
                <w:b/>
              </w:rPr>
              <w:t>OK</w:t>
            </w:r>
            <w:r>
              <w:t xml:space="preserve"> to exit.</w:t>
            </w:r>
            <w:r w:rsidRPr="00B93B42">
              <w:rPr>
                <w:rStyle w:val="StyleTableTextNumbersWhite1Char"/>
              </w:rPr>
              <w:t xml:space="preserve"> </w:t>
            </w:r>
            <w:r w:rsidR="00816D1E" w:rsidRPr="00200B6D">
              <w:rPr>
                <w:rFonts w:cs="Arial"/>
                <w:vanish/>
                <w:szCs w:val="18"/>
              </w:rPr>
              <w:fldChar w:fldCharType="begin"/>
            </w:r>
            <w:r w:rsidR="00816D1E" w:rsidRPr="00200B6D">
              <w:rPr>
                <w:rFonts w:cs="Arial"/>
                <w:vanish/>
                <w:szCs w:val="18"/>
              </w:rPr>
              <w:instrText xml:space="preserve"> LISTNUM \l 1 \s 0 </w:instrText>
            </w:r>
            <w:r w:rsidR="00816D1E" w:rsidRPr="00200B6D">
              <w:rPr>
                <w:rFonts w:cs="Arial"/>
                <w:vanish/>
                <w:szCs w:val="18"/>
              </w:rPr>
              <w:fldChar w:fldCharType="end"/>
            </w:r>
          </w:p>
        </w:tc>
        <w:tc>
          <w:tcPr>
            <w:tcW w:w="6120" w:type="dxa"/>
          </w:tcPr>
          <w:p w:rsidR="002A21AE" w:rsidRDefault="002A21AE">
            <w:pPr>
              <w:pStyle w:val="TableText"/>
            </w:pPr>
          </w:p>
        </w:tc>
      </w:tr>
      <w:bookmarkEnd w:id="155"/>
    </w:tbl>
    <w:p w:rsidR="003E1A45" w:rsidRDefault="003E1A45">
      <w:pPr>
        <w:pStyle w:val="Heading3"/>
      </w:pPr>
    </w:p>
    <w:p w:rsidR="002A21AE" w:rsidRDefault="003E1A45">
      <w:pPr>
        <w:pStyle w:val="Heading3"/>
      </w:pPr>
      <w:r>
        <w:br w:type="page"/>
      </w:r>
      <w:bookmarkStart w:id="156" w:name="_Toc459900075"/>
      <w:r w:rsidR="002A21AE">
        <w:lastRenderedPageBreak/>
        <w:t>View Recent Orders, Recent Transfusions/Issued Units, and Transfusion Reaction History</w:t>
      </w:r>
      <w:bookmarkEnd w:id="156"/>
    </w:p>
    <w:p w:rsidR="002A21AE" w:rsidRDefault="002A21AE" w:rsidP="00FA7E65">
      <w:pPr>
        <w:pStyle w:val="BodyText"/>
      </w:pPr>
      <w:r>
        <w:t>The user views portions of a patient’s data previously recorded in VBECS in three formats:</w:t>
      </w:r>
      <w:r w:rsidR="00573228">
        <w:t xml:space="preserve"> recent orders, recent transfusions/issued units, and transfusion reaction history.</w:t>
      </w:r>
    </w:p>
    <w:p w:rsidR="002A21AE" w:rsidRDefault="002A21AE">
      <w:pPr>
        <w:pStyle w:val="Heading4"/>
      </w:pPr>
      <w:r>
        <w:t>Assumptions</w:t>
      </w:r>
    </w:p>
    <w:p w:rsidR="002A21AE" w:rsidRDefault="002A21AE" w:rsidP="00C00476">
      <w:pPr>
        <w:pStyle w:val="ListBullet"/>
        <w:rPr>
          <w:b/>
        </w:rPr>
      </w:pPr>
      <w:r>
        <w:t>A VBECS record must be established for a patient in this database in at least one division, if multidivisional.</w:t>
      </w:r>
    </w:p>
    <w:p w:rsidR="002A21AE" w:rsidRDefault="002A21AE">
      <w:pPr>
        <w:pStyle w:val="Heading4"/>
      </w:pPr>
      <w:r>
        <w:t xml:space="preserve">Outcome </w:t>
      </w:r>
    </w:p>
    <w:p w:rsidR="002A21AE" w:rsidRDefault="002A21AE" w:rsidP="00C00476">
      <w:pPr>
        <w:pStyle w:val="ListBullet"/>
      </w:pPr>
      <w:r>
        <w:t xml:space="preserve">The user </w:t>
      </w:r>
      <w:r w:rsidRPr="00C00476">
        <w:t>views</w:t>
      </w:r>
      <w:r>
        <w:t>:</w:t>
      </w:r>
    </w:p>
    <w:p w:rsidR="002A21AE" w:rsidRDefault="002A21AE" w:rsidP="00716ED8">
      <w:pPr>
        <w:pStyle w:val="ListBullet2"/>
      </w:pPr>
      <w:r>
        <w:t>A patient’s active order data (recent orders).</w:t>
      </w:r>
    </w:p>
    <w:p w:rsidR="002A21AE" w:rsidRDefault="002A21AE" w:rsidP="00716ED8">
      <w:pPr>
        <w:pStyle w:val="ListBullet2"/>
      </w:pPr>
      <w:r>
        <w:t>A patient’s transfusions and currently issued units (recent transfusion history).</w:t>
      </w:r>
    </w:p>
    <w:p w:rsidR="002A21AE" w:rsidRDefault="002A21AE" w:rsidP="00716ED8">
      <w:pPr>
        <w:pStyle w:val="ListBullet2"/>
      </w:pPr>
      <w:r>
        <w:t>A snapshot of the patient’s VBECS clinical record (transfusion reaction history).</w:t>
      </w:r>
    </w:p>
    <w:p w:rsidR="002A21AE" w:rsidRDefault="002A21AE">
      <w:pPr>
        <w:pStyle w:val="Heading4"/>
      </w:pPr>
      <w:r>
        <w:t>Limitations and Restrictions</w:t>
      </w:r>
    </w:p>
    <w:p w:rsidR="002A21AE" w:rsidRDefault="001536FA" w:rsidP="00C00476">
      <w:pPr>
        <w:pStyle w:val="ListBullet"/>
      </w:pPr>
      <w:r>
        <w:t>None</w:t>
      </w:r>
    </w:p>
    <w:p w:rsidR="002A21AE" w:rsidRDefault="002A21AE">
      <w:pPr>
        <w:pStyle w:val="Heading4"/>
      </w:pPr>
      <w:r>
        <w:t>Additional Information</w:t>
      </w:r>
    </w:p>
    <w:p w:rsidR="002A21AE" w:rsidRDefault="002A21AE" w:rsidP="00C00476">
      <w:pPr>
        <w:pStyle w:val="ListBullet"/>
        <w:rPr>
          <w:b/>
        </w:rPr>
      </w:pPr>
      <w:r w:rsidRPr="00C00476">
        <w:t>None</w:t>
      </w:r>
    </w:p>
    <w:p w:rsidR="002A21AE" w:rsidRDefault="002A21AE">
      <w:pPr>
        <w:pStyle w:val="Heading4"/>
        <w:rPr>
          <w:b w:val="0"/>
        </w:rPr>
      </w:pPr>
      <w:r>
        <w:t>User Roles with Access to This Option</w:t>
      </w:r>
      <w:r>
        <w:rPr>
          <w:b w:val="0"/>
        </w:rPr>
        <w:t xml:space="preserve"> </w:t>
      </w:r>
    </w:p>
    <w:p w:rsidR="002A21AE" w:rsidRDefault="00237C52">
      <w:pPr>
        <w:pStyle w:val="Roles"/>
      </w:pPr>
      <w:r>
        <w:t>All users</w:t>
      </w:r>
    </w:p>
    <w:p w:rsidR="002A21AE" w:rsidRDefault="00634BFC">
      <w:pPr>
        <w:pStyle w:val="Heading3"/>
      </w:pPr>
      <w:bookmarkStart w:id="157" w:name="_Patient_Information_Toolbar:_Recent"/>
      <w:bookmarkStart w:id="158" w:name="_Toc459900076"/>
      <w:bookmarkEnd w:id="157"/>
      <w:r>
        <w:rPr>
          <w:noProof/>
        </w:rPr>
        <w:drawing>
          <wp:inline distT="0" distB="0" distL="0" distR="0">
            <wp:extent cx="152400" cy="152400"/>
            <wp:effectExtent l="0" t="0" r="0" b="0"/>
            <wp:docPr id="98" name="Picture 98" descr="small_recent_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mall_recent_order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A21AE">
        <w:t xml:space="preserve"> Patient Information Toolbar: Recent Orders</w:t>
      </w:r>
      <w:bookmarkEnd w:id="158"/>
      <w:r w:rsidR="002A21AE">
        <w:rPr>
          <w:rFonts w:ascii="Times New Roman" w:hAnsi="Times New Roman" w:cs="Times New Roman"/>
          <w:b w:val="0"/>
          <w:vanish/>
          <w:sz w:val="22"/>
        </w:rPr>
        <w:fldChar w:fldCharType="begin"/>
      </w:r>
      <w:r w:rsidR="002A21AE">
        <w:rPr>
          <w:rFonts w:ascii="Times New Roman" w:hAnsi="Times New Roman" w:cs="Times New Roman"/>
          <w:b w:val="0"/>
          <w:vanish/>
          <w:sz w:val="22"/>
        </w:rPr>
        <w:instrText xml:space="preserve"> XE </w:instrText>
      </w:r>
      <w:r w:rsidR="00FA7E65">
        <w:rPr>
          <w:rFonts w:ascii="Times New Roman" w:hAnsi="Times New Roman" w:cs="Times New Roman"/>
          <w:b w:val="0"/>
          <w:vanish/>
          <w:sz w:val="22"/>
        </w:rPr>
        <w:instrText>“</w:instrText>
      </w:r>
      <w:r w:rsidR="002A21AE">
        <w:rPr>
          <w:rFonts w:ascii="Times New Roman" w:hAnsi="Times New Roman" w:cs="Times New Roman"/>
          <w:b w:val="0"/>
          <w:vanish/>
          <w:sz w:val="22"/>
        </w:rPr>
        <w:instrText>Patient Information Toolbar\: Recent Orders</w:instrText>
      </w:r>
      <w:r w:rsidR="00FA7E65">
        <w:rPr>
          <w:rFonts w:ascii="Times New Roman" w:hAnsi="Times New Roman" w:cs="Times New Roman"/>
          <w:b w:val="0"/>
          <w:vanish/>
          <w:sz w:val="22"/>
        </w:rPr>
        <w:instrText>”</w:instrText>
      </w:r>
      <w:r w:rsidR="002A21AE">
        <w:rPr>
          <w:rFonts w:ascii="Times New Roman" w:hAnsi="Times New Roman" w:cs="Times New Roman"/>
          <w:b w:val="0"/>
          <w:vanish/>
          <w:sz w:val="22"/>
        </w:rPr>
        <w:instrText xml:space="preserve"> </w:instrText>
      </w:r>
      <w:r w:rsidR="002A21AE">
        <w:rPr>
          <w:rFonts w:ascii="Times New Roman" w:hAnsi="Times New Roman" w:cs="Times New Roman"/>
          <w:b w:val="0"/>
          <w:vanish/>
          <w:sz w:val="22"/>
        </w:rPr>
        <w:fldChar w:fldCharType="end"/>
      </w:r>
      <w:r w:rsidR="002A21AE">
        <w:rPr>
          <w:rFonts w:ascii="Times New Roman" w:hAnsi="Times New Roman" w:cs="Times New Roman"/>
          <w:b w:val="0"/>
          <w:vanish/>
          <w:sz w:val="22"/>
        </w:rPr>
        <w:t xml:space="preserve"> UC_65</w:t>
      </w:r>
    </w:p>
    <w:p w:rsidR="002A21AE" w:rsidRDefault="002A21AE" w:rsidP="00FA7E65">
      <w:pPr>
        <w:pStyle w:val="BodyText"/>
      </w:pPr>
      <w:r>
        <w:t xml:space="preserve">The user views current (pending and active) order data (including reflex tests), which include clinical data from all divisions within a multidivisional database.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tblHeader/>
        </w:trPr>
        <w:tc>
          <w:tcPr>
            <w:tcW w:w="3240" w:type="dxa"/>
            <w:shd w:val="clear" w:color="auto" w:fill="B3B3B3"/>
          </w:tcPr>
          <w:p w:rsidR="002A21AE" w:rsidRDefault="002A21AE">
            <w:pPr>
              <w:pStyle w:val="TableText"/>
              <w:rPr>
                <w:b/>
              </w:rPr>
            </w:pPr>
            <w:r>
              <w:rPr>
                <w:b/>
              </w:rPr>
              <w:t>User Action</w:t>
            </w:r>
          </w:p>
        </w:tc>
        <w:tc>
          <w:tcPr>
            <w:tcW w:w="6120" w:type="dxa"/>
            <w:shd w:val="clear" w:color="auto" w:fill="B3B3B3"/>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pPr>
              <w:pStyle w:val="TableTextNumbers"/>
            </w:pPr>
            <w:r>
              <w:t xml:space="preserve">In the Patient Information Toolbar, click </w:t>
            </w:r>
            <w:r w:rsidR="00634BFC">
              <w:rPr>
                <w:noProof/>
              </w:rPr>
              <w:drawing>
                <wp:inline distT="0" distB="0" distL="0" distR="0">
                  <wp:extent cx="152400" cy="152400"/>
                  <wp:effectExtent l="0" t="0" r="0" b="0"/>
                  <wp:docPr id="99" name="Picture 99" descr="small_recent_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mall_recent_order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to view the patient’s recent orders. </w:t>
            </w:r>
          </w:p>
        </w:tc>
        <w:tc>
          <w:tcPr>
            <w:tcW w:w="6120" w:type="dxa"/>
          </w:tcPr>
          <w:p w:rsidR="002A21AE" w:rsidRDefault="002A21AE">
            <w:pPr>
              <w:pStyle w:val="TableTextBullet"/>
            </w:pPr>
            <w:r>
              <w:t>Allows the user to click an icon to view a patient’s recent orders.</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2291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78" name="Line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7"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yIGFQIAAC0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Obz&#10;IgY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rPr>
                <w:snapToGrid w:val="0"/>
              </w:rPr>
            </w:pPr>
            <w:r w:rsidRPr="00E274BF">
              <w:rPr>
                <w:rFonts w:cs="Arial"/>
                <w:vanish/>
                <w:szCs w:val="18"/>
              </w:rPr>
              <w:t>BR_65.08</w:t>
            </w:r>
            <w:r w:rsidRPr="009660C3">
              <w:rPr>
                <w:vanish/>
                <w:szCs w:val="18"/>
              </w:rPr>
              <w:t xml:space="preserve"> </w:t>
            </w:r>
            <w:r>
              <w:t xml:space="preserve">When the user selects </w:t>
            </w:r>
            <w:r w:rsidR="00634BFC">
              <w:rPr>
                <w:noProof/>
              </w:rPr>
              <w:drawing>
                <wp:inline distT="0" distB="0" distL="0" distR="0">
                  <wp:extent cx="152400" cy="152400"/>
                  <wp:effectExtent l="0" t="0" r="0" b="0"/>
                  <wp:docPr id="100" name="Picture 100" descr="small_recent_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mall_recent_order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snapToGrid w:val="0"/>
              </w:rPr>
              <w:t>, VBECS displays all orders associated with the selected patient, including open orders and orders placed and processed within the last 14 days.</w:t>
            </w:r>
          </w:p>
          <w:p w:rsidR="00173A2B" w:rsidRDefault="00173A2B">
            <w:pPr>
              <w:pStyle w:val="NotesText"/>
              <w:rPr>
                <w:snapToGrid w:val="0"/>
              </w:rPr>
            </w:pPr>
          </w:p>
          <w:p w:rsidR="001970AB" w:rsidRDefault="00D806A1" w:rsidP="00173A2B">
            <w:pPr>
              <w:pStyle w:val="NotesText"/>
            </w:pPr>
            <w:r>
              <w:t>Diagnostic Test</w:t>
            </w:r>
            <w:r w:rsidR="00173A2B">
              <w:t xml:space="preserve"> orders sort and display by the date the order was placed in CPRS. Component orders sort and display by the date the order was accepted in VBECS.</w:t>
            </w:r>
          </w:p>
          <w:p w:rsidR="001970AB" w:rsidRDefault="001970AB" w:rsidP="00173A2B">
            <w:pPr>
              <w:pStyle w:val="NotesText"/>
            </w:pPr>
          </w:p>
          <w:p w:rsidR="00173A2B" w:rsidRPr="00522BC8" w:rsidRDefault="001970AB" w:rsidP="001970AB">
            <w:pPr>
              <w:pStyle w:val="NotesText"/>
              <w:rPr>
                <w:vanish/>
              </w:rPr>
            </w:pPr>
            <w:r>
              <w:t xml:space="preserve">Orders with a status of Canceled, Completed, Expired or Filled are not displayed in this view. See Order History Report. </w:t>
            </w:r>
            <w:r w:rsidRPr="004F0095">
              <w:rPr>
                <w:vanish/>
              </w:rPr>
              <w:t>DR 2218</w:t>
            </w:r>
            <w:r w:rsidR="00522BC8">
              <w:rPr>
                <w:vanish/>
              </w:rPr>
              <w:t xml:space="preserve"> DR 3727</w:t>
            </w:r>
          </w:p>
        </w:tc>
      </w:tr>
      <w:tr w:rsidR="002A21AE">
        <w:tblPrEx>
          <w:tblCellMar>
            <w:top w:w="0" w:type="dxa"/>
            <w:bottom w:w="0" w:type="dxa"/>
          </w:tblCellMar>
        </w:tblPrEx>
        <w:tc>
          <w:tcPr>
            <w:tcW w:w="3240" w:type="dxa"/>
          </w:tcPr>
          <w:p w:rsidR="002A21AE" w:rsidRDefault="002A21AE">
            <w:pPr>
              <w:pStyle w:val="TableTextNumbers"/>
            </w:pPr>
            <w:r>
              <w:t xml:space="preserve">View the data and click </w:t>
            </w:r>
            <w:r>
              <w:rPr>
                <w:b/>
              </w:rPr>
              <w:t>Close</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rsidR="002A21AE" w:rsidRDefault="002A21AE">
            <w:pPr>
              <w:pStyle w:val="TableText"/>
            </w:pPr>
          </w:p>
        </w:tc>
      </w:tr>
    </w:tbl>
    <w:p w:rsidR="003E1A45" w:rsidRDefault="003E1A45">
      <w:pPr>
        <w:pStyle w:val="Heading3"/>
      </w:pPr>
      <w:bookmarkStart w:id="159" w:name="_Patient_Information_Toolbar:_Recent_1"/>
      <w:bookmarkEnd w:id="159"/>
    </w:p>
    <w:p w:rsidR="002A21AE" w:rsidRDefault="003E1A45">
      <w:pPr>
        <w:pStyle w:val="Heading3"/>
      </w:pPr>
      <w:r>
        <w:br w:type="page"/>
      </w:r>
      <w:bookmarkStart w:id="160" w:name="_Toc459900077"/>
      <w:r w:rsidR="00634BFC">
        <w:rPr>
          <w:noProof/>
        </w:rPr>
        <w:lastRenderedPageBreak/>
        <w:drawing>
          <wp:inline distT="0" distB="0" distL="0" distR="0">
            <wp:extent cx="152400" cy="152400"/>
            <wp:effectExtent l="0" t="0" r="0" b="0"/>
            <wp:docPr id="101" name="Picture 101" descr="small_transfusion_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mall_transfusion_histor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A21AE">
        <w:t xml:space="preserve"> Patient Information Toolbar: Recent Transfusions/Issued Units</w:t>
      </w:r>
      <w:bookmarkEnd w:id="160"/>
      <w:r w:rsidR="002A21AE">
        <w:rPr>
          <w:rFonts w:ascii="Times New Roman" w:hAnsi="Times New Roman" w:cs="Times New Roman"/>
          <w:b w:val="0"/>
          <w:vanish/>
          <w:sz w:val="22"/>
        </w:rPr>
        <w:fldChar w:fldCharType="begin"/>
      </w:r>
      <w:r w:rsidR="002A21AE">
        <w:rPr>
          <w:rFonts w:ascii="Times New Roman" w:hAnsi="Times New Roman" w:cs="Times New Roman"/>
          <w:b w:val="0"/>
          <w:vanish/>
          <w:sz w:val="22"/>
        </w:rPr>
        <w:instrText xml:space="preserve"> XE </w:instrText>
      </w:r>
      <w:r w:rsidR="00FA7E65">
        <w:rPr>
          <w:rFonts w:ascii="Times New Roman" w:hAnsi="Times New Roman" w:cs="Times New Roman"/>
          <w:b w:val="0"/>
          <w:vanish/>
          <w:sz w:val="22"/>
        </w:rPr>
        <w:instrText>“</w:instrText>
      </w:r>
      <w:r w:rsidR="002A21AE">
        <w:rPr>
          <w:rFonts w:ascii="Times New Roman" w:hAnsi="Times New Roman" w:cs="Times New Roman"/>
          <w:b w:val="0"/>
          <w:vanish/>
          <w:sz w:val="22"/>
        </w:rPr>
        <w:instrText>Patient Information Toolbar\: Recent Transfusions/Issues Units</w:instrText>
      </w:r>
      <w:r w:rsidR="00FA7E65">
        <w:rPr>
          <w:rFonts w:ascii="Times New Roman" w:hAnsi="Times New Roman" w:cs="Times New Roman"/>
          <w:b w:val="0"/>
          <w:vanish/>
          <w:sz w:val="22"/>
        </w:rPr>
        <w:instrText>”</w:instrText>
      </w:r>
      <w:r w:rsidR="002A21AE">
        <w:rPr>
          <w:rFonts w:ascii="Times New Roman" w:hAnsi="Times New Roman" w:cs="Times New Roman"/>
          <w:b w:val="0"/>
          <w:vanish/>
          <w:sz w:val="22"/>
        </w:rPr>
        <w:instrText xml:space="preserve"> </w:instrText>
      </w:r>
      <w:r w:rsidR="002A21AE">
        <w:rPr>
          <w:rFonts w:ascii="Times New Roman" w:hAnsi="Times New Roman" w:cs="Times New Roman"/>
          <w:b w:val="0"/>
          <w:vanish/>
          <w:sz w:val="22"/>
        </w:rPr>
        <w:fldChar w:fldCharType="end"/>
      </w:r>
      <w:r w:rsidR="002A21AE">
        <w:rPr>
          <w:rFonts w:ascii="Times New Roman" w:hAnsi="Times New Roman" w:cs="Times New Roman"/>
          <w:b w:val="0"/>
          <w:vanish/>
          <w:sz w:val="22"/>
        </w:rPr>
        <w:t xml:space="preserve"> UC_65</w:t>
      </w:r>
    </w:p>
    <w:p w:rsidR="002A21AE" w:rsidRDefault="002A21AE" w:rsidP="00FA7E65">
      <w:pPr>
        <w:pStyle w:val="BodyText"/>
      </w:pPr>
      <w:r>
        <w:t xml:space="preserve">The user views transfused and currently issued units for a patient.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tblHeader/>
        </w:trPr>
        <w:tc>
          <w:tcPr>
            <w:tcW w:w="3240" w:type="dxa"/>
            <w:shd w:val="clear" w:color="auto" w:fill="B3B3B3"/>
          </w:tcPr>
          <w:p w:rsidR="002A21AE" w:rsidRDefault="002A21AE">
            <w:pPr>
              <w:pStyle w:val="TableText"/>
              <w:rPr>
                <w:b/>
              </w:rPr>
            </w:pPr>
            <w:r>
              <w:rPr>
                <w:b/>
              </w:rPr>
              <w:t>User Action</w:t>
            </w:r>
          </w:p>
        </w:tc>
        <w:tc>
          <w:tcPr>
            <w:tcW w:w="6120" w:type="dxa"/>
            <w:shd w:val="clear" w:color="auto" w:fill="B3B3B3"/>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pPr>
              <w:pStyle w:val="TableTextNumbers"/>
            </w:pPr>
            <w:r>
              <w:t>In the Patient Information Toolbar,</w:t>
            </w:r>
            <w:r w:rsidR="00716ED8">
              <w:t xml:space="preserve"> click</w:t>
            </w:r>
            <w:r>
              <w:t xml:space="preserve"> </w:t>
            </w:r>
            <w:r w:rsidR="00634BFC">
              <w:rPr>
                <w:noProof/>
              </w:rPr>
              <w:drawing>
                <wp:inline distT="0" distB="0" distL="0" distR="0">
                  <wp:extent cx="152400" cy="152400"/>
                  <wp:effectExtent l="0" t="0" r="0" b="0"/>
                  <wp:docPr id="102" name="Picture 102" descr="small_transfusion_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mall_transfusion_histor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to view the recent transfusion history. </w:t>
            </w:r>
          </w:p>
        </w:tc>
        <w:tc>
          <w:tcPr>
            <w:tcW w:w="6120" w:type="dxa"/>
          </w:tcPr>
          <w:p w:rsidR="002A21AE" w:rsidRDefault="002A21AE">
            <w:pPr>
              <w:pStyle w:val="TableTextBullet"/>
            </w:pPr>
            <w:r>
              <w:t>Allows the user to click an icon to view a patient’s</w:t>
            </w:r>
            <w:r>
              <w:rPr>
                <w:snapToGrid w:val="0"/>
              </w:rPr>
              <w:t xml:space="preserve"> recent transfusion history.</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2393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77" name="Line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8"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r7OFQIAAC0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FKC&#10;vs4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A8302F" w:rsidRPr="00522BC8" w:rsidRDefault="002A21AE" w:rsidP="000A3D20">
            <w:pPr>
              <w:pStyle w:val="NotesText"/>
              <w:rPr>
                <w:szCs w:val="18"/>
              </w:rPr>
            </w:pPr>
            <w:r w:rsidRPr="00E274BF">
              <w:rPr>
                <w:rFonts w:cs="Arial"/>
                <w:vanish/>
                <w:szCs w:val="18"/>
              </w:rPr>
              <w:t>BR_65.07</w:t>
            </w:r>
            <w:r w:rsidR="00E274BF" w:rsidRPr="00E274BF">
              <w:rPr>
                <w:rFonts w:cs="Arial"/>
                <w:vanish/>
                <w:szCs w:val="18"/>
              </w:rPr>
              <w:t>,</w:t>
            </w:r>
            <w:r w:rsidRPr="00E274BF">
              <w:rPr>
                <w:rFonts w:cs="Arial"/>
                <w:vanish/>
                <w:szCs w:val="18"/>
              </w:rPr>
              <w:t xml:space="preserve"> BR_65.09</w:t>
            </w:r>
            <w:r w:rsidRPr="009660C3">
              <w:rPr>
                <w:vanish/>
                <w:szCs w:val="18"/>
              </w:rPr>
              <w:t xml:space="preserve"> </w:t>
            </w:r>
            <w:r>
              <w:t xml:space="preserve">When the user selects </w:t>
            </w:r>
            <w:r w:rsidR="00634BFC">
              <w:rPr>
                <w:noProof/>
              </w:rPr>
              <w:drawing>
                <wp:inline distT="0" distB="0" distL="0" distR="0">
                  <wp:extent cx="152400" cy="152400"/>
                  <wp:effectExtent l="0" t="0" r="0" b="0"/>
                  <wp:docPr id="103" name="Picture 103" descr="small_transfusion_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mall_transfusion_histor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sidRPr="00A8302F">
              <w:rPr>
                <w:rStyle w:val="CommentReference"/>
                <w:sz w:val="18"/>
                <w:szCs w:val="18"/>
              </w:rPr>
              <w:t>VBECS displays blood units issued and transfused within the last seven days in reverse chronological order</w:t>
            </w:r>
            <w:r w:rsidR="000A3D20">
              <w:rPr>
                <w:rStyle w:val="CommentReference"/>
                <w:sz w:val="18"/>
                <w:szCs w:val="18"/>
              </w:rPr>
              <w:t>. The date and time issued or the location issued to does not display.</w:t>
            </w:r>
            <w:r w:rsidR="00522BC8">
              <w:rPr>
                <w:rStyle w:val="CommentReference"/>
                <w:vanish/>
                <w:sz w:val="18"/>
                <w:szCs w:val="18"/>
              </w:rPr>
              <w:t>DR 3666</w:t>
            </w:r>
          </w:p>
        </w:tc>
      </w:tr>
      <w:tr w:rsidR="002A21AE">
        <w:tblPrEx>
          <w:tblCellMar>
            <w:top w:w="0" w:type="dxa"/>
            <w:bottom w:w="0" w:type="dxa"/>
          </w:tblCellMar>
        </w:tblPrEx>
        <w:tc>
          <w:tcPr>
            <w:tcW w:w="3240" w:type="dxa"/>
          </w:tcPr>
          <w:p w:rsidR="002A21AE" w:rsidRDefault="002A21AE">
            <w:pPr>
              <w:pStyle w:val="TableTextNumbers"/>
            </w:pPr>
            <w:r>
              <w:t xml:space="preserve">View the data and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rsidR="002A21AE" w:rsidRDefault="002A21AE">
            <w:pPr>
              <w:pStyle w:val="TableText"/>
            </w:pPr>
          </w:p>
        </w:tc>
      </w:tr>
    </w:tbl>
    <w:p w:rsidR="002A21AE" w:rsidRDefault="00634BFC">
      <w:pPr>
        <w:pStyle w:val="Heading3"/>
      </w:pPr>
      <w:bookmarkStart w:id="161" w:name="_Patient_Information_Toolbar:_Transf"/>
      <w:bookmarkStart w:id="162" w:name="_Toc459900078"/>
      <w:bookmarkEnd w:id="161"/>
      <w:r>
        <w:rPr>
          <w:noProof/>
        </w:rPr>
        <w:drawing>
          <wp:inline distT="0" distB="0" distL="0" distR="0">
            <wp:extent cx="152400" cy="152400"/>
            <wp:effectExtent l="0" t="0" r="0" b="0"/>
            <wp:docPr id="104" name="Picture 104" descr="small_transfusion_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mall_transfusion_reactio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A21AE">
        <w:t xml:space="preserve"> Patient Information Toolbar: Transfusion Reaction History</w:t>
      </w:r>
      <w:bookmarkEnd w:id="162"/>
      <w:r w:rsidR="002A21AE">
        <w:rPr>
          <w:rFonts w:ascii="Times New Roman" w:hAnsi="Times New Roman" w:cs="Times New Roman"/>
          <w:b w:val="0"/>
          <w:vanish/>
          <w:sz w:val="22"/>
        </w:rPr>
        <w:fldChar w:fldCharType="begin"/>
      </w:r>
      <w:r w:rsidR="002A21AE">
        <w:rPr>
          <w:rFonts w:ascii="Times New Roman" w:hAnsi="Times New Roman" w:cs="Times New Roman"/>
          <w:b w:val="0"/>
          <w:vanish/>
          <w:sz w:val="22"/>
        </w:rPr>
        <w:instrText xml:space="preserve"> XE </w:instrText>
      </w:r>
      <w:r w:rsidR="00FA7E65">
        <w:rPr>
          <w:rFonts w:ascii="Times New Roman" w:hAnsi="Times New Roman" w:cs="Times New Roman"/>
          <w:b w:val="0"/>
          <w:vanish/>
          <w:sz w:val="22"/>
        </w:rPr>
        <w:instrText>“</w:instrText>
      </w:r>
      <w:r w:rsidR="002A21AE">
        <w:rPr>
          <w:rFonts w:ascii="Times New Roman" w:hAnsi="Times New Roman" w:cs="Times New Roman"/>
          <w:b w:val="0"/>
          <w:vanish/>
          <w:sz w:val="22"/>
        </w:rPr>
        <w:instrText>Patient Information Toolbar\: Transfusion Reaction History</w:instrText>
      </w:r>
      <w:r w:rsidR="00FA7E65">
        <w:rPr>
          <w:rFonts w:ascii="Times New Roman" w:hAnsi="Times New Roman" w:cs="Times New Roman"/>
          <w:b w:val="0"/>
          <w:vanish/>
          <w:sz w:val="22"/>
        </w:rPr>
        <w:instrText>”</w:instrText>
      </w:r>
      <w:r w:rsidR="002A21AE">
        <w:rPr>
          <w:rFonts w:ascii="Times New Roman" w:hAnsi="Times New Roman" w:cs="Times New Roman"/>
          <w:b w:val="0"/>
          <w:vanish/>
          <w:sz w:val="22"/>
        </w:rPr>
        <w:instrText xml:space="preserve"> </w:instrText>
      </w:r>
      <w:r w:rsidR="002A21AE">
        <w:rPr>
          <w:rFonts w:ascii="Times New Roman" w:hAnsi="Times New Roman" w:cs="Times New Roman"/>
          <w:b w:val="0"/>
          <w:vanish/>
          <w:sz w:val="22"/>
        </w:rPr>
        <w:fldChar w:fldCharType="end"/>
      </w:r>
      <w:r w:rsidR="002A21AE">
        <w:rPr>
          <w:rFonts w:ascii="Times New Roman" w:hAnsi="Times New Roman" w:cs="Times New Roman"/>
          <w:b w:val="0"/>
          <w:vanish/>
          <w:sz w:val="22"/>
        </w:rPr>
        <w:t xml:space="preserve"> UC_65</w:t>
      </w:r>
    </w:p>
    <w:p w:rsidR="002A21AE" w:rsidRDefault="002A21AE" w:rsidP="00FA7E65">
      <w:pPr>
        <w:pStyle w:val="BodyText"/>
      </w:pPr>
      <w:r>
        <w:t>The user views a snapshot of the patient’s transfusion reaction record.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tblHeader/>
        </w:trPr>
        <w:tc>
          <w:tcPr>
            <w:tcW w:w="3240" w:type="dxa"/>
            <w:shd w:val="clear" w:color="auto" w:fill="B3B3B3"/>
          </w:tcPr>
          <w:p w:rsidR="002A21AE" w:rsidRDefault="002A21AE">
            <w:pPr>
              <w:pStyle w:val="TableText"/>
              <w:rPr>
                <w:b/>
              </w:rPr>
            </w:pPr>
            <w:r>
              <w:rPr>
                <w:b/>
              </w:rPr>
              <w:t>User Action</w:t>
            </w:r>
          </w:p>
        </w:tc>
        <w:tc>
          <w:tcPr>
            <w:tcW w:w="6120" w:type="dxa"/>
            <w:shd w:val="clear" w:color="auto" w:fill="B3B3B3"/>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pPr>
              <w:pStyle w:val="TableTextNumbers"/>
            </w:pPr>
            <w:r>
              <w:t xml:space="preserve">In the Patient Information Toolbar, click </w:t>
            </w:r>
            <w:r w:rsidR="00634BFC">
              <w:rPr>
                <w:noProof/>
              </w:rPr>
              <w:drawing>
                <wp:inline distT="0" distB="0" distL="0" distR="0">
                  <wp:extent cx="152400" cy="152400"/>
                  <wp:effectExtent l="0" t="0" r="0" b="0"/>
                  <wp:docPr id="105" name="Picture 105" descr="small_transfusion_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mall_transfusion_reactio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to view the transfusion reaction history. </w:t>
            </w:r>
          </w:p>
        </w:tc>
        <w:tc>
          <w:tcPr>
            <w:tcW w:w="6120" w:type="dxa"/>
          </w:tcPr>
          <w:p w:rsidR="002A21AE" w:rsidRDefault="002A21AE">
            <w:pPr>
              <w:pStyle w:val="TableTextBullet"/>
            </w:pPr>
            <w:r>
              <w:t>Allows the user to click an icon to view a patient’s t</w:t>
            </w:r>
            <w:r>
              <w:rPr>
                <w:snapToGrid w:val="0"/>
              </w:rPr>
              <w:t>ransfusion reaction history.</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2496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76" name="Line 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9"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ilIFg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CC&#10;dilIFgIAAC0EAAAOAAAAAAAAAAAAAAAAAC4CAABkcnMvZTJvRG9jLnhtbFBLAQItABQABgAIAAAA&#10;IQAXTzAS2wAAAAgBAAAPAAAAAAAAAAAAAAAAAHAEAABkcnMvZG93bnJldi54bWxQSwUGAAAAAAQA&#10;BADzAAAAeAU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sidRPr="00E274BF">
              <w:rPr>
                <w:rFonts w:cs="Arial"/>
                <w:vanish/>
                <w:szCs w:val="18"/>
              </w:rPr>
              <w:t>BR_65.03</w:t>
            </w:r>
            <w:r w:rsidR="00E274BF" w:rsidRPr="00E274BF">
              <w:rPr>
                <w:rFonts w:cs="Arial"/>
                <w:vanish/>
                <w:szCs w:val="18"/>
              </w:rPr>
              <w:t>,</w:t>
            </w:r>
            <w:r w:rsidRPr="00E274BF">
              <w:rPr>
                <w:rFonts w:cs="Arial"/>
                <w:vanish/>
                <w:szCs w:val="18"/>
              </w:rPr>
              <w:t xml:space="preserve"> BR_65.05</w:t>
            </w:r>
            <w:r w:rsidRPr="009660C3">
              <w:rPr>
                <w:vanish/>
                <w:szCs w:val="18"/>
              </w:rPr>
              <w:t xml:space="preserve"> </w:t>
            </w:r>
            <w:r>
              <w:t xml:space="preserve">When the user selects </w:t>
            </w:r>
            <w:r w:rsidR="00634BFC">
              <w:rPr>
                <w:noProof/>
              </w:rPr>
              <w:drawing>
                <wp:inline distT="0" distB="0" distL="0" distR="0">
                  <wp:extent cx="152400" cy="152400"/>
                  <wp:effectExtent l="0" t="0" r="0" b="0"/>
                  <wp:docPr id="106" name="Picture 106" descr="small_transfusion_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mall_transfusion_reactio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VBECS displays all transfusion reaction entries in the database.</w:t>
            </w:r>
          </w:p>
        </w:tc>
      </w:tr>
      <w:tr w:rsidR="002A21AE">
        <w:tblPrEx>
          <w:tblCellMar>
            <w:top w:w="0" w:type="dxa"/>
            <w:bottom w:w="0" w:type="dxa"/>
          </w:tblCellMar>
        </w:tblPrEx>
        <w:tc>
          <w:tcPr>
            <w:tcW w:w="3240" w:type="dxa"/>
          </w:tcPr>
          <w:p w:rsidR="002A21AE" w:rsidRDefault="002A21AE">
            <w:pPr>
              <w:pStyle w:val="TableTextNumbers"/>
            </w:pPr>
            <w:r>
              <w:t xml:space="preserve">View the data and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rsidR="002A21AE" w:rsidRDefault="002A21AE">
            <w:pPr>
              <w:pStyle w:val="TableText"/>
            </w:pPr>
          </w:p>
        </w:tc>
      </w:tr>
    </w:tbl>
    <w:p w:rsidR="00AF089A" w:rsidRDefault="00AF089A">
      <w:pPr>
        <w:pStyle w:val="Heading4"/>
      </w:pPr>
    </w:p>
    <w:p w:rsidR="002A21AE" w:rsidRDefault="00AF089A">
      <w:pPr>
        <w:pStyle w:val="Heading4"/>
      </w:pPr>
      <w:r>
        <w:br w:type="page"/>
      </w:r>
      <w:r w:rsidR="002A21AE">
        <w:lastRenderedPageBreak/>
        <w:t>Main Status Bar</w:t>
      </w:r>
      <w:r w:rsidR="002A21AE">
        <w:fldChar w:fldCharType="begin"/>
      </w:r>
      <w:r w:rsidR="002A21AE">
        <w:instrText xml:space="preserve"> XE </w:instrText>
      </w:r>
      <w:r w:rsidR="00FA7E65">
        <w:instrText>“</w:instrText>
      </w:r>
      <w:r w:rsidR="002A21AE">
        <w:instrText>Main Status Bar</w:instrText>
      </w:r>
      <w:r w:rsidR="00FA7E65">
        <w:instrText>”</w:instrText>
      </w:r>
      <w:r w:rsidR="002A21AE">
        <w:instrText xml:space="preserve"> </w:instrText>
      </w:r>
      <w:r w:rsidR="002A21AE">
        <w:fldChar w:fldCharType="end"/>
      </w:r>
    </w:p>
    <w:p w:rsidR="002A21AE" w:rsidRDefault="002A21AE" w:rsidP="00FA7E65">
      <w:pPr>
        <w:pStyle w:val="BodyText"/>
      </w:pPr>
      <w:r>
        <w:t>The following icons are displayed in the main status bar:</w:t>
      </w:r>
    </w:p>
    <w:p w:rsidR="002A21AE" w:rsidRDefault="00634BFC">
      <w:pPr>
        <w:pStyle w:val="BodyText"/>
        <w:ind w:left="360" w:hanging="360"/>
      </w:pPr>
      <w:r>
        <w:rPr>
          <w:noProof/>
        </w:rPr>
        <w:drawing>
          <wp:inline distT="0" distB="0" distL="0" distR="0">
            <wp:extent cx="152400" cy="152400"/>
            <wp:effectExtent l="0" t="0" r="0" b="0"/>
            <wp:docPr id="107" name="Picture 107" descr="small_order_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mall_order_alert"/>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A21AE">
        <w:tab/>
        <w:t xml:space="preserve">The Order Alert icon </w:t>
      </w:r>
      <w:r w:rsidR="00267432">
        <w:t>blinks</w:t>
      </w:r>
      <w:r w:rsidR="002A21AE">
        <w:t xml:space="preserve"> </w:t>
      </w:r>
      <w:r w:rsidR="00716FBE">
        <w:t xml:space="preserve">three times and remains </w:t>
      </w:r>
      <w:r w:rsidR="00267432">
        <w:t>visible</w:t>
      </w:r>
      <w:r w:rsidR="00716FBE">
        <w:t xml:space="preserve"> </w:t>
      </w:r>
      <w:r w:rsidR="002A21AE">
        <w:t xml:space="preserve">when orders are added to the system. Hold the mouse pointer over the icon to see order information. Click the associated button to open the Pending Order List. </w:t>
      </w:r>
      <w:r w:rsidR="00267432" w:rsidRPr="00267432">
        <w:rPr>
          <w:vanish/>
        </w:rPr>
        <w:t>DR 4963</w:t>
      </w:r>
    </w:p>
    <w:p w:rsidR="002A21AE" w:rsidRDefault="00634BFC">
      <w:pPr>
        <w:pStyle w:val="BodyText"/>
        <w:ind w:left="360" w:hanging="360"/>
      </w:pPr>
      <w:r>
        <w:rPr>
          <w:noProof/>
        </w:rPr>
        <w:drawing>
          <wp:inline distT="0" distB="0" distL="0" distR="0">
            <wp:extent cx="152400" cy="142875"/>
            <wp:effectExtent l="0" t="0" r="0" b="9525"/>
            <wp:docPr id="108" name="Picture 108" descr="small_patient_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mall_patient_alert"/>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002A21AE">
        <w:tab/>
        <w:t xml:space="preserve">The Patient Alert icon flashes </w:t>
      </w:r>
      <w:r w:rsidR="00716FBE">
        <w:t xml:space="preserve">three times and remains displayed </w:t>
      </w:r>
      <w:r w:rsidR="002A21AE">
        <w:t xml:space="preserve">when patient information is updated. Hold the mouse pointer over the icon to see what type of patient change occurred. Click the associated button to view updated patient information. </w:t>
      </w:r>
    </w:p>
    <w:p w:rsidR="002A21AE" w:rsidRDefault="00634BFC">
      <w:pPr>
        <w:pStyle w:val="BodyText"/>
        <w:ind w:left="360" w:hanging="360"/>
      </w:pPr>
      <w:r>
        <w:rPr>
          <w:noProof/>
        </w:rPr>
        <w:drawing>
          <wp:inline distT="0" distB="0" distL="0" distR="0">
            <wp:extent cx="152400" cy="152400"/>
            <wp:effectExtent l="0" t="0" r="0" b="0"/>
            <wp:docPr id="109" name="Picture 109" descr="small_vist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mall_vistalink"/>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A21AE">
        <w:tab/>
        <w:t xml:space="preserve">The VistALink icon indicates that the connection to </w:t>
      </w:r>
      <w:r w:rsidR="00CA0045" w:rsidRPr="00CA0045">
        <w:rPr>
          <w:bCs/>
        </w:rPr>
        <w:t>VistA</w:t>
      </w:r>
      <w:r w:rsidR="002A21AE">
        <w:t xml:space="preserve"> is active.</w:t>
      </w:r>
    </w:p>
    <w:p w:rsidR="002A21AE" w:rsidRDefault="00634BFC">
      <w:pPr>
        <w:pStyle w:val="BodyText"/>
        <w:ind w:left="360" w:hanging="360"/>
      </w:pPr>
      <w:r>
        <w:rPr>
          <w:noProof/>
        </w:rPr>
        <w:drawing>
          <wp:inline distT="0" distB="0" distL="0" distR="0">
            <wp:extent cx="152400" cy="152400"/>
            <wp:effectExtent l="0" t="0" r="0" b="0"/>
            <wp:docPr id="110" name="Picture 110" descr="small_vistalink_f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mall_vistalink_fail"/>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A21AE">
        <w:tab/>
        <w:t xml:space="preserve">The VistALink Failure icon indicates that the connection to </w:t>
      </w:r>
      <w:r w:rsidR="00CA0045" w:rsidRPr="00CA0045">
        <w:rPr>
          <w:bCs/>
        </w:rPr>
        <w:t>VistA</w:t>
      </w:r>
      <w:r w:rsidR="002A21AE">
        <w:t xml:space="preserve"> is severed.</w:t>
      </w:r>
    </w:p>
    <w:p w:rsidR="002A21AE" w:rsidRDefault="002A21AE">
      <w:pPr>
        <w:pStyle w:val="Heading4"/>
      </w:pPr>
      <w:r>
        <w:t>Throughout VBECS</w:t>
      </w:r>
      <w:r>
        <w:fldChar w:fldCharType="begin"/>
      </w:r>
      <w:r>
        <w:instrText xml:space="preserve"> XE </w:instrText>
      </w:r>
      <w:r w:rsidR="00FA7E65">
        <w:instrText>“</w:instrText>
      </w:r>
      <w:r>
        <w:instrText>Throughout VBECS</w:instrText>
      </w:r>
      <w:r w:rsidR="00FA7E65">
        <w:instrText>”</w:instrText>
      </w:r>
      <w:r>
        <w:instrText xml:space="preserve"> </w:instrText>
      </w:r>
      <w:r>
        <w:fldChar w:fldCharType="end"/>
      </w:r>
    </w:p>
    <w:p w:rsidR="002A21AE" w:rsidRDefault="00634BFC">
      <w:pPr>
        <w:pStyle w:val="BodyText"/>
        <w:ind w:left="360" w:hanging="360"/>
      </w:pPr>
      <w:r>
        <w:rPr>
          <w:noProof/>
        </w:rPr>
        <w:drawing>
          <wp:inline distT="0" distB="0" distL="0" distR="0">
            <wp:extent cx="152400" cy="152400"/>
            <wp:effectExtent l="0" t="0" r="0" b="0"/>
            <wp:docPr id="111" name="Picture 111" descr="small_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mall_delet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A21AE">
        <w:tab/>
        <w:t>The Delete/Invalidate icon appears on buttons that cause entries to be deleted or invalidated in the database.</w:t>
      </w:r>
    </w:p>
    <w:p w:rsidR="005A3214" w:rsidRDefault="005A3214" w:rsidP="000E3E6B">
      <w:pPr>
        <w:pStyle w:val="BodyText"/>
        <w:ind w:left="360" w:hangingChars="153" w:hanging="360"/>
      </w:pPr>
      <w:r w:rsidRPr="005742CF">
        <w:rPr>
          <w:rFonts w:ascii="Wingdings" w:hAnsi="Wingdings"/>
          <w:spacing w:val="-5"/>
          <w:sz w:val="24"/>
          <w:szCs w:val="24"/>
        </w:rPr>
        <w:t></w:t>
      </w:r>
      <w:r>
        <w:rPr>
          <w:rFonts w:ascii="Wingdings" w:hAnsi="Wingdings"/>
        </w:rPr>
        <w:tab/>
      </w:r>
      <w:r>
        <w:t>Click to select all items in a list.</w:t>
      </w:r>
    </w:p>
    <w:p w:rsidR="005A3214" w:rsidRDefault="005A3214" w:rsidP="000E3E6B">
      <w:pPr>
        <w:pStyle w:val="BodyText"/>
        <w:ind w:left="359" w:hangingChars="149" w:hanging="359"/>
      </w:pPr>
      <w:r w:rsidRPr="005742CF">
        <w:rPr>
          <w:rFonts w:ascii="Wingdings 2" w:hAnsi="Wingdings 2" w:cs="Geneva"/>
          <w:b/>
          <w:sz w:val="24"/>
          <w:szCs w:val="24"/>
        </w:rPr>
        <w:t></w:t>
      </w:r>
      <w:r>
        <w:rPr>
          <w:rFonts w:ascii="Wingdings 2" w:hAnsi="Wingdings 2" w:cs="Geneva"/>
          <w:b/>
        </w:rPr>
        <w:tab/>
      </w:r>
      <w:r>
        <w:t>Click to clear all items in list.</w:t>
      </w:r>
    </w:p>
    <w:p w:rsidR="002A21AE" w:rsidRDefault="00634BFC" w:rsidP="00FC6604">
      <w:pPr>
        <w:pStyle w:val="BodyText"/>
      </w:pPr>
      <w:r>
        <w:rPr>
          <w:noProof/>
        </w:rPr>
        <w:drawing>
          <wp:inline distT="0" distB="0" distL="0" distR="0">
            <wp:extent cx="257175" cy="2000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002A21AE" w:rsidRPr="00FC6604">
        <w:t xml:space="preserve">Click the </w:t>
      </w:r>
      <w:r w:rsidR="00FC6604" w:rsidRPr="00FC6604">
        <w:rPr>
          <w:b/>
        </w:rPr>
        <w:t>find</w:t>
      </w:r>
      <w:r w:rsidR="002A21AE" w:rsidRPr="00FC6604">
        <w:rPr>
          <w:b/>
        </w:rPr>
        <w:t xml:space="preserve"> </w:t>
      </w:r>
      <w:r w:rsidR="002A21AE" w:rsidRPr="00FC6604">
        <w:t>button to display a list of items for selection.</w:t>
      </w:r>
    </w:p>
    <w:p w:rsidR="002A21AE" w:rsidRDefault="00634BFC">
      <w:pPr>
        <w:pStyle w:val="BodyText"/>
        <w:ind w:left="360" w:hanging="360"/>
      </w:pPr>
      <w:r>
        <w:rPr>
          <w:noProof/>
        </w:rPr>
        <w:drawing>
          <wp:inline distT="0" distB="0" distL="0" distR="0">
            <wp:extent cx="152400" cy="152400"/>
            <wp:effectExtent l="0" t="0" r="0" b="0"/>
            <wp:docPr id="113" name="Picture 113" descr="small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mall_print"/>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A21AE">
        <w:tab/>
        <w:t xml:space="preserve">Click the </w:t>
      </w:r>
      <w:r w:rsidR="002A21AE">
        <w:rPr>
          <w:b/>
        </w:rPr>
        <w:t>Print</w:t>
      </w:r>
      <w:r w:rsidR="002A21AE">
        <w:t xml:space="preserve"> icon’s associated button to print a document.</w:t>
      </w:r>
    </w:p>
    <w:p w:rsidR="002A21AE" w:rsidRDefault="00634BFC">
      <w:pPr>
        <w:pStyle w:val="BodyText"/>
        <w:ind w:left="360" w:hanging="360"/>
      </w:pPr>
      <w:r>
        <w:rPr>
          <w:noProof/>
        </w:rPr>
        <w:drawing>
          <wp:inline distT="0" distB="0" distL="0" distR="0">
            <wp:extent cx="152400" cy="152400"/>
            <wp:effectExtent l="0" t="0" r="0" b="0"/>
            <wp:docPr id="114" name="Picture 114" descr="small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mall_sav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A21AE">
        <w:tab/>
        <w:t xml:space="preserve">Click the </w:t>
      </w:r>
      <w:r w:rsidR="002A21AE">
        <w:rPr>
          <w:b/>
        </w:rPr>
        <w:t>Save</w:t>
      </w:r>
      <w:r w:rsidR="002A21AE">
        <w:t xml:space="preserve"> icon’s associated button to update the database.</w:t>
      </w:r>
    </w:p>
    <w:p w:rsidR="002A21AE" w:rsidRDefault="00634BFC">
      <w:pPr>
        <w:pStyle w:val="BodyText"/>
        <w:ind w:left="360" w:hanging="360"/>
      </w:pPr>
      <w:r>
        <w:rPr>
          <w:noProof/>
        </w:rPr>
        <w:drawing>
          <wp:inline distT="0" distB="0" distL="0" distR="0">
            <wp:extent cx="152400" cy="152400"/>
            <wp:effectExtent l="0" t="0" r="0" b="0"/>
            <wp:docPr id="115" name="Picture 115" descr="small_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mall_scanne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A21AE">
        <w:tab/>
        <w:t>The Scanner icon indicates which screen prompts permit scanned entries.</w:t>
      </w:r>
    </w:p>
    <w:p w:rsidR="002A21AE" w:rsidRDefault="00634BFC">
      <w:pPr>
        <w:pStyle w:val="BodyText"/>
        <w:ind w:left="360" w:hanging="360"/>
      </w:pPr>
      <w:r>
        <w:rPr>
          <w:noProof/>
        </w:rPr>
        <w:drawing>
          <wp:inline distT="0" distB="0" distL="0" distR="0">
            <wp:extent cx="152400" cy="152400"/>
            <wp:effectExtent l="0" t="0" r="0" b="0"/>
            <wp:docPr id="116" name="Picture 116" descr="small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small_search"/>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A21AE">
        <w:tab/>
        <w:t xml:space="preserve">Click the </w:t>
      </w:r>
      <w:r w:rsidR="002A21AE">
        <w:rPr>
          <w:b/>
        </w:rPr>
        <w:t>Search</w:t>
      </w:r>
      <w:r w:rsidR="002A21AE">
        <w:t xml:space="preserve"> icon’s associated button to search for entries meeting search criteria entered.</w:t>
      </w:r>
    </w:p>
    <w:p w:rsidR="002A21AE" w:rsidRDefault="00634BFC">
      <w:pPr>
        <w:pStyle w:val="BodyText"/>
        <w:ind w:left="360" w:hanging="360"/>
      </w:pPr>
      <w:r>
        <w:rPr>
          <w:noProof/>
        </w:rPr>
        <w:drawing>
          <wp:inline distT="0" distB="0" distL="0" distR="0">
            <wp:extent cx="152400" cy="152400"/>
            <wp:effectExtent l="0" t="0" r="0" b="0"/>
            <wp:docPr id="117" name="Picture 117" descr="small_view_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small_view_orde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A21AE">
        <w:tab/>
        <w:t xml:space="preserve">Click the </w:t>
      </w:r>
      <w:r w:rsidR="002A21AE">
        <w:rPr>
          <w:b/>
        </w:rPr>
        <w:t>Order Details</w:t>
      </w:r>
      <w:r w:rsidR="002A21AE">
        <w:t xml:space="preserve"> icon’s associated button to display the full details of a selected order.</w:t>
      </w:r>
    </w:p>
    <w:p w:rsidR="002A21AE" w:rsidRDefault="00634BFC">
      <w:pPr>
        <w:pStyle w:val="BodyText"/>
        <w:ind w:left="360" w:hanging="360"/>
      </w:pPr>
      <w:r>
        <w:rPr>
          <w:noProof/>
        </w:rPr>
        <w:drawing>
          <wp:inline distT="0" distB="0" distL="0" distR="0">
            <wp:extent cx="152400" cy="152400"/>
            <wp:effectExtent l="0" t="0" r="0" b="0"/>
            <wp:docPr id="118" name="Picture 118" descr="small_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small_warni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A21AE">
        <w:tab/>
        <w:t>The Input Error icon indicates that a user made an invalid entry at a screen prompt. The icon appears and flashes next to the invalid entry. Hold the mouse pointer over the icon to see a message explaining the problem. Enter valid information to make the icon disappear.</w:t>
      </w:r>
    </w:p>
    <w:p w:rsidR="002A21AE" w:rsidRDefault="002A21AE">
      <w:pPr>
        <w:pStyle w:val="Heading2"/>
      </w:pPr>
      <w:bookmarkStart w:id="163" w:name="_Toc459900079"/>
      <w:r>
        <w:t>Other VBECS Functions</w:t>
      </w:r>
      <w:bookmarkEnd w:id="163"/>
      <w:r>
        <w:fldChar w:fldCharType="begin"/>
      </w:r>
      <w:r>
        <w:instrText xml:space="preserve"> XE </w:instrText>
      </w:r>
      <w:r w:rsidR="00FA7E65">
        <w:instrText>“</w:instrText>
      </w:r>
      <w:r>
        <w:instrText>Other VBECS Functions</w:instrText>
      </w:r>
      <w:r w:rsidR="00FA7E65">
        <w:instrText>”</w:instrText>
      </w:r>
      <w:r>
        <w:instrText xml:space="preserve"> </w:instrText>
      </w:r>
      <w:r>
        <w:fldChar w:fldCharType="end"/>
      </w:r>
    </w:p>
    <w:p w:rsidR="002A21AE" w:rsidRPr="006C187F" w:rsidRDefault="002A21AE">
      <w:pPr>
        <w:pStyle w:val="Heading3"/>
        <w:rPr>
          <w:rFonts w:ascii="Arial Bold" w:hAnsi="Arial Bold"/>
          <w:vanish/>
        </w:rPr>
      </w:pPr>
      <w:bookmarkStart w:id="164" w:name="_Toc459900080"/>
      <w:r>
        <w:t>Collecting Workload</w:t>
      </w:r>
      <w:bookmarkEnd w:id="164"/>
      <w:r>
        <w:fldChar w:fldCharType="begin"/>
      </w:r>
      <w:r>
        <w:instrText xml:space="preserve"> XE </w:instrText>
      </w:r>
      <w:r w:rsidR="00FA7E65">
        <w:instrText>“</w:instrText>
      </w:r>
      <w:r>
        <w:instrText>Collecting Workload</w:instrText>
      </w:r>
      <w:r w:rsidR="00FA7E65">
        <w:instrText>”</w:instrText>
      </w:r>
      <w:r>
        <w:instrText xml:space="preserve"> </w:instrText>
      </w:r>
      <w:r>
        <w:fldChar w:fldCharType="end"/>
      </w:r>
      <w:r w:rsidR="006C187F">
        <w:t xml:space="preserve"> </w:t>
      </w:r>
      <w:r w:rsidR="006C187F">
        <w:rPr>
          <w:rFonts w:ascii="Arial Bold" w:hAnsi="Arial Bold"/>
          <w:vanish/>
        </w:rPr>
        <w:t>UC_15</w:t>
      </w:r>
    </w:p>
    <w:p w:rsidR="002A21AE" w:rsidRDefault="002A21AE" w:rsidP="00FA7E65">
      <w:pPr>
        <w:pStyle w:val="BodyText"/>
      </w:pPr>
      <w:r>
        <w:t xml:space="preserve">In some options, VBECS collects workload (statistical data used to calculate productivity) when the user saves data: </w:t>
      </w:r>
    </w:p>
    <w:p w:rsidR="002A21AE" w:rsidRPr="007716F7" w:rsidRDefault="002A21AE" w:rsidP="007716F7">
      <w:pPr>
        <w:pStyle w:val="ListBullet"/>
      </w:pPr>
      <w:r>
        <w:t>ABO/</w:t>
      </w:r>
      <w:r w:rsidRPr="007716F7">
        <w:t>Rh Confirmation</w:t>
      </w:r>
    </w:p>
    <w:p w:rsidR="002A21AE" w:rsidRDefault="002A21AE" w:rsidP="007716F7">
      <w:pPr>
        <w:pStyle w:val="ListBullet"/>
      </w:pPr>
      <w:r w:rsidRPr="007716F7">
        <w:t xml:space="preserve">Discard </w:t>
      </w:r>
      <w:r>
        <w:t>or Quarantine</w:t>
      </w:r>
    </w:p>
    <w:p w:rsidR="002A21AE" w:rsidRDefault="002A21AE">
      <w:pPr>
        <w:pStyle w:val="ListBullet"/>
      </w:pPr>
      <w:r>
        <w:t>Document ABO Incompatible Transfusion</w:t>
      </w:r>
    </w:p>
    <w:p w:rsidR="002A21AE" w:rsidRDefault="002A21AE">
      <w:pPr>
        <w:pStyle w:val="ListBullet"/>
      </w:pPr>
      <w:r>
        <w:t>Edit Unit Information</w:t>
      </w:r>
    </w:p>
    <w:p w:rsidR="002A21AE" w:rsidRDefault="002A21AE">
      <w:pPr>
        <w:pStyle w:val="ListBullet"/>
      </w:pPr>
      <w:r>
        <w:t>Enter Daily QC Results</w:t>
      </w:r>
    </w:p>
    <w:p w:rsidR="002A21AE" w:rsidRDefault="002A21AE">
      <w:pPr>
        <w:pStyle w:val="ListBullet"/>
      </w:pPr>
      <w:r>
        <w:t>Finalize/Print TRW</w:t>
      </w:r>
    </w:p>
    <w:p w:rsidR="002A21AE" w:rsidRDefault="002A21AE">
      <w:pPr>
        <w:pStyle w:val="ListBullet"/>
      </w:pPr>
      <w:r>
        <w:rPr>
          <w:snapToGrid w:val="0"/>
        </w:rPr>
        <w:t>Free Directed Unit For Crossover</w:t>
      </w:r>
    </w:p>
    <w:p w:rsidR="002A21AE" w:rsidRDefault="002A21AE">
      <w:pPr>
        <w:pStyle w:val="ListBullet"/>
        <w:rPr>
          <w:bCs/>
        </w:rPr>
      </w:pPr>
      <w:r>
        <w:t>Invalidate Test Results</w:t>
      </w:r>
    </w:p>
    <w:p w:rsidR="002A21AE" w:rsidRDefault="002A21AE">
      <w:pPr>
        <w:pStyle w:val="ListBullet"/>
      </w:pPr>
      <w:r>
        <w:rPr>
          <w:snapToGrid w:val="0"/>
        </w:rPr>
        <w:lastRenderedPageBreak/>
        <w:t>Issue Blood Components</w:t>
      </w:r>
    </w:p>
    <w:p w:rsidR="002A21AE" w:rsidRDefault="002A21AE">
      <w:pPr>
        <w:pStyle w:val="ListBullet"/>
      </w:pPr>
      <w:r>
        <w:t>Modify Units</w:t>
      </w:r>
    </w:p>
    <w:p w:rsidR="002A21AE" w:rsidRDefault="002A21AE">
      <w:pPr>
        <w:pStyle w:val="ListBullet"/>
      </w:pPr>
      <w:r>
        <w:t>Modify Units: Pool Units</w:t>
      </w:r>
    </w:p>
    <w:p w:rsidR="002A21AE" w:rsidRDefault="002A21AE">
      <w:pPr>
        <w:pStyle w:val="ListBullet"/>
      </w:pPr>
      <w:r>
        <w:t>Modify Units: Split a Unit</w:t>
      </w:r>
    </w:p>
    <w:p w:rsidR="002A21AE" w:rsidRDefault="002A21AE">
      <w:pPr>
        <w:pStyle w:val="ListBullet"/>
      </w:pPr>
      <w:r>
        <w:t>Outgoing Shipment</w:t>
      </w:r>
    </w:p>
    <w:p w:rsidR="002A21AE" w:rsidRDefault="002A21AE">
      <w:pPr>
        <w:pStyle w:val="ListBullet"/>
      </w:pPr>
      <w:r>
        <w:t xml:space="preserve">Patient Testing: </w:t>
      </w:r>
      <w:r w:rsidR="00244FCD">
        <w:t>Enter Antibody Identification Results</w:t>
      </w:r>
    </w:p>
    <w:p w:rsidR="002A21AE" w:rsidRDefault="002A21AE">
      <w:pPr>
        <w:pStyle w:val="ListBullet"/>
      </w:pPr>
      <w:r>
        <w:rPr>
          <w:snapToGrid w:val="0"/>
        </w:rPr>
        <w:t>Patient Testing: Record a Patient Antigen Typing</w:t>
      </w:r>
    </w:p>
    <w:p w:rsidR="002A21AE" w:rsidRDefault="002A21AE">
      <w:pPr>
        <w:pStyle w:val="ListBullet"/>
      </w:pPr>
      <w:r>
        <w:t xml:space="preserve">Patient Testing: Record a Transfusion Reaction Workup </w:t>
      </w:r>
    </w:p>
    <w:p w:rsidR="002A21AE" w:rsidRDefault="002A21AE">
      <w:pPr>
        <w:pStyle w:val="ListBullet"/>
      </w:pPr>
      <w:r>
        <w:t>Patient Testing: Record Patient Test Results</w:t>
      </w:r>
    </w:p>
    <w:p w:rsidR="002A21AE" w:rsidRDefault="002A21AE">
      <w:pPr>
        <w:pStyle w:val="ListBullet"/>
      </w:pPr>
      <w:r>
        <w:t xml:space="preserve">Post-Transfusion Information </w:t>
      </w:r>
    </w:p>
    <w:p w:rsidR="002A21AE" w:rsidRDefault="002A21AE">
      <w:pPr>
        <w:pStyle w:val="ListBullet"/>
      </w:pPr>
      <w:r>
        <w:t>Processing Incoming Shipment</w:t>
      </w:r>
    </w:p>
    <w:p w:rsidR="002A21AE" w:rsidRDefault="002A21AE">
      <w:pPr>
        <w:pStyle w:val="ListBullet"/>
      </w:pPr>
      <w:r>
        <w:t>Release Units From Patient Assignment</w:t>
      </w:r>
    </w:p>
    <w:p w:rsidR="002A21AE" w:rsidRDefault="002A21AE">
      <w:pPr>
        <w:pStyle w:val="ListBullet"/>
      </w:pPr>
      <w:r>
        <w:rPr>
          <w:snapToGrid w:val="0"/>
        </w:rPr>
        <w:t>Remove Final Status</w:t>
      </w:r>
    </w:p>
    <w:p w:rsidR="002A21AE" w:rsidRDefault="002A21AE">
      <w:pPr>
        <w:pStyle w:val="ListBullet"/>
      </w:pPr>
      <w:r>
        <w:t>Return Issued Units To Blood Bank</w:t>
      </w:r>
    </w:p>
    <w:p w:rsidR="002A21AE" w:rsidRDefault="002A21AE">
      <w:pPr>
        <w:pStyle w:val="ListBullet"/>
      </w:pPr>
      <w:r>
        <w:t>Select Units</w:t>
      </w:r>
    </w:p>
    <w:p w:rsidR="002A21AE" w:rsidRDefault="002A21AE" w:rsidP="0065457E">
      <w:pPr>
        <w:pStyle w:val="ListBullet"/>
      </w:pPr>
      <w:r>
        <w:t>Unit Antigen Typing</w:t>
      </w:r>
    </w:p>
    <w:p w:rsidR="005944FC" w:rsidRDefault="00985C6D" w:rsidP="005944FC">
      <w:pPr>
        <w:pStyle w:val="BodyText"/>
        <w:jc w:val="center"/>
        <w:rPr>
          <w:rStyle w:val="BodyTextChar"/>
        </w:rPr>
      </w:pPr>
      <w:r>
        <w:br w:type="page"/>
      </w:r>
      <w:r w:rsidR="005944FC" w:rsidRPr="005944FC">
        <w:rPr>
          <w:rStyle w:val="BodyTextChar"/>
        </w:rPr>
        <w:lastRenderedPageBreak/>
        <w:t>This page intentionally left blank.</w:t>
      </w:r>
    </w:p>
    <w:p w:rsidR="002A21AE" w:rsidRDefault="005944FC" w:rsidP="005944FC">
      <w:pPr>
        <w:pStyle w:val="BodyText"/>
      </w:pPr>
      <w:r>
        <w:rPr>
          <w:rStyle w:val="BodyTextChar"/>
        </w:rPr>
        <w:br w:type="page"/>
      </w:r>
      <w:bookmarkStart w:id="165" w:name="_Toc459900081"/>
      <w:r w:rsidR="002A21AE" w:rsidRPr="005944FC">
        <w:rPr>
          <w:rStyle w:val="Heading1Char"/>
        </w:rPr>
        <w:lastRenderedPageBreak/>
        <w:t>Configuring Site Parameters</w:t>
      </w:r>
      <w:bookmarkEnd w:id="165"/>
      <w:r w:rsidR="002A21AE">
        <w:fldChar w:fldCharType="begin"/>
      </w:r>
      <w:r w:rsidR="002A21AE">
        <w:instrText xml:space="preserve"> XE </w:instrText>
      </w:r>
      <w:r w:rsidR="00FA7E65">
        <w:instrText>“</w:instrText>
      </w:r>
      <w:r w:rsidR="002A21AE">
        <w:instrText>Configuring Site Parameters</w:instrText>
      </w:r>
      <w:r w:rsidR="00FA7E65">
        <w:instrText>”</w:instrText>
      </w:r>
      <w:r w:rsidR="002A21AE">
        <w:instrText xml:space="preserve"> </w:instrText>
      </w:r>
      <w:r w:rsidR="002A21AE">
        <w:fldChar w:fldCharType="end"/>
      </w:r>
    </w:p>
    <w:p w:rsidR="002A21AE" w:rsidRPr="002A6D29" w:rsidRDefault="002A21AE" w:rsidP="002A6D29">
      <w:pPr>
        <w:rPr>
          <w:sz w:val="22"/>
          <w:szCs w:val="22"/>
        </w:rPr>
      </w:pPr>
      <w:r w:rsidRPr="002A6D29">
        <w:rPr>
          <w:sz w:val="22"/>
          <w:szCs w:val="22"/>
        </w:rPr>
        <w:t>Configuration must be done as part of the VBECS installation.</w:t>
      </w:r>
    </w:p>
    <w:p w:rsidR="00B51CFF" w:rsidRDefault="00B51CFF" w:rsidP="00B51CFF">
      <w:pPr>
        <w:pStyle w:val="Heading2"/>
      </w:pPr>
      <w:bookmarkStart w:id="166" w:name="_Toc459900082"/>
      <w:r>
        <w:t>Update User Roles</w:t>
      </w:r>
      <w:bookmarkEnd w:id="166"/>
      <w:r w:rsidRPr="00AB67A6">
        <w:rPr>
          <w:rFonts w:ascii="Arial Bold" w:hAnsi="Arial Bold"/>
          <w:vanish/>
        </w:rPr>
        <w:fldChar w:fldCharType="begin"/>
      </w:r>
      <w:r w:rsidRPr="00AB67A6">
        <w:rPr>
          <w:rFonts w:ascii="Arial Bold" w:hAnsi="Arial Bold"/>
          <w:vanish/>
        </w:rPr>
        <w:instrText xml:space="preserve"> XE “Update User Roles” </w:instrText>
      </w:r>
      <w:r w:rsidRPr="00AB67A6">
        <w:rPr>
          <w:rFonts w:ascii="Arial Bold" w:hAnsi="Arial Bold"/>
          <w:vanish/>
        </w:rPr>
        <w:fldChar w:fldCharType="end"/>
      </w:r>
      <w:r w:rsidRPr="00AB67A6">
        <w:rPr>
          <w:rFonts w:ascii="Arial Bold" w:hAnsi="Arial Bold"/>
          <w:vanish/>
        </w:rPr>
        <w:t xml:space="preserve"> UC_19</w:t>
      </w:r>
    </w:p>
    <w:p w:rsidR="00B51CFF" w:rsidRDefault="00B51CFF" w:rsidP="00B51CFF">
      <w:pPr>
        <w:pStyle w:val="BodyText"/>
      </w:pPr>
      <w:r>
        <w:t>The user reviews and changes the user roles and associated security levels that determine which options and functions are available to a user in the division.</w:t>
      </w:r>
    </w:p>
    <w:p w:rsidR="00B51CFF" w:rsidRDefault="00B51CFF" w:rsidP="00B51CFF">
      <w:pPr>
        <w:pStyle w:val="Heading4"/>
      </w:pPr>
      <w:r>
        <w:t>Assumptions</w:t>
      </w:r>
    </w:p>
    <w:p w:rsidR="00B51CFF" w:rsidRDefault="00B51CFF" w:rsidP="00B51CFF">
      <w:pPr>
        <w:pStyle w:val="ListBullet"/>
      </w:pPr>
      <w:r>
        <w:t>The user is logged into VBECS in the division of the users to be edited.</w:t>
      </w:r>
    </w:p>
    <w:p w:rsidR="00B51CFF" w:rsidRDefault="00B51CFF" w:rsidP="00B51CFF">
      <w:pPr>
        <w:pStyle w:val="ListBullet"/>
      </w:pPr>
      <w:r>
        <w:t xml:space="preserve">A </w:t>
      </w:r>
      <w:r w:rsidR="0093195D">
        <w:t>VBECS Application</w:t>
      </w:r>
      <w:r>
        <w:t xml:space="preserve"> Administrator added the users to the VBECS database and assigned </w:t>
      </w:r>
      <w:r w:rsidR="00E95395">
        <w:t>a</w:t>
      </w:r>
      <w:r>
        <w:t xml:space="preserve"> division-specific role to each user. </w:t>
      </w:r>
    </w:p>
    <w:p w:rsidR="00B51CFF" w:rsidRDefault="00B51CFF" w:rsidP="00B51CFF">
      <w:pPr>
        <w:pStyle w:val="Heading4"/>
      </w:pPr>
      <w:r>
        <w:t>Outcome</w:t>
      </w:r>
    </w:p>
    <w:p w:rsidR="00B51CFF" w:rsidRDefault="00B51CFF" w:rsidP="00B51CFF">
      <w:pPr>
        <w:pStyle w:val="ListBullet"/>
      </w:pPr>
      <w:r>
        <w:t xml:space="preserve">A user’s role code changed. </w:t>
      </w:r>
    </w:p>
    <w:p w:rsidR="00B51CFF" w:rsidRDefault="00B51CFF" w:rsidP="00B51CFF">
      <w:pPr>
        <w:pStyle w:val="Heading4"/>
      </w:pPr>
      <w:r>
        <w:t>Limitations and Restrictions</w:t>
      </w:r>
    </w:p>
    <w:p w:rsidR="00B51CFF" w:rsidRDefault="00B51CFF" w:rsidP="00B51CFF">
      <w:pPr>
        <w:pStyle w:val="ListBullet"/>
      </w:pPr>
      <w:r>
        <w:rPr>
          <w:vanish/>
          <w:spacing w:val="0"/>
        </w:rPr>
        <w:t>BR_19.01</w:t>
      </w:r>
      <w:r w:rsidR="009660C3">
        <w:rPr>
          <w:vanish/>
          <w:spacing w:val="0"/>
        </w:rPr>
        <w:t>,</w:t>
      </w:r>
      <w:r>
        <w:rPr>
          <w:vanish/>
          <w:spacing w:val="0"/>
        </w:rPr>
        <w:t xml:space="preserve"> BR_19.03 </w:t>
      </w:r>
      <w:r>
        <w:t>One role at a time may be assigned to a user at a division. The role may be reset.</w:t>
      </w:r>
    </w:p>
    <w:p w:rsidR="00B51CFF" w:rsidRDefault="002A7EE9" w:rsidP="00B51CFF">
      <w:pPr>
        <w:pStyle w:val="ListBullet"/>
      </w:pPr>
      <w:r>
        <w:rPr>
          <w:spacing w:val="0"/>
        </w:rPr>
        <w:t xml:space="preserve">VBECS does not allow users </w:t>
      </w:r>
      <w:r w:rsidR="00B51CFF">
        <w:rPr>
          <w:vanish/>
          <w:spacing w:val="0"/>
        </w:rPr>
        <w:t xml:space="preserve">BR_19.06 </w:t>
      </w:r>
      <w:r w:rsidR="004D224B">
        <w:t>t</w:t>
      </w:r>
      <w:r>
        <w:t>o</w:t>
      </w:r>
      <w:r w:rsidR="00B51CFF">
        <w:t xml:space="preserve"> </w:t>
      </w:r>
      <w:r w:rsidR="004D224B">
        <w:t>edit or delete</w:t>
      </w:r>
      <w:r w:rsidR="00B51CFF">
        <w:t xml:space="preserve"> the </w:t>
      </w:r>
      <w:r w:rsidR="004D5297">
        <w:t>sole</w:t>
      </w:r>
      <w:r w:rsidR="00B51CFF">
        <w:t xml:space="preserve"> Administrator/Supervisor.</w:t>
      </w:r>
    </w:p>
    <w:p w:rsidR="00B51CFF" w:rsidRDefault="00B51CFF" w:rsidP="00B51CFF">
      <w:pPr>
        <w:pStyle w:val="Heading4"/>
      </w:pPr>
      <w:r>
        <w:t>Additional Information</w:t>
      </w:r>
    </w:p>
    <w:p w:rsidR="003234B3" w:rsidRDefault="003234B3" w:rsidP="003234B3">
      <w:pPr>
        <w:pStyle w:val="ListBullet"/>
      </w:pPr>
      <w:r>
        <w:t>An inactivated user remains in the VBECS database.</w:t>
      </w:r>
    </w:p>
    <w:p w:rsidR="003234B3" w:rsidRDefault="003234B3" w:rsidP="003234B3">
      <w:pPr>
        <w:pStyle w:val="ListBullet"/>
      </w:pPr>
      <w:r>
        <w:rPr>
          <w:vanish/>
          <w:spacing w:val="0"/>
        </w:rPr>
        <w:t xml:space="preserve">BR_19.16, BR_19.11 </w:t>
      </w:r>
      <w:r w:rsidR="006F3D70">
        <w:t>There must be at least one Administrator/Supervisor in the division to maintain users.</w:t>
      </w:r>
    </w:p>
    <w:p w:rsidR="00B51CFF" w:rsidRDefault="00B51CFF" w:rsidP="00B51CFF">
      <w:pPr>
        <w:pStyle w:val="ListBullet"/>
      </w:pPr>
      <w:r>
        <w:t xml:space="preserve">A VBECS user ID is the user’s NT Logon ID. </w:t>
      </w:r>
    </w:p>
    <w:p w:rsidR="00B51CFF" w:rsidRDefault="00B51CFF" w:rsidP="00B51CFF">
      <w:pPr>
        <w:pStyle w:val="ListBullet"/>
      </w:pPr>
      <w:r>
        <w:t>One or more users may be selected for batch update.</w:t>
      </w:r>
    </w:p>
    <w:p w:rsidR="00B51CFF" w:rsidRDefault="00B51CFF" w:rsidP="00B51CFF">
      <w:pPr>
        <w:pStyle w:val="ListBullet"/>
      </w:pPr>
      <w:r>
        <w:t xml:space="preserve">A </w:t>
      </w:r>
      <w:r w:rsidR="0093195D">
        <w:t>VBECS Application</w:t>
      </w:r>
      <w:r>
        <w:t xml:space="preserve"> Administrator activates and inactivates VBECS users.</w:t>
      </w:r>
    </w:p>
    <w:p w:rsidR="00B51CFF" w:rsidRDefault="00B51CFF" w:rsidP="00B51CFF">
      <w:pPr>
        <w:pStyle w:val="ListBullet"/>
      </w:pPr>
      <w:r>
        <w:t xml:space="preserve">A user may be defined at multiple divisions within a multidivisional database. The settings for a user may differ from division to division and are mutually exclusive. </w:t>
      </w:r>
    </w:p>
    <w:p w:rsidR="00AA2B2E" w:rsidRDefault="00AA2B2E" w:rsidP="00AA2B2E">
      <w:pPr>
        <w:pStyle w:val="ListBullet"/>
      </w:pPr>
      <w:r>
        <w:t xml:space="preserve">See </w:t>
      </w:r>
      <w:r w:rsidRPr="00166B86">
        <w:rPr>
          <w:i/>
        </w:rPr>
        <w:t>VistA Blood Establishment Computer Software (VBECS) Technical Manual-Security Guide</w:t>
      </w:r>
      <w:r>
        <w:t xml:space="preserve">, VBECS Maintenance Operations, Configure Users section for Active Directory tool installation. </w:t>
      </w:r>
      <w:r w:rsidRPr="00492551">
        <w:rPr>
          <w:vanish/>
        </w:rPr>
        <w:t>DR 5204</w:t>
      </w:r>
    </w:p>
    <w:p w:rsidR="00C0383C" w:rsidRDefault="00C0383C" w:rsidP="00C0383C">
      <w:pPr>
        <w:pStyle w:val="ListBullet"/>
      </w:pPr>
      <w:r>
        <w:t xml:space="preserve">See </w:t>
      </w:r>
      <w:r w:rsidRPr="00C0383C">
        <w:rPr>
          <w:i/>
        </w:rPr>
        <w:t>VistA Blood Establishment Computer Software (VBECS) Technical Manual-Security Guide</w:t>
      </w:r>
      <w:r>
        <w:t xml:space="preserve"> to add a user to a mail group that receives messages when VistALink errors occur.</w:t>
      </w:r>
    </w:p>
    <w:p w:rsidR="00B51CFF" w:rsidRDefault="00B51CFF" w:rsidP="00B51CFF">
      <w:pPr>
        <w:pStyle w:val="Heading4"/>
      </w:pPr>
      <w:r>
        <w:t>User Roles with Access to This Option</w:t>
      </w:r>
    </w:p>
    <w:p w:rsidR="00B51CFF" w:rsidRDefault="00B51CFF" w:rsidP="00B51CFF">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r>
        <w:rPr>
          <w:snapToGrid w:val="0"/>
        </w:rPr>
        <w:t xml:space="preserve"> </w:t>
      </w:r>
    </w:p>
    <w:p w:rsidR="00B51CFF" w:rsidRDefault="00B51CFF" w:rsidP="00B51CFF">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Pr>
          <w:snapToGrid w:val="0"/>
        </w:rPr>
        <w:t>Lead Technologist</w:t>
      </w:r>
    </w:p>
    <w:p w:rsidR="00B51CFF" w:rsidRDefault="00B51CFF" w:rsidP="00B51CFF">
      <w:pPr>
        <w:pStyle w:val="Heading4"/>
      </w:pPr>
      <w:r>
        <w:t>Update User Roles</w:t>
      </w:r>
    </w:p>
    <w:p w:rsidR="00B51CFF" w:rsidRDefault="00154095" w:rsidP="00B51CFF">
      <w:pPr>
        <w:pStyle w:val="Body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sidR="00B51CFF">
        <w:t xml:space="preserve">An Administrator/Supervisor maintains assigned user roles, including associated levels of system access and the ability to process system overrides. These roles determine the available </w:t>
      </w:r>
      <w:r w:rsidR="00932460">
        <w:t xml:space="preserve">options </w:t>
      </w:r>
      <w:r w:rsidR="00B51CFF">
        <w:t xml:space="preserve">and the ability to override certain warnings. </w:t>
      </w:r>
    </w:p>
    <w:p w:rsidR="00F317E7" w:rsidRDefault="003B4BF0" w:rsidP="00E87A80">
      <w:pPr>
        <w:pStyle w:val="Caution"/>
      </w:pPr>
      <w:bookmarkStart w:id="167" w:name="OLE_LINK13"/>
      <w:bookmarkStart w:id="168" w:name="OLE_LINK14"/>
      <w:r>
        <w:t>It is recommended that only one staff member be assigned the role of Administrator/Supervisor: when more than one Administrator/Supervisor updates roles simultaneously, changes made by one user are not visible to the other.</w:t>
      </w:r>
    </w:p>
    <w:bookmarkEnd w:id="167"/>
    <w:bookmarkEnd w:id="168"/>
    <w:p w:rsidR="00B51CFF" w:rsidRDefault="00B51CFF" w:rsidP="00B51CFF">
      <w:pPr>
        <w:pStyle w:val="BodyText"/>
      </w:pPr>
      <w:r>
        <w:lastRenderedPageBreak/>
        <w:t xml:space="preserve">One of six user roles may be assigned to users, by division: </w:t>
      </w:r>
    </w:p>
    <w:p w:rsidR="00B51CFF" w:rsidRDefault="00B51CFF" w:rsidP="00B51CFF">
      <w:pPr>
        <w:pStyle w:val="ListBullet"/>
      </w:pPr>
      <w:r>
        <w:t>Level 1: Technologist</w:t>
      </w:r>
    </w:p>
    <w:p w:rsidR="00B51CFF" w:rsidRDefault="00B51CFF" w:rsidP="00B51CFF">
      <w:pPr>
        <w:pStyle w:val="ListBullet"/>
      </w:pPr>
      <w:r>
        <w:t>Level 2: Enhanced Technologist</w:t>
      </w:r>
    </w:p>
    <w:p w:rsidR="00B51CFF" w:rsidRDefault="00B51CFF" w:rsidP="00B51CFF">
      <w:pPr>
        <w:pStyle w:val="ListBullet"/>
      </w:pPr>
      <w:r>
        <w:t>Level 3: Lead Technologist</w:t>
      </w:r>
    </w:p>
    <w:p w:rsidR="00B51CFF" w:rsidRDefault="00B51CFF" w:rsidP="00B51CFF">
      <w:pPr>
        <w:pStyle w:val="ListBullet"/>
      </w:pPr>
      <w:r>
        <w:t>Level 4: Traditional Supervisor</w:t>
      </w:r>
    </w:p>
    <w:p w:rsidR="00B51CFF" w:rsidRDefault="00B51CFF" w:rsidP="00B51CFF">
      <w:pPr>
        <w:pStyle w:val="ListBullet"/>
      </w:pPr>
      <w:r>
        <w:t>Level 5: Enhanced Supervisor</w:t>
      </w:r>
    </w:p>
    <w:p w:rsidR="00B51CFF" w:rsidRDefault="00B51CFF" w:rsidP="00B51CFF">
      <w:pPr>
        <w:pStyle w:val="ListBullet"/>
      </w:pPr>
      <w:r>
        <w:t xml:space="preserve">Level 6: Administrator/Supervisor </w:t>
      </w:r>
    </w:p>
    <w:p w:rsidR="00B51CFF" w:rsidRDefault="00B51CFF" w:rsidP="00B51CFF">
      <w:pPr>
        <w:pStyle w:val="BodyText"/>
      </w:pPr>
      <w:r>
        <w:t>The functions associated with each user role are described in</w:t>
      </w:r>
      <w:r w:rsidR="00DA05C9">
        <w:t xml:space="preserve"> </w:t>
      </w:r>
      <w:r w:rsidR="00DA05C9">
        <w:fldChar w:fldCharType="begin"/>
      </w:r>
      <w:r w:rsidR="00DA05C9">
        <w:instrText xml:space="preserve"> REF _Ref126484343 \h </w:instrText>
      </w:r>
      <w:r w:rsidR="00DA05C9">
        <w:fldChar w:fldCharType="separate"/>
      </w:r>
      <w:r w:rsidR="005F38BC">
        <w:t xml:space="preserve">Table </w:t>
      </w:r>
      <w:r w:rsidR="005F38BC">
        <w:rPr>
          <w:noProof/>
        </w:rPr>
        <w:t>1</w:t>
      </w:r>
      <w:r w:rsidR="005F38BC">
        <w:t xml:space="preserve">: </w:t>
      </w:r>
      <w:r w:rsidR="005F38BC">
        <w:rPr>
          <w:vanish/>
        </w:rPr>
        <w:t xml:space="preserve">PT_19.01 </w:t>
      </w:r>
      <w:r w:rsidR="005F38BC">
        <w:t>User Roles and Functions</w:t>
      </w:r>
      <w:r w:rsidR="00DA05C9">
        <w:fldChar w:fldCharType="end"/>
      </w:r>
      <w: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B51CFF">
        <w:tblPrEx>
          <w:tblCellMar>
            <w:top w:w="0" w:type="dxa"/>
            <w:bottom w:w="0" w:type="dxa"/>
          </w:tblCellMar>
        </w:tblPrEx>
        <w:trPr>
          <w:cantSplit/>
          <w:tblHeader/>
        </w:trPr>
        <w:tc>
          <w:tcPr>
            <w:tcW w:w="3240" w:type="dxa"/>
            <w:shd w:val="pct30" w:color="auto" w:fill="FFFFFF"/>
            <w:vAlign w:val="bottom"/>
          </w:tcPr>
          <w:p w:rsidR="00B51CFF" w:rsidRDefault="00B51CFF" w:rsidP="00DB1D38">
            <w:pPr>
              <w:pStyle w:val="TableText"/>
              <w:rPr>
                <w:b/>
              </w:rPr>
            </w:pPr>
            <w:r>
              <w:rPr>
                <w:b/>
              </w:rPr>
              <w:t>User Action</w:t>
            </w:r>
          </w:p>
        </w:tc>
        <w:tc>
          <w:tcPr>
            <w:tcW w:w="6120" w:type="dxa"/>
            <w:shd w:val="pct30" w:color="auto" w:fill="FFFFFF"/>
            <w:vAlign w:val="bottom"/>
          </w:tcPr>
          <w:p w:rsidR="00B51CFF" w:rsidRDefault="00B51CFF" w:rsidP="00DB1D38">
            <w:pPr>
              <w:pStyle w:val="TableText"/>
              <w:rPr>
                <w:b/>
              </w:rPr>
            </w:pPr>
            <w:r>
              <w:rPr>
                <w:b/>
              </w:rPr>
              <w:t>VBECS</w:t>
            </w:r>
          </w:p>
        </w:tc>
      </w:tr>
      <w:tr w:rsidR="00B51CFF">
        <w:tblPrEx>
          <w:tblCellMar>
            <w:top w:w="0" w:type="dxa"/>
            <w:bottom w:w="0" w:type="dxa"/>
          </w:tblCellMar>
        </w:tblPrEx>
        <w:trPr>
          <w:cantSplit/>
        </w:trPr>
        <w:tc>
          <w:tcPr>
            <w:tcW w:w="3240" w:type="dxa"/>
            <w:tcBorders>
              <w:top w:val="single" w:sz="4" w:space="0" w:color="auto"/>
              <w:left w:val="single" w:sz="4" w:space="0" w:color="auto"/>
              <w:bottom w:val="single" w:sz="4" w:space="0" w:color="auto"/>
              <w:right w:val="single" w:sz="4" w:space="0" w:color="auto"/>
            </w:tcBorders>
          </w:tcPr>
          <w:p w:rsidR="00B51CFF" w:rsidRDefault="00B51CFF" w:rsidP="00DB1D38">
            <w:pPr>
              <w:pStyle w:val="TableTextNumbers"/>
            </w:pPr>
            <w:r>
              <w:t xml:space="preserve">Select </w:t>
            </w:r>
            <w:r>
              <w:rPr>
                <w:b/>
              </w:rPr>
              <w:t>Tools</w:t>
            </w:r>
            <w:r>
              <w:t xml:space="preserve"> from the main menu.</w:t>
            </w:r>
          </w:p>
          <w:p w:rsidR="00B51CFF" w:rsidRDefault="00B51CFF" w:rsidP="00DB1D38">
            <w:pPr>
              <w:pStyle w:val="TableTextNumbersContinued"/>
            </w:pPr>
          </w:p>
          <w:p w:rsidR="00B51CFF" w:rsidRDefault="00B51CFF" w:rsidP="00DB1D38">
            <w:pPr>
              <w:pStyle w:val="TableTextNumbersContinued"/>
            </w:pPr>
            <w:r>
              <w:t xml:space="preserve">Select </w:t>
            </w:r>
            <w:r>
              <w:rPr>
                <w:b/>
              </w:rPr>
              <w:t>Update User Roles</w:t>
            </w:r>
            <w:r>
              <w:t>.</w:t>
            </w:r>
          </w:p>
        </w:tc>
        <w:tc>
          <w:tcPr>
            <w:tcW w:w="6120" w:type="dxa"/>
            <w:tcBorders>
              <w:top w:val="single" w:sz="4" w:space="0" w:color="auto"/>
              <w:left w:val="single" w:sz="4" w:space="0" w:color="auto"/>
              <w:bottom w:val="single" w:sz="4" w:space="0" w:color="auto"/>
              <w:right w:val="single" w:sz="4" w:space="0" w:color="auto"/>
            </w:tcBorders>
          </w:tcPr>
          <w:p w:rsidR="00B51CFF" w:rsidRDefault="00B51CFF" w:rsidP="00DB1D38">
            <w:pPr>
              <w:pStyle w:val="TableTextBullet"/>
            </w:pPr>
            <w:r>
              <w:t>Displays options for processing administrative functions.</w:t>
            </w:r>
          </w:p>
          <w:p w:rsidR="00B51CFF" w:rsidRDefault="00B51CFF" w:rsidP="00DB1D38">
            <w:pPr>
              <w:pStyle w:val="TableTextBullet"/>
            </w:pPr>
            <w:r>
              <w:t>Lists active users and associated information, including user name, ID, role, initials and email address.</w:t>
            </w:r>
          </w:p>
          <w:p w:rsidR="00B51CFF" w:rsidRDefault="00B51CFF" w:rsidP="00DB1D38">
            <w:pPr>
              <w:pStyle w:val="TableTextBullet"/>
            </w:pPr>
            <w:r>
              <w:t>Displays an option to print a VBECS User Report.</w:t>
            </w:r>
          </w:p>
          <w:p w:rsidR="00B51CFF" w:rsidRDefault="00B51CFF" w:rsidP="00DB1D38">
            <w:pPr>
              <w:pStyle w:val="TableText"/>
            </w:pPr>
          </w:p>
          <w:p w:rsidR="00B51CFF" w:rsidRDefault="00634BFC" w:rsidP="00DB1D38">
            <w:pPr>
              <w:pStyle w:val="TableText"/>
              <w:rPr>
                <w:b/>
                <w:bCs/>
                <w:szCs w:val="18"/>
              </w:rPr>
            </w:pPr>
            <w:r>
              <w:rPr>
                <w:b/>
                <w:bCs/>
                <w:noProof/>
              </w:rPr>
              <mc:AlternateContent>
                <mc:Choice Requires="wps">
                  <w:drawing>
                    <wp:anchor distT="0" distB="0" distL="114300" distR="114300" simplePos="0" relativeHeight="25172736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75" name="Line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2"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MFgIAAC4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B+&#10;A/FMFgIAAC4EAAAOAAAAAAAAAAAAAAAAAC4CAABkcnMvZTJvRG9jLnhtbFBLAQItABQABgAIAAAA&#10;IQAXTzAS2wAAAAgBAAAPAAAAAAAAAAAAAAAAAHAEAABkcnMvZG93bnJldi54bWxQSwUGAAAAAAQA&#10;BADzAAAAeAUAAAAA&#10;" strokeweight="1.5pt"/>
                  </w:pict>
                </mc:Fallback>
              </mc:AlternateContent>
            </w:r>
            <w:r w:rsidR="00B51CFF">
              <w:rPr>
                <w:b/>
                <w:bCs/>
                <w:szCs w:val="18"/>
              </w:rPr>
              <w:t>NOTES</w:t>
            </w:r>
          </w:p>
          <w:p w:rsidR="00B51CFF" w:rsidRDefault="00B51CFF" w:rsidP="00DB1D38">
            <w:pPr>
              <w:pStyle w:val="NotesText"/>
            </w:pPr>
          </w:p>
          <w:p w:rsidR="00B51CFF" w:rsidRDefault="00B51CFF" w:rsidP="00DB1D38">
            <w:pPr>
              <w:pStyle w:val="NotesText"/>
            </w:pPr>
            <w:r w:rsidRPr="00E274BF">
              <w:rPr>
                <w:rFonts w:cs="Arial"/>
                <w:vanish/>
                <w:szCs w:val="18"/>
              </w:rPr>
              <w:t>BR_19.17</w:t>
            </w:r>
            <w:r w:rsidRPr="009660C3">
              <w:rPr>
                <w:vanish/>
                <w:szCs w:val="18"/>
              </w:rPr>
              <w:t xml:space="preserve"> </w:t>
            </w:r>
            <w:r>
              <w:t xml:space="preserve">Click </w:t>
            </w:r>
            <w:r>
              <w:rPr>
                <w:b/>
              </w:rPr>
              <w:t>Print</w:t>
            </w:r>
            <w:r>
              <w:t xml:space="preserve"> at any time in this process to print a VBECS User Report.</w:t>
            </w:r>
          </w:p>
        </w:tc>
      </w:tr>
      <w:tr w:rsidR="00B51CFF">
        <w:tblPrEx>
          <w:tblCellMar>
            <w:top w:w="0" w:type="dxa"/>
            <w:bottom w:w="0" w:type="dxa"/>
          </w:tblCellMar>
        </w:tblPrEx>
        <w:trPr>
          <w:cantSplit/>
        </w:trPr>
        <w:tc>
          <w:tcPr>
            <w:tcW w:w="3240" w:type="dxa"/>
            <w:tcBorders>
              <w:bottom w:val="single" w:sz="4" w:space="0" w:color="auto"/>
            </w:tcBorders>
          </w:tcPr>
          <w:p w:rsidR="00B51CFF" w:rsidRDefault="00B51CFF" w:rsidP="00DB1D38">
            <w:pPr>
              <w:pStyle w:val="TableTextNumbers"/>
            </w:pPr>
            <w:r>
              <w:t>Click one or more check boxes to select users.</w:t>
            </w:r>
          </w:p>
          <w:p w:rsidR="00B51CFF" w:rsidRDefault="00B51CFF" w:rsidP="00DB1D38">
            <w:pPr>
              <w:pStyle w:val="TableTextNumbersContinued"/>
            </w:pPr>
          </w:p>
          <w:p w:rsidR="00B51CFF" w:rsidRDefault="00B51CFF" w:rsidP="00DB1D38">
            <w:pPr>
              <w:pStyle w:val="TableTextNumbersContinued"/>
            </w:pPr>
          </w:p>
        </w:tc>
        <w:tc>
          <w:tcPr>
            <w:tcW w:w="6120" w:type="dxa"/>
            <w:tcBorders>
              <w:bottom w:val="single" w:sz="4" w:space="0" w:color="auto"/>
            </w:tcBorders>
          </w:tcPr>
          <w:p w:rsidR="00B51CFF" w:rsidRDefault="00B51CFF" w:rsidP="00DB1D38">
            <w:pPr>
              <w:pStyle w:val="TableTextBullet"/>
            </w:pPr>
            <w:r w:rsidRPr="00E274BF">
              <w:rPr>
                <w:rFonts w:cs="Arial"/>
                <w:vanish/>
                <w:szCs w:val="18"/>
              </w:rPr>
              <w:t>BR_19.05</w:t>
            </w:r>
            <w:r w:rsidRPr="009660C3">
              <w:rPr>
                <w:vanish/>
                <w:szCs w:val="18"/>
              </w:rPr>
              <w:t xml:space="preserve"> </w:t>
            </w:r>
            <w:r>
              <w:t>Allows the assignment of a security level to one or more users at a time.</w:t>
            </w:r>
          </w:p>
          <w:p w:rsidR="00B51CFF" w:rsidRDefault="00B51CFF" w:rsidP="00DB1D38">
            <w:pPr>
              <w:pStyle w:val="TableText"/>
            </w:pPr>
          </w:p>
          <w:p w:rsidR="00B51CFF" w:rsidRDefault="00634BFC" w:rsidP="00DB1D38">
            <w:pPr>
              <w:pStyle w:val="TableText"/>
              <w:rPr>
                <w:b/>
                <w:bCs/>
                <w:szCs w:val="18"/>
              </w:rPr>
            </w:pPr>
            <w:r>
              <w:rPr>
                <w:b/>
                <w:bCs/>
                <w:noProof/>
              </w:rPr>
              <mc:AlternateContent>
                <mc:Choice Requires="wps">
                  <w:drawing>
                    <wp:anchor distT="0" distB="0" distL="114300" distR="114300" simplePos="0" relativeHeight="25172838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74" name="Lin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3"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1x8FgIAAC4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Cf&#10;F1x8FgIAAC4EAAAOAAAAAAAAAAAAAAAAAC4CAABkcnMvZTJvRG9jLnhtbFBLAQItABQABgAIAAAA&#10;IQAXTzAS2wAAAAgBAAAPAAAAAAAAAAAAAAAAAHAEAABkcnMvZG93bnJldi54bWxQSwUGAAAAAAQA&#10;BADzAAAAeAUAAAAA&#10;" strokeweight="1.5pt"/>
                  </w:pict>
                </mc:Fallback>
              </mc:AlternateContent>
            </w:r>
            <w:r w:rsidR="00B51CFF">
              <w:rPr>
                <w:b/>
                <w:bCs/>
                <w:szCs w:val="18"/>
              </w:rPr>
              <w:t>NOTES</w:t>
            </w:r>
          </w:p>
          <w:p w:rsidR="00B51CFF" w:rsidRDefault="00B51CFF" w:rsidP="00DB1D38">
            <w:pPr>
              <w:pStyle w:val="NotesText"/>
            </w:pPr>
          </w:p>
          <w:p w:rsidR="00B51CFF" w:rsidRDefault="00B51CFF" w:rsidP="00DB1D38">
            <w:pPr>
              <w:pStyle w:val="NotesText"/>
            </w:pPr>
            <w:r>
              <w:t>The role that a user selects is assigned to all selected users.</w:t>
            </w:r>
          </w:p>
        </w:tc>
      </w:tr>
      <w:tr w:rsidR="00B51CFF">
        <w:tblPrEx>
          <w:tblCellMar>
            <w:top w:w="0" w:type="dxa"/>
            <w:bottom w:w="0" w:type="dxa"/>
          </w:tblCellMar>
        </w:tblPrEx>
        <w:trPr>
          <w:cantSplit/>
        </w:trPr>
        <w:tc>
          <w:tcPr>
            <w:tcW w:w="3240" w:type="dxa"/>
            <w:tcBorders>
              <w:bottom w:val="single" w:sz="4" w:space="0" w:color="auto"/>
            </w:tcBorders>
          </w:tcPr>
          <w:p w:rsidR="00B51CFF" w:rsidRDefault="00B51CFF" w:rsidP="00DB1D38">
            <w:pPr>
              <w:pStyle w:val="TableTextNumbersContinued"/>
            </w:pPr>
            <w:r>
              <w:t>Select a user role from the drop-down list in the Use Role field.</w:t>
            </w:r>
          </w:p>
          <w:p w:rsidR="00B51CFF" w:rsidRDefault="00B51CFF" w:rsidP="00DB1D38">
            <w:pPr>
              <w:pStyle w:val="TableTextNumbersContinued"/>
            </w:pPr>
          </w:p>
          <w:p w:rsidR="00B51CFF" w:rsidRDefault="00B51CFF" w:rsidP="00DB1D38">
            <w:pPr>
              <w:pStyle w:val="TableTextNumbers"/>
            </w:pPr>
            <w:r>
              <w:t xml:space="preserve">Click </w:t>
            </w:r>
            <w:r>
              <w:rPr>
                <w:b/>
              </w:rPr>
              <w:t>OK</w:t>
            </w:r>
            <w:r>
              <w:t>.</w:t>
            </w:r>
          </w:p>
        </w:tc>
        <w:tc>
          <w:tcPr>
            <w:tcW w:w="6120" w:type="dxa"/>
            <w:tcBorders>
              <w:bottom w:val="single" w:sz="4" w:space="0" w:color="auto"/>
            </w:tcBorders>
          </w:tcPr>
          <w:p w:rsidR="00B51CFF" w:rsidRDefault="00B51CFF" w:rsidP="00DB1D38">
            <w:pPr>
              <w:pStyle w:val="TableTextBullet"/>
            </w:pPr>
            <w:r>
              <w:t>Requests confirmation of the names of users to be changed and the role to be assigned.</w:t>
            </w:r>
          </w:p>
        </w:tc>
      </w:tr>
      <w:tr w:rsidR="00B51CFF">
        <w:tblPrEx>
          <w:tblCellMar>
            <w:top w:w="0" w:type="dxa"/>
            <w:bottom w:w="0" w:type="dxa"/>
          </w:tblCellMar>
        </w:tblPrEx>
        <w:trPr>
          <w:cantSplit/>
        </w:trPr>
        <w:tc>
          <w:tcPr>
            <w:tcW w:w="3240" w:type="dxa"/>
          </w:tcPr>
          <w:p w:rsidR="00B51CFF" w:rsidRDefault="00B51CFF" w:rsidP="00DB1D38">
            <w:pPr>
              <w:pStyle w:val="TableTextNumbers"/>
            </w:pPr>
            <w:r>
              <w:t xml:space="preserve">Click </w:t>
            </w:r>
            <w:r>
              <w:rPr>
                <w:b/>
              </w:rPr>
              <w:t>Yes</w:t>
            </w:r>
            <w:r>
              <w:t xml:space="preserve"> to confirm the save or </w:t>
            </w:r>
            <w:r>
              <w:rPr>
                <w:b/>
              </w:rPr>
              <w:t>No</w:t>
            </w:r>
            <w:r>
              <w:t xml:space="preserve"> to change the users selected.</w:t>
            </w:r>
          </w:p>
        </w:tc>
        <w:tc>
          <w:tcPr>
            <w:tcW w:w="6120" w:type="dxa"/>
          </w:tcPr>
          <w:p w:rsidR="00B51CFF" w:rsidRDefault="00B51CFF" w:rsidP="00DB1D38">
            <w:pPr>
              <w:pStyle w:val="TableTextBullet"/>
            </w:pPr>
            <w:r>
              <w:t>Creates an Audit Trail Report entry.</w:t>
            </w:r>
          </w:p>
          <w:p w:rsidR="00B51CFF" w:rsidRDefault="00B51CFF" w:rsidP="00DB1D38">
            <w:pPr>
              <w:pStyle w:val="TableText"/>
            </w:pPr>
          </w:p>
          <w:p w:rsidR="00B51CFF" w:rsidRDefault="00634BFC" w:rsidP="00DB1D38">
            <w:pPr>
              <w:pStyle w:val="TableText"/>
              <w:rPr>
                <w:b/>
                <w:bCs/>
                <w:szCs w:val="18"/>
              </w:rPr>
            </w:pPr>
            <w:r>
              <w:rPr>
                <w:b/>
                <w:bCs/>
                <w:noProof/>
              </w:rPr>
              <mc:AlternateContent>
                <mc:Choice Requires="wps">
                  <w:drawing>
                    <wp:anchor distT="0" distB="0" distL="114300" distR="114300" simplePos="0" relativeHeight="25172633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73" name="Line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1"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sreFwIAAC4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" strokeweight="1.5pt"/>
                  </w:pict>
                </mc:Fallback>
              </mc:AlternateContent>
            </w:r>
            <w:r w:rsidR="00B51CFF">
              <w:rPr>
                <w:b/>
                <w:bCs/>
                <w:szCs w:val="18"/>
              </w:rPr>
              <w:t>NOTES</w:t>
            </w:r>
          </w:p>
          <w:p w:rsidR="00B51CFF" w:rsidRDefault="00B51CFF" w:rsidP="00DB1D38">
            <w:pPr>
              <w:pStyle w:val="NotesText"/>
            </w:pPr>
          </w:p>
          <w:p w:rsidR="00B51CFF" w:rsidRDefault="00B51CFF" w:rsidP="00DB1D38">
            <w:pPr>
              <w:pStyle w:val="NotesText"/>
            </w:pPr>
            <w:r>
              <w:t>See the sample VBECS User Report.</w:t>
            </w:r>
          </w:p>
        </w:tc>
      </w:tr>
      <w:tr w:rsidR="00B51CFF">
        <w:tblPrEx>
          <w:tblCellMar>
            <w:top w:w="0" w:type="dxa"/>
            <w:bottom w:w="0" w:type="dxa"/>
          </w:tblCellMar>
        </w:tblPrEx>
        <w:trPr>
          <w:cantSplit/>
        </w:trPr>
        <w:tc>
          <w:tcPr>
            <w:tcW w:w="3240" w:type="dxa"/>
          </w:tcPr>
          <w:p w:rsidR="00B51CFF" w:rsidRDefault="00B51CFF" w:rsidP="00DB1D38">
            <w:pPr>
              <w:pStyle w:val="TableTextNumbers"/>
            </w:pPr>
            <w:r>
              <w:t>Repeat Steps 2–4 to change the roles of additional users.</w:t>
            </w:r>
          </w:p>
        </w:tc>
        <w:tc>
          <w:tcPr>
            <w:tcW w:w="6120" w:type="dxa"/>
          </w:tcPr>
          <w:p w:rsidR="00B51CFF" w:rsidRDefault="00B51CFF" w:rsidP="00DB1D38">
            <w:pPr>
              <w:pStyle w:val="TableText"/>
            </w:pPr>
          </w:p>
        </w:tc>
      </w:tr>
      <w:tr w:rsidR="00B51CFF">
        <w:tblPrEx>
          <w:tblCellMar>
            <w:top w:w="0" w:type="dxa"/>
            <w:bottom w:w="0" w:type="dxa"/>
          </w:tblCellMar>
        </w:tblPrEx>
        <w:trPr>
          <w:cantSplit/>
        </w:trPr>
        <w:tc>
          <w:tcPr>
            <w:tcW w:w="3240" w:type="dxa"/>
          </w:tcPr>
          <w:p w:rsidR="00B51CFF" w:rsidRDefault="00B51CFF" w:rsidP="00DB1D38">
            <w:pPr>
              <w:pStyle w:val="TableTextNumbers"/>
            </w:pPr>
            <w:r>
              <w:t xml:space="preserve">Click </w:t>
            </w:r>
            <w:r>
              <w:rPr>
                <w:b/>
              </w:rPr>
              <w:t>Cancel</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rsidR="00B51CFF" w:rsidRDefault="00B51CFF" w:rsidP="00DB1D38">
            <w:pPr>
              <w:pStyle w:val="TableText"/>
            </w:pPr>
          </w:p>
        </w:tc>
      </w:tr>
    </w:tbl>
    <w:p w:rsidR="00B51CFF" w:rsidRDefault="00B51CFF" w:rsidP="00B51CFF">
      <w:pPr>
        <w:pStyle w:val="Heading4"/>
      </w:pPr>
      <w:r>
        <w:t>VBECS User Report</w:t>
      </w:r>
      <w:r>
        <w:fldChar w:fldCharType="begin"/>
      </w:r>
      <w:r>
        <w:instrText xml:space="preserve"> XE “VBECS User Report” </w:instrText>
      </w:r>
      <w:r>
        <w:fldChar w:fldCharType="end"/>
      </w:r>
    </w:p>
    <w:p w:rsidR="00B51CFF" w:rsidRDefault="00B51CFF" w:rsidP="00B51CFF">
      <w:pPr>
        <w:pStyle w:val="BodyText"/>
      </w:pPr>
      <w:r>
        <w:t xml:space="preserve">The user may generate a </w:t>
      </w:r>
      <w:r w:rsidR="00F55505">
        <w:t xml:space="preserve">division </w:t>
      </w:r>
      <w:r>
        <w:t xml:space="preserve">report that includes the names, VBECS user IDs, and roles of active users. </w:t>
      </w:r>
      <w:r w:rsidR="005C768D" w:rsidRPr="00EC7489">
        <w:rPr>
          <w:rFonts w:ascii="Wingdings 3" w:hAnsi="Wingdings 3" w:cs="Wingdings"/>
        </w:rPr>
        <w:t></w:t>
      </w:r>
      <w:r w:rsidR="005C768D" w:rsidRPr="00EC7489">
        <w:rPr>
          <w:rFonts w:ascii="Wingdings 3" w:hAnsi="Wingdings 3" w:cs="Wingdings"/>
        </w:rPr>
        <w:t></w:t>
      </w:r>
      <w:r w:rsidR="005C768D" w:rsidRPr="00EC7489">
        <w:rPr>
          <w:rFonts w:ascii="Wingdings 3" w:hAnsi="Wingdings 3" w:cs="Wingdings"/>
        </w:rPr>
        <w:t></w:t>
      </w:r>
      <w:r w:rsidR="005C768D">
        <w:t xml:space="preserve"> </w:t>
      </w:r>
      <w:r w:rsidR="002E7EBF">
        <w:t xml:space="preserve">A </w:t>
      </w:r>
      <w:r w:rsidR="002E7EBF">
        <w:rPr>
          <w:snapToGrid w:val="0"/>
        </w:rPr>
        <w:t>Lead Technologist</w:t>
      </w:r>
      <w:r w:rsidR="002E7EBF">
        <w:t xml:space="preserve"> may generate a report of current VBECS users, by division, that includes the users’ name, user ID, division, and role. </w:t>
      </w:r>
    </w:p>
    <w:p w:rsidR="00B51CFF" w:rsidRDefault="00B51CFF" w:rsidP="00B51CFF">
      <w:pPr>
        <w:pStyle w:val="Heading2"/>
      </w:pPr>
      <w:bookmarkStart w:id="169" w:name="_Toc49233584"/>
      <w:bookmarkStart w:id="170" w:name="_Toc61845162"/>
      <w:r>
        <w:br w:type="page"/>
      </w:r>
      <w:bookmarkStart w:id="171" w:name="_Toc459900083"/>
      <w:bookmarkEnd w:id="169"/>
      <w:bookmarkEnd w:id="170"/>
      <w:r>
        <w:lastRenderedPageBreak/>
        <w:t>Component Classes</w:t>
      </w:r>
      <w:bookmarkEnd w:id="171"/>
      <w:r w:rsidRPr="00AB67A6">
        <w:rPr>
          <w:rFonts w:ascii="Arial Bold" w:hAnsi="Arial Bold"/>
          <w:vanish/>
        </w:rPr>
        <w:fldChar w:fldCharType="begin"/>
      </w:r>
      <w:r w:rsidRPr="00AB67A6">
        <w:rPr>
          <w:rFonts w:ascii="Arial Bold" w:hAnsi="Arial Bold"/>
          <w:vanish/>
        </w:rPr>
        <w:instrText xml:space="preserve"> XE “Component Classes” </w:instrText>
      </w:r>
      <w:r w:rsidRPr="00AB67A6">
        <w:rPr>
          <w:rFonts w:ascii="Arial Bold" w:hAnsi="Arial Bold"/>
          <w:vanish/>
        </w:rPr>
        <w:fldChar w:fldCharType="end"/>
      </w:r>
      <w:r w:rsidRPr="00AB67A6">
        <w:rPr>
          <w:rFonts w:ascii="Arial Bold" w:hAnsi="Arial Bold"/>
          <w:vanish/>
        </w:rPr>
        <w:t xml:space="preserve"> UC_50</w:t>
      </w:r>
    </w:p>
    <w:p w:rsidR="00B51CFF" w:rsidRDefault="00B51CFF" w:rsidP="00B51CFF">
      <w:pPr>
        <w:pStyle w:val="BodyText"/>
      </w:pPr>
      <w:r>
        <w:t>The user configures the component class parameters for the selected division.</w:t>
      </w:r>
    </w:p>
    <w:p w:rsidR="00B51CFF" w:rsidRDefault="00B51CFF" w:rsidP="00B51CFF">
      <w:pPr>
        <w:pStyle w:val="Heading4"/>
      </w:pPr>
      <w:r>
        <w:t>Assumptions</w:t>
      </w:r>
    </w:p>
    <w:p w:rsidR="00B51CFF" w:rsidRDefault="00B51CFF" w:rsidP="00B51CFF">
      <w:pPr>
        <w:pStyle w:val="ListBullet"/>
      </w:pPr>
      <w:r>
        <w:t xml:space="preserve">The connection to </w:t>
      </w:r>
      <w:r w:rsidRPr="00CA0045">
        <w:rPr>
          <w:bCs/>
        </w:rPr>
        <w:t>VistA</w:t>
      </w:r>
      <w:r>
        <w:t xml:space="preserve"> is active.</w:t>
      </w:r>
    </w:p>
    <w:p w:rsidR="00B51CFF" w:rsidRDefault="00B51CFF" w:rsidP="00B51CFF">
      <w:pPr>
        <w:pStyle w:val="ListBullet"/>
      </w:pPr>
      <w:r>
        <w:rPr>
          <w:vanish/>
          <w:spacing w:val="0"/>
        </w:rPr>
        <w:t xml:space="preserve">BR_50.03 </w:t>
      </w:r>
      <w:r>
        <w:t>The WHOLE BLOOD and RED BLOOD CELLS component classes are deployed as requiring current specimen ABO/Rh results before issue and may not be edited.</w:t>
      </w:r>
    </w:p>
    <w:p w:rsidR="00B51CFF" w:rsidRDefault="00B51CFF" w:rsidP="00B51CFF">
      <w:pPr>
        <w:pStyle w:val="ListBullet"/>
      </w:pPr>
      <w:r>
        <w:t xml:space="preserve">The FFP, PLT, CRYO and OTHER component classes do not have a specimen requirement defined at deployment. </w:t>
      </w:r>
    </w:p>
    <w:p w:rsidR="00B51CFF" w:rsidRDefault="00B51CFF" w:rsidP="00B51CFF">
      <w:pPr>
        <w:pStyle w:val="Heading4"/>
      </w:pPr>
      <w:r>
        <w:t>Outcome</w:t>
      </w:r>
    </w:p>
    <w:p w:rsidR="00B51CFF" w:rsidRDefault="00B51CFF" w:rsidP="00B51CFF">
      <w:pPr>
        <w:pStyle w:val="ListBullet"/>
      </w:pPr>
      <w:r>
        <w:t>Divisions have local settings for all component classes.</w:t>
      </w:r>
    </w:p>
    <w:p w:rsidR="00B51CFF" w:rsidRDefault="00B51CFF" w:rsidP="00B51CFF">
      <w:pPr>
        <w:pStyle w:val="Heading4"/>
      </w:pPr>
      <w:r>
        <w:t>Limitations and Restrictions</w:t>
      </w:r>
    </w:p>
    <w:p w:rsidR="00B51CFF" w:rsidRDefault="00B51CFF" w:rsidP="00B51CFF">
      <w:pPr>
        <w:pStyle w:val="ListBullet"/>
      </w:pPr>
      <w:r>
        <w:t xml:space="preserve">The user may not change the specimen requirement for a component class when there are incomplete orders for that component class. </w:t>
      </w:r>
    </w:p>
    <w:p w:rsidR="00B51CFF" w:rsidRDefault="00B51CFF" w:rsidP="00B51CFF">
      <w:pPr>
        <w:pStyle w:val="ListBullet"/>
      </w:pPr>
      <w:r>
        <w:t xml:space="preserve">There is no retrospective data entry or user selection </w:t>
      </w:r>
      <w:r w:rsidR="00F468B5">
        <w:t>for this</w:t>
      </w:r>
      <w:r>
        <w:t xml:space="preserve"> </w:t>
      </w:r>
      <w:r w:rsidR="00932460">
        <w:t>option</w:t>
      </w:r>
      <w:r>
        <w:t xml:space="preserve">. </w:t>
      </w:r>
    </w:p>
    <w:p w:rsidR="00B51CFF" w:rsidRDefault="00B51CFF" w:rsidP="00B51CFF">
      <w:pPr>
        <w:pStyle w:val="Heading4"/>
      </w:pPr>
      <w:r>
        <w:t>Additional Information</w:t>
      </w:r>
    </w:p>
    <w:p w:rsidR="00B51CFF" w:rsidRDefault="00B51CFF" w:rsidP="00B51CFF">
      <w:pPr>
        <w:pStyle w:val="ListBullet"/>
      </w:pPr>
      <w:r>
        <w:t xml:space="preserve">None </w:t>
      </w:r>
    </w:p>
    <w:p w:rsidR="00B51CFF" w:rsidRDefault="00B51CFF" w:rsidP="00B51CFF">
      <w:pPr>
        <w:pStyle w:val="Heading4"/>
      </w:pPr>
      <w:r>
        <w:t>User Roles with Access to This Option</w:t>
      </w:r>
    </w:p>
    <w:p w:rsidR="00B51CFF" w:rsidRDefault="00B51CFF" w:rsidP="00B51CFF">
      <w:pPr>
        <w:pStyle w:val="Roles"/>
        <w:rPr>
          <w:i/>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rsidR="00B51CFF" w:rsidRDefault="00B51CFF" w:rsidP="00B51CFF">
      <w:pPr>
        <w:pStyle w:val="Heading4"/>
      </w:pPr>
      <w:r>
        <w:t>Component Classes</w:t>
      </w:r>
    </w:p>
    <w:p w:rsidR="00B51CFF" w:rsidRDefault="00B51CFF" w:rsidP="00B51CFF">
      <w:pPr>
        <w:pStyle w:val="BodyText"/>
      </w:pPr>
      <w:r>
        <w:t>The user configures the parameters for the division’s component classes. These parameters are applied to all blood units that descend from this class. Component classes may be reset when business practices affecting the use of component classes change at a division.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B51CFF">
        <w:tblPrEx>
          <w:tblCellMar>
            <w:top w:w="0" w:type="dxa"/>
            <w:bottom w:w="0" w:type="dxa"/>
          </w:tblCellMar>
        </w:tblPrEx>
        <w:trPr>
          <w:tblHeader/>
        </w:trPr>
        <w:tc>
          <w:tcPr>
            <w:tcW w:w="3240" w:type="dxa"/>
            <w:shd w:val="pct30" w:color="auto" w:fill="FFFFFF"/>
            <w:vAlign w:val="bottom"/>
          </w:tcPr>
          <w:p w:rsidR="00B51CFF" w:rsidRDefault="00B51CFF" w:rsidP="00DB1D38">
            <w:pPr>
              <w:pStyle w:val="TableText"/>
              <w:rPr>
                <w:b/>
              </w:rPr>
            </w:pPr>
            <w:r>
              <w:rPr>
                <w:b/>
              </w:rPr>
              <w:t>User Action</w:t>
            </w:r>
          </w:p>
        </w:tc>
        <w:tc>
          <w:tcPr>
            <w:tcW w:w="6120" w:type="dxa"/>
            <w:shd w:val="pct30" w:color="auto" w:fill="FFFFFF"/>
            <w:vAlign w:val="bottom"/>
          </w:tcPr>
          <w:p w:rsidR="00B51CFF" w:rsidRDefault="00B51CFF" w:rsidP="00DB1D38">
            <w:pPr>
              <w:pStyle w:val="TableText"/>
              <w:rPr>
                <w:b/>
              </w:rPr>
            </w:pPr>
            <w:r>
              <w:rPr>
                <w:b/>
              </w:rPr>
              <w:t>VBECS</w:t>
            </w:r>
          </w:p>
        </w:tc>
      </w:tr>
      <w:tr w:rsidR="00B51CFF">
        <w:tblPrEx>
          <w:tblCellMar>
            <w:top w:w="0" w:type="dxa"/>
            <w:bottom w:w="0" w:type="dxa"/>
          </w:tblCellMar>
        </w:tblPrEx>
        <w:tc>
          <w:tcPr>
            <w:tcW w:w="3240" w:type="dxa"/>
          </w:tcPr>
          <w:p w:rsidR="00B51CFF" w:rsidRDefault="00B51CFF" w:rsidP="00DB1D38">
            <w:pPr>
              <w:pStyle w:val="TableTextNumbers"/>
            </w:pPr>
            <w:r>
              <w:t xml:space="preserve">Select </w:t>
            </w:r>
            <w:r>
              <w:rPr>
                <w:b/>
                <w:bCs/>
              </w:rPr>
              <w:t>Tools</w:t>
            </w:r>
            <w:r>
              <w:t xml:space="preserve"> from the main menu.</w:t>
            </w:r>
          </w:p>
          <w:p w:rsidR="00B51CFF" w:rsidRDefault="00B51CFF" w:rsidP="00DB1D38">
            <w:pPr>
              <w:pStyle w:val="TableTextNumbersContinued"/>
            </w:pPr>
          </w:p>
          <w:p w:rsidR="00B51CFF" w:rsidRDefault="00B51CFF" w:rsidP="00DB1D38">
            <w:pPr>
              <w:pStyle w:val="TableTextNumbersContinued"/>
            </w:pPr>
            <w:r>
              <w:t xml:space="preserve">Select </w:t>
            </w:r>
            <w:r>
              <w:rPr>
                <w:b/>
              </w:rPr>
              <w:t>Component Classes</w:t>
            </w:r>
            <w:r w:rsidR="00255293" w:rsidRPr="00255293">
              <w:t xml:space="preserve"> (</w:t>
            </w:r>
            <w:r w:rsidR="00255293">
              <w:fldChar w:fldCharType="begin"/>
            </w:r>
            <w:r w:rsidR="00255293">
              <w:instrText xml:space="preserve"> REF _Ref126470219 \h </w:instrText>
            </w:r>
            <w:r w:rsidR="00255293">
              <w:fldChar w:fldCharType="separate"/>
            </w:r>
            <w:r w:rsidR="005F38BC">
              <w:t xml:space="preserve">Figure </w:t>
            </w:r>
            <w:r w:rsidR="005F38BC">
              <w:rPr>
                <w:noProof/>
              </w:rPr>
              <w:t>42</w:t>
            </w:r>
            <w:r w:rsidR="00255293">
              <w:fldChar w:fldCharType="end"/>
            </w:r>
            <w:r w:rsidR="00255293">
              <w:t>)</w:t>
            </w:r>
            <w:r>
              <w:t>.</w:t>
            </w:r>
          </w:p>
        </w:tc>
        <w:tc>
          <w:tcPr>
            <w:tcW w:w="6120" w:type="dxa"/>
          </w:tcPr>
          <w:p w:rsidR="00B51CFF" w:rsidRDefault="00B51CFF" w:rsidP="00DB1D38">
            <w:pPr>
              <w:pStyle w:val="TableTextBullet"/>
            </w:pPr>
            <w:r>
              <w:t>Displays options for processing administrative functions.</w:t>
            </w:r>
          </w:p>
          <w:p w:rsidR="00B51CFF" w:rsidRDefault="00B51CFF" w:rsidP="00DB1D38">
            <w:pPr>
              <w:pStyle w:val="TableTextBullet"/>
            </w:pPr>
            <w:r>
              <w:t>Lists component classes.</w:t>
            </w:r>
          </w:p>
          <w:p w:rsidR="00B51CFF" w:rsidRDefault="00B51CFF" w:rsidP="00DB1D38">
            <w:pPr>
              <w:pStyle w:val="TableTextBullet"/>
            </w:pPr>
            <w:r>
              <w:t>Displays options for configuring division component classes:</w:t>
            </w:r>
          </w:p>
          <w:p w:rsidR="00B51CFF" w:rsidRDefault="00B51CFF" w:rsidP="00DB1D38">
            <w:pPr>
              <w:pStyle w:val="TableTextBullet1"/>
            </w:pPr>
            <w:r>
              <w:t>Require Current Specimen ABO/Rh Results?</w:t>
            </w:r>
          </w:p>
          <w:p w:rsidR="00B51CFF" w:rsidRDefault="0052794C" w:rsidP="00DB1D38">
            <w:pPr>
              <w:pStyle w:val="TableTextBullet1"/>
            </w:pPr>
            <w:r>
              <w:t>Maximum Transfusion Time.</w:t>
            </w:r>
          </w:p>
          <w:p w:rsidR="00B51CFF" w:rsidRDefault="00B51CFF" w:rsidP="00DB1D38">
            <w:pPr>
              <w:pStyle w:val="TableTextBullet"/>
            </w:pPr>
            <w:r>
              <w:t>Displays options for defining inappropriate request indicators.</w:t>
            </w:r>
          </w:p>
          <w:p w:rsidR="00B51CFF" w:rsidRDefault="00B51CFF" w:rsidP="00DB1D38">
            <w:pPr>
              <w:pStyle w:val="TableText"/>
              <w:rPr>
                <w:b/>
                <w:bCs/>
                <w:szCs w:val="18"/>
              </w:rPr>
            </w:pPr>
          </w:p>
          <w:p w:rsidR="00B51CFF" w:rsidRDefault="00634BFC" w:rsidP="00DB1D38">
            <w:pPr>
              <w:pStyle w:val="TableText"/>
              <w:rPr>
                <w:b/>
                <w:bCs/>
                <w:szCs w:val="18"/>
              </w:rPr>
            </w:pPr>
            <w:r>
              <w:rPr>
                <w:b/>
                <w:bCs/>
                <w:noProof/>
              </w:rPr>
              <mc:AlternateContent>
                <mc:Choice Requires="wps">
                  <w:drawing>
                    <wp:anchor distT="0" distB="0" distL="114300" distR="114300" simplePos="0" relativeHeight="25172940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72" name="Line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4"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ZO9FgIAAC4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C6&#10;LZO9FgIAAC4EAAAOAAAAAAAAAAAAAAAAAC4CAABkcnMvZTJvRG9jLnhtbFBLAQItABQABgAIAAAA&#10;IQAXTzAS2wAAAAgBAAAPAAAAAAAAAAAAAAAAAHAEAABkcnMvZG93bnJldi54bWxQSwUGAAAAAAQA&#10;BADzAAAAeAUAAAAA&#10;" strokeweight="1.5pt"/>
                  </w:pict>
                </mc:Fallback>
              </mc:AlternateContent>
            </w:r>
            <w:r w:rsidR="00B51CFF">
              <w:rPr>
                <w:b/>
                <w:bCs/>
                <w:szCs w:val="18"/>
              </w:rPr>
              <w:t>NOTES</w:t>
            </w:r>
          </w:p>
          <w:p w:rsidR="00B51CFF" w:rsidRDefault="00B51CFF" w:rsidP="00DB1D38">
            <w:pPr>
              <w:pStyle w:val="NotesText"/>
            </w:pPr>
          </w:p>
          <w:p w:rsidR="00B51CFF" w:rsidRDefault="00B51CFF" w:rsidP="00DB1D38">
            <w:pPr>
              <w:pStyle w:val="NotesText"/>
            </w:pPr>
            <w:r>
              <w:t xml:space="preserve">See </w:t>
            </w:r>
            <w:r w:rsidR="00543DAF">
              <w:fldChar w:fldCharType="begin"/>
            </w:r>
            <w:r w:rsidR="00543DAF">
              <w:instrText xml:space="preserve"> REF _Ref170004931 \h </w:instrText>
            </w:r>
            <w:r w:rsidR="00543DAF">
              <w:fldChar w:fldCharType="separate"/>
            </w:r>
            <w:r w:rsidR="005F38BC">
              <w:t xml:space="preserve">Appendix </w:t>
            </w:r>
            <w:r w:rsidR="005F38BC">
              <w:rPr>
                <w:noProof/>
              </w:rPr>
              <w:t>B</w:t>
            </w:r>
            <w:r w:rsidR="00543DAF">
              <w:fldChar w:fldCharType="end"/>
            </w:r>
            <w:r>
              <w:t>:</w:t>
            </w:r>
            <w:r w:rsidR="00DA05C9">
              <w:t xml:space="preserve"> </w:t>
            </w:r>
            <w:r w:rsidR="00DA05C9">
              <w:fldChar w:fldCharType="begin"/>
            </w:r>
            <w:r w:rsidR="00DA05C9">
              <w:instrText xml:space="preserve"> REF _Ref126484394 \h </w:instrText>
            </w:r>
            <w:r w:rsidR="00DA05C9">
              <w:fldChar w:fldCharType="separate"/>
            </w:r>
            <w:r w:rsidR="005F38BC" w:rsidRPr="00575E6D">
              <w:t xml:space="preserve">Table </w:t>
            </w:r>
            <w:r w:rsidR="005F38BC">
              <w:rPr>
                <w:noProof/>
              </w:rPr>
              <w:t>18</w:t>
            </w:r>
            <w:r w:rsidR="005F38BC" w:rsidRPr="00575E6D">
              <w:t xml:space="preserve">: </w:t>
            </w:r>
            <w:r w:rsidR="005F38BC" w:rsidRPr="00575E6D">
              <w:rPr>
                <w:vanish/>
              </w:rPr>
              <w:t xml:space="preserve">PT_1.06 </w:t>
            </w:r>
            <w:r w:rsidR="005F38BC" w:rsidRPr="00575E6D">
              <w:t>CPRS Orderable Blood Components (Component Classes) Mapped to ICCBBA Component Classes</w:t>
            </w:r>
            <w:r w:rsidR="00DA05C9">
              <w:fldChar w:fldCharType="end"/>
            </w:r>
            <w:r>
              <w:t>.</w:t>
            </w:r>
          </w:p>
        </w:tc>
      </w:tr>
      <w:tr w:rsidR="00B51CFF">
        <w:tblPrEx>
          <w:tblCellMar>
            <w:top w:w="0" w:type="dxa"/>
            <w:bottom w:w="0" w:type="dxa"/>
          </w:tblCellMar>
        </w:tblPrEx>
        <w:tc>
          <w:tcPr>
            <w:tcW w:w="3240" w:type="dxa"/>
          </w:tcPr>
          <w:p w:rsidR="00B51CFF" w:rsidRDefault="00B51CFF" w:rsidP="00DB1D38">
            <w:pPr>
              <w:pStyle w:val="TableTextNumbers"/>
            </w:pPr>
            <w:r>
              <w:t>Select a class from the Select Component Class list.</w:t>
            </w:r>
          </w:p>
          <w:p w:rsidR="00B51CFF" w:rsidRDefault="00B51CFF" w:rsidP="00DB1D38">
            <w:pPr>
              <w:pStyle w:val="TableTextNumbersContinued"/>
              <w:rPr>
                <w:b/>
                <w:bCs/>
              </w:rPr>
            </w:pPr>
          </w:p>
          <w:p w:rsidR="00B51CFF" w:rsidRDefault="00B51CFF" w:rsidP="00DB1D38">
            <w:pPr>
              <w:pStyle w:val="TableTextNumbersContinued"/>
            </w:pPr>
            <w:r>
              <w:t xml:space="preserve">Click </w:t>
            </w:r>
            <w:r>
              <w:rPr>
                <w:b/>
              </w:rPr>
              <w:t>OK</w:t>
            </w:r>
            <w:r>
              <w:t xml:space="preserve"> to accept the list, or click the </w:t>
            </w:r>
            <w:r>
              <w:rPr>
                <w:b/>
              </w:rPr>
              <w:t xml:space="preserve">Require Current Specimen ABO/Rh Results? </w:t>
            </w:r>
            <w:r w:rsidRPr="00D1100E">
              <w:t>check box</w:t>
            </w:r>
            <w:r>
              <w:t>, when appropriate.</w:t>
            </w:r>
          </w:p>
        </w:tc>
        <w:tc>
          <w:tcPr>
            <w:tcW w:w="6120" w:type="dxa"/>
          </w:tcPr>
          <w:p w:rsidR="00B51CFF" w:rsidRDefault="00B51CFF" w:rsidP="00DB1D38">
            <w:pPr>
              <w:pStyle w:val="TableTextBullet"/>
            </w:pPr>
            <w:r>
              <w:t xml:space="preserve">Requires current specimen ABO/Rh results for issue. </w:t>
            </w:r>
          </w:p>
          <w:p w:rsidR="00B51CFF" w:rsidRDefault="00B51CFF" w:rsidP="00DB1D38">
            <w:pPr>
              <w:pStyle w:val="TableTextBullet"/>
            </w:pPr>
            <w:r>
              <w:t xml:space="preserve">Defines the maximum transfusion times. </w:t>
            </w:r>
          </w:p>
          <w:p w:rsidR="00B51CFF" w:rsidRDefault="00B51CFF" w:rsidP="00DB1D38">
            <w:pPr>
              <w:pStyle w:val="TableTextBullet"/>
            </w:pPr>
            <w:r>
              <w:t>Defines inappropriate request indicators.</w:t>
            </w:r>
          </w:p>
          <w:p w:rsidR="00B51CFF" w:rsidRDefault="00B51CFF" w:rsidP="00DB1D38">
            <w:pPr>
              <w:pStyle w:val="TableTextBullet"/>
            </w:pPr>
            <w:r>
              <w:t>Allows the user to edit this parameter for component classes that do not contain only red blood cells.</w:t>
            </w:r>
          </w:p>
          <w:p w:rsidR="00B51CFF" w:rsidRDefault="00B51CFF" w:rsidP="00DB1D38">
            <w:pPr>
              <w:pStyle w:val="TableTextBullet"/>
            </w:pPr>
            <w:r>
              <w:t>Saves the component to the division list.</w:t>
            </w:r>
          </w:p>
          <w:p w:rsidR="00B51CFF" w:rsidRDefault="00B51CFF" w:rsidP="00DB1D38">
            <w:pPr>
              <w:pStyle w:val="TableText"/>
            </w:pPr>
          </w:p>
          <w:p w:rsidR="00B51CFF" w:rsidRDefault="00634BFC" w:rsidP="00DB1D38">
            <w:pPr>
              <w:pStyle w:val="TableText"/>
              <w:rPr>
                <w:b/>
                <w:bCs/>
                <w:szCs w:val="18"/>
              </w:rPr>
            </w:pPr>
            <w:r>
              <w:rPr>
                <w:b/>
                <w:bCs/>
                <w:noProof/>
              </w:rPr>
              <mc:AlternateContent>
                <mc:Choice Requires="wps">
                  <w:drawing>
                    <wp:anchor distT="0" distB="0" distL="114300" distR="114300" simplePos="0" relativeHeight="25173043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71" name="Line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5" o:spid="_x0000_s1026" style="position:absolute;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CYoFgIAAC4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Bf&#10;kCYoFgIAAC4EAAAOAAAAAAAAAAAAAAAAAC4CAABkcnMvZTJvRG9jLnhtbFBLAQItABQABgAIAAAA&#10;IQAXTzAS2wAAAAgBAAAPAAAAAAAAAAAAAAAAAHAEAABkcnMvZG93bnJldi54bWxQSwUGAAAAAAQA&#10;BADzAAAAeAUAAAAA&#10;" strokeweight="1.5pt"/>
                  </w:pict>
                </mc:Fallback>
              </mc:AlternateContent>
            </w:r>
            <w:r w:rsidR="00B51CFF">
              <w:rPr>
                <w:b/>
                <w:bCs/>
                <w:szCs w:val="18"/>
              </w:rPr>
              <w:t>NOTES</w:t>
            </w:r>
          </w:p>
          <w:p w:rsidR="00B51CFF" w:rsidRDefault="00B51CFF" w:rsidP="00DB1D38">
            <w:pPr>
              <w:pStyle w:val="NotesText"/>
            </w:pPr>
          </w:p>
          <w:p w:rsidR="00B51CFF" w:rsidRDefault="00B51CFF" w:rsidP="00DB1D38">
            <w:pPr>
              <w:pStyle w:val="NotesText"/>
            </w:pPr>
            <w:r>
              <w:lastRenderedPageBreak/>
              <w:t>Component class configuration is required. Component classes: RED BLOOD CELLS, FFP, CRYO, PLT, WHOLE BLOOD, and OTHER.</w:t>
            </w:r>
          </w:p>
        </w:tc>
      </w:tr>
      <w:tr w:rsidR="00B51CFF">
        <w:tblPrEx>
          <w:tblCellMar>
            <w:top w:w="0" w:type="dxa"/>
            <w:bottom w:w="0" w:type="dxa"/>
          </w:tblCellMar>
        </w:tblPrEx>
        <w:tc>
          <w:tcPr>
            <w:tcW w:w="3240" w:type="dxa"/>
          </w:tcPr>
          <w:p w:rsidR="00B51CFF" w:rsidRDefault="00B51CFF" w:rsidP="00DB1D38">
            <w:pPr>
              <w:pStyle w:val="TableTextNumbers"/>
            </w:pPr>
            <w:r>
              <w:lastRenderedPageBreak/>
              <w:t>Edit the maximum transfusion time.</w:t>
            </w:r>
          </w:p>
        </w:tc>
        <w:tc>
          <w:tcPr>
            <w:tcW w:w="6120" w:type="dxa"/>
          </w:tcPr>
          <w:p w:rsidR="00B51CFF" w:rsidRDefault="00B51CFF" w:rsidP="00DB1D38">
            <w:pPr>
              <w:pStyle w:val="TableText"/>
            </w:pPr>
          </w:p>
          <w:p w:rsidR="00B51CFF" w:rsidRDefault="00634BFC" w:rsidP="00DB1D38">
            <w:pPr>
              <w:pStyle w:val="TableText"/>
              <w:rPr>
                <w:b/>
                <w:bCs/>
                <w:szCs w:val="18"/>
              </w:rPr>
            </w:pPr>
            <w:r>
              <w:rPr>
                <w:b/>
                <w:bCs/>
                <w:noProof/>
              </w:rPr>
              <mc:AlternateContent>
                <mc:Choice Requires="wps">
                  <w:drawing>
                    <wp:anchor distT="0" distB="0" distL="114300" distR="114300" simplePos="0" relativeHeight="25173145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70" name="Line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6"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HgE&#10;ydwVAgAALgQAAA4AAAAAAAAAAAAAAAAALgIAAGRycy9lMm9Eb2MueG1sUEsBAi0AFAAGAAgAAAAh&#10;ABdPMBLbAAAACAEAAA8AAAAAAAAAAAAAAAAAbwQAAGRycy9kb3ducmV2LnhtbFBLBQYAAAAABAAE&#10;APMAAAB3BQAAAAA=&#10;" strokeweight="1.5pt"/>
                  </w:pict>
                </mc:Fallback>
              </mc:AlternateContent>
            </w:r>
            <w:r w:rsidR="00B51CFF">
              <w:rPr>
                <w:b/>
                <w:bCs/>
                <w:szCs w:val="18"/>
              </w:rPr>
              <w:t>NOTES</w:t>
            </w:r>
          </w:p>
          <w:p w:rsidR="00B51CFF" w:rsidRDefault="00B51CFF" w:rsidP="00DB1D38">
            <w:pPr>
              <w:pStyle w:val="NotesText"/>
            </w:pPr>
          </w:p>
          <w:p w:rsidR="00B51CFF" w:rsidRDefault="00B51CFF" w:rsidP="00DB1D38">
            <w:pPr>
              <w:pStyle w:val="NotesText"/>
            </w:pPr>
            <w:r w:rsidRPr="00C21893">
              <w:rPr>
                <w:rFonts w:cs="Arial"/>
                <w:vanish/>
                <w:szCs w:val="18"/>
              </w:rPr>
              <w:t xml:space="preserve">BR_50.04 </w:t>
            </w:r>
            <w:r w:rsidRPr="00C21893">
              <w:rPr>
                <w:rFonts w:cs="Arial"/>
                <w:szCs w:val="18"/>
              </w:rPr>
              <w:t>V</w:t>
            </w:r>
            <w:r>
              <w:t>BECS records the maximum transfusion time from the transfusion start to the transfusion end time in minutes with a default of 270 minutes. The user may edit the maximum transfusion time to a minimum time of 5 minutes and a maximum time of 999 minutes.</w:t>
            </w:r>
          </w:p>
          <w:p w:rsidR="00B51CFF" w:rsidRDefault="00B51CFF" w:rsidP="00DB1D38">
            <w:pPr>
              <w:pStyle w:val="NotesText"/>
            </w:pPr>
          </w:p>
          <w:p w:rsidR="00B51CFF" w:rsidRDefault="00B51CFF" w:rsidP="00DB1D38">
            <w:pPr>
              <w:pStyle w:val="NotesText"/>
            </w:pPr>
            <w:r>
              <w:t xml:space="preserve">VBECS uses the maximum transfusion times in minutes to determine whether the time used to transfuse a unit of blood is inappropriate for a class. </w:t>
            </w:r>
          </w:p>
        </w:tc>
      </w:tr>
      <w:tr w:rsidR="00B51CFF">
        <w:tblPrEx>
          <w:tblCellMar>
            <w:top w:w="0" w:type="dxa"/>
            <w:bottom w:w="0" w:type="dxa"/>
          </w:tblCellMar>
        </w:tblPrEx>
        <w:tc>
          <w:tcPr>
            <w:tcW w:w="3240" w:type="dxa"/>
          </w:tcPr>
          <w:p w:rsidR="00B51CFF" w:rsidRDefault="00B51CFF" w:rsidP="00DB1D38">
            <w:pPr>
              <w:pStyle w:val="TableTextNumbers"/>
            </w:pPr>
            <w:r>
              <w:t>Define the inappropriate request indicators.</w:t>
            </w:r>
          </w:p>
          <w:p w:rsidR="00B51CFF" w:rsidRDefault="00B51CFF" w:rsidP="00DB1D38">
            <w:pPr>
              <w:pStyle w:val="TableTextNumbersContinued"/>
              <w:rPr>
                <w:b/>
                <w:bCs/>
              </w:rPr>
            </w:pPr>
          </w:p>
          <w:p w:rsidR="00B51CFF" w:rsidRDefault="00B51CFF" w:rsidP="00DB1D38">
            <w:pPr>
              <w:pStyle w:val="TableTextNumbersContinued"/>
            </w:pPr>
            <w:r>
              <w:t xml:space="preserve">Click the </w:t>
            </w:r>
            <w:r w:rsidR="00A6373D">
              <w:rPr>
                <w:b/>
              </w:rPr>
              <w:t>find</w:t>
            </w:r>
            <w:r w:rsidRPr="00BF2E41">
              <w:t xml:space="preserve"> button</w:t>
            </w:r>
            <w:r>
              <w:t xml:space="preserve"> to search for a new laboratory test name.</w:t>
            </w:r>
          </w:p>
          <w:p w:rsidR="00B51CFF" w:rsidRDefault="00B51CFF" w:rsidP="00DB1D38">
            <w:pPr>
              <w:pStyle w:val="TableTextNumbersContinued"/>
            </w:pPr>
          </w:p>
          <w:p w:rsidR="00B51CFF" w:rsidRDefault="00B51CFF" w:rsidP="00DB1D38">
            <w:pPr>
              <w:pStyle w:val="TableTextNumbersContinued"/>
            </w:pPr>
            <w:r>
              <w:t>Enter a partial lab</w:t>
            </w:r>
            <w:r w:rsidR="008632FE">
              <w:t>oratory</w:t>
            </w:r>
            <w:r>
              <w:t xml:space="preserve"> test name and click </w:t>
            </w:r>
            <w:r w:rsidR="00173187" w:rsidRPr="00173187">
              <w:rPr>
                <w:b/>
              </w:rPr>
              <w:t>Search</w:t>
            </w:r>
            <w:r>
              <w:t>.</w:t>
            </w:r>
          </w:p>
          <w:p w:rsidR="00B51CFF" w:rsidRDefault="00B51CFF" w:rsidP="00DB1D38">
            <w:pPr>
              <w:pStyle w:val="TableTextNumbersContinued"/>
            </w:pPr>
          </w:p>
          <w:p w:rsidR="00B51CFF" w:rsidRDefault="00B51CFF" w:rsidP="00DB1D38">
            <w:pPr>
              <w:pStyle w:val="TableTextNumbersContinued"/>
            </w:pPr>
            <w:r>
              <w:t>Select a lab</w:t>
            </w:r>
            <w:r w:rsidR="008632FE">
              <w:t>oratory</w:t>
            </w:r>
            <w:r>
              <w:t xml:space="preserve"> test name and click </w:t>
            </w:r>
            <w:r>
              <w:rPr>
                <w:b/>
              </w:rPr>
              <w:t>OK</w:t>
            </w:r>
            <w:r>
              <w:t xml:space="preserve"> to add it.</w:t>
            </w:r>
          </w:p>
          <w:p w:rsidR="00B51CFF" w:rsidRDefault="00B51CFF" w:rsidP="00DB1D38">
            <w:pPr>
              <w:pStyle w:val="TableTextNumbersContinued"/>
            </w:pPr>
          </w:p>
          <w:p w:rsidR="00B51CFF" w:rsidRDefault="00B51CFF" w:rsidP="00DB1D38">
            <w:pPr>
              <w:pStyle w:val="TableTextNumbersContinued"/>
            </w:pPr>
            <w:r>
              <w:t xml:space="preserve">Click the </w:t>
            </w:r>
            <w:r>
              <w:rPr>
                <w:b/>
              </w:rPr>
              <w:t xml:space="preserve">Show Inactive Inappropriate Request Indicators </w:t>
            </w:r>
            <w:r w:rsidRPr="00D1100E">
              <w:t>check box</w:t>
            </w:r>
            <w:r>
              <w:t>, if desired.</w:t>
            </w:r>
          </w:p>
        </w:tc>
        <w:tc>
          <w:tcPr>
            <w:tcW w:w="6120" w:type="dxa"/>
          </w:tcPr>
          <w:p w:rsidR="00B51CFF" w:rsidRDefault="00B51CFF" w:rsidP="00DB1D38">
            <w:pPr>
              <w:pStyle w:val="TableTextBullet"/>
            </w:pPr>
            <w:r>
              <w:t>Facilitates data entry of one or more inappropriate request indicators:</w:t>
            </w:r>
          </w:p>
          <w:p w:rsidR="00B51CFF" w:rsidRDefault="00B51CFF" w:rsidP="00DB1D38">
            <w:pPr>
              <w:pStyle w:val="TableTextBullet1"/>
            </w:pPr>
            <w:r>
              <w:t>Laboratory Test Name</w:t>
            </w:r>
          </w:p>
          <w:p w:rsidR="00B51CFF" w:rsidRDefault="00B51CFF" w:rsidP="00DB1D38">
            <w:pPr>
              <w:pStyle w:val="TableTextBullet1"/>
            </w:pPr>
            <w:r>
              <w:t>Specimen Type</w:t>
            </w:r>
          </w:p>
          <w:p w:rsidR="00B51CFF" w:rsidRDefault="00B51CFF" w:rsidP="00DB1D38">
            <w:pPr>
              <w:pStyle w:val="TableTextBullet1"/>
            </w:pPr>
            <w:r>
              <w:t>Threshold Result</w:t>
            </w:r>
          </w:p>
          <w:p w:rsidR="00B51CFF" w:rsidRDefault="00B51CFF" w:rsidP="00DB1D38">
            <w:pPr>
              <w:pStyle w:val="TableTextBullet"/>
            </w:pPr>
            <w:r>
              <w:t>Uses VistALink to retrieve the laboratory test name and specimen type indicators. The user enters the threshold result indicator.</w:t>
            </w:r>
          </w:p>
          <w:p w:rsidR="00B51CFF" w:rsidRDefault="00B51CFF" w:rsidP="00DB1D38">
            <w:pPr>
              <w:pStyle w:val="TableTextBullet"/>
            </w:pPr>
            <w:r>
              <w:t>Displays the entry and allows the user to edit it.</w:t>
            </w:r>
          </w:p>
          <w:p w:rsidR="008632FE" w:rsidRDefault="00595334" w:rsidP="00DB1D38">
            <w:pPr>
              <w:pStyle w:val="TableTextBullet"/>
            </w:pPr>
            <w:r>
              <w:t>Displays inactive tests and allows the user to reactivate them.</w:t>
            </w:r>
          </w:p>
          <w:p w:rsidR="00B51CFF" w:rsidRDefault="00B51CFF" w:rsidP="00DB1D38">
            <w:pPr>
              <w:pStyle w:val="TableText"/>
            </w:pPr>
          </w:p>
          <w:p w:rsidR="00B51CFF" w:rsidRDefault="00634BFC" w:rsidP="00DB1D38">
            <w:pPr>
              <w:pStyle w:val="TableText"/>
              <w:rPr>
                <w:b/>
                <w:bCs/>
                <w:szCs w:val="18"/>
              </w:rPr>
            </w:pPr>
            <w:r>
              <w:rPr>
                <w:b/>
                <w:bCs/>
                <w:noProof/>
              </w:rPr>
              <mc:AlternateContent>
                <mc:Choice Requires="wps">
                  <w:drawing>
                    <wp:anchor distT="0" distB="0" distL="114300" distR="114300" simplePos="0" relativeHeight="25173248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69" name="Line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7"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HEWFgIAAC4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AS&#10;0HEWFgIAAC4EAAAOAAAAAAAAAAAAAAAAAC4CAABkcnMvZTJvRG9jLnhtbFBLAQItABQABgAIAAAA&#10;IQAXTzAS2wAAAAgBAAAPAAAAAAAAAAAAAAAAAHAEAABkcnMvZG93bnJldi54bWxQSwUGAAAAAAQA&#10;BADzAAAAeAUAAAAA&#10;" strokeweight="1.5pt"/>
                  </w:pict>
                </mc:Fallback>
              </mc:AlternateContent>
            </w:r>
            <w:r w:rsidR="00B51CFF">
              <w:rPr>
                <w:b/>
                <w:bCs/>
                <w:szCs w:val="18"/>
              </w:rPr>
              <w:t>NOTES</w:t>
            </w:r>
          </w:p>
          <w:p w:rsidR="00B51CFF" w:rsidRDefault="00B51CFF" w:rsidP="00DB1D38">
            <w:pPr>
              <w:pStyle w:val="NotesText"/>
            </w:pPr>
          </w:p>
          <w:p w:rsidR="00B51CFF" w:rsidRDefault="00B51CFF" w:rsidP="00DB1D38">
            <w:pPr>
              <w:pStyle w:val="NotesText"/>
            </w:pPr>
            <w:r w:rsidRPr="00E274BF">
              <w:rPr>
                <w:rFonts w:cs="Arial"/>
                <w:vanish/>
                <w:szCs w:val="18"/>
              </w:rPr>
              <w:t>BR_33.01</w:t>
            </w:r>
            <w:r w:rsidRPr="009660C3">
              <w:rPr>
                <w:vanish/>
                <w:szCs w:val="18"/>
              </w:rPr>
              <w:t xml:space="preserve"> </w:t>
            </w:r>
            <w:r>
              <w:t xml:space="preserve">VBECS uses the laboratory test name as the only input parameter to search for all possible matches and return the Laboratory Test Name, Specimen Type(s), and </w:t>
            </w:r>
            <w:r w:rsidRPr="00CA0045">
              <w:t>VistA</w:t>
            </w:r>
            <w:r>
              <w:t xml:space="preserve"> Lab Test </w:t>
            </w:r>
            <w:r w:rsidR="001A1559">
              <w:t>Internal Entry Number (</w:t>
            </w:r>
            <w:r>
              <w:t>IEN</w:t>
            </w:r>
            <w:r w:rsidR="001A1559">
              <w:t>)</w:t>
            </w:r>
            <w:r>
              <w:t>.</w:t>
            </w:r>
          </w:p>
          <w:p w:rsidR="00B51CFF" w:rsidRDefault="00B51CFF" w:rsidP="00DB1D38">
            <w:pPr>
              <w:pStyle w:val="NotesText"/>
            </w:pPr>
          </w:p>
          <w:p w:rsidR="00B51CFF" w:rsidRDefault="00B51CFF" w:rsidP="00DB1D38">
            <w:pPr>
              <w:pStyle w:val="NotesText"/>
            </w:pPr>
            <w:r w:rsidRPr="00E274BF">
              <w:rPr>
                <w:rFonts w:cs="Arial"/>
                <w:vanish/>
                <w:szCs w:val="18"/>
              </w:rPr>
              <w:t>BR_50.05</w:t>
            </w:r>
            <w:r w:rsidRPr="009660C3">
              <w:rPr>
                <w:vanish/>
                <w:szCs w:val="18"/>
              </w:rPr>
              <w:t xml:space="preserve"> </w:t>
            </w:r>
            <w:r>
              <w:t>A numeric threshold result must include “&lt;” or “&gt;”and a numerical result, e.g., “&gt;8.0.”</w:t>
            </w:r>
          </w:p>
          <w:p w:rsidR="00B51CFF" w:rsidRDefault="00B51CFF" w:rsidP="00DB1D38">
            <w:pPr>
              <w:pStyle w:val="NotesText"/>
            </w:pPr>
          </w:p>
          <w:p w:rsidR="00B51CFF" w:rsidRDefault="00B51CFF" w:rsidP="00DB1D38">
            <w:pPr>
              <w:pStyle w:val="NotesText"/>
            </w:pPr>
            <w:r>
              <w:t xml:space="preserve">The settings here indicate predetermined levels used to determine the appropriateness of a component order. Settings are different for each component class. The example of a “&gt;8.0” hemoglobin level is set according to local policy. </w:t>
            </w:r>
          </w:p>
          <w:p w:rsidR="00B51CFF" w:rsidRDefault="00B51CFF" w:rsidP="00DB1D38">
            <w:pPr>
              <w:pStyle w:val="NotesText"/>
            </w:pPr>
          </w:p>
          <w:p w:rsidR="00B51CFF" w:rsidRDefault="00B51CFF" w:rsidP="00DB1D38">
            <w:pPr>
              <w:pStyle w:val="NotesText"/>
            </w:pPr>
            <w:r>
              <w:t>An example of an inappropriate request indicator:</w:t>
            </w:r>
          </w:p>
          <w:p w:rsidR="00B51CFF" w:rsidRDefault="00B51CFF" w:rsidP="00DB1D38">
            <w:pPr>
              <w:pStyle w:val="NotesTextBullet"/>
              <w:rPr>
                <w:b/>
              </w:rPr>
            </w:pPr>
            <w:r>
              <w:t>The test name is “HGB.”</w:t>
            </w:r>
          </w:p>
          <w:p w:rsidR="00B51CFF" w:rsidRDefault="00B51CFF" w:rsidP="00DB1D38">
            <w:pPr>
              <w:pStyle w:val="NotesTextBullet"/>
            </w:pPr>
            <w:r>
              <w:t>The specimen is entered as “Blood.”</w:t>
            </w:r>
          </w:p>
          <w:p w:rsidR="00B51CFF" w:rsidRDefault="00B51CFF" w:rsidP="00DB1D38">
            <w:pPr>
              <w:pStyle w:val="NotesTextBullet"/>
              <w:rPr>
                <w:b/>
              </w:rPr>
            </w:pPr>
            <w:r>
              <w:t>The threshold result is set to “&gt;8.0.”</w:t>
            </w:r>
          </w:p>
        </w:tc>
      </w:tr>
      <w:tr w:rsidR="00B51CFF">
        <w:tblPrEx>
          <w:tblCellMar>
            <w:top w:w="0" w:type="dxa"/>
            <w:bottom w:w="0" w:type="dxa"/>
          </w:tblCellMar>
        </w:tblPrEx>
        <w:tc>
          <w:tcPr>
            <w:tcW w:w="3240" w:type="dxa"/>
          </w:tcPr>
          <w:p w:rsidR="00B51CFF" w:rsidRDefault="00B51CFF" w:rsidP="00DB1D38">
            <w:pPr>
              <w:pStyle w:val="TableTextNumbers"/>
            </w:pPr>
            <w:r>
              <w:t xml:space="preserve">Click </w:t>
            </w:r>
            <w:r>
              <w:rPr>
                <w:b/>
              </w:rPr>
              <w:t>Add</w:t>
            </w:r>
            <w:r>
              <w:t xml:space="preserve"> to add the VBECS component class site parameters to the database.</w:t>
            </w:r>
          </w:p>
        </w:tc>
        <w:tc>
          <w:tcPr>
            <w:tcW w:w="6120" w:type="dxa"/>
          </w:tcPr>
          <w:p w:rsidR="00B51CFF" w:rsidRDefault="00B51CFF" w:rsidP="00DB1D38">
            <w:pPr>
              <w:pStyle w:val="TableTextBullet"/>
            </w:pPr>
            <w:r>
              <w:t>Displays the component class parameters and allows the user to edit them before saving.</w:t>
            </w:r>
          </w:p>
          <w:p w:rsidR="00B51CFF" w:rsidRDefault="00B51CFF" w:rsidP="00DB1D38">
            <w:pPr>
              <w:pStyle w:val="TableText"/>
            </w:pPr>
          </w:p>
        </w:tc>
      </w:tr>
      <w:tr w:rsidR="00B51CFF">
        <w:tblPrEx>
          <w:tblCellMar>
            <w:top w:w="0" w:type="dxa"/>
            <w:bottom w:w="0" w:type="dxa"/>
          </w:tblCellMar>
        </w:tblPrEx>
        <w:tc>
          <w:tcPr>
            <w:tcW w:w="3240" w:type="dxa"/>
          </w:tcPr>
          <w:p w:rsidR="00B51CFF" w:rsidRDefault="00B51CFF" w:rsidP="00DB1D38">
            <w:pPr>
              <w:pStyle w:val="TableTextNumbers"/>
            </w:pPr>
            <w:r>
              <w:t>Repeat Steps 2–6 for each component class to be edited.</w:t>
            </w:r>
          </w:p>
        </w:tc>
        <w:tc>
          <w:tcPr>
            <w:tcW w:w="6120" w:type="dxa"/>
          </w:tcPr>
          <w:p w:rsidR="00B51CFF" w:rsidRDefault="00B51CFF" w:rsidP="00DB1D38">
            <w:pPr>
              <w:pStyle w:val="TableText"/>
            </w:pPr>
          </w:p>
        </w:tc>
      </w:tr>
      <w:tr w:rsidR="00B51CFF">
        <w:tblPrEx>
          <w:tblCellMar>
            <w:top w:w="0" w:type="dxa"/>
            <w:bottom w:w="0" w:type="dxa"/>
          </w:tblCellMar>
        </w:tblPrEx>
        <w:tc>
          <w:tcPr>
            <w:tcW w:w="3240" w:type="dxa"/>
          </w:tcPr>
          <w:p w:rsidR="00B51CFF" w:rsidRDefault="00B51CFF" w:rsidP="00DB1D38">
            <w:pPr>
              <w:pStyle w:val="TableTextNumbers"/>
            </w:pPr>
            <w:r>
              <w:t xml:space="preserve">Click </w:t>
            </w:r>
            <w:r>
              <w:rPr>
                <w:b/>
              </w:rPr>
              <w:t>OK</w:t>
            </w:r>
            <w:r>
              <w:t xml:space="preserve"> to save.</w:t>
            </w:r>
          </w:p>
          <w:p w:rsidR="00B51CFF" w:rsidRDefault="00B51CFF" w:rsidP="00DB1D38">
            <w:pPr>
              <w:pStyle w:val="TableTextNumbersContinued"/>
              <w:rPr>
                <w:b/>
                <w:bCs/>
              </w:rPr>
            </w:pPr>
          </w:p>
          <w:p w:rsidR="00B51CFF" w:rsidRDefault="00B51CFF" w:rsidP="00DB1D38">
            <w:pPr>
              <w:pStyle w:val="TableTextNumbersContinued"/>
              <w:rPr>
                <w:b/>
                <w:bCs/>
              </w:rPr>
            </w:pPr>
            <w:r>
              <w:rPr>
                <w:rStyle w:val="TableTextNumbersChar"/>
              </w:rPr>
              <w:t xml:space="preserve">Click </w:t>
            </w:r>
            <w:r>
              <w:rPr>
                <w:rStyle w:val="TableTextNumbersChar"/>
                <w:b/>
              </w:rPr>
              <w:t>Yes</w:t>
            </w:r>
            <w:r>
              <w:rPr>
                <w:rStyle w:val="TableTextNumbersChar"/>
              </w:rPr>
              <w:t xml:space="preserve"> to confirm changes and exit.</w:t>
            </w:r>
            <w:r>
              <w:rPr>
                <w:b/>
                <w:bCs/>
              </w:rPr>
              <w:t xml:space="preserve">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rsidR="00B51CFF" w:rsidRDefault="00B51CFF" w:rsidP="00DB1D38">
            <w:pPr>
              <w:pStyle w:val="TableTextBullet"/>
            </w:pPr>
            <w:r>
              <w:t>Updates the database and captures changes to previously defined parameters for inclusion in an Audit Trail Report.</w:t>
            </w:r>
          </w:p>
        </w:tc>
      </w:tr>
    </w:tbl>
    <w:p w:rsidR="002118B0" w:rsidRDefault="002118B0" w:rsidP="00B51CFF">
      <w:pPr>
        <w:pStyle w:val="Heading2"/>
      </w:pPr>
    </w:p>
    <w:p w:rsidR="002118B0" w:rsidRDefault="002118B0" w:rsidP="002118B0">
      <w:pPr>
        <w:pStyle w:val="Caption"/>
      </w:pPr>
      <w:bookmarkStart w:id="172" w:name="_Ref126470219"/>
      <w:r>
        <w:t xml:space="preserve">Figure </w:t>
      </w:r>
      <w:r w:rsidR="00C17F7C">
        <w:fldChar w:fldCharType="begin"/>
      </w:r>
      <w:r w:rsidR="00C17F7C">
        <w:instrText xml:space="preserve"> SEQ Figure \* ARABIC </w:instrText>
      </w:r>
      <w:r w:rsidR="00C17F7C">
        <w:fldChar w:fldCharType="separate"/>
      </w:r>
      <w:r w:rsidR="005F38BC">
        <w:rPr>
          <w:noProof/>
        </w:rPr>
        <w:t>42</w:t>
      </w:r>
      <w:r w:rsidR="00C17F7C">
        <w:fldChar w:fldCharType="end"/>
      </w:r>
      <w:bookmarkEnd w:id="172"/>
      <w:r>
        <w:t>: Component Classes</w:t>
      </w:r>
    </w:p>
    <w:p w:rsidR="002118B0" w:rsidRPr="002118B0" w:rsidRDefault="00634BFC" w:rsidP="0066425F">
      <w:pPr>
        <w:pStyle w:val="BodyText"/>
      </w:pPr>
      <w:r>
        <w:rPr>
          <w:noProof/>
        </w:rPr>
        <w:drawing>
          <wp:inline distT="0" distB="0" distL="0" distR="0">
            <wp:extent cx="5353050" cy="397192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353050" cy="3971925"/>
                    </a:xfrm>
                    <a:prstGeom prst="rect">
                      <a:avLst/>
                    </a:prstGeom>
                    <a:noFill/>
                    <a:ln>
                      <a:noFill/>
                    </a:ln>
                  </pic:spPr>
                </pic:pic>
              </a:graphicData>
            </a:graphic>
          </wp:inline>
        </w:drawing>
      </w:r>
    </w:p>
    <w:p w:rsidR="00B51CFF" w:rsidRDefault="00AE1227" w:rsidP="00B51CFF">
      <w:pPr>
        <w:pStyle w:val="Heading2"/>
      </w:pPr>
      <w:r>
        <w:br w:type="page"/>
      </w:r>
      <w:bookmarkStart w:id="173" w:name="_Toc459900084"/>
      <w:r w:rsidR="00B51CFF">
        <w:lastRenderedPageBreak/>
        <w:t>Configure Daily QC</w:t>
      </w:r>
      <w:bookmarkEnd w:id="173"/>
      <w:r w:rsidR="00B51CFF" w:rsidRPr="00AB67A6">
        <w:rPr>
          <w:rFonts w:ascii="Arial Bold" w:hAnsi="Arial Bold"/>
          <w:vanish/>
        </w:rPr>
        <w:fldChar w:fldCharType="begin"/>
      </w:r>
      <w:r w:rsidR="00B51CFF" w:rsidRPr="00AB67A6">
        <w:rPr>
          <w:rFonts w:ascii="Arial Bold" w:hAnsi="Arial Bold"/>
          <w:vanish/>
        </w:rPr>
        <w:instrText xml:space="preserve"> XE “Configure Daily QC” </w:instrText>
      </w:r>
      <w:r w:rsidR="00B51CFF" w:rsidRPr="00AB67A6">
        <w:rPr>
          <w:rFonts w:ascii="Arial Bold" w:hAnsi="Arial Bold"/>
          <w:vanish/>
        </w:rPr>
        <w:fldChar w:fldCharType="end"/>
      </w:r>
      <w:r w:rsidR="00B51CFF" w:rsidRPr="00AB67A6">
        <w:rPr>
          <w:rFonts w:ascii="Arial Bold" w:hAnsi="Arial Bold"/>
          <w:vanish/>
        </w:rPr>
        <w:t xml:space="preserve"> UC_51</w:t>
      </w:r>
    </w:p>
    <w:p w:rsidR="00B51CFF" w:rsidRDefault="00B51CFF" w:rsidP="00B51CFF">
      <w:pPr>
        <w:pStyle w:val="BodyText"/>
      </w:pPr>
      <w:bookmarkStart w:id="174" w:name="_Toc63680373"/>
      <w:r>
        <w:t>The user sets up the routine reagent racks and QC template for the division before performing daily reagent QC.</w:t>
      </w:r>
    </w:p>
    <w:p w:rsidR="00B51CFF" w:rsidRDefault="00B51CFF" w:rsidP="00B51CFF">
      <w:pPr>
        <w:pStyle w:val="Heading4"/>
      </w:pPr>
      <w:r>
        <w:t>Assumptions</w:t>
      </w:r>
      <w:r>
        <w:rPr>
          <w:b w:val="0"/>
        </w:rPr>
        <w:t xml:space="preserve"> </w:t>
      </w:r>
    </w:p>
    <w:p w:rsidR="00B51CFF" w:rsidRDefault="00B51CFF" w:rsidP="00B51CFF">
      <w:pPr>
        <w:pStyle w:val="ListBullet"/>
      </w:pPr>
      <w:r>
        <w:t xml:space="preserve">The division is “full service.” </w:t>
      </w:r>
    </w:p>
    <w:p w:rsidR="00B51CFF" w:rsidRDefault="00B51CFF" w:rsidP="00B51CFF">
      <w:pPr>
        <w:pStyle w:val="ListBullet"/>
      </w:pPr>
      <w:r>
        <w:t>In the first use of this option, there are no defaults or data in place until the user selects the type of QC template (commercial or non-commercial).</w:t>
      </w:r>
    </w:p>
    <w:p w:rsidR="00B51CFF" w:rsidRDefault="00DD75E5" w:rsidP="00B51CFF">
      <w:pPr>
        <w:pStyle w:val="Heading4"/>
      </w:pPr>
      <w:r>
        <w:t>Outcome</w:t>
      </w:r>
    </w:p>
    <w:p w:rsidR="00B51CFF" w:rsidRDefault="00B51CFF" w:rsidP="00B51CFF">
      <w:pPr>
        <w:pStyle w:val="ListBullet"/>
      </w:pPr>
      <w:r>
        <w:t>A testing template is available for Enter Daily QC Results; reagent racks and identifiers were created.</w:t>
      </w:r>
    </w:p>
    <w:p w:rsidR="00B51CFF" w:rsidRDefault="00B51CFF" w:rsidP="00B51CFF">
      <w:pPr>
        <w:pStyle w:val="ListBullet"/>
      </w:pPr>
      <w:r>
        <w:t>Minimum reaction strengths for each reagent type are defined and used by Enter Daily QC Results.</w:t>
      </w:r>
    </w:p>
    <w:p w:rsidR="00B51CFF" w:rsidRDefault="00B51CFF" w:rsidP="00B51CFF">
      <w:pPr>
        <w:pStyle w:val="ListBullet"/>
      </w:pPr>
      <w:r>
        <w:rPr>
          <w:rFonts w:ascii="Arial" w:hAnsi="Arial" w:cs="Arial"/>
          <w:vanish/>
          <w:spacing w:val="0"/>
          <w:sz w:val="18"/>
        </w:rPr>
        <w:t xml:space="preserve">BR_51.16 </w:t>
      </w:r>
      <w:r>
        <w:t>A historical record for each rack will be maintained.</w:t>
      </w:r>
    </w:p>
    <w:p w:rsidR="00B51CFF" w:rsidRDefault="00B51CFF" w:rsidP="00B51CFF">
      <w:pPr>
        <w:pStyle w:val="ListBullet"/>
      </w:pPr>
      <w:r>
        <w:rPr>
          <w:rFonts w:ascii="Arial" w:hAnsi="Arial" w:cs="Arial"/>
          <w:vanish/>
          <w:spacing w:val="0"/>
          <w:sz w:val="18"/>
        </w:rPr>
        <w:t xml:space="preserve">BR_51.11 </w:t>
      </w:r>
      <w:r>
        <w:t>Rack names created are available for use by other options.</w:t>
      </w:r>
    </w:p>
    <w:p w:rsidR="00B51CFF" w:rsidRDefault="00B51CFF" w:rsidP="00B51CFF">
      <w:pPr>
        <w:pStyle w:val="Heading4"/>
      </w:pPr>
      <w:r>
        <w:t>Limitations and Restrictions</w:t>
      </w:r>
      <w:r>
        <w:rPr>
          <w:b w:val="0"/>
        </w:rPr>
        <w:t xml:space="preserve"> </w:t>
      </w:r>
    </w:p>
    <w:p w:rsidR="00B51CFF" w:rsidRDefault="00B51CFF" w:rsidP="00B51CFF">
      <w:pPr>
        <w:pStyle w:val="ListBullet"/>
      </w:pPr>
      <w:r>
        <w:t xml:space="preserve">This option pertains only to routine reagents. </w:t>
      </w:r>
    </w:p>
    <w:p w:rsidR="00FC35D4" w:rsidRDefault="00FC35D4" w:rsidP="00B51CFF">
      <w:pPr>
        <w:pStyle w:val="ListBullet"/>
      </w:pPr>
      <w:r>
        <w:rPr>
          <w:rFonts w:cs="Arial"/>
        </w:rPr>
        <w:t xml:space="preserve">When there are partially or currently QC’d racks in the system, the user may not change the QC template. </w:t>
      </w:r>
    </w:p>
    <w:p w:rsidR="00B51CFF" w:rsidRDefault="00B51CFF" w:rsidP="00B51CFF">
      <w:pPr>
        <w:pStyle w:val="Heading4"/>
      </w:pPr>
      <w:r>
        <w:t>Additional Information</w:t>
      </w:r>
    </w:p>
    <w:p w:rsidR="00852AC1" w:rsidRPr="00852AC1" w:rsidRDefault="00852AC1" w:rsidP="00852AC1">
      <w:pPr>
        <w:pStyle w:val="ListBullet"/>
      </w:pPr>
      <w:r w:rsidRPr="00852AC1">
        <w:rPr>
          <w:snapToGrid w:val="0"/>
          <w:vanish/>
        </w:rPr>
        <w:t>BR_41.32</w:t>
      </w:r>
      <w:r>
        <w:rPr>
          <w:snapToGrid w:val="0"/>
        </w:rPr>
        <w:t>This option is disabled for transfusion-only facilities.</w:t>
      </w:r>
      <w:r w:rsidR="003D71A3">
        <w:rPr>
          <w:snapToGrid w:val="0"/>
        </w:rPr>
        <w:t xml:space="preserve"> </w:t>
      </w:r>
    </w:p>
    <w:p w:rsidR="00B51CFF" w:rsidRDefault="00B51CFF" w:rsidP="00B51CFF">
      <w:pPr>
        <w:pStyle w:val="ListBullet"/>
      </w:pPr>
      <w:r>
        <w:rPr>
          <w:snapToGrid w:val="0"/>
        </w:rPr>
        <w:t>The naming convention for the active template is not editable.</w:t>
      </w:r>
      <w:r>
        <w:t xml:space="preserve"> When fewer racks are indicated, the system will inactivate existing rack names to keep the list in order without skipping a number or letter. Rack names are reusable.</w:t>
      </w:r>
    </w:p>
    <w:p w:rsidR="00B51CFF" w:rsidRDefault="00B51CFF" w:rsidP="00B51CFF">
      <w:pPr>
        <w:pStyle w:val="ListBullet"/>
      </w:pPr>
      <w:r>
        <w:rPr>
          <w:rFonts w:ascii="Arial" w:hAnsi="Arial" w:cs="Arial"/>
          <w:vanish/>
          <w:spacing w:val="0"/>
          <w:sz w:val="18"/>
        </w:rPr>
        <w:t xml:space="preserve">BR_51.09 </w:t>
      </w:r>
      <w:r>
        <w:t>The daily use field for QC Rack template entries exported as REQUIRED for Daily Use are not editable by the user. The daily use field for entries exported with the daily use as OPTIONAL may be changed to be REQUIRED and remain editable by the user at any time.</w:t>
      </w:r>
    </w:p>
    <w:p w:rsidR="00B51CFF" w:rsidRDefault="00B51CFF" w:rsidP="00B51CFF">
      <w:pPr>
        <w:pStyle w:val="ListBullet"/>
      </w:pPr>
      <w:r>
        <w:rPr>
          <w:rFonts w:ascii="Arial" w:hAnsi="Arial" w:cs="Arial"/>
          <w:vanish/>
          <w:spacing w:val="0"/>
          <w:sz w:val="18"/>
        </w:rPr>
        <w:t xml:space="preserve">BR_51.08 </w:t>
      </w:r>
      <w:r>
        <w:t>If Screening Cell 3 (SC3) and/or (SC4) are set to “required” as part of the configuration of the antibody screening cell set they are enabled on the antibody screen data grid.</w:t>
      </w:r>
    </w:p>
    <w:p w:rsidR="00B51CFF" w:rsidRDefault="00B51CFF" w:rsidP="00B51CFF">
      <w:pPr>
        <w:pStyle w:val="ListBullet"/>
      </w:pPr>
      <w:r>
        <w:rPr>
          <w:rFonts w:ascii="Arial" w:hAnsi="Arial" w:cs="Arial"/>
          <w:vanish/>
          <w:spacing w:val="0"/>
          <w:sz w:val="18"/>
        </w:rPr>
        <w:t xml:space="preserve">BR_51.07 </w:t>
      </w:r>
      <w:r w:rsidR="009D7320">
        <w:t xml:space="preserve">The user must identify an enhancement media reagent type as the primary. </w:t>
      </w:r>
      <w:r w:rsidR="00256CC3">
        <w:t>I</w:t>
      </w:r>
      <w:r>
        <w:t>n addition</w:t>
      </w:r>
      <w:r w:rsidR="00256CC3">
        <w:t xml:space="preserve">, the user </w:t>
      </w:r>
      <w:r>
        <w:t xml:space="preserve">must identify </w:t>
      </w:r>
      <w:r w:rsidR="004A1342">
        <w:t>the Anti-</w:t>
      </w:r>
      <w:r>
        <w:t>Human Globulin serum used during daily quality control testing of the screening cells and primary enhancement media.</w:t>
      </w:r>
    </w:p>
    <w:p w:rsidR="00B51CFF" w:rsidRDefault="00B51CFF" w:rsidP="00B51CFF">
      <w:pPr>
        <w:pStyle w:val="ListBullet"/>
      </w:pPr>
      <w:r>
        <w:t>VBECS does not evaluate maximum strength of reaction for daily QC, as required by CAP. Local policy must define maximum strength of reaction.</w:t>
      </w:r>
    </w:p>
    <w:p w:rsidR="00B51CFF" w:rsidRDefault="00B51CFF" w:rsidP="00B51CFF">
      <w:pPr>
        <w:pStyle w:val="Heading4"/>
        <w:rPr>
          <w:b w:val="0"/>
        </w:rPr>
      </w:pPr>
      <w:r>
        <w:t>User Roles with Access to This Option</w:t>
      </w:r>
      <w:r>
        <w:rPr>
          <w:b w:val="0"/>
        </w:rPr>
        <w:t xml:space="preserve"> </w:t>
      </w:r>
    </w:p>
    <w:p w:rsidR="00B51CFF" w:rsidRDefault="00B51CFF" w:rsidP="00B51CFF">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rsidR="00B51CFF" w:rsidRDefault="00B51CFF" w:rsidP="00B51CFF">
      <w:pPr>
        <w:pStyle w:val="Heading4"/>
      </w:pPr>
      <w:r>
        <w:t xml:space="preserve">Configure Daily QC </w:t>
      </w:r>
    </w:p>
    <w:p w:rsidR="00B51CFF" w:rsidRDefault="00B51CFF" w:rsidP="00B51CFF">
      <w:pPr>
        <w:pStyle w:val="BodyText"/>
      </w:pPr>
      <w:r>
        <w:t xml:space="preserve">The user sets up the daily reagent QC template for reagent rack testing for the division. In the first use of this option, all fields default to blank with no template preferred. </w:t>
      </w:r>
      <w:r>
        <w:rPr>
          <w:rFonts w:ascii="Arial" w:hAnsi="Arial" w:cs="Arial"/>
          <w:vanish/>
          <w:sz w:val="18"/>
        </w:rPr>
        <w:t xml:space="preserve">BR_51.19 </w:t>
      </w:r>
      <w:r w:rsidR="00F92E73">
        <w:t xml:space="preserve">Additional tests are available and may be included in the daily QC testing template in accordance with local </w:t>
      </w:r>
      <w:r w:rsidR="00541DC0">
        <w:t>practice. When</w:t>
      </w:r>
      <w:r>
        <w:t xml:space="preserve"> a user changes the active template, there is no carryover of field settings to the new template. All are set to the default and configuration must be completed.</w:t>
      </w:r>
      <w:r w:rsidR="00F92E73" w:rsidRPr="00F92E73">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B51CFF">
        <w:tblPrEx>
          <w:tblCellMar>
            <w:top w:w="0" w:type="dxa"/>
            <w:bottom w:w="0" w:type="dxa"/>
          </w:tblCellMar>
        </w:tblPrEx>
        <w:trPr>
          <w:cantSplit/>
          <w:tblHeader/>
        </w:trPr>
        <w:tc>
          <w:tcPr>
            <w:tcW w:w="3240" w:type="dxa"/>
            <w:shd w:val="pct30" w:color="auto" w:fill="FFFFFF"/>
            <w:vAlign w:val="bottom"/>
          </w:tcPr>
          <w:p w:rsidR="00B51CFF" w:rsidRDefault="00B51CFF" w:rsidP="00DB1D38">
            <w:pPr>
              <w:pStyle w:val="TableText"/>
              <w:rPr>
                <w:b/>
              </w:rPr>
            </w:pPr>
            <w:r>
              <w:rPr>
                <w:b/>
              </w:rPr>
              <w:lastRenderedPageBreak/>
              <w:t>User Action</w:t>
            </w:r>
          </w:p>
        </w:tc>
        <w:tc>
          <w:tcPr>
            <w:tcW w:w="6120" w:type="dxa"/>
            <w:shd w:val="pct30" w:color="auto" w:fill="FFFFFF"/>
            <w:vAlign w:val="bottom"/>
          </w:tcPr>
          <w:p w:rsidR="00B51CFF" w:rsidRDefault="00B51CFF" w:rsidP="00DB1D38">
            <w:pPr>
              <w:pStyle w:val="TableText"/>
              <w:rPr>
                <w:b/>
              </w:rPr>
            </w:pPr>
            <w:r>
              <w:rPr>
                <w:b/>
              </w:rPr>
              <w:t>VBECS</w:t>
            </w:r>
          </w:p>
        </w:tc>
      </w:tr>
      <w:tr w:rsidR="00B51CFF">
        <w:tblPrEx>
          <w:tblCellMar>
            <w:top w:w="0" w:type="dxa"/>
            <w:bottom w:w="0" w:type="dxa"/>
          </w:tblCellMar>
        </w:tblPrEx>
        <w:trPr>
          <w:cantSplit/>
        </w:trPr>
        <w:tc>
          <w:tcPr>
            <w:tcW w:w="3240" w:type="dxa"/>
          </w:tcPr>
          <w:p w:rsidR="00B51CFF" w:rsidRDefault="00B51CFF" w:rsidP="00DB1D38">
            <w:pPr>
              <w:pStyle w:val="TableTextNumbers"/>
            </w:pPr>
            <w:r>
              <w:t xml:space="preserve">Select </w:t>
            </w:r>
            <w:r>
              <w:rPr>
                <w:b/>
              </w:rPr>
              <w:t>Reagents</w:t>
            </w:r>
            <w:r>
              <w:t xml:space="preserve"> from the main menu. </w:t>
            </w:r>
          </w:p>
          <w:p w:rsidR="00B51CFF" w:rsidRDefault="00B51CFF" w:rsidP="00DB1D38">
            <w:pPr>
              <w:pStyle w:val="TableTextNumbersContinued"/>
            </w:pPr>
          </w:p>
          <w:p w:rsidR="00B51CFF" w:rsidRDefault="00B51CFF" w:rsidP="00DB1D38">
            <w:pPr>
              <w:pStyle w:val="TableTextNumbersContinued"/>
            </w:pPr>
            <w:r>
              <w:t xml:space="preserve">Select </w:t>
            </w:r>
            <w:r>
              <w:rPr>
                <w:b/>
              </w:rPr>
              <w:t>Configure Daily QC</w:t>
            </w:r>
            <w:r>
              <w:t>.</w:t>
            </w:r>
          </w:p>
        </w:tc>
        <w:tc>
          <w:tcPr>
            <w:tcW w:w="6120" w:type="dxa"/>
          </w:tcPr>
          <w:p w:rsidR="00B51CFF" w:rsidRDefault="00B51CFF" w:rsidP="00DB1D38">
            <w:pPr>
              <w:pStyle w:val="TableTextBullet"/>
            </w:pPr>
            <w:r>
              <w:t>Displays options for processing reagents.</w:t>
            </w:r>
          </w:p>
          <w:p w:rsidR="00B51CFF" w:rsidRDefault="00B51CFF" w:rsidP="00DB1D38">
            <w:pPr>
              <w:pStyle w:val="TableTextBullet"/>
            </w:pPr>
            <w:r>
              <w:t>Displays an option to configure online Daily Reagent Rack Quality Control.</w:t>
            </w:r>
          </w:p>
        </w:tc>
      </w:tr>
      <w:tr w:rsidR="00B51CFF">
        <w:tblPrEx>
          <w:tblCellMar>
            <w:top w:w="0" w:type="dxa"/>
            <w:bottom w:w="0" w:type="dxa"/>
          </w:tblCellMar>
        </w:tblPrEx>
        <w:trPr>
          <w:cantSplit/>
        </w:trPr>
        <w:tc>
          <w:tcPr>
            <w:tcW w:w="3240" w:type="dxa"/>
          </w:tcPr>
          <w:p w:rsidR="00B51CFF" w:rsidRDefault="00B51CFF" w:rsidP="00DB1D38">
            <w:pPr>
              <w:pStyle w:val="TableTextNumbers"/>
            </w:pPr>
            <w:r>
              <w:t xml:space="preserve">Click the </w:t>
            </w:r>
            <w:r>
              <w:rPr>
                <w:b/>
              </w:rPr>
              <w:t>Commercial</w:t>
            </w:r>
            <w:r>
              <w:t xml:space="preserve"> or </w:t>
            </w:r>
            <w:r>
              <w:rPr>
                <w:b/>
              </w:rPr>
              <w:t>Non-Commercial</w:t>
            </w:r>
            <w:r>
              <w:t xml:space="preserve"> </w:t>
            </w:r>
            <w:r w:rsidRPr="00BF2E41">
              <w:t>radio button</w:t>
            </w:r>
            <w:r w:rsidR="00EC1B75">
              <w:t xml:space="preserve"> (</w:t>
            </w:r>
            <w:r w:rsidR="00295FAE">
              <w:fldChar w:fldCharType="begin"/>
            </w:r>
            <w:r w:rsidR="00295FAE">
              <w:instrText xml:space="preserve"> REF _Ref126467867 \h </w:instrText>
            </w:r>
            <w:r w:rsidR="00295FAE">
              <w:fldChar w:fldCharType="separate"/>
            </w:r>
            <w:r w:rsidR="005F38BC" w:rsidRPr="00584AF9">
              <w:t xml:space="preserve">Figure </w:t>
            </w:r>
            <w:r w:rsidR="005F38BC">
              <w:rPr>
                <w:noProof/>
                <w:lang w:val="fr-CA"/>
              </w:rPr>
              <w:t>43</w:t>
            </w:r>
            <w:r w:rsidR="00295FAE">
              <w:fldChar w:fldCharType="end"/>
            </w:r>
            <w:r w:rsidR="00910AA5" w:rsidRPr="00910AA5">
              <w:t>)</w:t>
            </w:r>
            <w:r>
              <w:t>.</w:t>
            </w:r>
          </w:p>
          <w:p w:rsidR="00B51CFF" w:rsidRDefault="00B51CFF" w:rsidP="00DB1D38">
            <w:pPr>
              <w:pStyle w:val="TableText"/>
            </w:pPr>
          </w:p>
        </w:tc>
        <w:tc>
          <w:tcPr>
            <w:tcW w:w="6120" w:type="dxa"/>
          </w:tcPr>
          <w:p w:rsidR="00B51CFF" w:rsidRDefault="00B51CFF" w:rsidP="00DB1D38">
            <w:pPr>
              <w:pStyle w:val="TableTextBullet"/>
            </w:pPr>
            <w:r>
              <w:t>Lists the two system-supplied Daily QC templates.</w:t>
            </w:r>
          </w:p>
          <w:p w:rsidR="00B51CFF" w:rsidRDefault="00B51CFF" w:rsidP="00DB1D38">
            <w:pPr>
              <w:pStyle w:val="TableTextBullet1"/>
            </w:pPr>
            <w:r>
              <w:t>Commercial Daily QC</w:t>
            </w:r>
          </w:p>
          <w:p w:rsidR="00B51CFF" w:rsidRDefault="00B51CFF" w:rsidP="00DB1D38">
            <w:pPr>
              <w:pStyle w:val="TableTextBullet1"/>
            </w:pPr>
            <w:r>
              <w:t>Non-commercial Daily QC</w:t>
            </w:r>
          </w:p>
          <w:p w:rsidR="00545664" w:rsidRDefault="00545664" w:rsidP="00545664">
            <w:pPr>
              <w:pStyle w:val="TableTextBullet"/>
            </w:pPr>
            <w:r>
              <w:t>When there are partially or currently QC’d racks in the system, warns the user to wait until QC expires (passes the daily alert time) and then make the changes.</w:t>
            </w:r>
          </w:p>
        </w:tc>
      </w:tr>
      <w:tr w:rsidR="00B51CFF">
        <w:tblPrEx>
          <w:tblCellMar>
            <w:top w:w="0" w:type="dxa"/>
            <w:bottom w:w="0" w:type="dxa"/>
          </w:tblCellMar>
        </w:tblPrEx>
        <w:trPr>
          <w:cantSplit/>
        </w:trPr>
        <w:tc>
          <w:tcPr>
            <w:tcW w:w="3240" w:type="dxa"/>
          </w:tcPr>
          <w:p w:rsidR="00B51CFF" w:rsidRDefault="00B51CFF" w:rsidP="00DB1D38">
            <w:pPr>
              <w:pStyle w:val="TableTextNumbers"/>
            </w:pPr>
            <w:r>
              <w:t>Set the daily alert time.</w:t>
            </w:r>
          </w:p>
        </w:tc>
        <w:tc>
          <w:tcPr>
            <w:tcW w:w="6120" w:type="dxa"/>
          </w:tcPr>
          <w:p w:rsidR="00B51CFF" w:rsidRDefault="00B51CFF" w:rsidP="00DB1D38">
            <w:pPr>
              <w:pStyle w:val="TableTextBullet"/>
            </w:pPr>
            <w:r>
              <w:t>Asks the user to set the time the daily alert to all users at the site will begin.</w:t>
            </w:r>
          </w:p>
          <w:p w:rsidR="00B51CFF" w:rsidRDefault="00B51CFF" w:rsidP="00DB1D38">
            <w:pPr>
              <w:pStyle w:val="TableText"/>
            </w:pPr>
          </w:p>
          <w:p w:rsidR="00B51CFF" w:rsidRDefault="00634BFC" w:rsidP="00DB1D38">
            <w:pPr>
              <w:pStyle w:val="TableText"/>
              <w:rPr>
                <w:b/>
                <w:bCs/>
                <w:szCs w:val="18"/>
              </w:rPr>
            </w:pPr>
            <w:r>
              <w:rPr>
                <w:b/>
                <w:bCs/>
                <w:noProof/>
              </w:rPr>
              <mc:AlternateContent>
                <mc:Choice Requires="wps">
                  <w:drawing>
                    <wp:anchor distT="0" distB="0" distL="114300" distR="114300" simplePos="0" relativeHeight="25173350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68" name="Line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8"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IIWFQIAAC4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GJM&#10;ghYVAgAALgQAAA4AAAAAAAAAAAAAAAAALgIAAGRycy9lMm9Eb2MueG1sUEsBAi0AFAAGAAgAAAAh&#10;ABdPMBLbAAAACAEAAA8AAAAAAAAAAAAAAAAAbwQAAGRycy9kb3ducmV2LnhtbFBLBQYAAAAABAAE&#10;APMAAAB3BQAAAAA=&#10;" strokeweight="1.5pt"/>
                  </w:pict>
                </mc:Fallback>
              </mc:AlternateContent>
            </w:r>
            <w:r w:rsidR="00B51CFF">
              <w:rPr>
                <w:b/>
                <w:bCs/>
                <w:szCs w:val="18"/>
              </w:rPr>
              <w:t>NOTES</w:t>
            </w:r>
          </w:p>
          <w:p w:rsidR="00B51CFF" w:rsidRDefault="00B51CFF" w:rsidP="00DB1D38">
            <w:pPr>
              <w:pStyle w:val="NotesText"/>
            </w:pPr>
          </w:p>
          <w:p w:rsidR="00B51CFF" w:rsidRDefault="00B51CFF" w:rsidP="00DB1D38">
            <w:pPr>
              <w:pStyle w:val="NotesText"/>
            </w:pPr>
            <w:r>
              <w:rPr>
                <w:rFonts w:cs="Arial"/>
                <w:vanish/>
              </w:rPr>
              <w:t xml:space="preserve">BR_51.02 </w:t>
            </w:r>
            <w:r>
              <w:t>The user indicates the local time that defines the start of the 24-hour period (the QC day) during which a rack is considered QC’d. VBECS alerts users when a rack was not performed after this local time passed.</w:t>
            </w:r>
          </w:p>
          <w:p w:rsidR="00122EF8" w:rsidRDefault="00122EF8" w:rsidP="00122EF8">
            <w:pPr>
              <w:pStyle w:val="NotesText"/>
              <w:rPr>
                <w:rFonts w:cs="Arial"/>
                <w:szCs w:val="18"/>
              </w:rPr>
            </w:pPr>
          </w:p>
          <w:p w:rsidR="000D0722" w:rsidRPr="00122EF8" w:rsidRDefault="000D0722" w:rsidP="00122EF8">
            <w:pPr>
              <w:pStyle w:val="NotesText"/>
              <w:rPr>
                <w:rFonts w:cs="Arial"/>
                <w:szCs w:val="18"/>
              </w:rPr>
            </w:pPr>
            <w:r>
              <w:t>The user may test a rack no earlier than the alert time</w:t>
            </w:r>
            <w:r w:rsidR="00543DAF">
              <w:t xml:space="preserve"> for the next 24 hours</w:t>
            </w:r>
            <w:r>
              <w:t xml:space="preserve">. </w:t>
            </w:r>
            <w:r w:rsidR="00D94DA3" w:rsidRPr="00D94DA3">
              <w:rPr>
                <w:vanish/>
              </w:rPr>
              <w:t xml:space="preserve"> (DR 2,716)</w:t>
            </w:r>
          </w:p>
        </w:tc>
      </w:tr>
      <w:tr w:rsidR="00B51CFF">
        <w:tblPrEx>
          <w:tblCellMar>
            <w:top w:w="0" w:type="dxa"/>
            <w:bottom w:w="0" w:type="dxa"/>
          </w:tblCellMar>
        </w:tblPrEx>
        <w:trPr>
          <w:cantSplit/>
        </w:trPr>
        <w:tc>
          <w:tcPr>
            <w:tcW w:w="3240" w:type="dxa"/>
          </w:tcPr>
          <w:p w:rsidR="00B51CFF" w:rsidRDefault="00B51CFF" w:rsidP="00DB1D38">
            <w:pPr>
              <w:pStyle w:val="TableTextNumbers"/>
            </w:pPr>
            <w:r>
              <w:t>Enter the number of racks at the site.</w:t>
            </w:r>
          </w:p>
          <w:p w:rsidR="00B51CFF" w:rsidRDefault="00B51CFF" w:rsidP="00DB1D38">
            <w:pPr>
              <w:pStyle w:val="TableTextNumbersContinued"/>
            </w:pPr>
          </w:p>
          <w:p w:rsidR="00B51CFF" w:rsidRDefault="00B51CFF" w:rsidP="00DB1D38">
            <w:pPr>
              <w:pStyle w:val="TableTextNumbersContinued"/>
            </w:pPr>
            <w:r>
              <w:t>Select a naming convention.</w:t>
            </w:r>
          </w:p>
        </w:tc>
        <w:tc>
          <w:tcPr>
            <w:tcW w:w="6120" w:type="dxa"/>
          </w:tcPr>
          <w:p w:rsidR="00B51CFF" w:rsidRDefault="00B51CFF" w:rsidP="00DB1D38">
            <w:pPr>
              <w:pStyle w:val="TableTextBullet"/>
            </w:pPr>
            <w:r>
              <w:t>Asks the user to set the number of racks to be QC’d daily at the division.</w:t>
            </w:r>
          </w:p>
          <w:p w:rsidR="00B51CFF" w:rsidRDefault="00B51CFF" w:rsidP="00DB1D38">
            <w:pPr>
              <w:pStyle w:val="TableTextBullet"/>
            </w:pPr>
            <w:r>
              <w:t>Asks the user to set the naming convention for racks.</w:t>
            </w:r>
          </w:p>
          <w:p w:rsidR="00B51CFF" w:rsidRDefault="00B51CFF" w:rsidP="00DB1D38">
            <w:pPr>
              <w:pStyle w:val="TableText"/>
              <w:rPr>
                <w:b/>
                <w:bCs/>
                <w:szCs w:val="18"/>
              </w:rPr>
            </w:pPr>
          </w:p>
          <w:p w:rsidR="00B51CFF" w:rsidRDefault="00634BFC" w:rsidP="00DB1D38">
            <w:pPr>
              <w:pStyle w:val="TableText"/>
              <w:rPr>
                <w:b/>
                <w:bCs/>
                <w:szCs w:val="18"/>
              </w:rPr>
            </w:pPr>
            <w:r>
              <w:rPr>
                <w:b/>
                <w:bCs/>
                <w:noProof/>
              </w:rPr>
              <mc:AlternateContent>
                <mc:Choice Requires="wps">
                  <w:drawing>
                    <wp:anchor distT="0" distB="0" distL="114300" distR="114300" simplePos="0" relativeHeight="25173555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67" name="Line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0" o:spid="_x0000_s1026"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NtFwIAAC4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" strokeweight="1.5pt"/>
                  </w:pict>
                </mc:Fallback>
              </mc:AlternateContent>
            </w:r>
            <w:r w:rsidR="00B51CFF">
              <w:rPr>
                <w:b/>
                <w:bCs/>
                <w:szCs w:val="18"/>
              </w:rPr>
              <w:t>NOTES</w:t>
            </w:r>
          </w:p>
          <w:p w:rsidR="00B51CFF" w:rsidRDefault="00B51CFF" w:rsidP="00DB1D38">
            <w:pPr>
              <w:pStyle w:val="NotesText"/>
              <w:ind w:left="0"/>
            </w:pPr>
          </w:p>
          <w:p w:rsidR="00B51CFF" w:rsidRDefault="00B51CFF" w:rsidP="00DB1D38">
            <w:pPr>
              <w:pStyle w:val="NotesText"/>
            </w:pPr>
            <w:r>
              <w:rPr>
                <w:rFonts w:cs="Arial"/>
                <w:vanish/>
                <w:szCs w:val="18"/>
              </w:rPr>
              <w:t>BR_51.01</w:t>
            </w:r>
            <w:r w:rsidR="00CE3961">
              <w:rPr>
                <w:rFonts w:cs="Arial"/>
                <w:vanish/>
                <w:szCs w:val="18"/>
              </w:rPr>
              <w:t>,</w:t>
            </w:r>
            <w:r>
              <w:rPr>
                <w:rFonts w:cs="Arial"/>
                <w:vanish/>
                <w:szCs w:val="18"/>
              </w:rPr>
              <w:t xml:space="preserve"> </w:t>
            </w:r>
            <w:r>
              <w:rPr>
                <w:vanish/>
                <w:szCs w:val="18"/>
              </w:rPr>
              <w:t>BR_51.13</w:t>
            </w:r>
            <w:r w:rsidR="00CE3961">
              <w:rPr>
                <w:vanish/>
                <w:szCs w:val="18"/>
              </w:rPr>
              <w:t>,</w:t>
            </w:r>
            <w:r>
              <w:rPr>
                <w:vanish/>
                <w:szCs w:val="18"/>
              </w:rPr>
              <w:t xml:space="preserve"> BR_51.14 </w:t>
            </w:r>
            <w:r>
              <w:t>A user may indicate 1–26 racks per site and names them according to the convention selected (A–Z or 1–26).</w:t>
            </w:r>
          </w:p>
        </w:tc>
      </w:tr>
      <w:tr w:rsidR="00B51CFF">
        <w:tblPrEx>
          <w:tblCellMar>
            <w:top w:w="0" w:type="dxa"/>
            <w:bottom w:w="0" w:type="dxa"/>
          </w:tblCellMar>
        </w:tblPrEx>
        <w:trPr>
          <w:cantSplit/>
        </w:trPr>
        <w:tc>
          <w:tcPr>
            <w:tcW w:w="3240" w:type="dxa"/>
          </w:tcPr>
          <w:p w:rsidR="00B51CFF" w:rsidRDefault="00B51CFF" w:rsidP="00DB1D38">
            <w:pPr>
              <w:pStyle w:val="TableTextNumbers"/>
            </w:pPr>
            <w:r>
              <w:t>Accept or edit the default settings of the template.</w:t>
            </w:r>
          </w:p>
          <w:p w:rsidR="00B51CFF" w:rsidRDefault="00B51CFF" w:rsidP="00DB1D38">
            <w:pPr>
              <w:pStyle w:val="TableTextNumbersContinued"/>
            </w:pPr>
          </w:p>
          <w:p w:rsidR="00B51CFF" w:rsidRDefault="00B51CFF" w:rsidP="00DB1D38">
            <w:pPr>
              <w:pStyle w:val="TableTextNumbersContinued"/>
            </w:pPr>
            <w:r>
              <w:t>Select primary and secondary enhancement medium options from the drop-down menus.</w:t>
            </w:r>
          </w:p>
        </w:tc>
        <w:tc>
          <w:tcPr>
            <w:tcW w:w="6120" w:type="dxa"/>
          </w:tcPr>
          <w:p w:rsidR="00B51CFF" w:rsidRDefault="00B51CFF" w:rsidP="00DB1D38">
            <w:pPr>
              <w:pStyle w:val="TableTextBullet"/>
            </w:pPr>
            <w:r>
              <w:t xml:space="preserve">Lists the default reagent types for inclusion in the daily reagent rack quality control and expected minimum reactions for each test type. </w:t>
            </w:r>
          </w:p>
          <w:p w:rsidR="00B51CFF" w:rsidRDefault="00B51CFF" w:rsidP="00DB1D38">
            <w:pPr>
              <w:pStyle w:val="TableTextBullet"/>
            </w:pPr>
            <w:r>
              <w:t>Displays changes and edits for review before saving.</w:t>
            </w:r>
          </w:p>
          <w:p w:rsidR="00B51CFF" w:rsidRDefault="00B51CFF" w:rsidP="00DB1D38">
            <w:pPr>
              <w:pStyle w:val="TableText"/>
            </w:pPr>
          </w:p>
          <w:p w:rsidR="00B51CFF" w:rsidRDefault="00634BFC" w:rsidP="00DB1D38">
            <w:pPr>
              <w:pStyle w:val="TableText"/>
              <w:rPr>
                <w:b/>
                <w:bCs/>
                <w:szCs w:val="18"/>
              </w:rPr>
            </w:pPr>
            <w:r>
              <w:rPr>
                <w:b/>
                <w:bCs/>
                <w:noProof/>
              </w:rPr>
              <mc:AlternateContent>
                <mc:Choice Requires="wps">
                  <w:drawing>
                    <wp:anchor distT="0" distB="0" distL="114300" distR="114300" simplePos="0" relativeHeight="25173452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66" name="Line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9" o:spid="_x0000_s1026"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wq5FgIAAC4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Cf&#10;Xwq5FgIAAC4EAAAOAAAAAAAAAAAAAAAAAC4CAABkcnMvZTJvRG9jLnhtbFBLAQItABQABgAIAAAA&#10;IQAXTzAS2wAAAAgBAAAPAAAAAAAAAAAAAAAAAHAEAABkcnMvZG93bnJldi54bWxQSwUGAAAAAAQA&#10;BADzAAAAeAUAAAAA&#10;" strokeweight="1.5pt"/>
                  </w:pict>
                </mc:Fallback>
              </mc:AlternateContent>
            </w:r>
            <w:r w:rsidR="00B51CFF">
              <w:rPr>
                <w:b/>
                <w:bCs/>
                <w:szCs w:val="18"/>
              </w:rPr>
              <w:t>NOTES</w:t>
            </w:r>
          </w:p>
          <w:p w:rsidR="00B51CFF" w:rsidRDefault="00B51CFF" w:rsidP="00DB1D38">
            <w:pPr>
              <w:pStyle w:val="NotesText"/>
            </w:pPr>
          </w:p>
          <w:p w:rsidR="00B51CFF" w:rsidRDefault="00B51CFF" w:rsidP="00DB1D38">
            <w:pPr>
              <w:pStyle w:val="NotesText"/>
            </w:pPr>
            <w:r>
              <w:t xml:space="preserve">One setting covers all racks at the site. </w:t>
            </w:r>
          </w:p>
          <w:p w:rsidR="00B51CFF" w:rsidRDefault="00B51CFF" w:rsidP="00DB1D38">
            <w:pPr>
              <w:pStyle w:val="NotesText"/>
            </w:pPr>
          </w:p>
          <w:p w:rsidR="00B51CFF" w:rsidRDefault="00B51CFF" w:rsidP="00DB1D38">
            <w:pPr>
              <w:pStyle w:val="NotesText"/>
            </w:pPr>
            <w:r>
              <w:rPr>
                <w:rFonts w:cs="Arial"/>
                <w:vanish/>
              </w:rPr>
              <w:t xml:space="preserve">BR_51.10 </w:t>
            </w:r>
            <w:r>
              <w:t>Reagent types selected display on the rack lot number template and the reaction result entry worksheet for each rack in Enter Daily QC Results with some exceptions: gel kit, selected AHG, and automated testing lots numbers.</w:t>
            </w:r>
          </w:p>
          <w:p w:rsidR="00B51CFF" w:rsidRDefault="00B51CFF" w:rsidP="00DB1D38">
            <w:pPr>
              <w:pStyle w:val="NotesText"/>
            </w:pPr>
          </w:p>
          <w:p w:rsidR="00B51CFF" w:rsidRDefault="00B51CFF" w:rsidP="00DB1D38">
            <w:pPr>
              <w:pStyle w:val="NotesText"/>
            </w:pPr>
            <w:r>
              <w:rPr>
                <w:rFonts w:cs="Arial"/>
                <w:vanish/>
              </w:rPr>
              <w:t xml:space="preserve">BR_51.15 </w:t>
            </w:r>
            <w:r>
              <w:t>When previously entered parameters for daily QC rack definitions are changed, VBECS requires a comment before the user saves the update.</w:t>
            </w:r>
          </w:p>
        </w:tc>
      </w:tr>
      <w:tr w:rsidR="00B51CFF">
        <w:tblPrEx>
          <w:tblCellMar>
            <w:top w:w="0" w:type="dxa"/>
            <w:bottom w:w="0" w:type="dxa"/>
          </w:tblCellMar>
        </w:tblPrEx>
        <w:trPr>
          <w:cantSplit/>
        </w:trPr>
        <w:tc>
          <w:tcPr>
            <w:tcW w:w="3240" w:type="dxa"/>
          </w:tcPr>
          <w:p w:rsidR="00B51CFF" w:rsidRDefault="00B51CFF" w:rsidP="00DB1D38">
            <w:pPr>
              <w:pStyle w:val="TableTextNumbers"/>
            </w:pPr>
            <w:r>
              <w:t xml:space="preserve">Click </w:t>
            </w:r>
            <w:r>
              <w:rPr>
                <w:b/>
              </w:rPr>
              <w:t>OK</w:t>
            </w:r>
            <w:r>
              <w:t xml:space="preserve"> to save.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rsidR="00B51CFF" w:rsidRDefault="00B51CFF" w:rsidP="00DB1D38">
            <w:pPr>
              <w:pStyle w:val="TableText"/>
            </w:pPr>
          </w:p>
        </w:tc>
      </w:tr>
    </w:tbl>
    <w:p w:rsidR="008F0A39" w:rsidRPr="00584AF9" w:rsidRDefault="008F0A39" w:rsidP="008F0A39">
      <w:pPr>
        <w:pStyle w:val="Caption"/>
      </w:pPr>
      <w:bookmarkStart w:id="175" w:name="_Ref126467867"/>
      <w:bookmarkEnd w:id="174"/>
      <w:r w:rsidRPr="00584AF9">
        <w:lastRenderedPageBreak/>
        <w:t xml:space="preserve">Figure </w:t>
      </w:r>
      <w:r w:rsidR="00C17F7C">
        <w:fldChar w:fldCharType="begin"/>
      </w:r>
      <w:r w:rsidR="00C17F7C" w:rsidRPr="001E3F01">
        <w:rPr>
          <w:lang w:val="fr-CA"/>
        </w:rPr>
        <w:instrText xml:space="preserve"> SEQ Figure \* ARABIC </w:instrText>
      </w:r>
      <w:r w:rsidR="00C17F7C">
        <w:fldChar w:fldCharType="separate"/>
      </w:r>
      <w:r w:rsidR="005F38BC">
        <w:rPr>
          <w:noProof/>
          <w:lang w:val="fr-CA"/>
        </w:rPr>
        <w:t>43</w:t>
      </w:r>
      <w:r w:rsidR="00C17F7C">
        <w:fldChar w:fldCharType="end"/>
      </w:r>
      <w:bookmarkEnd w:id="175"/>
      <w:r w:rsidRPr="00584AF9">
        <w:t>: Commercial and Non-Commercial Radio Buttons</w:t>
      </w:r>
    </w:p>
    <w:p w:rsidR="0053799A" w:rsidRDefault="00634BFC" w:rsidP="00424F28">
      <w:pPr>
        <w:pStyle w:val="BodyText"/>
      </w:pPr>
      <w:r>
        <w:rPr>
          <w:noProof/>
        </w:rPr>
        <w:drawing>
          <wp:inline distT="0" distB="0" distL="0" distR="0">
            <wp:extent cx="3200400" cy="252412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200400" cy="2524125"/>
                    </a:xfrm>
                    <a:prstGeom prst="rect">
                      <a:avLst/>
                    </a:prstGeom>
                    <a:noFill/>
                    <a:ln>
                      <a:noFill/>
                    </a:ln>
                  </pic:spPr>
                </pic:pic>
              </a:graphicData>
            </a:graphic>
          </wp:inline>
        </w:drawing>
      </w:r>
    </w:p>
    <w:p w:rsidR="00733B28" w:rsidRPr="008000E5" w:rsidRDefault="00B51CFF" w:rsidP="0053799A">
      <w:pPr>
        <w:pStyle w:val="Heading2"/>
      </w:pPr>
      <w:r w:rsidRPr="008000E5">
        <w:br w:type="page"/>
      </w:r>
      <w:bookmarkStart w:id="176" w:name="_Toc459900085"/>
      <w:r w:rsidR="00733B28" w:rsidRPr="008000E5">
        <w:lastRenderedPageBreak/>
        <w:t>Configure Division</w:t>
      </w:r>
      <w:bookmarkEnd w:id="176"/>
      <w:r w:rsidR="00733B28">
        <w:fldChar w:fldCharType="begin"/>
      </w:r>
      <w:r w:rsidR="00733B28" w:rsidRPr="008000E5">
        <w:instrText xml:space="preserve"> XE "Configure Division" </w:instrText>
      </w:r>
      <w:r w:rsidR="00733B28">
        <w:fldChar w:fldCharType="end"/>
      </w:r>
    </w:p>
    <w:p w:rsidR="002A21AE" w:rsidRPr="008000E5" w:rsidRDefault="00D567C9" w:rsidP="007716F7">
      <w:pPr>
        <w:pStyle w:val="Heading3"/>
      </w:pPr>
      <w:bookmarkStart w:id="177" w:name="_Toc63680384"/>
      <w:bookmarkStart w:id="178" w:name="_Toc87166918"/>
      <w:bookmarkStart w:id="179" w:name="_Toc459900086"/>
      <w:r w:rsidRPr="008000E5">
        <w:t>Configure Division</w:t>
      </w:r>
      <w:bookmarkEnd w:id="177"/>
      <w:bookmarkEnd w:id="178"/>
      <w:bookmarkEnd w:id="179"/>
      <w:r w:rsidR="00733B28">
        <w:fldChar w:fldCharType="begin"/>
      </w:r>
      <w:r w:rsidR="00733B28" w:rsidRPr="008000E5">
        <w:instrText xml:space="preserve"> XE "Configure Division" </w:instrText>
      </w:r>
      <w:r w:rsidR="00733B28">
        <w:fldChar w:fldCharType="end"/>
      </w:r>
      <w:r w:rsidR="002A21AE" w:rsidRPr="008000E5">
        <w:rPr>
          <w:rFonts w:ascii="Arial Bold" w:hAnsi="Arial Bold"/>
          <w:vanish/>
        </w:rPr>
        <w:t xml:space="preserve"> UC_09</w:t>
      </w:r>
    </w:p>
    <w:p w:rsidR="002A21AE" w:rsidRDefault="002A21AE" w:rsidP="00FA7E65">
      <w:pPr>
        <w:pStyle w:val="BodyText"/>
      </w:pPr>
      <w:r>
        <w:t>A user defines site parameters that affect how VBECS behaves at a specific division. VBECS may be configured to function differently at each division within a consolidated database. Site parameters may be redefined.</w:t>
      </w:r>
    </w:p>
    <w:p w:rsidR="002A21AE" w:rsidRDefault="002A21AE">
      <w:pPr>
        <w:pStyle w:val="Heading4"/>
      </w:pPr>
      <w:r>
        <w:t>Assumptions</w:t>
      </w:r>
    </w:p>
    <w:p w:rsidR="002A21AE" w:rsidRDefault="002A21AE">
      <w:pPr>
        <w:pStyle w:val="ListBullet"/>
      </w:pPr>
      <w:r>
        <w:t xml:space="preserve">The site administrator defines the VBECS configuration, adds users, and assigns privileges for each division so that they mirror the associated </w:t>
      </w:r>
      <w:r w:rsidR="00CA0045" w:rsidRPr="00CA0045">
        <w:rPr>
          <w:bCs/>
        </w:rPr>
        <w:t>VistA</w:t>
      </w:r>
      <w:r>
        <w:t xml:space="preserve"> database.</w:t>
      </w:r>
    </w:p>
    <w:p w:rsidR="002A21AE" w:rsidRDefault="002A21AE">
      <w:pPr>
        <w:pStyle w:val="Heading4"/>
      </w:pPr>
      <w:r>
        <w:t>Outcome</w:t>
      </w:r>
    </w:p>
    <w:p w:rsidR="002A21AE" w:rsidRDefault="002A21AE">
      <w:pPr>
        <w:pStyle w:val="ListBullet"/>
      </w:pPr>
      <w:r>
        <w:t xml:space="preserve">Functional parameters are set for divisions that use the </w:t>
      </w:r>
      <w:r w:rsidR="00CA0045" w:rsidRPr="00CA0045">
        <w:rPr>
          <w:bCs/>
        </w:rPr>
        <w:t>VistA</w:t>
      </w:r>
      <w:r>
        <w:t xml:space="preserve"> database.</w:t>
      </w:r>
    </w:p>
    <w:p w:rsidR="002A21AE" w:rsidRDefault="002A21AE">
      <w:pPr>
        <w:pStyle w:val="Heading4"/>
      </w:pPr>
      <w:r>
        <w:t>Limitations and Restrictions</w:t>
      </w:r>
    </w:p>
    <w:p w:rsidR="002A21AE" w:rsidRDefault="0041670F">
      <w:pPr>
        <w:pStyle w:val="ListBullet"/>
      </w:pPr>
      <w:r>
        <w:t>Changes made to the division setting are not applied to a user until they re-connect to VBECS after the change is made. It is highly recommended that all users log off VBECS prior to any configuration setting change.</w:t>
      </w:r>
      <w:r>
        <w:rPr>
          <w:vanish/>
        </w:rPr>
        <w:t xml:space="preserve"> DR 4136</w:t>
      </w:r>
    </w:p>
    <w:p w:rsidR="002E7EBF" w:rsidRDefault="002E7EBF" w:rsidP="002E7EBF">
      <w:pPr>
        <w:pStyle w:val="Caution"/>
      </w:pPr>
      <w:r>
        <w:t xml:space="preserve">It is recommended that users configure a division before configuring testing (click the </w:t>
      </w:r>
      <w:r>
        <w:rPr>
          <w:b/>
        </w:rPr>
        <w:t xml:space="preserve">Configure Testing </w:t>
      </w:r>
      <w:r w:rsidRPr="007004B1">
        <w:t>tab</w:t>
      </w:r>
      <w:r>
        <w:t>).</w:t>
      </w:r>
    </w:p>
    <w:p w:rsidR="002A21AE" w:rsidRDefault="002A21AE">
      <w:pPr>
        <w:pStyle w:val="Heading4"/>
      </w:pPr>
      <w:r>
        <w:t>Additional Information</w:t>
      </w:r>
    </w:p>
    <w:p w:rsidR="002A21AE" w:rsidRPr="000C7C69" w:rsidRDefault="00C428B3" w:rsidP="004D7ECB">
      <w:pPr>
        <w:pStyle w:val="ListBullet"/>
      </w:pPr>
      <w:r>
        <w:t>To incorporate changes in division codes and names from</w:t>
      </w:r>
      <w:r w:rsidR="004D7ECB">
        <w:t xml:space="preserve"> V</w:t>
      </w:r>
      <w:r>
        <w:t>istA to VBECS,</w:t>
      </w:r>
      <w:r w:rsidR="00844E41">
        <w:t xml:space="preserve"> and to change time zones, </w:t>
      </w:r>
      <w:r w:rsidR="004D7ECB">
        <w:t xml:space="preserve">see </w:t>
      </w:r>
      <w:r w:rsidR="004D7ECB" w:rsidRPr="004D7ECB">
        <w:rPr>
          <w:i/>
        </w:rPr>
        <w:t>VistA Blood Establishment Computer Software (VBECS) Technical Manual-Security Guid</w:t>
      </w:r>
      <w:r w:rsidR="004D7ECB" w:rsidRPr="00461A0A">
        <w:rPr>
          <w:i/>
        </w:rPr>
        <w:t>e</w:t>
      </w:r>
      <w:r w:rsidR="004D7ECB" w:rsidRPr="00461A0A">
        <w:rPr>
          <w:rFonts w:ascii="Arial" w:hAnsi="Arial"/>
          <w:snapToGrid w:val="0"/>
          <w:sz w:val="18"/>
        </w:rPr>
        <w:t>.</w:t>
      </w:r>
    </w:p>
    <w:p w:rsidR="000C7C69" w:rsidRPr="00844E41" w:rsidRDefault="000C7C69" w:rsidP="004D7ECB">
      <w:pPr>
        <w:pStyle w:val="ListBullet"/>
      </w:pPr>
      <w:r>
        <w:t xml:space="preserve">VBECS records configuration changes </w:t>
      </w:r>
      <w:r w:rsidR="00D84237">
        <w:t xml:space="preserve">(such as time zone) </w:t>
      </w:r>
      <w:r>
        <w:t>on the Audit Trail Report.</w:t>
      </w:r>
    </w:p>
    <w:p w:rsidR="002A21AE" w:rsidRDefault="002A21AE" w:rsidP="00461A0A">
      <w:pPr>
        <w:pStyle w:val="Heading4"/>
        <w:tabs>
          <w:tab w:val="center" w:pos="4680"/>
        </w:tabs>
      </w:pPr>
      <w:r>
        <w:t xml:space="preserve">User Roles with Access to This Option </w:t>
      </w:r>
      <w:r w:rsidR="00461A0A">
        <w:tab/>
      </w:r>
    </w:p>
    <w:p w:rsidR="00237C52" w:rsidRDefault="00237C52" w:rsidP="00237C52">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rsidR="002A21AE" w:rsidRDefault="00D567C9">
      <w:pPr>
        <w:pStyle w:val="Heading4"/>
      </w:pPr>
      <w:r>
        <w:t>Configure Division</w:t>
      </w:r>
    </w:p>
    <w:p w:rsidR="002A21AE" w:rsidRDefault="002A21AE" w:rsidP="00FA7E65">
      <w:pPr>
        <w:pStyle w:val="BodyText"/>
      </w:pPr>
      <w:r>
        <w:t>Once VBECS is configured to identify all of the divisions, the user sets up critical fields required for routine use of VBECS.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pPr>
              <w:pStyle w:val="TableTextNumbers"/>
            </w:pPr>
            <w:r>
              <w:t xml:space="preserve">Select </w:t>
            </w:r>
            <w:r>
              <w:rPr>
                <w:b/>
                <w:bCs/>
              </w:rPr>
              <w:t>Tools</w:t>
            </w:r>
            <w:r>
              <w:t xml:space="preserve"> from the main menu.</w:t>
            </w:r>
          </w:p>
          <w:p w:rsidR="002A21AE" w:rsidRDefault="002A21AE">
            <w:pPr>
              <w:pStyle w:val="TableTextNumbersContinued"/>
              <w:rPr>
                <w:b/>
                <w:bCs/>
              </w:rPr>
            </w:pPr>
          </w:p>
          <w:p w:rsidR="002A21AE" w:rsidRDefault="002A21AE">
            <w:pPr>
              <w:pStyle w:val="TableTextNumbersContinued"/>
              <w:rPr>
                <w:b/>
                <w:bCs/>
              </w:rPr>
            </w:pPr>
            <w:r w:rsidRPr="00090795">
              <w:rPr>
                <w:bCs/>
              </w:rPr>
              <w:t>Select</w:t>
            </w:r>
            <w:r>
              <w:rPr>
                <w:b/>
                <w:bCs/>
              </w:rPr>
              <w:t xml:space="preserve"> Configure Division</w:t>
            </w:r>
            <w:r w:rsidR="004E4889">
              <w:rPr>
                <w:b/>
                <w:bCs/>
              </w:rPr>
              <w:t xml:space="preserve"> </w:t>
            </w:r>
            <w:r w:rsidR="004E4889" w:rsidRPr="004E4889">
              <w:rPr>
                <w:bCs/>
              </w:rPr>
              <w:t>(</w:t>
            </w:r>
            <w:r w:rsidR="00295FAE">
              <w:rPr>
                <w:bCs/>
              </w:rPr>
              <w:fldChar w:fldCharType="begin"/>
            </w:r>
            <w:r w:rsidR="00295FAE">
              <w:rPr>
                <w:bCs/>
              </w:rPr>
              <w:instrText xml:space="preserve"> REF _Ref126467884 \h </w:instrText>
            </w:r>
            <w:r w:rsidR="006A1989" w:rsidRPr="00295FAE">
              <w:rPr>
                <w:bCs/>
              </w:rPr>
            </w:r>
            <w:r w:rsidR="00295FAE">
              <w:rPr>
                <w:bCs/>
              </w:rPr>
              <w:fldChar w:fldCharType="separate"/>
            </w:r>
            <w:r w:rsidR="005F38BC">
              <w:t xml:space="preserve">Figure </w:t>
            </w:r>
            <w:r w:rsidR="005F38BC">
              <w:rPr>
                <w:noProof/>
              </w:rPr>
              <w:t>44</w:t>
            </w:r>
            <w:r w:rsidR="00295FAE">
              <w:rPr>
                <w:bCs/>
              </w:rPr>
              <w:fldChar w:fldCharType="end"/>
            </w:r>
            <w:r w:rsidR="004E4889" w:rsidRPr="004E4889">
              <w:rPr>
                <w:bCs/>
              </w:rPr>
              <w:t>)</w:t>
            </w:r>
            <w:r w:rsidRPr="00090795">
              <w:rPr>
                <w:bCs/>
              </w:rPr>
              <w:t>.</w:t>
            </w:r>
          </w:p>
        </w:tc>
        <w:tc>
          <w:tcPr>
            <w:tcW w:w="6120" w:type="dxa"/>
          </w:tcPr>
          <w:p w:rsidR="002A21AE" w:rsidRDefault="002A21AE">
            <w:pPr>
              <w:pStyle w:val="TableTextBullet"/>
            </w:pPr>
            <w:r>
              <w:t>Displays options for processing administrative functions.</w:t>
            </w:r>
          </w:p>
          <w:p w:rsidR="002A21AE" w:rsidRDefault="002A21AE">
            <w:pPr>
              <w:pStyle w:val="TableTextBullet"/>
            </w:pPr>
            <w:r>
              <w:t>Displays the Configure Division tab with fields for entering division-specific blood product information.</w:t>
            </w:r>
          </w:p>
        </w:tc>
      </w:tr>
      <w:tr w:rsidR="002A21AE">
        <w:tblPrEx>
          <w:tblCellMar>
            <w:top w:w="0" w:type="dxa"/>
            <w:bottom w:w="0" w:type="dxa"/>
          </w:tblCellMar>
        </w:tblPrEx>
        <w:tc>
          <w:tcPr>
            <w:tcW w:w="3240" w:type="dxa"/>
          </w:tcPr>
          <w:p w:rsidR="002A21AE" w:rsidRDefault="002A21AE">
            <w:pPr>
              <w:pStyle w:val="TableTextNumbers"/>
            </w:pPr>
            <w:r>
              <w:t xml:space="preserve">Enter the ICCBBA </w:t>
            </w:r>
            <w:r w:rsidR="00B85812">
              <w:t>Registration Number</w:t>
            </w:r>
            <w:r>
              <w:t>, the medical director’s name (or select it from the drop-down list), and the maximum number of days until the specimen expires in their respective fields.</w:t>
            </w:r>
          </w:p>
        </w:tc>
        <w:tc>
          <w:tcPr>
            <w:tcW w:w="6120" w:type="dxa"/>
          </w:tcPr>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2665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65"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3" o:spid="_x0000_s1026" style="position:absolute;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1GYFQ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ALL&#10;UZg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sidRPr="00E274BF">
              <w:rPr>
                <w:rFonts w:cs="Arial"/>
                <w:vanish/>
                <w:szCs w:val="18"/>
              </w:rPr>
              <w:t>BR_9.04</w:t>
            </w:r>
            <w:r w:rsidRPr="009660C3">
              <w:rPr>
                <w:vanish/>
                <w:szCs w:val="18"/>
              </w:rPr>
              <w:t xml:space="preserve"> </w:t>
            </w:r>
            <w:r>
              <w:t xml:space="preserve">An ICCBBA </w:t>
            </w:r>
            <w:r w:rsidR="00B85812">
              <w:t>Registration Number</w:t>
            </w:r>
            <w:r>
              <w:t xml:space="preserve"> contains an alphabetical character followed by four numeric characters.</w:t>
            </w:r>
          </w:p>
          <w:p w:rsidR="002A21AE" w:rsidRDefault="002A21AE">
            <w:pPr>
              <w:pStyle w:val="NotesText"/>
            </w:pPr>
          </w:p>
          <w:p w:rsidR="002A21AE" w:rsidRDefault="002A21AE">
            <w:pPr>
              <w:pStyle w:val="NotesText"/>
            </w:pPr>
            <w:r w:rsidRPr="00E274BF">
              <w:rPr>
                <w:rFonts w:cs="Arial"/>
                <w:vanish/>
                <w:szCs w:val="18"/>
              </w:rPr>
              <w:t>BR_9.07</w:t>
            </w:r>
            <w:r w:rsidRPr="009660C3">
              <w:rPr>
                <w:vanish/>
                <w:szCs w:val="18"/>
              </w:rPr>
              <w:t xml:space="preserve"> </w:t>
            </w:r>
            <w:r>
              <w:t xml:space="preserve">A user may enter the name of the blood bank medical director or acting medical director to appear on reports. The user may edit the name and title but may select only one name at a time for </w:t>
            </w:r>
            <w:r>
              <w:lastRenderedPageBreak/>
              <w:t>use. VBECS saves these edits for retrieval.</w:t>
            </w:r>
          </w:p>
          <w:p w:rsidR="002A21AE" w:rsidRDefault="002A21AE">
            <w:pPr>
              <w:pStyle w:val="NotesText"/>
            </w:pPr>
          </w:p>
          <w:p w:rsidR="002A21AE" w:rsidRDefault="002A21AE">
            <w:pPr>
              <w:pStyle w:val="NotesText"/>
            </w:pPr>
            <w:r w:rsidRPr="00E274BF">
              <w:rPr>
                <w:rFonts w:cs="Arial"/>
                <w:vanish/>
                <w:szCs w:val="18"/>
              </w:rPr>
              <w:t>BR_9.05</w:t>
            </w:r>
            <w:r w:rsidRPr="009660C3">
              <w:rPr>
                <w:vanish/>
                <w:szCs w:val="18"/>
              </w:rPr>
              <w:t xml:space="preserve"> </w:t>
            </w:r>
            <w:r>
              <w:t>The user may edit the default setting for the maximum number of specimen expiration days from “3” to any value from “3” to “93.”</w:t>
            </w:r>
          </w:p>
          <w:p w:rsidR="00B24419" w:rsidRPr="0015382B" w:rsidRDefault="00B24419">
            <w:pPr>
              <w:pStyle w:val="NotesText"/>
            </w:pPr>
            <w:r w:rsidRPr="00B24419">
              <w:t>This setting allows the user to extend the expiration date of any one specimen to the maximum date indicated.  This does not change the normal specimen expiration date of all specimens received</w:t>
            </w:r>
            <w:r>
              <w:t>.</w:t>
            </w:r>
            <w:r w:rsidR="0015382B">
              <w:rPr>
                <w:vanish/>
              </w:rPr>
              <w:t xml:space="preserve"> DR 3592</w:t>
            </w:r>
          </w:p>
        </w:tc>
      </w:tr>
      <w:tr w:rsidR="002A21AE">
        <w:tblPrEx>
          <w:tblCellMar>
            <w:top w:w="0" w:type="dxa"/>
            <w:bottom w:w="0" w:type="dxa"/>
          </w:tblCellMar>
        </w:tblPrEx>
        <w:tc>
          <w:tcPr>
            <w:tcW w:w="3240" w:type="dxa"/>
          </w:tcPr>
          <w:p w:rsidR="002A21AE" w:rsidRDefault="002A21AE">
            <w:pPr>
              <w:pStyle w:val="TableTextNumbers"/>
            </w:pPr>
            <w:r>
              <w:lastRenderedPageBreak/>
              <w:t xml:space="preserve">Click </w:t>
            </w:r>
            <w:r>
              <w:rPr>
                <w:b/>
              </w:rPr>
              <w:t xml:space="preserve">OK </w:t>
            </w:r>
            <w:r>
              <w:t xml:space="preserve">to save and click </w:t>
            </w:r>
            <w:r>
              <w:rPr>
                <w:b/>
              </w:rPr>
              <w:t>OK</w:t>
            </w:r>
            <w:r>
              <w:t xml:space="preserve"> again to confirm the save and exit, or click another tab.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rsidR="002A21AE" w:rsidRDefault="002A21AE">
            <w:pPr>
              <w:pStyle w:val="TableTextBullet"/>
            </w:pPr>
            <w:r>
              <w:t>Displays the information entered.</w:t>
            </w:r>
          </w:p>
          <w:p w:rsidR="002A21AE" w:rsidRDefault="002A21AE">
            <w:pPr>
              <w:pStyle w:val="TableTextBullet"/>
            </w:pPr>
            <w:r>
              <w:t>Requests confirmation to update the database.</w:t>
            </w:r>
          </w:p>
          <w:p w:rsidR="002A21AE" w:rsidRDefault="002A21AE" w:rsidP="002E7EBF">
            <w:pPr>
              <w:pStyle w:val="TableTextBullet"/>
            </w:pPr>
            <w:r>
              <w:t>Updates the database.</w:t>
            </w:r>
          </w:p>
        </w:tc>
      </w:tr>
    </w:tbl>
    <w:p w:rsidR="00D43EF7" w:rsidRDefault="00D43EF7" w:rsidP="00D43EF7">
      <w:pPr>
        <w:pStyle w:val="Caption"/>
      </w:pPr>
      <w:bookmarkStart w:id="180" w:name="_Ref126467884"/>
      <w:r>
        <w:t xml:space="preserve">Figure </w:t>
      </w:r>
      <w:r w:rsidR="00C17F7C">
        <w:fldChar w:fldCharType="begin"/>
      </w:r>
      <w:r w:rsidR="00C17F7C">
        <w:instrText xml:space="preserve"> SEQ Figure \* ARABIC </w:instrText>
      </w:r>
      <w:r w:rsidR="00C17F7C">
        <w:fldChar w:fldCharType="separate"/>
      </w:r>
      <w:r w:rsidR="005F38BC">
        <w:rPr>
          <w:noProof/>
        </w:rPr>
        <w:t>44</w:t>
      </w:r>
      <w:r w:rsidR="00C17F7C">
        <w:fldChar w:fldCharType="end"/>
      </w:r>
      <w:bookmarkEnd w:id="180"/>
      <w:r>
        <w:t>: Configure Division Tabs</w:t>
      </w:r>
    </w:p>
    <w:p w:rsidR="008D2925" w:rsidRDefault="00634BFC" w:rsidP="008D2925">
      <w:pPr>
        <w:pStyle w:val="BodyText"/>
      </w:pPr>
      <w:r>
        <w:rPr>
          <w:noProof/>
        </w:rPr>
        <mc:AlternateContent>
          <mc:Choice Requires="wps">
            <w:drawing>
              <wp:anchor distT="0" distB="0" distL="114300" distR="114300" simplePos="0" relativeHeight="251771392" behindDoc="0" locked="0" layoutInCell="1" allowOverlap="1">
                <wp:simplePos x="0" y="0"/>
                <wp:positionH relativeFrom="column">
                  <wp:posOffset>0</wp:posOffset>
                </wp:positionH>
                <wp:positionV relativeFrom="paragraph">
                  <wp:posOffset>478790</wp:posOffset>
                </wp:positionV>
                <wp:extent cx="3086100" cy="457200"/>
                <wp:effectExtent l="9525" t="12065" r="9525" b="6985"/>
                <wp:wrapNone/>
                <wp:docPr id="564" name="Oval 1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457200"/>
                        </a:xfrm>
                        <a:prstGeom prst="ellipse">
                          <a:avLst/>
                        </a:prstGeom>
                        <a:solidFill>
                          <a:srgbClr val="FFFFFF">
                            <a:alpha val="0"/>
                          </a:srgbClr>
                        </a:solidFill>
                        <a:ln w="952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44" o:spid="_x0000_s1026" style="position:absolute;margin-left:0;margin-top:37.7pt;width:243pt;height:36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" strokecolor="red">
                <v:fill opacity="0"/>
              </v:oval>
            </w:pict>
          </mc:Fallback>
        </mc:AlternateContent>
      </w:r>
      <w:r>
        <w:rPr>
          <w:noProof/>
        </w:rPr>
        <w:drawing>
          <wp:inline distT="0" distB="0" distL="0" distR="0">
            <wp:extent cx="3200400" cy="320992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200400" cy="3209925"/>
                    </a:xfrm>
                    <a:prstGeom prst="rect">
                      <a:avLst/>
                    </a:prstGeom>
                    <a:noFill/>
                    <a:ln>
                      <a:noFill/>
                    </a:ln>
                  </pic:spPr>
                </pic:pic>
              </a:graphicData>
            </a:graphic>
          </wp:inline>
        </w:drawing>
      </w:r>
    </w:p>
    <w:p w:rsidR="002A21AE" w:rsidRDefault="00AF089A" w:rsidP="007716F7">
      <w:pPr>
        <w:pStyle w:val="Heading3"/>
      </w:pPr>
      <w:r>
        <w:br w:type="page"/>
      </w:r>
      <w:bookmarkStart w:id="181" w:name="_Toc459900087"/>
      <w:r w:rsidR="002A21AE" w:rsidRPr="007716F7">
        <w:lastRenderedPageBreak/>
        <w:t>Configure Testing</w:t>
      </w:r>
      <w:bookmarkEnd w:id="181"/>
      <w:r w:rsidR="002A21AE" w:rsidRPr="00796039">
        <w:rPr>
          <w:rFonts w:ascii="Arial Bold" w:hAnsi="Arial Bold"/>
          <w:vanish/>
        </w:rPr>
        <w:fldChar w:fldCharType="begin"/>
      </w:r>
      <w:r w:rsidR="002A21AE" w:rsidRPr="00796039">
        <w:rPr>
          <w:rFonts w:ascii="Arial Bold" w:hAnsi="Arial Bold"/>
          <w:vanish/>
        </w:rPr>
        <w:instrText xml:space="preserve"> XE </w:instrText>
      </w:r>
      <w:r w:rsidR="00FA7E65" w:rsidRPr="00796039">
        <w:rPr>
          <w:rFonts w:ascii="Arial Bold" w:hAnsi="Arial Bold"/>
          <w:vanish/>
        </w:rPr>
        <w:instrText>“</w:instrText>
      </w:r>
      <w:r w:rsidR="007716F7" w:rsidRPr="00796039">
        <w:rPr>
          <w:rFonts w:ascii="Arial Bold" w:hAnsi="Arial Bold"/>
          <w:vanish/>
        </w:rPr>
        <w:instrText xml:space="preserve">Configure </w:instrText>
      </w:r>
      <w:r w:rsidR="002A21AE" w:rsidRPr="00796039">
        <w:rPr>
          <w:rFonts w:ascii="Arial Bold" w:hAnsi="Arial Bold"/>
          <w:vanish/>
        </w:rPr>
        <w:instrText>Testing</w:instrText>
      </w:r>
      <w:r w:rsidR="00FA7E65" w:rsidRPr="00796039">
        <w:rPr>
          <w:rFonts w:ascii="Arial Bold" w:hAnsi="Arial Bold"/>
          <w:vanish/>
        </w:rPr>
        <w:instrText>”</w:instrText>
      </w:r>
      <w:r w:rsidR="002A21AE" w:rsidRPr="00796039">
        <w:rPr>
          <w:rFonts w:ascii="Arial Bold" w:hAnsi="Arial Bold"/>
          <w:vanish/>
        </w:rPr>
        <w:instrText xml:space="preserve"> </w:instrText>
      </w:r>
      <w:r w:rsidR="002A21AE" w:rsidRPr="00796039">
        <w:rPr>
          <w:rFonts w:ascii="Arial Bold" w:hAnsi="Arial Bold"/>
          <w:vanish/>
        </w:rPr>
        <w:fldChar w:fldCharType="end"/>
      </w:r>
      <w:r w:rsidR="002A21AE" w:rsidRPr="00796039">
        <w:rPr>
          <w:rFonts w:ascii="Arial Bold" w:hAnsi="Arial Bold"/>
          <w:vanish/>
        </w:rPr>
        <w:t xml:space="preserve"> UC_55</w:t>
      </w:r>
    </w:p>
    <w:p w:rsidR="002A21AE" w:rsidRDefault="002A21AE" w:rsidP="00FA7E65">
      <w:pPr>
        <w:pStyle w:val="BodyText"/>
      </w:pPr>
      <w:r>
        <w:t xml:space="preserve">The user sets testing preferences according to a division’s medical policies. </w:t>
      </w:r>
    </w:p>
    <w:p w:rsidR="002A21AE" w:rsidRDefault="002A21AE">
      <w:pPr>
        <w:pStyle w:val="Heading4"/>
      </w:pPr>
      <w:r>
        <w:t>Assumptions</w:t>
      </w:r>
    </w:p>
    <w:p w:rsidR="002A21AE" w:rsidRDefault="002A21AE">
      <w:pPr>
        <w:pStyle w:val="ListBullet"/>
      </w:pPr>
      <w:r>
        <w:t>A division’s worksheets affected by the option are not open or incomplete at the time of configuration.</w:t>
      </w:r>
    </w:p>
    <w:p w:rsidR="002A21AE" w:rsidRDefault="002A21AE">
      <w:pPr>
        <w:pStyle w:val="Heading4"/>
      </w:pPr>
      <w:r>
        <w:t>Outcome</w:t>
      </w:r>
    </w:p>
    <w:p w:rsidR="002A21AE" w:rsidRDefault="002A21AE">
      <w:pPr>
        <w:pStyle w:val="ListBullet"/>
      </w:pPr>
      <w:r>
        <w:t>Division testing preferences are configured.</w:t>
      </w:r>
    </w:p>
    <w:p w:rsidR="002A21AE" w:rsidRDefault="002A21AE">
      <w:pPr>
        <w:pStyle w:val="Heading4"/>
        <w:rPr>
          <w:b w:val="0"/>
        </w:rPr>
      </w:pPr>
      <w:r>
        <w:t>Limitations and Restrictions</w:t>
      </w:r>
      <w:r>
        <w:rPr>
          <w:b w:val="0"/>
        </w:rPr>
        <w:t xml:space="preserve"> </w:t>
      </w:r>
    </w:p>
    <w:p w:rsidR="002A21AE" w:rsidRDefault="002A21AE">
      <w:pPr>
        <w:pStyle w:val="ListBullet"/>
      </w:pPr>
      <w:r>
        <w:t>None</w:t>
      </w:r>
    </w:p>
    <w:p w:rsidR="002E7EBF" w:rsidRDefault="002E7EBF" w:rsidP="002E7EBF">
      <w:pPr>
        <w:pStyle w:val="Caution"/>
      </w:pPr>
      <w:r>
        <w:t xml:space="preserve">It is recommended that users configure testing before modifying products (click the </w:t>
      </w:r>
      <w:r>
        <w:rPr>
          <w:b/>
        </w:rPr>
        <w:t xml:space="preserve">Product Modifications </w:t>
      </w:r>
      <w:r w:rsidRPr="003814BF">
        <w:t>tab</w:t>
      </w:r>
      <w:r>
        <w:t>).</w:t>
      </w:r>
    </w:p>
    <w:p w:rsidR="002A21AE" w:rsidRDefault="002A21AE">
      <w:pPr>
        <w:pStyle w:val="Heading4"/>
      </w:pPr>
      <w:r>
        <w:t xml:space="preserve">Additional Information </w:t>
      </w:r>
    </w:p>
    <w:p w:rsidR="002A21AE" w:rsidRDefault="002A21AE">
      <w:pPr>
        <w:pStyle w:val="ListBullet"/>
      </w:pPr>
      <w:r>
        <w:t>None</w:t>
      </w:r>
    </w:p>
    <w:p w:rsidR="002A21AE" w:rsidRDefault="002A21AE">
      <w:pPr>
        <w:pStyle w:val="Heading4"/>
        <w:rPr>
          <w:b w:val="0"/>
        </w:rPr>
      </w:pPr>
      <w:r>
        <w:t>User Roles with Access to This Option</w:t>
      </w:r>
      <w:r>
        <w:rPr>
          <w:b w:val="0"/>
        </w:rPr>
        <w:t xml:space="preserve"> </w:t>
      </w:r>
    </w:p>
    <w:p w:rsidR="002A21AE" w:rsidRDefault="00237C52">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rsidR="002A21AE" w:rsidRDefault="002A21AE">
      <w:pPr>
        <w:pStyle w:val="Heading4"/>
      </w:pPr>
      <w:r>
        <w:t>Configure Testing</w:t>
      </w:r>
    </w:p>
    <w:p w:rsidR="002A21AE" w:rsidRDefault="002A21AE" w:rsidP="00FA7E65">
      <w:pPr>
        <w:pStyle w:val="BodyText"/>
      </w:pPr>
      <w:r>
        <w:t xml:space="preserve">The user sets the system to display testing grids to the users in their division. The user determines whether an autocontrol is used and whether a Direct Antiglobulin Test (DAT) is added as part of the routine </w:t>
      </w:r>
      <w:r w:rsidR="008E2E30">
        <w:t>A</w:t>
      </w:r>
      <w:r>
        <w:t xml:space="preserve">ntibody </w:t>
      </w:r>
      <w:r w:rsidR="008E2E30">
        <w:t>Screen T</w:t>
      </w:r>
      <w:r>
        <w:t>est (ABS) described in Patient Testing: Record a Patient Antibody Screen.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pPr>
              <w:pStyle w:val="TableTextNumbers"/>
            </w:pPr>
            <w:r>
              <w:t xml:space="preserve">Select </w:t>
            </w:r>
            <w:r>
              <w:rPr>
                <w:b/>
                <w:bCs/>
              </w:rPr>
              <w:t>Tools</w:t>
            </w:r>
            <w:r>
              <w:t xml:space="preserve"> from the main menu.</w:t>
            </w:r>
          </w:p>
          <w:p w:rsidR="002A21AE" w:rsidRDefault="002A21AE">
            <w:pPr>
              <w:pStyle w:val="TableTextNumbersContinued"/>
              <w:rPr>
                <w:b/>
                <w:bCs/>
              </w:rPr>
            </w:pPr>
          </w:p>
          <w:p w:rsidR="002A21AE" w:rsidRDefault="002A21AE">
            <w:pPr>
              <w:pStyle w:val="TableTextNumbersContinued"/>
            </w:pPr>
            <w:r>
              <w:t xml:space="preserve">Select </w:t>
            </w:r>
            <w:r>
              <w:rPr>
                <w:b/>
              </w:rPr>
              <w:t>Configure Division</w:t>
            </w:r>
            <w:r>
              <w:t>.</w:t>
            </w:r>
          </w:p>
        </w:tc>
        <w:tc>
          <w:tcPr>
            <w:tcW w:w="6120" w:type="dxa"/>
          </w:tcPr>
          <w:p w:rsidR="002A21AE" w:rsidRDefault="002A21AE">
            <w:pPr>
              <w:pStyle w:val="TableTextBullet"/>
            </w:pPr>
            <w:r>
              <w:t>Displays options for processing administrative functions.</w:t>
            </w:r>
          </w:p>
          <w:p w:rsidR="002A21AE" w:rsidRDefault="002A21AE">
            <w:pPr>
              <w:pStyle w:val="TableTextBullet"/>
            </w:pPr>
            <w:r>
              <w:t>Displays the Configure Division tab with fields for entering division-specific testing information.</w:t>
            </w:r>
          </w:p>
        </w:tc>
      </w:tr>
      <w:tr w:rsidR="002A21AE">
        <w:tblPrEx>
          <w:tblCellMar>
            <w:top w:w="0" w:type="dxa"/>
            <w:bottom w:w="0" w:type="dxa"/>
          </w:tblCellMar>
        </w:tblPrEx>
        <w:tc>
          <w:tcPr>
            <w:tcW w:w="3240" w:type="dxa"/>
          </w:tcPr>
          <w:p w:rsidR="002A21AE" w:rsidRDefault="002A21AE">
            <w:pPr>
              <w:pStyle w:val="TableTextNumbers"/>
            </w:pPr>
            <w:r>
              <w:t xml:space="preserve">Click the </w:t>
            </w:r>
            <w:r>
              <w:rPr>
                <w:b/>
                <w:bCs/>
              </w:rPr>
              <w:t xml:space="preserve">Configure Testing </w:t>
            </w:r>
            <w:r w:rsidRPr="00773FF6">
              <w:rPr>
                <w:bCs/>
              </w:rPr>
              <w:t>tab</w:t>
            </w:r>
            <w:r w:rsidR="00B22EAF">
              <w:t xml:space="preserve"> </w:t>
            </w:r>
            <w:r w:rsidR="000A273B">
              <w:t>(</w:t>
            </w:r>
            <w:r w:rsidR="000A273B">
              <w:fldChar w:fldCharType="begin"/>
            </w:r>
            <w:r w:rsidR="000A273B">
              <w:instrText xml:space="preserve"> REF _Ref300722854 \h </w:instrText>
            </w:r>
            <w:r w:rsidR="000A273B">
              <w:fldChar w:fldCharType="separate"/>
            </w:r>
            <w:r w:rsidR="005F38BC">
              <w:t xml:space="preserve">Figure </w:t>
            </w:r>
            <w:r w:rsidR="005F38BC">
              <w:rPr>
                <w:noProof/>
              </w:rPr>
              <w:t>45</w:t>
            </w:r>
            <w:r w:rsidR="000A273B">
              <w:fldChar w:fldCharType="end"/>
            </w:r>
            <w:r w:rsidR="000A273B">
              <w:t>)</w:t>
            </w:r>
            <w:r w:rsidR="00B22EAF" w:rsidRPr="00090795">
              <w:rPr>
                <w:bCs/>
              </w:rPr>
              <w:t>.</w:t>
            </w:r>
          </w:p>
          <w:p w:rsidR="002A21AE" w:rsidRPr="00EF0F79" w:rsidRDefault="002A21AE" w:rsidP="007270C3">
            <w:pPr>
              <w:pStyle w:val="TableTextNumbersContinued"/>
              <w:ind w:left="0"/>
              <w:rPr>
                <w:strike/>
              </w:rPr>
            </w:pPr>
          </w:p>
        </w:tc>
        <w:tc>
          <w:tcPr>
            <w:tcW w:w="6120" w:type="dxa"/>
          </w:tcPr>
          <w:p w:rsidR="002A21AE" w:rsidRDefault="002A21AE">
            <w:pPr>
              <w:pStyle w:val="TableTextBullet"/>
            </w:pPr>
            <w:r>
              <w:t>Displays the Configure Testing tab with fields for entering division-specific blood product information.</w:t>
            </w:r>
          </w:p>
          <w:p w:rsidR="004E0061" w:rsidRPr="007270C3" w:rsidRDefault="002A21AE" w:rsidP="007270C3">
            <w:pPr>
              <w:pStyle w:val="TableTextBullet"/>
            </w:pPr>
            <w:r>
              <w:t>Displays options to set standard operating procedures for a division’s laboratory testing.</w:t>
            </w:r>
          </w:p>
        </w:tc>
      </w:tr>
      <w:tr w:rsidR="00EF0F79">
        <w:tblPrEx>
          <w:tblCellMar>
            <w:top w:w="0" w:type="dxa"/>
            <w:bottom w:w="0" w:type="dxa"/>
          </w:tblCellMar>
        </w:tblPrEx>
        <w:tc>
          <w:tcPr>
            <w:tcW w:w="3240" w:type="dxa"/>
          </w:tcPr>
          <w:p w:rsidR="00C7159B" w:rsidRDefault="00EF0F79" w:rsidP="00EF0F79">
            <w:pPr>
              <w:pStyle w:val="TableTextNumbers"/>
            </w:pPr>
            <w:r>
              <w:t>Click the appropriate radio buttons to</w:t>
            </w:r>
            <w:r w:rsidR="00C7159B">
              <w:t>:</w:t>
            </w:r>
          </w:p>
          <w:p w:rsidR="00C7159B" w:rsidRDefault="00C7159B" w:rsidP="00C7159B">
            <w:pPr>
              <w:pStyle w:val="TableTextNumbers"/>
              <w:numPr>
                <w:ilvl w:val="0"/>
                <w:numId w:val="0"/>
              </w:numPr>
              <w:ind w:left="288"/>
            </w:pPr>
          </w:p>
          <w:p w:rsidR="00C7159B" w:rsidRDefault="00C7159B" w:rsidP="00C7159B">
            <w:pPr>
              <w:pStyle w:val="TableTextNumbers"/>
              <w:numPr>
                <w:ilvl w:val="0"/>
                <w:numId w:val="0"/>
              </w:numPr>
              <w:ind w:left="288"/>
            </w:pPr>
            <w:r w:rsidRPr="00C7159B">
              <w:rPr>
                <w:b/>
              </w:rPr>
              <w:t>E</w:t>
            </w:r>
            <w:r w:rsidR="00EF0F79" w:rsidRPr="00C7159B">
              <w:rPr>
                <w:b/>
              </w:rPr>
              <w:t>nable</w:t>
            </w:r>
            <w:r w:rsidR="00EF0F79">
              <w:t xml:space="preserve"> Electronic Crossmatch</w:t>
            </w:r>
          </w:p>
          <w:p w:rsidR="00C7159B" w:rsidRDefault="00C7159B" w:rsidP="00C7159B">
            <w:pPr>
              <w:pStyle w:val="TableTextNumbers"/>
              <w:numPr>
                <w:ilvl w:val="0"/>
                <w:numId w:val="0"/>
              </w:numPr>
              <w:ind w:left="288"/>
            </w:pPr>
          </w:p>
          <w:p w:rsidR="00C7159B" w:rsidRDefault="00C7159B" w:rsidP="00C7159B">
            <w:pPr>
              <w:pStyle w:val="TableTextNumbers"/>
              <w:numPr>
                <w:ilvl w:val="0"/>
                <w:numId w:val="0"/>
              </w:numPr>
              <w:ind w:left="288"/>
            </w:pPr>
            <w:r>
              <w:t>D</w:t>
            </w:r>
            <w:r w:rsidR="00EF0F79">
              <w:t>etermine antibody screen (display antibody screen only, or with a DAT or Autocontrol)</w:t>
            </w:r>
          </w:p>
          <w:p w:rsidR="00C7159B" w:rsidRDefault="00C7159B" w:rsidP="00C7159B">
            <w:pPr>
              <w:pStyle w:val="TableTextNumbers"/>
              <w:numPr>
                <w:ilvl w:val="0"/>
                <w:numId w:val="0"/>
              </w:numPr>
              <w:ind w:left="288"/>
            </w:pPr>
          </w:p>
          <w:p w:rsidR="00EF0F79" w:rsidRDefault="00C7159B" w:rsidP="00C7159B">
            <w:pPr>
              <w:pStyle w:val="TableTextNumbers"/>
              <w:numPr>
                <w:ilvl w:val="0"/>
                <w:numId w:val="0"/>
              </w:numPr>
              <w:ind w:left="288"/>
            </w:pPr>
            <w:r>
              <w:t xml:space="preserve">Determine the default test grid displayed </w:t>
            </w:r>
            <w:r w:rsidR="00EF0F79">
              <w:t>for ABS and XM Testing Phases</w:t>
            </w:r>
          </w:p>
        </w:tc>
        <w:tc>
          <w:tcPr>
            <w:tcW w:w="6120" w:type="dxa"/>
          </w:tcPr>
          <w:p w:rsidR="00E77D78" w:rsidRDefault="00A4668B" w:rsidP="002E7EBF">
            <w:pPr>
              <w:pStyle w:val="TableTextBullet"/>
            </w:pPr>
            <w:r>
              <w:t>Displays default configuration settings of</w:t>
            </w:r>
            <w:r w:rsidR="00E77D78">
              <w:t>:</w:t>
            </w:r>
          </w:p>
          <w:p w:rsidR="00E77D78" w:rsidRDefault="00A4668B" w:rsidP="00E77D78">
            <w:pPr>
              <w:pStyle w:val="TableTextBullet1"/>
            </w:pPr>
            <w:r>
              <w:t>Electronic Crossmatch</w:t>
            </w:r>
            <w:r w:rsidR="00E77D78">
              <w:t>:</w:t>
            </w:r>
            <w:r>
              <w:t xml:space="preserve"> Disabled</w:t>
            </w:r>
          </w:p>
          <w:p w:rsidR="00EF0F79" w:rsidRDefault="00E77D78" w:rsidP="00E77D78">
            <w:pPr>
              <w:pStyle w:val="TableTextBullet1"/>
            </w:pPr>
            <w:r>
              <w:t>Antibody Screen: Antibody Screen Only</w:t>
            </w:r>
          </w:p>
          <w:p w:rsidR="00E77D78" w:rsidRDefault="00E77D78" w:rsidP="00E77D78">
            <w:pPr>
              <w:pStyle w:val="TableTextBullet1"/>
            </w:pPr>
            <w:r>
              <w:t>ABS and XM Testing Phases: All Phases</w:t>
            </w:r>
          </w:p>
          <w:p w:rsidR="00E77D78" w:rsidRDefault="00E77D78" w:rsidP="00E77D78">
            <w:pPr>
              <w:pStyle w:val="TableTextBullet"/>
            </w:pPr>
            <w:r>
              <w:rPr>
                <w:vanish/>
              </w:rPr>
              <w:t xml:space="preserve">BR_55.04 </w:t>
            </w:r>
            <w:r>
              <w:t>Changes to the configuration settings are captured for the Audit Trail Report.</w:t>
            </w:r>
          </w:p>
        </w:tc>
      </w:tr>
      <w:tr w:rsidR="002A21AE">
        <w:tblPrEx>
          <w:tblCellMar>
            <w:top w:w="0" w:type="dxa"/>
            <w:bottom w:w="0" w:type="dxa"/>
          </w:tblCellMar>
        </w:tblPrEx>
        <w:tc>
          <w:tcPr>
            <w:tcW w:w="3240" w:type="dxa"/>
          </w:tcPr>
          <w:p w:rsidR="002A21AE" w:rsidRDefault="002A21AE">
            <w:pPr>
              <w:pStyle w:val="TableTextNumbers"/>
            </w:pPr>
            <w:r>
              <w:t xml:space="preserve">Click </w:t>
            </w:r>
            <w:r>
              <w:rPr>
                <w:b/>
              </w:rPr>
              <w:t xml:space="preserve">OK </w:t>
            </w:r>
            <w:r>
              <w:t xml:space="preserve">to save and click </w:t>
            </w:r>
            <w:r>
              <w:rPr>
                <w:b/>
              </w:rPr>
              <w:t>OK</w:t>
            </w:r>
            <w:r>
              <w:t xml:space="preserve"> again to confirm the save and exit, or click another tab.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rsidR="002A21AE" w:rsidRPr="002E7EBF" w:rsidRDefault="002A21AE" w:rsidP="002E7EBF">
            <w:pPr>
              <w:pStyle w:val="TableTextBullet"/>
            </w:pPr>
            <w:r>
              <w:t>Displays the appropriate testing grids for subsequent patient orders.</w:t>
            </w:r>
          </w:p>
        </w:tc>
      </w:tr>
    </w:tbl>
    <w:p w:rsidR="000A273B" w:rsidRDefault="000A273B" w:rsidP="000A273B">
      <w:pPr>
        <w:pStyle w:val="Caption"/>
      </w:pPr>
      <w:bookmarkStart w:id="182" w:name="_Ref300722837"/>
      <w:bookmarkStart w:id="183" w:name="_Ref300722854"/>
      <w:r>
        <w:lastRenderedPageBreak/>
        <w:t xml:space="preserve">Figure </w:t>
      </w:r>
      <w:r>
        <w:fldChar w:fldCharType="begin"/>
      </w:r>
      <w:r>
        <w:instrText xml:space="preserve"> SEQ Figure \* ARABIC </w:instrText>
      </w:r>
      <w:r>
        <w:fldChar w:fldCharType="separate"/>
      </w:r>
      <w:r w:rsidR="005F38BC">
        <w:rPr>
          <w:noProof/>
        </w:rPr>
        <w:t>45</w:t>
      </w:r>
      <w:r>
        <w:fldChar w:fldCharType="end"/>
      </w:r>
      <w:bookmarkEnd w:id="183"/>
      <w:r>
        <w:t>: Configure Testing Tab</w:t>
      </w:r>
      <w:bookmarkEnd w:id="182"/>
    </w:p>
    <w:p w:rsidR="000A273B" w:rsidRPr="000A273B" w:rsidRDefault="00634BFC" w:rsidP="000A273B">
      <w:pPr>
        <w:pStyle w:val="BodyText"/>
      </w:pPr>
      <w:r>
        <w:rPr>
          <w:noProof/>
        </w:rPr>
        <w:drawing>
          <wp:inline distT="0" distB="0" distL="0" distR="0">
            <wp:extent cx="3657600" cy="36576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rsidR="00AF089A" w:rsidRDefault="00AF089A" w:rsidP="007716F7">
      <w:pPr>
        <w:pStyle w:val="Heading3"/>
      </w:pPr>
    </w:p>
    <w:p w:rsidR="002A21AE" w:rsidRDefault="00AF089A" w:rsidP="007716F7">
      <w:pPr>
        <w:pStyle w:val="Heading3"/>
      </w:pPr>
      <w:r>
        <w:br w:type="page"/>
      </w:r>
      <w:bookmarkStart w:id="184" w:name="_Toc459900088"/>
      <w:r w:rsidR="00046402">
        <w:lastRenderedPageBreak/>
        <w:t>Product Modifications</w:t>
      </w:r>
      <w:bookmarkEnd w:id="184"/>
      <w:r w:rsidR="002A21AE">
        <w:fldChar w:fldCharType="begin"/>
      </w:r>
      <w:r w:rsidR="002A21AE">
        <w:instrText xml:space="preserve"> XE </w:instrText>
      </w:r>
      <w:r w:rsidR="00FA7E65">
        <w:instrText>“</w:instrText>
      </w:r>
      <w:r w:rsidR="00046402">
        <w:instrText>Product Modifications</w:instrText>
      </w:r>
      <w:r w:rsidR="00FA7E65">
        <w:instrText>”</w:instrText>
      </w:r>
      <w:r w:rsidR="002A21AE">
        <w:instrText xml:space="preserve"> </w:instrText>
      </w:r>
      <w:r w:rsidR="002A21AE">
        <w:fldChar w:fldCharType="end"/>
      </w:r>
      <w:r w:rsidR="002A21AE">
        <w:t xml:space="preserve"> </w:t>
      </w:r>
      <w:r w:rsidR="002A21AE" w:rsidRPr="00796039">
        <w:rPr>
          <w:rFonts w:ascii="Arial Bold" w:hAnsi="Arial Bold"/>
          <w:vanish/>
        </w:rPr>
        <w:t>UC_10</w:t>
      </w:r>
    </w:p>
    <w:p w:rsidR="002A21AE" w:rsidRDefault="002A21AE" w:rsidP="00FA7E65">
      <w:pPr>
        <w:pStyle w:val="BodyText"/>
      </w:pPr>
      <w:r>
        <w:t xml:space="preserve">The user enables the types of modifications made at a division. </w:t>
      </w:r>
    </w:p>
    <w:p w:rsidR="002A21AE" w:rsidRDefault="002A21AE">
      <w:pPr>
        <w:pStyle w:val="Heading4"/>
      </w:pPr>
      <w:r>
        <w:t>Assumptions</w:t>
      </w:r>
      <w:r>
        <w:rPr>
          <w:b w:val="0"/>
        </w:rPr>
        <w:t xml:space="preserve"> </w:t>
      </w:r>
    </w:p>
    <w:p w:rsidR="002A21AE" w:rsidRDefault="002A21AE">
      <w:pPr>
        <w:pStyle w:val="ListBullet"/>
      </w:pPr>
      <w:r>
        <w:t>An ICCBBA number was entered for the division.</w:t>
      </w:r>
    </w:p>
    <w:p w:rsidR="002A21AE" w:rsidRDefault="002A21AE">
      <w:pPr>
        <w:pStyle w:val="ListBullet"/>
      </w:pPr>
      <w:r>
        <w:rPr>
          <w:vanish/>
          <w:spacing w:val="0"/>
        </w:rPr>
        <w:t xml:space="preserve">BR_55.02 </w:t>
      </w:r>
      <w:r>
        <w:t>VBECS locks a user out when the user attempts to change the configuration and there are open or partially completed worksheets or processes in the division.</w:t>
      </w:r>
    </w:p>
    <w:p w:rsidR="002A21AE" w:rsidRDefault="002A21AE">
      <w:pPr>
        <w:pStyle w:val="Heading4"/>
      </w:pPr>
      <w:r>
        <w:t xml:space="preserve">Outcome </w:t>
      </w:r>
    </w:p>
    <w:p w:rsidR="002A21AE" w:rsidRDefault="002A21AE">
      <w:pPr>
        <w:pStyle w:val="ListBullet"/>
      </w:pPr>
      <w:r>
        <w:t>This option dictates the available modification types displayed in Modify Units: Pool Units, Modify Units: Split a Unit, and Modify Units.</w:t>
      </w:r>
    </w:p>
    <w:p w:rsidR="002A21AE" w:rsidRDefault="002A21AE">
      <w:pPr>
        <w:pStyle w:val="Heading4"/>
        <w:rPr>
          <w:b w:val="0"/>
        </w:rPr>
      </w:pPr>
      <w:r>
        <w:t>Limitations and Restrictions</w:t>
      </w:r>
      <w:r>
        <w:rPr>
          <w:b w:val="0"/>
        </w:rPr>
        <w:t xml:space="preserve"> </w:t>
      </w:r>
    </w:p>
    <w:p w:rsidR="002A21AE" w:rsidRDefault="002A21AE">
      <w:pPr>
        <w:pStyle w:val="ListBullet"/>
      </w:pPr>
      <w:r>
        <w:rPr>
          <w:snapToGrid w:val="0"/>
        </w:rPr>
        <w:t>None</w:t>
      </w:r>
    </w:p>
    <w:p w:rsidR="002A21AE" w:rsidRDefault="002A21AE">
      <w:pPr>
        <w:pStyle w:val="Heading4"/>
      </w:pPr>
      <w:r>
        <w:t xml:space="preserve">Additional Information </w:t>
      </w:r>
    </w:p>
    <w:p w:rsidR="002A21AE" w:rsidRDefault="002A21AE">
      <w:pPr>
        <w:pStyle w:val="ListBullet"/>
      </w:pPr>
      <w:r>
        <w:rPr>
          <w:snapToGrid w:val="0"/>
        </w:rPr>
        <w:t>None</w:t>
      </w:r>
    </w:p>
    <w:p w:rsidR="002A21AE" w:rsidRDefault="002A21AE">
      <w:pPr>
        <w:pStyle w:val="Heading4"/>
      </w:pPr>
      <w:r>
        <w:t xml:space="preserve">User Roles with Access to This Option </w:t>
      </w:r>
    </w:p>
    <w:p w:rsidR="002A21AE" w:rsidRDefault="00237C52">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rsidR="002A21AE" w:rsidRDefault="00046402">
      <w:pPr>
        <w:pStyle w:val="Heading4"/>
        <w:rPr>
          <w:u w:val="single"/>
        </w:rPr>
      </w:pPr>
      <w:r>
        <w:t>Product Modifications</w:t>
      </w:r>
    </w:p>
    <w:p w:rsidR="002A21AE" w:rsidRDefault="002A21AE" w:rsidP="00FA7E65">
      <w:pPr>
        <w:pStyle w:val="BodyText"/>
      </w:pPr>
      <w:r>
        <w:t>The user enables specific modification type procedures performed in the blood bank in the hospital division. The user may enable one, all, or some of the modification processes. Once the types of modifications are enabled, individual blood unit modification is controlled by the rules of modification truth tables. VBECS is exported with all modification types disabled. VBECS allows for full customization upon deployment as well as changes to the enabled modifications when a division’s capabilities and procedures change.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pPr>
              <w:pStyle w:val="TableTextNumbers"/>
            </w:pPr>
            <w:r>
              <w:t xml:space="preserve">Select </w:t>
            </w:r>
            <w:r>
              <w:rPr>
                <w:b/>
                <w:bCs/>
              </w:rPr>
              <w:t>Tools</w:t>
            </w:r>
            <w:r>
              <w:t xml:space="preserve"> from the main menu.</w:t>
            </w:r>
          </w:p>
          <w:p w:rsidR="002A21AE" w:rsidRDefault="002A21AE">
            <w:pPr>
              <w:pStyle w:val="TableTextNumbersContinued"/>
              <w:rPr>
                <w:b/>
                <w:bCs/>
              </w:rPr>
            </w:pPr>
          </w:p>
          <w:p w:rsidR="002A21AE" w:rsidRDefault="002A21AE">
            <w:pPr>
              <w:pStyle w:val="TableTextNumbersContinued"/>
            </w:pPr>
            <w:r>
              <w:t xml:space="preserve">Select </w:t>
            </w:r>
            <w:r>
              <w:rPr>
                <w:b/>
              </w:rPr>
              <w:t>Configure Division</w:t>
            </w:r>
            <w:r>
              <w:t>.</w:t>
            </w:r>
          </w:p>
        </w:tc>
        <w:tc>
          <w:tcPr>
            <w:tcW w:w="6120" w:type="dxa"/>
          </w:tcPr>
          <w:p w:rsidR="002A21AE" w:rsidRDefault="002A21AE">
            <w:pPr>
              <w:pStyle w:val="TableTextBullet"/>
            </w:pPr>
            <w:r>
              <w:t>Displays options for processing administrative functions.</w:t>
            </w:r>
          </w:p>
          <w:p w:rsidR="002A21AE" w:rsidRDefault="002A21AE">
            <w:pPr>
              <w:pStyle w:val="TableTextBullet"/>
            </w:pPr>
            <w:r>
              <w:t>Displays the Configure Division tab with fields for entering division-specific testing information.</w:t>
            </w:r>
          </w:p>
        </w:tc>
      </w:tr>
      <w:tr w:rsidR="002A21AE">
        <w:tblPrEx>
          <w:tblCellMar>
            <w:top w:w="0" w:type="dxa"/>
            <w:bottom w:w="0" w:type="dxa"/>
          </w:tblCellMar>
        </w:tblPrEx>
        <w:tc>
          <w:tcPr>
            <w:tcW w:w="3240" w:type="dxa"/>
          </w:tcPr>
          <w:p w:rsidR="002A21AE" w:rsidRDefault="002A21AE">
            <w:pPr>
              <w:pStyle w:val="TableTextNumbers"/>
            </w:pPr>
            <w:r>
              <w:t xml:space="preserve">Click the </w:t>
            </w:r>
            <w:r>
              <w:rPr>
                <w:b/>
              </w:rPr>
              <w:t xml:space="preserve">Product Modifications </w:t>
            </w:r>
            <w:r w:rsidRPr="00CC3C89">
              <w:t>tab</w:t>
            </w:r>
            <w:r w:rsidR="001266F5" w:rsidRPr="00CC3C89">
              <w:t xml:space="preserve"> </w:t>
            </w:r>
            <w:r w:rsidR="001266F5">
              <w:t>(</w:t>
            </w:r>
            <w:r w:rsidR="001266F5">
              <w:fldChar w:fldCharType="begin"/>
            </w:r>
            <w:r w:rsidR="001266F5">
              <w:instrText xml:space="preserve"> REF _Ref126470383 \h </w:instrText>
            </w:r>
            <w:r w:rsidR="001266F5">
              <w:fldChar w:fldCharType="separate"/>
            </w:r>
            <w:r w:rsidR="005F38BC">
              <w:t xml:space="preserve">Figure </w:t>
            </w:r>
            <w:r w:rsidR="005F38BC">
              <w:rPr>
                <w:noProof/>
              </w:rPr>
              <w:t>46</w:t>
            </w:r>
            <w:r w:rsidR="001266F5">
              <w:fldChar w:fldCharType="end"/>
            </w:r>
            <w:r w:rsidR="001266F5">
              <w:t>)</w:t>
            </w:r>
            <w:r>
              <w:t>.</w:t>
            </w:r>
          </w:p>
        </w:tc>
        <w:tc>
          <w:tcPr>
            <w:tcW w:w="6120" w:type="dxa"/>
          </w:tcPr>
          <w:p w:rsidR="002A21AE" w:rsidRDefault="002A21AE">
            <w:pPr>
              <w:pStyle w:val="TableTextBullet"/>
            </w:pPr>
            <w:r>
              <w:t xml:space="preserve">Lists valid modification procedures. </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2768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63"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9" o:spid="_x0000_s1026" style="position:absolute;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d/NFQ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Df1&#10;380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rPr>
                <w:strike/>
              </w:rPr>
            </w:pPr>
            <w:r>
              <w:t xml:space="preserve">A user may enable one, more, or all modification types. </w:t>
            </w:r>
          </w:p>
        </w:tc>
      </w:tr>
      <w:tr w:rsidR="002A21AE">
        <w:tblPrEx>
          <w:tblCellMar>
            <w:top w:w="0" w:type="dxa"/>
            <w:bottom w:w="0" w:type="dxa"/>
          </w:tblCellMar>
        </w:tblPrEx>
        <w:tc>
          <w:tcPr>
            <w:tcW w:w="3240" w:type="dxa"/>
          </w:tcPr>
          <w:p w:rsidR="002A21AE" w:rsidRDefault="002A21AE">
            <w:pPr>
              <w:pStyle w:val="TableTextNumbers"/>
            </w:pPr>
            <w:r>
              <w:t>Click one or more check boxes to enable modification types.</w:t>
            </w:r>
          </w:p>
          <w:p w:rsidR="002A21AE" w:rsidRDefault="002A21AE">
            <w:pPr>
              <w:pStyle w:val="TableTextNumbersContinued"/>
              <w:rPr>
                <w:b/>
                <w:bCs/>
              </w:rPr>
            </w:pPr>
          </w:p>
          <w:p w:rsidR="002A21AE" w:rsidRDefault="002A21AE">
            <w:pPr>
              <w:pStyle w:val="TableTextNumbersContinued"/>
            </w:pPr>
            <w:r>
              <w:t>Enter the</w:t>
            </w:r>
            <w:r w:rsidR="00B917A8">
              <w:t xml:space="preserve"> processing cost </w:t>
            </w:r>
            <w:r>
              <w:t xml:space="preserve">associated with each modification procedure. </w:t>
            </w:r>
          </w:p>
        </w:tc>
        <w:tc>
          <w:tcPr>
            <w:tcW w:w="6120" w:type="dxa"/>
          </w:tcPr>
          <w:p w:rsidR="002A21AE" w:rsidRDefault="002A21AE">
            <w:pPr>
              <w:pStyle w:val="TableTextBullet"/>
            </w:pPr>
            <w:r>
              <w:t>Lists modification procedures.</w:t>
            </w:r>
          </w:p>
          <w:p w:rsidR="002A21AE" w:rsidRDefault="002A21AE">
            <w:pPr>
              <w:pStyle w:val="TableText"/>
              <w:rPr>
                <w:b/>
                <w:bCs/>
                <w:szCs w:val="18"/>
              </w:rPr>
            </w:pPr>
          </w:p>
          <w:p w:rsidR="002A21AE" w:rsidRDefault="00634BFC">
            <w:pPr>
              <w:pStyle w:val="TableText"/>
              <w:rPr>
                <w:b/>
                <w:bCs/>
                <w:szCs w:val="18"/>
              </w:rPr>
            </w:pPr>
            <w:r>
              <w:rPr>
                <w:b/>
                <w:bCs/>
                <w:noProof/>
              </w:rPr>
              <mc:AlternateContent>
                <mc:Choice Requires="wps">
                  <w:drawing>
                    <wp:anchor distT="0" distB="0" distL="114300" distR="114300" simplePos="0" relativeHeight="25152870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62"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0" o:spid="_x0000_s1026" style="position:absolute;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3k4FgIAAC0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Df&#10;H3k4FgIAAC0EAAAOAAAAAAAAAAAAAAAAAC4CAABkcnMvZTJvRG9jLnhtbFBLAQItABQABgAIAAAA&#10;IQAXTzAS2wAAAAgBAAAPAAAAAAAAAAAAAAAAAHAEAABkcnMvZG93bnJldi54bWxQSwUGAAAAAAQA&#10;BADzAAAAeAU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t>Modification procedures:</w:t>
            </w:r>
          </w:p>
          <w:p w:rsidR="002A21AE" w:rsidRDefault="002A21AE">
            <w:pPr>
              <w:pStyle w:val="NotesTextBullet"/>
            </w:pPr>
            <w:r>
              <w:t xml:space="preserve">Thaw </w:t>
            </w:r>
          </w:p>
          <w:p w:rsidR="002A21AE" w:rsidRDefault="002A21AE">
            <w:pPr>
              <w:pStyle w:val="NotesTextBullet"/>
            </w:pPr>
            <w:r>
              <w:t>Pool</w:t>
            </w:r>
          </w:p>
          <w:p w:rsidR="002A21AE" w:rsidRDefault="002A21AE">
            <w:pPr>
              <w:pStyle w:val="NotesTextBullet"/>
            </w:pPr>
            <w:r>
              <w:t>Thaw/Pool Cryo</w:t>
            </w:r>
          </w:p>
          <w:p w:rsidR="002A21AE" w:rsidRDefault="002A21AE">
            <w:pPr>
              <w:pStyle w:val="NotesTextBullet"/>
            </w:pPr>
            <w:r>
              <w:t>Split/Divide</w:t>
            </w:r>
          </w:p>
          <w:p w:rsidR="002A21AE" w:rsidRDefault="002A21AE">
            <w:pPr>
              <w:pStyle w:val="NotesTextBullet"/>
            </w:pPr>
            <w:r>
              <w:t>Irradiate</w:t>
            </w:r>
          </w:p>
          <w:p w:rsidR="002A21AE" w:rsidRDefault="002A21AE">
            <w:pPr>
              <w:pStyle w:val="NotesTextBullet"/>
            </w:pPr>
            <w:r>
              <w:t>Leukoreduce</w:t>
            </w:r>
          </w:p>
          <w:p w:rsidR="002A21AE" w:rsidRDefault="002A21AE">
            <w:pPr>
              <w:pStyle w:val="NotesTextBullet"/>
            </w:pPr>
            <w:r>
              <w:lastRenderedPageBreak/>
              <w:t>Volume reduce</w:t>
            </w:r>
          </w:p>
          <w:p w:rsidR="002A21AE" w:rsidRDefault="002A21AE">
            <w:pPr>
              <w:pStyle w:val="NotesTextBullet"/>
            </w:pPr>
            <w:r>
              <w:t>Wash</w:t>
            </w:r>
          </w:p>
          <w:p w:rsidR="002A21AE" w:rsidRDefault="002A21AE">
            <w:pPr>
              <w:pStyle w:val="NotesTextBullet"/>
            </w:pPr>
            <w:r>
              <w:t xml:space="preserve">Rejuvenate </w:t>
            </w:r>
          </w:p>
          <w:p w:rsidR="002A21AE" w:rsidRDefault="002A21AE">
            <w:pPr>
              <w:pStyle w:val="NotesTextBullet"/>
            </w:pPr>
            <w:r>
              <w:t>Freeze</w:t>
            </w:r>
          </w:p>
          <w:p w:rsidR="002A21AE" w:rsidRDefault="002A21AE">
            <w:pPr>
              <w:pStyle w:val="NotesTextBullet"/>
            </w:pPr>
            <w:r>
              <w:t>Deglycerolize</w:t>
            </w:r>
          </w:p>
          <w:p w:rsidR="002A21AE" w:rsidRPr="009D316D" w:rsidRDefault="002A21AE" w:rsidP="009D316D">
            <w:pPr>
              <w:pStyle w:val="NotesText"/>
            </w:pPr>
          </w:p>
          <w:p w:rsidR="000E19EE" w:rsidRDefault="002A21AE" w:rsidP="009D316D">
            <w:pPr>
              <w:pStyle w:val="NotesText"/>
            </w:pPr>
            <w:r w:rsidRPr="009D316D">
              <w:rPr>
                <w:vanish/>
                <w:szCs w:val="18"/>
              </w:rPr>
              <w:t xml:space="preserve">BR_10.03 </w:t>
            </w:r>
            <w:r w:rsidRPr="009D316D">
              <w:t xml:space="preserve">The modification process fee is added to the base unit cost </w:t>
            </w:r>
            <w:r w:rsidR="00D2265D" w:rsidRPr="009D316D">
              <w:t xml:space="preserve">of the first target unit </w:t>
            </w:r>
            <w:r w:rsidRPr="009D316D">
              <w:t>and special testing costs, creating a patient bill for a transfused blood product, not including on-site antigen typing performed. The modification process fee may be U.S. $0.00 to $9,999.99.</w:t>
            </w:r>
            <w:r w:rsidR="00A76634">
              <w:t xml:space="preserve"> VBECS will generate an audit trail report entry when this field is filled or changed.</w:t>
            </w:r>
          </w:p>
        </w:tc>
      </w:tr>
      <w:tr w:rsidR="002A21AE">
        <w:tblPrEx>
          <w:tblCellMar>
            <w:top w:w="0" w:type="dxa"/>
            <w:bottom w:w="0" w:type="dxa"/>
          </w:tblCellMar>
        </w:tblPrEx>
        <w:tc>
          <w:tcPr>
            <w:tcW w:w="3240" w:type="dxa"/>
          </w:tcPr>
          <w:p w:rsidR="002A21AE" w:rsidRDefault="002A21AE">
            <w:pPr>
              <w:pStyle w:val="TableTextNumbers"/>
            </w:pPr>
            <w:r>
              <w:lastRenderedPageBreak/>
              <w:t xml:space="preserve">Click </w:t>
            </w:r>
            <w:r>
              <w:rPr>
                <w:b/>
              </w:rPr>
              <w:t xml:space="preserve">OK </w:t>
            </w:r>
            <w:r>
              <w:t xml:space="preserve">to save and click </w:t>
            </w:r>
            <w:r>
              <w:rPr>
                <w:b/>
              </w:rPr>
              <w:t>OK</w:t>
            </w:r>
            <w:r>
              <w:t xml:space="preserve"> again to confirm the save and exit, or click another tab.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rsidR="002A21AE" w:rsidRDefault="002A21AE">
            <w:pPr>
              <w:pStyle w:val="TableTextBullet"/>
            </w:pPr>
            <w:r>
              <w:t>Updates the database and captures changes to any previously defined parameters for inclusion in the Audit Trail Report.</w:t>
            </w:r>
          </w:p>
        </w:tc>
      </w:tr>
    </w:tbl>
    <w:p w:rsidR="001266F5" w:rsidRDefault="001266F5" w:rsidP="001266F5">
      <w:pPr>
        <w:pStyle w:val="Caption"/>
      </w:pPr>
      <w:bookmarkStart w:id="185" w:name="_Toc63680385"/>
      <w:bookmarkStart w:id="186" w:name="_Ref126470383"/>
      <w:r>
        <w:t xml:space="preserve">Figure </w:t>
      </w:r>
      <w:r w:rsidR="00C17F7C">
        <w:fldChar w:fldCharType="begin"/>
      </w:r>
      <w:r w:rsidR="00C17F7C">
        <w:instrText xml:space="preserve"> SEQ Figure \* ARABIC </w:instrText>
      </w:r>
      <w:r w:rsidR="00C17F7C">
        <w:fldChar w:fldCharType="separate"/>
      </w:r>
      <w:r w:rsidR="005F38BC">
        <w:rPr>
          <w:noProof/>
        </w:rPr>
        <w:t>46</w:t>
      </w:r>
      <w:r w:rsidR="00C17F7C">
        <w:fldChar w:fldCharType="end"/>
      </w:r>
      <w:bookmarkEnd w:id="186"/>
      <w:r>
        <w:t>: Product Modifications Tab</w:t>
      </w:r>
    </w:p>
    <w:p w:rsidR="0066425F" w:rsidRDefault="00634BFC" w:rsidP="0066425F">
      <w:pPr>
        <w:pStyle w:val="BodyText"/>
      </w:pPr>
      <w:r>
        <w:rPr>
          <w:noProof/>
        </w:rPr>
        <w:drawing>
          <wp:inline distT="0" distB="0" distL="0" distR="0">
            <wp:extent cx="3200400" cy="320992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200400" cy="3209925"/>
                    </a:xfrm>
                    <a:prstGeom prst="rect">
                      <a:avLst/>
                    </a:prstGeom>
                    <a:noFill/>
                    <a:ln>
                      <a:noFill/>
                    </a:ln>
                  </pic:spPr>
                </pic:pic>
              </a:graphicData>
            </a:graphic>
          </wp:inline>
        </w:drawing>
      </w:r>
      <w:r w:rsidR="001266F5">
        <w:t xml:space="preserve"> </w:t>
      </w:r>
    </w:p>
    <w:p w:rsidR="00796039" w:rsidRDefault="00AF089A" w:rsidP="0066425F">
      <w:pPr>
        <w:pStyle w:val="Heading3"/>
      </w:pPr>
      <w:r>
        <w:br w:type="page"/>
      </w:r>
      <w:bookmarkStart w:id="187" w:name="_Toc459900089"/>
      <w:r w:rsidR="006068DE">
        <w:lastRenderedPageBreak/>
        <w:t>Order Alerts</w:t>
      </w:r>
      <w:bookmarkEnd w:id="187"/>
      <w:r w:rsidR="00796039">
        <w:fldChar w:fldCharType="begin"/>
      </w:r>
      <w:r w:rsidR="00796039">
        <w:instrText xml:space="preserve"> XE “</w:instrText>
      </w:r>
      <w:r w:rsidR="006068DE">
        <w:instrText>Order Alerts</w:instrText>
      </w:r>
      <w:r w:rsidR="00796039">
        <w:instrText xml:space="preserve">” </w:instrText>
      </w:r>
      <w:r w:rsidR="00796039">
        <w:fldChar w:fldCharType="end"/>
      </w:r>
      <w:r w:rsidR="00796039">
        <w:t xml:space="preserve"> </w:t>
      </w:r>
      <w:r w:rsidR="00796039">
        <w:rPr>
          <w:vanish/>
        </w:rPr>
        <w:t>UC_95</w:t>
      </w:r>
    </w:p>
    <w:p w:rsidR="00796039" w:rsidRDefault="00796039" w:rsidP="00796039">
      <w:pPr>
        <w:pStyle w:val="BodyText"/>
      </w:pPr>
      <w:r>
        <w:t xml:space="preserve">The user configures </w:t>
      </w:r>
      <w:r w:rsidRPr="00CA0045">
        <w:rPr>
          <w:bCs/>
        </w:rPr>
        <w:t>VistA</w:t>
      </w:r>
      <w:r>
        <w:t xml:space="preserve"> alerts that appear at login. </w:t>
      </w:r>
    </w:p>
    <w:p w:rsidR="00796039" w:rsidRDefault="00796039" w:rsidP="00796039">
      <w:pPr>
        <w:pStyle w:val="Heading4"/>
      </w:pPr>
      <w:r>
        <w:t>Assumptions</w:t>
      </w:r>
      <w:r>
        <w:rPr>
          <w:b w:val="0"/>
        </w:rPr>
        <w:t xml:space="preserve"> </w:t>
      </w:r>
    </w:p>
    <w:p w:rsidR="00796039" w:rsidRDefault="00796039" w:rsidP="00796039">
      <w:pPr>
        <w:pStyle w:val="ListBullet"/>
      </w:pPr>
      <w:r>
        <w:t>None</w:t>
      </w:r>
    </w:p>
    <w:p w:rsidR="00796039" w:rsidRDefault="00796039" w:rsidP="00796039">
      <w:pPr>
        <w:pStyle w:val="Heading4"/>
      </w:pPr>
      <w:r>
        <w:t xml:space="preserve">Outcome </w:t>
      </w:r>
    </w:p>
    <w:p w:rsidR="00796039" w:rsidRDefault="00796039" w:rsidP="00796039">
      <w:pPr>
        <w:pStyle w:val="ListBullet"/>
      </w:pPr>
      <w:r>
        <w:t>User alerts of physician orders for blood bank diagnostic tests and blood components are configured.</w:t>
      </w:r>
    </w:p>
    <w:p w:rsidR="00796039" w:rsidRDefault="00796039" w:rsidP="00796039">
      <w:pPr>
        <w:pStyle w:val="Heading4"/>
      </w:pPr>
      <w:r>
        <w:t>Limitations and Restrictions</w:t>
      </w:r>
      <w:r>
        <w:rPr>
          <w:b w:val="0"/>
        </w:rPr>
        <w:t xml:space="preserve"> </w:t>
      </w:r>
    </w:p>
    <w:p w:rsidR="000D7828" w:rsidRDefault="000D7828" w:rsidP="00796039">
      <w:pPr>
        <w:pStyle w:val="ListBullet"/>
      </w:pPr>
      <w:r>
        <w:t xml:space="preserve">This is an alert only and contains limited information from the CPRS order. </w:t>
      </w:r>
      <w:r w:rsidRPr="000D7828">
        <w:rPr>
          <w:vanish/>
        </w:rPr>
        <w:t>Defect 368207</w:t>
      </w:r>
    </w:p>
    <w:p w:rsidR="00796039" w:rsidRDefault="00796039" w:rsidP="00796039">
      <w:pPr>
        <w:pStyle w:val="ListBullet"/>
      </w:pPr>
      <w:r>
        <w:t>This option does not create a mechanism to accept or reject orders or specimens or define reports for viewing orders.</w:t>
      </w:r>
    </w:p>
    <w:p w:rsidR="00796039" w:rsidRDefault="00796039" w:rsidP="00796039">
      <w:pPr>
        <w:pStyle w:val="ListBullet"/>
      </w:pPr>
      <w:r>
        <w:t>The user may select the option to display printer alerts only when the designated printer is configured and available.</w:t>
      </w:r>
    </w:p>
    <w:p w:rsidR="00796039" w:rsidRDefault="00796039" w:rsidP="00796039">
      <w:pPr>
        <w:pStyle w:val="ListBullet"/>
      </w:pPr>
      <w:r>
        <w:t>The printer</w:t>
      </w:r>
      <w:r w:rsidR="006C2ED3" w:rsidRPr="006C2ED3">
        <w:t xml:space="preserve"> </w:t>
      </w:r>
      <w:r w:rsidR="006C2ED3">
        <w:t>must be configured by the System Administrator</w:t>
      </w:r>
      <w:r>
        <w:t>.</w:t>
      </w:r>
    </w:p>
    <w:p w:rsidR="009239B8" w:rsidRDefault="009239B8" w:rsidP="00796039">
      <w:pPr>
        <w:pStyle w:val="ListBullet"/>
      </w:pPr>
      <w:r w:rsidRPr="009239B8">
        <w:t>Order Alerts for Component Orders do not contain information abou</w:t>
      </w:r>
      <w:r w:rsidR="00A8756B">
        <w:t>t u</w:t>
      </w:r>
      <w:r w:rsidR="00FD0E16">
        <w:t xml:space="preserve">rgency of </w:t>
      </w:r>
      <w:r w:rsidR="00A8756B">
        <w:t>the o</w:t>
      </w:r>
      <w:r w:rsidR="00FD0E16">
        <w:t>rder. S</w:t>
      </w:r>
      <w:r w:rsidRPr="009239B8">
        <w:t xml:space="preserve">ee </w:t>
      </w:r>
      <w:r w:rsidR="00FD0E16">
        <w:t xml:space="preserve">the </w:t>
      </w:r>
      <w:r w:rsidRPr="009239B8">
        <w:t>Pending</w:t>
      </w:r>
      <w:r w:rsidR="00A8756B">
        <w:t xml:space="preserve"> Order List (POL) to check the u</w:t>
      </w:r>
      <w:r w:rsidRPr="009239B8">
        <w:t xml:space="preserve">rgency of </w:t>
      </w:r>
      <w:r w:rsidR="00FD0E16">
        <w:t>an</w:t>
      </w:r>
      <w:r w:rsidRPr="009239B8">
        <w:t xml:space="preserve"> order.</w:t>
      </w:r>
    </w:p>
    <w:p w:rsidR="00796039" w:rsidRDefault="00796039" w:rsidP="00796039">
      <w:pPr>
        <w:pStyle w:val="Heading4"/>
      </w:pPr>
      <w:r>
        <w:t xml:space="preserve">Additional Information </w:t>
      </w:r>
    </w:p>
    <w:p w:rsidR="00796039" w:rsidRDefault="00796039" w:rsidP="00796039">
      <w:pPr>
        <w:pStyle w:val="ListBullet"/>
      </w:pPr>
      <w:r>
        <w:t>A user may review current user alert configurations.</w:t>
      </w:r>
    </w:p>
    <w:p w:rsidR="00796039" w:rsidRDefault="00796039" w:rsidP="00796039">
      <w:pPr>
        <w:pStyle w:val="ListBullet"/>
      </w:pPr>
      <w:r>
        <w:t>VBECS uses other alerts (patient update alerts, VistALink status alerts) that do not require configuration.</w:t>
      </w:r>
    </w:p>
    <w:p w:rsidR="007004B1" w:rsidRDefault="007004B1" w:rsidP="00796039">
      <w:pPr>
        <w:pStyle w:val="ListBullet"/>
      </w:pPr>
      <w:r>
        <w:t xml:space="preserve">The user may set </w:t>
      </w:r>
      <w:r w:rsidR="00922AD8">
        <w:t>VBECS to</w:t>
      </w:r>
      <w:r>
        <w:t xml:space="preserve"> automatically print an order alert on the designated printer when VBECS ackn</w:t>
      </w:r>
      <w:r w:rsidR="000D7828">
        <w:t xml:space="preserve">owledges the order. </w:t>
      </w:r>
      <w:r>
        <w:t>The CPRS can be configured to print a copy of the order on a printer in the blood bank.</w:t>
      </w:r>
    </w:p>
    <w:p w:rsidR="00796039" w:rsidRDefault="00796039" w:rsidP="00796039">
      <w:pPr>
        <w:pStyle w:val="Heading4"/>
        <w:rPr>
          <w:b w:val="0"/>
        </w:rPr>
      </w:pPr>
      <w:r>
        <w:t>User Roles with Access to This Option</w:t>
      </w:r>
      <w:r>
        <w:rPr>
          <w:b w:val="0"/>
        </w:rPr>
        <w:t xml:space="preserve"> </w:t>
      </w:r>
    </w:p>
    <w:p w:rsidR="00237C52" w:rsidRDefault="00237C52" w:rsidP="00796039">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rsidR="00796039" w:rsidRDefault="006068DE" w:rsidP="00796039">
      <w:pPr>
        <w:pStyle w:val="Heading4"/>
      </w:pPr>
      <w:r>
        <w:t>Order Alerts</w:t>
      </w:r>
    </w:p>
    <w:p w:rsidR="00796039" w:rsidRDefault="00796039" w:rsidP="00796039">
      <w:pPr>
        <w:pStyle w:val="BodyText"/>
      </w:pPr>
      <w:r>
        <w:t xml:space="preserve">The user configures diagnostic test or component order alerts, and turns them on or off. The alerts notify users when new orders are entered, updated, or canceled in </w:t>
      </w:r>
      <w:r w:rsidRPr="00CA0045">
        <w:rPr>
          <w:bCs/>
        </w:rPr>
        <w:t>VistA</w:t>
      </w:r>
      <w:r>
        <w:rPr>
          <w:bCs/>
        </w:rP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796039">
        <w:tblPrEx>
          <w:tblCellMar>
            <w:top w:w="0" w:type="dxa"/>
            <w:bottom w:w="0" w:type="dxa"/>
          </w:tblCellMar>
        </w:tblPrEx>
        <w:trPr>
          <w:cantSplit/>
          <w:tblHeader/>
        </w:trPr>
        <w:tc>
          <w:tcPr>
            <w:tcW w:w="3240" w:type="dxa"/>
            <w:shd w:val="pct30" w:color="auto" w:fill="FFFFFF"/>
            <w:vAlign w:val="bottom"/>
          </w:tcPr>
          <w:p w:rsidR="00796039" w:rsidRDefault="00796039" w:rsidP="00796039">
            <w:pPr>
              <w:pStyle w:val="TableText"/>
              <w:rPr>
                <w:b/>
              </w:rPr>
            </w:pPr>
            <w:r>
              <w:rPr>
                <w:b/>
              </w:rPr>
              <w:t>User Action</w:t>
            </w:r>
          </w:p>
        </w:tc>
        <w:tc>
          <w:tcPr>
            <w:tcW w:w="6120" w:type="dxa"/>
            <w:shd w:val="pct30" w:color="auto" w:fill="FFFFFF"/>
            <w:vAlign w:val="bottom"/>
          </w:tcPr>
          <w:p w:rsidR="00796039" w:rsidRDefault="00796039" w:rsidP="00796039">
            <w:pPr>
              <w:pStyle w:val="TableText"/>
              <w:rPr>
                <w:b/>
              </w:rPr>
            </w:pPr>
            <w:r>
              <w:rPr>
                <w:b/>
              </w:rPr>
              <w:t>VBECS</w:t>
            </w:r>
          </w:p>
        </w:tc>
      </w:tr>
      <w:tr w:rsidR="00796039">
        <w:tblPrEx>
          <w:tblCellMar>
            <w:top w:w="0" w:type="dxa"/>
            <w:bottom w:w="0" w:type="dxa"/>
          </w:tblCellMar>
        </w:tblPrEx>
        <w:tc>
          <w:tcPr>
            <w:tcW w:w="3240" w:type="dxa"/>
          </w:tcPr>
          <w:p w:rsidR="00796039" w:rsidRDefault="00796039" w:rsidP="00796039">
            <w:pPr>
              <w:pStyle w:val="TableTextNumbers"/>
            </w:pPr>
            <w:r>
              <w:t xml:space="preserve">Select </w:t>
            </w:r>
            <w:r>
              <w:rPr>
                <w:b/>
                <w:bCs/>
              </w:rPr>
              <w:t>Tools</w:t>
            </w:r>
            <w:r>
              <w:t xml:space="preserve"> from the main menu.</w:t>
            </w:r>
          </w:p>
          <w:p w:rsidR="00796039" w:rsidRDefault="00796039" w:rsidP="00796039">
            <w:pPr>
              <w:pStyle w:val="TableTextNumbersContinued"/>
              <w:rPr>
                <w:b/>
                <w:bCs/>
              </w:rPr>
            </w:pPr>
          </w:p>
          <w:p w:rsidR="00796039" w:rsidRDefault="00796039" w:rsidP="00796039">
            <w:pPr>
              <w:pStyle w:val="TableTextNumbersContinued"/>
              <w:rPr>
                <w:b/>
                <w:bCs/>
              </w:rPr>
            </w:pPr>
            <w:r>
              <w:rPr>
                <w:b/>
                <w:bCs/>
              </w:rPr>
              <w:t>Select Configure Division.</w:t>
            </w:r>
          </w:p>
        </w:tc>
        <w:tc>
          <w:tcPr>
            <w:tcW w:w="6120" w:type="dxa"/>
          </w:tcPr>
          <w:p w:rsidR="00796039" w:rsidRDefault="00796039" w:rsidP="00796039">
            <w:pPr>
              <w:pStyle w:val="TableTextBullet"/>
            </w:pPr>
            <w:r>
              <w:t>Displays options for processing administrative functions.</w:t>
            </w:r>
          </w:p>
          <w:p w:rsidR="00796039" w:rsidRDefault="00796039" w:rsidP="00796039">
            <w:pPr>
              <w:pStyle w:val="TableTextBullet"/>
            </w:pPr>
            <w:r>
              <w:t>Displays configuration tabs.</w:t>
            </w:r>
          </w:p>
        </w:tc>
      </w:tr>
      <w:tr w:rsidR="00796039">
        <w:tblPrEx>
          <w:tblCellMar>
            <w:top w:w="0" w:type="dxa"/>
            <w:bottom w:w="0" w:type="dxa"/>
          </w:tblCellMar>
        </w:tblPrEx>
        <w:tc>
          <w:tcPr>
            <w:tcW w:w="3240" w:type="dxa"/>
          </w:tcPr>
          <w:p w:rsidR="00796039" w:rsidRDefault="00796039" w:rsidP="00796039">
            <w:pPr>
              <w:pStyle w:val="TableTextNumbers"/>
            </w:pPr>
            <w:r>
              <w:t xml:space="preserve">Click the </w:t>
            </w:r>
            <w:r>
              <w:rPr>
                <w:b/>
                <w:bCs/>
              </w:rPr>
              <w:t xml:space="preserve">Order Alerts </w:t>
            </w:r>
            <w:r w:rsidRPr="00CC3C89">
              <w:rPr>
                <w:bCs/>
              </w:rPr>
              <w:t>tab</w:t>
            </w:r>
            <w:r w:rsidR="008A6E48" w:rsidRPr="00CC3C89">
              <w:rPr>
                <w:bCs/>
              </w:rPr>
              <w:t xml:space="preserve"> </w:t>
            </w:r>
            <w:r w:rsidR="008A6E48">
              <w:rPr>
                <w:bCs/>
              </w:rPr>
              <w:t>(</w:t>
            </w:r>
            <w:r w:rsidR="008A6E48">
              <w:rPr>
                <w:bCs/>
              </w:rPr>
              <w:fldChar w:fldCharType="begin"/>
            </w:r>
            <w:r w:rsidR="008A6E48">
              <w:rPr>
                <w:bCs/>
              </w:rPr>
              <w:instrText xml:space="preserve"> REF _Ref126470573 \h </w:instrText>
            </w:r>
            <w:r w:rsidR="006A1989" w:rsidRPr="008A6E48">
              <w:rPr>
                <w:bCs/>
              </w:rPr>
            </w:r>
            <w:r w:rsidR="008A6E48">
              <w:rPr>
                <w:bCs/>
              </w:rPr>
              <w:fldChar w:fldCharType="separate"/>
            </w:r>
            <w:r w:rsidR="005F38BC">
              <w:t xml:space="preserve">Figure </w:t>
            </w:r>
            <w:r w:rsidR="005F38BC">
              <w:rPr>
                <w:noProof/>
              </w:rPr>
              <w:t>47</w:t>
            </w:r>
            <w:r w:rsidR="008A6E48">
              <w:rPr>
                <w:bCs/>
              </w:rPr>
              <w:fldChar w:fldCharType="end"/>
            </w:r>
            <w:r w:rsidR="008A6E48">
              <w:rPr>
                <w:bCs/>
              </w:rPr>
              <w:t>)</w:t>
            </w:r>
            <w:r>
              <w:t xml:space="preserve">. </w:t>
            </w:r>
          </w:p>
          <w:p w:rsidR="00796039" w:rsidRDefault="00796039" w:rsidP="00796039">
            <w:pPr>
              <w:pStyle w:val="TableTextNumbersContinued"/>
            </w:pPr>
          </w:p>
          <w:p w:rsidR="00796039" w:rsidRDefault="00796039" w:rsidP="00796039">
            <w:pPr>
              <w:pStyle w:val="TableTextNumbersContinued"/>
            </w:pPr>
            <w:r>
              <w:t xml:space="preserve">Click the </w:t>
            </w:r>
            <w:r>
              <w:rPr>
                <w:b/>
              </w:rPr>
              <w:t>Printer Alerts On</w:t>
            </w:r>
            <w:r>
              <w:t xml:space="preserve"> and/or the</w:t>
            </w:r>
            <w:r>
              <w:rPr>
                <w:b/>
              </w:rPr>
              <w:t xml:space="preserve"> Icon Alerts On </w:t>
            </w:r>
            <w:r w:rsidRPr="00D1100E">
              <w:t>check box</w:t>
            </w:r>
            <w:r>
              <w:t>.</w:t>
            </w:r>
          </w:p>
          <w:p w:rsidR="00796039" w:rsidRDefault="00796039" w:rsidP="00796039">
            <w:pPr>
              <w:pStyle w:val="TableTextNumbersContinued"/>
            </w:pPr>
          </w:p>
          <w:p w:rsidR="00796039" w:rsidRDefault="00796039" w:rsidP="00796039">
            <w:pPr>
              <w:pStyle w:val="TableTextNumbersContinued"/>
              <w:rPr>
                <w:b/>
                <w:bCs/>
              </w:rPr>
            </w:pPr>
            <w:r>
              <w:t>Select the order alert type from the drop-down menus in the Order Alert Type fields.</w:t>
            </w:r>
          </w:p>
        </w:tc>
        <w:tc>
          <w:tcPr>
            <w:tcW w:w="6120" w:type="dxa"/>
          </w:tcPr>
          <w:p w:rsidR="00796039" w:rsidRDefault="00796039" w:rsidP="00796039">
            <w:pPr>
              <w:pStyle w:val="TableTextBullet"/>
            </w:pPr>
            <w:r>
              <w:t xml:space="preserve">Displays the existing order alert configuration and allows the user to edit it. </w:t>
            </w:r>
          </w:p>
          <w:p w:rsidR="00796039" w:rsidRDefault="00796039" w:rsidP="00796039">
            <w:pPr>
              <w:pStyle w:val="TableTextBullet"/>
            </w:pPr>
            <w:r>
              <w:rPr>
                <w:rFonts w:cs="Arial"/>
                <w:vanish/>
              </w:rPr>
              <w:t xml:space="preserve">BR_95.08 </w:t>
            </w:r>
            <w:r>
              <w:t>Requires the user to select a printer name and to define which orders to print.</w:t>
            </w:r>
          </w:p>
          <w:p w:rsidR="00796039" w:rsidRDefault="00796039" w:rsidP="00796039">
            <w:pPr>
              <w:pStyle w:val="TableTextBullet"/>
            </w:pPr>
            <w:r>
              <w:rPr>
                <w:rFonts w:cs="Arial"/>
                <w:vanish/>
              </w:rPr>
              <w:t xml:space="preserve">BR_95.05 </w:t>
            </w:r>
            <w:r>
              <w:t>Displays the selected printer, the selected order alert type, and the number of hours (default: 48 hours) entered for review.</w:t>
            </w:r>
          </w:p>
          <w:p w:rsidR="00796039" w:rsidRDefault="00796039" w:rsidP="00796039">
            <w:pPr>
              <w:pStyle w:val="TableText"/>
            </w:pPr>
          </w:p>
          <w:p w:rsidR="00796039" w:rsidRDefault="00634BFC" w:rsidP="00796039">
            <w:pPr>
              <w:pStyle w:val="TableText"/>
              <w:rPr>
                <w:b/>
                <w:bCs/>
                <w:szCs w:val="18"/>
              </w:rPr>
            </w:pPr>
            <w:r>
              <w:rPr>
                <w:b/>
                <w:bCs/>
                <w:noProof/>
              </w:rPr>
              <mc:AlternateContent>
                <mc:Choice Requires="wps">
                  <w:drawing>
                    <wp:anchor distT="0" distB="0" distL="114300" distR="114300" simplePos="0" relativeHeight="25171916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61" name="Line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1"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O+sFwIAAC4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" strokeweight="1.5pt"/>
                  </w:pict>
                </mc:Fallback>
              </mc:AlternateContent>
            </w:r>
            <w:r w:rsidR="00796039">
              <w:rPr>
                <w:b/>
                <w:bCs/>
                <w:szCs w:val="18"/>
              </w:rPr>
              <w:t>NOTES</w:t>
            </w:r>
          </w:p>
          <w:p w:rsidR="00796039" w:rsidRDefault="00796039" w:rsidP="00796039">
            <w:pPr>
              <w:pStyle w:val="NotesText"/>
            </w:pPr>
          </w:p>
          <w:p w:rsidR="00796039" w:rsidRDefault="00796039" w:rsidP="00796039">
            <w:pPr>
              <w:pStyle w:val="NotesText"/>
            </w:pPr>
            <w:r>
              <w:rPr>
                <w:rFonts w:cs="Arial"/>
                <w:vanish/>
              </w:rPr>
              <w:t xml:space="preserve">BR_95.03 </w:t>
            </w:r>
            <w:r>
              <w:t>VBECS lists local and network printers.</w:t>
            </w:r>
          </w:p>
          <w:p w:rsidR="00796039" w:rsidRDefault="00796039" w:rsidP="00796039">
            <w:pPr>
              <w:pStyle w:val="NotesText"/>
            </w:pPr>
          </w:p>
          <w:p w:rsidR="00796039" w:rsidRDefault="00796039" w:rsidP="00796039">
            <w:pPr>
              <w:pStyle w:val="NotesText"/>
            </w:pPr>
            <w:r>
              <w:rPr>
                <w:rFonts w:cs="Arial"/>
                <w:vanish/>
              </w:rPr>
              <w:lastRenderedPageBreak/>
              <w:t xml:space="preserve">BR_95.04 </w:t>
            </w:r>
            <w:r>
              <w:t>The user must select an order alert type:</w:t>
            </w:r>
          </w:p>
          <w:p w:rsidR="00796039" w:rsidRDefault="00796039" w:rsidP="00796039">
            <w:pPr>
              <w:pStyle w:val="NotesTextBullet"/>
            </w:pPr>
            <w:r>
              <w:t>All orders (orders received by VBECS)</w:t>
            </w:r>
          </w:p>
          <w:p w:rsidR="00796039" w:rsidRDefault="00796039" w:rsidP="00796039">
            <w:pPr>
              <w:pStyle w:val="NotesTextBullet"/>
            </w:pPr>
            <w:r>
              <w:t xml:space="preserve">Hours limit to fill </w:t>
            </w:r>
            <w:r w:rsidR="008426BA">
              <w:t>o</w:t>
            </w:r>
            <w:r>
              <w:t xml:space="preserve">rder (orders received by VBECS needed in the next </w:t>
            </w:r>
            <w:r w:rsidRPr="00A65947">
              <w:rPr>
                <w:i/>
              </w:rPr>
              <w:t>n</w:t>
            </w:r>
            <w:r>
              <w:t xml:space="preserve"> hours) </w:t>
            </w:r>
          </w:p>
          <w:p w:rsidR="00796039" w:rsidRDefault="00796039" w:rsidP="00796039">
            <w:pPr>
              <w:pStyle w:val="NotesTextBullet"/>
            </w:pPr>
            <w:r>
              <w:t>Spec</w:t>
            </w:r>
            <w:r w:rsidR="00802EE9">
              <w:t>imen OK or N/A (orders where</w:t>
            </w:r>
            <w:r>
              <w:t xml:space="preserve"> no specimen is require</w:t>
            </w:r>
            <w:r w:rsidR="00802EE9">
              <w:t>d</w:t>
            </w:r>
            <w:r>
              <w:t>)</w:t>
            </w:r>
          </w:p>
        </w:tc>
      </w:tr>
      <w:tr w:rsidR="00796039">
        <w:tblPrEx>
          <w:tblCellMar>
            <w:top w:w="0" w:type="dxa"/>
            <w:bottom w:w="0" w:type="dxa"/>
          </w:tblCellMar>
        </w:tblPrEx>
        <w:tc>
          <w:tcPr>
            <w:tcW w:w="3240" w:type="dxa"/>
          </w:tcPr>
          <w:p w:rsidR="00796039" w:rsidRDefault="00796039" w:rsidP="00796039">
            <w:pPr>
              <w:pStyle w:val="TableTextNumbers"/>
            </w:pPr>
            <w:r>
              <w:lastRenderedPageBreak/>
              <w:t>Enter or select a refresh rate</w:t>
            </w:r>
            <w:r w:rsidR="00B917A8">
              <w:t xml:space="preserve"> (the interval between searches for new orders)</w:t>
            </w:r>
            <w:r>
              <w:t xml:space="preserve"> for the order alert in the Refresh Rate field. </w:t>
            </w:r>
          </w:p>
        </w:tc>
        <w:tc>
          <w:tcPr>
            <w:tcW w:w="6120" w:type="dxa"/>
          </w:tcPr>
          <w:p w:rsidR="00796039" w:rsidRDefault="00796039" w:rsidP="00796039">
            <w:pPr>
              <w:pStyle w:val="TableTextBullet"/>
            </w:pPr>
            <w:r>
              <w:rPr>
                <w:rFonts w:cs="Arial"/>
                <w:vanish/>
              </w:rPr>
              <w:t xml:space="preserve">BR_95.07 </w:t>
            </w:r>
            <w:r>
              <w:t>Requires the user to enter a refresh rate (default: 60 seconds) (Icon Alerts On).</w:t>
            </w:r>
          </w:p>
          <w:p w:rsidR="00796039" w:rsidRDefault="00796039" w:rsidP="00796039">
            <w:pPr>
              <w:pStyle w:val="TableTextBullet"/>
            </w:pPr>
            <w:r>
              <w:t>Displays the updated refresh rate.</w:t>
            </w:r>
          </w:p>
          <w:p w:rsidR="00796039" w:rsidRDefault="00796039" w:rsidP="00796039">
            <w:pPr>
              <w:pStyle w:val="TableTextBullet"/>
            </w:pPr>
            <w:r>
              <w:t xml:space="preserve">Displays the selected order alert type. </w:t>
            </w:r>
          </w:p>
        </w:tc>
      </w:tr>
      <w:tr w:rsidR="00796039">
        <w:tblPrEx>
          <w:tblCellMar>
            <w:top w:w="0" w:type="dxa"/>
            <w:bottom w:w="0" w:type="dxa"/>
          </w:tblCellMar>
        </w:tblPrEx>
        <w:tc>
          <w:tcPr>
            <w:tcW w:w="3240" w:type="dxa"/>
          </w:tcPr>
          <w:p w:rsidR="00796039" w:rsidRDefault="00796039" w:rsidP="00796039">
            <w:pPr>
              <w:pStyle w:val="TableTextNumbers"/>
            </w:pPr>
            <w:r>
              <w:t xml:space="preserve">Click </w:t>
            </w:r>
            <w:r>
              <w:rPr>
                <w:b/>
              </w:rPr>
              <w:t>OK</w:t>
            </w:r>
            <w:r>
              <w:t xml:space="preserve"> to save</w:t>
            </w:r>
          </w:p>
        </w:tc>
        <w:tc>
          <w:tcPr>
            <w:tcW w:w="6120" w:type="dxa"/>
          </w:tcPr>
          <w:p w:rsidR="00796039" w:rsidRDefault="00796039" w:rsidP="00796039">
            <w:pPr>
              <w:pStyle w:val="TableTextBullet"/>
            </w:pPr>
            <w:r>
              <w:t>Saves the user alert configuration settings.</w:t>
            </w:r>
          </w:p>
        </w:tc>
      </w:tr>
      <w:tr w:rsidR="00796039">
        <w:tblPrEx>
          <w:tblCellMar>
            <w:top w:w="0" w:type="dxa"/>
            <w:bottom w:w="0" w:type="dxa"/>
          </w:tblCellMar>
        </w:tblPrEx>
        <w:tc>
          <w:tcPr>
            <w:tcW w:w="3240" w:type="dxa"/>
          </w:tcPr>
          <w:p w:rsidR="00796039" w:rsidRDefault="00796039" w:rsidP="00796039">
            <w:pPr>
              <w:pStyle w:val="TableTextNumbers"/>
            </w:pPr>
            <w:r>
              <w:t xml:space="preserve">Click </w:t>
            </w:r>
            <w:r>
              <w:rPr>
                <w:b/>
              </w:rPr>
              <w:t>Yes</w:t>
            </w:r>
            <w:r>
              <w:t xml:space="preserve"> to confirm the changes and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rsidR="00796039" w:rsidRDefault="00796039" w:rsidP="00796039">
            <w:pPr>
              <w:pStyle w:val="NotesText"/>
            </w:pPr>
          </w:p>
        </w:tc>
      </w:tr>
    </w:tbl>
    <w:p w:rsidR="008A6E48" w:rsidRDefault="008A6E48" w:rsidP="008A6E48">
      <w:pPr>
        <w:pStyle w:val="Caption"/>
      </w:pPr>
      <w:bookmarkStart w:id="188" w:name="_Ref126470573"/>
      <w:r>
        <w:t xml:space="preserve">Figure </w:t>
      </w:r>
      <w:r w:rsidR="00C17F7C">
        <w:fldChar w:fldCharType="begin"/>
      </w:r>
      <w:r w:rsidR="00C17F7C">
        <w:instrText xml:space="preserve"> SEQ Figure \* ARABIC </w:instrText>
      </w:r>
      <w:r w:rsidR="00C17F7C">
        <w:fldChar w:fldCharType="separate"/>
      </w:r>
      <w:r w:rsidR="005F38BC">
        <w:rPr>
          <w:noProof/>
        </w:rPr>
        <w:t>47</w:t>
      </w:r>
      <w:r w:rsidR="00C17F7C">
        <w:fldChar w:fldCharType="end"/>
      </w:r>
      <w:bookmarkEnd w:id="188"/>
      <w:r>
        <w:t>: Order Alerts Tab</w:t>
      </w:r>
    </w:p>
    <w:p w:rsidR="00796039" w:rsidRDefault="00634BFC" w:rsidP="0066425F">
      <w:pPr>
        <w:pStyle w:val="BodyText"/>
      </w:pPr>
      <w:r>
        <w:rPr>
          <w:noProof/>
        </w:rPr>
        <w:drawing>
          <wp:inline distT="0" distB="0" distL="0" distR="0">
            <wp:extent cx="3200400" cy="319087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200400" cy="3190875"/>
                    </a:xfrm>
                    <a:prstGeom prst="rect">
                      <a:avLst/>
                    </a:prstGeom>
                    <a:noFill/>
                    <a:ln>
                      <a:noFill/>
                    </a:ln>
                  </pic:spPr>
                </pic:pic>
              </a:graphicData>
            </a:graphic>
          </wp:inline>
        </w:drawing>
      </w:r>
    </w:p>
    <w:p w:rsidR="00796039" w:rsidRDefault="00AF089A" w:rsidP="00796039">
      <w:pPr>
        <w:pStyle w:val="Heading3"/>
      </w:pPr>
      <w:r>
        <w:br w:type="page"/>
      </w:r>
      <w:bookmarkStart w:id="189" w:name="_Toc459900090"/>
      <w:r w:rsidR="006068DE">
        <w:lastRenderedPageBreak/>
        <w:t>Login Message</w:t>
      </w:r>
      <w:bookmarkEnd w:id="189"/>
      <w:r w:rsidR="00796039">
        <w:fldChar w:fldCharType="begin"/>
      </w:r>
      <w:r w:rsidR="00796039">
        <w:instrText xml:space="preserve"> XE “</w:instrText>
      </w:r>
      <w:r w:rsidR="006068DE">
        <w:instrText>Login Message</w:instrText>
      </w:r>
      <w:r w:rsidR="00796039">
        <w:instrText xml:space="preserve">” </w:instrText>
      </w:r>
      <w:r w:rsidR="00796039">
        <w:fldChar w:fldCharType="end"/>
      </w:r>
    </w:p>
    <w:p w:rsidR="00796039" w:rsidRDefault="00796039" w:rsidP="00796039">
      <w:pPr>
        <w:pStyle w:val="BodyText"/>
      </w:pPr>
      <w:r>
        <w:t>The user creates a division-wide VBECS message that appears at login.</w:t>
      </w:r>
    </w:p>
    <w:p w:rsidR="00796039" w:rsidRDefault="00796039" w:rsidP="00796039">
      <w:pPr>
        <w:pStyle w:val="Heading4"/>
      </w:pPr>
      <w:r>
        <w:t>Assumptions</w:t>
      </w:r>
      <w:r>
        <w:rPr>
          <w:b w:val="0"/>
        </w:rPr>
        <w:t xml:space="preserve"> </w:t>
      </w:r>
    </w:p>
    <w:p w:rsidR="00796039" w:rsidRDefault="00796039" w:rsidP="00796039">
      <w:pPr>
        <w:pStyle w:val="ListBullet"/>
      </w:pPr>
      <w:r>
        <w:t xml:space="preserve">None </w:t>
      </w:r>
    </w:p>
    <w:p w:rsidR="00796039" w:rsidRDefault="00796039" w:rsidP="00796039">
      <w:pPr>
        <w:pStyle w:val="Heading4"/>
      </w:pPr>
      <w:r>
        <w:t>Outcome</w:t>
      </w:r>
      <w:r>
        <w:rPr>
          <w:i/>
          <w:color w:val="0000FF"/>
          <w:sz w:val="24"/>
        </w:rPr>
        <w:t xml:space="preserve"> </w:t>
      </w:r>
    </w:p>
    <w:p w:rsidR="00796039" w:rsidRDefault="00796039" w:rsidP="00796039">
      <w:pPr>
        <w:pStyle w:val="ListBullet"/>
      </w:pPr>
      <w:r>
        <w:t>A message was created for display when users log into a VBECS division.</w:t>
      </w:r>
    </w:p>
    <w:p w:rsidR="00796039" w:rsidRDefault="00796039" w:rsidP="00796039">
      <w:pPr>
        <w:pStyle w:val="Heading4"/>
      </w:pPr>
      <w:r>
        <w:t>Limitations and Restrictions</w:t>
      </w:r>
      <w:r>
        <w:rPr>
          <w:b w:val="0"/>
        </w:rPr>
        <w:t xml:space="preserve"> </w:t>
      </w:r>
    </w:p>
    <w:p w:rsidR="00796039" w:rsidRDefault="00796039" w:rsidP="00796039">
      <w:pPr>
        <w:pStyle w:val="ListBullet"/>
      </w:pPr>
      <w:r>
        <w:t>None</w:t>
      </w:r>
    </w:p>
    <w:p w:rsidR="00796039" w:rsidRDefault="00796039" w:rsidP="00796039">
      <w:pPr>
        <w:pStyle w:val="Heading4"/>
      </w:pPr>
      <w:r>
        <w:t>Additional Information</w:t>
      </w:r>
    </w:p>
    <w:p w:rsidR="00796039" w:rsidRDefault="00796039" w:rsidP="00796039">
      <w:pPr>
        <w:pStyle w:val="ListBullet"/>
      </w:pPr>
      <w:r>
        <w:t>None</w:t>
      </w:r>
    </w:p>
    <w:p w:rsidR="00796039" w:rsidRDefault="00796039" w:rsidP="00796039">
      <w:pPr>
        <w:pStyle w:val="Heading4"/>
        <w:rPr>
          <w:b w:val="0"/>
        </w:rPr>
      </w:pPr>
      <w:r>
        <w:t>User Roles with Access to This Option</w:t>
      </w:r>
      <w:r>
        <w:rPr>
          <w:b w:val="0"/>
        </w:rPr>
        <w:t xml:space="preserve"> </w:t>
      </w:r>
    </w:p>
    <w:p w:rsidR="00796039" w:rsidRDefault="00237C52" w:rsidP="00796039">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Lead Technologist</w:t>
      </w:r>
    </w:p>
    <w:p w:rsidR="00796039" w:rsidRDefault="006068DE" w:rsidP="00796039">
      <w:pPr>
        <w:pStyle w:val="Heading4"/>
      </w:pPr>
      <w:r>
        <w:t>Login Message</w:t>
      </w:r>
    </w:p>
    <w:p w:rsidR="00796039" w:rsidRDefault="00796039" w:rsidP="00796039">
      <w:pPr>
        <w:pStyle w:val="BodyText"/>
      </w:pPr>
      <w:r>
        <w:t>The user may add, update, or delete a message that VBECS displays to users logging into the division.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796039">
        <w:tblPrEx>
          <w:tblCellMar>
            <w:top w:w="0" w:type="dxa"/>
            <w:bottom w:w="0" w:type="dxa"/>
          </w:tblCellMar>
        </w:tblPrEx>
        <w:trPr>
          <w:cantSplit/>
          <w:tblHeader/>
        </w:trPr>
        <w:tc>
          <w:tcPr>
            <w:tcW w:w="3240" w:type="dxa"/>
            <w:shd w:val="pct30" w:color="auto" w:fill="FFFFFF"/>
            <w:vAlign w:val="bottom"/>
          </w:tcPr>
          <w:p w:rsidR="00796039" w:rsidRDefault="00796039" w:rsidP="00796039">
            <w:pPr>
              <w:pStyle w:val="TableText"/>
              <w:rPr>
                <w:b/>
              </w:rPr>
            </w:pPr>
            <w:r>
              <w:rPr>
                <w:b/>
              </w:rPr>
              <w:t>User Action</w:t>
            </w:r>
          </w:p>
        </w:tc>
        <w:tc>
          <w:tcPr>
            <w:tcW w:w="6120" w:type="dxa"/>
            <w:shd w:val="pct30" w:color="auto" w:fill="FFFFFF"/>
            <w:vAlign w:val="bottom"/>
          </w:tcPr>
          <w:p w:rsidR="00796039" w:rsidRDefault="00796039" w:rsidP="00796039">
            <w:pPr>
              <w:pStyle w:val="TableText"/>
              <w:rPr>
                <w:b/>
              </w:rPr>
            </w:pPr>
            <w:r>
              <w:rPr>
                <w:b/>
              </w:rPr>
              <w:t>VBECS</w:t>
            </w:r>
          </w:p>
        </w:tc>
      </w:tr>
      <w:tr w:rsidR="00796039">
        <w:tblPrEx>
          <w:tblCellMar>
            <w:top w:w="0" w:type="dxa"/>
            <w:bottom w:w="0" w:type="dxa"/>
          </w:tblCellMar>
        </w:tblPrEx>
        <w:tc>
          <w:tcPr>
            <w:tcW w:w="3240" w:type="dxa"/>
          </w:tcPr>
          <w:p w:rsidR="00796039" w:rsidRDefault="00796039" w:rsidP="00796039">
            <w:pPr>
              <w:pStyle w:val="TableTextNumbers"/>
            </w:pPr>
            <w:r>
              <w:t xml:space="preserve">Select </w:t>
            </w:r>
            <w:r>
              <w:rPr>
                <w:b/>
                <w:bCs/>
              </w:rPr>
              <w:t>Tools</w:t>
            </w:r>
            <w:r>
              <w:t xml:space="preserve"> from the main menu.</w:t>
            </w:r>
          </w:p>
          <w:p w:rsidR="00796039" w:rsidRDefault="00796039" w:rsidP="00796039">
            <w:pPr>
              <w:pStyle w:val="TableTextNumbersContinued"/>
            </w:pPr>
          </w:p>
          <w:p w:rsidR="00796039" w:rsidRDefault="00796039" w:rsidP="00796039">
            <w:pPr>
              <w:pStyle w:val="TableTextNumbersContinued"/>
            </w:pPr>
            <w:r>
              <w:t xml:space="preserve">Select </w:t>
            </w:r>
            <w:r>
              <w:rPr>
                <w:b/>
              </w:rPr>
              <w:t>Configure Division</w:t>
            </w:r>
            <w:r>
              <w:t>.</w:t>
            </w:r>
          </w:p>
        </w:tc>
        <w:tc>
          <w:tcPr>
            <w:tcW w:w="6120" w:type="dxa"/>
          </w:tcPr>
          <w:p w:rsidR="00796039" w:rsidRDefault="00796039" w:rsidP="00796039">
            <w:pPr>
              <w:pStyle w:val="TableTextBullet"/>
            </w:pPr>
            <w:r>
              <w:t>Displays options for processing administrative functions.</w:t>
            </w:r>
          </w:p>
          <w:p w:rsidR="00796039" w:rsidRDefault="00796039" w:rsidP="00796039">
            <w:pPr>
              <w:pStyle w:val="TableTextBullet"/>
            </w:pPr>
            <w:r>
              <w:t>Displays configuration tabs.</w:t>
            </w:r>
          </w:p>
        </w:tc>
      </w:tr>
      <w:tr w:rsidR="00796039">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796039" w:rsidRDefault="00796039" w:rsidP="00796039">
            <w:pPr>
              <w:pStyle w:val="TableTextNumbers"/>
            </w:pPr>
            <w:r>
              <w:t xml:space="preserve">Click the </w:t>
            </w:r>
            <w:r>
              <w:rPr>
                <w:b/>
              </w:rPr>
              <w:t xml:space="preserve">Login Message </w:t>
            </w:r>
            <w:r w:rsidRPr="00CC3C89">
              <w:t>tab</w:t>
            </w:r>
            <w:r w:rsidR="008A6E48" w:rsidRPr="00CC3C89">
              <w:t xml:space="preserve"> </w:t>
            </w:r>
            <w:r w:rsidR="008A6E48">
              <w:t>(</w:t>
            </w:r>
            <w:r w:rsidR="008A6E48">
              <w:fldChar w:fldCharType="begin"/>
            </w:r>
            <w:r w:rsidR="008A6E48">
              <w:instrText xml:space="preserve"> REF _Ref126470750 \h </w:instrText>
            </w:r>
            <w:r w:rsidR="008A6E48">
              <w:fldChar w:fldCharType="separate"/>
            </w:r>
            <w:r w:rsidR="005F38BC">
              <w:t xml:space="preserve">Figure </w:t>
            </w:r>
            <w:r w:rsidR="005F38BC">
              <w:rPr>
                <w:noProof/>
              </w:rPr>
              <w:t>48</w:t>
            </w:r>
            <w:r w:rsidR="008A6E48">
              <w:fldChar w:fldCharType="end"/>
            </w:r>
            <w:r w:rsidR="008A6E48">
              <w:t>)</w:t>
            </w:r>
            <w:r>
              <w:t>.</w:t>
            </w:r>
          </w:p>
          <w:p w:rsidR="00796039" w:rsidRDefault="00796039" w:rsidP="00796039">
            <w:pPr>
              <w:pStyle w:val="TableTextNumbersContinued"/>
            </w:pPr>
          </w:p>
          <w:p w:rsidR="00796039" w:rsidRDefault="00796039" w:rsidP="00796039">
            <w:pPr>
              <w:pStyle w:val="TableTextNumbersContinued"/>
            </w:pPr>
            <w:r>
              <w:t>Enter a message in the message field to display at login.</w:t>
            </w:r>
          </w:p>
        </w:tc>
        <w:tc>
          <w:tcPr>
            <w:tcW w:w="6120" w:type="dxa"/>
            <w:tcBorders>
              <w:top w:val="single" w:sz="4" w:space="0" w:color="auto"/>
              <w:left w:val="single" w:sz="4" w:space="0" w:color="auto"/>
              <w:bottom w:val="single" w:sz="4" w:space="0" w:color="auto"/>
              <w:right w:val="single" w:sz="4" w:space="0" w:color="auto"/>
            </w:tcBorders>
          </w:tcPr>
          <w:p w:rsidR="00796039" w:rsidRDefault="00796039" w:rsidP="00796039">
            <w:pPr>
              <w:pStyle w:val="TableTextBullet"/>
            </w:pPr>
            <w:r>
              <w:t>Displays the existing login message and allows the user to edit or delete it.</w:t>
            </w:r>
          </w:p>
          <w:p w:rsidR="00796039" w:rsidRDefault="00796039" w:rsidP="00796039">
            <w:pPr>
              <w:pStyle w:val="TableTextBullet"/>
            </w:pPr>
            <w:r>
              <w:t>Displays the updated login message.</w:t>
            </w:r>
          </w:p>
          <w:p w:rsidR="00796039" w:rsidRDefault="00796039" w:rsidP="00796039">
            <w:pPr>
              <w:pStyle w:val="TableText"/>
            </w:pPr>
          </w:p>
          <w:p w:rsidR="00796039" w:rsidRDefault="00634BFC" w:rsidP="00796039">
            <w:pPr>
              <w:pStyle w:val="TableText"/>
              <w:rPr>
                <w:b/>
              </w:rPr>
            </w:pPr>
            <w:r>
              <w:rPr>
                <w:b/>
                <w:noProof/>
              </w:rPr>
              <mc:AlternateContent>
                <mc:Choice Requires="wps">
                  <w:drawing>
                    <wp:anchor distT="0" distB="0" distL="114300" distR="114300" simplePos="0" relativeHeight="25172019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60" name="Line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2"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ABYFQIAAC4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E98&#10;AFgVAgAALgQAAA4AAAAAAAAAAAAAAAAALgIAAGRycy9lMm9Eb2MueG1sUEsBAi0AFAAGAAgAAAAh&#10;ABdPMBLbAAAACAEAAA8AAAAAAAAAAAAAAAAAbwQAAGRycy9kb3ducmV2LnhtbFBLBQYAAAAABAAE&#10;APMAAAB3BQAAAAA=&#10;" strokeweight="1.5pt"/>
                  </w:pict>
                </mc:Fallback>
              </mc:AlternateContent>
            </w:r>
            <w:r w:rsidR="00796039">
              <w:rPr>
                <w:b/>
              </w:rPr>
              <w:t>NOTES</w:t>
            </w:r>
          </w:p>
          <w:p w:rsidR="00796039" w:rsidRDefault="00796039" w:rsidP="00796039">
            <w:pPr>
              <w:pStyle w:val="NotesText"/>
            </w:pPr>
          </w:p>
          <w:p w:rsidR="00796039" w:rsidRDefault="00796039" w:rsidP="00796039">
            <w:pPr>
              <w:pStyle w:val="NotesText"/>
            </w:pPr>
            <w:r>
              <w:t>VBECS does not display a blank login message.</w:t>
            </w:r>
          </w:p>
          <w:p w:rsidR="00796039" w:rsidRDefault="00796039" w:rsidP="00796039">
            <w:pPr>
              <w:pStyle w:val="NotesText"/>
            </w:pPr>
          </w:p>
          <w:p w:rsidR="00796039" w:rsidRDefault="00796039" w:rsidP="00796039">
            <w:pPr>
              <w:pStyle w:val="NotesText"/>
            </w:pPr>
            <w:r>
              <w:t xml:space="preserve">The user may click </w:t>
            </w:r>
            <w:r>
              <w:rPr>
                <w:b/>
              </w:rPr>
              <w:t>Clear</w:t>
            </w:r>
            <w:r>
              <w:t xml:space="preserve"> to clear the message field and enter a new login message.</w:t>
            </w:r>
          </w:p>
        </w:tc>
      </w:tr>
      <w:tr w:rsidR="00796039">
        <w:tblPrEx>
          <w:tblCellMar>
            <w:top w:w="0" w:type="dxa"/>
            <w:bottom w:w="0" w:type="dxa"/>
          </w:tblCellMar>
        </w:tblPrEx>
        <w:tc>
          <w:tcPr>
            <w:tcW w:w="3240" w:type="dxa"/>
          </w:tcPr>
          <w:p w:rsidR="00796039" w:rsidRDefault="00796039" w:rsidP="00796039">
            <w:pPr>
              <w:pStyle w:val="TableTextNumbers"/>
            </w:pPr>
            <w:r>
              <w:t xml:space="preserve">Click </w:t>
            </w:r>
            <w:r>
              <w:rPr>
                <w:b/>
              </w:rPr>
              <w:t>OK</w:t>
            </w:r>
            <w:r>
              <w:t xml:space="preserve"> to save.</w:t>
            </w:r>
          </w:p>
        </w:tc>
        <w:tc>
          <w:tcPr>
            <w:tcW w:w="6120" w:type="dxa"/>
          </w:tcPr>
          <w:p w:rsidR="00796039" w:rsidRDefault="00796039" w:rsidP="00796039">
            <w:pPr>
              <w:pStyle w:val="TableTextBullet"/>
            </w:pPr>
            <w:r>
              <w:t>Saves the login message changes.</w:t>
            </w:r>
          </w:p>
        </w:tc>
      </w:tr>
      <w:tr w:rsidR="00796039">
        <w:tblPrEx>
          <w:tblCellMar>
            <w:top w:w="0" w:type="dxa"/>
            <w:bottom w:w="0" w:type="dxa"/>
          </w:tblCellMar>
        </w:tblPrEx>
        <w:tc>
          <w:tcPr>
            <w:tcW w:w="3240" w:type="dxa"/>
          </w:tcPr>
          <w:p w:rsidR="00796039" w:rsidRDefault="00796039" w:rsidP="00796039">
            <w:pPr>
              <w:pStyle w:val="TableTextNumbers"/>
            </w:pPr>
            <w:r>
              <w:t xml:space="preserve">Click </w:t>
            </w:r>
            <w:r>
              <w:rPr>
                <w:b/>
              </w:rPr>
              <w:t>Yes</w:t>
            </w:r>
            <w:r>
              <w:t xml:space="preserve"> to confirm the changes and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rsidR="00796039" w:rsidRDefault="00796039" w:rsidP="00796039">
            <w:pPr>
              <w:pStyle w:val="NotesText"/>
            </w:pPr>
          </w:p>
        </w:tc>
      </w:tr>
    </w:tbl>
    <w:p w:rsidR="008A6E48" w:rsidRDefault="008A6E48" w:rsidP="008A6E48">
      <w:pPr>
        <w:pStyle w:val="Caption"/>
      </w:pPr>
      <w:bookmarkStart w:id="190" w:name="_Ref126470750"/>
      <w:r>
        <w:lastRenderedPageBreak/>
        <w:t xml:space="preserve">Figure </w:t>
      </w:r>
      <w:r w:rsidR="00C17F7C">
        <w:fldChar w:fldCharType="begin"/>
      </w:r>
      <w:r w:rsidR="00C17F7C">
        <w:instrText xml:space="preserve"> SEQ Figure \* ARABIC </w:instrText>
      </w:r>
      <w:r w:rsidR="00C17F7C">
        <w:fldChar w:fldCharType="separate"/>
      </w:r>
      <w:r w:rsidR="005F38BC">
        <w:rPr>
          <w:noProof/>
        </w:rPr>
        <w:t>48</w:t>
      </w:r>
      <w:r w:rsidR="00C17F7C">
        <w:fldChar w:fldCharType="end"/>
      </w:r>
      <w:bookmarkEnd w:id="190"/>
      <w:r>
        <w:t>: Login Message Tab</w:t>
      </w:r>
    </w:p>
    <w:p w:rsidR="0066425F" w:rsidRDefault="00634BFC" w:rsidP="0066425F">
      <w:pPr>
        <w:pStyle w:val="BodyText"/>
      </w:pPr>
      <w:r>
        <w:rPr>
          <w:noProof/>
        </w:rPr>
        <w:drawing>
          <wp:inline distT="0" distB="0" distL="0" distR="0">
            <wp:extent cx="3200400" cy="31623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200400" cy="3162300"/>
                    </a:xfrm>
                    <a:prstGeom prst="rect">
                      <a:avLst/>
                    </a:prstGeom>
                    <a:noFill/>
                    <a:ln>
                      <a:noFill/>
                    </a:ln>
                  </pic:spPr>
                </pic:pic>
              </a:graphicData>
            </a:graphic>
          </wp:inline>
        </w:drawing>
      </w:r>
      <w:r w:rsidR="008A6E48">
        <w:t xml:space="preserve"> </w:t>
      </w:r>
    </w:p>
    <w:p w:rsidR="002A21AE" w:rsidRDefault="00AE1227" w:rsidP="00B937AA">
      <w:pPr>
        <w:pStyle w:val="Heading2"/>
      </w:pPr>
      <w:bookmarkStart w:id="191" w:name="_Toc63680387"/>
      <w:bookmarkEnd w:id="185"/>
      <w:r>
        <w:br w:type="page"/>
      </w:r>
      <w:bookmarkStart w:id="192" w:name="_Toc459900091"/>
      <w:r w:rsidR="002A21AE">
        <w:lastRenderedPageBreak/>
        <w:t>Local Facilities</w:t>
      </w:r>
      <w:bookmarkEnd w:id="191"/>
      <w:bookmarkEnd w:id="192"/>
      <w:r w:rsidR="002A21AE">
        <w:fldChar w:fldCharType="begin"/>
      </w:r>
      <w:r w:rsidR="002A21AE">
        <w:instrText xml:space="preserve"> XE </w:instrText>
      </w:r>
      <w:r w:rsidR="00FA7E65">
        <w:instrText>“</w:instrText>
      </w:r>
      <w:r w:rsidR="002A21AE">
        <w:instrText>Local Facilities</w:instrText>
      </w:r>
      <w:r w:rsidR="00FA7E65">
        <w:instrText>”</w:instrText>
      </w:r>
      <w:r w:rsidR="002A21AE">
        <w:instrText xml:space="preserve"> </w:instrText>
      </w:r>
      <w:r w:rsidR="002A21AE">
        <w:fldChar w:fldCharType="end"/>
      </w:r>
      <w:r w:rsidR="002A21AE">
        <w:t xml:space="preserve"> </w:t>
      </w:r>
      <w:r w:rsidR="002A21AE">
        <w:rPr>
          <w:vanish/>
        </w:rPr>
        <w:t>UC_06</w:t>
      </w:r>
    </w:p>
    <w:p w:rsidR="002A21AE" w:rsidRDefault="002A21AE" w:rsidP="00FA7E65">
      <w:pPr>
        <w:pStyle w:val="BodyText"/>
      </w:pPr>
      <w:bookmarkStart w:id="193" w:name="_Toc63680388"/>
      <w:r>
        <w:t>The user customizes collection facility information.</w:t>
      </w:r>
      <w:r w:rsidR="00DD635C">
        <w:t xml:space="preserve"> (A </w:t>
      </w:r>
      <w:r w:rsidR="00F06ADF">
        <w:t>“</w:t>
      </w:r>
      <w:r w:rsidR="00DD635C">
        <w:t>collection facility</w:t>
      </w:r>
      <w:r w:rsidR="00F06ADF">
        <w:t>”</w:t>
      </w:r>
      <w:r w:rsidR="00DD635C">
        <w:t xml:space="preserve"> </w:t>
      </w:r>
      <w:r w:rsidR="00F06ADF">
        <w:t>is not</w:t>
      </w:r>
      <w:r w:rsidR="00DD635C">
        <w:t xml:space="preserve"> a facility for blood collection</w:t>
      </w:r>
      <w:r w:rsidR="00F06ADF">
        <w:t>:</w:t>
      </w:r>
      <w:r w:rsidR="00DD635C">
        <w:t xml:space="preserve"> it is </w:t>
      </w:r>
      <w:r w:rsidR="00F06ADF">
        <w:t>for</w:t>
      </w:r>
      <w:r w:rsidR="00DD635C">
        <w:t xml:space="preserve"> blood distribution </w:t>
      </w:r>
      <w:r w:rsidR="00F06ADF">
        <w:t>only</w:t>
      </w:r>
      <w:r w:rsidR="00DD635C">
        <w:t>.)</w:t>
      </w:r>
    </w:p>
    <w:p w:rsidR="002A21AE" w:rsidRDefault="002A21AE">
      <w:pPr>
        <w:pStyle w:val="Heading4"/>
      </w:pPr>
      <w:r>
        <w:t>Assumptions</w:t>
      </w:r>
    </w:p>
    <w:p w:rsidR="002A21AE" w:rsidRDefault="002A21AE">
      <w:pPr>
        <w:pStyle w:val="ListBullet"/>
      </w:pPr>
      <w:r>
        <w:t>A table of known FDA-registered facilities accompanies VBECS.</w:t>
      </w:r>
    </w:p>
    <w:p w:rsidR="002A21AE" w:rsidRDefault="002A21AE">
      <w:pPr>
        <w:pStyle w:val="Heading4"/>
      </w:pPr>
      <w:r>
        <w:t>Outcome</w:t>
      </w:r>
    </w:p>
    <w:p w:rsidR="002A21AE" w:rsidRDefault="002A21AE">
      <w:pPr>
        <w:pStyle w:val="ListBullet"/>
      </w:pPr>
      <w:r>
        <w:t>The supplier is configured for a division.</w:t>
      </w:r>
    </w:p>
    <w:p w:rsidR="002A21AE" w:rsidRDefault="002A21AE">
      <w:pPr>
        <w:pStyle w:val="Heading4"/>
      </w:pPr>
      <w:r>
        <w:t>Limitations and Restrictions</w:t>
      </w:r>
    </w:p>
    <w:p w:rsidR="002A21AE" w:rsidRDefault="002A21AE">
      <w:pPr>
        <w:pStyle w:val="ListBullet"/>
      </w:pPr>
      <w:bookmarkStart w:id="194" w:name="OLE_LINK55"/>
      <w:bookmarkStart w:id="195" w:name="OLE_LINK56"/>
      <w:r>
        <w:t>A user may:</w:t>
      </w:r>
    </w:p>
    <w:p w:rsidR="002A21AE" w:rsidRDefault="002A21AE" w:rsidP="00D31AD8">
      <w:pPr>
        <w:pStyle w:val="ListBullet2"/>
      </w:pPr>
      <w:r>
        <w:t>Activate and edit collection facility records distributed with VBECS.</w:t>
      </w:r>
    </w:p>
    <w:p w:rsidR="002A21AE" w:rsidRDefault="002A21AE" w:rsidP="00D31AD8">
      <w:pPr>
        <w:pStyle w:val="ListBullet2"/>
      </w:pPr>
      <w:r>
        <w:t>Add and locally edit active collection facilities.</w:t>
      </w:r>
    </w:p>
    <w:p w:rsidR="002A21AE" w:rsidRDefault="002A21AE" w:rsidP="00D31AD8">
      <w:pPr>
        <w:pStyle w:val="ListBullet2"/>
      </w:pPr>
      <w:r>
        <w:t xml:space="preserve">Activate and/or deactivate local collection facilities. </w:t>
      </w:r>
    </w:p>
    <w:p w:rsidR="004B1F58" w:rsidRPr="00742F59" w:rsidRDefault="004B1F58" w:rsidP="00D31AD8">
      <w:pPr>
        <w:pStyle w:val="ListBullet2"/>
      </w:pPr>
      <w:r>
        <w:t>Edit a division name, which may result in a mismatch between VistA and VBECS division names.</w:t>
      </w:r>
      <w:r w:rsidR="00072131" w:rsidRPr="00524280">
        <w:rPr>
          <w:vanish/>
        </w:rPr>
        <w:t xml:space="preserve"> (DR 2,113)</w:t>
      </w:r>
    </w:p>
    <w:p w:rsidR="00742F59" w:rsidRPr="005705B4" w:rsidRDefault="00742F59" w:rsidP="00D31AD8">
      <w:pPr>
        <w:pStyle w:val="ListBullet2"/>
      </w:pPr>
      <w:r w:rsidRPr="005705B4">
        <w:t xml:space="preserve">The </w:t>
      </w:r>
      <w:r w:rsidR="004853C7" w:rsidRPr="005705B4">
        <w:t xml:space="preserve">Local Facility Address </w:t>
      </w:r>
      <w:r w:rsidRPr="005705B4">
        <w:t xml:space="preserve">maximum length </w:t>
      </w:r>
      <w:r w:rsidR="00467976" w:rsidRPr="005705B4">
        <w:t>is 45 characters</w:t>
      </w:r>
      <w:r w:rsidR="00AE19A0">
        <w:t xml:space="preserve"> including spaces </w:t>
      </w:r>
      <w:r w:rsidR="005705B4" w:rsidRPr="005705B4">
        <w:t xml:space="preserve">to allow the address to display </w:t>
      </w:r>
      <w:r w:rsidRPr="005705B4">
        <w:t>on VBECS repo</w:t>
      </w:r>
      <w:r w:rsidR="005705B4">
        <w:t>rts. The third line of the facility address is not displayed on VBECS reports</w:t>
      </w:r>
      <w:r w:rsidRPr="005705B4">
        <w:t xml:space="preserve">. </w:t>
      </w:r>
      <w:r w:rsidRPr="005705B4">
        <w:rPr>
          <w:vanish/>
        </w:rPr>
        <w:t>DR 4980</w:t>
      </w:r>
    </w:p>
    <w:bookmarkEnd w:id="194"/>
    <w:bookmarkEnd w:id="195"/>
    <w:p w:rsidR="002A21AE" w:rsidRDefault="002A21AE">
      <w:pPr>
        <w:pStyle w:val="Heading4"/>
      </w:pPr>
      <w:r>
        <w:t>Additional Information</w:t>
      </w:r>
    </w:p>
    <w:p w:rsidR="00B62541" w:rsidRDefault="00B62541">
      <w:pPr>
        <w:pStyle w:val="ListBullet"/>
      </w:pPr>
      <w:r>
        <w:t xml:space="preserve">A facility must be </w:t>
      </w:r>
      <w:r w:rsidR="009D390D">
        <w:t>activated and have</w:t>
      </w:r>
      <w:r>
        <w:t xml:space="preserve"> at least one blood product defined to be a shipper.</w:t>
      </w:r>
    </w:p>
    <w:p w:rsidR="00F17965" w:rsidRPr="00F17965" w:rsidRDefault="00F17965">
      <w:pPr>
        <w:pStyle w:val="ListBullet"/>
      </w:pPr>
      <w:r>
        <w:t xml:space="preserve">A user may </w:t>
      </w:r>
      <w:r w:rsidR="00DD635C">
        <w:t xml:space="preserve">identify </w:t>
      </w:r>
      <w:r>
        <w:t>his</w:t>
      </w:r>
      <w:r w:rsidR="00706360">
        <w:t xml:space="preserve"> site as</w:t>
      </w:r>
      <w:r>
        <w:t xml:space="preserve"> a collection facility through this option.</w:t>
      </w:r>
    </w:p>
    <w:p w:rsidR="002A21AE" w:rsidRDefault="002A21AE">
      <w:pPr>
        <w:pStyle w:val="ListBullet"/>
      </w:pPr>
      <w:r>
        <w:rPr>
          <w:vanish/>
          <w:spacing w:val="0"/>
        </w:rPr>
        <w:t xml:space="preserve">BR_6.11 </w:t>
      </w:r>
      <w:r>
        <w:t xml:space="preserve">An ICCBBA </w:t>
      </w:r>
      <w:r w:rsidR="00B85812">
        <w:t>Registration Number</w:t>
      </w:r>
      <w:r>
        <w:t xml:space="preserve"> has one letter, indicating the country of origin (“W” for the U.S.) and four numbers. The field is five characters long.</w:t>
      </w:r>
    </w:p>
    <w:p w:rsidR="00E507A1" w:rsidRPr="00E507A1" w:rsidRDefault="00E507A1">
      <w:pPr>
        <w:pStyle w:val="ListBullet"/>
      </w:pPr>
      <w:bookmarkStart w:id="196" w:name="OLE_LINK3"/>
      <w:bookmarkStart w:id="197" w:name="OLE_LINK4"/>
      <w:r>
        <w:rPr>
          <w:spacing w:val="0"/>
        </w:rPr>
        <w:t>The user may change facility addresses that appear on reports.</w:t>
      </w:r>
    </w:p>
    <w:bookmarkEnd w:id="196"/>
    <w:bookmarkEnd w:id="197"/>
    <w:p w:rsidR="002A21AE" w:rsidRDefault="002A21AE">
      <w:pPr>
        <w:pStyle w:val="Heading4"/>
      </w:pPr>
      <w:r>
        <w:t xml:space="preserve">User Roles with Access to This Option </w:t>
      </w:r>
    </w:p>
    <w:p w:rsidR="00215931" w:rsidRDefault="00215931" w:rsidP="00215931">
      <w:pPr>
        <w:pStyle w:val="Roles"/>
      </w:pPr>
      <w:r>
        <w:rPr>
          <w:snapToGrid w:val="0"/>
        </w:rPr>
        <w:t xml:space="preserve">All users </w:t>
      </w:r>
    </w:p>
    <w:p w:rsidR="002A21AE" w:rsidRDefault="002A21AE">
      <w:pPr>
        <w:pStyle w:val="Heading4"/>
      </w:pPr>
      <w:r>
        <w:t>Local Facilities</w:t>
      </w:r>
    </w:p>
    <w:p w:rsidR="002A21AE" w:rsidRDefault="002A21AE" w:rsidP="00FA7E65">
      <w:pPr>
        <w:pStyle w:val="BodyText"/>
      </w:pPr>
      <w:r>
        <w:t xml:space="preserve">This option allows a user to activate an entry from the national collection facility table, thereby adding it to a division’s local collection facility table, and add or update the facility’s information (except for the FDA </w:t>
      </w:r>
      <w:r w:rsidR="00B85812">
        <w:t>Registration Number</w:t>
      </w:r>
      <w:r>
        <w:t xml:space="preserve">). A user may select an active collection facility to associate blood products (which makes the facility a shipper). </w:t>
      </w:r>
    </w:p>
    <w:p w:rsidR="002A21AE" w:rsidRDefault="002A21AE" w:rsidP="00FA7E65">
      <w:pPr>
        <w:pStyle w:val="BodyText"/>
      </w:pPr>
      <w:r>
        <w:t>This option also allows a user to create a collection facility.</w:t>
      </w:r>
    </w:p>
    <w:p w:rsidR="00D210F0" w:rsidRDefault="00D210F0" w:rsidP="00D210F0">
      <w:pPr>
        <w:pStyle w:val="Caution"/>
      </w:pPr>
      <w:r>
        <w:t>Verify that site information entered during installation is correct prior to adding local facilities.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 xml:space="preserve">Select </w:t>
            </w:r>
            <w:r>
              <w:rPr>
                <w:b/>
              </w:rPr>
              <w:t>Tools</w:t>
            </w:r>
            <w:r>
              <w:t xml:space="preserve"> from the main menu.</w:t>
            </w:r>
          </w:p>
          <w:p w:rsidR="002A21AE" w:rsidRDefault="002A21AE">
            <w:pPr>
              <w:pStyle w:val="TableTextNumbersContinued"/>
              <w:rPr>
                <w:b/>
                <w:bCs/>
              </w:rPr>
            </w:pPr>
          </w:p>
          <w:p w:rsidR="002A21AE" w:rsidRDefault="002A21AE">
            <w:pPr>
              <w:pStyle w:val="TableTextNumbersContinued"/>
            </w:pPr>
            <w:r>
              <w:t xml:space="preserve">Select </w:t>
            </w:r>
            <w:r>
              <w:rPr>
                <w:b/>
              </w:rPr>
              <w:t>Local Facilities</w:t>
            </w:r>
            <w:r>
              <w:t>.</w:t>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Bullet"/>
            </w:pPr>
            <w:r>
              <w:t>Displays options for processing administrative functions.</w:t>
            </w:r>
          </w:p>
          <w:p w:rsidR="002A21AE" w:rsidRDefault="002A21AE">
            <w:pPr>
              <w:pStyle w:val="TableTextBullet"/>
            </w:pPr>
            <w:r>
              <w:t>Displays fields for entering facility information.</w:t>
            </w:r>
          </w:p>
          <w:p w:rsidR="002A21AE" w:rsidRDefault="002A21AE">
            <w:pPr>
              <w:pStyle w:val="TableTextBullet"/>
            </w:pPr>
            <w:r>
              <w:t>Allows a user to access an existing facility record.</w:t>
            </w:r>
          </w:p>
        </w:tc>
      </w:tr>
      <w:tr w:rsidR="002A21AE">
        <w:tblPrEx>
          <w:tblCellMar>
            <w:top w:w="0" w:type="dxa"/>
            <w:bottom w:w="0" w:type="dxa"/>
          </w:tblCellMar>
        </w:tblPrEx>
        <w:tc>
          <w:tcPr>
            <w:tcW w:w="3240" w:type="dxa"/>
          </w:tcPr>
          <w:p w:rsidR="002A21AE" w:rsidRDefault="002A21AE">
            <w:pPr>
              <w:pStyle w:val="TableTextNumbers"/>
            </w:pPr>
            <w:r>
              <w:t xml:space="preserve">To find a collection facility, scan or enter an FDA </w:t>
            </w:r>
            <w:r w:rsidR="00B85812">
              <w:t xml:space="preserve">Registration </w:t>
            </w:r>
            <w:r w:rsidR="00B85812">
              <w:lastRenderedPageBreak/>
              <w:t>Number</w:t>
            </w:r>
            <w:r>
              <w:t xml:space="preserve"> in the FDA Reg. No. field and go to Step 4 (or click the </w:t>
            </w:r>
            <w:r w:rsidR="00A6373D">
              <w:rPr>
                <w:b/>
              </w:rPr>
              <w:t>find</w:t>
            </w:r>
            <w:r w:rsidRPr="00BF2E41">
              <w:t xml:space="preserve"> button</w:t>
            </w:r>
            <w:r>
              <w:t xml:space="preserve"> to open the Facility Search window).</w:t>
            </w:r>
          </w:p>
        </w:tc>
        <w:tc>
          <w:tcPr>
            <w:tcW w:w="6120" w:type="dxa"/>
          </w:tcPr>
          <w:p w:rsidR="002A21AE" w:rsidRDefault="002A21AE">
            <w:pPr>
              <w:pStyle w:val="TableTextBullet"/>
            </w:pPr>
            <w:r>
              <w:lastRenderedPageBreak/>
              <w:t>Displays the collection facilities that match the search criteria.</w:t>
            </w:r>
          </w:p>
        </w:tc>
      </w:tr>
      <w:tr w:rsidR="002A21AE">
        <w:tblPrEx>
          <w:tblCellMar>
            <w:top w:w="0" w:type="dxa"/>
            <w:bottom w:w="0" w:type="dxa"/>
          </w:tblCellMar>
        </w:tblPrEx>
        <w:tc>
          <w:tcPr>
            <w:tcW w:w="3240" w:type="dxa"/>
          </w:tcPr>
          <w:p w:rsidR="002A21AE" w:rsidRDefault="002A21AE">
            <w:pPr>
              <w:pStyle w:val="TableTextNumbers"/>
            </w:pPr>
            <w:r>
              <w:lastRenderedPageBreak/>
              <w:t xml:space="preserve">In the Facility Search window, enter a full or partial facility name in the Partial Facility Name field (or enter a full or partial FDA </w:t>
            </w:r>
            <w:r w:rsidR="00B85812">
              <w:t>Registration Number</w:t>
            </w:r>
            <w:r>
              <w:t xml:space="preserve"> in the FDA Reg. No. field), and click </w:t>
            </w:r>
            <w:r w:rsidR="00173187" w:rsidRPr="00173187">
              <w:rPr>
                <w:b/>
              </w:rPr>
              <w:t>Search</w:t>
            </w:r>
            <w:r>
              <w:t xml:space="preserve"> to view a list of active facilities.</w:t>
            </w:r>
          </w:p>
          <w:p w:rsidR="002A21AE" w:rsidRDefault="002A21AE">
            <w:pPr>
              <w:pStyle w:val="TableTextNumbersContinued"/>
              <w:rPr>
                <w:b/>
                <w:bCs/>
              </w:rPr>
            </w:pPr>
          </w:p>
          <w:p w:rsidR="002A21AE" w:rsidRDefault="002A21AE">
            <w:pPr>
              <w:pStyle w:val="TableTextNumbersContinued"/>
            </w:pPr>
            <w:r>
              <w:t xml:space="preserve">Select a facility name from the list and click </w:t>
            </w:r>
            <w:r>
              <w:rPr>
                <w:b/>
              </w:rPr>
              <w:t>OK</w:t>
            </w:r>
            <w:r>
              <w:t>.</w:t>
            </w:r>
          </w:p>
        </w:tc>
        <w:tc>
          <w:tcPr>
            <w:tcW w:w="6120" w:type="dxa"/>
          </w:tcPr>
          <w:p w:rsidR="002A21AE" w:rsidRDefault="002A21AE">
            <w:pPr>
              <w:pStyle w:val="TableTextBullet"/>
            </w:pPr>
            <w:r>
              <w:t xml:space="preserve">Displays properties of the selected collection facility. </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49491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5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uAm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t>The collection facility is tied to the user’s current login division.</w:t>
            </w:r>
          </w:p>
          <w:p w:rsidR="002A21AE" w:rsidRDefault="002A21AE">
            <w:pPr>
              <w:pStyle w:val="NotesText"/>
            </w:pPr>
          </w:p>
          <w:p w:rsidR="002A21AE" w:rsidRDefault="002A21AE">
            <w:pPr>
              <w:pStyle w:val="NotesText"/>
            </w:pPr>
            <w:r w:rsidRPr="009660C3">
              <w:rPr>
                <w:vanish/>
                <w:szCs w:val="18"/>
              </w:rPr>
              <w:t xml:space="preserve">BR_6.05 </w:t>
            </w:r>
            <w:r>
              <w:t>A user may activate a facility. By default, VBECS marks active facilities as collection facilities.</w:t>
            </w:r>
          </w:p>
          <w:p w:rsidR="002A21AE" w:rsidRDefault="002A21AE">
            <w:pPr>
              <w:pStyle w:val="NotesText"/>
            </w:pPr>
          </w:p>
          <w:p w:rsidR="002A21AE" w:rsidRDefault="00700CE1">
            <w:pPr>
              <w:pStyle w:val="Notes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The Enhanced Supervisor may</w:t>
            </w:r>
            <w:r w:rsidR="002A21AE">
              <w:t xml:space="preserve"> enter search criteria that do not exist in the national or the local collection facility tables to add a collection facility to the division’s local list. By default, VBECS marks such entries as a collection facility.</w:t>
            </w:r>
          </w:p>
          <w:p w:rsidR="002A21AE" w:rsidRDefault="002A21AE">
            <w:pPr>
              <w:pStyle w:val="NotesText"/>
            </w:pPr>
          </w:p>
          <w:p w:rsidR="002A21AE" w:rsidRDefault="002A21AE">
            <w:pPr>
              <w:pStyle w:val="NotesText"/>
            </w:pPr>
            <w:r w:rsidRPr="009660C3">
              <w:rPr>
                <w:vanish/>
                <w:szCs w:val="18"/>
              </w:rPr>
              <w:t xml:space="preserve">BR_6.06 </w:t>
            </w:r>
            <w:r>
              <w:t>When a user clears the Active Facility check box for a collection facility in a division, warns the user, and asks whether he wishes to inactivate this facility and continue.</w:t>
            </w:r>
          </w:p>
          <w:p w:rsidR="002A21AE" w:rsidRDefault="002A21AE">
            <w:pPr>
              <w:pStyle w:val="NotesText"/>
            </w:pPr>
          </w:p>
          <w:p w:rsidR="002A21AE" w:rsidRDefault="002A21AE">
            <w:pPr>
              <w:pStyle w:val="NotesText"/>
            </w:pPr>
            <w:r>
              <w:rPr>
                <w:b/>
              </w:rPr>
              <w:t>Yes</w:t>
            </w:r>
            <w:r>
              <w:t xml:space="preserve"> allows the action to continue. </w:t>
            </w:r>
            <w:r>
              <w:rPr>
                <w:b/>
              </w:rPr>
              <w:t>No</w:t>
            </w:r>
            <w:r>
              <w:t xml:space="preserve"> leaves the collection facility marked as active for the division.</w:t>
            </w:r>
          </w:p>
          <w:p w:rsidR="002A21AE" w:rsidRDefault="002A21AE">
            <w:pPr>
              <w:pStyle w:val="NotesText"/>
            </w:pPr>
          </w:p>
          <w:p w:rsidR="002A21AE" w:rsidRDefault="002A21AE">
            <w:pPr>
              <w:pStyle w:val="NotesText"/>
            </w:pPr>
            <w:r w:rsidRPr="009660C3">
              <w:rPr>
                <w:vanish/>
              </w:rPr>
              <w:t xml:space="preserve">BR_8.11 </w:t>
            </w:r>
            <w:r>
              <w:t>VBECS does not allow inactivation of the product type for a shipper with in-date blood component units. VBECS warns that it is unable to inactivate the product type or shipper as there are in-date products for the shipper.</w:t>
            </w:r>
          </w:p>
        </w:tc>
      </w:tr>
      <w:tr w:rsidR="002A21AE">
        <w:tblPrEx>
          <w:tblCellMar>
            <w:top w:w="0" w:type="dxa"/>
            <w:bottom w:w="0" w:type="dxa"/>
          </w:tblCellMar>
        </w:tblPrEx>
        <w:tc>
          <w:tcPr>
            <w:tcW w:w="3240" w:type="dxa"/>
          </w:tcPr>
          <w:p w:rsidR="002A21AE" w:rsidRDefault="002A21AE">
            <w:pPr>
              <w:pStyle w:val="TableTextNumbers"/>
            </w:pPr>
            <w:r>
              <w:t xml:space="preserve">Edit or enter information in the collection facility information fields (for example, address, telephone number, whether the facility is a testing and/or collection facility) </w:t>
            </w:r>
            <w:r w:rsidR="00363757">
              <w:t>(</w:t>
            </w:r>
            <w:r w:rsidR="00363757">
              <w:fldChar w:fldCharType="begin"/>
            </w:r>
            <w:r w:rsidR="00363757">
              <w:instrText xml:space="preserve"> REF _Ref126471029 \h </w:instrText>
            </w:r>
            <w:r w:rsidR="00363757">
              <w:fldChar w:fldCharType="separate"/>
            </w:r>
            <w:r w:rsidR="005F38BC">
              <w:t xml:space="preserve">Figure </w:t>
            </w:r>
            <w:r w:rsidR="005F38BC">
              <w:rPr>
                <w:noProof/>
              </w:rPr>
              <w:t>49</w:t>
            </w:r>
            <w:r w:rsidR="00363757">
              <w:fldChar w:fldCharType="end"/>
            </w:r>
            <w:r w:rsidR="00363757">
              <w:t xml:space="preserve">) </w:t>
            </w:r>
            <w:r>
              <w:t xml:space="preserve">and click </w:t>
            </w:r>
            <w:r>
              <w:rPr>
                <w:b/>
              </w:rPr>
              <w:t>OK</w:t>
            </w:r>
            <w:r>
              <w:t xml:space="preserve"> to save the updated information.</w:t>
            </w:r>
          </w:p>
        </w:tc>
        <w:tc>
          <w:tcPr>
            <w:tcW w:w="6120" w:type="dxa"/>
          </w:tcPr>
          <w:p w:rsidR="002A21AE" w:rsidRDefault="002A21AE">
            <w:pPr>
              <w:pStyle w:val="TableTextBullet"/>
            </w:pPr>
            <w:r>
              <w:t xml:space="preserve">Displays entries for review and acceptance. </w:t>
            </w:r>
          </w:p>
          <w:p w:rsidR="002A21AE" w:rsidRDefault="002A21AE">
            <w:pPr>
              <w:pStyle w:val="TableTextBullet"/>
            </w:pPr>
            <w:r>
              <w:t>Prompts to save.</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49593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5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rr8Ew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b/>
              </w:rPr>
              <w:t>OK</w:t>
            </w:r>
            <w:r>
              <w:t xml:space="preserve"> remains disabled until the user edits or enters information or simply clicks in a field or check box.</w:t>
            </w:r>
          </w:p>
          <w:p w:rsidR="002A21AE" w:rsidRDefault="002A21AE">
            <w:pPr>
              <w:pStyle w:val="NotesText"/>
            </w:pPr>
          </w:p>
          <w:p w:rsidR="002A21AE" w:rsidRDefault="002A21AE">
            <w:pPr>
              <w:pStyle w:val="NotesText"/>
            </w:pPr>
            <w:r w:rsidRPr="009660C3">
              <w:rPr>
                <w:vanish/>
                <w:szCs w:val="18"/>
              </w:rPr>
              <w:t xml:space="preserve">BR_6.07 </w:t>
            </w:r>
            <w:r>
              <w:t xml:space="preserve">The Codabar eye-readable prefix (when used) is always two characters. </w:t>
            </w:r>
          </w:p>
        </w:tc>
      </w:tr>
      <w:tr w:rsidR="002A21AE">
        <w:tblPrEx>
          <w:tblCellMar>
            <w:top w:w="0" w:type="dxa"/>
            <w:bottom w:w="0" w:type="dxa"/>
          </w:tblCellMar>
        </w:tblPrEx>
        <w:tc>
          <w:tcPr>
            <w:tcW w:w="3240" w:type="dxa"/>
          </w:tcPr>
          <w:p w:rsidR="002A21AE" w:rsidRDefault="002A21AE">
            <w:pPr>
              <w:pStyle w:val="TableTextNumbers"/>
            </w:pPr>
            <w:r>
              <w:t xml:space="preserve">Click </w:t>
            </w:r>
            <w:r>
              <w:rPr>
                <w:b/>
              </w:rPr>
              <w:t>Yes</w:t>
            </w:r>
            <w:r>
              <w:t xml:space="preserve"> to confirm the save.</w:t>
            </w:r>
          </w:p>
        </w:tc>
        <w:tc>
          <w:tcPr>
            <w:tcW w:w="6120" w:type="dxa"/>
          </w:tcPr>
          <w:p w:rsidR="002A21AE" w:rsidRDefault="002A21AE">
            <w:pPr>
              <w:pStyle w:val="TableTextBullet"/>
            </w:pPr>
            <w:r>
              <w:t>Saves the active collection facility record and prompts to add or edit another facility.</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49696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57"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Oq0&#10;oLEVAgAALA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B62541" w:rsidRDefault="002A21AE">
            <w:pPr>
              <w:pStyle w:val="NotesText"/>
            </w:pPr>
            <w:r w:rsidRPr="009660C3">
              <w:rPr>
                <w:vanish/>
                <w:szCs w:val="18"/>
              </w:rPr>
              <w:t xml:space="preserve">BR_6.09 </w:t>
            </w:r>
            <w:r>
              <w:t>VBECS saves an active collection facility only when it is iden</w:t>
            </w:r>
            <w:r w:rsidR="00836F52">
              <w:t>tified as a collection facility</w:t>
            </w:r>
            <w:r>
              <w:t>.</w:t>
            </w:r>
          </w:p>
          <w:p w:rsidR="00B62541" w:rsidRDefault="00B62541">
            <w:pPr>
              <w:pStyle w:val="NotesText"/>
            </w:pPr>
          </w:p>
          <w:p w:rsidR="002A21AE" w:rsidRDefault="00B62541" w:rsidP="00B62541">
            <w:pPr>
              <w:pStyle w:val="NotesText"/>
            </w:pPr>
            <w:r>
              <w:t xml:space="preserve">A facility must be activated and </w:t>
            </w:r>
            <w:r w:rsidR="009D390D">
              <w:t xml:space="preserve">have </w:t>
            </w:r>
            <w:r>
              <w:t>at least one blood product defined to be a shipper. Refer to Blood Products section for more information.</w:t>
            </w:r>
          </w:p>
        </w:tc>
      </w:tr>
      <w:tr w:rsidR="002A21AE">
        <w:tblPrEx>
          <w:tblCellMar>
            <w:top w:w="0" w:type="dxa"/>
            <w:bottom w:w="0" w:type="dxa"/>
          </w:tblCellMar>
        </w:tblPrEx>
        <w:tc>
          <w:tcPr>
            <w:tcW w:w="3240" w:type="dxa"/>
          </w:tcPr>
          <w:p w:rsidR="002A21AE" w:rsidRDefault="002A21AE">
            <w:pPr>
              <w:pStyle w:val="TableTextNumbers"/>
            </w:pPr>
            <w:r>
              <w:t>Repeat these steps to process another facility.</w:t>
            </w:r>
          </w:p>
        </w:tc>
        <w:tc>
          <w:tcPr>
            <w:tcW w:w="6120" w:type="dxa"/>
          </w:tcPr>
          <w:p w:rsidR="002A21AE" w:rsidRDefault="002A21AE">
            <w:pPr>
              <w:pStyle w:val="TableText"/>
            </w:pPr>
          </w:p>
        </w:tc>
      </w:tr>
      <w:tr w:rsidR="002A21AE">
        <w:tblPrEx>
          <w:tblCellMar>
            <w:top w:w="0" w:type="dxa"/>
            <w:bottom w:w="0" w:type="dxa"/>
          </w:tblCellMar>
        </w:tblPrEx>
        <w:tc>
          <w:tcPr>
            <w:tcW w:w="3240" w:type="dxa"/>
          </w:tcPr>
          <w:p w:rsidR="002A21AE" w:rsidRDefault="002A21AE">
            <w:pPr>
              <w:pStyle w:val="TableTextNumbers"/>
            </w:pPr>
            <w:r>
              <w:t xml:space="preserve">Click </w:t>
            </w:r>
            <w:r>
              <w:rPr>
                <w:b/>
              </w:rPr>
              <w:t>Cancel</w:t>
            </w:r>
            <w:r>
              <w:t xml:space="preserve"> in the Maintain Facility screen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rsidR="002A21AE" w:rsidRDefault="002A21AE">
            <w:pPr>
              <w:pStyle w:val="TableText"/>
            </w:pPr>
          </w:p>
          <w:p w:rsidR="002A21AE" w:rsidRDefault="002A21AE">
            <w:pPr>
              <w:pStyle w:val="TableText"/>
            </w:pPr>
          </w:p>
        </w:tc>
      </w:tr>
    </w:tbl>
    <w:p w:rsidR="002A21AE" w:rsidRDefault="002A21AE" w:rsidP="00FA7E65">
      <w:pPr>
        <w:pStyle w:val="BodyText"/>
      </w:pPr>
    </w:p>
    <w:p w:rsidR="00363757" w:rsidRDefault="00363757" w:rsidP="00363757">
      <w:pPr>
        <w:pStyle w:val="Caption"/>
      </w:pPr>
      <w:bookmarkStart w:id="198" w:name="_Ref126471029"/>
      <w:r>
        <w:lastRenderedPageBreak/>
        <w:t xml:space="preserve">Figure </w:t>
      </w:r>
      <w:r w:rsidR="00C17F7C">
        <w:fldChar w:fldCharType="begin"/>
      </w:r>
      <w:r w:rsidR="00C17F7C">
        <w:instrText xml:space="preserve"> SEQ Figure \* ARABIC </w:instrText>
      </w:r>
      <w:r w:rsidR="00C17F7C">
        <w:fldChar w:fldCharType="separate"/>
      </w:r>
      <w:r w:rsidR="005F38BC">
        <w:rPr>
          <w:noProof/>
        </w:rPr>
        <w:t>49</w:t>
      </w:r>
      <w:r w:rsidR="00C17F7C">
        <w:fldChar w:fldCharType="end"/>
      </w:r>
      <w:bookmarkEnd w:id="198"/>
      <w:r>
        <w:t>: Maintain Facility</w:t>
      </w:r>
    </w:p>
    <w:p w:rsidR="0066425F" w:rsidRDefault="00634BFC" w:rsidP="0066425F">
      <w:pPr>
        <w:pStyle w:val="BodyText"/>
      </w:pPr>
      <w:r>
        <w:rPr>
          <w:noProof/>
        </w:rPr>
        <w:drawing>
          <wp:inline distT="0" distB="0" distL="0" distR="0">
            <wp:extent cx="4305300" cy="513397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305300" cy="5133975"/>
                    </a:xfrm>
                    <a:prstGeom prst="rect">
                      <a:avLst/>
                    </a:prstGeom>
                    <a:noFill/>
                    <a:ln>
                      <a:noFill/>
                    </a:ln>
                  </pic:spPr>
                </pic:pic>
              </a:graphicData>
            </a:graphic>
          </wp:inline>
        </w:drawing>
      </w:r>
      <w:r w:rsidR="00363757">
        <w:t xml:space="preserve"> </w:t>
      </w:r>
    </w:p>
    <w:p w:rsidR="002A21AE" w:rsidRDefault="00AF089A">
      <w:pPr>
        <w:pStyle w:val="Heading3"/>
      </w:pPr>
      <w:r>
        <w:br w:type="page"/>
      </w:r>
      <w:bookmarkStart w:id="199" w:name="_Toc459900092"/>
      <w:r w:rsidR="002A21AE">
        <w:lastRenderedPageBreak/>
        <w:t>Blood Products</w:t>
      </w:r>
      <w:bookmarkEnd w:id="193"/>
      <w:bookmarkEnd w:id="199"/>
      <w:r w:rsidR="002A21AE" w:rsidRPr="00AB67A6">
        <w:rPr>
          <w:rFonts w:ascii="Arial Bold" w:hAnsi="Arial Bold"/>
          <w:vanish/>
        </w:rPr>
        <w:fldChar w:fldCharType="begin"/>
      </w:r>
      <w:r w:rsidR="002A21AE" w:rsidRPr="00AB67A6">
        <w:rPr>
          <w:rFonts w:ascii="Arial Bold" w:hAnsi="Arial Bold"/>
          <w:vanish/>
        </w:rPr>
        <w:instrText xml:space="preserve"> XE </w:instrText>
      </w:r>
      <w:r w:rsidR="00FA7E65" w:rsidRPr="00AB67A6">
        <w:rPr>
          <w:rFonts w:ascii="Arial Bold" w:hAnsi="Arial Bold"/>
          <w:vanish/>
        </w:rPr>
        <w:instrText>“</w:instrText>
      </w:r>
      <w:r w:rsidR="002A21AE" w:rsidRPr="00AB67A6">
        <w:rPr>
          <w:rFonts w:ascii="Arial Bold" w:hAnsi="Arial Bold"/>
          <w:vanish/>
        </w:rPr>
        <w:instrText>Blood Products</w:instrText>
      </w:r>
      <w:r w:rsidR="00FA7E65" w:rsidRPr="00AB67A6">
        <w:rPr>
          <w:rFonts w:ascii="Arial Bold" w:hAnsi="Arial Bold"/>
          <w:vanish/>
        </w:rPr>
        <w:instrText>”</w:instrText>
      </w:r>
      <w:r w:rsidR="002A21AE" w:rsidRPr="00AB67A6">
        <w:rPr>
          <w:rFonts w:ascii="Arial Bold" w:hAnsi="Arial Bold"/>
          <w:vanish/>
        </w:rPr>
        <w:instrText xml:space="preserve"> </w:instrText>
      </w:r>
      <w:r w:rsidR="002A21AE" w:rsidRPr="00AB67A6">
        <w:rPr>
          <w:rFonts w:ascii="Arial Bold" w:hAnsi="Arial Bold"/>
          <w:vanish/>
        </w:rPr>
        <w:fldChar w:fldCharType="end"/>
      </w:r>
      <w:r w:rsidR="002A21AE" w:rsidRPr="00AB67A6">
        <w:rPr>
          <w:rFonts w:ascii="Arial Bold" w:hAnsi="Arial Bold"/>
          <w:vanish/>
        </w:rPr>
        <w:t xml:space="preserve"> UC_08</w:t>
      </w:r>
    </w:p>
    <w:p w:rsidR="002A21AE" w:rsidRDefault="002A21AE" w:rsidP="00FA7E65">
      <w:pPr>
        <w:pStyle w:val="BodyText"/>
      </w:pPr>
      <w:r>
        <w:t>The user activates, deactivates, and edits a limited number of variables for an existing blood product site parameter. VBECS provides a Codabar and an ISBT 128 Blood Product reference table to facilitate these and other actions.</w:t>
      </w:r>
    </w:p>
    <w:p w:rsidR="002A21AE" w:rsidRDefault="002A21AE">
      <w:pPr>
        <w:pStyle w:val="Heading4"/>
      </w:pPr>
      <w:r>
        <w:t>Assumptions</w:t>
      </w:r>
    </w:p>
    <w:p w:rsidR="002A21AE" w:rsidRDefault="002A21AE">
      <w:pPr>
        <w:pStyle w:val="ListBullet"/>
      </w:pPr>
      <w:r>
        <w:t xml:space="preserve">The connection to </w:t>
      </w:r>
      <w:r w:rsidR="00CA0045" w:rsidRPr="00CA0045">
        <w:t>VistA</w:t>
      </w:r>
      <w:r>
        <w:t xml:space="preserve"> is active.</w:t>
      </w:r>
    </w:p>
    <w:p w:rsidR="002A21AE" w:rsidRDefault="002A21AE">
      <w:pPr>
        <w:pStyle w:val="ListBullet"/>
      </w:pPr>
      <w:r>
        <w:t xml:space="preserve">The user understands </w:t>
      </w:r>
      <w:r w:rsidR="00735532">
        <w:t>Healthcare Common Procedure Coding System (</w:t>
      </w:r>
      <w:r>
        <w:t>HCPCS</w:t>
      </w:r>
      <w:r w:rsidR="00735532">
        <w:t>)</w:t>
      </w:r>
      <w:r>
        <w:t xml:space="preserve"> codes. (See Additional Information.)</w:t>
      </w:r>
    </w:p>
    <w:p w:rsidR="002A21AE" w:rsidRDefault="002A21AE">
      <w:pPr>
        <w:pStyle w:val="ListBullet"/>
      </w:pPr>
      <w:r>
        <w:rPr>
          <w:vanish/>
          <w:spacing w:val="0"/>
        </w:rPr>
        <w:t xml:space="preserve">BR_8.03 </w:t>
      </w:r>
      <w:r>
        <w:t>A shipper must be marked as an active collection facility for a division before a user may select it as a valid shipper for a blood product for that division. This includes marking the division facility itself as an active collection facility to accommodate the creation of new blood products through modification.</w:t>
      </w:r>
    </w:p>
    <w:p w:rsidR="002A21AE" w:rsidRDefault="002A21AE">
      <w:pPr>
        <w:pStyle w:val="Heading4"/>
      </w:pPr>
      <w:r>
        <w:t>Outcome</w:t>
      </w:r>
    </w:p>
    <w:p w:rsidR="002A21AE" w:rsidRDefault="002A21AE">
      <w:pPr>
        <w:pStyle w:val="ListBullet"/>
      </w:pPr>
      <w:r>
        <w:t xml:space="preserve">Blood product codes are activated in the user’s division. </w:t>
      </w:r>
    </w:p>
    <w:p w:rsidR="002A21AE" w:rsidRDefault="002A21AE">
      <w:pPr>
        <w:pStyle w:val="ListBullet"/>
      </w:pPr>
      <w:r>
        <w:rPr>
          <w:vanish/>
          <w:spacing w:val="0"/>
        </w:rPr>
        <w:t xml:space="preserve">BR_8.07 </w:t>
      </w:r>
      <w:r>
        <w:t xml:space="preserve">Each product’s HCPCS code and its activation and deactivation dates are maintained in a permanent historical record. </w:t>
      </w:r>
    </w:p>
    <w:p w:rsidR="002A21AE" w:rsidRDefault="002A21AE">
      <w:pPr>
        <w:pStyle w:val="Heading4"/>
      </w:pPr>
      <w:r>
        <w:t>Limitations and Restrictions</w:t>
      </w:r>
    </w:p>
    <w:p w:rsidR="002A21AE" w:rsidRDefault="002A21AE">
      <w:pPr>
        <w:pStyle w:val="ListBullet"/>
      </w:pPr>
      <w:r>
        <w:t xml:space="preserve">Blood product records distributed through VBECS are national standards. </w:t>
      </w:r>
    </w:p>
    <w:p w:rsidR="002A21AE" w:rsidRDefault="002A21AE">
      <w:pPr>
        <w:pStyle w:val="ListBullet"/>
      </w:pPr>
      <w:r>
        <w:t>The division must have activated the valid target blood products for modification.</w:t>
      </w:r>
    </w:p>
    <w:p w:rsidR="002A21AE" w:rsidRDefault="002A21AE" w:rsidP="00755193">
      <w:pPr>
        <w:pStyle w:val="Heading4"/>
        <w:tabs>
          <w:tab w:val="left" w:pos="3060"/>
        </w:tabs>
      </w:pPr>
      <w:r>
        <w:t>Additional Information</w:t>
      </w:r>
      <w:r w:rsidR="00755193">
        <w:tab/>
      </w:r>
    </w:p>
    <w:p w:rsidR="002A21AE" w:rsidRDefault="00735532">
      <w:pPr>
        <w:pStyle w:val="ListBullet"/>
      </w:pPr>
      <w:r>
        <w:t>HCPCS</w:t>
      </w:r>
      <w:r w:rsidR="002A21AE">
        <w:t xml:space="preserve"> codes are required for medical and surgical services and supplies for the outpatient setting under the final code set standards for the Health Insurance Portability and Accountability Act of 1996 (HIPAA). See your local </w:t>
      </w:r>
      <w:r w:rsidR="002A21AE">
        <w:rPr>
          <w:szCs w:val="24"/>
        </w:rPr>
        <w:t>Current Procedural Terminology</w:t>
      </w:r>
      <w:r w:rsidR="002A21AE">
        <w:t xml:space="preserve"> (CPT) coordinator for more information.</w:t>
      </w:r>
    </w:p>
    <w:p w:rsidR="002A21AE" w:rsidRDefault="002A21AE">
      <w:pPr>
        <w:pStyle w:val="ListBullet"/>
      </w:pPr>
      <w:r>
        <w:rPr>
          <w:vanish/>
          <w:spacing w:val="0"/>
        </w:rPr>
        <w:t xml:space="preserve">BR_8.04 </w:t>
      </w:r>
      <w:r>
        <w:t>At least one valid shipper and product cost must be defined for each active product code in use in the division; multiple shippers may be associated with a blood product code.</w:t>
      </w:r>
    </w:p>
    <w:p w:rsidR="002A21AE" w:rsidRDefault="002A21AE">
      <w:pPr>
        <w:pStyle w:val="Heading4"/>
      </w:pPr>
      <w:r>
        <w:t>User Roles with Access to This Option</w:t>
      </w:r>
    </w:p>
    <w:p w:rsidR="002A21AE" w:rsidRDefault="0007426E">
      <w:pPr>
        <w:pStyle w:val="Roles"/>
      </w:pPr>
      <w:r>
        <w:t>All users</w:t>
      </w:r>
    </w:p>
    <w:p w:rsidR="002A21AE" w:rsidRDefault="002A21AE">
      <w:pPr>
        <w:pStyle w:val="Heading4"/>
      </w:pPr>
      <w:r>
        <w:t>Blood Products</w:t>
      </w:r>
    </w:p>
    <w:p w:rsidR="002A21AE" w:rsidRDefault="002A21AE" w:rsidP="00FA7E65">
      <w:pPr>
        <w:pStyle w:val="BodyText"/>
      </w:pPr>
      <w:r>
        <w:t>Before processing a blood unit in an incoming shipment, or activating or creating a blood unit in-house, the user identifies the shipper(s), cost, and return credit percentage for each shipper. The user also tags each product as active for use within the division and assigns a</w:t>
      </w:r>
      <w:r w:rsidR="00C43566">
        <w:t>n</w:t>
      </w:r>
      <w:r>
        <w:t xml:space="preserve"> HCPCS code to each. These are the only fields the user may edit when maintaining an existing blood product</w:t>
      </w:r>
      <w:r w:rsidR="00C816A6">
        <w:t xml:space="preserve"> code</w:t>
      </w:r>
      <w:r>
        <w:t xml:space="preserve">. </w:t>
      </w:r>
    </w:p>
    <w:p w:rsidR="00776377" w:rsidRDefault="002A21AE" w:rsidP="00FA7E65">
      <w:pPr>
        <w:pStyle w:val="BodyText"/>
      </w:pPr>
      <w:r>
        <w:t>A “shipper” is the collection facility that delivers and bills for the blood product, regardless of the facility named on the unit’s label. The collection facility that delivers the product to the shipper is not considered a shipper nor does it have a product cost associated with it, but it needs to be activated in the division for VBECS to interpret the unit ID. When components are modified within the division, the shipper is defined as the division. The cost may be $0.00 or other U.S. dollar value assigned by the shipper.</w:t>
      </w:r>
    </w:p>
    <w:p w:rsidR="002A21AE" w:rsidRDefault="00776377" w:rsidP="00FA7E65">
      <w:pPr>
        <w:pStyle w:val="BodyText"/>
      </w:pPr>
      <w:r>
        <w:br w:type="page"/>
      </w:r>
    </w:p>
    <w:tbl>
      <w:tblPr>
        <w:tblW w:w="92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2"/>
        <w:gridCol w:w="6120"/>
      </w:tblGrid>
      <w:tr w:rsidR="002A21AE">
        <w:tblPrEx>
          <w:tblCellMar>
            <w:top w:w="0" w:type="dxa"/>
            <w:bottom w:w="0" w:type="dxa"/>
          </w:tblCellMar>
        </w:tblPrEx>
        <w:trPr>
          <w:tblHeader/>
        </w:trPr>
        <w:tc>
          <w:tcPr>
            <w:tcW w:w="3132" w:type="dxa"/>
            <w:shd w:val="pct30" w:color="auto" w:fill="FFFFFF"/>
            <w:vAlign w:val="bottom"/>
          </w:tcPr>
          <w:p w:rsidR="002A21AE" w:rsidRDefault="002A21AE">
            <w:pPr>
              <w:pStyle w:val="TableText"/>
              <w:rPr>
                <w:b/>
              </w:rPr>
            </w:pPr>
            <w:r>
              <w:rPr>
                <w:b/>
              </w:rPr>
              <w:lastRenderedPageBreak/>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132" w:type="dxa"/>
          </w:tcPr>
          <w:p w:rsidR="002A21AE" w:rsidRDefault="002A21AE">
            <w:pPr>
              <w:pStyle w:val="TableTextNumbers"/>
            </w:pPr>
            <w:r>
              <w:t xml:space="preserve">Select </w:t>
            </w:r>
            <w:r>
              <w:rPr>
                <w:b/>
              </w:rPr>
              <w:t xml:space="preserve">Tools </w:t>
            </w:r>
            <w:r>
              <w:t>from the main menu.</w:t>
            </w:r>
          </w:p>
          <w:p w:rsidR="002A21AE" w:rsidRDefault="002A21AE">
            <w:pPr>
              <w:pStyle w:val="TableTextNumbersContinued"/>
              <w:rPr>
                <w:b/>
                <w:bCs/>
              </w:rPr>
            </w:pPr>
          </w:p>
          <w:p w:rsidR="002A21AE" w:rsidRDefault="002A21AE">
            <w:pPr>
              <w:pStyle w:val="TableTextNumbersContinued"/>
              <w:rPr>
                <w:b/>
                <w:bCs/>
              </w:rPr>
            </w:pPr>
            <w:r w:rsidRPr="00FA0EEB">
              <w:rPr>
                <w:bCs/>
              </w:rPr>
              <w:t>Select</w:t>
            </w:r>
            <w:r>
              <w:rPr>
                <w:b/>
                <w:bCs/>
              </w:rPr>
              <w:t xml:space="preserve"> Blood Products</w:t>
            </w:r>
            <w:r w:rsidRPr="00FA0EEB">
              <w:rPr>
                <w:bCs/>
              </w:rPr>
              <w:t>.</w:t>
            </w:r>
          </w:p>
        </w:tc>
        <w:tc>
          <w:tcPr>
            <w:tcW w:w="6120" w:type="dxa"/>
          </w:tcPr>
          <w:p w:rsidR="002A21AE" w:rsidRDefault="002A21AE">
            <w:pPr>
              <w:pStyle w:val="TableTextBullet"/>
            </w:pPr>
            <w:r>
              <w:t>Displays options for processing administrative functions.</w:t>
            </w:r>
          </w:p>
          <w:p w:rsidR="002A21AE" w:rsidRDefault="002A21AE">
            <w:pPr>
              <w:pStyle w:val="TableTextBullet"/>
            </w:pPr>
            <w:r>
              <w:t>Displays fields for entering blood product information.</w:t>
            </w:r>
          </w:p>
        </w:tc>
      </w:tr>
      <w:tr w:rsidR="002A21AE">
        <w:tblPrEx>
          <w:tblCellMar>
            <w:top w:w="0" w:type="dxa"/>
            <w:bottom w:w="0" w:type="dxa"/>
          </w:tblCellMar>
        </w:tblPrEx>
        <w:tc>
          <w:tcPr>
            <w:tcW w:w="3132" w:type="dxa"/>
          </w:tcPr>
          <w:p w:rsidR="002A21AE" w:rsidRDefault="002A21AE">
            <w:pPr>
              <w:pStyle w:val="TableTextNumbers"/>
            </w:pPr>
            <w:r>
              <w:t>To identify the product, scan or enter a Codabar or ISBT product code.</w:t>
            </w:r>
          </w:p>
          <w:p w:rsidR="002A21AE" w:rsidRDefault="002A21AE">
            <w:pPr>
              <w:pStyle w:val="TableTextNumbersContinued"/>
            </w:pPr>
          </w:p>
          <w:p w:rsidR="002A21AE" w:rsidRDefault="002A21AE">
            <w:pPr>
              <w:pStyle w:val="TableTextNumbersContinued"/>
            </w:pPr>
            <w:r>
              <w:t xml:space="preserve">Click the </w:t>
            </w:r>
            <w:r w:rsidR="00A6373D">
              <w:rPr>
                <w:b/>
              </w:rPr>
              <w:t>find</w:t>
            </w:r>
            <w:r w:rsidRPr="00BF2E41">
              <w:t xml:space="preserve"> button</w:t>
            </w:r>
            <w:r>
              <w:t xml:space="preserve"> to search for a product.</w:t>
            </w:r>
          </w:p>
          <w:p w:rsidR="002A21AE" w:rsidRDefault="002A21AE">
            <w:pPr>
              <w:pStyle w:val="TableTextNumbersContinued"/>
            </w:pPr>
          </w:p>
          <w:p w:rsidR="002A21AE" w:rsidRDefault="002A21AE">
            <w:pPr>
              <w:pStyle w:val="TableTextNumbersContinued"/>
            </w:pPr>
            <w:r>
              <w:t>Select a product type from the drop-down Product Type list or enter a partial product name in the Partial Product Name field.</w:t>
            </w:r>
          </w:p>
          <w:p w:rsidR="002A21AE" w:rsidRDefault="002A21AE">
            <w:pPr>
              <w:pStyle w:val="TableTextNumbersContinued"/>
            </w:pPr>
          </w:p>
          <w:p w:rsidR="002A21AE" w:rsidRDefault="002A21AE">
            <w:pPr>
              <w:pStyle w:val="TableTextNumbersContinued"/>
            </w:pPr>
            <w:r>
              <w:t xml:space="preserve">Click </w:t>
            </w:r>
            <w:r>
              <w:rPr>
                <w:b/>
              </w:rPr>
              <w:t>Search</w:t>
            </w:r>
            <w:r>
              <w:t>.</w:t>
            </w:r>
          </w:p>
        </w:tc>
        <w:tc>
          <w:tcPr>
            <w:tcW w:w="6120" w:type="dxa"/>
          </w:tcPr>
          <w:p w:rsidR="002A21AE" w:rsidRDefault="002A21AE">
            <w:pPr>
              <w:pStyle w:val="TableTextBullet"/>
            </w:pPr>
            <w:r>
              <w:t>Displays current blood product information.</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2358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56"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8" o:spid="_x0000_s1026" style="position:absolute;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4+FQ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IgW&#10;/j4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sidRPr="009660C3">
              <w:rPr>
                <w:vanish/>
                <w:szCs w:val="18"/>
              </w:rPr>
              <w:t xml:space="preserve">BR_8.12 </w:t>
            </w:r>
            <w:r>
              <w:t>When a user enters a product code</w:t>
            </w:r>
            <w:r w:rsidR="00DA09BD">
              <w:t xml:space="preserve"> that VBECS does not recognize</w:t>
            </w:r>
            <w:r>
              <w:t>, VBECS warns that the blood product was not found and that it does not support entry of new blood products.</w:t>
            </w:r>
          </w:p>
          <w:p w:rsidR="002A21AE" w:rsidRDefault="002A21AE">
            <w:pPr>
              <w:pStyle w:val="NotesText"/>
            </w:pPr>
          </w:p>
          <w:p w:rsidR="002A21AE" w:rsidRDefault="002A21AE">
            <w:pPr>
              <w:pStyle w:val="NotesText"/>
            </w:pPr>
            <w:r>
              <w:rPr>
                <w:b/>
                <w:bCs/>
              </w:rPr>
              <w:t>OK</w:t>
            </w:r>
            <w:r>
              <w:t xml:space="preserve"> returns the user to a blank screen to enter a different product. VBECS clears the screen. The user may enter a different product code.</w:t>
            </w:r>
            <w:r>
              <w:rPr>
                <w:rStyle w:val="CommentReference"/>
                <w:rFonts w:ascii="Times New Roman" w:hAnsi="Times New Roman"/>
                <w:vanish/>
              </w:rPr>
              <w:t xml:space="preserve"> </w:t>
            </w:r>
          </w:p>
        </w:tc>
      </w:tr>
      <w:tr w:rsidR="002A21AE">
        <w:tblPrEx>
          <w:tblCellMar>
            <w:top w:w="0" w:type="dxa"/>
            <w:bottom w:w="0" w:type="dxa"/>
          </w:tblCellMar>
        </w:tblPrEx>
        <w:tc>
          <w:tcPr>
            <w:tcW w:w="3132" w:type="dxa"/>
            <w:tcBorders>
              <w:bottom w:val="single" w:sz="4" w:space="0" w:color="auto"/>
            </w:tcBorders>
          </w:tcPr>
          <w:p w:rsidR="002A21AE" w:rsidRDefault="002A21AE">
            <w:pPr>
              <w:pStyle w:val="TableTextNumbers"/>
            </w:pPr>
            <w:r>
              <w:t xml:space="preserve">Select a product from the Search Results list and click </w:t>
            </w:r>
            <w:r>
              <w:rPr>
                <w:b/>
                <w:bCs/>
              </w:rPr>
              <w:t>OK</w:t>
            </w:r>
            <w:r w:rsidR="00FF1B65">
              <w:rPr>
                <w:bCs/>
              </w:rPr>
              <w:t xml:space="preserve"> (</w:t>
            </w:r>
            <w:r w:rsidR="00FF1B65">
              <w:rPr>
                <w:bCs/>
              </w:rPr>
              <w:fldChar w:fldCharType="begin"/>
            </w:r>
            <w:r w:rsidR="00FF1B65">
              <w:rPr>
                <w:bCs/>
              </w:rPr>
              <w:instrText xml:space="preserve"> REF _Ref126471445 \h </w:instrText>
            </w:r>
            <w:r w:rsidR="006A1989" w:rsidRPr="00FF1B65">
              <w:rPr>
                <w:bCs/>
              </w:rPr>
            </w:r>
            <w:r w:rsidR="00FF1B65">
              <w:rPr>
                <w:bCs/>
              </w:rPr>
              <w:fldChar w:fldCharType="separate"/>
            </w:r>
            <w:r w:rsidR="005F38BC">
              <w:t xml:space="preserve">Figure </w:t>
            </w:r>
            <w:r w:rsidR="005F38BC">
              <w:rPr>
                <w:noProof/>
              </w:rPr>
              <w:t>50</w:t>
            </w:r>
            <w:r w:rsidR="00FF1B65">
              <w:rPr>
                <w:bCs/>
              </w:rPr>
              <w:fldChar w:fldCharType="end"/>
            </w:r>
            <w:r w:rsidR="00FF1B65">
              <w:rPr>
                <w:bCs/>
              </w:rPr>
              <w:t>)</w:t>
            </w:r>
            <w:r>
              <w:t>.</w:t>
            </w:r>
          </w:p>
          <w:p w:rsidR="002A21AE" w:rsidRDefault="002A21AE">
            <w:pPr>
              <w:pStyle w:val="TableTextNumbersContinued"/>
            </w:pPr>
          </w:p>
          <w:p w:rsidR="002A21AE" w:rsidRDefault="002A21AE">
            <w:pPr>
              <w:pStyle w:val="TableTextNumbersContinued"/>
            </w:pPr>
            <w:r>
              <w:t>Select an HCPCS code from the drop-down HCPCS Code list or enter an HCPCS code.</w:t>
            </w:r>
          </w:p>
        </w:tc>
        <w:tc>
          <w:tcPr>
            <w:tcW w:w="6120" w:type="dxa"/>
            <w:tcBorders>
              <w:bottom w:val="single" w:sz="4" w:space="0" w:color="auto"/>
            </w:tcBorders>
          </w:tcPr>
          <w:p w:rsidR="002A21AE" w:rsidRDefault="002A21AE">
            <w:pPr>
              <w:pStyle w:val="TableTextBullet"/>
            </w:pPr>
            <w:r>
              <w:t xml:space="preserve">Allows a user to enter the HCPCS code. </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2460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55"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9" o:spid="_x0000_s1026" style="position:absolute;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qFQ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H+N&#10;dao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sidRPr="009660C3">
              <w:rPr>
                <w:vanish/>
                <w:szCs w:val="18"/>
              </w:rPr>
              <w:t xml:space="preserve">BR_8.06 </w:t>
            </w:r>
            <w:r>
              <w:t>A blood product may have only one HCPCS code at a time.</w:t>
            </w:r>
          </w:p>
        </w:tc>
      </w:tr>
      <w:tr w:rsidR="002A21AE">
        <w:tblPrEx>
          <w:tblCellMar>
            <w:top w:w="0" w:type="dxa"/>
            <w:bottom w:w="0" w:type="dxa"/>
          </w:tblCellMar>
        </w:tblPrEx>
        <w:tc>
          <w:tcPr>
            <w:tcW w:w="3132" w:type="dxa"/>
            <w:tcBorders>
              <w:bottom w:val="single" w:sz="4" w:space="0" w:color="auto"/>
            </w:tcBorders>
          </w:tcPr>
          <w:p w:rsidR="002A21AE" w:rsidRPr="007144AE" w:rsidRDefault="002A21AE" w:rsidP="007144AE">
            <w:pPr>
              <w:pStyle w:val="TableTextNumbers"/>
              <w:rPr>
                <w:bCs/>
              </w:rPr>
            </w:pPr>
            <w:r>
              <w:t xml:space="preserve">Select or enter product shipper information: shipper name, FDA </w:t>
            </w:r>
            <w:r w:rsidR="00B85812">
              <w:t>Registration Number</w:t>
            </w:r>
            <w:r>
              <w:t>, c</w:t>
            </w:r>
            <w:r>
              <w:rPr>
                <w:bCs/>
              </w:rPr>
              <w:t>ost, and return credit percentage.</w:t>
            </w:r>
          </w:p>
        </w:tc>
        <w:tc>
          <w:tcPr>
            <w:tcW w:w="6120" w:type="dxa"/>
            <w:tcBorders>
              <w:bottom w:val="single" w:sz="4" w:space="0" w:color="auto"/>
            </w:tcBorders>
          </w:tcPr>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2563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54"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0" o:spid="_x0000_s1026" style="position:absolute;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hAtFQIAAC0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JJC&#10;EC0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rPr>
                <w:color w:val="000000"/>
                <w:szCs w:val="18"/>
              </w:rPr>
            </w:pPr>
            <w:r w:rsidRPr="009660C3">
              <w:rPr>
                <w:vanish/>
                <w:szCs w:val="18"/>
              </w:rPr>
              <w:t xml:space="preserve">BR_8.01 </w:t>
            </w:r>
            <w:r>
              <w:t xml:space="preserve">Site parameters determine which products are active for a division. Products marked as active can be received in an incoming shipment or created in-house through modification. </w:t>
            </w:r>
          </w:p>
          <w:p w:rsidR="002A21AE" w:rsidRDefault="002A21AE">
            <w:pPr>
              <w:pStyle w:val="NotesText"/>
            </w:pPr>
          </w:p>
          <w:p w:rsidR="002A21AE" w:rsidRDefault="002A21AE">
            <w:pPr>
              <w:pStyle w:val="NotesText"/>
              <w:tabs>
                <w:tab w:val="center" w:pos="3312"/>
              </w:tabs>
            </w:pPr>
            <w:r w:rsidRPr="009660C3">
              <w:rPr>
                <w:vanish/>
                <w:szCs w:val="18"/>
              </w:rPr>
              <w:t xml:space="preserve">BR_8.02 </w:t>
            </w:r>
            <w:r>
              <w:t>A user with no increased security can maintain an existing blood product for use only within the user’s current division.</w:t>
            </w:r>
            <w:r>
              <w:tab/>
            </w:r>
          </w:p>
          <w:p w:rsidR="002A21AE" w:rsidRDefault="002A21AE">
            <w:pPr>
              <w:pStyle w:val="NotesText"/>
            </w:pPr>
          </w:p>
          <w:p w:rsidR="002A21AE" w:rsidRDefault="002A21AE">
            <w:pPr>
              <w:pStyle w:val="NotesText"/>
            </w:pPr>
            <w:r>
              <w:t>The return credit default is “100%.”</w:t>
            </w:r>
          </w:p>
          <w:p w:rsidR="002A21AE" w:rsidRDefault="002A21AE">
            <w:pPr>
              <w:pStyle w:val="NotesText"/>
            </w:pPr>
          </w:p>
          <w:p w:rsidR="002A21AE" w:rsidRDefault="002A21AE">
            <w:pPr>
              <w:pStyle w:val="NotesText"/>
            </w:pPr>
            <w:r w:rsidRPr="009660C3">
              <w:rPr>
                <w:rFonts w:cs="Arial"/>
                <w:vanish/>
                <w:color w:val="0000FF"/>
                <w:szCs w:val="18"/>
              </w:rPr>
              <w:t>BR_8.11</w:t>
            </w:r>
            <w:r w:rsidRPr="009660C3">
              <w:rPr>
                <w:vanish/>
                <w:szCs w:val="18"/>
              </w:rPr>
              <w:t xml:space="preserve"> </w:t>
            </w:r>
            <w:r>
              <w:t>VBECS does not allow inactivation of the product type for a shipper with in-date blood component units. VBECS warns that it is unable to inactivate the product type or shipper as there are in-date products for the shipper.</w:t>
            </w:r>
          </w:p>
        </w:tc>
      </w:tr>
      <w:tr w:rsidR="002A21AE">
        <w:tblPrEx>
          <w:tblCellMar>
            <w:top w:w="0" w:type="dxa"/>
            <w:bottom w:w="0" w:type="dxa"/>
          </w:tblCellMar>
        </w:tblPrEx>
        <w:tc>
          <w:tcPr>
            <w:tcW w:w="3132" w:type="dxa"/>
            <w:tcBorders>
              <w:bottom w:val="single" w:sz="4" w:space="0" w:color="auto"/>
            </w:tcBorders>
          </w:tcPr>
          <w:p w:rsidR="002A21AE" w:rsidRDefault="002A21AE">
            <w:pPr>
              <w:pStyle w:val="TableTextNumbers"/>
            </w:pPr>
            <w:r>
              <w:t xml:space="preserve">Repeat Steps 3 and 4 for each selected product’s shipper and for other products. </w:t>
            </w:r>
          </w:p>
        </w:tc>
        <w:tc>
          <w:tcPr>
            <w:tcW w:w="6120" w:type="dxa"/>
            <w:tcBorders>
              <w:bottom w:val="single" w:sz="4" w:space="0" w:color="auto"/>
            </w:tcBorders>
          </w:tcPr>
          <w:p w:rsidR="002A21AE" w:rsidRDefault="002A21AE">
            <w:pPr>
              <w:pStyle w:val="TableTextBullet"/>
            </w:pPr>
            <w:r>
              <w:t>Displays the information entered.</w:t>
            </w:r>
          </w:p>
          <w:p w:rsidR="002A21AE" w:rsidRDefault="002A21AE">
            <w:pPr>
              <w:pStyle w:val="TableTextBullet"/>
            </w:pPr>
            <w:r>
              <w:t>Requests confirmation to update the database.</w:t>
            </w:r>
          </w:p>
          <w:p w:rsidR="002A21AE" w:rsidRDefault="002A21AE">
            <w:pPr>
              <w:pStyle w:val="TableTextBullet"/>
            </w:pPr>
            <w:r>
              <w:t>Updates the database or warns the user with no override for discrepancies.</w:t>
            </w:r>
          </w:p>
        </w:tc>
      </w:tr>
      <w:tr w:rsidR="002A21AE">
        <w:tblPrEx>
          <w:tblCellMar>
            <w:top w:w="0" w:type="dxa"/>
            <w:bottom w:w="0" w:type="dxa"/>
          </w:tblCellMar>
        </w:tblPrEx>
        <w:tc>
          <w:tcPr>
            <w:tcW w:w="3132" w:type="dxa"/>
            <w:tcBorders>
              <w:bottom w:val="single" w:sz="4" w:space="0" w:color="auto"/>
            </w:tcBorders>
          </w:tcPr>
          <w:p w:rsidR="002A21AE" w:rsidRDefault="002A21AE">
            <w:pPr>
              <w:pStyle w:val="TableTextNumbers"/>
            </w:pPr>
            <w:r>
              <w:t xml:space="preserve">Click </w:t>
            </w:r>
            <w:r>
              <w:rPr>
                <w:b/>
              </w:rPr>
              <w:t xml:space="preserve">OK </w:t>
            </w:r>
            <w:r>
              <w:t xml:space="preserve">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bottom w:val="single" w:sz="4" w:space="0" w:color="auto"/>
            </w:tcBorders>
          </w:tcPr>
          <w:p w:rsidR="002A21AE" w:rsidRDefault="002A21AE">
            <w:pPr>
              <w:pStyle w:val="NotesText"/>
            </w:pPr>
          </w:p>
        </w:tc>
      </w:tr>
    </w:tbl>
    <w:p w:rsidR="002A21AE" w:rsidRDefault="002A21AE">
      <w:pPr>
        <w:pStyle w:val="BodyText"/>
      </w:pPr>
    </w:p>
    <w:p w:rsidR="00FF1B65" w:rsidRDefault="00FF1B65" w:rsidP="00FF1B65">
      <w:pPr>
        <w:pStyle w:val="Caption"/>
      </w:pPr>
      <w:bookmarkStart w:id="200" w:name="_Toc63680389"/>
      <w:bookmarkStart w:id="201" w:name="_Ref126471445"/>
      <w:r>
        <w:lastRenderedPageBreak/>
        <w:t xml:space="preserve">Figure </w:t>
      </w:r>
      <w:r w:rsidR="00C17F7C">
        <w:fldChar w:fldCharType="begin"/>
      </w:r>
      <w:r w:rsidR="00C17F7C">
        <w:instrText xml:space="preserve"> SEQ Figure \* ARABIC </w:instrText>
      </w:r>
      <w:r w:rsidR="00C17F7C">
        <w:fldChar w:fldCharType="separate"/>
      </w:r>
      <w:r w:rsidR="005F38BC">
        <w:rPr>
          <w:noProof/>
        </w:rPr>
        <w:t>50</w:t>
      </w:r>
      <w:r w:rsidR="00C17F7C">
        <w:fldChar w:fldCharType="end"/>
      </w:r>
      <w:bookmarkEnd w:id="201"/>
      <w:r>
        <w:t>: Maintain Blood Products</w:t>
      </w:r>
    </w:p>
    <w:p w:rsidR="0066425F" w:rsidRDefault="00634BFC" w:rsidP="0066425F">
      <w:pPr>
        <w:pStyle w:val="BodyText"/>
      </w:pPr>
      <w:r>
        <w:rPr>
          <w:noProof/>
        </w:rPr>
        <w:drawing>
          <wp:inline distT="0" distB="0" distL="0" distR="0">
            <wp:extent cx="5343525" cy="308610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343525" cy="3086100"/>
                    </a:xfrm>
                    <a:prstGeom prst="rect">
                      <a:avLst/>
                    </a:prstGeom>
                    <a:noFill/>
                    <a:ln>
                      <a:noFill/>
                    </a:ln>
                  </pic:spPr>
                </pic:pic>
              </a:graphicData>
            </a:graphic>
          </wp:inline>
        </w:drawing>
      </w:r>
      <w:r w:rsidR="00FF1B65">
        <w:t xml:space="preserve"> </w:t>
      </w:r>
    </w:p>
    <w:p w:rsidR="002A21AE" w:rsidRDefault="003A2D61">
      <w:pPr>
        <w:pStyle w:val="Heading3"/>
      </w:pPr>
      <w:r>
        <w:br w:type="page"/>
      </w:r>
      <w:bookmarkStart w:id="202" w:name="_Toc459900093"/>
      <w:r w:rsidR="002A21AE">
        <w:lastRenderedPageBreak/>
        <w:t>Antibodies</w:t>
      </w:r>
      <w:bookmarkEnd w:id="200"/>
      <w:bookmarkEnd w:id="202"/>
      <w:r w:rsidR="002A21AE" w:rsidRPr="00AB67A6">
        <w:rPr>
          <w:rFonts w:ascii="Arial Bold" w:hAnsi="Arial Bold"/>
          <w:vanish/>
        </w:rPr>
        <w:fldChar w:fldCharType="begin"/>
      </w:r>
      <w:r w:rsidR="002A21AE" w:rsidRPr="00AB67A6">
        <w:rPr>
          <w:rFonts w:ascii="Arial Bold" w:hAnsi="Arial Bold"/>
          <w:vanish/>
        </w:rPr>
        <w:instrText xml:space="preserve"> XE </w:instrText>
      </w:r>
      <w:r w:rsidR="00FA7E65" w:rsidRPr="00AB67A6">
        <w:rPr>
          <w:rFonts w:ascii="Arial Bold" w:hAnsi="Arial Bold"/>
          <w:vanish/>
        </w:rPr>
        <w:instrText>“</w:instrText>
      </w:r>
      <w:r w:rsidR="002A21AE" w:rsidRPr="00AB67A6">
        <w:rPr>
          <w:rFonts w:ascii="Arial Bold" w:hAnsi="Arial Bold"/>
          <w:vanish/>
        </w:rPr>
        <w:instrText>Antibodies</w:instrText>
      </w:r>
      <w:r w:rsidR="00FA7E65" w:rsidRPr="00AB67A6">
        <w:rPr>
          <w:rFonts w:ascii="Arial Bold" w:hAnsi="Arial Bold"/>
          <w:vanish/>
        </w:rPr>
        <w:instrText>”</w:instrText>
      </w:r>
      <w:r w:rsidR="002A21AE" w:rsidRPr="00AB67A6">
        <w:rPr>
          <w:rFonts w:ascii="Arial Bold" w:hAnsi="Arial Bold"/>
          <w:vanish/>
        </w:rPr>
        <w:instrText xml:space="preserve"> </w:instrText>
      </w:r>
      <w:r w:rsidR="002A21AE" w:rsidRPr="00AB67A6">
        <w:rPr>
          <w:rFonts w:ascii="Arial Bold" w:hAnsi="Arial Bold"/>
          <w:vanish/>
        </w:rPr>
        <w:fldChar w:fldCharType="end"/>
      </w:r>
      <w:r w:rsidR="002A21AE" w:rsidRPr="00AB67A6">
        <w:rPr>
          <w:rFonts w:ascii="Arial Bold" w:hAnsi="Arial Bold"/>
          <w:vanish/>
        </w:rPr>
        <w:t xml:space="preserve"> UC_23</w:t>
      </w:r>
    </w:p>
    <w:p w:rsidR="002A21AE" w:rsidRDefault="002A21AE" w:rsidP="00FA7E65">
      <w:pPr>
        <w:pStyle w:val="BodyText"/>
      </w:pPr>
      <w:r>
        <w:t>The user edit</w:t>
      </w:r>
      <w:r w:rsidR="00657A5C">
        <w:t xml:space="preserve">s </w:t>
      </w:r>
      <w:r>
        <w:t>certain fields in the supplied antibody table.</w:t>
      </w:r>
    </w:p>
    <w:p w:rsidR="002A21AE" w:rsidRDefault="002A21AE">
      <w:pPr>
        <w:pStyle w:val="Heading4"/>
      </w:pPr>
      <w:r>
        <w:t xml:space="preserve">Assumptions </w:t>
      </w:r>
    </w:p>
    <w:p w:rsidR="002A21AE" w:rsidRDefault="002A21AE">
      <w:pPr>
        <w:pStyle w:val="ListBullet"/>
      </w:pPr>
      <w:r>
        <w:t>VBECS is configured to reflect antibody reference parameters. Only some of these parameters may be changed locally.</w:t>
      </w:r>
    </w:p>
    <w:p w:rsidR="002A21AE" w:rsidRDefault="002A21AE">
      <w:pPr>
        <w:pStyle w:val="ListBullet"/>
      </w:pPr>
      <w:r>
        <w:t>The default settings are enforced without user interaction.</w:t>
      </w:r>
    </w:p>
    <w:p w:rsidR="002A21AE" w:rsidRDefault="002A21AE">
      <w:pPr>
        <w:pStyle w:val="Heading4"/>
      </w:pPr>
      <w:r>
        <w:t>Outcome</w:t>
      </w:r>
    </w:p>
    <w:p w:rsidR="002A21AE" w:rsidRDefault="002A21AE">
      <w:pPr>
        <w:pStyle w:val="ListBullet"/>
      </w:pPr>
      <w:r>
        <w:t xml:space="preserve">Each division has a populated antibody table whether or not the user makes any edits. </w:t>
      </w:r>
    </w:p>
    <w:p w:rsidR="002A21AE" w:rsidRDefault="002A21AE">
      <w:pPr>
        <w:pStyle w:val="Heading4"/>
      </w:pPr>
      <w:r>
        <w:t>Limitations and Restrictions</w:t>
      </w:r>
    </w:p>
    <w:p w:rsidR="002A21AE" w:rsidRDefault="002A21AE">
      <w:pPr>
        <w:pStyle w:val="ListBullet"/>
      </w:pPr>
      <w:r>
        <w:t>None</w:t>
      </w:r>
    </w:p>
    <w:p w:rsidR="002A21AE" w:rsidRDefault="002A21AE">
      <w:pPr>
        <w:pStyle w:val="Heading4"/>
      </w:pPr>
      <w:r>
        <w:t>Additional Information</w:t>
      </w:r>
    </w:p>
    <w:p w:rsidR="002A21AE" w:rsidRDefault="002A21AE">
      <w:pPr>
        <w:pStyle w:val="ListBullet"/>
      </w:pPr>
      <w:r>
        <w:t xml:space="preserve">The </w:t>
      </w:r>
      <w:r w:rsidR="007F7AC7">
        <w:t>antibody table</w:t>
      </w:r>
      <w:r>
        <w:t xml:space="preserve"> define</w:t>
      </w:r>
      <w:r w:rsidR="005321B0">
        <w:t>s</w:t>
      </w:r>
      <w:r>
        <w:t xml:space="preserve"> an antigen negative requirement for all instances of the antibody for all patients in the division. When an antibody specificity does not generally require antigen negative blood but a patient has a unique appearance of that antibody </w:t>
      </w:r>
      <w:r w:rsidR="005321B0">
        <w:t xml:space="preserve">that </w:t>
      </w:r>
      <w:r>
        <w:t>require</w:t>
      </w:r>
      <w:r w:rsidR="004547A0">
        <w:t>s</w:t>
      </w:r>
      <w:r>
        <w:t xml:space="preserve"> antigen negative blood, the user may enter the antigen negative requirement for that patient in Special Instructions &amp; Transfusion Requirements: Enter a Transfusion Requirement.</w:t>
      </w:r>
    </w:p>
    <w:p w:rsidR="002A21AE" w:rsidRDefault="002A21AE">
      <w:pPr>
        <w:pStyle w:val="Heading4"/>
      </w:pPr>
      <w:r>
        <w:t>User Roles with Access to This Option</w:t>
      </w:r>
    </w:p>
    <w:p w:rsidR="002A21AE" w:rsidRDefault="00A91BAF">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rsidR="002A21AE" w:rsidRDefault="002A21AE">
      <w:pPr>
        <w:pStyle w:val="Heading4"/>
      </w:pPr>
      <w:r>
        <w:t>Antibodies</w:t>
      </w:r>
    </w:p>
    <w:p w:rsidR="002A21AE" w:rsidRDefault="002A21AE" w:rsidP="00FA7E65">
      <w:pPr>
        <w:pStyle w:val="BodyText"/>
      </w:pPr>
      <w:r>
        <w:t xml:space="preserve">The user chooses to edit the system-supplied blood antibody table. The Compatibility Percentage field is fully editable </w:t>
      </w:r>
      <w:r w:rsidR="00F276FF">
        <w:t xml:space="preserve">(except for ABO antibodies and anti-D) </w:t>
      </w:r>
      <w:r>
        <w:t>to allow facilities to reflect local populations. The user may edit only the Clinically Significant entries initially exported as “No.”</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pPr>
              <w:pStyle w:val="TableTextNumbers"/>
            </w:pPr>
            <w:r>
              <w:t xml:space="preserve">Select </w:t>
            </w:r>
            <w:r>
              <w:rPr>
                <w:b/>
              </w:rPr>
              <w:t>Tools</w:t>
            </w:r>
            <w:r>
              <w:t xml:space="preserve"> from the main menu. </w:t>
            </w:r>
          </w:p>
          <w:p w:rsidR="002A21AE" w:rsidRDefault="002A21AE">
            <w:pPr>
              <w:pStyle w:val="TableTextNumbersContinued"/>
            </w:pPr>
          </w:p>
          <w:p w:rsidR="002A21AE" w:rsidRDefault="002A21AE">
            <w:pPr>
              <w:pStyle w:val="TableTextNumbersContinued"/>
            </w:pPr>
            <w:r>
              <w:t xml:space="preserve">Select </w:t>
            </w:r>
            <w:r>
              <w:rPr>
                <w:b/>
              </w:rPr>
              <w:t>Antibodies</w:t>
            </w:r>
            <w:r>
              <w:t>.</w:t>
            </w:r>
          </w:p>
        </w:tc>
        <w:tc>
          <w:tcPr>
            <w:tcW w:w="6120" w:type="dxa"/>
          </w:tcPr>
          <w:p w:rsidR="002A21AE" w:rsidRDefault="002A21AE">
            <w:pPr>
              <w:pStyle w:val="TableTextBullet"/>
            </w:pPr>
            <w:r>
              <w:t>Displays options for processing administrative functions.</w:t>
            </w:r>
          </w:p>
          <w:p w:rsidR="002A21AE" w:rsidRDefault="002A21AE">
            <w:pPr>
              <w:pStyle w:val="TableTextBullet"/>
            </w:pPr>
            <w:r>
              <w:t>Lists available antibodies based on the system-supplied table.</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5532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53" name="Lin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0" o:spid="_x0000_s1026" style="position:absolute;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fEBFgIAAC0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DF&#10;zfEBFgIAAC0EAAAOAAAAAAAAAAAAAAAAAC4CAABkcnMvZTJvRG9jLnhtbFBLAQItABQABgAIAAAA&#10;IQAXTzAS2wAAAAgBAAAPAAAAAAAAAAAAAAAAAHAEAABkcnMvZG93bnJldi54bWxQSwUGAAAAAAQA&#10;BADzAAAAeAU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t xml:space="preserve">See </w:t>
            </w:r>
            <w:r w:rsidR="00543DAF">
              <w:fldChar w:fldCharType="begin"/>
            </w:r>
            <w:r w:rsidR="00543DAF">
              <w:instrText xml:space="preserve"> REF _Ref170004931 \h </w:instrText>
            </w:r>
            <w:r w:rsidR="00543DAF">
              <w:fldChar w:fldCharType="separate"/>
            </w:r>
            <w:r w:rsidR="005F38BC">
              <w:t xml:space="preserve">Appendix </w:t>
            </w:r>
            <w:r w:rsidR="005F38BC">
              <w:rPr>
                <w:noProof/>
              </w:rPr>
              <w:t>B</w:t>
            </w:r>
            <w:r w:rsidR="00543DAF">
              <w:fldChar w:fldCharType="end"/>
            </w:r>
            <w:r>
              <w:t xml:space="preserve">: </w:t>
            </w:r>
            <w:r w:rsidR="00DA05C9">
              <w:fldChar w:fldCharType="begin"/>
            </w:r>
            <w:r w:rsidR="00DA05C9">
              <w:instrText xml:space="preserve"> REF _Ref126484449 \h </w:instrText>
            </w:r>
            <w:r w:rsidR="00DA05C9">
              <w:fldChar w:fldCharType="separate"/>
            </w:r>
            <w:r w:rsidR="005F38BC">
              <w:t xml:space="preserve">Table </w:t>
            </w:r>
            <w:r w:rsidR="005F38BC">
              <w:rPr>
                <w:noProof/>
              </w:rPr>
              <w:t>14</w:t>
            </w:r>
            <w:r w:rsidR="005F38BC">
              <w:t xml:space="preserve">: </w:t>
            </w:r>
            <w:r w:rsidR="005F38BC">
              <w:rPr>
                <w:vanish/>
              </w:rPr>
              <w:t xml:space="preserve">TT_23.01A </w:t>
            </w:r>
            <w:r w:rsidR="005F38BC">
              <w:t>Antibody and Antigen Table: Irregular Antibodies</w:t>
            </w:r>
            <w:r w:rsidR="00DA05C9">
              <w:fldChar w:fldCharType="end"/>
            </w:r>
            <w:r>
              <w:t>.</w:t>
            </w:r>
          </w:p>
          <w:p w:rsidR="002A21AE" w:rsidRDefault="002A21AE">
            <w:pPr>
              <w:pStyle w:val="NotesText"/>
            </w:pPr>
          </w:p>
          <w:p w:rsidR="002A21AE" w:rsidRDefault="002A21AE">
            <w:pPr>
              <w:pStyle w:val="NotesText"/>
            </w:pPr>
            <w:r w:rsidRPr="009660C3">
              <w:rPr>
                <w:vanish/>
                <w:szCs w:val="18"/>
              </w:rPr>
              <w:t xml:space="preserve">BR_31.07 </w:t>
            </w:r>
            <w:r>
              <w:t>The table’s presentation order is predefined at implementation and may not be sorted.</w:t>
            </w:r>
          </w:p>
        </w:tc>
      </w:tr>
      <w:tr w:rsidR="002A21AE">
        <w:tblPrEx>
          <w:tblCellMar>
            <w:top w:w="0" w:type="dxa"/>
            <w:bottom w:w="0" w:type="dxa"/>
          </w:tblCellMar>
        </w:tblPrEx>
        <w:tc>
          <w:tcPr>
            <w:tcW w:w="3240" w:type="dxa"/>
          </w:tcPr>
          <w:p w:rsidR="002A21AE" w:rsidRDefault="002A21AE">
            <w:pPr>
              <w:pStyle w:val="TableTextNumbers"/>
            </w:pPr>
            <w:r>
              <w:t xml:space="preserve">Select the antibody, edit each field, and click </w:t>
            </w:r>
            <w:r>
              <w:rPr>
                <w:b/>
              </w:rPr>
              <w:t>Update</w:t>
            </w:r>
            <w:r w:rsidR="006E74F2" w:rsidRPr="006E74F2">
              <w:t xml:space="preserve"> </w:t>
            </w:r>
            <w:r w:rsidR="006E74F2">
              <w:t>(</w:t>
            </w:r>
            <w:r w:rsidR="006E74F2">
              <w:fldChar w:fldCharType="begin"/>
            </w:r>
            <w:r w:rsidR="006E74F2">
              <w:instrText xml:space="preserve"> REF _Ref126471658 \h </w:instrText>
            </w:r>
            <w:r w:rsidR="006E74F2">
              <w:fldChar w:fldCharType="separate"/>
            </w:r>
            <w:r w:rsidR="005F38BC">
              <w:t xml:space="preserve">Figure </w:t>
            </w:r>
            <w:r w:rsidR="005F38BC">
              <w:rPr>
                <w:noProof/>
              </w:rPr>
              <w:t>51</w:t>
            </w:r>
            <w:r w:rsidR="006E74F2">
              <w:fldChar w:fldCharType="end"/>
            </w:r>
            <w:r w:rsidR="006E74F2">
              <w:t>)</w:t>
            </w:r>
            <w:r w:rsidRPr="00B65BA7">
              <w:t xml:space="preserve">. </w:t>
            </w:r>
          </w:p>
        </w:tc>
        <w:tc>
          <w:tcPr>
            <w:tcW w:w="6120" w:type="dxa"/>
          </w:tcPr>
          <w:p w:rsidR="002A21AE" w:rsidRDefault="002A21AE">
            <w:pPr>
              <w:pStyle w:val="TableTextBullet"/>
            </w:pPr>
            <w:r>
              <w:t>Displays data and allows the user to edit them.</w:t>
            </w:r>
          </w:p>
          <w:p w:rsidR="002A21AE" w:rsidRDefault="002A21AE" w:rsidP="005321B0">
            <w:pPr>
              <w:pStyle w:val="TableTextBullet"/>
            </w:pPr>
            <w:r>
              <w:t>Accommodates data entry</w:t>
            </w:r>
            <w:r w:rsidR="00D037D5">
              <w:t xml:space="preserve"> of whole numbers</w:t>
            </w:r>
            <w:r w:rsidR="005321B0">
              <w:t xml:space="preserve"> </w:t>
            </w:r>
            <w:r w:rsidR="000F2235">
              <w:t xml:space="preserve">(0–100) </w:t>
            </w:r>
            <w:r w:rsidR="005321B0">
              <w:t xml:space="preserve">and </w:t>
            </w:r>
            <w:r>
              <w:t>edit of the</w:t>
            </w:r>
            <w:r w:rsidR="005321B0">
              <w:t xml:space="preserve"> </w:t>
            </w:r>
            <w:r w:rsidR="000F2235">
              <w:t xml:space="preserve">Antigen Negative </w:t>
            </w:r>
            <w:r w:rsidR="005321B0">
              <w:t>C</w:t>
            </w:r>
            <w:r>
              <w:t xml:space="preserve">ompatibility </w:t>
            </w:r>
            <w:r w:rsidR="005321B0">
              <w:t>P</w:t>
            </w:r>
            <w:r>
              <w:t xml:space="preserve">ercentage </w:t>
            </w:r>
            <w:r w:rsidR="005321B0">
              <w:t xml:space="preserve">and </w:t>
            </w:r>
            <w:r w:rsidR="00435F15">
              <w:t>Higher-Level O</w:t>
            </w:r>
            <w:r>
              <w:t xml:space="preserve">verride </w:t>
            </w:r>
            <w:r w:rsidR="005321B0">
              <w:t>fields.</w:t>
            </w:r>
            <w:r w:rsidR="00EE3F5F">
              <w:t xml:space="preserve"> The user may not edit field</w:t>
            </w:r>
            <w:r w:rsidR="009363FF">
              <w:t>s</w:t>
            </w:r>
            <w:r w:rsidR="00EE3F5F">
              <w:t xml:space="preserve"> </w:t>
            </w:r>
            <w:r w:rsidR="007A3914">
              <w:t xml:space="preserve">displayed </w:t>
            </w:r>
            <w:r w:rsidR="00EE3F5F">
              <w:t>on a gray background.</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5430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52" name="Line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9" o:spid="_x0000_s1026" style="position:absolute;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1f0FQ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C0n&#10;V/Q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BR_23.01 </w:t>
            </w:r>
            <w:r>
              <w:t xml:space="preserve">When </w:t>
            </w:r>
            <w:r w:rsidR="00DA05C9">
              <w:fldChar w:fldCharType="begin"/>
            </w:r>
            <w:r w:rsidR="00DA05C9">
              <w:instrText xml:space="preserve"> REF _Ref126484449 \h </w:instrText>
            </w:r>
            <w:r w:rsidR="00DA05C9">
              <w:fldChar w:fldCharType="separate"/>
            </w:r>
            <w:r w:rsidR="005F38BC">
              <w:t xml:space="preserve">Table </w:t>
            </w:r>
            <w:r w:rsidR="005F38BC">
              <w:rPr>
                <w:noProof/>
              </w:rPr>
              <w:t>14</w:t>
            </w:r>
            <w:r w:rsidR="005F38BC">
              <w:t xml:space="preserve">: </w:t>
            </w:r>
            <w:r w:rsidR="005F38BC">
              <w:rPr>
                <w:vanish/>
              </w:rPr>
              <w:t xml:space="preserve">TT_23.01A </w:t>
            </w:r>
            <w:r w:rsidR="005F38BC">
              <w:t>Antibody and Antigen Table: Irregular Antibodies</w:t>
            </w:r>
            <w:r w:rsidR="00DA05C9">
              <w:fldChar w:fldCharType="end"/>
            </w:r>
            <w:r>
              <w:t xml:space="preserve"> “antibody sets an antigen negative requirement” field is defined as REQ (required) at installation, it is not editable. </w:t>
            </w:r>
            <w:r>
              <w:lastRenderedPageBreak/>
              <w:t xml:space="preserve">When the default settings is OPT (optional), the user may change the name to REQ at any time and it will remain editable. </w:t>
            </w:r>
          </w:p>
        </w:tc>
      </w:tr>
      <w:tr w:rsidR="002A21AE">
        <w:tblPrEx>
          <w:tblCellMar>
            <w:top w:w="0" w:type="dxa"/>
            <w:bottom w:w="0" w:type="dxa"/>
          </w:tblCellMar>
        </w:tblPrEx>
        <w:tc>
          <w:tcPr>
            <w:tcW w:w="3240" w:type="dxa"/>
          </w:tcPr>
          <w:p w:rsidR="002A21AE" w:rsidRDefault="002A21AE">
            <w:pPr>
              <w:pStyle w:val="TableTextNumbers"/>
            </w:pPr>
            <w:r>
              <w:lastRenderedPageBreak/>
              <w:t xml:space="preserve">Repeat for each antibody to be edited. </w:t>
            </w:r>
          </w:p>
        </w:tc>
        <w:tc>
          <w:tcPr>
            <w:tcW w:w="6120" w:type="dxa"/>
          </w:tcPr>
          <w:p w:rsidR="002A21AE" w:rsidRDefault="002A21AE">
            <w:pPr>
              <w:pStyle w:val="TableText"/>
            </w:pPr>
          </w:p>
        </w:tc>
      </w:tr>
      <w:tr w:rsidR="002A21AE">
        <w:tblPrEx>
          <w:tblCellMar>
            <w:top w:w="0" w:type="dxa"/>
            <w:bottom w:w="0" w:type="dxa"/>
          </w:tblCellMar>
        </w:tblPrEx>
        <w:tc>
          <w:tcPr>
            <w:tcW w:w="3240" w:type="dxa"/>
          </w:tcPr>
          <w:p w:rsidR="002A21AE" w:rsidRDefault="002A21AE">
            <w:pPr>
              <w:pStyle w:val="TableTextNumbers"/>
            </w:pPr>
            <w:r>
              <w:t xml:space="preserve">Click </w:t>
            </w:r>
            <w:r>
              <w:rPr>
                <w:b/>
              </w:rPr>
              <w:t>OK</w:t>
            </w:r>
            <w:r>
              <w:t xml:space="preserve"> and </w:t>
            </w:r>
            <w:r>
              <w:rPr>
                <w:b/>
              </w:rPr>
              <w:t>Yes</w:t>
            </w:r>
            <w:r>
              <w:t xml:space="preserve"> to confirm changes and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rsidR="002A21AE" w:rsidRDefault="002A21AE">
            <w:pPr>
              <w:pStyle w:val="TableText"/>
            </w:pPr>
          </w:p>
        </w:tc>
      </w:tr>
    </w:tbl>
    <w:p w:rsidR="006E74F2" w:rsidRDefault="006E74F2" w:rsidP="006E74F2">
      <w:pPr>
        <w:pStyle w:val="Caption"/>
      </w:pPr>
      <w:bookmarkStart w:id="203" w:name="_Ref126471658"/>
      <w:r>
        <w:t xml:space="preserve">Figure </w:t>
      </w:r>
      <w:r w:rsidR="00C17F7C">
        <w:fldChar w:fldCharType="begin"/>
      </w:r>
      <w:r w:rsidR="00C17F7C">
        <w:instrText xml:space="preserve"> SEQ Figure \* ARABIC </w:instrText>
      </w:r>
      <w:r w:rsidR="00C17F7C">
        <w:fldChar w:fldCharType="separate"/>
      </w:r>
      <w:r w:rsidR="005F38BC">
        <w:rPr>
          <w:noProof/>
        </w:rPr>
        <w:t>51</w:t>
      </w:r>
      <w:r w:rsidR="00C17F7C">
        <w:fldChar w:fldCharType="end"/>
      </w:r>
      <w:bookmarkEnd w:id="203"/>
      <w:r>
        <w:t>: Maintain Antibodies</w:t>
      </w:r>
    </w:p>
    <w:p w:rsidR="002A21AE" w:rsidRDefault="00634BFC">
      <w:pPr>
        <w:pStyle w:val="BodyText"/>
      </w:pPr>
      <w:r>
        <w:rPr>
          <w:noProof/>
        </w:rPr>
        <w:drawing>
          <wp:inline distT="0" distB="0" distL="0" distR="0">
            <wp:extent cx="3543300" cy="28384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543300" cy="2838450"/>
                    </a:xfrm>
                    <a:prstGeom prst="rect">
                      <a:avLst/>
                    </a:prstGeom>
                    <a:noFill/>
                    <a:ln>
                      <a:noFill/>
                    </a:ln>
                  </pic:spPr>
                </pic:pic>
              </a:graphicData>
            </a:graphic>
          </wp:inline>
        </w:drawing>
      </w:r>
    </w:p>
    <w:p w:rsidR="002A21AE" w:rsidRDefault="00AF089A">
      <w:pPr>
        <w:pStyle w:val="Heading3"/>
      </w:pPr>
      <w:bookmarkStart w:id="204" w:name="_Toc63680390"/>
      <w:r>
        <w:br w:type="page"/>
      </w:r>
      <w:bookmarkStart w:id="205" w:name="_Toc459900094"/>
      <w:r w:rsidR="002A21AE">
        <w:lastRenderedPageBreak/>
        <w:t>Canned Comments</w:t>
      </w:r>
      <w:bookmarkEnd w:id="204"/>
      <w:bookmarkEnd w:id="205"/>
      <w:r w:rsidR="002A21AE" w:rsidRPr="00AB67A6">
        <w:rPr>
          <w:rFonts w:ascii="Arial Bold" w:hAnsi="Arial Bold"/>
          <w:vanish/>
        </w:rPr>
        <w:fldChar w:fldCharType="begin"/>
      </w:r>
      <w:r w:rsidR="002A21AE" w:rsidRPr="00AB67A6">
        <w:rPr>
          <w:rFonts w:ascii="Arial Bold" w:hAnsi="Arial Bold"/>
          <w:vanish/>
        </w:rPr>
        <w:instrText xml:space="preserve"> XE </w:instrText>
      </w:r>
      <w:r w:rsidR="00FA7E65" w:rsidRPr="00AB67A6">
        <w:rPr>
          <w:rFonts w:ascii="Arial Bold" w:hAnsi="Arial Bold"/>
          <w:vanish/>
        </w:rPr>
        <w:instrText>“</w:instrText>
      </w:r>
      <w:r w:rsidR="002A21AE" w:rsidRPr="00AB67A6">
        <w:rPr>
          <w:rFonts w:ascii="Arial Bold" w:hAnsi="Arial Bold"/>
          <w:vanish/>
        </w:rPr>
        <w:instrText>Canned Comments</w:instrText>
      </w:r>
      <w:r w:rsidR="00FA7E65" w:rsidRPr="00AB67A6">
        <w:rPr>
          <w:rFonts w:ascii="Arial Bold" w:hAnsi="Arial Bold"/>
          <w:vanish/>
        </w:rPr>
        <w:instrText>”</w:instrText>
      </w:r>
      <w:r w:rsidR="002A21AE" w:rsidRPr="00AB67A6">
        <w:rPr>
          <w:rFonts w:ascii="Arial Bold" w:hAnsi="Arial Bold"/>
          <w:vanish/>
        </w:rPr>
        <w:instrText xml:space="preserve"> </w:instrText>
      </w:r>
      <w:r w:rsidR="002A21AE" w:rsidRPr="00AB67A6">
        <w:rPr>
          <w:rFonts w:ascii="Arial Bold" w:hAnsi="Arial Bold"/>
          <w:vanish/>
        </w:rPr>
        <w:fldChar w:fldCharType="end"/>
      </w:r>
      <w:r w:rsidR="002A21AE" w:rsidRPr="00AB67A6">
        <w:rPr>
          <w:rFonts w:ascii="Arial Bold" w:hAnsi="Arial Bold"/>
          <w:vanish/>
        </w:rPr>
        <w:t xml:space="preserve"> UC_31</w:t>
      </w:r>
    </w:p>
    <w:p w:rsidR="002A21AE" w:rsidRDefault="002A21AE" w:rsidP="00FA7E65">
      <w:pPr>
        <w:pStyle w:val="BodyText"/>
      </w:pPr>
      <w:r>
        <w:t>The user defines canned comments for a division.</w:t>
      </w:r>
    </w:p>
    <w:p w:rsidR="002A21AE" w:rsidRDefault="002A21AE">
      <w:pPr>
        <w:pStyle w:val="Heading4"/>
      </w:pPr>
      <w:r>
        <w:t>Assumptions</w:t>
      </w:r>
    </w:p>
    <w:p w:rsidR="002A21AE" w:rsidRDefault="002A21AE">
      <w:pPr>
        <w:pStyle w:val="ListBullet"/>
      </w:pPr>
      <w:r>
        <w:t>None</w:t>
      </w:r>
    </w:p>
    <w:p w:rsidR="002A21AE" w:rsidRDefault="002A21AE">
      <w:pPr>
        <w:pStyle w:val="Heading4"/>
      </w:pPr>
      <w:r>
        <w:t>Outcome</w:t>
      </w:r>
    </w:p>
    <w:p w:rsidR="002A21AE" w:rsidRDefault="002A21AE">
      <w:pPr>
        <w:pStyle w:val="ListBullet"/>
      </w:pPr>
      <w:r>
        <w:t>Canned comments for a division are available for selection.</w:t>
      </w:r>
    </w:p>
    <w:p w:rsidR="002A21AE" w:rsidRDefault="002A21AE">
      <w:pPr>
        <w:pStyle w:val="Heading4"/>
      </w:pPr>
      <w:r>
        <w:t>Limitations and Restrictions</w:t>
      </w:r>
    </w:p>
    <w:p w:rsidR="002F3BCC" w:rsidRDefault="002A21AE" w:rsidP="00390FB2">
      <w:pPr>
        <w:pStyle w:val="ListBullet"/>
      </w:pPr>
      <w:r>
        <w:t>The user may not edit comments</w:t>
      </w:r>
      <w:r w:rsidR="00E47F66">
        <w:t xml:space="preserve"> provided with VBECS </w:t>
      </w:r>
      <w:r>
        <w:t xml:space="preserve">but may create </w:t>
      </w:r>
      <w:r w:rsidR="00B97198">
        <w:t>additional comments</w:t>
      </w:r>
      <w:r>
        <w:t>.</w:t>
      </w:r>
    </w:p>
    <w:p w:rsidR="002C6BD1" w:rsidRDefault="002C6BD1" w:rsidP="002C6BD1">
      <w:pPr>
        <w:pStyle w:val="ListBullet"/>
      </w:pPr>
      <w:r>
        <w:t>Site personnel must enter comments in accordance with local policy and procedures.</w:t>
      </w:r>
    </w:p>
    <w:p w:rsidR="002A21AE" w:rsidRDefault="002A21AE">
      <w:pPr>
        <w:pStyle w:val="Heading4"/>
      </w:pPr>
      <w:r>
        <w:t>Additional Information</w:t>
      </w:r>
    </w:p>
    <w:p w:rsidR="002A21AE" w:rsidRDefault="002A21AE">
      <w:pPr>
        <w:pStyle w:val="ListBullet"/>
      </w:pPr>
      <w:r>
        <w:rPr>
          <w:rFonts w:ascii="Arial" w:hAnsi="Arial" w:cs="Arial"/>
          <w:vanish/>
          <w:spacing w:val="0"/>
          <w:sz w:val="18"/>
        </w:rPr>
        <w:t xml:space="preserve">BR_31.01 </w:t>
      </w:r>
      <w:r>
        <w:t xml:space="preserve">Canned comments are specific to each division. See </w:t>
      </w:r>
      <w:r w:rsidR="00543DAF">
        <w:fldChar w:fldCharType="begin"/>
      </w:r>
      <w:r w:rsidR="00543DAF">
        <w:instrText xml:space="preserve"> REF _Ref170004931 \h </w:instrText>
      </w:r>
      <w:r w:rsidR="00543DAF">
        <w:fldChar w:fldCharType="separate"/>
      </w:r>
      <w:r w:rsidR="005F38BC">
        <w:t xml:space="preserve">Appendix </w:t>
      </w:r>
      <w:r w:rsidR="005F38BC">
        <w:rPr>
          <w:noProof/>
        </w:rPr>
        <w:t>B</w:t>
      </w:r>
      <w:r w:rsidR="00543DAF">
        <w:fldChar w:fldCharType="end"/>
      </w:r>
      <w:r>
        <w:t xml:space="preserve">: </w:t>
      </w:r>
      <w:r w:rsidR="00DA05C9">
        <w:fldChar w:fldCharType="begin"/>
      </w:r>
      <w:r w:rsidR="00DA05C9">
        <w:instrText xml:space="preserve"> REF _Ref126484498 \h </w:instrText>
      </w:r>
      <w:r w:rsidR="00DA05C9">
        <w:fldChar w:fldCharType="separate"/>
      </w:r>
      <w:r w:rsidR="005F38BC">
        <w:t xml:space="preserve">Table </w:t>
      </w:r>
      <w:r w:rsidR="005F38BC">
        <w:rPr>
          <w:noProof/>
        </w:rPr>
        <w:t>17</w:t>
      </w:r>
      <w:r w:rsidR="005F38BC">
        <w:t xml:space="preserve">: </w:t>
      </w:r>
      <w:r w:rsidR="005F38BC">
        <w:rPr>
          <w:vanish/>
        </w:rPr>
        <w:t xml:space="preserve">PT_31.01 </w:t>
      </w:r>
      <w:r w:rsidR="005F38BC">
        <w:t>Canned Comment Category Types and Text</w:t>
      </w:r>
      <w:r w:rsidR="00DA05C9">
        <w:fldChar w:fldCharType="end"/>
      </w:r>
      <w:r w:rsidR="00DA05C9">
        <w:t xml:space="preserve"> </w:t>
      </w:r>
      <w:r>
        <w:t>defines the category types and comments.</w:t>
      </w:r>
    </w:p>
    <w:p w:rsidR="002A21AE" w:rsidRDefault="002A21AE">
      <w:pPr>
        <w:pStyle w:val="Heading4"/>
      </w:pPr>
      <w:r>
        <w:t>User Roles with Access to This Option</w:t>
      </w:r>
    </w:p>
    <w:p w:rsidR="002A21AE" w:rsidRDefault="00785DA1">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rsidR="002A21AE" w:rsidRDefault="002A21AE">
      <w:pPr>
        <w:pStyle w:val="Heading4"/>
      </w:pPr>
      <w:r>
        <w:t>Canned Comments</w:t>
      </w:r>
    </w:p>
    <w:p w:rsidR="00434F15" w:rsidRPr="00A0090C" w:rsidRDefault="00434F15" w:rsidP="00434F15">
      <w:pPr>
        <w:pStyle w:val="BodyText"/>
      </w:pPr>
      <w:r>
        <w:t xml:space="preserve">It is recommended that the user </w:t>
      </w:r>
      <w:r w:rsidRPr="00A0090C">
        <w:t xml:space="preserve">review the canned comments </w:t>
      </w:r>
      <w:r w:rsidR="0011459B">
        <w:t xml:space="preserve">provided with VBECS </w:t>
      </w:r>
      <w:r w:rsidRPr="00A0090C">
        <w:t xml:space="preserve">for each </w:t>
      </w:r>
      <w:r>
        <w:t>category type</w:t>
      </w:r>
      <w:r w:rsidRPr="00A0090C">
        <w:t xml:space="preserve"> and inactivate those that </w:t>
      </w:r>
      <w:r>
        <w:t>will not be used</w:t>
      </w:r>
      <w:r w:rsidRPr="00A0090C">
        <w:t>.</w:t>
      </w:r>
      <w:r w:rsidR="0011459B">
        <w:t xml:space="preserve"> </w:t>
      </w:r>
    </w:p>
    <w:p w:rsidR="002A21AE" w:rsidRDefault="002A21AE" w:rsidP="00FA7E65">
      <w:pPr>
        <w:pStyle w:val="BodyText"/>
      </w:pPr>
      <w:r>
        <w:t xml:space="preserve">The user creates canned comments to use in lieu of entering text. Canned comments are restricted for selection based on the </w:t>
      </w:r>
      <w:r w:rsidR="0036471F">
        <w:t>category type</w:t>
      </w:r>
      <w:r>
        <w:t xml:space="preserve"> of the comment field. </w:t>
      </w:r>
    </w:p>
    <w:p w:rsidR="002A21AE" w:rsidRDefault="002A21AE" w:rsidP="00FA7E65">
      <w:pPr>
        <w:pStyle w:val="BodyText"/>
      </w:pPr>
      <w:r>
        <w:t>The user may select a comment and has the option to enter explanatory text in the details field.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tblHeader/>
        </w:trPr>
        <w:tc>
          <w:tcPr>
            <w:tcW w:w="3240" w:type="dxa"/>
            <w:shd w:val="pct30" w:color="auto" w:fill="FFFFFF"/>
            <w:vAlign w:val="bottom"/>
          </w:tcPr>
          <w:p w:rsidR="002A21AE" w:rsidRDefault="002A21AE">
            <w:pPr>
              <w:pStyle w:val="TableText"/>
              <w:rPr>
                <w:b/>
              </w:rPr>
            </w:pPr>
            <w:bookmarkStart w:id="206" w:name="_Toc63680392"/>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pPr>
              <w:pStyle w:val="TableTextNumbers"/>
            </w:pPr>
            <w:r>
              <w:t xml:space="preserve">Select </w:t>
            </w:r>
            <w:r>
              <w:rPr>
                <w:b/>
              </w:rPr>
              <w:t>Tools</w:t>
            </w:r>
            <w:r>
              <w:t xml:space="preserve"> from the main menu.</w:t>
            </w:r>
          </w:p>
          <w:p w:rsidR="002A21AE" w:rsidRDefault="002A21AE">
            <w:pPr>
              <w:pStyle w:val="TableTextNumbersContinued"/>
            </w:pPr>
          </w:p>
          <w:p w:rsidR="002A21AE" w:rsidRDefault="002A21AE">
            <w:pPr>
              <w:pStyle w:val="TableTextNumbersContinued"/>
            </w:pPr>
            <w:r>
              <w:t xml:space="preserve">Select </w:t>
            </w:r>
            <w:r>
              <w:rPr>
                <w:b/>
              </w:rPr>
              <w:t>Canned Comments</w:t>
            </w:r>
            <w:r>
              <w:t>.</w:t>
            </w:r>
          </w:p>
        </w:tc>
        <w:tc>
          <w:tcPr>
            <w:tcW w:w="6120" w:type="dxa"/>
          </w:tcPr>
          <w:p w:rsidR="002A21AE" w:rsidRDefault="002A21AE">
            <w:pPr>
              <w:pStyle w:val="TableTextBullet"/>
            </w:pPr>
            <w:r>
              <w:t>Displays options for processing administrative functions.</w:t>
            </w:r>
          </w:p>
        </w:tc>
      </w:tr>
      <w:tr w:rsidR="002A21AE">
        <w:tblPrEx>
          <w:tblCellMar>
            <w:top w:w="0" w:type="dxa"/>
            <w:bottom w:w="0" w:type="dxa"/>
          </w:tblCellMar>
        </w:tblPrEx>
        <w:tc>
          <w:tcPr>
            <w:tcW w:w="3240" w:type="dxa"/>
          </w:tcPr>
          <w:p w:rsidR="002A21AE" w:rsidRDefault="002A21AE">
            <w:pPr>
              <w:pStyle w:val="TableTextNumbers"/>
            </w:pPr>
            <w:r>
              <w:t>Select a comment category type from the drop-down list</w:t>
            </w:r>
            <w:r w:rsidR="00A9458F">
              <w:t xml:space="preserve"> (</w:t>
            </w:r>
            <w:r w:rsidR="00A9458F">
              <w:fldChar w:fldCharType="begin"/>
            </w:r>
            <w:r w:rsidR="00A9458F">
              <w:instrText xml:space="preserve"> REF _Ref126471989 \h </w:instrText>
            </w:r>
            <w:r w:rsidR="00A9458F">
              <w:fldChar w:fldCharType="separate"/>
            </w:r>
            <w:r w:rsidR="005F38BC">
              <w:t xml:space="preserve">Figure </w:t>
            </w:r>
            <w:r w:rsidR="005F38BC">
              <w:rPr>
                <w:noProof/>
              </w:rPr>
              <w:t>52</w:t>
            </w:r>
            <w:r w:rsidR="00A9458F">
              <w:fldChar w:fldCharType="end"/>
            </w:r>
            <w:r w:rsidR="00A9458F">
              <w:t>)</w:t>
            </w:r>
            <w:r>
              <w:t>.</w:t>
            </w:r>
          </w:p>
        </w:tc>
        <w:tc>
          <w:tcPr>
            <w:tcW w:w="6120" w:type="dxa"/>
          </w:tcPr>
          <w:p w:rsidR="002A21AE" w:rsidRDefault="002A21AE">
            <w:pPr>
              <w:pStyle w:val="TableTextBullet"/>
            </w:pPr>
            <w:r>
              <w:t>Lists the category types for canned comments.</w:t>
            </w:r>
          </w:p>
          <w:p w:rsidR="002A21AE" w:rsidRDefault="002A21AE">
            <w:pPr>
              <w:pStyle w:val="TableTextBullet"/>
            </w:pPr>
            <w:r>
              <w:t>Allows the user to create a comment or inactivate an existing one.</w:t>
            </w:r>
          </w:p>
        </w:tc>
      </w:tr>
      <w:tr w:rsidR="002A21AE">
        <w:tblPrEx>
          <w:tblCellMar>
            <w:top w:w="0" w:type="dxa"/>
            <w:bottom w:w="0" w:type="dxa"/>
          </w:tblCellMar>
        </w:tblPrEx>
        <w:tc>
          <w:tcPr>
            <w:tcW w:w="3240" w:type="dxa"/>
          </w:tcPr>
          <w:p w:rsidR="002A21AE" w:rsidRDefault="002A21AE">
            <w:pPr>
              <w:pStyle w:val="TableTextNumbers"/>
            </w:pPr>
            <w:r>
              <w:t xml:space="preserve">Enter text in the Comment field and click </w:t>
            </w:r>
            <w:r>
              <w:rPr>
                <w:b/>
              </w:rPr>
              <w:t>Add</w:t>
            </w:r>
            <w:r>
              <w:t xml:space="preserve"> to add a comment.</w:t>
            </w:r>
          </w:p>
          <w:p w:rsidR="002A21AE" w:rsidRDefault="002A21AE">
            <w:pPr>
              <w:pStyle w:val="TableTextNumbersContinued"/>
            </w:pPr>
          </w:p>
          <w:p w:rsidR="002A21AE" w:rsidRDefault="002A21AE">
            <w:pPr>
              <w:pStyle w:val="TableTextNumbersContinued"/>
            </w:pPr>
            <w:r>
              <w:t>Click one or more check boxes to inactivate existing comments.</w:t>
            </w:r>
          </w:p>
        </w:tc>
        <w:tc>
          <w:tcPr>
            <w:tcW w:w="6120" w:type="dxa"/>
          </w:tcPr>
          <w:p w:rsidR="002A21AE" w:rsidRDefault="002A21AE">
            <w:pPr>
              <w:pStyle w:val="TableTextBullet"/>
            </w:pPr>
            <w:r>
              <w:t>Displays entered data and allows the user to edit them before saving.</w:t>
            </w:r>
          </w:p>
          <w:p w:rsidR="000144A0" w:rsidRDefault="000144A0" w:rsidP="000144A0">
            <w:pPr>
              <w:pStyle w:val="TableText"/>
            </w:pPr>
          </w:p>
          <w:p w:rsidR="000144A0" w:rsidRDefault="00634BFC" w:rsidP="000144A0">
            <w:pPr>
              <w:pStyle w:val="TableText"/>
              <w:rPr>
                <w:b/>
                <w:bCs/>
                <w:szCs w:val="18"/>
              </w:rPr>
            </w:pPr>
            <w:r>
              <w:rPr>
                <w:b/>
                <w:bCs/>
                <w:noProof/>
              </w:rPr>
              <mc:AlternateContent>
                <mc:Choice Requires="wps">
                  <w:drawing>
                    <wp:anchor distT="0" distB="0" distL="114300" distR="114300" simplePos="0" relativeHeight="25176115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51" name="Line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1" o:spid="_x0000_s1026" style="position:absolute;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X3KFwIAAC4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" strokeweight="1.5pt"/>
                  </w:pict>
                </mc:Fallback>
              </mc:AlternateContent>
            </w:r>
            <w:r w:rsidR="000144A0">
              <w:rPr>
                <w:b/>
                <w:bCs/>
                <w:szCs w:val="18"/>
              </w:rPr>
              <w:t>NOTES</w:t>
            </w:r>
          </w:p>
          <w:p w:rsidR="000144A0" w:rsidRDefault="000144A0" w:rsidP="000144A0">
            <w:pPr>
              <w:pStyle w:val="NotesText"/>
            </w:pPr>
          </w:p>
          <w:p w:rsidR="002A21AE" w:rsidRDefault="002A21AE">
            <w:pPr>
              <w:pStyle w:val="NotesText"/>
            </w:pPr>
            <w:r>
              <w:rPr>
                <w:vanish/>
                <w:szCs w:val="18"/>
              </w:rPr>
              <w:t xml:space="preserve">BR_31.03, BR_31.04, BR_31.06, BR_31.05, BR_31.02 </w:t>
            </w:r>
            <w:r>
              <w:t>A user may:</w:t>
            </w:r>
          </w:p>
          <w:p w:rsidR="002A21AE" w:rsidRDefault="002A21AE">
            <w:pPr>
              <w:pStyle w:val="NotesTextBullet"/>
            </w:pPr>
            <w:r>
              <w:t>Add canned comments.</w:t>
            </w:r>
          </w:p>
          <w:p w:rsidR="002A21AE" w:rsidRDefault="002A21AE">
            <w:pPr>
              <w:pStyle w:val="NotesTextBullet"/>
            </w:pPr>
            <w:r>
              <w:t>Inactivate canned comments.</w:t>
            </w:r>
          </w:p>
          <w:p w:rsidR="002A21AE" w:rsidRDefault="002A21AE">
            <w:pPr>
              <w:pStyle w:val="NotesTextBullet"/>
            </w:pPr>
            <w:r>
              <w:t>Reactivate inactive comments.</w:t>
            </w:r>
          </w:p>
          <w:p w:rsidR="002A21AE" w:rsidRDefault="002A21AE">
            <w:pPr>
              <w:pStyle w:val="NotesTextBullet"/>
            </w:pPr>
            <w:r>
              <w:t>View inactive comments and dates of inactivation.</w:t>
            </w:r>
          </w:p>
          <w:p w:rsidR="002A21AE" w:rsidRDefault="002A21AE" w:rsidP="000144A0">
            <w:pPr>
              <w:pStyle w:val="NotesTextBullet"/>
            </w:pPr>
            <w:r>
              <w:t>Control the order in which VBECS displays comments in a context.</w:t>
            </w:r>
          </w:p>
        </w:tc>
      </w:tr>
      <w:tr w:rsidR="002A21AE">
        <w:tblPrEx>
          <w:tblCellMar>
            <w:top w:w="0" w:type="dxa"/>
            <w:bottom w:w="0" w:type="dxa"/>
          </w:tblCellMar>
        </w:tblPrEx>
        <w:tc>
          <w:tcPr>
            <w:tcW w:w="3240" w:type="dxa"/>
          </w:tcPr>
          <w:p w:rsidR="002A21AE" w:rsidRDefault="002A21AE">
            <w:pPr>
              <w:pStyle w:val="TableTextNumbers"/>
            </w:pPr>
            <w:r>
              <w:t xml:space="preserve">Click the </w:t>
            </w:r>
            <w:r>
              <w:rPr>
                <w:b/>
              </w:rPr>
              <w:t xml:space="preserve">Show inactive Comments </w:t>
            </w:r>
            <w:r w:rsidRPr="00D1100E">
              <w:t>check box</w:t>
            </w:r>
            <w:r>
              <w:t xml:space="preserve"> to view inactive comments.</w:t>
            </w:r>
          </w:p>
          <w:p w:rsidR="002A21AE" w:rsidRDefault="002A21AE">
            <w:pPr>
              <w:pStyle w:val="TableTextNumbersContinued"/>
            </w:pPr>
          </w:p>
          <w:p w:rsidR="002A21AE" w:rsidRDefault="002A21AE">
            <w:pPr>
              <w:pStyle w:val="TableTextNumbersContinued"/>
            </w:pPr>
            <w:r>
              <w:lastRenderedPageBreak/>
              <w:t>Click one or more check boxes to reactivate inactive comments.</w:t>
            </w:r>
          </w:p>
        </w:tc>
        <w:tc>
          <w:tcPr>
            <w:tcW w:w="6120" w:type="dxa"/>
          </w:tcPr>
          <w:p w:rsidR="002A21AE" w:rsidRDefault="002A21AE">
            <w:pPr>
              <w:pStyle w:val="TableTextBullet"/>
            </w:pPr>
            <w:r>
              <w:lastRenderedPageBreak/>
              <w:t>Displays inactive comments and allows the user to reactivate them.</w:t>
            </w:r>
          </w:p>
        </w:tc>
      </w:tr>
      <w:tr w:rsidR="002A21AE">
        <w:tblPrEx>
          <w:tblCellMar>
            <w:top w:w="0" w:type="dxa"/>
            <w:bottom w:w="0" w:type="dxa"/>
          </w:tblCellMar>
        </w:tblPrEx>
        <w:tc>
          <w:tcPr>
            <w:tcW w:w="3240" w:type="dxa"/>
          </w:tcPr>
          <w:p w:rsidR="002A21AE" w:rsidRDefault="002A21AE">
            <w:pPr>
              <w:pStyle w:val="TableTextNumbers"/>
            </w:pPr>
            <w:r>
              <w:lastRenderedPageBreak/>
              <w:t xml:space="preserve">Repeat Steps 2–4, as needed. </w:t>
            </w:r>
          </w:p>
          <w:p w:rsidR="002A21AE" w:rsidRDefault="002A21AE">
            <w:pPr>
              <w:pStyle w:val="TableTextNumbersContinued"/>
            </w:pPr>
          </w:p>
          <w:p w:rsidR="002A21AE" w:rsidRDefault="002A21AE">
            <w:pPr>
              <w:pStyle w:val="TableTextNumbersContinued"/>
            </w:pPr>
            <w:r>
              <w:t xml:space="preserve">Click </w:t>
            </w:r>
            <w:r>
              <w:rPr>
                <w:b/>
              </w:rPr>
              <w:t>OK</w:t>
            </w:r>
            <w:r>
              <w:t xml:space="preserve"> and </w:t>
            </w:r>
            <w:r>
              <w:rPr>
                <w:b/>
              </w:rPr>
              <w:t>Yes</w:t>
            </w:r>
            <w:r>
              <w:t xml:space="preserve"> to save and exit, or </w:t>
            </w:r>
            <w:r>
              <w:rPr>
                <w:b/>
              </w:rPr>
              <w:t>Cancel</w:t>
            </w:r>
            <w:r>
              <w:t xml:space="preserve"> to exit without saving.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rsidR="002A21AE" w:rsidRDefault="002A21AE">
            <w:pPr>
              <w:pStyle w:val="TableTextBullet"/>
            </w:pPr>
            <w:r>
              <w:t>Updates the database.</w:t>
            </w:r>
          </w:p>
        </w:tc>
      </w:tr>
    </w:tbl>
    <w:p w:rsidR="00A9458F" w:rsidRDefault="00A9458F" w:rsidP="00A9458F">
      <w:pPr>
        <w:pStyle w:val="Caption"/>
      </w:pPr>
      <w:bookmarkStart w:id="207" w:name="_Ref126471989"/>
      <w:r>
        <w:t xml:space="preserve">Figure </w:t>
      </w:r>
      <w:r w:rsidR="00C17F7C">
        <w:fldChar w:fldCharType="begin"/>
      </w:r>
      <w:r w:rsidR="00C17F7C">
        <w:instrText xml:space="preserve"> SEQ Figure \* ARABIC </w:instrText>
      </w:r>
      <w:r w:rsidR="00C17F7C">
        <w:fldChar w:fldCharType="separate"/>
      </w:r>
      <w:r w:rsidR="005F38BC">
        <w:rPr>
          <w:noProof/>
        </w:rPr>
        <w:t>52</w:t>
      </w:r>
      <w:r w:rsidR="00C17F7C">
        <w:fldChar w:fldCharType="end"/>
      </w:r>
      <w:bookmarkEnd w:id="207"/>
      <w:r>
        <w:t>: Maintain Comments</w:t>
      </w:r>
    </w:p>
    <w:p w:rsidR="002A21AE" w:rsidRDefault="00634BFC" w:rsidP="0066425F">
      <w:pPr>
        <w:pStyle w:val="BodyText"/>
      </w:pPr>
      <w:r>
        <w:rPr>
          <w:noProof/>
        </w:rPr>
        <w:drawing>
          <wp:inline distT="0" distB="0" distL="0" distR="0">
            <wp:extent cx="3657600" cy="33147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657600" cy="3314700"/>
                    </a:xfrm>
                    <a:prstGeom prst="rect">
                      <a:avLst/>
                    </a:prstGeom>
                    <a:noFill/>
                    <a:ln>
                      <a:noFill/>
                    </a:ln>
                  </pic:spPr>
                </pic:pic>
              </a:graphicData>
            </a:graphic>
          </wp:inline>
        </w:drawing>
      </w:r>
    </w:p>
    <w:p w:rsidR="002A21AE" w:rsidRDefault="00AF089A">
      <w:pPr>
        <w:pStyle w:val="Heading2"/>
      </w:pPr>
      <w:r>
        <w:br w:type="page"/>
      </w:r>
      <w:bookmarkStart w:id="208" w:name="_Toc459900095"/>
      <w:r w:rsidR="002A21AE">
        <w:lastRenderedPageBreak/>
        <w:t>Setting Transfusion Parameters</w:t>
      </w:r>
      <w:bookmarkEnd w:id="206"/>
      <w:bookmarkEnd w:id="208"/>
      <w:r w:rsidR="002A21AE">
        <w:fldChar w:fldCharType="begin"/>
      </w:r>
      <w:r w:rsidR="002A21AE">
        <w:instrText xml:space="preserve"> XE </w:instrText>
      </w:r>
      <w:r w:rsidR="00FA7E65">
        <w:instrText>“</w:instrText>
      </w:r>
      <w:r w:rsidR="002A21AE">
        <w:instrText>Setting Transfusion Parameters</w:instrText>
      </w:r>
      <w:r w:rsidR="00FA7E65">
        <w:instrText>”</w:instrText>
      </w:r>
      <w:r w:rsidR="002A21AE">
        <w:instrText xml:space="preserve"> </w:instrText>
      </w:r>
      <w:r w:rsidR="002A21AE">
        <w:fldChar w:fldCharType="end"/>
      </w:r>
    </w:p>
    <w:p w:rsidR="002A21AE" w:rsidRDefault="002A21AE">
      <w:pPr>
        <w:pStyle w:val="Heading3"/>
      </w:pPr>
      <w:bookmarkStart w:id="209" w:name="_Toc459900096"/>
      <w:r>
        <w:t>Transfusion Complications</w:t>
      </w:r>
      <w:bookmarkEnd w:id="209"/>
      <w:r w:rsidRPr="0050203A">
        <w:rPr>
          <w:rFonts w:ascii="Arial Bold" w:hAnsi="Arial Bold"/>
          <w:vanish/>
        </w:rPr>
        <w:fldChar w:fldCharType="begin"/>
      </w:r>
      <w:r w:rsidRPr="0050203A">
        <w:rPr>
          <w:rFonts w:ascii="Arial Bold" w:hAnsi="Arial Bold"/>
          <w:vanish/>
        </w:rPr>
        <w:instrText xml:space="preserve"> XE </w:instrText>
      </w:r>
      <w:r w:rsidR="00FA7E65" w:rsidRPr="0050203A">
        <w:rPr>
          <w:rFonts w:ascii="Arial Bold" w:hAnsi="Arial Bold"/>
          <w:vanish/>
        </w:rPr>
        <w:instrText>“</w:instrText>
      </w:r>
      <w:r w:rsidRPr="0050203A">
        <w:rPr>
          <w:rFonts w:ascii="Arial Bold" w:hAnsi="Arial Bold"/>
          <w:vanish/>
        </w:rPr>
        <w:instrText>Transfusion Complications</w:instrText>
      </w:r>
      <w:r w:rsidR="00FA7E65" w:rsidRPr="0050203A">
        <w:rPr>
          <w:rFonts w:ascii="Arial Bold" w:hAnsi="Arial Bold"/>
          <w:vanish/>
        </w:rPr>
        <w:instrText>”</w:instrText>
      </w:r>
      <w:r w:rsidRPr="0050203A">
        <w:rPr>
          <w:rFonts w:ascii="Arial Bold" w:hAnsi="Arial Bold"/>
          <w:vanish/>
        </w:rPr>
        <w:instrText xml:space="preserve"> </w:instrText>
      </w:r>
      <w:r w:rsidRPr="0050203A">
        <w:rPr>
          <w:rFonts w:ascii="Arial Bold" w:hAnsi="Arial Bold"/>
          <w:vanish/>
        </w:rPr>
        <w:fldChar w:fldCharType="end"/>
      </w:r>
      <w:r w:rsidRPr="0050203A">
        <w:rPr>
          <w:rFonts w:ascii="Arial Bold" w:hAnsi="Arial Bold"/>
          <w:vanish/>
        </w:rPr>
        <w:t xml:space="preserve"> UC_34</w:t>
      </w:r>
    </w:p>
    <w:p w:rsidR="002A21AE" w:rsidRDefault="002A21AE" w:rsidP="00FA7E65">
      <w:pPr>
        <w:pStyle w:val="BodyText"/>
      </w:pPr>
      <w:r>
        <w:t xml:space="preserve">The user defines Laboratory tests and threshold values used to generate a report listing patients who were transfused within a specified period and who may have developed a transfusion-associated disease. </w:t>
      </w:r>
    </w:p>
    <w:p w:rsidR="002A21AE" w:rsidRDefault="002A21AE">
      <w:pPr>
        <w:pStyle w:val="Heading4"/>
      </w:pPr>
      <w:r>
        <w:t>Assumptions</w:t>
      </w:r>
    </w:p>
    <w:p w:rsidR="002A21AE" w:rsidRDefault="00CA0045">
      <w:pPr>
        <w:pStyle w:val="ListBullet"/>
      </w:pPr>
      <w:r w:rsidRPr="00CA0045">
        <w:rPr>
          <w:bCs/>
        </w:rPr>
        <w:t>VistA</w:t>
      </w:r>
      <w:r w:rsidR="002A21AE">
        <w:t xml:space="preserve"> tests are defined.</w:t>
      </w:r>
    </w:p>
    <w:p w:rsidR="002A21AE" w:rsidRDefault="002A21AE">
      <w:pPr>
        <w:pStyle w:val="ListBullet"/>
      </w:pPr>
      <w:r>
        <w:t xml:space="preserve">The connection to </w:t>
      </w:r>
      <w:r w:rsidR="00CA0045" w:rsidRPr="00CA0045">
        <w:rPr>
          <w:bCs/>
        </w:rPr>
        <w:t>VistA</w:t>
      </w:r>
      <w:r>
        <w:t xml:space="preserve"> is active.</w:t>
      </w:r>
    </w:p>
    <w:p w:rsidR="002A21AE" w:rsidRDefault="002A21AE">
      <w:pPr>
        <w:pStyle w:val="Heading4"/>
      </w:pPr>
      <w:r>
        <w:t>Outcome</w:t>
      </w:r>
    </w:p>
    <w:p w:rsidR="002A21AE" w:rsidRDefault="002A21AE">
      <w:pPr>
        <w:pStyle w:val="ListBullet"/>
      </w:pPr>
      <w:r>
        <w:t>Parameters are defined for future Transfusion Complication Reports.</w:t>
      </w:r>
    </w:p>
    <w:p w:rsidR="002A21AE" w:rsidRDefault="002A21AE">
      <w:pPr>
        <w:pStyle w:val="Heading4"/>
      </w:pPr>
      <w:r>
        <w:t>Limitations and Restrictions</w:t>
      </w:r>
    </w:p>
    <w:p w:rsidR="002A21AE" w:rsidRDefault="002A21AE">
      <w:pPr>
        <w:pStyle w:val="ListBullet"/>
      </w:pPr>
      <w:r>
        <w:t>None</w:t>
      </w:r>
    </w:p>
    <w:p w:rsidR="002A21AE" w:rsidRDefault="002A21AE">
      <w:pPr>
        <w:pStyle w:val="Heading4"/>
      </w:pPr>
      <w:r>
        <w:t>Additional Information</w:t>
      </w:r>
    </w:p>
    <w:p w:rsidR="002A21AE" w:rsidRDefault="002C6BD1">
      <w:pPr>
        <w:pStyle w:val="ListBullet"/>
      </w:pPr>
      <w:r>
        <w:t>None</w:t>
      </w:r>
    </w:p>
    <w:p w:rsidR="002A21AE" w:rsidRDefault="002A21AE">
      <w:pPr>
        <w:pStyle w:val="Heading4"/>
      </w:pPr>
      <w:r>
        <w:t>User Roles with Access to This Option</w:t>
      </w:r>
    </w:p>
    <w:p w:rsidR="002A21AE" w:rsidRDefault="00804DED">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rsidR="002A21AE" w:rsidRDefault="002A21AE">
      <w:pPr>
        <w:pStyle w:val="Heading4"/>
      </w:pPr>
      <w:r>
        <w:t>Transfusion Complications</w:t>
      </w:r>
    </w:p>
    <w:p w:rsidR="002A21AE" w:rsidRDefault="002A21AE" w:rsidP="00FA7E65">
      <w:pPr>
        <w:pStyle w:val="BodyText"/>
      </w:pPr>
      <w:r>
        <w:t>The user defines Laboratory tests for use in the transfusion complication table.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pPr>
              <w:pStyle w:val="TableTextNumbers"/>
            </w:pPr>
            <w:r>
              <w:t xml:space="preserve">Select </w:t>
            </w:r>
            <w:r>
              <w:rPr>
                <w:b/>
                <w:bCs/>
              </w:rPr>
              <w:t>Tools</w:t>
            </w:r>
            <w:r>
              <w:t xml:space="preserve"> from the main menu.</w:t>
            </w:r>
          </w:p>
          <w:p w:rsidR="002A21AE" w:rsidRDefault="002A21AE">
            <w:pPr>
              <w:pStyle w:val="TableTextNumbersContinued"/>
              <w:rPr>
                <w:b/>
                <w:bCs/>
              </w:rPr>
            </w:pPr>
          </w:p>
          <w:p w:rsidR="002A21AE" w:rsidRDefault="002A21AE">
            <w:pPr>
              <w:pStyle w:val="TableTextNumbersContinued"/>
            </w:pPr>
            <w:r>
              <w:t xml:space="preserve">Select </w:t>
            </w:r>
            <w:r>
              <w:rPr>
                <w:b/>
              </w:rPr>
              <w:t>Transfusion Complications</w:t>
            </w:r>
            <w:r>
              <w:t>.</w:t>
            </w:r>
          </w:p>
        </w:tc>
        <w:tc>
          <w:tcPr>
            <w:tcW w:w="6120" w:type="dxa"/>
          </w:tcPr>
          <w:p w:rsidR="002A21AE" w:rsidRDefault="002A21AE">
            <w:pPr>
              <w:pStyle w:val="TableTextBullet"/>
            </w:pPr>
            <w:r>
              <w:t>Displays options for processing administrative functions.</w:t>
            </w:r>
          </w:p>
          <w:p w:rsidR="002A21AE" w:rsidRDefault="002A21AE">
            <w:pPr>
              <w:pStyle w:val="TableTextBullet"/>
            </w:pPr>
            <w:r>
              <w:t>Displays fields for entering transfusion complication threshold data.</w:t>
            </w:r>
          </w:p>
        </w:tc>
      </w:tr>
      <w:tr w:rsidR="002A21AE">
        <w:tblPrEx>
          <w:tblCellMar>
            <w:top w:w="0" w:type="dxa"/>
            <w:bottom w:w="0" w:type="dxa"/>
          </w:tblCellMar>
        </w:tblPrEx>
        <w:tc>
          <w:tcPr>
            <w:tcW w:w="3240" w:type="dxa"/>
          </w:tcPr>
          <w:p w:rsidR="002A21AE" w:rsidRDefault="002A21AE">
            <w:pPr>
              <w:pStyle w:val="TableTextNumbers"/>
            </w:pPr>
            <w:r>
              <w:t xml:space="preserve">Click the </w:t>
            </w:r>
            <w:r w:rsidR="00A6373D">
              <w:rPr>
                <w:b/>
              </w:rPr>
              <w:t>find</w:t>
            </w:r>
            <w:r w:rsidRPr="00BF2E41">
              <w:t xml:space="preserve"> button</w:t>
            </w:r>
            <w:r>
              <w:t xml:space="preserve"> to search for a Laboratory test.</w:t>
            </w:r>
          </w:p>
          <w:p w:rsidR="002A21AE" w:rsidRDefault="002A21AE">
            <w:pPr>
              <w:pStyle w:val="TableTextNumbersContinued"/>
            </w:pPr>
          </w:p>
          <w:p w:rsidR="002A21AE" w:rsidRDefault="002A21AE">
            <w:pPr>
              <w:pStyle w:val="TableTextNumbersContinued"/>
            </w:pPr>
            <w:r>
              <w:t>Select a test.</w:t>
            </w:r>
          </w:p>
          <w:p w:rsidR="002A21AE" w:rsidRDefault="002A21AE">
            <w:pPr>
              <w:pStyle w:val="TableTextNumbersContinued"/>
            </w:pPr>
          </w:p>
          <w:p w:rsidR="002A21AE" w:rsidRDefault="002A21AE">
            <w:pPr>
              <w:pStyle w:val="TableTextNumbersContinued"/>
            </w:pPr>
            <w:r>
              <w:t xml:space="preserve">Click </w:t>
            </w:r>
            <w:r>
              <w:rPr>
                <w:b/>
              </w:rPr>
              <w:t>OK</w:t>
            </w:r>
            <w:r>
              <w:t>.</w:t>
            </w:r>
          </w:p>
        </w:tc>
        <w:tc>
          <w:tcPr>
            <w:tcW w:w="6120" w:type="dxa"/>
          </w:tcPr>
          <w:p w:rsidR="0048718E" w:rsidRDefault="002A21AE">
            <w:pPr>
              <w:pStyle w:val="TableTextBullet"/>
            </w:pPr>
            <w:r>
              <w:t xml:space="preserve">Allows the user to edit or add previously defined tests for use in a Transfusion Complication Report. </w:t>
            </w:r>
          </w:p>
          <w:p w:rsidR="00CB6A89" w:rsidRDefault="00CB6A89" w:rsidP="00CB6A89">
            <w:pPr>
              <w:pStyle w:val="TableText"/>
              <w:rPr>
                <w:b/>
                <w:bCs/>
                <w:szCs w:val="18"/>
              </w:rPr>
            </w:pPr>
          </w:p>
          <w:p w:rsidR="00CB6A89" w:rsidRDefault="00634BFC" w:rsidP="00CB6A89">
            <w:pPr>
              <w:pStyle w:val="TableText"/>
              <w:rPr>
                <w:b/>
                <w:bCs/>
                <w:szCs w:val="18"/>
              </w:rPr>
            </w:pPr>
            <w:r>
              <w:rPr>
                <w:b/>
                <w:bCs/>
                <w:noProof/>
              </w:rPr>
              <mc:AlternateContent>
                <mc:Choice Requires="wps">
                  <w:drawing>
                    <wp:anchor distT="0" distB="0" distL="114300" distR="114300" simplePos="0" relativeHeight="25180416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50" name="Line 1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5" o:spid="_x0000_s1026" style="position:absolute;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aFAIAAC4EAAAOAAAAZHJzL2Uyb0RvYy54bWysU8GO2jAQvVfqP1i+QxI2UI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" strokeweight="1.5pt"/>
                  </w:pict>
                </mc:Fallback>
              </mc:AlternateContent>
            </w:r>
            <w:r w:rsidR="00CB6A89">
              <w:rPr>
                <w:b/>
                <w:bCs/>
                <w:szCs w:val="18"/>
              </w:rPr>
              <w:t>NOTES</w:t>
            </w:r>
          </w:p>
          <w:p w:rsidR="00CB6A89" w:rsidRDefault="00CB6A89" w:rsidP="00CB6A89">
            <w:pPr>
              <w:pStyle w:val="NotesText"/>
            </w:pPr>
          </w:p>
          <w:p w:rsidR="002A21AE" w:rsidRDefault="00CB6A89" w:rsidP="00CB6A89">
            <w:pPr>
              <w:pStyle w:val="TableTextBullet"/>
              <w:numPr>
                <w:ilvl w:val="0"/>
                <w:numId w:val="0"/>
              </w:numPr>
              <w:ind w:left="720" w:hanging="720"/>
              <w:rPr>
                <w:rFonts w:ascii="MS Shell Dlg 2" w:hAnsi="MS Shell Dlg 2"/>
                <w:color w:val="000000"/>
                <w:szCs w:val="18"/>
              </w:rPr>
            </w:pPr>
            <w:r w:rsidRPr="00D0406D">
              <w:rPr>
                <w:rFonts w:cs="Arial"/>
                <w:vanish/>
              </w:rPr>
              <w:t>BR_34</w:t>
            </w:r>
            <w:r w:rsidR="00E170B3" w:rsidRPr="00D0406D">
              <w:rPr>
                <w:rFonts w:cs="Arial"/>
                <w:vanish/>
              </w:rPr>
              <w:t>.03, DR 4364</w:t>
            </w:r>
            <w:r w:rsidR="0048718E" w:rsidRPr="00D0406D">
              <w:tab/>
              <w:t xml:space="preserve">VBECS displays the </w:t>
            </w:r>
            <w:r w:rsidR="0043684E">
              <w:t xml:space="preserve">entered </w:t>
            </w:r>
            <w:r w:rsidR="0048718E" w:rsidRPr="00D0406D">
              <w:t>l</w:t>
            </w:r>
            <w:r w:rsidR="009C4F04">
              <w:t xml:space="preserve">aboratory test names in all uppercase </w:t>
            </w:r>
            <w:r w:rsidR="00A403FD">
              <w:t>letters</w:t>
            </w:r>
            <w:r w:rsidR="0048718E" w:rsidRPr="00D0406D">
              <w:t xml:space="preserve">. The retrieval of lab tests </w:t>
            </w:r>
            <w:r w:rsidR="00A1211F">
              <w:t>occurs</w:t>
            </w:r>
            <w:r w:rsidR="009C4F04">
              <w:t xml:space="preserve"> in VistA </w:t>
            </w:r>
            <w:r w:rsidR="0048718E" w:rsidRPr="00D0406D">
              <w:t>and results for the Transfusion Complications Report are not case sensitive. There is a limit of 25 active entries. (If the user enters all of the available results for the test, he can get results that are not filtered by VBECS.)</w:t>
            </w:r>
          </w:p>
          <w:p w:rsidR="00CB6A89" w:rsidRPr="00CB6A89" w:rsidRDefault="00CB6A89" w:rsidP="00CB6A89">
            <w:pPr>
              <w:pStyle w:val="TableTextBullet"/>
              <w:numPr>
                <w:ilvl w:val="0"/>
                <w:numId w:val="0"/>
              </w:numPr>
              <w:ind w:left="720" w:hanging="720"/>
              <w:rPr>
                <w:rFonts w:ascii="MS Shell Dlg 2" w:hAnsi="MS Shell Dlg 2"/>
                <w:color w:val="000000"/>
                <w:szCs w:val="18"/>
              </w:rPr>
            </w:pPr>
          </w:p>
        </w:tc>
      </w:tr>
      <w:tr w:rsidR="002A21AE">
        <w:tblPrEx>
          <w:tblCellMar>
            <w:top w:w="0" w:type="dxa"/>
            <w:bottom w:w="0" w:type="dxa"/>
          </w:tblCellMar>
        </w:tblPrEx>
        <w:tc>
          <w:tcPr>
            <w:tcW w:w="3240" w:type="dxa"/>
          </w:tcPr>
          <w:p w:rsidR="002A21AE" w:rsidRDefault="002A21AE">
            <w:pPr>
              <w:pStyle w:val="TableTextNumbers"/>
            </w:pPr>
            <w:r>
              <w:t xml:space="preserve">Click the </w:t>
            </w:r>
            <w:r>
              <w:rPr>
                <w:b/>
              </w:rPr>
              <w:t xml:space="preserve">Numeric Threshold </w:t>
            </w:r>
            <w:r w:rsidRPr="00BF2E41">
              <w:t>radio button</w:t>
            </w:r>
            <w:r>
              <w:t xml:space="preserve"> and enter or edit test threshold information</w:t>
            </w:r>
            <w:r w:rsidR="00E1279C">
              <w:t xml:space="preserve"> (</w:t>
            </w:r>
            <w:r w:rsidR="00E1279C">
              <w:fldChar w:fldCharType="begin"/>
            </w:r>
            <w:r w:rsidR="00E1279C">
              <w:instrText xml:space="preserve"> REF _Ref126472169 \h </w:instrText>
            </w:r>
            <w:r w:rsidR="00E1279C">
              <w:fldChar w:fldCharType="separate"/>
            </w:r>
            <w:r w:rsidR="005F38BC">
              <w:t xml:space="preserve">Figure </w:t>
            </w:r>
            <w:r w:rsidR="005F38BC">
              <w:rPr>
                <w:noProof/>
              </w:rPr>
              <w:t>53</w:t>
            </w:r>
            <w:r w:rsidR="00E1279C">
              <w:fldChar w:fldCharType="end"/>
            </w:r>
            <w:r w:rsidR="00E1279C">
              <w:t>)</w:t>
            </w:r>
            <w:r>
              <w:t>.</w:t>
            </w:r>
          </w:p>
          <w:p w:rsidR="002A21AE" w:rsidRDefault="002A21AE">
            <w:pPr>
              <w:pStyle w:val="TableTextNumbersContinued"/>
            </w:pPr>
          </w:p>
          <w:p w:rsidR="002A21AE" w:rsidRDefault="002A21AE">
            <w:pPr>
              <w:pStyle w:val="TableTextNumbersContinued"/>
            </w:pPr>
            <w:r>
              <w:t xml:space="preserve">Click </w:t>
            </w:r>
            <w:r>
              <w:rPr>
                <w:b/>
              </w:rPr>
              <w:t>Add</w:t>
            </w:r>
            <w:r>
              <w:t xml:space="preserve"> to add the test to the list, or</w:t>
            </w:r>
          </w:p>
          <w:p w:rsidR="002A21AE" w:rsidRDefault="002A21AE">
            <w:pPr>
              <w:pStyle w:val="TableTextNumbersContinued"/>
            </w:pPr>
          </w:p>
          <w:p w:rsidR="002A21AE" w:rsidRDefault="002A21AE">
            <w:pPr>
              <w:pStyle w:val="TableTextNumbersContinued"/>
            </w:pPr>
            <w:r>
              <w:t xml:space="preserve">Click </w:t>
            </w:r>
            <w:r>
              <w:rPr>
                <w:b/>
              </w:rPr>
              <w:t>Update</w:t>
            </w:r>
            <w:r>
              <w:t xml:space="preserve"> to save changes to a previously saved test.</w:t>
            </w:r>
          </w:p>
          <w:p w:rsidR="002A21AE" w:rsidRDefault="002A21AE">
            <w:pPr>
              <w:pStyle w:val="TableTextNumbersContinued"/>
            </w:pPr>
          </w:p>
          <w:p w:rsidR="002A21AE" w:rsidRDefault="002A21AE">
            <w:pPr>
              <w:pStyle w:val="TableTextNumbersContinued"/>
            </w:pPr>
            <w:r>
              <w:t xml:space="preserve">Click </w:t>
            </w:r>
            <w:r>
              <w:rPr>
                <w:b/>
              </w:rPr>
              <w:t>OK</w:t>
            </w:r>
            <w:r>
              <w:t xml:space="preserve"> to save and </w:t>
            </w:r>
            <w:r>
              <w:rPr>
                <w:b/>
              </w:rPr>
              <w:t>Yes</w:t>
            </w:r>
            <w:r>
              <w:t xml:space="preserve"> to confirm the save.</w:t>
            </w:r>
          </w:p>
        </w:tc>
        <w:tc>
          <w:tcPr>
            <w:tcW w:w="6120" w:type="dxa"/>
          </w:tcPr>
          <w:p w:rsidR="002A21AE" w:rsidRDefault="002A21AE">
            <w:pPr>
              <w:pStyle w:val="TableTextBullet"/>
            </w:pPr>
            <w:r>
              <w:lastRenderedPageBreak/>
              <w:t>Allows the user to enter one or more tests.</w:t>
            </w:r>
          </w:p>
          <w:p w:rsidR="002A21AE" w:rsidRDefault="002A21AE">
            <w:pPr>
              <w:pStyle w:val="TableTextBullet"/>
            </w:pPr>
            <w:r>
              <w:t>Uses VistALink to retrieve test data.</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49798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4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qQFQIAACw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Jp2&#10;2pAVAgAALA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sidRPr="008879B5">
              <w:rPr>
                <w:rFonts w:cs="Arial"/>
                <w:vanish/>
              </w:rPr>
              <w:t xml:space="preserve">BR_34.02 </w:t>
            </w:r>
            <w:r w:rsidRPr="008879B5">
              <w:t>When defining a test reported as a text value, VBECS accommodates the input of specific text (1–255 characters) that will be used to search for matching values.</w:t>
            </w:r>
          </w:p>
        </w:tc>
      </w:tr>
      <w:tr w:rsidR="002A21AE">
        <w:tblPrEx>
          <w:tblCellMar>
            <w:top w:w="0" w:type="dxa"/>
            <w:bottom w:w="0" w:type="dxa"/>
          </w:tblCellMar>
        </w:tblPrEx>
        <w:tc>
          <w:tcPr>
            <w:tcW w:w="3240" w:type="dxa"/>
          </w:tcPr>
          <w:p w:rsidR="002A21AE" w:rsidRDefault="002A21AE">
            <w:pPr>
              <w:pStyle w:val="TableTextNumbers"/>
            </w:pPr>
            <w:r>
              <w:lastRenderedPageBreak/>
              <w:t xml:space="preserve">Click </w:t>
            </w:r>
            <w:r>
              <w:rPr>
                <w:b/>
              </w:rPr>
              <w:t>OK</w:t>
            </w:r>
            <w:r>
              <w:t xml:space="preserve"> to save and </w:t>
            </w:r>
            <w:r>
              <w:rPr>
                <w:b/>
              </w:rPr>
              <w:t>Yes</w:t>
            </w:r>
            <w:r>
              <w:t xml:space="preserve"> to confirm the save and exit.</w:t>
            </w:r>
          </w:p>
        </w:tc>
        <w:tc>
          <w:tcPr>
            <w:tcW w:w="6120" w:type="dxa"/>
          </w:tcPr>
          <w:p w:rsidR="002A21AE" w:rsidRDefault="002A21AE">
            <w:pPr>
              <w:pStyle w:val="TableTextBullet"/>
            </w:pPr>
            <w:r>
              <w:t>Updates the database.</w:t>
            </w:r>
          </w:p>
        </w:tc>
      </w:tr>
      <w:tr w:rsidR="002A21AE">
        <w:tblPrEx>
          <w:tblCellMar>
            <w:top w:w="0" w:type="dxa"/>
            <w:bottom w:w="0" w:type="dxa"/>
          </w:tblCellMar>
        </w:tblPrEx>
        <w:tc>
          <w:tcPr>
            <w:tcW w:w="3240" w:type="dxa"/>
          </w:tcPr>
          <w:p w:rsidR="002A21AE" w:rsidRDefault="002A21AE">
            <w:pPr>
              <w:pStyle w:val="TableTextNumbers"/>
            </w:pPr>
            <w:r>
              <w:t xml:space="preserve">Repeat Steps 2–4 for each transfusion complication test to be defined or click </w:t>
            </w:r>
            <w:r>
              <w:rPr>
                <w:b/>
              </w:rPr>
              <w:t>Cancel</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rsidR="002A21AE" w:rsidRDefault="002A21AE">
            <w:pPr>
              <w:pStyle w:val="TableText"/>
            </w:pPr>
          </w:p>
        </w:tc>
      </w:tr>
    </w:tbl>
    <w:p w:rsidR="00E1279C" w:rsidRDefault="00E1279C" w:rsidP="00E1279C">
      <w:pPr>
        <w:pStyle w:val="Caption"/>
      </w:pPr>
      <w:bookmarkStart w:id="210" w:name="_Ref126472169"/>
      <w:r>
        <w:t xml:space="preserve">Figure </w:t>
      </w:r>
      <w:r w:rsidR="00C17F7C">
        <w:fldChar w:fldCharType="begin"/>
      </w:r>
      <w:r w:rsidR="00C17F7C">
        <w:instrText xml:space="preserve"> SEQ Figure \* ARABIC </w:instrText>
      </w:r>
      <w:r w:rsidR="00C17F7C">
        <w:fldChar w:fldCharType="separate"/>
      </w:r>
      <w:r w:rsidR="005F38BC">
        <w:rPr>
          <w:noProof/>
        </w:rPr>
        <w:t>53</w:t>
      </w:r>
      <w:r w:rsidR="00C17F7C">
        <w:fldChar w:fldCharType="end"/>
      </w:r>
      <w:bookmarkEnd w:id="210"/>
      <w:r>
        <w:t>: Transfusion Complication Thresholds</w:t>
      </w:r>
    </w:p>
    <w:p w:rsidR="00E1279C" w:rsidRDefault="00634BFC" w:rsidP="00E1279C">
      <w:pPr>
        <w:pStyle w:val="BodyText"/>
      </w:pPr>
      <w:r>
        <w:rPr>
          <w:noProof/>
        </w:rPr>
        <w:drawing>
          <wp:inline distT="0" distB="0" distL="0" distR="0">
            <wp:extent cx="3886200" cy="291465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886200" cy="2914650"/>
                    </a:xfrm>
                    <a:prstGeom prst="rect">
                      <a:avLst/>
                    </a:prstGeom>
                    <a:noFill/>
                    <a:ln>
                      <a:noFill/>
                    </a:ln>
                  </pic:spPr>
                </pic:pic>
              </a:graphicData>
            </a:graphic>
          </wp:inline>
        </w:drawing>
      </w:r>
    </w:p>
    <w:p w:rsidR="002A21AE" w:rsidRDefault="002A21AE">
      <w:pPr>
        <w:pStyle w:val="Heading3"/>
      </w:pPr>
      <w:bookmarkStart w:id="211" w:name="_Toc459900097"/>
      <w:r>
        <w:t>Transfusion Effectiveness</w:t>
      </w:r>
      <w:bookmarkEnd w:id="211"/>
      <w:r>
        <w:fldChar w:fldCharType="begin"/>
      </w:r>
      <w:r>
        <w:instrText xml:space="preserve"> XE </w:instrText>
      </w:r>
      <w:r w:rsidR="00FA7E65">
        <w:instrText>“</w:instrText>
      </w:r>
      <w:r>
        <w:instrText>Transfusion Effectiveness</w:instrText>
      </w:r>
      <w:r w:rsidR="00FA7E65">
        <w:instrText>”</w:instrText>
      </w:r>
      <w:r>
        <w:instrText xml:space="preserve"> </w:instrText>
      </w:r>
      <w:r>
        <w:fldChar w:fldCharType="end"/>
      </w:r>
      <w:r>
        <w:t xml:space="preserve"> </w:t>
      </w:r>
      <w:r>
        <w:rPr>
          <w:rFonts w:ascii="Times New Roman" w:hAnsi="Times New Roman" w:cs="Times New Roman"/>
          <w:b w:val="0"/>
          <w:vanish/>
          <w:sz w:val="22"/>
        </w:rPr>
        <w:t>UC_33</w:t>
      </w:r>
    </w:p>
    <w:p w:rsidR="002A21AE" w:rsidRDefault="00095BAC" w:rsidP="00FA7E65">
      <w:pPr>
        <w:pStyle w:val="BodyText"/>
      </w:pPr>
      <w:bookmarkStart w:id="212" w:name="_Toc63680393"/>
      <w:r>
        <w:t>The user defines L</w:t>
      </w:r>
      <w:r w:rsidR="002A21AE">
        <w:t xml:space="preserve">aboratory tests to monitor the effectiveness of transfusions. </w:t>
      </w:r>
    </w:p>
    <w:p w:rsidR="002A21AE" w:rsidRDefault="002A21AE">
      <w:pPr>
        <w:pStyle w:val="Heading4"/>
      </w:pPr>
      <w:r>
        <w:t>Assumptions</w:t>
      </w:r>
    </w:p>
    <w:p w:rsidR="00CA0045" w:rsidRDefault="00CA0045">
      <w:pPr>
        <w:pStyle w:val="ListBullet"/>
      </w:pPr>
      <w:r w:rsidRPr="00CA0045">
        <w:rPr>
          <w:bCs/>
        </w:rPr>
        <w:t>VistA</w:t>
      </w:r>
      <w:r w:rsidR="002A21AE">
        <w:t xml:space="preserve"> lab tests are defined</w:t>
      </w:r>
      <w:r>
        <w:t>.</w:t>
      </w:r>
    </w:p>
    <w:p w:rsidR="002A21AE" w:rsidRDefault="00CA0045">
      <w:pPr>
        <w:pStyle w:val="ListBullet"/>
      </w:pPr>
      <w:r>
        <w:t>T</w:t>
      </w:r>
      <w:r w:rsidR="002A21AE">
        <w:t xml:space="preserve">he connection to </w:t>
      </w:r>
      <w:r w:rsidRPr="00CA0045">
        <w:rPr>
          <w:bCs/>
        </w:rPr>
        <w:t>VistA</w:t>
      </w:r>
      <w:r w:rsidR="002A21AE">
        <w:t xml:space="preserve"> is active.</w:t>
      </w:r>
    </w:p>
    <w:p w:rsidR="002A21AE" w:rsidRDefault="002A21AE">
      <w:pPr>
        <w:pStyle w:val="Heading4"/>
      </w:pPr>
      <w:r>
        <w:t>Outcome</w:t>
      </w:r>
    </w:p>
    <w:p w:rsidR="002A21AE" w:rsidRDefault="002A21AE">
      <w:pPr>
        <w:pStyle w:val="ListBullet"/>
      </w:pPr>
      <w:r>
        <w:t>Parameters are defined for future reports.</w:t>
      </w:r>
    </w:p>
    <w:p w:rsidR="002A21AE" w:rsidRDefault="002A21AE">
      <w:pPr>
        <w:pStyle w:val="Heading4"/>
      </w:pPr>
      <w:r>
        <w:t>Limitations and Restrictions</w:t>
      </w:r>
    </w:p>
    <w:p w:rsidR="002A21AE" w:rsidRDefault="002A21AE">
      <w:pPr>
        <w:pStyle w:val="ListBullet"/>
      </w:pPr>
      <w:r>
        <w:t xml:space="preserve">None </w:t>
      </w:r>
    </w:p>
    <w:p w:rsidR="002A21AE" w:rsidRDefault="002A21AE">
      <w:pPr>
        <w:pStyle w:val="Heading4"/>
      </w:pPr>
      <w:r>
        <w:t>Additional Information</w:t>
      </w:r>
    </w:p>
    <w:p w:rsidR="002A21AE" w:rsidRDefault="002A21AE">
      <w:pPr>
        <w:pStyle w:val="ListBullet"/>
      </w:pPr>
      <w:r>
        <w:t xml:space="preserve">None </w:t>
      </w:r>
    </w:p>
    <w:p w:rsidR="002A21AE" w:rsidRDefault="002A21AE">
      <w:pPr>
        <w:pStyle w:val="Heading4"/>
      </w:pPr>
      <w:r>
        <w:t xml:space="preserve">User Roles with Access to This Option </w:t>
      </w:r>
    </w:p>
    <w:p w:rsidR="002A21AE" w:rsidRDefault="002A09A9">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rsidR="002A21AE" w:rsidRDefault="002A21AE">
      <w:pPr>
        <w:pStyle w:val="Heading4"/>
      </w:pPr>
      <w:r>
        <w:lastRenderedPageBreak/>
        <w:t>Transfusion Effectiveness</w:t>
      </w:r>
    </w:p>
    <w:p w:rsidR="002A21AE" w:rsidRDefault="002A21AE" w:rsidP="00FA7E65">
      <w:pPr>
        <w:pStyle w:val="BodyText"/>
      </w:pPr>
      <w:r>
        <w:t>The user enters the tests to be included in the Transfusion Effectiveness Report.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pPr>
              <w:pStyle w:val="TableTextNumbers"/>
            </w:pPr>
            <w:r>
              <w:t xml:space="preserve">Select </w:t>
            </w:r>
            <w:r>
              <w:rPr>
                <w:b/>
                <w:bCs/>
              </w:rPr>
              <w:t>Tools</w:t>
            </w:r>
            <w:r>
              <w:t xml:space="preserve"> from the main menu.</w:t>
            </w:r>
          </w:p>
          <w:p w:rsidR="002A21AE" w:rsidRDefault="002A21AE">
            <w:pPr>
              <w:pStyle w:val="TableTextNumbersContinued"/>
              <w:rPr>
                <w:bCs/>
              </w:rPr>
            </w:pPr>
          </w:p>
          <w:p w:rsidR="002A21AE" w:rsidRDefault="002A21AE">
            <w:pPr>
              <w:pStyle w:val="TableTextNumbersContinued"/>
              <w:rPr>
                <w:b/>
                <w:bCs/>
              </w:rPr>
            </w:pPr>
            <w:r>
              <w:rPr>
                <w:bCs/>
              </w:rPr>
              <w:t>Select</w:t>
            </w:r>
            <w:r>
              <w:rPr>
                <w:b/>
                <w:bCs/>
              </w:rPr>
              <w:t xml:space="preserve"> Transfusion Effectiveness</w:t>
            </w:r>
            <w:r>
              <w:rPr>
                <w:bCs/>
              </w:rPr>
              <w:t>.</w:t>
            </w:r>
          </w:p>
        </w:tc>
        <w:tc>
          <w:tcPr>
            <w:tcW w:w="6120" w:type="dxa"/>
          </w:tcPr>
          <w:p w:rsidR="002A21AE" w:rsidRDefault="002A21AE">
            <w:pPr>
              <w:pStyle w:val="TableTextBullet"/>
            </w:pPr>
            <w:r>
              <w:t xml:space="preserve">Displays options for processing administrative functions. </w:t>
            </w:r>
          </w:p>
          <w:p w:rsidR="002A21AE" w:rsidRDefault="002A21AE">
            <w:pPr>
              <w:pStyle w:val="TableTextBullet"/>
            </w:pPr>
            <w:r>
              <w:t>Allows the user to edit a previously defined Transfusion Effectiveness Tests or add a test.</w:t>
            </w:r>
          </w:p>
        </w:tc>
      </w:tr>
      <w:tr w:rsidR="002A21AE">
        <w:tblPrEx>
          <w:tblCellMar>
            <w:top w:w="0" w:type="dxa"/>
            <w:bottom w:w="0" w:type="dxa"/>
          </w:tblCellMar>
        </w:tblPrEx>
        <w:tc>
          <w:tcPr>
            <w:tcW w:w="3240" w:type="dxa"/>
          </w:tcPr>
          <w:p w:rsidR="002A21AE" w:rsidRDefault="002A21AE">
            <w:pPr>
              <w:pStyle w:val="TableTextNumbers"/>
            </w:pPr>
            <w:r>
              <w:t xml:space="preserve">Click the </w:t>
            </w:r>
            <w:r w:rsidR="00A6373D">
              <w:rPr>
                <w:b/>
              </w:rPr>
              <w:t>find</w:t>
            </w:r>
            <w:r w:rsidRPr="00BF2E41">
              <w:t xml:space="preserve"> button</w:t>
            </w:r>
            <w:r>
              <w:t xml:space="preserve"> to search for a Transfusion Effectiveness Test. </w:t>
            </w:r>
          </w:p>
          <w:p w:rsidR="002A21AE" w:rsidRDefault="002A21AE">
            <w:pPr>
              <w:pStyle w:val="TableTextNumbersContinued"/>
            </w:pPr>
          </w:p>
          <w:p w:rsidR="005E16D4" w:rsidRDefault="005E16D4">
            <w:pPr>
              <w:pStyle w:val="TableTextNumbersContinued"/>
            </w:pPr>
            <w:r>
              <w:t>Enter part or all of a laboratory test name.</w:t>
            </w:r>
          </w:p>
          <w:p w:rsidR="005E16D4" w:rsidRDefault="005E16D4">
            <w:pPr>
              <w:pStyle w:val="TableTextNumbersContinued"/>
            </w:pPr>
          </w:p>
          <w:p w:rsidR="005E16D4" w:rsidRDefault="005E16D4">
            <w:pPr>
              <w:pStyle w:val="TableTextNumbersContinued"/>
            </w:pPr>
            <w:r>
              <w:t xml:space="preserve">Click </w:t>
            </w:r>
            <w:r w:rsidRPr="005E16D4">
              <w:rPr>
                <w:b/>
              </w:rPr>
              <w:t>Search</w:t>
            </w:r>
            <w:r>
              <w:t>.</w:t>
            </w:r>
          </w:p>
          <w:p w:rsidR="005E16D4" w:rsidRDefault="005E16D4">
            <w:pPr>
              <w:pStyle w:val="TableTextNumbersContinued"/>
            </w:pPr>
          </w:p>
          <w:p w:rsidR="002A21AE" w:rsidRDefault="002A21AE">
            <w:pPr>
              <w:pStyle w:val="TableTextNumbersContinued"/>
            </w:pPr>
            <w:r>
              <w:t xml:space="preserve">Click one </w:t>
            </w:r>
            <w:r w:rsidR="005E16D4">
              <w:t>to four</w:t>
            </w:r>
            <w:r>
              <w:t xml:space="preserve"> check boxes to select tests.</w:t>
            </w:r>
          </w:p>
          <w:p w:rsidR="002A21AE" w:rsidRDefault="002A21AE">
            <w:pPr>
              <w:pStyle w:val="TableTextNumbersContinued"/>
            </w:pPr>
          </w:p>
          <w:p w:rsidR="00E959B5" w:rsidRDefault="00E959B5">
            <w:pPr>
              <w:pStyle w:val="TableTextNumbersContinued"/>
            </w:pPr>
            <w:r>
              <w:t xml:space="preserve">Click </w:t>
            </w:r>
            <w:r w:rsidRPr="00E959B5">
              <w:rPr>
                <w:b/>
              </w:rPr>
              <w:t>OK</w:t>
            </w:r>
            <w:r>
              <w:t>.</w:t>
            </w:r>
          </w:p>
          <w:p w:rsidR="00E959B5" w:rsidRDefault="00E959B5">
            <w:pPr>
              <w:pStyle w:val="TableTextNumbersContinued"/>
            </w:pPr>
          </w:p>
          <w:p w:rsidR="002A21AE" w:rsidRDefault="002A21AE">
            <w:pPr>
              <w:pStyle w:val="TableTextNumbersContinued"/>
            </w:pPr>
            <w:r>
              <w:t xml:space="preserve">Click </w:t>
            </w:r>
            <w:r>
              <w:rPr>
                <w:b/>
              </w:rPr>
              <w:t>Add</w:t>
            </w:r>
            <w:r>
              <w:t xml:space="preserve"> to add the tests</w:t>
            </w:r>
            <w:r w:rsidR="005E5594">
              <w:t xml:space="preserve"> (</w:t>
            </w:r>
            <w:r w:rsidR="005E5594">
              <w:fldChar w:fldCharType="begin"/>
            </w:r>
            <w:r w:rsidR="005E5594">
              <w:instrText xml:space="preserve"> REF _Ref126472575 \h </w:instrText>
            </w:r>
            <w:r w:rsidR="005E5594">
              <w:fldChar w:fldCharType="separate"/>
            </w:r>
            <w:r w:rsidR="005F38BC">
              <w:t xml:space="preserve">Figure </w:t>
            </w:r>
            <w:r w:rsidR="005F38BC">
              <w:rPr>
                <w:noProof/>
              </w:rPr>
              <w:t>54</w:t>
            </w:r>
            <w:r w:rsidR="005E5594">
              <w:fldChar w:fldCharType="end"/>
            </w:r>
            <w:r w:rsidR="005E5594">
              <w:t>)</w:t>
            </w:r>
            <w:r>
              <w:t>, or</w:t>
            </w:r>
          </w:p>
          <w:p w:rsidR="002A21AE" w:rsidRDefault="002A21AE">
            <w:pPr>
              <w:pStyle w:val="TableTextNumbersContinued"/>
            </w:pPr>
          </w:p>
          <w:p w:rsidR="002A21AE" w:rsidRDefault="00C15633">
            <w:pPr>
              <w:pStyle w:val="TableTextNumbersContinued"/>
            </w:pPr>
            <w:r>
              <w:t xml:space="preserve">Click the </w:t>
            </w:r>
            <w:r>
              <w:rPr>
                <w:b/>
              </w:rPr>
              <w:t>Show Inactive Transfusion Effectiveness Report</w:t>
            </w:r>
            <w:r w:rsidR="008632FE">
              <w:rPr>
                <w:b/>
              </w:rPr>
              <w:t xml:space="preserve"> </w:t>
            </w:r>
            <w:r>
              <w:rPr>
                <w:b/>
              </w:rPr>
              <w:t xml:space="preserve">Tests </w:t>
            </w:r>
            <w:r w:rsidRPr="00D1100E">
              <w:t>check box</w:t>
            </w:r>
            <w:r>
              <w:t>, if desired.</w:t>
            </w:r>
            <w:r w:rsidR="002A21AE">
              <w:t xml:space="preserve"> </w:t>
            </w:r>
          </w:p>
          <w:p w:rsidR="002A21AE" w:rsidRDefault="002A21AE">
            <w:pPr>
              <w:pStyle w:val="TableTextNumbersContinued"/>
            </w:pPr>
          </w:p>
          <w:p w:rsidR="002A21AE" w:rsidRDefault="002A21AE">
            <w:pPr>
              <w:pStyle w:val="TableTextNumbersContinued"/>
            </w:pPr>
            <w:r>
              <w:t xml:space="preserve">Click </w:t>
            </w:r>
            <w:r>
              <w:rPr>
                <w:b/>
              </w:rPr>
              <w:t>Update</w:t>
            </w:r>
            <w:r>
              <w:t xml:space="preserve"> to edit the tests.</w:t>
            </w:r>
          </w:p>
        </w:tc>
        <w:tc>
          <w:tcPr>
            <w:tcW w:w="6120" w:type="dxa"/>
          </w:tcPr>
          <w:p w:rsidR="002A21AE" w:rsidRDefault="002A21AE">
            <w:pPr>
              <w:pStyle w:val="TableTextBullet"/>
            </w:pPr>
            <w:r>
              <w:t xml:space="preserve">Allows the user to enter one or more Transfusion Effectiveness Tests. </w:t>
            </w:r>
          </w:p>
          <w:p w:rsidR="002A21AE" w:rsidRDefault="002A21AE">
            <w:pPr>
              <w:pStyle w:val="TableTextBullet"/>
            </w:pPr>
            <w:r>
              <w:t>Uses VistALink to retrieve Laboratory test data for each of these indicators:</w:t>
            </w:r>
          </w:p>
          <w:p w:rsidR="002A21AE" w:rsidRDefault="002A21AE">
            <w:pPr>
              <w:pStyle w:val="TableTextBullet1"/>
            </w:pPr>
            <w:r>
              <w:t>Laboratory test name</w:t>
            </w:r>
          </w:p>
          <w:p w:rsidR="002A21AE" w:rsidRDefault="00CA0045">
            <w:pPr>
              <w:pStyle w:val="TableTextBullet1"/>
            </w:pPr>
            <w:r w:rsidRPr="00CA0045">
              <w:rPr>
                <w:bCs/>
              </w:rPr>
              <w:t>VistA</w:t>
            </w:r>
            <w:r w:rsidR="002A21AE">
              <w:t xml:space="preserve"> Laboratory test Internal Entry Number (IEN)</w:t>
            </w:r>
          </w:p>
          <w:p w:rsidR="002A21AE" w:rsidRDefault="002A21AE">
            <w:pPr>
              <w:pStyle w:val="TableTextBullet1"/>
            </w:pPr>
            <w:r>
              <w:t>Specimen type</w:t>
            </w:r>
          </w:p>
        </w:tc>
      </w:tr>
      <w:tr w:rsidR="002A21AE">
        <w:tblPrEx>
          <w:tblCellMar>
            <w:top w:w="0" w:type="dxa"/>
            <w:bottom w:w="0" w:type="dxa"/>
          </w:tblCellMar>
        </w:tblPrEx>
        <w:tc>
          <w:tcPr>
            <w:tcW w:w="3240" w:type="dxa"/>
          </w:tcPr>
          <w:p w:rsidR="002A21AE" w:rsidRDefault="002A21AE">
            <w:pPr>
              <w:pStyle w:val="TableTextNumbers"/>
            </w:pPr>
            <w:r>
              <w:t xml:space="preserve">Repeat Step 2 for each Transfusion Effectiveness Test to be defined, or click </w:t>
            </w:r>
            <w:r>
              <w:rPr>
                <w:b/>
              </w:rPr>
              <w:t>Cancel</w:t>
            </w:r>
            <w:r>
              <w:t xml:space="preserve"> to exit. </w:t>
            </w:r>
          </w:p>
        </w:tc>
        <w:tc>
          <w:tcPr>
            <w:tcW w:w="6120" w:type="dxa"/>
          </w:tcPr>
          <w:p w:rsidR="002A21AE" w:rsidRDefault="002A21AE">
            <w:pPr>
              <w:pStyle w:val="TableText"/>
            </w:pPr>
          </w:p>
        </w:tc>
      </w:tr>
      <w:tr w:rsidR="00E51B8B">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E51B8B" w:rsidRDefault="00E51B8B" w:rsidP="00E51B8B">
            <w:pPr>
              <w:pStyle w:val="TableTextNumbers"/>
            </w:pPr>
            <w:r>
              <w:t xml:space="preserve">Click </w:t>
            </w:r>
            <w:r w:rsidRPr="00E51B8B">
              <w:rPr>
                <w:b/>
              </w:rPr>
              <w:t>OK</w:t>
            </w:r>
            <w:r>
              <w:t xml:space="preserve"> to save</w:t>
            </w:r>
            <w:r w:rsidR="00F8353F">
              <w:t xml:space="preserve"> and </w:t>
            </w:r>
            <w:r w:rsidR="00F8353F" w:rsidRPr="00F8353F">
              <w:rPr>
                <w:b/>
              </w:rPr>
              <w:t>Yes</w:t>
            </w:r>
            <w:r w:rsidR="00F8353F">
              <w:t xml:space="preserve"> to confirm the save</w:t>
            </w:r>
            <w: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rsidR="00E51B8B" w:rsidRDefault="00E51B8B" w:rsidP="00EF41C4">
            <w:pPr>
              <w:pStyle w:val="TableTextBullet"/>
            </w:pPr>
            <w:r>
              <w:t>Updates the database, including the date and time and the technologist ID. Saves changes to previously defined tests for inclusion in an Audit Trail Report.</w:t>
            </w:r>
          </w:p>
        </w:tc>
      </w:tr>
    </w:tbl>
    <w:p w:rsidR="005E5594" w:rsidRDefault="005E5594" w:rsidP="005E5594">
      <w:pPr>
        <w:pStyle w:val="Caption"/>
      </w:pPr>
      <w:bookmarkStart w:id="213" w:name="_Ref126472575"/>
      <w:r>
        <w:lastRenderedPageBreak/>
        <w:t xml:space="preserve">Figure </w:t>
      </w:r>
      <w:r w:rsidR="00C17F7C">
        <w:fldChar w:fldCharType="begin"/>
      </w:r>
      <w:r w:rsidR="00C17F7C">
        <w:instrText xml:space="preserve"> SEQ Figure \* ARABIC </w:instrText>
      </w:r>
      <w:r w:rsidR="00C17F7C">
        <w:fldChar w:fldCharType="separate"/>
      </w:r>
      <w:r w:rsidR="005F38BC">
        <w:rPr>
          <w:noProof/>
        </w:rPr>
        <w:t>54</w:t>
      </w:r>
      <w:r w:rsidR="00C17F7C">
        <w:fldChar w:fldCharType="end"/>
      </w:r>
      <w:bookmarkEnd w:id="213"/>
      <w:r>
        <w:t>: Transfusion Effectiveness Report Tests</w:t>
      </w:r>
    </w:p>
    <w:p w:rsidR="005E5594" w:rsidRDefault="00634BFC" w:rsidP="005E5594">
      <w:pPr>
        <w:pStyle w:val="BodyText"/>
      </w:pPr>
      <w:r>
        <w:rPr>
          <w:noProof/>
        </w:rPr>
        <w:drawing>
          <wp:inline distT="0" distB="0" distL="0" distR="0">
            <wp:extent cx="3457575" cy="288607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457575" cy="2886075"/>
                    </a:xfrm>
                    <a:prstGeom prst="rect">
                      <a:avLst/>
                    </a:prstGeom>
                    <a:noFill/>
                    <a:ln>
                      <a:noFill/>
                    </a:ln>
                  </pic:spPr>
                </pic:pic>
              </a:graphicData>
            </a:graphic>
          </wp:inline>
        </w:drawing>
      </w:r>
    </w:p>
    <w:p w:rsidR="00D75EF6" w:rsidRDefault="00D75EF6" w:rsidP="005E5594">
      <w:pPr>
        <w:pStyle w:val="Heading3"/>
      </w:pPr>
      <w:bookmarkStart w:id="214" w:name="_Toc459900098"/>
      <w:bookmarkEnd w:id="212"/>
      <w:r>
        <w:t>MSBOS</w:t>
      </w:r>
      <w:bookmarkEnd w:id="214"/>
      <w:r>
        <w:fldChar w:fldCharType="begin"/>
      </w:r>
      <w:r>
        <w:instrText xml:space="preserve"> XE “MSBOS” </w:instrText>
      </w:r>
      <w:r>
        <w:fldChar w:fldCharType="end"/>
      </w:r>
      <w:r>
        <w:t xml:space="preserve"> </w:t>
      </w:r>
      <w:r>
        <w:rPr>
          <w:rFonts w:ascii="Times New Roman" w:hAnsi="Times New Roman" w:cs="Times New Roman"/>
          <w:vanish/>
          <w:sz w:val="22"/>
        </w:rPr>
        <w:t>UC_32</w:t>
      </w:r>
    </w:p>
    <w:p w:rsidR="00D75EF6" w:rsidRDefault="00D75EF6" w:rsidP="00D75EF6">
      <w:pPr>
        <w:pStyle w:val="BodyText"/>
      </w:pPr>
      <w:r>
        <w:t xml:space="preserve">The user defines parameters for comparing blood component orders placed by a clinician with the Maximum Surgical Blood Ordering Schedule (MSBOS). </w:t>
      </w:r>
    </w:p>
    <w:p w:rsidR="00D75EF6" w:rsidRDefault="00D75EF6" w:rsidP="00D75EF6">
      <w:pPr>
        <w:pStyle w:val="Heading4"/>
      </w:pPr>
      <w:r>
        <w:t>Assumptions</w:t>
      </w:r>
    </w:p>
    <w:p w:rsidR="00D75EF6" w:rsidRDefault="00D75EF6" w:rsidP="00D75EF6">
      <w:pPr>
        <w:pStyle w:val="ListBullet"/>
      </w:pPr>
      <w:r>
        <w:t>A table of generic surgery names is available for MSBOS activation.</w:t>
      </w:r>
      <w:r>
        <w:rPr>
          <w:noProof/>
        </w:rPr>
        <w:t xml:space="preserve"> </w:t>
      </w:r>
    </w:p>
    <w:p w:rsidR="00D75EF6" w:rsidRDefault="00D75EF6" w:rsidP="00D75EF6">
      <w:pPr>
        <w:pStyle w:val="Heading4"/>
      </w:pPr>
      <w:r>
        <w:t>Outcome</w:t>
      </w:r>
    </w:p>
    <w:p w:rsidR="00D75EF6" w:rsidRDefault="00D75EF6" w:rsidP="00D75EF6">
      <w:pPr>
        <w:pStyle w:val="ListBullet"/>
      </w:pPr>
      <w:r>
        <w:t xml:space="preserve">CPRS users will see only active surgery names when placing a blood bank order. </w:t>
      </w:r>
    </w:p>
    <w:p w:rsidR="00D75EF6" w:rsidRDefault="00D75EF6" w:rsidP="00D75EF6">
      <w:pPr>
        <w:pStyle w:val="ListBullet"/>
      </w:pPr>
      <w:r>
        <w:t xml:space="preserve">MSBOS will be available to VBECS users to evaluate the appropriateness of </w:t>
      </w:r>
      <w:r w:rsidR="00200425">
        <w:t xml:space="preserve">pre-op </w:t>
      </w:r>
      <w:r>
        <w:t>orders.</w:t>
      </w:r>
    </w:p>
    <w:p w:rsidR="00D75EF6" w:rsidRDefault="00D75EF6" w:rsidP="00D75EF6">
      <w:pPr>
        <w:pStyle w:val="Heading4"/>
      </w:pPr>
      <w:r>
        <w:t>Limitations and Restrictions</w:t>
      </w:r>
    </w:p>
    <w:p w:rsidR="00D75EF6" w:rsidRDefault="00D75EF6" w:rsidP="00D75EF6">
      <w:pPr>
        <w:pStyle w:val="ListBullet"/>
      </w:pPr>
      <w:r>
        <w:t>None</w:t>
      </w:r>
    </w:p>
    <w:p w:rsidR="00D75EF6" w:rsidRDefault="00D75EF6" w:rsidP="00D75EF6">
      <w:pPr>
        <w:pStyle w:val="Heading4"/>
      </w:pPr>
      <w:r>
        <w:t>Additional Information</w:t>
      </w:r>
    </w:p>
    <w:p w:rsidR="00D75EF6" w:rsidRDefault="00D75EF6" w:rsidP="00D75EF6">
      <w:pPr>
        <w:pStyle w:val="ListBullet"/>
      </w:pPr>
      <w:r>
        <w:t>The maximum number of blood products serves as a guideline. Orders in excess of the MSBOS are not prohibited.</w:t>
      </w:r>
    </w:p>
    <w:p w:rsidR="00D75EF6" w:rsidRDefault="00D75EF6" w:rsidP="00D75EF6">
      <w:pPr>
        <w:pStyle w:val="ListBullet"/>
      </w:pPr>
      <w:r>
        <w:t>The VBECS user may view active and inactive surgery names.</w:t>
      </w:r>
    </w:p>
    <w:p w:rsidR="00D75EF6" w:rsidRDefault="00D75EF6" w:rsidP="00D75EF6">
      <w:pPr>
        <w:pStyle w:val="Heading4"/>
      </w:pPr>
      <w:r>
        <w:t>User Roles with Access to This Option</w:t>
      </w:r>
    </w:p>
    <w:p w:rsidR="00D75EF6" w:rsidRDefault="00D75EF6" w:rsidP="00D75EF6">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rsidR="00D75EF6" w:rsidRDefault="00D75EF6" w:rsidP="00D75EF6">
      <w:pPr>
        <w:pStyle w:val="Heading4"/>
      </w:pPr>
      <w:r>
        <w:t>MSBOS</w:t>
      </w:r>
    </w:p>
    <w:p w:rsidR="00D75EF6" w:rsidRDefault="00D75EF6" w:rsidP="00D75EF6">
      <w:pPr>
        <w:pStyle w:val="BodyText"/>
      </w:pPr>
      <w:r>
        <w:t xml:space="preserve">The user selects a surgery name from the generic surgery list or creates a new surgery name, then defines the associated MSBOS recommendation. MSBOS is used when VBECS acknowledges orders from </w:t>
      </w:r>
      <w:r w:rsidRPr="00CA0045">
        <w:rPr>
          <w:bCs/>
        </w:rPr>
        <w:t>VistA</w:t>
      </w:r>
      <w:r>
        <w:t xml:space="preserve"> that are written for preoperative patients.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D75EF6">
        <w:tblPrEx>
          <w:tblCellMar>
            <w:top w:w="0" w:type="dxa"/>
            <w:bottom w:w="0" w:type="dxa"/>
          </w:tblCellMar>
        </w:tblPrEx>
        <w:trPr>
          <w:tblHeader/>
        </w:trPr>
        <w:tc>
          <w:tcPr>
            <w:tcW w:w="3240" w:type="dxa"/>
            <w:shd w:val="pct30" w:color="auto" w:fill="FFFFFF"/>
            <w:vAlign w:val="bottom"/>
          </w:tcPr>
          <w:p w:rsidR="00D75EF6" w:rsidRDefault="00D75EF6" w:rsidP="00DB1D38">
            <w:pPr>
              <w:pStyle w:val="TableText"/>
              <w:rPr>
                <w:b/>
              </w:rPr>
            </w:pPr>
            <w:r>
              <w:rPr>
                <w:b/>
              </w:rPr>
              <w:lastRenderedPageBreak/>
              <w:t>User Action</w:t>
            </w:r>
          </w:p>
        </w:tc>
        <w:tc>
          <w:tcPr>
            <w:tcW w:w="6120" w:type="dxa"/>
            <w:shd w:val="pct30" w:color="auto" w:fill="FFFFFF"/>
            <w:vAlign w:val="bottom"/>
          </w:tcPr>
          <w:p w:rsidR="00D75EF6" w:rsidRDefault="00D75EF6" w:rsidP="00DB1D38">
            <w:pPr>
              <w:pStyle w:val="TableText"/>
              <w:rPr>
                <w:b/>
              </w:rPr>
            </w:pPr>
            <w:r>
              <w:rPr>
                <w:b/>
              </w:rPr>
              <w:t>VBECS</w:t>
            </w:r>
          </w:p>
        </w:tc>
      </w:tr>
      <w:tr w:rsidR="00D75EF6">
        <w:tblPrEx>
          <w:tblCellMar>
            <w:top w:w="0" w:type="dxa"/>
            <w:bottom w:w="0" w:type="dxa"/>
          </w:tblCellMar>
        </w:tblPrEx>
        <w:tc>
          <w:tcPr>
            <w:tcW w:w="3240" w:type="dxa"/>
          </w:tcPr>
          <w:p w:rsidR="00D75EF6" w:rsidRDefault="00D75EF6" w:rsidP="00DB1D38">
            <w:pPr>
              <w:pStyle w:val="TableTextNumbers"/>
            </w:pPr>
            <w:r>
              <w:t xml:space="preserve">Select </w:t>
            </w:r>
            <w:r>
              <w:rPr>
                <w:b/>
                <w:bCs/>
              </w:rPr>
              <w:t>Tools</w:t>
            </w:r>
            <w:r>
              <w:t xml:space="preserve"> from the main menu.</w:t>
            </w:r>
          </w:p>
          <w:p w:rsidR="00D75EF6" w:rsidRDefault="00D75EF6" w:rsidP="00DB1D38">
            <w:pPr>
              <w:pStyle w:val="TableTextNumbersContinued"/>
            </w:pPr>
          </w:p>
          <w:p w:rsidR="00D75EF6" w:rsidRDefault="00D75EF6" w:rsidP="00DB1D38">
            <w:pPr>
              <w:pStyle w:val="TableTextNumbersContinued"/>
            </w:pPr>
            <w:r>
              <w:t xml:space="preserve">Select </w:t>
            </w:r>
            <w:r>
              <w:rPr>
                <w:b/>
              </w:rPr>
              <w:t>MSBOS</w:t>
            </w:r>
            <w:r>
              <w:t>.</w:t>
            </w:r>
          </w:p>
        </w:tc>
        <w:tc>
          <w:tcPr>
            <w:tcW w:w="6120" w:type="dxa"/>
          </w:tcPr>
          <w:p w:rsidR="00D75EF6" w:rsidRDefault="00D75EF6" w:rsidP="00DB1D38">
            <w:pPr>
              <w:pStyle w:val="TableTextBullet"/>
            </w:pPr>
            <w:r>
              <w:t>Displays options for processing administrative functions.</w:t>
            </w:r>
          </w:p>
          <w:p w:rsidR="00D75EF6" w:rsidRDefault="00D75EF6" w:rsidP="00DB1D38">
            <w:pPr>
              <w:pStyle w:val="TableTextBullet"/>
            </w:pPr>
            <w:r>
              <w:t xml:space="preserve">Displays the schedule and component recommendation options. </w:t>
            </w:r>
          </w:p>
        </w:tc>
      </w:tr>
      <w:tr w:rsidR="00D75EF6">
        <w:tblPrEx>
          <w:tblCellMar>
            <w:top w:w="0" w:type="dxa"/>
            <w:bottom w:w="0" w:type="dxa"/>
          </w:tblCellMar>
        </w:tblPrEx>
        <w:tc>
          <w:tcPr>
            <w:tcW w:w="3240" w:type="dxa"/>
          </w:tcPr>
          <w:p w:rsidR="00D75EF6" w:rsidRDefault="00D75EF6" w:rsidP="00DB1D38">
            <w:pPr>
              <w:pStyle w:val="TableTextNumbers"/>
            </w:pPr>
            <w:r>
              <w:t xml:space="preserve">To activate an existing surgery name, click the </w:t>
            </w:r>
            <w:r>
              <w:rPr>
                <w:b/>
                <w:bCs/>
              </w:rPr>
              <w:t xml:space="preserve">Show Inactive MSBOS entries </w:t>
            </w:r>
            <w:r w:rsidRPr="00D1100E">
              <w:rPr>
                <w:bCs/>
              </w:rPr>
              <w:t>check box</w:t>
            </w:r>
            <w:r w:rsidR="00070D1C">
              <w:rPr>
                <w:bCs/>
              </w:rPr>
              <w:t xml:space="preserve"> (</w:t>
            </w:r>
            <w:r w:rsidR="00070D1C">
              <w:rPr>
                <w:bCs/>
              </w:rPr>
              <w:fldChar w:fldCharType="begin"/>
            </w:r>
            <w:r w:rsidR="00070D1C">
              <w:rPr>
                <w:bCs/>
              </w:rPr>
              <w:instrText xml:space="preserve"> REF _Ref126472861 \h </w:instrText>
            </w:r>
            <w:r w:rsidR="006A1989" w:rsidRPr="00070D1C">
              <w:rPr>
                <w:bCs/>
              </w:rPr>
            </w:r>
            <w:r w:rsidR="00070D1C">
              <w:rPr>
                <w:bCs/>
              </w:rPr>
              <w:fldChar w:fldCharType="separate"/>
            </w:r>
            <w:r w:rsidR="005F38BC">
              <w:t xml:space="preserve">Figure </w:t>
            </w:r>
            <w:r w:rsidR="005F38BC">
              <w:rPr>
                <w:noProof/>
              </w:rPr>
              <w:t>55</w:t>
            </w:r>
            <w:r w:rsidR="00070D1C">
              <w:rPr>
                <w:bCs/>
              </w:rPr>
              <w:fldChar w:fldCharType="end"/>
            </w:r>
            <w:r w:rsidR="00070D1C">
              <w:rPr>
                <w:bCs/>
              </w:rPr>
              <w:t>)</w:t>
            </w:r>
            <w:r>
              <w:t>.</w:t>
            </w:r>
          </w:p>
          <w:p w:rsidR="00D75EF6" w:rsidRDefault="00D75EF6" w:rsidP="00DB1D38">
            <w:pPr>
              <w:pStyle w:val="TableTextNumbersContinued"/>
            </w:pPr>
          </w:p>
          <w:p w:rsidR="00D75EF6" w:rsidRDefault="00D75EF6" w:rsidP="00DB1D38">
            <w:pPr>
              <w:pStyle w:val="TableTextNumbersContinued"/>
            </w:pPr>
            <w:r>
              <w:t>Select a surgery name.</w:t>
            </w:r>
          </w:p>
          <w:p w:rsidR="00D75EF6" w:rsidRDefault="00D75EF6" w:rsidP="00DB1D38">
            <w:pPr>
              <w:pStyle w:val="TableTextNumbersContinued"/>
            </w:pPr>
          </w:p>
          <w:p w:rsidR="00D75EF6" w:rsidRDefault="00D75EF6" w:rsidP="00DB1D38">
            <w:pPr>
              <w:pStyle w:val="TableTextNumbersContinued"/>
            </w:pPr>
            <w:r>
              <w:t xml:space="preserve">Click the </w:t>
            </w:r>
            <w:r>
              <w:rPr>
                <w:b/>
                <w:bCs/>
              </w:rPr>
              <w:t xml:space="preserve">Active MSBOS Entry? </w:t>
            </w:r>
            <w:r w:rsidRPr="00D1100E">
              <w:rPr>
                <w:bCs/>
              </w:rPr>
              <w:t>check box</w:t>
            </w:r>
            <w:r>
              <w:t>, or</w:t>
            </w:r>
          </w:p>
          <w:p w:rsidR="00D75EF6" w:rsidRDefault="00D75EF6" w:rsidP="00DB1D38">
            <w:pPr>
              <w:pStyle w:val="TableTextNumbersContinued"/>
            </w:pPr>
          </w:p>
          <w:p w:rsidR="00D75EF6" w:rsidRDefault="00D75EF6" w:rsidP="00DB1D38">
            <w:pPr>
              <w:pStyle w:val="TableTextNumbersContinued"/>
            </w:pPr>
            <w:r>
              <w:t xml:space="preserve">To add and activate a surgery name, click </w:t>
            </w:r>
            <w:r>
              <w:rPr>
                <w:b/>
                <w:bCs/>
              </w:rPr>
              <w:t xml:space="preserve">New Surgery </w:t>
            </w:r>
            <w:r>
              <w:t xml:space="preserve">and enter a surgery name in the Surgery Name field. Click </w:t>
            </w:r>
            <w:r>
              <w:rPr>
                <w:b/>
                <w:bCs/>
              </w:rPr>
              <w:t>Add</w:t>
            </w:r>
            <w:r>
              <w:t xml:space="preserve">, or </w:t>
            </w:r>
          </w:p>
          <w:p w:rsidR="00D75EF6" w:rsidRDefault="00D75EF6" w:rsidP="00DB1D38">
            <w:pPr>
              <w:pStyle w:val="TableTextNumbersContinued"/>
            </w:pPr>
          </w:p>
          <w:p w:rsidR="00D75EF6" w:rsidRDefault="00D75EF6" w:rsidP="00DB1D38">
            <w:pPr>
              <w:pStyle w:val="TableTextNumbersContinued"/>
            </w:pPr>
            <w:r>
              <w:t xml:space="preserve">To edit and/or inactivate an existing surgery name, click the appropriate options in the MSBOS Component Recommendation area of the screen edit. Click </w:t>
            </w:r>
            <w:r>
              <w:rPr>
                <w:b/>
                <w:bCs/>
              </w:rPr>
              <w:t>Update</w:t>
            </w:r>
            <w:r>
              <w:t>.</w:t>
            </w:r>
          </w:p>
        </w:tc>
        <w:tc>
          <w:tcPr>
            <w:tcW w:w="6120" w:type="dxa"/>
          </w:tcPr>
          <w:p w:rsidR="00D75EF6" w:rsidRDefault="00D75EF6" w:rsidP="00DB1D38">
            <w:pPr>
              <w:pStyle w:val="TableTextBullet"/>
            </w:pPr>
            <w:r>
              <w:t>Lists active surgery names or allows the user to create an entry.</w:t>
            </w:r>
          </w:p>
          <w:p w:rsidR="00D75EF6" w:rsidRDefault="00D75EF6" w:rsidP="00DB1D38">
            <w:pPr>
              <w:pStyle w:val="TableTextBullet"/>
            </w:pPr>
            <w:r>
              <w:t>Activate, add, or edit a MSBOS entry and its associated data.</w:t>
            </w:r>
          </w:p>
          <w:p w:rsidR="00D75EF6" w:rsidRDefault="00D75EF6" w:rsidP="00DB1D38">
            <w:pPr>
              <w:pStyle w:val="TableTextBullet"/>
            </w:pPr>
            <w:r>
              <w:t>Displays surgery names available for activation.</w:t>
            </w:r>
          </w:p>
          <w:p w:rsidR="00D75EF6" w:rsidRDefault="00D75EF6" w:rsidP="00DB1D38">
            <w:pPr>
              <w:pStyle w:val="TableTextBullet"/>
            </w:pPr>
            <w:r>
              <w:t>Displays entries for review and acceptance.</w:t>
            </w:r>
          </w:p>
          <w:p w:rsidR="00D75EF6" w:rsidRDefault="00D75EF6" w:rsidP="00DB1D38">
            <w:pPr>
              <w:pStyle w:val="TableText"/>
            </w:pPr>
          </w:p>
          <w:p w:rsidR="00D75EF6" w:rsidRDefault="00634BFC" w:rsidP="00DB1D38">
            <w:pPr>
              <w:pStyle w:val="TableText"/>
              <w:rPr>
                <w:b/>
                <w:bCs/>
                <w:szCs w:val="18"/>
              </w:rPr>
            </w:pPr>
            <w:r>
              <w:rPr>
                <w:b/>
                <w:bCs/>
                <w:noProof/>
              </w:rPr>
              <mc:AlternateContent>
                <mc:Choice Requires="wps">
                  <w:drawing>
                    <wp:anchor distT="0" distB="0" distL="114300" distR="114300" simplePos="0" relativeHeight="25173657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48" name="Line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1" o:spid="_x0000_s1026" style="position:absolute;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CG&#10;oR+XFgIAAC4EAAAOAAAAAAAAAAAAAAAAAC4CAABkcnMvZTJvRG9jLnhtbFBLAQItABQABgAIAAAA&#10;IQAXTzAS2wAAAAgBAAAPAAAAAAAAAAAAAAAAAHAEAABkcnMvZG93bnJldi54bWxQSwUGAAAAAAQA&#10;BADzAAAAeAUAAAAA&#10;" strokeweight="1.5pt"/>
                  </w:pict>
                </mc:Fallback>
              </mc:AlternateContent>
            </w:r>
            <w:r w:rsidR="00D75EF6">
              <w:rPr>
                <w:b/>
                <w:bCs/>
                <w:szCs w:val="18"/>
              </w:rPr>
              <w:t>NOTES</w:t>
            </w:r>
          </w:p>
          <w:p w:rsidR="00D75EF6" w:rsidRDefault="00D75EF6" w:rsidP="00DB1D38">
            <w:pPr>
              <w:pStyle w:val="NotesText"/>
            </w:pPr>
          </w:p>
          <w:p w:rsidR="00D75EF6" w:rsidRDefault="00D75EF6" w:rsidP="00DB1D38">
            <w:pPr>
              <w:pStyle w:val="NotesText"/>
            </w:pPr>
            <w:r w:rsidRPr="009660C3">
              <w:rPr>
                <w:vanish/>
                <w:szCs w:val="18"/>
              </w:rPr>
              <w:t xml:space="preserve">BR_32.01 </w:t>
            </w:r>
            <w:r>
              <w:t>MSBOS is specific to the division.</w:t>
            </w:r>
          </w:p>
          <w:p w:rsidR="00D75EF6" w:rsidRDefault="00D75EF6" w:rsidP="00DB1D38">
            <w:pPr>
              <w:pStyle w:val="NotesText"/>
            </w:pPr>
          </w:p>
          <w:p w:rsidR="00D75EF6" w:rsidRDefault="00D75EF6" w:rsidP="00DB1D38">
            <w:pPr>
              <w:pStyle w:val="NotesText"/>
            </w:pPr>
            <w:r>
              <w:t xml:space="preserve">See </w:t>
            </w:r>
            <w:r w:rsidR="00543DAF">
              <w:fldChar w:fldCharType="begin"/>
            </w:r>
            <w:r w:rsidR="00543DAF">
              <w:instrText xml:space="preserve"> REF _Ref170004931 \h </w:instrText>
            </w:r>
            <w:r w:rsidR="00543DAF">
              <w:fldChar w:fldCharType="separate"/>
            </w:r>
            <w:r w:rsidR="005F38BC">
              <w:t xml:space="preserve">Appendix </w:t>
            </w:r>
            <w:r w:rsidR="005F38BC">
              <w:rPr>
                <w:noProof/>
              </w:rPr>
              <w:t>B</w:t>
            </w:r>
            <w:r w:rsidR="00543DAF">
              <w:fldChar w:fldCharType="end"/>
            </w:r>
            <w:r w:rsidR="00DB529D">
              <w:t xml:space="preserve">: </w:t>
            </w:r>
            <w:r w:rsidR="00DA05C9">
              <w:fldChar w:fldCharType="begin"/>
            </w:r>
            <w:r w:rsidR="00DA05C9">
              <w:instrText xml:space="preserve"> REF _Ref126484549 \h </w:instrText>
            </w:r>
            <w:r w:rsidR="00DA05C9">
              <w:fldChar w:fldCharType="separate"/>
            </w:r>
            <w:r w:rsidR="005F38BC">
              <w:t xml:space="preserve">Table </w:t>
            </w:r>
            <w:r w:rsidR="005F38BC">
              <w:rPr>
                <w:noProof/>
              </w:rPr>
              <w:t>25</w:t>
            </w:r>
            <w:r w:rsidR="005F38BC">
              <w:t xml:space="preserve">: </w:t>
            </w:r>
            <w:r w:rsidR="005F38BC">
              <w:rPr>
                <w:vanish/>
              </w:rPr>
              <w:t>PT_32.01</w:t>
            </w:r>
            <w:r w:rsidR="005F38BC">
              <w:rPr>
                <w:vanish/>
                <w:sz w:val="16"/>
              </w:rPr>
              <w:t xml:space="preserve"> </w:t>
            </w:r>
            <w:r w:rsidR="005F38BC">
              <w:t>VBECS Maximum Surgical Blood Order Schedule (MSBOS)</w:t>
            </w:r>
            <w:r w:rsidR="00DA05C9">
              <w:fldChar w:fldCharType="end"/>
            </w:r>
            <w:r>
              <w:t>.</w:t>
            </w:r>
          </w:p>
          <w:p w:rsidR="00D75EF6" w:rsidRDefault="00D75EF6" w:rsidP="00DB1D38">
            <w:pPr>
              <w:pStyle w:val="NotesText"/>
            </w:pPr>
          </w:p>
          <w:p w:rsidR="00D75EF6" w:rsidRDefault="00D75EF6" w:rsidP="00DB1D38">
            <w:pPr>
              <w:pStyle w:val="NotesText"/>
            </w:pPr>
            <w:r w:rsidRPr="009660C3">
              <w:rPr>
                <w:vanish/>
                <w:szCs w:val="18"/>
              </w:rPr>
              <w:t xml:space="preserve">BR_32.04 </w:t>
            </w:r>
            <w:r>
              <w:t>Each surgery name has a Type &amp; Screen (TAS) (no blood order recommended) or one or more component classes defined as recommended orders.</w:t>
            </w:r>
          </w:p>
          <w:p w:rsidR="00D75EF6" w:rsidRDefault="00D75EF6" w:rsidP="00DB1D38">
            <w:pPr>
              <w:pStyle w:val="NotesText"/>
            </w:pPr>
          </w:p>
          <w:p w:rsidR="00D75EF6" w:rsidRDefault="00D75EF6" w:rsidP="00DB1D38">
            <w:pPr>
              <w:pStyle w:val="NotesText"/>
            </w:pPr>
            <w:r w:rsidRPr="009660C3">
              <w:rPr>
                <w:vanish/>
                <w:szCs w:val="18"/>
              </w:rPr>
              <w:t>BR_32.02</w:t>
            </w:r>
            <w:r w:rsidR="009660C3" w:rsidRPr="009660C3">
              <w:rPr>
                <w:vanish/>
                <w:szCs w:val="18"/>
              </w:rPr>
              <w:t>,</w:t>
            </w:r>
            <w:r w:rsidRPr="009660C3">
              <w:rPr>
                <w:vanish/>
                <w:szCs w:val="18"/>
              </w:rPr>
              <w:t xml:space="preserve"> BR_32.03 </w:t>
            </w:r>
            <w:r>
              <w:t>The user may select one or more component classes for MSBOS recommendation. Each defined component class must have an associated maximum number recommended. The user may inactivate previously activated component classes for an MSBOS recommendation. The OTHER component class is not available for selection.</w:t>
            </w:r>
          </w:p>
        </w:tc>
      </w:tr>
      <w:tr w:rsidR="00D75EF6">
        <w:tblPrEx>
          <w:tblCellMar>
            <w:top w:w="0" w:type="dxa"/>
            <w:bottom w:w="0" w:type="dxa"/>
          </w:tblCellMar>
        </w:tblPrEx>
        <w:tc>
          <w:tcPr>
            <w:tcW w:w="3240" w:type="dxa"/>
          </w:tcPr>
          <w:p w:rsidR="00D75EF6" w:rsidRDefault="00D75EF6" w:rsidP="00DB1D38">
            <w:pPr>
              <w:pStyle w:val="TableTextNumbers"/>
            </w:pPr>
            <w:r>
              <w:t>Repeat Step 2 until all new entries are created or existing entries are edited.</w:t>
            </w:r>
          </w:p>
          <w:p w:rsidR="00D75EF6" w:rsidRDefault="00D75EF6" w:rsidP="00DB1D38">
            <w:pPr>
              <w:pStyle w:val="TableTextNumbersContinued"/>
            </w:pPr>
          </w:p>
          <w:p w:rsidR="00D75EF6" w:rsidRDefault="00D75EF6" w:rsidP="00DB1D38">
            <w:pPr>
              <w:pStyle w:val="TableTextNumbersContinued"/>
            </w:pPr>
            <w:r>
              <w:t xml:space="preserve">Click </w:t>
            </w:r>
            <w:r>
              <w:rPr>
                <w:b/>
              </w:rPr>
              <w:t>OK</w:t>
            </w:r>
            <w:r>
              <w:t xml:space="preserve"> to save the updated data.</w:t>
            </w:r>
          </w:p>
        </w:tc>
        <w:tc>
          <w:tcPr>
            <w:tcW w:w="6120" w:type="dxa"/>
          </w:tcPr>
          <w:p w:rsidR="00D75EF6" w:rsidRDefault="00D75EF6" w:rsidP="00DB1D38">
            <w:pPr>
              <w:pStyle w:val="TableText"/>
              <w:rPr>
                <w:b/>
                <w:bCs/>
                <w:szCs w:val="18"/>
              </w:rPr>
            </w:pPr>
          </w:p>
          <w:p w:rsidR="00D75EF6" w:rsidRDefault="00634BFC" w:rsidP="00DB1D38">
            <w:pPr>
              <w:pStyle w:val="TableText"/>
              <w:rPr>
                <w:b/>
                <w:bCs/>
                <w:szCs w:val="18"/>
              </w:rPr>
            </w:pPr>
            <w:r>
              <w:rPr>
                <w:b/>
                <w:bCs/>
                <w:noProof/>
              </w:rPr>
              <mc:AlternateContent>
                <mc:Choice Requires="wps">
                  <w:drawing>
                    <wp:anchor distT="0" distB="0" distL="114300" distR="114300" simplePos="0" relativeHeight="25173760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47" name="Lin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2"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muFgIAAC4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A/&#10;ZlmuFgIAAC4EAAAOAAAAAAAAAAAAAAAAAC4CAABkcnMvZTJvRG9jLnhtbFBLAQItABQABgAIAAAA&#10;IQAXTzAS2wAAAAgBAAAPAAAAAAAAAAAAAAAAAHAEAABkcnMvZG93bnJldi54bWxQSwUGAAAAAAQA&#10;BADzAAAAeAUAAAAA&#10;" strokeweight="1.5pt"/>
                  </w:pict>
                </mc:Fallback>
              </mc:AlternateContent>
            </w:r>
            <w:r w:rsidR="00D75EF6">
              <w:rPr>
                <w:b/>
                <w:bCs/>
                <w:szCs w:val="18"/>
              </w:rPr>
              <w:t>NOTES</w:t>
            </w:r>
          </w:p>
          <w:p w:rsidR="00D75EF6" w:rsidRDefault="00D75EF6" w:rsidP="00DB1D38">
            <w:pPr>
              <w:pStyle w:val="NotesText"/>
            </w:pPr>
          </w:p>
          <w:p w:rsidR="00D75EF6" w:rsidRDefault="00D75EF6" w:rsidP="00DB1D38">
            <w:pPr>
              <w:pStyle w:val="NotesText"/>
            </w:pPr>
            <w:r>
              <w:t xml:space="preserve">VBECS does not save changes to the database when the user clicks </w:t>
            </w:r>
            <w:r>
              <w:rPr>
                <w:b/>
                <w:bCs/>
              </w:rPr>
              <w:t>Cancel</w:t>
            </w:r>
            <w:r>
              <w:t xml:space="preserve"> without clicking </w:t>
            </w:r>
            <w:r>
              <w:rPr>
                <w:b/>
                <w:bCs/>
              </w:rPr>
              <w:t>OK</w:t>
            </w:r>
            <w:r>
              <w:t>.</w:t>
            </w:r>
          </w:p>
        </w:tc>
      </w:tr>
      <w:tr w:rsidR="00D75EF6">
        <w:tblPrEx>
          <w:tblCellMar>
            <w:top w:w="0" w:type="dxa"/>
            <w:bottom w:w="0" w:type="dxa"/>
          </w:tblCellMar>
        </w:tblPrEx>
        <w:tc>
          <w:tcPr>
            <w:tcW w:w="3240" w:type="dxa"/>
          </w:tcPr>
          <w:p w:rsidR="00D75EF6" w:rsidRDefault="00D75EF6" w:rsidP="00DB1D38">
            <w:pPr>
              <w:pStyle w:val="TableTextNumbers"/>
            </w:pPr>
            <w:r>
              <w:t xml:space="preserve">Click </w:t>
            </w:r>
            <w:r>
              <w:rPr>
                <w:b/>
              </w:rPr>
              <w:t>Cancel</w:t>
            </w:r>
            <w:r>
              <w:rPr>
                <w:bCs/>
              </w:rPr>
              <w:t xml:space="preserve"> to exit</w:t>
            </w:r>
            <w:r>
              <w:t xml:space="preserve">.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rsidR="00D75EF6" w:rsidRDefault="00D75EF6" w:rsidP="00DB1D38">
            <w:pPr>
              <w:pStyle w:val="TableText"/>
            </w:pPr>
          </w:p>
        </w:tc>
      </w:tr>
    </w:tbl>
    <w:p w:rsidR="00070D1C" w:rsidRDefault="00070D1C" w:rsidP="00070D1C">
      <w:pPr>
        <w:pStyle w:val="Caption"/>
      </w:pPr>
      <w:bookmarkStart w:id="215" w:name="_Ref126472861"/>
      <w:r>
        <w:t xml:space="preserve">Figure </w:t>
      </w:r>
      <w:r w:rsidR="00C17F7C">
        <w:fldChar w:fldCharType="begin"/>
      </w:r>
      <w:r w:rsidR="00C17F7C">
        <w:instrText xml:space="preserve"> SEQ Figure \* ARABIC </w:instrText>
      </w:r>
      <w:r w:rsidR="00C17F7C">
        <w:fldChar w:fldCharType="separate"/>
      </w:r>
      <w:r w:rsidR="005F38BC">
        <w:rPr>
          <w:noProof/>
        </w:rPr>
        <w:t>55</w:t>
      </w:r>
      <w:r w:rsidR="00C17F7C">
        <w:fldChar w:fldCharType="end"/>
      </w:r>
      <w:bookmarkEnd w:id="215"/>
      <w:r>
        <w:t>: Maintain MSBOS</w:t>
      </w:r>
    </w:p>
    <w:p w:rsidR="00D75EF6" w:rsidRDefault="00634BFC" w:rsidP="00070D1C">
      <w:pPr>
        <w:pStyle w:val="BodyText"/>
      </w:pPr>
      <w:r>
        <w:rPr>
          <w:noProof/>
        </w:rPr>
        <w:drawing>
          <wp:inline distT="0" distB="0" distL="0" distR="0">
            <wp:extent cx="3543300" cy="29337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543300" cy="2933700"/>
                    </a:xfrm>
                    <a:prstGeom prst="rect">
                      <a:avLst/>
                    </a:prstGeom>
                    <a:noFill/>
                    <a:ln>
                      <a:noFill/>
                    </a:ln>
                  </pic:spPr>
                </pic:pic>
              </a:graphicData>
            </a:graphic>
          </wp:inline>
        </w:drawing>
      </w:r>
    </w:p>
    <w:p w:rsidR="002A21AE" w:rsidRDefault="002A21AE" w:rsidP="00D75EF6">
      <w:pPr>
        <w:pStyle w:val="Heading3"/>
      </w:pPr>
      <w:bookmarkStart w:id="216" w:name="_Toc459900099"/>
      <w:r>
        <w:lastRenderedPageBreak/>
        <w:t>Workload Codes</w:t>
      </w:r>
      <w:bookmarkEnd w:id="216"/>
      <w:r>
        <w:fldChar w:fldCharType="begin"/>
      </w:r>
      <w:r>
        <w:instrText xml:space="preserve"> XE </w:instrText>
      </w:r>
      <w:r w:rsidR="00FA7E65">
        <w:instrText>“</w:instrText>
      </w:r>
      <w:r>
        <w:instrText>Workload Codes</w:instrText>
      </w:r>
      <w:r w:rsidR="00FA7E65">
        <w:instrText>”</w:instrText>
      </w:r>
      <w:r>
        <w:instrText xml:space="preserve"> </w:instrText>
      </w:r>
      <w:r>
        <w:fldChar w:fldCharType="end"/>
      </w:r>
      <w:r>
        <w:t xml:space="preserve"> </w:t>
      </w:r>
      <w:r>
        <w:rPr>
          <w:rFonts w:ascii="Times New Roman" w:hAnsi="Times New Roman" w:cs="Times New Roman"/>
          <w:b w:val="0"/>
          <w:vanish/>
          <w:sz w:val="22"/>
        </w:rPr>
        <w:t>UC_29</w:t>
      </w:r>
    </w:p>
    <w:p w:rsidR="009D7052" w:rsidRDefault="009D7052" w:rsidP="009D7052">
      <w:pPr>
        <w:pStyle w:val="BodyText"/>
      </w:pPr>
      <w:r>
        <w:t xml:space="preserve">The user assigns workload Laboratory Management Index Program/National Laboratory Test (LMIP/NLT) tests to processes performed through VBECS. VBECS test names are associated with </w:t>
      </w:r>
      <w:r w:rsidRPr="00CA0045">
        <w:rPr>
          <w:bCs/>
        </w:rPr>
        <w:t>VistA</w:t>
      </w:r>
      <w:r>
        <w:t xml:space="preserve"> workload codes, which VBECS uses when compiling and storing data to provide workload-related reports to </w:t>
      </w:r>
      <w:r w:rsidRPr="00CA0045">
        <w:rPr>
          <w:bCs/>
        </w:rPr>
        <w:t>VistA</w:t>
      </w:r>
      <w:r>
        <w:t>.</w:t>
      </w:r>
    </w:p>
    <w:p w:rsidR="002A21AE" w:rsidRDefault="002A21AE">
      <w:pPr>
        <w:pStyle w:val="Heading4"/>
      </w:pPr>
      <w:r>
        <w:t>Assumptions</w:t>
      </w:r>
    </w:p>
    <w:p w:rsidR="002A21AE" w:rsidRDefault="002A21AE">
      <w:pPr>
        <w:pStyle w:val="ListBullet"/>
      </w:pPr>
      <w:r>
        <w:t xml:space="preserve">The </w:t>
      </w:r>
      <w:r w:rsidR="00CA0045" w:rsidRPr="00CA0045">
        <w:rPr>
          <w:bCs/>
        </w:rPr>
        <w:t>VistA</w:t>
      </w:r>
      <w:r>
        <w:t xml:space="preserve"> database was updated to include all required workload codes for the VBECS process.</w:t>
      </w:r>
    </w:p>
    <w:p w:rsidR="002A21AE" w:rsidRDefault="002A21AE">
      <w:pPr>
        <w:pStyle w:val="ListBullet"/>
      </w:pPr>
      <w:r>
        <w:t xml:space="preserve">The </w:t>
      </w:r>
      <w:r w:rsidR="00CA0045" w:rsidRPr="00CA0045">
        <w:rPr>
          <w:bCs/>
        </w:rPr>
        <w:t>VistA</w:t>
      </w:r>
      <w:r>
        <w:t xml:space="preserve"> database was updated to associate CPT codes and costs with the workload codes to be used by VBECS.</w:t>
      </w:r>
    </w:p>
    <w:p w:rsidR="002A21AE" w:rsidRDefault="002A21AE">
      <w:pPr>
        <w:pStyle w:val="ListBullet"/>
      </w:pPr>
      <w:r>
        <w:t xml:space="preserve">The connection to </w:t>
      </w:r>
      <w:r w:rsidR="00CA0045" w:rsidRPr="00CA0045">
        <w:rPr>
          <w:bCs/>
        </w:rPr>
        <w:t>VistA</w:t>
      </w:r>
      <w:r>
        <w:t xml:space="preserve"> is active.</w:t>
      </w:r>
    </w:p>
    <w:p w:rsidR="002A21AE" w:rsidRDefault="002A21AE">
      <w:pPr>
        <w:pStyle w:val="Heading4"/>
      </w:pPr>
      <w:r>
        <w:t>Outcome</w:t>
      </w:r>
    </w:p>
    <w:p w:rsidR="002A21AE" w:rsidRDefault="002A21AE">
      <w:pPr>
        <w:pStyle w:val="ListBullet"/>
      </w:pPr>
      <w:r>
        <w:t xml:space="preserve">Data are available to the </w:t>
      </w:r>
      <w:r w:rsidR="00CA0045" w:rsidRPr="00CA0045">
        <w:rPr>
          <w:bCs/>
        </w:rPr>
        <w:t>VistA</w:t>
      </w:r>
      <w:r>
        <w:t xml:space="preserve"> workload package.</w:t>
      </w:r>
    </w:p>
    <w:p w:rsidR="002A21AE" w:rsidRDefault="002A21AE">
      <w:pPr>
        <w:pStyle w:val="Heading4"/>
      </w:pPr>
      <w:r>
        <w:t>Limitations and Restrictions</w:t>
      </w:r>
    </w:p>
    <w:p w:rsidR="002A21AE" w:rsidRDefault="001016A5">
      <w:pPr>
        <w:pStyle w:val="ListBullet"/>
      </w:pPr>
      <w:r>
        <w:t>Transfusion-only sites must not map workload codes to processes</w:t>
      </w:r>
      <w:r w:rsidR="009D4700">
        <w:t xml:space="preserve">, such as ABO/Rh testing, </w:t>
      </w:r>
      <w:r>
        <w:t>not performed on site.</w:t>
      </w:r>
    </w:p>
    <w:p w:rsidR="0024008D" w:rsidRDefault="0024008D">
      <w:pPr>
        <w:pStyle w:val="ListBullet"/>
      </w:pPr>
      <w:r>
        <w:t xml:space="preserve">Retrieved </w:t>
      </w:r>
      <w:r w:rsidR="00D34F22">
        <w:t xml:space="preserve">LMIP/NLT </w:t>
      </w:r>
      <w:r>
        <w:t>codes from VistA may have multiple CPT codes. Inactivating any of the associated CPT codes in VBECS will inactivate the LMIP</w:t>
      </w:r>
      <w:r w:rsidR="00D34F22">
        <w:t>/NLT</w:t>
      </w:r>
      <w:r>
        <w:t xml:space="preserve"> code. Editing of the LMIP/NLT code associations </w:t>
      </w:r>
      <w:r w:rsidR="00D34F22">
        <w:t xml:space="preserve">must be done in </w:t>
      </w:r>
      <w:r w:rsidR="00D34F22" w:rsidRPr="00D34F22">
        <w:t>VistA</w:t>
      </w:r>
      <w:r w:rsidR="00D34F22">
        <w:t>.</w:t>
      </w:r>
      <w:r w:rsidR="00395ABB">
        <w:rPr>
          <w:vanish/>
        </w:rPr>
        <w:t xml:space="preserve"> DR 3090</w:t>
      </w:r>
    </w:p>
    <w:p w:rsidR="002A21AE" w:rsidRDefault="002A21AE">
      <w:pPr>
        <w:pStyle w:val="Heading4"/>
      </w:pPr>
      <w:r>
        <w:t>Additional Information</w:t>
      </w:r>
    </w:p>
    <w:p w:rsidR="002A21AE" w:rsidRDefault="002A21AE">
      <w:pPr>
        <w:pStyle w:val="ListBullet"/>
      </w:pPr>
      <w:r>
        <w:t xml:space="preserve">VistALink is required to query </w:t>
      </w:r>
      <w:r w:rsidR="00CA0045" w:rsidRPr="00CA0045">
        <w:rPr>
          <w:bCs/>
        </w:rPr>
        <w:t>VistA</w:t>
      </w:r>
      <w:r>
        <w:t xml:space="preserve"> files 64 (NLT/LMIP) and 81 (CPT) for appropriate entries.</w:t>
      </w:r>
    </w:p>
    <w:p w:rsidR="001B4207" w:rsidRDefault="003605E3" w:rsidP="001B4207">
      <w:pPr>
        <w:pStyle w:val="ListBullet"/>
      </w:pPr>
      <w:r>
        <w:t>The division provides CPT codes and costs associated with the workload codes when they need updating.</w:t>
      </w:r>
    </w:p>
    <w:p w:rsidR="003605E3" w:rsidRDefault="001B4207" w:rsidP="001B4207">
      <w:pPr>
        <w:pStyle w:val="ListBullet"/>
      </w:pPr>
      <w:r w:rsidRPr="001B4207">
        <w:t>Each</w:t>
      </w:r>
      <w:r>
        <w:t xml:space="preserve"> site is responsible for notifying users when incorrect CPT codes are used.</w:t>
      </w:r>
    </w:p>
    <w:p w:rsidR="00B32F1A" w:rsidRDefault="00B32F1A" w:rsidP="00B32F1A">
      <w:pPr>
        <w:pStyle w:val="ListBullet"/>
      </w:pPr>
      <w:r w:rsidRPr="009F086D">
        <w:rPr>
          <w:vanish/>
        </w:rPr>
        <w:t xml:space="preserve">BR_15.09 </w:t>
      </w:r>
      <w:r>
        <w:t xml:space="preserve">Workload events are placed in a queue for transmission via </w:t>
      </w:r>
      <w:r w:rsidR="00922AD8">
        <w:t>VistALink</w:t>
      </w:r>
      <w:r>
        <w:t>.</w:t>
      </w:r>
    </w:p>
    <w:p w:rsidR="002A21AE" w:rsidRDefault="002A21AE">
      <w:pPr>
        <w:pStyle w:val="Heading4"/>
      </w:pPr>
      <w:r>
        <w:t>User Roles with Access to This Option</w:t>
      </w:r>
    </w:p>
    <w:p w:rsidR="002A21AE" w:rsidRDefault="00230841">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rsidR="002A21AE" w:rsidRDefault="002A21AE">
      <w:pPr>
        <w:pStyle w:val="Heading4"/>
      </w:pPr>
      <w:r>
        <w:t>Workload Codes</w:t>
      </w:r>
    </w:p>
    <w:p w:rsidR="002A21AE" w:rsidRDefault="002A21AE" w:rsidP="00FA7E65">
      <w:pPr>
        <w:pStyle w:val="BodyText"/>
      </w:pPr>
      <w:r>
        <w:t xml:space="preserve">As part of record-keeping activity, VBECS allows the user to account for workload units associated with each activity and to assign costs incurred by the blood bank due to these activities. Data gathered because of this workload collection are available to </w:t>
      </w:r>
      <w:r w:rsidR="00CA0045" w:rsidRPr="00CA0045">
        <w:rPr>
          <w:bCs/>
        </w:rPr>
        <w:t>VistA</w:t>
      </w:r>
      <w:r>
        <w:t>, as needed, for various reports.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pPr>
              <w:pStyle w:val="TableTextNumbers"/>
            </w:pPr>
            <w:r>
              <w:t xml:space="preserve">Select </w:t>
            </w:r>
            <w:r>
              <w:rPr>
                <w:b/>
              </w:rPr>
              <w:t>Tools</w:t>
            </w:r>
            <w:r>
              <w:t xml:space="preserve"> from the main menu.</w:t>
            </w:r>
          </w:p>
          <w:p w:rsidR="002A21AE" w:rsidRDefault="002A21AE">
            <w:pPr>
              <w:pStyle w:val="TableTextNumbersContinued"/>
              <w:rPr>
                <w:b/>
                <w:bCs/>
              </w:rPr>
            </w:pPr>
          </w:p>
          <w:p w:rsidR="002A21AE" w:rsidRDefault="002A21AE">
            <w:pPr>
              <w:pStyle w:val="TableTextNumbersContinued"/>
            </w:pPr>
            <w:r>
              <w:t xml:space="preserve">Select </w:t>
            </w:r>
            <w:r>
              <w:rPr>
                <w:b/>
              </w:rPr>
              <w:t>Workload Codes</w:t>
            </w:r>
            <w:r>
              <w:t>.</w:t>
            </w:r>
          </w:p>
        </w:tc>
        <w:tc>
          <w:tcPr>
            <w:tcW w:w="6120" w:type="dxa"/>
          </w:tcPr>
          <w:p w:rsidR="002A21AE" w:rsidRDefault="002A21AE">
            <w:pPr>
              <w:pStyle w:val="TableTextBullet"/>
            </w:pPr>
            <w:r>
              <w:t>Displays options for processing administrative functions.</w:t>
            </w:r>
          </w:p>
          <w:p w:rsidR="002A21AE" w:rsidRDefault="002A21AE">
            <w:pPr>
              <w:pStyle w:val="TableTextBullet"/>
            </w:pPr>
            <w:r>
              <w:t>Displays fields for entering workload-related data.</w:t>
            </w:r>
          </w:p>
          <w:p w:rsidR="002A21AE" w:rsidRDefault="002A21AE" w:rsidP="00FE130E">
            <w:pPr>
              <w:pStyle w:val="TableTextBullet"/>
            </w:pPr>
            <w:r>
              <w:t xml:space="preserve">Lists and retrieves processes that may involve workload. </w:t>
            </w:r>
          </w:p>
        </w:tc>
      </w:tr>
      <w:tr w:rsidR="002A21AE">
        <w:tblPrEx>
          <w:tblCellMar>
            <w:top w:w="0" w:type="dxa"/>
            <w:bottom w:w="0" w:type="dxa"/>
          </w:tblCellMar>
        </w:tblPrEx>
        <w:tc>
          <w:tcPr>
            <w:tcW w:w="3240" w:type="dxa"/>
          </w:tcPr>
          <w:p w:rsidR="002A21AE" w:rsidRDefault="002A21AE">
            <w:pPr>
              <w:pStyle w:val="TableTextNumbers"/>
            </w:pPr>
            <w:r>
              <w:t>Select a process for which to define workload codes.</w:t>
            </w:r>
          </w:p>
        </w:tc>
        <w:tc>
          <w:tcPr>
            <w:tcW w:w="6120" w:type="dxa"/>
          </w:tcPr>
          <w:p w:rsidR="002A21AE" w:rsidRDefault="002A21AE">
            <w:pPr>
              <w:pStyle w:val="TableTextBullet"/>
            </w:pPr>
            <w:r>
              <w:t>Allows the user to edit existing data or add data.</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2598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46" name="Line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0"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ug5FQIAAC0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FC6&#10;6Dk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BR_29.02 </w:t>
            </w:r>
            <w:r>
              <w:t>The user may assign multiple LMIP and CPT workload codes to a process.</w:t>
            </w:r>
          </w:p>
          <w:p w:rsidR="002A21AE" w:rsidRDefault="002A21AE">
            <w:pPr>
              <w:pStyle w:val="NotesText"/>
            </w:pPr>
          </w:p>
          <w:p w:rsidR="0024008D" w:rsidRDefault="002A21AE" w:rsidP="0024008D">
            <w:pPr>
              <w:pStyle w:val="NotesText"/>
            </w:pPr>
            <w:r>
              <w:rPr>
                <w:rFonts w:cs="Arial"/>
                <w:vanish/>
              </w:rPr>
              <w:t xml:space="preserve">BR_29.08 </w:t>
            </w:r>
            <w:r>
              <w:t xml:space="preserve">VBECS checks for active and </w:t>
            </w:r>
            <w:r w:rsidR="00F1401D">
              <w:t>inactivated</w:t>
            </w:r>
            <w:r>
              <w:t xml:space="preserve"> workload associations </w:t>
            </w:r>
            <w:r>
              <w:lastRenderedPageBreak/>
              <w:t>and does not allow the user to enter a duplicate association. VBECS allows the user to reactivate previously inactivate entries and add workload associations.</w:t>
            </w:r>
          </w:p>
        </w:tc>
      </w:tr>
      <w:tr w:rsidR="002A21AE">
        <w:tblPrEx>
          <w:tblCellMar>
            <w:top w:w="0" w:type="dxa"/>
            <w:bottom w:w="0" w:type="dxa"/>
          </w:tblCellMar>
        </w:tblPrEx>
        <w:tc>
          <w:tcPr>
            <w:tcW w:w="3240" w:type="dxa"/>
          </w:tcPr>
          <w:p w:rsidR="002A21AE" w:rsidRDefault="002A21AE">
            <w:pPr>
              <w:pStyle w:val="TableTextNumbers"/>
            </w:pPr>
            <w:r>
              <w:lastRenderedPageBreak/>
              <w:t>Select an LMIP/NLT code.</w:t>
            </w:r>
          </w:p>
          <w:p w:rsidR="002A21AE" w:rsidRDefault="002A21AE">
            <w:pPr>
              <w:pStyle w:val="TableTextNumbersContinued"/>
              <w:rPr>
                <w:b/>
                <w:bCs/>
              </w:rPr>
            </w:pPr>
          </w:p>
          <w:p w:rsidR="002A21AE" w:rsidRDefault="002A21AE">
            <w:pPr>
              <w:pStyle w:val="TableTextNumbersContinued"/>
            </w:pPr>
            <w:r>
              <w:t xml:space="preserve">Click </w:t>
            </w:r>
            <w:r>
              <w:rPr>
                <w:b/>
              </w:rPr>
              <w:t>Add</w:t>
            </w:r>
            <w:r>
              <w:t xml:space="preserve"> to add the code, or click </w:t>
            </w:r>
            <w:r>
              <w:rPr>
                <w:b/>
              </w:rPr>
              <w:t>Update</w:t>
            </w:r>
            <w:r>
              <w:t xml:space="preserve"> to select a current association to edit.</w:t>
            </w:r>
          </w:p>
          <w:p w:rsidR="002A21AE" w:rsidRDefault="002A21AE">
            <w:pPr>
              <w:pStyle w:val="TableTextNumbersContinued"/>
            </w:pPr>
          </w:p>
          <w:p w:rsidR="002A21AE" w:rsidRDefault="002A21AE">
            <w:pPr>
              <w:pStyle w:val="TableTextNumbersContinued"/>
            </w:pPr>
          </w:p>
        </w:tc>
        <w:tc>
          <w:tcPr>
            <w:tcW w:w="6120" w:type="dxa"/>
          </w:tcPr>
          <w:p w:rsidR="002A21AE" w:rsidRDefault="002A21AE">
            <w:pPr>
              <w:pStyle w:val="TableTextBullet"/>
            </w:pPr>
            <w:r>
              <w:t>Lists previously assigned LMIP/NLT codes for the selected process.</w:t>
            </w:r>
          </w:p>
          <w:p w:rsidR="002A21AE" w:rsidRDefault="002A21AE">
            <w:pPr>
              <w:pStyle w:val="TableTextBullet"/>
            </w:pPr>
            <w:r>
              <w:t>Allows the user to select an LIMP/NLT code.</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2700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45" name="Line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1"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WOtFgIAAC0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Cn&#10;IWOtFgIAAC0EAAAOAAAAAAAAAAAAAAAAAC4CAABkcnMvZTJvRG9jLnhtbFBLAQItABQABgAIAAAA&#10;IQAXTzAS2wAAAAgBAAAPAAAAAAAAAAAAAAAAAHAEAABkcnMvZG93bnJldi54bWxQSwUGAAAAAAQA&#10;BADzAAAAeAU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t xml:space="preserve">VBECS uses VistALink to query the </w:t>
            </w:r>
            <w:r w:rsidR="00CA0045" w:rsidRPr="00CA0045">
              <w:rPr>
                <w:bCs/>
              </w:rPr>
              <w:t>VistA</w:t>
            </w:r>
            <w:r>
              <w:t xml:space="preserve"> WKLD CODE File (#64) for valid LMIP/NLT codes. </w:t>
            </w:r>
          </w:p>
          <w:p w:rsidR="002A21AE" w:rsidRDefault="002A21AE">
            <w:pPr>
              <w:pStyle w:val="NotesText"/>
            </w:pPr>
          </w:p>
          <w:p w:rsidR="002A21AE" w:rsidRDefault="00CA0045">
            <w:pPr>
              <w:pStyle w:val="NotesText"/>
            </w:pPr>
            <w:r w:rsidRPr="00CA0045">
              <w:rPr>
                <w:bCs/>
              </w:rPr>
              <w:t>VistA</w:t>
            </w:r>
            <w:r w:rsidR="002A21AE">
              <w:t xml:space="preserve"> uses the LMIP/NLT code to create workload reports as well as reports to </w:t>
            </w:r>
            <w:r w:rsidR="009B5B80">
              <w:t>patient care encounter (</w:t>
            </w:r>
            <w:r w:rsidR="002A21AE">
              <w:t>PCE</w:t>
            </w:r>
            <w:r w:rsidR="009B5B80">
              <w:t>)</w:t>
            </w:r>
            <w:r w:rsidR="002A21AE">
              <w:t xml:space="preserve"> and the</w:t>
            </w:r>
            <w:r w:rsidR="00A814C4">
              <w:t xml:space="preserve"> decision support system (</w:t>
            </w:r>
            <w:r w:rsidR="002A21AE">
              <w:t>DSS</w:t>
            </w:r>
            <w:r w:rsidR="00A814C4">
              <w:t>)</w:t>
            </w:r>
            <w:r w:rsidR="002A21AE">
              <w:t xml:space="preserve"> database.</w:t>
            </w:r>
          </w:p>
        </w:tc>
      </w:tr>
      <w:tr w:rsidR="002A21AE">
        <w:tblPrEx>
          <w:tblCellMar>
            <w:top w:w="0" w:type="dxa"/>
            <w:bottom w:w="0" w:type="dxa"/>
          </w:tblCellMar>
        </w:tblPrEx>
        <w:tc>
          <w:tcPr>
            <w:tcW w:w="3240" w:type="dxa"/>
          </w:tcPr>
          <w:p w:rsidR="002A21AE" w:rsidRDefault="007E004C">
            <w:pPr>
              <w:pStyle w:val="TableTextNumbers"/>
            </w:pPr>
            <w:r>
              <w:t>Enter</w:t>
            </w:r>
            <w:r w:rsidR="002A21AE">
              <w:t xml:space="preserve"> the </w:t>
            </w:r>
            <w:r w:rsidR="000144A0">
              <w:t>start</w:t>
            </w:r>
            <w:r w:rsidR="002A21AE">
              <w:t xml:space="preserve"> or </w:t>
            </w:r>
            <w:r w:rsidR="000144A0">
              <w:t>stop</w:t>
            </w:r>
            <w:r w:rsidR="002A21AE">
              <w:t xml:space="preserve"> date (whichever is appropriate) of the workload code association with the VBECS process</w:t>
            </w:r>
            <w:r w:rsidR="006A1989">
              <w:t xml:space="preserve"> (</w:t>
            </w:r>
            <w:r w:rsidR="006A1989">
              <w:fldChar w:fldCharType="begin"/>
            </w:r>
            <w:r w:rsidR="006A1989">
              <w:instrText xml:space="preserve"> REF _Ref126473082 \h </w:instrText>
            </w:r>
            <w:r w:rsidR="006A1989">
              <w:fldChar w:fldCharType="separate"/>
            </w:r>
            <w:r w:rsidR="005F38BC">
              <w:t xml:space="preserve">Figure </w:t>
            </w:r>
            <w:r w:rsidR="005F38BC">
              <w:rPr>
                <w:noProof/>
              </w:rPr>
              <w:t>56</w:t>
            </w:r>
            <w:r w:rsidR="006A1989">
              <w:fldChar w:fldCharType="end"/>
            </w:r>
            <w:r w:rsidR="006A1989">
              <w:t>)</w:t>
            </w:r>
            <w:r w:rsidR="002A21AE">
              <w:t>.</w:t>
            </w:r>
          </w:p>
        </w:tc>
        <w:tc>
          <w:tcPr>
            <w:tcW w:w="6120" w:type="dxa"/>
          </w:tcPr>
          <w:p w:rsidR="002A21AE" w:rsidRDefault="002A21AE">
            <w:pPr>
              <w:pStyle w:val="TableTextBullet"/>
            </w:pPr>
            <w:r>
              <w:t xml:space="preserve">Allows the user to enter a date. </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2803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44" name="Line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2"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bbvFA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BR_29.05 </w:t>
            </w:r>
            <w:r>
              <w:t>The user may enter an inactivation date only when an activation date was previously entered (default start date and time: current date and time).</w:t>
            </w:r>
          </w:p>
          <w:p w:rsidR="002A21AE" w:rsidRDefault="002A21AE">
            <w:pPr>
              <w:pStyle w:val="NotesText"/>
            </w:pPr>
          </w:p>
          <w:p w:rsidR="002A21AE" w:rsidRDefault="002A21AE">
            <w:pPr>
              <w:pStyle w:val="NotesText"/>
            </w:pPr>
            <w:r>
              <w:rPr>
                <w:rFonts w:cs="Arial"/>
                <w:vanish/>
              </w:rPr>
              <w:t xml:space="preserve">BR_29.06 </w:t>
            </w:r>
            <w:r>
              <w:t>The inactivation date must be later than or the same as the activation date. When the user attempts to enter an inactivation date that is earlier than the activation date, VBECS warns the user. There is no override.</w:t>
            </w:r>
          </w:p>
        </w:tc>
      </w:tr>
      <w:tr w:rsidR="002A21AE">
        <w:tblPrEx>
          <w:tblCellMar>
            <w:top w:w="0" w:type="dxa"/>
            <w:bottom w:w="0" w:type="dxa"/>
          </w:tblCellMar>
        </w:tblPrEx>
        <w:tc>
          <w:tcPr>
            <w:tcW w:w="3240" w:type="dxa"/>
          </w:tcPr>
          <w:p w:rsidR="002A21AE" w:rsidRDefault="002A21AE">
            <w:pPr>
              <w:pStyle w:val="TableTextNumbers"/>
            </w:pPr>
            <w:r>
              <w:t>Repeat Steps 4–5 for each LMIP/NLT code to be associated with the selected process.</w:t>
            </w:r>
          </w:p>
        </w:tc>
        <w:tc>
          <w:tcPr>
            <w:tcW w:w="6120" w:type="dxa"/>
          </w:tcPr>
          <w:p w:rsidR="002A21AE" w:rsidRDefault="002A21AE" w:rsidP="0037534D">
            <w:pPr>
              <w:pStyle w:val="TableText"/>
            </w:pPr>
          </w:p>
        </w:tc>
      </w:tr>
      <w:tr w:rsidR="002A21AE">
        <w:tblPrEx>
          <w:tblCellMar>
            <w:top w:w="0" w:type="dxa"/>
            <w:bottom w:w="0" w:type="dxa"/>
          </w:tblCellMar>
        </w:tblPrEx>
        <w:tc>
          <w:tcPr>
            <w:tcW w:w="3240" w:type="dxa"/>
          </w:tcPr>
          <w:p w:rsidR="002A21AE" w:rsidRDefault="002A21AE">
            <w:pPr>
              <w:pStyle w:val="TableTextNumbers"/>
            </w:pPr>
            <w:r>
              <w:t>Add the selected parameters to the selected process.</w:t>
            </w:r>
          </w:p>
        </w:tc>
        <w:tc>
          <w:tcPr>
            <w:tcW w:w="6120" w:type="dxa"/>
          </w:tcPr>
          <w:p w:rsidR="002A21AE" w:rsidRDefault="002A21AE">
            <w:pPr>
              <w:pStyle w:val="TableTextBullet"/>
            </w:pPr>
            <w:r>
              <w:t xml:space="preserve">Allows the user to add the selected parameters. </w:t>
            </w:r>
          </w:p>
        </w:tc>
      </w:tr>
      <w:tr w:rsidR="002A21AE">
        <w:tblPrEx>
          <w:tblCellMar>
            <w:top w:w="0" w:type="dxa"/>
            <w:bottom w:w="0" w:type="dxa"/>
          </w:tblCellMar>
        </w:tblPrEx>
        <w:tc>
          <w:tcPr>
            <w:tcW w:w="3240" w:type="dxa"/>
          </w:tcPr>
          <w:p w:rsidR="002A21AE" w:rsidRDefault="002A21AE">
            <w:pPr>
              <w:pStyle w:val="TableTextNumbers"/>
            </w:pPr>
            <w:r>
              <w:t xml:space="preserve">Repeat Steps 1–8 for to define workload parameters for another process, or exit. </w:t>
            </w:r>
            <w:r w:rsidRPr="0079067D">
              <w:rPr>
                <w:vanish/>
                <w:color w:val="FFFFFF"/>
                <w:szCs w:val="18"/>
              </w:rPr>
              <w:fldChar w:fldCharType="begin"/>
            </w:r>
            <w:r w:rsidRPr="0079067D">
              <w:rPr>
                <w:vanish/>
                <w:color w:val="FFFFFF"/>
                <w:szCs w:val="18"/>
              </w:rPr>
              <w:instrText xml:space="preserve"> LISTNUM \l 1 \s 0 </w:instrText>
            </w:r>
            <w:r w:rsidRPr="0079067D">
              <w:rPr>
                <w:vanish/>
                <w:color w:val="FFFFFF"/>
                <w:szCs w:val="18"/>
              </w:rPr>
              <w:fldChar w:fldCharType="end"/>
            </w:r>
          </w:p>
        </w:tc>
        <w:tc>
          <w:tcPr>
            <w:tcW w:w="6120" w:type="dxa"/>
          </w:tcPr>
          <w:p w:rsidR="002A21AE" w:rsidRDefault="002A21AE">
            <w:pPr>
              <w:pStyle w:val="TableText"/>
            </w:pPr>
          </w:p>
        </w:tc>
      </w:tr>
    </w:tbl>
    <w:p w:rsidR="006A1989" w:rsidRDefault="006A1989" w:rsidP="006A1989">
      <w:pPr>
        <w:pStyle w:val="Caption"/>
      </w:pPr>
      <w:bookmarkStart w:id="217" w:name="_Toc63680394"/>
      <w:bookmarkStart w:id="218" w:name="_Ref126473082"/>
      <w:r>
        <w:t xml:space="preserve">Figure </w:t>
      </w:r>
      <w:r w:rsidR="00C17F7C">
        <w:fldChar w:fldCharType="begin"/>
      </w:r>
      <w:r w:rsidR="00C17F7C">
        <w:instrText xml:space="preserve"> SEQ Figure \* ARABIC </w:instrText>
      </w:r>
      <w:r w:rsidR="00C17F7C">
        <w:fldChar w:fldCharType="separate"/>
      </w:r>
      <w:r w:rsidR="005F38BC">
        <w:rPr>
          <w:noProof/>
        </w:rPr>
        <w:t>56</w:t>
      </w:r>
      <w:r w:rsidR="00C17F7C">
        <w:fldChar w:fldCharType="end"/>
      </w:r>
      <w:bookmarkEnd w:id="218"/>
      <w:r>
        <w:t>: Assign Workload Codes</w:t>
      </w:r>
    </w:p>
    <w:p w:rsidR="00AA3950" w:rsidRDefault="00634BFC" w:rsidP="006A1989">
      <w:pPr>
        <w:pStyle w:val="BodyText"/>
      </w:pPr>
      <w:r>
        <w:rPr>
          <w:noProof/>
        </w:rPr>
        <w:drawing>
          <wp:inline distT="0" distB="0" distL="0" distR="0">
            <wp:extent cx="3657600" cy="248602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657600" cy="2486025"/>
                    </a:xfrm>
                    <a:prstGeom prst="rect">
                      <a:avLst/>
                    </a:prstGeom>
                    <a:noFill/>
                    <a:ln>
                      <a:noFill/>
                    </a:ln>
                  </pic:spPr>
                </pic:pic>
              </a:graphicData>
            </a:graphic>
          </wp:inline>
        </w:drawing>
      </w:r>
    </w:p>
    <w:p w:rsidR="00F46B5A" w:rsidRDefault="00F46B5A" w:rsidP="00F46B5A">
      <w:pPr>
        <w:pStyle w:val="Heading4"/>
        <w:rPr>
          <w:rFonts w:ascii="Arial Bold" w:hAnsi="Arial Bold"/>
          <w:vanish/>
        </w:rPr>
      </w:pPr>
      <w:bookmarkStart w:id="219" w:name="_Toc63680383"/>
      <w:bookmarkStart w:id="220" w:name="_Toc63680374"/>
      <w:bookmarkStart w:id="221" w:name="_Toc91651289"/>
      <w:bookmarkStart w:id="222" w:name="_Toc91651290"/>
      <w:bookmarkEnd w:id="217"/>
      <w:r>
        <w:lastRenderedPageBreak/>
        <w:t>Remapping Workload Codes</w:t>
      </w:r>
      <w:r w:rsidR="00F067E0">
        <w:rPr>
          <w:rFonts w:ascii="Arial Bold" w:hAnsi="Arial Bold"/>
          <w:vanish/>
        </w:rPr>
        <w:t xml:space="preserve"> DR 3762</w:t>
      </w:r>
    </w:p>
    <w:p w:rsidR="00D77997" w:rsidRPr="00D77997" w:rsidRDefault="00D77997" w:rsidP="00D77997"/>
    <w:p w:rsidR="00F46B5A" w:rsidRDefault="00F46B5A" w:rsidP="00F46B5A">
      <w:pPr>
        <w:pStyle w:val="BodyText"/>
      </w:pPr>
      <w:r>
        <w:t>When workload codes or a workload code multiplier is changed VBECS must be updated. The active workload process to LMIP/NLT Code association must be inactivated and remapped for VBECS to track workload correctly.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F46B5A" w:rsidTr="00F46B5A">
        <w:tblPrEx>
          <w:tblCellMar>
            <w:top w:w="0" w:type="dxa"/>
            <w:bottom w:w="0" w:type="dxa"/>
          </w:tblCellMar>
        </w:tblPrEx>
        <w:trPr>
          <w:tblHeader/>
        </w:trPr>
        <w:tc>
          <w:tcPr>
            <w:tcW w:w="3240" w:type="dxa"/>
            <w:shd w:val="pct30" w:color="auto" w:fill="FFFFFF"/>
            <w:vAlign w:val="bottom"/>
          </w:tcPr>
          <w:p w:rsidR="00F46B5A" w:rsidRDefault="00F46B5A" w:rsidP="00F46B5A">
            <w:pPr>
              <w:pStyle w:val="TableText"/>
              <w:rPr>
                <w:b/>
              </w:rPr>
            </w:pPr>
            <w:r>
              <w:rPr>
                <w:b/>
              </w:rPr>
              <w:t>User Action</w:t>
            </w:r>
          </w:p>
        </w:tc>
        <w:tc>
          <w:tcPr>
            <w:tcW w:w="6120" w:type="dxa"/>
            <w:shd w:val="pct30" w:color="auto" w:fill="FFFFFF"/>
            <w:vAlign w:val="bottom"/>
          </w:tcPr>
          <w:p w:rsidR="00F46B5A" w:rsidRDefault="00F46B5A" w:rsidP="00F46B5A">
            <w:pPr>
              <w:pStyle w:val="TableText"/>
              <w:rPr>
                <w:b/>
              </w:rPr>
            </w:pPr>
            <w:r>
              <w:rPr>
                <w:b/>
              </w:rPr>
              <w:t>VBECS</w:t>
            </w:r>
          </w:p>
        </w:tc>
      </w:tr>
      <w:tr w:rsidR="00F46B5A" w:rsidTr="00F46B5A">
        <w:tblPrEx>
          <w:tblCellMar>
            <w:top w:w="0" w:type="dxa"/>
            <w:bottom w:w="0" w:type="dxa"/>
          </w:tblCellMar>
        </w:tblPrEx>
        <w:tc>
          <w:tcPr>
            <w:tcW w:w="3240" w:type="dxa"/>
          </w:tcPr>
          <w:p w:rsidR="00F46B5A" w:rsidRDefault="00F46B5A" w:rsidP="00F46B5A">
            <w:pPr>
              <w:pStyle w:val="TableTextNumbers"/>
            </w:pPr>
            <w:r>
              <w:t xml:space="preserve">Select </w:t>
            </w:r>
            <w:r>
              <w:rPr>
                <w:b/>
              </w:rPr>
              <w:t>Tools</w:t>
            </w:r>
            <w:r>
              <w:t xml:space="preserve"> from the main menu.</w:t>
            </w:r>
          </w:p>
          <w:p w:rsidR="00F46B5A" w:rsidRDefault="00F46B5A" w:rsidP="00F46B5A">
            <w:pPr>
              <w:pStyle w:val="TableTextNumbersContinued"/>
              <w:rPr>
                <w:b/>
                <w:bCs/>
              </w:rPr>
            </w:pPr>
          </w:p>
          <w:p w:rsidR="00F46B5A" w:rsidRDefault="00F46B5A" w:rsidP="00F46B5A">
            <w:pPr>
              <w:pStyle w:val="TableTextNumbersContinued"/>
            </w:pPr>
            <w:r>
              <w:t xml:space="preserve">Select </w:t>
            </w:r>
            <w:r>
              <w:rPr>
                <w:b/>
              </w:rPr>
              <w:t>Workload Codes</w:t>
            </w:r>
            <w:r>
              <w:t>.</w:t>
            </w:r>
          </w:p>
        </w:tc>
        <w:tc>
          <w:tcPr>
            <w:tcW w:w="6120" w:type="dxa"/>
          </w:tcPr>
          <w:p w:rsidR="00F46B5A" w:rsidRDefault="00F46B5A" w:rsidP="00F46B5A">
            <w:pPr>
              <w:pStyle w:val="TableTextBullet"/>
            </w:pPr>
            <w:r>
              <w:t>Displays options for processing administrative functions.</w:t>
            </w:r>
          </w:p>
          <w:p w:rsidR="00F46B5A" w:rsidRDefault="00F46B5A" w:rsidP="00F46B5A">
            <w:pPr>
              <w:pStyle w:val="TableTextBullet"/>
            </w:pPr>
            <w:r>
              <w:t>Displays fields for entering workload-related data.</w:t>
            </w:r>
          </w:p>
          <w:p w:rsidR="00F46B5A" w:rsidRDefault="00F46B5A" w:rsidP="00F46B5A">
            <w:pPr>
              <w:pStyle w:val="TableTextBullet"/>
            </w:pPr>
            <w:r>
              <w:t xml:space="preserve">Lists and retrieves processes that may involve workload. </w:t>
            </w:r>
          </w:p>
        </w:tc>
      </w:tr>
      <w:tr w:rsidR="00F46B5A" w:rsidTr="00F46B5A">
        <w:tblPrEx>
          <w:tblCellMar>
            <w:top w:w="0" w:type="dxa"/>
            <w:bottom w:w="0" w:type="dxa"/>
          </w:tblCellMar>
        </w:tblPrEx>
        <w:tc>
          <w:tcPr>
            <w:tcW w:w="3240" w:type="dxa"/>
          </w:tcPr>
          <w:p w:rsidR="00F46B5A" w:rsidRDefault="00F46B5A" w:rsidP="00F46B5A">
            <w:pPr>
              <w:pStyle w:val="TableTextNumbers"/>
            </w:pPr>
            <w:r>
              <w:t xml:space="preserve">Select a process to </w:t>
            </w:r>
            <w:r w:rsidR="008B6D25">
              <w:t>edit</w:t>
            </w:r>
            <w:r>
              <w:t xml:space="preserve"> workload codes.</w:t>
            </w:r>
          </w:p>
        </w:tc>
        <w:tc>
          <w:tcPr>
            <w:tcW w:w="6120" w:type="dxa"/>
          </w:tcPr>
          <w:p w:rsidR="00F46B5A" w:rsidRDefault="00F46B5A" w:rsidP="00F46B5A">
            <w:pPr>
              <w:pStyle w:val="TableTextBullet"/>
            </w:pPr>
            <w:r>
              <w:t>Allows the user to edit existing data or add data.</w:t>
            </w:r>
          </w:p>
        </w:tc>
      </w:tr>
      <w:tr w:rsidR="00F46B5A" w:rsidTr="00F46B5A">
        <w:tblPrEx>
          <w:tblCellMar>
            <w:top w:w="0" w:type="dxa"/>
            <w:bottom w:w="0" w:type="dxa"/>
          </w:tblCellMar>
        </w:tblPrEx>
        <w:tc>
          <w:tcPr>
            <w:tcW w:w="3240" w:type="dxa"/>
          </w:tcPr>
          <w:p w:rsidR="00F46B5A" w:rsidRDefault="00F46B5A" w:rsidP="00F46B5A">
            <w:pPr>
              <w:pStyle w:val="TableTextNumbers"/>
            </w:pPr>
            <w:r>
              <w:t>Click one or more check boxes to inactivate LMIP/NLT Code.</w:t>
            </w:r>
          </w:p>
          <w:p w:rsidR="00202ACF" w:rsidRDefault="00202ACF" w:rsidP="00202ACF">
            <w:pPr>
              <w:pStyle w:val="TableTextNumbers"/>
              <w:numPr>
                <w:ilvl w:val="0"/>
                <w:numId w:val="0"/>
              </w:numPr>
              <w:ind w:left="288"/>
            </w:pPr>
          </w:p>
          <w:p w:rsidR="00202ACF" w:rsidRDefault="00202ACF" w:rsidP="00202ACF">
            <w:pPr>
              <w:pStyle w:val="TableTextNumbers"/>
              <w:numPr>
                <w:ilvl w:val="0"/>
                <w:numId w:val="0"/>
              </w:numPr>
              <w:ind w:left="288"/>
            </w:pPr>
            <w:r>
              <w:t xml:space="preserve">Click </w:t>
            </w:r>
            <w:r>
              <w:rPr>
                <w:b/>
              </w:rPr>
              <w:t>OK</w:t>
            </w:r>
            <w:r>
              <w:t xml:space="preserve"> and </w:t>
            </w:r>
            <w:r>
              <w:rPr>
                <w:b/>
              </w:rPr>
              <w:t xml:space="preserve">Yes </w:t>
            </w:r>
            <w:r>
              <w:t>to save and exit.</w:t>
            </w:r>
          </w:p>
        </w:tc>
        <w:tc>
          <w:tcPr>
            <w:tcW w:w="6120" w:type="dxa"/>
          </w:tcPr>
          <w:p w:rsidR="00F46B5A" w:rsidRDefault="00F46B5A" w:rsidP="00202ACF">
            <w:pPr>
              <w:pStyle w:val="TableTextBullet"/>
            </w:pPr>
            <w:r>
              <w:t>Removes the code from the Current Associations window.</w:t>
            </w:r>
          </w:p>
          <w:p w:rsidR="00202ACF" w:rsidRDefault="00202ACF" w:rsidP="00202ACF">
            <w:pPr>
              <w:pStyle w:val="TableText"/>
            </w:pPr>
          </w:p>
          <w:p w:rsidR="00202ACF" w:rsidRDefault="00634BFC" w:rsidP="00202ACF">
            <w:pPr>
              <w:pStyle w:val="TableText"/>
              <w:rPr>
                <w:b/>
                <w:bCs/>
                <w:szCs w:val="18"/>
              </w:rPr>
            </w:pPr>
            <w:r>
              <w:rPr>
                <w:b/>
                <w:bCs/>
                <w:noProof/>
              </w:rPr>
              <mc:AlternateContent>
                <mc:Choice Requires="wps">
                  <w:drawing>
                    <wp:anchor distT="0" distB="0" distL="114300" distR="114300" simplePos="0" relativeHeight="25180006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43" name="Line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7" o:spid="_x0000_s1026" style="position:absolute;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ZHpFgIAAC4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B9&#10;LZHpFgIAAC4EAAAOAAAAAAAAAAAAAAAAAC4CAABkcnMvZTJvRG9jLnhtbFBLAQItABQABgAIAAAA&#10;IQAXTzAS2wAAAAgBAAAPAAAAAAAAAAAAAAAAAHAEAABkcnMvZG93bnJldi54bWxQSwUGAAAAAAQA&#10;BADzAAAAeAUAAAAA&#10;" strokeweight="1.5pt"/>
                  </w:pict>
                </mc:Fallback>
              </mc:AlternateContent>
            </w:r>
            <w:r w:rsidR="00202ACF">
              <w:rPr>
                <w:b/>
                <w:bCs/>
                <w:szCs w:val="18"/>
              </w:rPr>
              <w:t>NOTES</w:t>
            </w:r>
          </w:p>
          <w:p w:rsidR="00202ACF" w:rsidRDefault="00202ACF" w:rsidP="00202ACF">
            <w:pPr>
              <w:pStyle w:val="NotesText"/>
            </w:pPr>
          </w:p>
          <w:p w:rsidR="00344E38" w:rsidRDefault="00344E38" w:rsidP="00202ACF">
            <w:pPr>
              <w:pStyle w:val="NotesText"/>
            </w:pPr>
            <w:r>
              <w:t>Inactive codes can be viewed by clicking the Show Inactive Workload Codes checkbox.</w:t>
            </w:r>
          </w:p>
          <w:p w:rsidR="00202ACF" w:rsidRDefault="00202ACF" w:rsidP="00202ACF">
            <w:pPr>
              <w:pStyle w:val="TableTextBullet"/>
              <w:numPr>
                <w:ilvl w:val="0"/>
                <w:numId w:val="0"/>
              </w:numPr>
              <w:ind w:left="288"/>
            </w:pPr>
          </w:p>
        </w:tc>
      </w:tr>
      <w:tr w:rsidR="00F46B5A" w:rsidTr="00F46B5A">
        <w:tblPrEx>
          <w:tblCellMar>
            <w:top w:w="0" w:type="dxa"/>
            <w:bottom w:w="0" w:type="dxa"/>
          </w:tblCellMar>
        </w:tblPrEx>
        <w:tc>
          <w:tcPr>
            <w:tcW w:w="3240" w:type="dxa"/>
          </w:tcPr>
          <w:p w:rsidR="00F46B5A" w:rsidRDefault="00202ACF" w:rsidP="00F46B5A">
            <w:pPr>
              <w:pStyle w:val="TableTextNumbers"/>
            </w:pPr>
            <w:r>
              <w:t xml:space="preserve">Click </w:t>
            </w:r>
            <w:r>
              <w:rPr>
                <w:b/>
              </w:rPr>
              <w:t>OK</w:t>
            </w:r>
            <w:r>
              <w:t xml:space="preserve"> and </w:t>
            </w:r>
            <w:r>
              <w:rPr>
                <w:b/>
              </w:rPr>
              <w:t xml:space="preserve">Yes </w:t>
            </w:r>
            <w:r>
              <w:t>to save and exit.</w:t>
            </w:r>
          </w:p>
        </w:tc>
        <w:tc>
          <w:tcPr>
            <w:tcW w:w="6120" w:type="dxa"/>
          </w:tcPr>
          <w:p w:rsidR="00F46B5A" w:rsidRDefault="00202ACF" w:rsidP="00F46B5A">
            <w:pPr>
              <w:pStyle w:val="TableTextBullet"/>
            </w:pPr>
            <w:r>
              <w:t>Saves the changes to the workload code mapping.</w:t>
            </w:r>
          </w:p>
        </w:tc>
      </w:tr>
      <w:tr w:rsidR="00202ACF" w:rsidTr="00F46B5A">
        <w:tblPrEx>
          <w:tblCellMar>
            <w:top w:w="0" w:type="dxa"/>
            <w:bottom w:w="0" w:type="dxa"/>
          </w:tblCellMar>
        </w:tblPrEx>
        <w:tc>
          <w:tcPr>
            <w:tcW w:w="3240" w:type="dxa"/>
          </w:tcPr>
          <w:p w:rsidR="00202ACF" w:rsidRDefault="00202ACF" w:rsidP="00202ACF">
            <w:pPr>
              <w:pStyle w:val="TableTextNumbers"/>
            </w:pPr>
            <w:r>
              <w:t xml:space="preserve">Select </w:t>
            </w:r>
            <w:r>
              <w:rPr>
                <w:b/>
              </w:rPr>
              <w:t>Tools</w:t>
            </w:r>
            <w:r>
              <w:t xml:space="preserve"> from the main menu.</w:t>
            </w:r>
          </w:p>
          <w:p w:rsidR="00202ACF" w:rsidRDefault="00202ACF" w:rsidP="00202ACF">
            <w:pPr>
              <w:pStyle w:val="TableTextNumbersContinued"/>
              <w:rPr>
                <w:b/>
                <w:bCs/>
              </w:rPr>
            </w:pPr>
          </w:p>
          <w:p w:rsidR="00202ACF" w:rsidRDefault="00202ACF" w:rsidP="00202ACF">
            <w:pPr>
              <w:pStyle w:val="TableTextNumbers"/>
              <w:numPr>
                <w:ilvl w:val="0"/>
                <w:numId w:val="0"/>
              </w:numPr>
              <w:ind w:left="288"/>
            </w:pPr>
            <w:r>
              <w:t xml:space="preserve">Select </w:t>
            </w:r>
            <w:r>
              <w:rPr>
                <w:b/>
              </w:rPr>
              <w:t>Workload Codes</w:t>
            </w:r>
          </w:p>
        </w:tc>
        <w:tc>
          <w:tcPr>
            <w:tcW w:w="6120" w:type="dxa"/>
          </w:tcPr>
          <w:p w:rsidR="008D0D9B" w:rsidRDefault="008D0D9B" w:rsidP="008D0D9B">
            <w:pPr>
              <w:pStyle w:val="TableTextBullet"/>
            </w:pPr>
            <w:r>
              <w:t>Displays options for processing administrative functions.</w:t>
            </w:r>
          </w:p>
          <w:p w:rsidR="008D0D9B" w:rsidRDefault="008D0D9B" w:rsidP="008D0D9B">
            <w:pPr>
              <w:pStyle w:val="TableTextBullet"/>
            </w:pPr>
            <w:r>
              <w:t>Displays fields for entering workload-related data.</w:t>
            </w:r>
          </w:p>
          <w:p w:rsidR="00202ACF" w:rsidRDefault="00857128" w:rsidP="00857128">
            <w:pPr>
              <w:pStyle w:val="TableTextBullet"/>
            </w:pPr>
            <w:r>
              <w:t>Lists and retrieves processes that may involve workload.</w:t>
            </w:r>
          </w:p>
        </w:tc>
      </w:tr>
      <w:tr w:rsidR="00202ACF" w:rsidTr="00F46B5A">
        <w:tblPrEx>
          <w:tblCellMar>
            <w:top w:w="0" w:type="dxa"/>
            <w:bottom w:w="0" w:type="dxa"/>
          </w:tblCellMar>
        </w:tblPrEx>
        <w:tc>
          <w:tcPr>
            <w:tcW w:w="3240" w:type="dxa"/>
          </w:tcPr>
          <w:p w:rsidR="00202ACF" w:rsidRDefault="00202ACF" w:rsidP="00202ACF">
            <w:pPr>
              <w:pStyle w:val="TableTextNumbers"/>
            </w:pPr>
            <w:r>
              <w:t xml:space="preserve">Select a process to </w:t>
            </w:r>
            <w:r w:rsidR="008B6D25">
              <w:t>edit</w:t>
            </w:r>
            <w:r>
              <w:t xml:space="preserve"> workload codes.</w:t>
            </w:r>
          </w:p>
        </w:tc>
        <w:tc>
          <w:tcPr>
            <w:tcW w:w="6120" w:type="dxa"/>
          </w:tcPr>
          <w:p w:rsidR="00202ACF" w:rsidRDefault="00344E38" w:rsidP="00F46B5A">
            <w:pPr>
              <w:pStyle w:val="TableTextBullet"/>
            </w:pPr>
            <w:r>
              <w:t>Allows the user to edit existing data or add data.</w:t>
            </w:r>
          </w:p>
        </w:tc>
      </w:tr>
      <w:tr w:rsidR="00202ACF" w:rsidTr="00F46B5A">
        <w:tblPrEx>
          <w:tblCellMar>
            <w:top w:w="0" w:type="dxa"/>
            <w:bottom w:w="0" w:type="dxa"/>
          </w:tblCellMar>
        </w:tblPrEx>
        <w:tc>
          <w:tcPr>
            <w:tcW w:w="3240" w:type="dxa"/>
          </w:tcPr>
          <w:p w:rsidR="00202ACF" w:rsidRDefault="00202ACF" w:rsidP="00202ACF">
            <w:pPr>
              <w:pStyle w:val="TableTextNumbers"/>
            </w:pPr>
            <w:r>
              <w:t>Select an LMIP/NLT code.</w:t>
            </w:r>
          </w:p>
          <w:p w:rsidR="00202ACF" w:rsidRDefault="00202ACF" w:rsidP="00202ACF">
            <w:pPr>
              <w:pStyle w:val="TableTextNumbersContinued"/>
            </w:pPr>
          </w:p>
          <w:p w:rsidR="00202ACF" w:rsidRPr="00202ACF" w:rsidRDefault="00202ACF" w:rsidP="00202ACF">
            <w:pPr>
              <w:pStyle w:val="TableTextNumbersContinued"/>
              <w:rPr>
                <w:b/>
                <w:bCs/>
              </w:rPr>
            </w:pPr>
            <w:r>
              <w:t xml:space="preserve">Click </w:t>
            </w:r>
            <w:r>
              <w:rPr>
                <w:b/>
              </w:rPr>
              <w:t>Add</w:t>
            </w:r>
            <w:r>
              <w:t xml:space="preserve"> to add the code.</w:t>
            </w:r>
          </w:p>
        </w:tc>
        <w:tc>
          <w:tcPr>
            <w:tcW w:w="6120" w:type="dxa"/>
          </w:tcPr>
          <w:p w:rsidR="00344E38" w:rsidRDefault="00344E38" w:rsidP="00344E38">
            <w:pPr>
              <w:pStyle w:val="TableTextBullet"/>
            </w:pPr>
            <w:r>
              <w:t>Allows the user to select an LIMP/NLT code.</w:t>
            </w:r>
          </w:p>
          <w:p w:rsidR="00202ACF" w:rsidRDefault="00202ACF" w:rsidP="00344E38">
            <w:pPr>
              <w:pStyle w:val="TableTextBullet"/>
              <w:numPr>
                <w:ilvl w:val="0"/>
                <w:numId w:val="0"/>
              </w:numPr>
            </w:pPr>
          </w:p>
          <w:p w:rsidR="00344E38" w:rsidRPr="00344E38" w:rsidRDefault="00634BFC" w:rsidP="00344E38">
            <w:pPr>
              <w:pStyle w:val="TableText"/>
              <w:rPr>
                <w:b/>
                <w:bCs/>
              </w:rPr>
            </w:pPr>
            <w:r>
              <w:rPr>
                <w:b/>
                <w:bCs/>
                <w:noProof/>
              </w:rPr>
              <mc:AlternateContent>
                <mc:Choice Requires="wps">
                  <w:drawing>
                    <wp:anchor distT="0" distB="0" distL="114300" distR="114300" simplePos="0" relativeHeight="25180108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42" name="Line 1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8" o:spid="_x0000_s1026" style="position:absolute;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LpFgIAAC4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AN&#10;sWLpFgIAAC4EAAAOAAAAAAAAAAAAAAAAAC4CAABkcnMvZTJvRG9jLnhtbFBLAQItABQABgAIAAAA&#10;IQAXTzAS2wAAAAgBAAAPAAAAAAAAAAAAAAAAAHAEAABkcnMvZG93bnJldi54bWxQSwUGAAAAAAQA&#10;BADzAAAAeAUAAAAA&#10;" strokeweight="1.5pt"/>
                  </w:pict>
                </mc:Fallback>
              </mc:AlternateContent>
            </w:r>
            <w:r w:rsidR="00344E38" w:rsidRPr="00344E38">
              <w:rPr>
                <w:b/>
                <w:bCs/>
              </w:rPr>
              <w:t>NOTES</w:t>
            </w:r>
          </w:p>
          <w:p w:rsidR="00344E38" w:rsidRDefault="00344E38" w:rsidP="00344E38">
            <w:pPr>
              <w:pStyle w:val="TableText"/>
            </w:pPr>
          </w:p>
          <w:p w:rsidR="00F067E0" w:rsidRDefault="00F067E0" w:rsidP="00F067E0">
            <w:pPr>
              <w:pStyle w:val="NotesText"/>
            </w:pPr>
            <w:r>
              <w:t>LMIP/NLT weight multipliers values are set in VistA and that value is imported into VBECS.</w:t>
            </w:r>
          </w:p>
          <w:p w:rsidR="00F067E0" w:rsidRDefault="00F067E0" w:rsidP="00F067E0">
            <w:pPr>
              <w:pStyle w:val="NotesText"/>
            </w:pPr>
          </w:p>
          <w:p w:rsidR="00F067E0" w:rsidRDefault="00344E38" w:rsidP="00F067E0">
            <w:pPr>
              <w:pStyle w:val="NotesText"/>
            </w:pPr>
            <w:r>
              <w:t xml:space="preserve">Changes made to </w:t>
            </w:r>
            <w:r w:rsidRPr="00CA0045">
              <w:rPr>
                <w:bCs/>
              </w:rPr>
              <w:t>VistA</w:t>
            </w:r>
            <w:r>
              <w:t xml:space="preserve"> files 64 (NLT/LMIP) and 81 (CPT) are updated in VBECS </w:t>
            </w:r>
            <w:r w:rsidR="00F067E0">
              <w:t>on a rolling 24 hour clock. The first user to log in 24 hours after the last update will trigger the next update.</w:t>
            </w:r>
          </w:p>
        </w:tc>
      </w:tr>
      <w:tr w:rsidR="00202ACF" w:rsidTr="00F46B5A">
        <w:tblPrEx>
          <w:tblCellMar>
            <w:top w:w="0" w:type="dxa"/>
            <w:bottom w:w="0" w:type="dxa"/>
          </w:tblCellMar>
        </w:tblPrEx>
        <w:tc>
          <w:tcPr>
            <w:tcW w:w="3240" w:type="dxa"/>
          </w:tcPr>
          <w:p w:rsidR="00202ACF" w:rsidRDefault="00202ACF" w:rsidP="00722DBF">
            <w:pPr>
              <w:pStyle w:val="TableTextNumbers"/>
            </w:pPr>
            <w:r>
              <w:t>Repeat Steps 1–7 for to edit workload parameters for another process</w:t>
            </w:r>
            <w:r w:rsidR="00722DBF">
              <w:t xml:space="preserve">. </w:t>
            </w:r>
            <w:r w:rsidR="00722DBF" w:rsidRPr="0079067D">
              <w:rPr>
                <w:vanish/>
                <w:color w:val="FFFFFF"/>
                <w:szCs w:val="18"/>
              </w:rPr>
              <w:fldChar w:fldCharType="begin"/>
            </w:r>
            <w:r w:rsidR="00722DBF" w:rsidRPr="0079067D">
              <w:rPr>
                <w:vanish/>
                <w:color w:val="FFFFFF"/>
                <w:szCs w:val="18"/>
              </w:rPr>
              <w:instrText xml:space="preserve"> LISTNUM \l 1 \s 0 </w:instrText>
            </w:r>
            <w:r w:rsidR="00722DBF" w:rsidRPr="0079067D">
              <w:rPr>
                <w:vanish/>
                <w:color w:val="FFFFFF"/>
                <w:szCs w:val="18"/>
              </w:rPr>
              <w:fldChar w:fldCharType="end"/>
            </w:r>
          </w:p>
        </w:tc>
        <w:tc>
          <w:tcPr>
            <w:tcW w:w="6120" w:type="dxa"/>
          </w:tcPr>
          <w:p w:rsidR="00202ACF" w:rsidRDefault="00202ACF" w:rsidP="00F067E0">
            <w:pPr>
              <w:pStyle w:val="TableTextBullet"/>
              <w:numPr>
                <w:ilvl w:val="0"/>
                <w:numId w:val="0"/>
              </w:numPr>
            </w:pPr>
          </w:p>
        </w:tc>
      </w:tr>
    </w:tbl>
    <w:p w:rsidR="002A21AE" w:rsidRDefault="002A21AE" w:rsidP="00597EEA">
      <w:pPr>
        <w:pStyle w:val="Heading2"/>
      </w:pPr>
      <w:bookmarkStart w:id="223" w:name="_Toc459900100"/>
      <w:r>
        <w:t>Reagents and Supplies</w:t>
      </w:r>
      <w:bookmarkEnd w:id="221"/>
      <w:bookmarkEnd w:id="222"/>
      <w:bookmarkEnd w:id="223"/>
      <w:r>
        <w:fldChar w:fldCharType="begin"/>
      </w:r>
      <w:r>
        <w:instrText xml:space="preserve"> XE </w:instrText>
      </w:r>
      <w:r w:rsidR="00FA7E65">
        <w:instrText>“</w:instrText>
      </w:r>
      <w:r>
        <w:instrText>Reagents and Supplies</w:instrText>
      </w:r>
      <w:r w:rsidR="00FA7E65">
        <w:instrText>”</w:instrText>
      </w:r>
      <w:r>
        <w:instrText xml:space="preserve"> </w:instrText>
      </w:r>
      <w:r>
        <w:fldChar w:fldCharType="end"/>
      </w:r>
    </w:p>
    <w:p w:rsidR="002A21AE" w:rsidRDefault="002A21AE">
      <w:pPr>
        <w:pStyle w:val="Heading3"/>
      </w:pPr>
      <w:bookmarkStart w:id="224" w:name="_Enter_Daily_QC_Results"/>
      <w:bookmarkStart w:id="225" w:name="_Toc459900101"/>
      <w:bookmarkEnd w:id="224"/>
      <w:r>
        <w:t>Enter Daily QC Results</w:t>
      </w:r>
      <w:bookmarkEnd w:id="225"/>
      <w:r>
        <w:fldChar w:fldCharType="begin"/>
      </w:r>
      <w:r>
        <w:instrText xml:space="preserve"> XE </w:instrText>
      </w:r>
      <w:r w:rsidR="00FA7E65">
        <w:instrText>“</w:instrText>
      </w:r>
      <w:r>
        <w:instrText>Enter Daily QC Results</w:instrText>
      </w:r>
      <w:r w:rsidR="00FA7E65">
        <w:instrText>”</w:instrText>
      </w:r>
      <w:r>
        <w:instrText xml:space="preserve"> </w:instrText>
      </w:r>
      <w:r>
        <w:fldChar w:fldCharType="end"/>
      </w:r>
      <w:r>
        <w:t xml:space="preserve"> </w:t>
      </w:r>
      <w:r>
        <w:rPr>
          <w:rFonts w:ascii="Times New Roman" w:hAnsi="Times New Roman" w:cs="Times New Roman"/>
          <w:b w:val="0"/>
          <w:vanish/>
          <w:sz w:val="22"/>
        </w:rPr>
        <w:t>UC_28</w:t>
      </w:r>
    </w:p>
    <w:p w:rsidR="002A21AE" w:rsidRDefault="002A21AE" w:rsidP="00FA7E65">
      <w:pPr>
        <w:pStyle w:val="BodyText"/>
      </w:pPr>
      <w:r>
        <w:t>The user enters observed serological reactions for all phases of testing and interpretations of the various routine reagents.</w:t>
      </w:r>
    </w:p>
    <w:p w:rsidR="002A21AE" w:rsidRDefault="002A21AE">
      <w:pPr>
        <w:pStyle w:val="Heading4"/>
      </w:pPr>
      <w:r>
        <w:t>Assumptions</w:t>
      </w:r>
      <w:r>
        <w:rPr>
          <w:b w:val="0"/>
        </w:rPr>
        <w:t xml:space="preserve"> </w:t>
      </w:r>
    </w:p>
    <w:p w:rsidR="002A21AE" w:rsidRDefault="002A21AE">
      <w:pPr>
        <w:pStyle w:val="ListBullet"/>
      </w:pPr>
      <w:r>
        <w:t>The division is “full service.”</w:t>
      </w:r>
    </w:p>
    <w:p w:rsidR="002A21AE" w:rsidRDefault="002A21AE">
      <w:pPr>
        <w:pStyle w:val="ListBullet"/>
      </w:pPr>
      <w:r>
        <w:t>Site parameters regarding reagent quality control are set up.</w:t>
      </w:r>
    </w:p>
    <w:p w:rsidR="002A21AE" w:rsidRDefault="002A21AE">
      <w:pPr>
        <w:pStyle w:val="ListBullet"/>
      </w:pPr>
      <w:r>
        <w:t xml:space="preserve">Minimum inventory levels for reagent types are defined. </w:t>
      </w:r>
    </w:p>
    <w:p w:rsidR="002A21AE" w:rsidRDefault="002A21AE">
      <w:pPr>
        <w:pStyle w:val="ListBullet"/>
      </w:pPr>
      <w:r>
        <w:t xml:space="preserve">Inventory control functionality is in use and reagents are in the inventory of the user’s division. </w:t>
      </w:r>
    </w:p>
    <w:p w:rsidR="002A21AE" w:rsidRDefault="002A21AE">
      <w:pPr>
        <w:pStyle w:val="ListBullet"/>
      </w:pPr>
      <w:r>
        <w:t>Daily QC testing does not include reagents used in special antigen typing.</w:t>
      </w:r>
    </w:p>
    <w:p w:rsidR="002A21AE" w:rsidRDefault="002A21AE">
      <w:pPr>
        <w:pStyle w:val="Heading4"/>
      </w:pPr>
      <w:r>
        <w:lastRenderedPageBreak/>
        <w:t xml:space="preserve">Outcome </w:t>
      </w:r>
    </w:p>
    <w:p w:rsidR="002A21AE" w:rsidRDefault="002A21AE">
      <w:pPr>
        <w:pStyle w:val="ListBullet"/>
      </w:pPr>
      <w:r>
        <w:t>Routine reagents are available for use, shutting down the alert for the day associated with the rack.</w:t>
      </w:r>
    </w:p>
    <w:p w:rsidR="002A21AE" w:rsidRDefault="002A21AE">
      <w:pPr>
        <w:pStyle w:val="ListBullet"/>
      </w:pPr>
      <w:r>
        <w:t>The user may enter and save reaction results below the minimum expected reaction; an Exception Report may be generated for supervisory review; the rack may or may not be used by the site for routine testing throughout that day.</w:t>
      </w:r>
    </w:p>
    <w:p w:rsidR="002A21AE" w:rsidRDefault="002A21AE">
      <w:pPr>
        <w:pStyle w:val="Heading4"/>
      </w:pPr>
      <w:r>
        <w:t>Limitations and Restrictions</w:t>
      </w:r>
      <w:r>
        <w:rPr>
          <w:b w:val="0"/>
        </w:rPr>
        <w:t xml:space="preserve"> </w:t>
      </w:r>
    </w:p>
    <w:p w:rsidR="002A21AE" w:rsidRDefault="002A21AE">
      <w:pPr>
        <w:pStyle w:val="ListBullet"/>
      </w:pPr>
      <w:r>
        <w:t xml:space="preserve">Additional user-defined reagent types not available in Configure Daily QC or Enter Daily QC Results are not part of a reagent rack’s daily QC testing. </w:t>
      </w:r>
    </w:p>
    <w:p w:rsidR="002A21AE" w:rsidRDefault="002A21AE">
      <w:pPr>
        <w:pStyle w:val="Heading4"/>
      </w:pPr>
      <w:r>
        <w:t xml:space="preserve">Additional Information </w:t>
      </w:r>
    </w:p>
    <w:p w:rsidR="002A21AE" w:rsidRDefault="002A21AE">
      <w:pPr>
        <w:pStyle w:val="ListBullet"/>
      </w:pPr>
      <w:r>
        <w:rPr>
          <w:rFonts w:ascii="Arial" w:hAnsi="Arial" w:cs="Arial"/>
          <w:vanish/>
          <w:spacing w:val="0"/>
          <w:sz w:val="18"/>
        </w:rPr>
        <w:t xml:space="preserve">BR_28.19 </w:t>
      </w:r>
      <w:r>
        <w:t>VBECS allows the user to save a partially filled worksheet for a specific QC rack ID and allows the same or a different user to redisplay the form for the entry of remaining test results at a later time. The user, first or second, may enter new results but may not edit prior entries. VBECS records the ID of each user who enters test observations on a worksheet.</w:t>
      </w:r>
    </w:p>
    <w:p w:rsidR="002A21AE" w:rsidRDefault="002A21AE">
      <w:pPr>
        <w:pStyle w:val="ListBullet"/>
      </w:pPr>
      <w:r>
        <w:t>VBECS issues warnings when they are defined in Maintain Minimum Levels.</w:t>
      </w:r>
    </w:p>
    <w:p w:rsidR="002A21AE" w:rsidRDefault="002A21AE">
      <w:pPr>
        <w:pStyle w:val="ListBullet"/>
      </w:pPr>
      <w:r>
        <w:t xml:space="preserve">VistALink does not need to be active when a user enters </w:t>
      </w:r>
      <w:r>
        <w:rPr>
          <w:bCs/>
        </w:rPr>
        <w:t>daily quality control results</w:t>
      </w:r>
      <w:r>
        <w:t>.</w:t>
      </w:r>
    </w:p>
    <w:p w:rsidR="002A21AE" w:rsidRDefault="002A21AE">
      <w:pPr>
        <w:pStyle w:val="ListBullet"/>
      </w:pPr>
      <w:r>
        <w:t>A testing template is generated for daily quality control testing of routine reagents for each rack in a division. (Multiple templates may be used on a given day.)</w:t>
      </w:r>
    </w:p>
    <w:p w:rsidR="002A21AE" w:rsidRDefault="002A21AE">
      <w:pPr>
        <w:pStyle w:val="ListBullet"/>
      </w:pPr>
      <w:r>
        <w:t>System rules</w:t>
      </w:r>
      <w:r w:rsidR="00AA6C54">
        <w:t xml:space="preserve"> </w:t>
      </w:r>
      <w:r>
        <w:t>determine the validity of the test interpretations and determine if all phases of testing were recorded for both scenarios.</w:t>
      </w:r>
    </w:p>
    <w:p w:rsidR="002A21AE" w:rsidRDefault="002A21AE">
      <w:pPr>
        <w:pStyle w:val="ListBullet"/>
      </w:pPr>
      <w:r>
        <w:t>A user must enter and may view one day’s QC data at a time. The supervisor or administrator must review these entries and the reagent information daily.</w:t>
      </w:r>
    </w:p>
    <w:p w:rsidR="002A21AE" w:rsidRDefault="002A21AE">
      <w:pPr>
        <w:pStyle w:val="ListBullet"/>
      </w:pPr>
      <w:r>
        <w:t xml:space="preserve">VBECS compares the current rack QC results with the prior day’s QC results. </w:t>
      </w:r>
    </w:p>
    <w:p w:rsidR="002A21AE" w:rsidRDefault="002A21AE">
      <w:pPr>
        <w:pStyle w:val="ListBullet"/>
      </w:pPr>
      <w:r>
        <w:t xml:space="preserve">Multiple technologists may use the same rack. </w:t>
      </w:r>
    </w:p>
    <w:p w:rsidR="002A21AE" w:rsidRDefault="002A21AE">
      <w:pPr>
        <w:pStyle w:val="ListBullet"/>
      </w:pPr>
      <w:r>
        <w:t>Rack number and reagents used to test a specimen are linked to the lot number, manufacturer, and expiration date of the reagent type as well as the rack identifier.</w:t>
      </w:r>
    </w:p>
    <w:p w:rsidR="00254E7B" w:rsidRDefault="00254E7B">
      <w:pPr>
        <w:pStyle w:val="ListBullet"/>
      </w:pPr>
      <w:r>
        <w:t>A user may use more than one testing method in accordance with local policies and procedures.</w:t>
      </w:r>
    </w:p>
    <w:p w:rsidR="00F62041" w:rsidRPr="00622C54" w:rsidRDefault="00F62041" w:rsidP="00F62041">
      <w:pPr>
        <w:pStyle w:val="ListBullet"/>
      </w:pPr>
      <w:r w:rsidRPr="00622C54">
        <w:t xml:space="preserve">If a rack has never been used with reagents prior to using the QC Documentation Offline option and the rack is not so checked when the user attempts to use this untested rack, the message appears that this rack has never been tested and cannot be used. The user may not proceed. To use this rack on this date, the QC Offline check needs to be indicated or testing performed. </w:t>
      </w:r>
      <w:r w:rsidRPr="00622C54">
        <w:rPr>
          <w:vanish/>
        </w:rPr>
        <w:t>DR 4317</w:t>
      </w:r>
    </w:p>
    <w:p w:rsidR="002A21AE" w:rsidRDefault="002A21AE">
      <w:pPr>
        <w:pStyle w:val="Heading4"/>
        <w:rPr>
          <w:b w:val="0"/>
        </w:rPr>
      </w:pPr>
      <w:r>
        <w:t>User Roles with Access to This Option</w:t>
      </w:r>
      <w:r>
        <w:rPr>
          <w:b w:val="0"/>
        </w:rPr>
        <w:t xml:space="preserve"> </w:t>
      </w:r>
    </w:p>
    <w:p w:rsidR="002A21AE" w:rsidRDefault="00046C55">
      <w:pPr>
        <w:pStyle w:val="Roles"/>
        <w:rPr>
          <w:snapToGrid w:val="0"/>
        </w:rPr>
      </w:pPr>
      <w:r>
        <w:t>All users</w:t>
      </w:r>
    </w:p>
    <w:p w:rsidR="002A21AE" w:rsidRDefault="002A21AE">
      <w:pPr>
        <w:pStyle w:val="Heading4"/>
      </w:pPr>
      <w:r>
        <w:t xml:space="preserve">Enter Daily QC Results </w:t>
      </w:r>
    </w:p>
    <w:p w:rsidR="002A21AE" w:rsidRDefault="002A21AE" w:rsidP="00FA7E65">
      <w:pPr>
        <w:pStyle w:val="BodyText"/>
      </w:pPr>
      <w:r>
        <w:t xml:space="preserve">The American Association of Blood Banks’ </w:t>
      </w:r>
      <w:r>
        <w:rPr>
          <w:i/>
        </w:rPr>
        <w:t>Standards for Blood Banks and Transfusion Services</w:t>
      </w:r>
      <w:r>
        <w:t xml:space="preserve"> requires that commercial reagents in the blood bank—antisera and routinely-used red cell reagents—must be tested for performance “on the day of use.” As routine reagents are always used, they are tested daily. Records of these reagents, their lot numbers, and their testing results must be stored for reference. VBECS verifies and indicates whether the reagent is satisfactory for use. </w:t>
      </w:r>
    </w:p>
    <w:p w:rsidR="002A21AE" w:rsidRDefault="002A21AE" w:rsidP="00FA7E65">
      <w:pPr>
        <w:pStyle w:val="BodyText"/>
      </w:pPr>
      <w:r>
        <w:t xml:space="preserve">This option facilitates the direct entry of reaction results and interpretations, constituting daily reagent quality control testing for a rack of reagents. </w:t>
      </w:r>
    </w:p>
    <w:p w:rsidR="002A21AE" w:rsidRDefault="002A21AE" w:rsidP="00FA7E65">
      <w:pPr>
        <w:pStyle w:val="BodyText"/>
      </w:pPr>
      <w:r>
        <w:t>VBECS allows the user to change individual reagents without repeating the QC for the full rack during the day.</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356"/>
      </w:tblGrid>
      <w:tr w:rsidR="002A21AE">
        <w:tblPrEx>
          <w:tblCellMar>
            <w:top w:w="0" w:type="dxa"/>
            <w:bottom w:w="0" w:type="dxa"/>
          </w:tblCellMar>
        </w:tblPrEx>
        <w:trPr>
          <w:tblHeader/>
        </w:trPr>
        <w:tc>
          <w:tcPr>
            <w:tcW w:w="3240" w:type="dxa"/>
            <w:shd w:val="pct30" w:color="auto" w:fill="FFFFFF"/>
            <w:vAlign w:val="bottom"/>
          </w:tcPr>
          <w:p w:rsidR="002A21AE" w:rsidRDefault="002A21AE">
            <w:pPr>
              <w:pStyle w:val="TableText"/>
              <w:rPr>
                <w:b/>
              </w:rPr>
            </w:pPr>
            <w:bookmarkStart w:id="226" w:name="_Toc30304250"/>
            <w:bookmarkStart w:id="227" w:name="_Toc30912571"/>
            <w:bookmarkStart w:id="228" w:name="_Toc49251208"/>
            <w:bookmarkStart w:id="229" w:name="_Toc49251692"/>
            <w:bookmarkStart w:id="230" w:name="_Toc68448916"/>
            <w:r>
              <w:rPr>
                <w:b/>
              </w:rPr>
              <w:lastRenderedPageBreak/>
              <w:t>User Action</w:t>
            </w:r>
          </w:p>
        </w:tc>
        <w:tc>
          <w:tcPr>
            <w:tcW w:w="6356"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pPr>
              <w:pStyle w:val="TableTextNumbers"/>
            </w:pPr>
            <w:r>
              <w:t xml:space="preserve">Select </w:t>
            </w:r>
            <w:r>
              <w:rPr>
                <w:b/>
              </w:rPr>
              <w:t>Reagents</w:t>
            </w:r>
            <w:r>
              <w:t xml:space="preserve"> from the main menu.</w:t>
            </w:r>
          </w:p>
          <w:p w:rsidR="002A21AE" w:rsidRDefault="002A21AE">
            <w:pPr>
              <w:pStyle w:val="TableTextNumbersContinued"/>
              <w:rPr>
                <w:b/>
                <w:bCs/>
              </w:rPr>
            </w:pPr>
          </w:p>
          <w:p w:rsidR="002A21AE" w:rsidRDefault="002A21AE">
            <w:pPr>
              <w:pStyle w:val="TableTextNumbersContinued"/>
            </w:pPr>
            <w:r>
              <w:t xml:space="preserve">Select </w:t>
            </w:r>
            <w:r>
              <w:rPr>
                <w:b/>
              </w:rPr>
              <w:t>Enter Daily QC Results</w:t>
            </w:r>
            <w:r>
              <w:t>.</w:t>
            </w:r>
          </w:p>
        </w:tc>
        <w:tc>
          <w:tcPr>
            <w:tcW w:w="6356" w:type="dxa"/>
          </w:tcPr>
          <w:p w:rsidR="002A21AE" w:rsidRDefault="002A21AE" w:rsidP="003356B8">
            <w:pPr>
              <w:pStyle w:val="TableTextBullet"/>
            </w:pPr>
            <w:r>
              <w:t>Displays options to perform daily reagent rack QC</w:t>
            </w:r>
            <w:r w:rsidR="000D380C">
              <w:t>.</w:t>
            </w:r>
          </w:p>
        </w:tc>
      </w:tr>
      <w:tr w:rsidR="000B5EBA">
        <w:tblPrEx>
          <w:tblCellMar>
            <w:top w:w="0" w:type="dxa"/>
            <w:bottom w:w="0" w:type="dxa"/>
          </w:tblCellMar>
        </w:tblPrEx>
        <w:tc>
          <w:tcPr>
            <w:tcW w:w="3240" w:type="dxa"/>
          </w:tcPr>
          <w:p w:rsidR="000B5EBA" w:rsidRDefault="00003AD3" w:rsidP="00D148D7">
            <w:pPr>
              <w:pStyle w:val="TableTextNumbers"/>
            </w:pPr>
            <w:r>
              <w:t>Verify</w:t>
            </w:r>
            <w:r w:rsidR="000B5EBA">
              <w:t xml:space="preserve"> the default date tested and tester</w:t>
            </w:r>
            <w:r>
              <w:t xml:space="preserve">, </w:t>
            </w:r>
            <w:r w:rsidR="00686785">
              <w:t>and</w:t>
            </w:r>
            <w:r>
              <w:t xml:space="preserve"> edit them</w:t>
            </w:r>
            <w:r w:rsidR="000B5EBA">
              <w:t>, if needed.</w:t>
            </w:r>
          </w:p>
        </w:tc>
        <w:tc>
          <w:tcPr>
            <w:tcW w:w="6356" w:type="dxa"/>
          </w:tcPr>
          <w:p w:rsidR="000B5EBA" w:rsidRDefault="000B5EBA" w:rsidP="00D148D7">
            <w:pPr>
              <w:pStyle w:val="TableTextBullet"/>
            </w:pPr>
            <w:r>
              <w:t>Displays the date and time the testing was performed; the default is the current date and time, which are editable to allow retrospective entry.</w:t>
            </w:r>
          </w:p>
          <w:p w:rsidR="000B5EBA" w:rsidRDefault="000B5EBA" w:rsidP="00D148D7">
            <w:pPr>
              <w:pStyle w:val="TableTextBullet"/>
            </w:pPr>
            <w:r>
              <w:t>Displays the testing technologist’s identification; the default is the current user. Lists valid division users for selection.</w:t>
            </w:r>
          </w:p>
          <w:p w:rsidR="000B5EBA" w:rsidRDefault="000B5EBA" w:rsidP="00D148D7">
            <w:pPr>
              <w:pStyle w:val="TableTextBullet"/>
            </w:pPr>
            <w:r>
              <w:t>Displays the option to indicate the rack number of the reagents to test, a list of racks to be tested for the current date, and a retest option for the racks with testing completed for the date.</w:t>
            </w:r>
          </w:p>
          <w:p w:rsidR="000B5EBA" w:rsidRDefault="000B5EBA" w:rsidP="00D148D7">
            <w:pPr>
              <w:pStyle w:val="TableText"/>
            </w:pPr>
          </w:p>
          <w:p w:rsidR="000B5EBA" w:rsidRDefault="00634BFC" w:rsidP="00D148D7">
            <w:pPr>
              <w:pStyle w:val="TableText"/>
              <w:rPr>
                <w:b/>
                <w:bCs/>
                <w:szCs w:val="18"/>
              </w:rPr>
            </w:pPr>
            <w:r>
              <w:rPr>
                <w:b/>
                <w:bCs/>
                <w:noProof/>
              </w:rPr>
              <mc:AlternateContent>
                <mc:Choice Requires="wps">
                  <w:drawing>
                    <wp:anchor distT="0" distB="0" distL="114300" distR="114300" simplePos="0" relativeHeight="25176422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41" name="Line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8" o:spid="_x0000_s1026" style="position:absolute;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FAMFQIAAC4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HHM&#10;UAwVAgAALgQAAA4AAAAAAAAAAAAAAAAALgIAAGRycy9lMm9Eb2MueG1sUEsBAi0AFAAGAAgAAAAh&#10;ABdPMBLbAAAACAEAAA8AAAAAAAAAAAAAAAAAbwQAAGRycy9kb3ducmV2LnhtbFBLBQYAAAAABAAE&#10;APMAAAB3BQAAAAA=&#10;" strokeweight="1.5pt"/>
                  </w:pict>
                </mc:Fallback>
              </mc:AlternateContent>
            </w:r>
            <w:r w:rsidR="000B5EBA">
              <w:rPr>
                <w:b/>
                <w:bCs/>
                <w:szCs w:val="18"/>
              </w:rPr>
              <w:t>NOTES</w:t>
            </w:r>
          </w:p>
          <w:p w:rsidR="000B5EBA" w:rsidRDefault="000B5EBA" w:rsidP="00D148D7">
            <w:pPr>
              <w:pStyle w:val="NotesText"/>
            </w:pPr>
          </w:p>
          <w:p w:rsidR="000B5EBA" w:rsidRDefault="000B5EBA" w:rsidP="001272CA">
            <w:pPr>
              <w:pStyle w:val="NotesText"/>
            </w:pPr>
            <w:r>
              <w:t>Daily QC testing does not include reagents used in special antigen typing.</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0D380C" w:rsidRDefault="000D380C">
            <w:pPr>
              <w:pStyle w:val="TableTextNumbers"/>
            </w:pPr>
            <w:r>
              <w:t xml:space="preserve">Select the </w:t>
            </w:r>
            <w:r w:rsidRPr="000D380C">
              <w:rPr>
                <w:b/>
              </w:rPr>
              <w:t>Test Rack(s)</w:t>
            </w:r>
            <w:r w:rsidRPr="000D380C">
              <w:t>,</w:t>
            </w:r>
            <w:r w:rsidRPr="000D380C">
              <w:rPr>
                <w:b/>
              </w:rPr>
              <w:t xml:space="preserve"> </w:t>
            </w:r>
            <w:r>
              <w:rPr>
                <w:b/>
              </w:rPr>
              <w:t>P</w:t>
            </w:r>
            <w:r w:rsidRPr="000D380C">
              <w:rPr>
                <w:b/>
              </w:rPr>
              <w:t>artially Tested Rack(s)</w:t>
            </w:r>
            <w:r w:rsidRPr="00F62D64">
              <w:t>, or</w:t>
            </w:r>
            <w:r w:rsidRPr="000D380C">
              <w:rPr>
                <w:b/>
              </w:rPr>
              <w:t xml:space="preserve"> Retest Rack(s</w:t>
            </w:r>
            <w:r w:rsidRPr="00F62D64">
              <w:rPr>
                <w:b/>
              </w:rPr>
              <w:t xml:space="preserve">) </w:t>
            </w:r>
            <w:r w:rsidRPr="00CC3C89">
              <w:t>tab</w:t>
            </w:r>
            <w:r w:rsidR="00957095" w:rsidRPr="00CC3C89">
              <w:t xml:space="preserve"> </w:t>
            </w:r>
            <w:r w:rsidR="00957095">
              <w:t>(</w:t>
            </w:r>
            <w:r w:rsidR="00957095">
              <w:fldChar w:fldCharType="begin"/>
            </w:r>
            <w:r w:rsidR="00957095">
              <w:instrText xml:space="preserve"> REF _Ref126641381 \h </w:instrText>
            </w:r>
            <w:r w:rsidR="00957095">
              <w:fldChar w:fldCharType="separate"/>
            </w:r>
            <w:r w:rsidR="005F38BC">
              <w:t xml:space="preserve">Figure </w:t>
            </w:r>
            <w:r w:rsidR="005F38BC">
              <w:rPr>
                <w:noProof/>
              </w:rPr>
              <w:t>57</w:t>
            </w:r>
            <w:r w:rsidR="00957095">
              <w:fldChar w:fldCharType="end"/>
            </w:r>
            <w:r w:rsidR="00957095">
              <w:t>)</w:t>
            </w:r>
            <w:r>
              <w:t>.</w:t>
            </w:r>
          </w:p>
          <w:p w:rsidR="000D380C" w:rsidRDefault="000D380C" w:rsidP="000D380C">
            <w:pPr>
              <w:pStyle w:val="TableTextNumbersContinued"/>
            </w:pPr>
          </w:p>
          <w:p w:rsidR="002A21AE" w:rsidRDefault="00922EBC" w:rsidP="000D380C">
            <w:pPr>
              <w:pStyle w:val="TableTextNumbersContinued"/>
            </w:pPr>
            <w:r>
              <w:t>Click one or more check boxes to select</w:t>
            </w:r>
            <w:r w:rsidR="002A21AE">
              <w:t xml:space="preserve"> rack numbers.</w:t>
            </w:r>
          </w:p>
          <w:p w:rsidR="00C36763" w:rsidRDefault="00C36763" w:rsidP="000D380C">
            <w:pPr>
              <w:pStyle w:val="TableTextNumbersContinued"/>
            </w:pPr>
          </w:p>
          <w:p w:rsidR="00C36763" w:rsidRDefault="00C36763" w:rsidP="000D380C">
            <w:pPr>
              <w:pStyle w:val="TableTextNumbersContinued"/>
            </w:pPr>
            <w:r>
              <w:t xml:space="preserve">Click </w:t>
            </w:r>
            <w:r w:rsidRPr="00C36763">
              <w:rPr>
                <w:b/>
              </w:rPr>
              <w:t>OK</w:t>
            </w:r>
            <w:r>
              <w:t>.</w:t>
            </w:r>
          </w:p>
          <w:p w:rsidR="002A21AE" w:rsidRDefault="002A21AE" w:rsidP="00107CEB">
            <w:pPr>
              <w:pStyle w:val="TableTextNumbersContinued"/>
            </w:pPr>
          </w:p>
        </w:tc>
        <w:tc>
          <w:tcPr>
            <w:tcW w:w="6356" w:type="dxa"/>
            <w:tcBorders>
              <w:top w:val="single" w:sz="4" w:space="0" w:color="auto"/>
              <w:left w:val="single" w:sz="4" w:space="0" w:color="auto"/>
              <w:bottom w:val="single" w:sz="4" w:space="0" w:color="auto"/>
              <w:right w:val="single" w:sz="4" w:space="0" w:color="auto"/>
            </w:tcBorders>
          </w:tcPr>
          <w:p w:rsidR="002A21AE" w:rsidRDefault="002A21AE">
            <w:pPr>
              <w:pStyle w:val="TableTextBullet"/>
            </w:pPr>
            <w:r>
              <w:t>Displays the lot number verification template for each rack selected.</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5840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40" name="Lin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3" o:spid="_x0000_s1026" style="position:absolute;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FQa&#10;HP8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A013ED" w:rsidRDefault="00A013ED" w:rsidP="00A013ED">
            <w:pPr>
              <w:pStyle w:val="NotesText"/>
            </w:pPr>
          </w:p>
          <w:p w:rsidR="00F233CC" w:rsidRDefault="005C1490" w:rsidP="00F233CC">
            <w:pPr>
              <w:pStyle w:val="NotesText"/>
            </w:pPr>
            <w:r>
              <w:rPr>
                <w:vanish/>
              </w:rPr>
              <w:t>BR_</w:t>
            </w:r>
            <w:r w:rsidRPr="00707B78">
              <w:rPr>
                <w:vanish/>
              </w:rPr>
              <w:t>28.3</w:t>
            </w:r>
            <w:r w:rsidR="00324E04" w:rsidRPr="00707B78">
              <w:rPr>
                <w:vanish/>
              </w:rPr>
              <w:t xml:space="preserve">3 </w:t>
            </w:r>
            <w:r w:rsidRPr="005C1490">
              <w:t>A</w:t>
            </w:r>
            <w:r w:rsidR="00F233CC" w:rsidRPr="005C1490">
              <w:t xml:space="preserve"> </w:t>
            </w:r>
            <w:r>
              <w:t xml:space="preserve">reagent </w:t>
            </w:r>
            <w:r w:rsidR="00F233CC">
              <w:t xml:space="preserve">rack </w:t>
            </w:r>
            <w:r>
              <w:t>is</w:t>
            </w:r>
            <w:r w:rsidR="00F233CC">
              <w:t xml:space="preserve"> displayed on one of three tabs based on its testing status and the daily alert time setting:</w:t>
            </w:r>
          </w:p>
          <w:p w:rsidR="00F233CC" w:rsidRDefault="00F233CC" w:rsidP="00F233CC">
            <w:pPr>
              <w:pStyle w:val="NotesTextBullet"/>
            </w:pPr>
            <w:r>
              <w:t>Test Rack(s): the current alert time has passed and is/are considered “untested”</w:t>
            </w:r>
          </w:p>
          <w:p w:rsidR="00F233CC" w:rsidRDefault="00F233CC" w:rsidP="00F233CC">
            <w:pPr>
              <w:pStyle w:val="NotesTextBullet"/>
            </w:pPr>
            <w:r>
              <w:t>Partially tested: racks that have incomplete test results for the current 24 hour time clock and are considered “untested”</w:t>
            </w:r>
          </w:p>
          <w:p w:rsidR="00F233CC" w:rsidRDefault="00F233CC" w:rsidP="00F233CC">
            <w:pPr>
              <w:pStyle w:val="NotesTextBullet"/>
            </w:pPr>
            <w:r>
              <w:t>Retest Racks: racks that are fully tested within the current alert time and are available for new lot number selection and its testing.</w:t>
            </w:r>
          </w:p>
          <w:p w:rsidR="00503F5E" w:rsidRDefault="00503F5E" w:rsidP="00A013ED">
            <w:pPr>
              <w:pStyle w:val="NotesText"/>
            </w:pPr>
          </w:p>
          <w:p w:rsidR="00F233CC" w:rsidRPr="00503F5E" w:rsidRDefault="00503F5E" w:rsidP="00A013ED">
            <w:pPr>
              <w:pStyle w:val="NotesText"/>
            </w:pPr>
            <w:r w:rsidRPr="00503F5E">
              <w:t>The user may test a rack no earlier than the alert time for the next 24 hours</w:t>
            </w:r>
            <w:r>
              <w:t>.</w:t>
            </w:r>
            <w:r>
              <w:rPr>
                <w:vanish/>
              </w:rPr>
              <w:t xml:space="preserve"> DR 4014</w:t>
            </w:r>
          </w:p>
          <w:p w:rsidR="00503F5E" w:rsidRDefault="00503F5E" w:rsidP="00A013ED">
            <w:pPr>
              <w:pStyle w:val="NotesText"/>
            </w:pPr>
          </w:p>
          <w:p w:rsidR="00A013ED" w:rsidRDefault="00A013ED" w:rsidP="00A013ED">
            <w:pPr>
              <w:pStyle w:val="NotesText"/>
            </w:pPr>
            <w:r>
              <w:t>On occasion, a user may save a partially completed QC worksheet and finish it later. The same user or a different user may complete the testing.</w:t>
            </w:r>
          </w:p>
          <w:p w:rsidR="00A013ED" w:rsidRDefault="00A013ED" w:rsidP="00A013ED">
            <w:pPr>
              <w:pStyle w:val="NotesText"/>
            </w:pPr>
          </w:p>
          <w:p w:rsidR="00A013ED" w:rsidRDefault="00A013ED" w:rsidP="00A013ED">
            <w:pPr>
              <w:pStyle w:val="NotesText"/>
            </w:pPr>
            <w:r>
              <w:t>The user may retest a rack when a reagent lot number changes after initial testing. VBECS does not allow the user to retest saved valid results.</w:t>
            </w:r>
          </w:p>
          <w:p w:rsidR="00A013ED" w:rsidRDefault="00A013ED" w:rsidP="00A013ED">
            <w:pPr>
              <w:pStyle w:val="NotesText"/>
              <w:rPr>
                <w:vanish/>
                <w:szCs w:val="18"/>
              </w:rPr>
            </w:pPr>
          </w:p>
          <w:p w:rsidR="002A21AE" w:rsidRDefault="002A21AE">
            <w:pPr>
              <w:pStyle w:val="NotesText"/>
            </w:pPr>
            <w:r>
              <w:rPr>
                <w:vanish/>
                <w:szCs w:val="18"/>
              </w:rPr>
              <w:t xml:space="preserve">PT_28.01 </w:t>
            </w:r>
            <w:r>
              <w:t xml:space="preserve">VBECS requires the user to indicate the rack identifier to provide a testing template for each daily reagent rack QC. </w:t>
            </w:r>
          </w:p>
          <w:p w:rsidR="002A21AE" w:rsidRDefault="002A21AE" w:rsidP="00995EAA">
            <w:pPr>
              <w:pStyle w:val="NotesText"/>
            </w:pPr>
          </w:p>
          <w:p w:rsidR="002A21AE" w:rsidRDefault="002A21AE">
            <w:pPr>
              <w:pStyle w:val="NotesText"/>
            </w:pPr>
            <w:r>
              <w:rPr>
                <w:rFonts w:cs="Arial"/>
                <w:vanish/>
                <w:szCs w:val="18"/>
              </w:rPr>
              <w:t>BR_28.11</w:t>
            </w:r>
            <w:r w:rsidR="00CE3961">
              <w:rPr>
                <w:rFonts w:cs="Arial"/>
                <w:vanish/>
                <w:szCs w:val="18"/>
              </w:rPr>
              <w:t>,</w:t>
            </w:r>
            <w:r>
              <w:rPr>
                <w:rFonts w:cs="Arial"/>
                <w:vanish/>
                <w:szCs w:val="18"/>
              </w:rPr>
              <w:t xml:space="preserve"> </w:t>
            </w:r>
            <w:r>
              <w:rPr>
                <w:vanish/>
                <w:szCs w:val="18"/>
              </w:rPr>
              <w:t xml:space="preserve">BR_28.23 </w:t>
            </w:r>
            <w:r>
              <w:t>Site settings determine reagent types and lot numbers present. VBECS displays only reagent types previously entered for the division using the reagent inventory function. VBECS allows entry of lot numbers only. When VBECS displays lot numbers for selection, it checks the inventory system for the reagent name and lot numbers in use in a rack. VBECS does not offer a reagent with an unsatisfactory value in the “Inspection” field or with a quantity of zero as a selectable reagent. The user cannot force the entry of a lot number that VBECS disallowed on the selection list. The user must choose a different reagent.</w:t>
            </w:r>
          </w:p>
          <w:p w:rsidR="002A21AE" w:rsidRDefault="002A21AE">
            <w:pPr>
              <w:pStyle w:val="NotesText"/>
            </w:pPr>
          </w:p>
          <w:p w:rsidR="002A21AE" w:rsidRDefault="002A21AE">
            <w:pPr>
              <w:pStyle w:val="NotesText"/>
            </w:pPr>
            <w:r>
              <w:rPr>
                <w:rFonts w:cs="Arial"/>
                <w:vanish/>
              </w:rPr>
              <w:t xml:space="preserve">BR_28.24 </w:t>
            </w:r>
            <w:r w:rsidR="00D62E87" w:rsidRPr="00896F17">
              <w:rPr>
                <w:rStyle w:val="BullhornChar"/>
              </w:rPr>
              <w:t></w:t>
            </w:r>
            <w:r w:rsidR="00D62E87" w:rsidRPr="00D62E87">
              <w:rPr>
                <w:rFonts w:ascii="Webdings" w:hAnsi="Webdings"/>
              </w:rPr>
              <w:t></w:t>
            </w:r>
            <w:r w:rsidR="00D62E87" w:rsidRPr="00D62E87">
              <w:t>V</w:t>
            </w:r>
            <w:r>
              <w:t>BECS compares the expiration date of each reagent on the selected rack to the testing date, emits an audible alert, and warns when the reagent is expired.</w:t>
            </w:r>
          </w:p>
          <w:p w:rsidR="002A21AE" w:rsidRDefault="002A21AE">
            <w:pPr>
              <w:pStyle w:val="NotesText"/>
            </w:pPr>
          </w:p>
          <w:p w:rsidR="002A21AE" w:rsidRDefault="002A21AE">
            <w:pPr>
              <w:pStyle w:val="NotesText"/>
            </w:pPr>
            <w:r>
              <w:rPr>
                <w:b/>
              </w:rPr>
              <w:t>Yes</w:t>
            </w:r>
            <w:r>
              <w:t xml:space="preserve"> requires a comment and VBECS captures details for inclusion in an Exception Report (exception type: expired reagent QC’d).</w:t>
            </w:r>
          </w:p>
          <w:p w:rsidR="002A21AE" w:rsidRDefault="002A21AE">
            <w:pPr>
              <w:pStyle w:val="NotesText"/>
            </w:pPr>
          </w:p>
          <w:p w:rsidR="002A21AE" w:rsidRDefault="002A21AE">
            <w:pPr>
              <w:pStyle w:val="NotesText"/>
            </w:pPr>
            <w:r>
              <w:rPr>
                <w:b/>
              </w:rPr>
              <w:t>No</w:t>
            </w:r>
            <w:r>
              <w:t xml:space="preserve"> removes the unsatisfactory reagent from the daily QC rack. The user must select a new one. VBECS does not display unsatisfactory lot numbers.</w:t>
            </w:r>
          </w:p>
          <w:p w:rsidR="002A21AE" w:rsidRDefault="002A21AE">
            <w:pPr>
              <w:pStyle w:val="NotesText"/>
            </w:pPr>
          </w:p>
          <w:p w:rsidR="002A21AE" w:rsidRDefault="002A21AE">
            <w:pPr>
              <w:pStyle w:val="NotesText"/>
            </w:pPr>
            <w:r>
              <w:rPr>
                <w:rFonts w:cs="Arial"/>
                <w:vanish/>
              </w:rPr>
              <w:t xml:space="preserve">BR_28.32 </w:t>
            </w:r>
            <w:r>
              <w:t>The user may enter the lot numbers of the reagents used for the daily QC rack and the lot numbers of the enhancement media reagents defined in Configure Daily QC. VBECS does not display these reagents on the reaction results grid for a rack.</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lastRenderedPageBreak/>
              <w:t>Select a wo</w:t>
            </w:r>
            <w:r w:rsidR="0086218A">
              <w:t>rksheet to complete the testing</w:t>
            </w:r>
            <w:r w:rsidR="00F20BC5">
              <w:t xml:space="preserve"> (</w:t>
            </w:r>
            <w:r w:rsidR="00957095">
              <w:fldChar w:fldCharType="begin"/>
            </w:r>
            <w:r w:rsidR="00957095">
              <w:instrText xml:space="preserve"> REF _Ref126641476 \h </w:instrText>
            </w:r>
            <w:r w:rsidR="00957095">
              <w:fldChar w:fldCharType="separate"/>
            </w:r>
            <w:r w:rsidR="005F38BC">
              <w:t xml:space="preserve">Figure </w:t>
            </w:r>
            <w:r w:rsidR="005F38BC">
              <w:rPr>
                <w:noProof/>
              </w:rPr>
              <w:t>58</w:t>
            </w:r>
            <w:r w:rsidR="00957095">
              <w:fldChar w:fldCharType="end"/>
            </w:r>
            <w:r w:rsidR="00F20BC5">
              <w:t>)</w:t>
            </w:r>
            <w:r w:rsidR="0086218A">
              <w:t>, or</w:t>
            </w:r>
          </w:p>
          <w:p w:rsidR="0086218A" w:rsidRDefault="0086218A" w:rsidP="0086218A">
            <w:pPr>
              <w:pStyle w:val="TableTextNumbersContinued"/>
            </w:pPr>
          </w:p>
          <w:p w:rsidR="002A21AE" w:rsidRDefault="0086218A" w:rsidP="001D6DF1">
            <w:pPr>
              <w:pStyle w:val="TableTextNumbersContinued"/>
            </w:pPr>
            <w:r>
              <w:rPr>
                <w:rFonts w:cs="Arial"/>
                <w:vanish/>
              </w:rPr>
              <w:t xml:space="preserve">BR_28.05 </w:t>
            </w:r>
            <w:r>
              <w:t xml:space="preserve">Click the </w:t>
            </w:r>
            <w:r w:rsidRPr="0086218A">
              <w:rPr>
                <w:b/>
              </w:rPr>
              <w:t xml:space="preserve">Rack not in use today </w:t>
            </w:r>
            <w:r w:rsidRPr="00D1100E">
              <w:t>check box</w:t>
            </w:r>
            <w:r>
              <w:t xml:space="preserve"> to indicate that testing of a rack will not be performed.</w:t>
            </w:r>
          </w:p>
          <w:p w:rsidR="006D3D24" w:rsidRDefault="006D3D24" w:rsidP="001D6DF1">
            <w:pPr>
              <w:pStyle w:val="TableTextNumbersContinued"/>
            </w:pPr>
          </w:p>
          <w:p w:rsidR="006D3D24" w:rsidRPr="006D3D24" w:rsidRDefault="006D3D24" w:rsidP="006D3D24">
            <w:pPr>
              <w:pStyle w:val="TableTextNumbersContinued"/>
            </w:pPr>
            <w:r>
              <w:rPr>
                <w:vanish/>
              </w:rPr>
              <w:t xml:space="preserve">BR_28.34 </w:t>
            </w:r>
            <w:r>
              <w:t xml:space="preserve">Click the </w:t>
            </w:r>
            <w:r>
              <w:rPr>
                <w:b/>
              </w:rPr>
              <w:t>QC Testing Documentation Offline</w:t>
            </w:r>
            <w:r>
              <w:t xml:space="preserve"> check box to acknowledge QC is not performed in VBECS but has been properly documented.</w:t>
            </w:r>
            <w:r w:rsidR="00D827B9">
              <w:t xml:space="preserve"> Click </w:t>
            </w:r>
            <w:r w:rsidR="00D827B9" w:rsidRPr="00D827B9">
              <w:rPr>
                <w:b/>
              </w:rPr>
              <w:t>Yes</w:t>
            </w:r>
            <w:r w:rsidR="00D827B9">
              <w:t xml:space="preserve"> to save changes. Close the window.</w:t>
            </w:r>
          </w:p>
        </w:tc>
        <w:tc>
          <w:tcPr>
            <w:tcW w:w="6356" w:type="dxa"/>
            <w:tcBorders>
              <w:top w:val="single" w:sz="4" w:space="0" w:color="auto"/>
              <w:left w:val="single" w:sz="4" w:space="0" w:color="auto"/>
              <w:bottom w:val="single" w:sz="4" w:space="0" w:color="auto"/>
              <w:right w:val="single" w:sz="4" w:space="0" w:color="auto"/>
            </w:tcBorders>
          </w:tcPr>
          <w:p w:rsidR="002A21AE" w:rsidRDefault="002A21AE">
            <w:pPr>
              <w:pStyle w:val="TableTextBullet"/>
            </w:pPr>
            <w:r>
              <w:t>Displays the selected worksheet.</w:t>
            </w:r>
          </w:p>
          <w:p w:rsidR="002A21AE" w:rsidRDefault="002A21AE">
            <w:pPr>
              <w:pStyle w:val="TableTextBullet"/>
            </w:pPr>
            <w:r>
              <w:t>Displays the selected partially completed worksheet with the option to cancel the worksheet or continue to enter more testing information.</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5737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39" name="Lin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1" o:spid="_x0000_s1026" style="position:absolute;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03xFgIAAC0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By&#10;O03xFgIAAC0EAAAOAAAAAAAAAAAAAAAAAC4CAABkcnMvZTJvRG9jLnhtbFBLAQItABQABgAIAAAA&#10;IQAXTzAS2wAAAAgBAAAPAAAAAAAAAAAAAAAAAHAEAABkcnMvZG93bnJldi54bWxQSwUGAAAAAAQA&#10;BADzAAAAeAUAAAAA&#10;" strokeweight="1.5pt"/>
                  </w:pict>
                </mc:Fallback>
              </mc:AlternateContent>
            </w:r>
            <w:r w:rsidR="002A21AE">
              <w:rPr>
                <w:b/>
                <w:bCs/>
                <w:szCs w:val="18"/>
              </w:rPr>
              <w:t>NOTES</w:t>
            </w:r>
          </w:p>
          <w:p w:rsidR="002A21AE" w:rsidRDefault="002A21AE">
            <w:pPr>
              <w:pStyle w:val="NotesText"/>
            </w:pPr>
          </w:p>
          <w:p w:rsidR="00CF0BDB" w:rsidRDefault="006D3D24">
            <w:pPr>
              <w:pStyle w:val="NotesText"/>
              <w:rPr>
                <w:rFonts w:cs="Arial"/>
              </w:rPr>
            </w:pPr>
            <w:r>
              <w:rPr>
                <w:rFonts w:cs="Arial"/>
              </w:rPr>
              <w:t xml:space="preserve">When the QC Testing Documentation Offline check box is checked </w:t>
            </w:r>
            <w:r w:rsidR="00CF0BDB">
              <w:rPr>
                <w:rFonts w:cs="Arial"/>
              </w:rPr>
              <w:t>for a reagent rack</w:t>
            </w:r>
            <w:r w:rsidR="00FE130E">
              <w:rPr>
                <w:rFonts w:cs="Arial"/>
              </w:rPr>
              <w:t>,</w:t>
            </w:r>
            <w:r w:rsidR="00CF0BDB">
              <w:rPr>
                <w:rFonts w:cs="Arial"/>
              </w:rPr>
              <w:t xml:space="preserve"> VBECS allows the rack to be used for patient testing until the next daily alert time.</w:t>
            </w:r>
          </w:p>
          <w:p w:rsidR="006D3D24" w:rsidRPr="006D3D24" w:rsidRDefault="006D3D24">
            <w:pPr>
              <w:pStyle w:val="NotesText"/>
              <w:rPr>
                <w:rFonts w:cs="Arial"/>
              </w:rPr>
            </w:pPr>
            <w:r>
              <w:rPr>
                <w:rFonts w:cs="Arial"/>
              </w:rPr>
              <w:t xml:space="preserve"> </w:t>
            </w:r>
          </w:p>
          <w:p w:rsidR="002A21AE" w:rsidRDefault="00E10815">
            <w:pPr>
              <w:pStyle w:val="NotesText"/>
            </w:pPr>
            <w:r>
              <w:t>The primary lot number can be tested and changed and the results for both will display on the Testing Worklist Report.</w:t>
            </w:r>
          </w:p>
          <w:p w:rsidR="002A21AE" w:rsidRDefault="002A21AE">
            <w:pPr>
              <w:pStyle w:val="NotesText"/>
            </w:pPr>
          </w:p>
          <w:p w:rsidR="002A21AE" w:rsidRDefault="00D62E87">
            <w:pPr>
              <w:pStyle w:val="NotesText"/>
            </w:pPr>
            <w:r w:rsidRPr="00896F17">
              <w:rPr>
                <w:rStyle w:val="BullhornChar"/>
              </w:rPr>
              <w:t></w:t>
            </w:r>
            <w:r w:rsidRPr="00D62E87">
              <w:rPr>
                <w:rFonts w:ascii="Webdings" w:hAnsi="Webdings"/>
              </w:rPr>
              <w:t></w:t>
            </w:r>
            <w:r w:rsidR="002A21AE">
              <w:t>A user may cancel or invalidate a partially completed QC rack worksheet when it is available. VBECS emits an audible alert and warns that invalidating this worksheet will necessitate starting over and asks whether the user wishes to continue.</w:t>
            </w:r>
          </w:p>
          <w:p w:rsidR="002A21AE" w:rsidRDefault="002A21AE">
            <w:pPr>
              <w:pStyle w:val="NotesText"/>
            </w:pPr>
          </w:p>
          <w:p w:rsidR="002A21AE" w:rsidRDefault="002A21AE">
            <w:pPr>
              <w:pStyle w:val="NotesText"/>
            </w:pPr>
            <w:r>
              <w:rPr>
                <w:b/>
              </w:rPr>
              <w:t>No</w:t>
            </w:r>
            <w:r>
              <w:t xml:space="preserve"> returns the user to the partially partially-completed worksheet. </w:t>
            </w:r>
          </w:p>
          <w:p w:rsidR="002A21AE" w:rsidRDefault="002A21AE">
            <w:pPr>
              <w:pStyle w:val="NotesText"/>
            </w:pPr>
            <w:r>
              <w:rPr>
                <w:b/>
              </w:rPr>
              <w:t>Yes</w:t>
            </w:r>
            <w:r>
              <w:t xml:space="preserve"> invalidates the worksheet. VBECS does not delete reaction results from the database. </w:t>
            </w:r>
          </w:p>
          <w:p w:rsidR="002A21AE" w:rsidRDefault="002A21AE">
            <w:pPr>
              <w:pStyle w:val="NotesText"/>
            </w:pPr>
          </w:p>
          <w:p w:rsidR="002A21AE" w:rsidRDefault="002A21AE">
            <w:pPr>
              <w:pStyle w:val="NotesText"/>
            </w:pPr>
            <w:r>
              <w:t>An Exception Report comment documents the invalidation of the rack’s worksheet. VBECS does not record workload calculation for invalidated testing. The invalidated reaction results and associated testing information remain in the database for future retrieval (exception type: deletion of partially completed QC).</w:t>
            </w:r>
          </w:p>
          <w:p w:rsidR="002A21AE" w:rsidRDefault="002A21AE">
            <w:pPr>
              <w:pStyle w:val="NotesText"/>
            </w:pPr>
          </w:p>
          <w:p w:rsidR="002A21AE" w:rsidRDefault="002A21AE">
            <w:pPr>
              <w:pStyle w:val="NotesText"/>
            </w:pPr>
            <w:r>
              <w:rPr>
                <w:rFonts w:cs="Arial"/>
                <w:vanish/>
              </w:rPr>
              <w:t xml:space="preserve">BR_28.12 </w:t>
            </w:r>
            <w:r w:rsidR="00D62E87" w:rsidRPr="00896F17">
              <w:rPr>
                <w:rStyle w:val="BullhornChar"/>
              </w:rPr>
              <w:t></w:t>
            </w:r>
            <w:r w:rsidR="00D62E87" w:rsidRPr="00D62E87">
              <w:rPr>
                <w:rFonts w:ascii="Webdings" w:hAnsi="Webdings"/>
              </w:rPr>
              <w:t></w:t>
            </w:r>
            <w:r w:rsidR="00D62E87" w:rsidRPr="00D62E87">
              <w:t>V</w:t>
            </w:r>
            <w:r>
              <w:t xml:space="preserve">BECS compares the results entered to those of the previous day for the same rack number and alerts the user when there is a </w:t>
            </w:r>
            <w:r w:rsidR="001F4C96">
              <w:t>change</w:t>
            </w:r>
            <w:r>
              <w:t xml:space="preserve"> in reactivity of two or more </w:t>
            </w:r>
            <w:r w:rsidR="001F4C96">
              <w:t>or when the result is changed from positive to negative</w:t>
            </w:r>
            <w:r>
              <w:t xml:space="preserve"> for each reagent type by lot number. VBECS </w:t>
            </w:r>
            <w:r>
              <w:rPr>
                <w:noProof/>
              </w:rPr>
              <w:t>emits an audible a</w:t>
            </w:r>
            <w:r w:rsidR="000C0766">
              <w:rPr>
                <w:noProof/>
              </w:rPr>
              <w:t xml:space="preserve">lert and warns that there is a </w:t>
            </w:r>
            <w:r w:rsidR="000C0766">
              <w:t>decrease</w:t>
            </w:r>
            <w:r>
              <w:t xml:space="preserve"> in reagent reactivity of two or more and asks whether the user wishes to continue to use this vial.</w:t>
            </w:r>
          </w:p>
          <w:p w:rsidR="002A21AE" w:rsidRDefault="002A21AE">
            <w:pPr>
              <w:pStyle w:val="NotesText"/>
            </w:pPr>
          </w:p>
          <w:p w:rsidR="002A21AE" w:rsidRDefault="002A21AE">
            <w:pPr>
              <w:pStyle w:val="NotesText"/>
            </w:pPr>
            <w:r>
              <w:rPr>
                <w:b/>
              </w:rPr>
              <w:t>Yes</w:t>
            </w:r>
            <w:r>
              <w:t xml:space="preserve"> allows the user to continue and requires a comment. VBECS captures details for inclusion in an Exception Report and allows this reagent to be used with the change (within acceptable limits) (exception type: QC decrease reagent reactivity </w:t>
            </w:r>
            <w:r w:rsidR="00DE5EF3" w:rsidRPr="00DE5EF3">
              <w:rPr>
                <w:rStyle w:val="Char"/>
                <w:rFonts w:cs="Arial"/>
                <w:sz w:val="18"/>
                <w:szCs w:val="18"/>
              </w:rPr>
              <w:t>≥</w:t>
            </w:r>
            <w:r>
              <w:t>2).</w:t>
            </w:r>
            <w:r w:rsidR="00DE5EF3">
              <w:t xml:space="preserve"> </w:t>
            </w:r>
          </w:p>
          <w:p w:rsidR="002A21AE" w:rsidRDefault="002A21AE">
            <w:pPr>
              <w:pStyle w:val="NotesText"/>
            </w:pPr>
          </w:p>
          <w:p w:rsidR="002A21AE" w:rsidRDefault="002A21AE">
            <w:pPr>
              <w:pStyle w:val="NotesText"/>
            </w:pPr>
            <w:r>
              <w:rPr>
                <w:b/>
              </w:rPr>
              <w:t>No</w:t>
            </w:r>
            <w:r>
              <w:t xml:space="preserve"> allows the user to return to the lot number entry for this reagent type and approve this lot number (different vial) or enter a new lot number. VBECS returns to the testing worksheet where the user left </w:t>
            </w:r>
            <w:r>
              <w:lastRenderedPageBreak/>
              <w:t>off. (An individual vial of the same lot number may replace the one losing its reactivity.)</w:t>
            </w:r>
          </w:p>
          <w:p w:rsidR="002A21AE" w:rsidRDefault="002A21AE">
            <w:pPr>
              <w:pStyle w:val="NotesText"/>
            </w:pPr>
          </w:p>
          <w:p w:rsidR="002A21AE" w:rsidRDefault="002A21AE">
            <w:pPr>
              <w:pStyle w:val="NotesText"/>
            </w:pPr>
            <w:r>
              <w:rPr>
                <w:rFonts w:cs="Arial"/>
                <w:vanish/>
              </w:rPr>
              <w:t>BR_28.30</w:t>
            </w:r>
            <w:r w:rsidR="00C852BF">
              <w:rPr>
                <w:rFonts w:cs="Arial"/>
                <w:vanish/>
              </w:rPr>
              <w:t>,</w:t>
            </w:r>
            <w:r>
              <w:rPr>
                <w:rFonts w:cs="Arial"/>
                <w:vanish/>
              </w:rPr>
              <w:t xml:space="preserve"> </w:t>
            </w:r>
            <w:r w:rsidR="00C852BF">
              <w:rPr>
                <w:rFonts w:cs="Arial"/>
                <w:vanish/>
              </w:rPr>
              <w:t>BR_28.31</w:t>
            </w:r>
            <w:r>
              <w:t xml:space="preserve">The </w:t>
            </w:r>
            <w:r w:rsidR="00C377F3">
              <w:t>s</w:t>
            </w:r>
            <w:r>
              <w:t xml:space="preserve">creening </w:t>
            </w:r>
            <w:r w:rsidR="00C377F3">
              <w:t>c</w:t>
            </w:r>
            <w:r w:rsidR="00F20BC5">
              <w:t>ell</w:t>
            </w:r>
            <w:r w:rsidR="00462FB1">
              <w:t xml:space="preserve"> and reverse typing</w:t>
            </w:r>
            <w:r>
              <w:t xml:space="preserve"> reagents are delivered in set</w:t>
            </w:r>
            <w:r w:rsidR="00462FB1">
              <w:t>s</w:t>
            </w:r>
            <w:r>
              <w:t xml:space="preserve"> and share the same lot number; therefore, VBECS displays only one reagent type on the lot number template.</w:t>
            </w:r>
          </w:p>
        </w:tc>
      </w:tr>
      <w:tr w:rsidR="002A21AE">
        <w:tblPrEx>
          <w:tblCellMar>
            <w:top w:w="0" w:type="dxa"/>
            <w:bottom w:w="0" w:type="dxa"/>
          </w:tblCellMar>
        </w:tblPrEx>
        <w:tc>
          <w:tcPr>
            <w:tcW w:w="3240" w:type="dxa"/>
          </w:tcPr>
          <w:p w:rsidR="00A83F42" w:rsidRDefault="00A83F42" w:rsidP="00A83F42">
            <w:pPr>
              <w:pStyle w:val="TableTextNumbers"/>
            </w:pPr>
            <w:r>
              <w:lastRenderedPageBreak/>
              <w:t>Verify or select from the drop-down menu the reagent type lot number and test method for each rack chosen for processing.</w:t>
            </w:r>
          </w:p>
          <w:p w:rsidR="00107CEB" w:rsidRDefault="00107CEB" w:rsidP="00107CEB">
            <w:pPr>
              <w:pStyle w:val="TableTextNumbersContinued"/>
            </w:pPr>
          </w:p>
          <w:p w:rsidR="00107CEB" w:rsidRDefault="00A83F42" w:rsidP="00107CEB">
            <w:pPr>
              <w:pStyle w:val="TableTextNumbersContinued"/>
            </w:pPr>
            <w:r>
              <w:t xml:space="preserve">Click </w:t>
            </w:r>
            <w:r w:rsidRPr="001272CA">
              <w:rPr>
                <w:b/>
              </w:rPr>
              <w:t>OK</w:t>
            </w:r>
            <w:r>
              <w:t>.</w:t>
            </w:r>
          </w:p>
          <w:p w:rsidR="00107CEB" w:rsidRDefault="00107CEB" w:rsidP="00A83F42">
            <w:pPr>
              <w:pStyle w:val="TableTextNumbersContinued"/>
            </w:pPr>
          </w:p>
        </w:tc>
        <w:tc>
          <w:tcPr>
            <w:tcW w:w="6356" w:type="dxa"/>
          </w:tcPr>
          <w:p w:rsidR="00A83F42" w:rsidRDefault="00A83F42" w:rsidP="00A83F42">
            <w:pPr>
              <w:pStyle w:val="TableTextBullet"/>
            </w:pPr>
            <w:r>
              <w:t xml:space="preserve">Displays the lot numbers and expiration dates for verification, if any. </w:t>
            </w:r>
          </w:p>
          <w:p w:rsidR="00687D72" w:rsidRDefault="00687D72" w:rsidP="00A83F42">
            <w:pPr>
              <w:pStyle w:val="TableTextBullet"/>
            </w:pPr>
            <w:r>
              <w:t>Displays each rack in its own tab.</w:t>
            </w:r>
          </w:p>
          <w:p w:rsidR="00A83F42" w:rsidRDefault="00A83F42" w:rsidP="00A83F42">
            <w:pPr>
              <w:pStyle w:val="TableText"/>
            </w:pPr>
          </w:p>
          <w:p w:rsidR="00A83F42" w:rsidRDefault="00634BFC" w:rsidP="00A83F42">
            <w:pPr>
              <w:pStyle w:val="TableText"/>
              <w:rPr>
                <w:b/>
                <w:bCs/>
                <w:szCs w:val="18"/>
              </w:rPr>
            </w:pPr>
            <w:r>
              <w:rPr>
                <w:b/>
                <w:bCs/>
                <w:noProof/>
              </w:rPr>
              <mc:AlternateContent>
                <mc:Choice Requires="wps">
                  <w:drawing>
                    <wp:anchor distT="0" distB="0" distL="114300" distR="114300" simplePos="0" relativeHeight="25176524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38" name="Line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9" o:spid="_x0000_s1026" style="position:absolute;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bHOFQIAAC4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Mt9&#10;sc4VAgAALgQAAA4AAAAAAAAAAAAAAAAALgIAAGRycy9lMm9Eb2MueG1sUEsBAi0AFAAGAAgAAAAh&#10;ABdPMBLbAAAACAEAAA8AAAAAAAAAAAAAAAAAbwQAAGRycy9kb3ducmV2LnhtbFBLBQYAAAAABAAE&#10;APMAAAB3BQAAAAA=&#10;" strokeweight="1.5pt"/>
                  </w:pict>
                </mc:Fallback>
              </mc:AlternateContent>
            </w:r>
            <w:r w:rsidR="00A83F42">
              <w:rPr>
                <w:b/>
                <w:bCs/>
                <w:szCs w:val="18"/>
              </w:rPr>
              <w:t>NOTES</w:t>
            </w:r>
          </w:p>
          <w:p w:rsidR="00A83F42" w:rsidRDefault="00A83F42" w:rsidP="00A83F42">
            <w:pPr>
              <w:pStyle w:val="NotesText"/>
            </w:pPr>
          </w:p>
          <w:p w:rsidR="00A83F42" w:rsidRDefault="00A83F42" w:rsidP="00A83F42">
            <w:pPr>
              <w:pStyle w:val="NotesText"/>
            </w:pPr>
            <w:r>
              <w:rPr>
                <w:vanish/>
                <w:szCs w:val="18"/>
              </w:rPr>
              <w:t>BR_28.02</w:t>
            </w:r>
            <w:r w:rsidR="00CE3961">
              <w:rPr>
                <w:vanish/>
                <w:szCs w:val="18"/>
              </w:rPr>
              <w:t>,</w:t>
            </w:r>
            <w:r>
              <w:rPr>
                <w:vanish/>
                <w:szCs w:val="18"/>
              </w:rPr>
              <w:t xml:space="preserve"> BR_28.03 </w:t>
            </w:r>
            <w:r>
              <w:t xml:space="preserve">VBECS allows for one lot number entry per reagent type per rack template. </w:t>
            </w:r>
          </w:p>
          <w:p w:rsidR="00A83F42" w:rsidRDefault="00A83F42" w:rsidP="00A83F42">
            <w:pPr>
              <w:pStyle w:val="NotesText"/>
              <w:rPr>
                <w:rFonts w:cs="Arial"/>
                <w:vanish/>
              </w:rPr>
            </w:pPr>
          </w:p>
          <w:p w:rsidR="002A21AE" w:rsidRDefault="00A83F42" w:rsidP="00A83F42">
            <w:pPr>
              <w:pStyle w:val="NotesText"/>
            </w:pPr>
            <w:r>
              <w:rPr>
                <w:rFonts w:cs="Arial"/>
                <w:vanish/>
              </w:rPr>
              <w:t xml:space="preserve">BR_28.13 </w:t>
            </w:r>
            <w:r>
              <w:t xml:space="preserve">When an entry was made, VBECS fills in the reagent type lot number, the expiration date of that lot number, and the manufacturer. The user may edit the lot number. </w:t>
            </w:r>
            <w:r w:rsidR="002A21AE">
              <w:t>The user must verify the lot numbers of racks in the selected batch before VBECS allows the user to move to the reaction results grids.</w:t>
            </w:r>
          </w:p>
          <w:p w:rsidR="002A21AE" w:rsidRDefault="002A21AE">
            <w:pPr>
              <w:pStyle w:val="NotesText"/>
            </w:pPr>
          </w:p>
          <w:p w:rsidR="002A21AE" w:rsidRDefault="002A21AE">
            <w:pPr>
              <w:pStyle w:val="NotesText"/>
            </w:pPr>
            <w:r>
              <w:rPr>
                <w:rFonts w:cs="Arial"/>
                <w:vanish/>
              </w:rPr>
              <w:t xml:space="preserve">BR_28.15 </w:t>
            </w:r>
            <w:r>
              <w:t xml:space="preserve">Each reagent rack has a separate reaction results grid to collect the user’s direct observations. </w:t>
            </w:r>
            <w:r>
              <w:rPr>
                <w:vanish/>
                <w:szCs w:val="18"/>
              </w:rPr>
              <w:t>See PT_28.02 Commercial QC Kit in Use and PT_28.03 Non-Commercial Daily QC Template.</w:t>
            </w:r>
          </w:p>
          <w:p w:rsidR="002A21AE" w:rsidRDefault="002A21AE">
            <w:pPr>
              <w:pStyle w:val="NotesText"/>
            </w:pPr>
          </w:p>
          <w:p w:rsidR="002A21AE" w:rsidRDefault="002A21AE">
            <w:pPr>
              <w:pStyle w:val="NotesText"/>
              <w:rPr>
                <w:vanish/>
                <w:szCs w:val="18"/>
              </w:rPr>
            </w:pPr>
            <w:r>
              <w:rPr>
                <w:rFonts w:cs="Arial"/>
                <w:vanish/>
              </w:rPr>
              <w:t xml:space="preserve">BR_51.10 </w:t>
            </w:r>
            <w:r>
              <w:t>VBECS displays reagent types (except for the gel and the instrument lot numbers) listed as REQUIRED (by VBECS or by the user) in the daily use field on the rack lot number template and the reaction result entry worksheet for each rack in Enter Daily QC Results.</w:t>
            </w:r>
          </w:p>
          <w:p w:rsidR="00DF355E" w:rsidRDefault="00DF355E" w:rsidP="00DF355E">
            <w:pPr>
              <w:pStyle w:val="NotesText"/>
            </w:pPr>
          </w:p>
          <w:p w:rsidR="00DF355E" w:rsidRDefault="00DF355E" w:rsidP="00DF355E">
            <w:pPr>
              <w:pStyle w:val="NotesText"/>
            </w:pPr>
            <w:r>
              <w:rPr>
                <w:vanish/>
                <w:szCs w:val="18"/>
              </w:rPr>
              <w:t>BR_28.06</w:t>
            </w:r>
            <w:r w:rsidR="00CE3961">
              <w:rPr>
                <w:vanish/>
                <w:szCs w:val="18"/>
              </w:rPr>
              <w:t>,</w:t>
            </w:r>
            <w:r>
              <w:rPr>
                <w:vanish/>
                <w:szCs w:val="18"/>
              </w:rPr>
              <w:t xml:space="preserve"> BR_28.07 </w:t>
            </w:r>
            <w:r>
              <w:t xml:space="preserve">When a rack is tested, VBECS displays a retest option at the daily reagent QC prompt with the untested rack numbers. When a user requests to retest a rack on a given date, VBECS displays the option to reenter a lot number for reagent types for all or part of the daily QC with a comment. All other reagent type results previously entered are locked and may not be edited. VBECS saves the new information and the original data, then generates a report entry. </w:t>
            </w:r>
          </w:p>
          <w:p w:rsidR="00DF355E" w:rsidRDefault="00DF355E" w:rsidP="00DF355E">
            <w:pPr>
              <w:pStyle w:val="NotesText"/>
            </w:pPr>
          </w:p>
          <w:p w:rsidR="00DF355E" w:rsidRDefault="00DF355E" w:rsidP="00DF355E">
            <w:pPr>
              <w:pStyle w:val="NotesText"/>
            </w:pPr>
            <w:r>
              <w:t>When a user changes a reagent lot number, VBECS clears the testing template for that reagent type and allows the user to enter new results.</w:t>
            </w:r>
          </w:p>
          <w:p w:rsidR="00DF355E" w:rsidRDefault="00DF355E">
            <w:pPr>
              <w:pStyle w:val="NotesText"/>
              <w:rPr>
                <w:vanish/>
                <w:szCs w:val="18"/>
              </w:rPr>
            </w:pPr>
          </w:p>
          <w:p w:rsidR="002A21AE" w:rsidRDefault="002A21AE">
            <w:pPr>
              <w:pStyle w:val="NotesText"/>
              <w:rPr>
                <w:vanish/>
                <w:szCs w:val="18"/>
              </w:rPr>
            </w:pPr>
            <w:r>
              <w:rPr>
                <w:vanish/>
                <w:szCs w:val="18"/>
              </w:rPr>
              <w:t xml:space="preserve">TT_28.01 Daily QC Using a Commercial QC Template or PT_28.02 Commercial QC Kit </w:t>
            </w:r>
          </w:p>
          <w:p w:rsidR="002A21AE" w:rsidRDefault="002A21AE">
            <w:pPr>
              <w:pStyle w:val="NotesText"/>
              <w:rPr>
                <w:vanish/>
                <w:szCs w:val="18"/>
              </w:rPr>
            </w:pPr>
          </w:p>
          <w:p w:rsidR="002A21AE" w:rsidRDefault="002A21AE">
            <w:pPr>
              <w:pStyle w:val="NotesText"/>
              <w:rPr>
                <w:vanish/>
                <w:szCs w:val="18"/>
              </w:rPr>
            </w:pPr>
            <w:r>
              <w:rPr>
                <w:vanish/>
                <w:szCs w:val="18"/>
              </w:rPr>
              <w:t>TT_28.02 Daily QC Using Non-Commercial QC Template</w:t>
            </w:r>
          </w:p>
          <w:p w:rsidR="002A21AE" w:rsidRDefault="002A21AE">
            <w:pPr>
              <w:pStyle w:val="NotesText"/>
              <w:rPr>
                <w:vanish/>
                <w:szCs w:val="18"/>
              </w:rPr>
            </w:pPr>
          </w:p>
          <w:p w:rsidR="002A21AE" w:rsidRDefault="002A21AE">
            <w:pPr>
              <w:pStyle w:val="NotesText"/>
            </w:pPr>
            <w:r>
              <w:rPr>
                <w:vanish/>
                <w:szCs w:val="18"/>
              </w:rPr>
              <w:t>PT_28.03 Non-Commercial Daily QC Template</w:t>
            </w:r>
          </w:p>
        </w:tc>
      </w:tr>
      <w:tr w:rsidR="002A21AE">
        <w:tblPrEx>
          <w:tblCellMar>
            <w:top w:w="0" w:type="dxa"/>
            <w:bottom w:w="0" w:type="dxa"/>
          </w:tblCellMar>
        </w:tblPrEx>
        <w:tc>
          <w:tcPr>
            <w:tcW w:w="3240" w:type="dxa"/>
          </w:tcPr>
          <w:p w:rsidR="002A21AE" w:rsidRDefault="002A21AE">
            <w:pPr>
              <w:pStyle w:val="TableTextNumbers"/>
            </w:pPr>
            <w:r>
              <w:t>Enter the observed serologic reacti</w:t>
            </w:r>
            <w:r w:rsidR="009C1A31">
              <w:t>ons</w:t>
            </w:r>
            <w:r w:rsidR="00462FB1">
              <w:t xml:space="preserve"> (</w:t>
            </w:r>
            <w:r w:rsidR="00462FB1">
              <w:fldChar w:fldCharType="begin"/>
            </w:r>
            <w:r w:rsidR="00462FB1">
              <w:instrText xml:space="preserve"> REF _Ref126642061 \h </w:instrText>
            </w:r>
            <w:r w:rsidR="00462FB1">
              <w:fldChar w:fldCharType="separate"/>
            </w:r>
            <w:r w:rsidR="005F38BC">
              <w:t xml:space="preserve">Figure </w:t>
            </w:r>
            <w:r w:rsidR="005F38BC">
              <w:rPr>
                <w:noProof/>
              </w:rPr>
              <w:t>59</w:t>
            </w:r>
            <w:r w:rsidR="00462FB1">
              <w:fldChar w:fldCharType="end"/>
            </w:r>
            <w:r w:rsidR="00462FB1">
              <w:t>)</w:t>
            </w:r>
            <w:r>
              <w:t>.</w:t>
            </w:r>
          </w:p>
          <w:p w:rsidR="007D23B5" w:rsidRDefault="007D23B5" w:rsidP="007D23B5">
            <w:pPr>
              <w:pStyle w:val="TableTextNumbersContinued"/>
            </w:pPr>
          </w:p>
          <w:p w:rsidR="007D23B5" w:rsidRDefault="007D23B5" w:rsidP="007D23B5">
            <w:pPr>
              <w:pStyle w:val="TableTextNumbersContinued"/>
            </w:pPr>
            <w:r>
              <w:t xml:space="preserve">Click </w:t>
            </w:r>
            <w:r w:rsidRPr="007D23B5">
              <w:rPr>
                <w:b/>
              </w:rPr>
              <w:t>OK</w:t>
            </w:r>
            <w:r>
              <w:t xml:space="preserve"> and </w:t>
            </w:r>
            <w:r w:rsidRPr="007D23B5">
              <w:rPr>
                <w:b/>
              </w:rPr>
              <w:t>Yes</w:t>
            </w:r>
            <w:r>
              <w:t xml:space="preserve"> to save</w:t>
            </w:r>
            <w:r w:rsidR="00281172">
              <w:t xml:space="preserve"> and exit</w:t>
            </w:r>
            <w:r>
              <w:t>.</w:t>
            </w:r>
          </w:p>
          <w:p w:rsidR="00881170" w:rsidRDefault="00881170" w:rsidP="00881170">
            <w:pPr>
              <w:pStyle w:val="TableTextNumbersContinued"/>
            </w:pPr>
          </w:p>
          <w:p w:rsidR="00881170" w:rsidRDefault="00881170" w:rsidP="00881170">
            <w:pPr>
              <w:pStyle w:val="TableTextNumbersContinued"/>
            </w:pPr>
            <w:r>
              <w:t xml:space="preserve">Repeat for </w:t>
            </w:r>
            <w:r w:rsidR="00281172">
              <w:t>each rack</w:t>
            </w:r>
            <w:r>
              <w:t xml:space="preserve"> selected in Step 3. </w:t>
            </w:r>
            <w:r w:rsidR="005F23AD">
              <w:rPr>
                <w:rStyle w:val="TableTextNumbersChar"/>
                <w:vanish/>
                <w:color w:val="FFFFFF"/>
                <w:szCs w:val="18"/>
              </w:rPr>
              <w:fldChar w:fldCharType="begin"/>
            </w:r>
            <w:r w:rsidR="005F23AD">
              <w:rPr>
                <w:rStyle w:val="TableTextNumbersChar"/>
                <w:vanish/>
                <w:color w:val="FFFFFF"/>
                <w:szCs w:val="18"/>
              </w:rPr>
              <w:instrText xml:space="preserve"> LISTNUM \l 1 \s 0 </w:instrText>
            </w:r>
            <w:r w:rsidR="005F23AD">
              <w:rPr>
                <w:rStyle w:val="TableTextNumbersChar"/>
                <w:vanish/>
                <w:color w:val="FFFFFF"/>
                <w:szCs w:val="18"/>
              </w:rPr>
              <w:fldChar w:fldCharType="end"/>
            </w:r>
          </w:p>
        </w:tc>
        <w:tc>
          <w:tcPr>
            <w:tcW w:w="6356" w:type="dxa"/>
          </w:tcPr>
          <w:p w:rsidR="000F2E95" w:rsidRDefault="000F2E95" w:rsidP="000F2E95">
            <w:pPr>
              <w:pStyle w:val="TableTextBullet"/>
            </w:pPr>
            <w:r>
              <w:t>Displays the testing template reaction results grid for each rack selected, when</w:t>
            </w:r>
            <w:r>
              <w:rPr>
                <w:i/>
              </w:rPr>
              <w:t xml:space="preserve"> </w:t>
            </w:r>
            <w:r>
              <w:t>no lot number changes were made.</w:t>
            </w:r>
          </w:p>
          <w:p w:rsidR="002A21AE" w:rsidRDefault="002A21AE">
            <w:pPr>
              <w:pStyle w:val="TableTextBullet"/>
            </w:pPr>
            <w:r>
              <w:t>Determines whether the entered results are acceptable and indicates acceptability of the lot number for the reagent type.</w:t>
            </w:r>
          </w:p>
          <w:p w:rsidR="00881170" w:rsidRDefault="002A21AE" w:rsidP="00881170">
            <w:pPr>
              <w:pStyle w:val="TableTextBullet"/>
            </w:pPr>
            <w:r>
              <w:t>Verifies (by type and lot number) that the reagent is satisfactory or unsatisfactory for use.</w:t>
            </w:r>
            <w:r w:rsidR="00881170">
              <w:t xml:space="preserve"> </w:t>
            </w:r>
          </w:p>
          <w:p w:rsidR="002A21AE" w:rsidRDefault="00881170" w:rsidP="00881170">
            <w:pPr>
              <w:pStyle w:val="TableTextBullet"/>
            </w:pPr>
            <w:r>
              <w:t xml:space="preserve">Saves the partially or fully completed data. </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5635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37" name="Lin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9" o:spid="_x0000_s1026" style="position:absolute;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jUFg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A/&#10;oVjUFgIAAC0EAAAOAAAAAAAAAAAAAAAAAC4CAABkcnMvZTJvRG9jLnhtbFBLAQItABQABgAIAAAA&#10;IQAXTzAS2wAAAAgBAAAPAAAAAAAAAAAAAAAAAHAEAABkcnMvZG93bnJldi54bWxQSwUGAAAAAAQA&#10;BADzAAAAeAU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t xml:space="preserve">The user may enter results on multiple reagent racks. VBECS displays each rack in its own tab. </w:t>
            </w:r>
          </w:p>
          <w:p w:rsidR="00881170" w:rsidRDefault="00881170">
            <w:pPr>
              <w:pStyle w:val="NotesText"/>
            </w:pPr>
          </w:p>
          <w:p w:rsidR="00881170" w:rsidRDefault="00881170" w:rsidP="00881170">
            <w:pPr>
              <w:pStyle w:val="NotesText"/>
            </w:pPr>
            <w:r>
              <w:rPr>
                <w:rFonts w:cs="Arial"/>
                <w:vanish/>
              </w:rPr>
              <w:t xml:space="preserve">BR_28.20 </w:t>
            </w:r>
            <w:r>
              <w:t xml:space="preserve">VBECS verifies satisfactory and unsatisfactory QC testing based on site parameters and user data entry. If the user-entered test results indicate a satisfactory interpretation, VBECS displays “Satisfactory.” VBECS saves results that are satisfactory only when the testing for a row is complete and the worksheet is saved. VBECS clears results associated with an unsatisfactory interpretation from the </w:t>
            </w:r>
            <w:r>
              <w:lastRenderedPageBreak/>
              <w:t>screen/worksheet and the testing for the affected QC rack is considered incomplete until the rack is retested with satisfactory results for the affected row. (Warnings generated by other options when QC testing is incomplete apply).</w:t>
            </w:r>
          </w:p>
          <w:p w:rsidR="00881170" w:rsidRDefault="00881170" w:rsidP="00881170">
            <w:pPr>
              <w:pStyle w:val="NotesText"/>
            </w:pPr>
          </w:p>
          <w:p w:rsidR="00881170" w:rsidRDefault="00881170" w:rsidP="00881170">
            <w:pPr>
              <w:pStyle w:val="NotesText"/>
            </w:pPr>
            <w:r>
              <w:rPr>
                <w:rFonts w:cs="Arial"/>
                <w:vanish/>
              </w:rPr>
              <w:t xml:space="preserve">BR_28.14 </w:t>
            </w:r>
            <w:r>
              <w:t>The daily reagent QC for a date requires a valid entry for each reagent displayed on the worksheet. VBECS considers a rack ready and available for patient testing on that date when all reagents on a rack have valid test results.</w:t>
            </w:r>
          </w:p>
        </w:tc>
      </w:tr>
    </w:tbl>
    <w:p w:rsidR="00957095" w:rsidRDefault="00957095" w:rsidP="00957095">
      <w:pPr>
        <w:pStyle w:val="Caption"/>
      </w:pPr>
      <w:bookmarkStart w:id="231" w:name="_Ref126548442"/>
      <w:bookmarkStart w:id="232" w:name="_Ref126641381"/>
      <w:bookmarkEnd w:id="226"/>
      <w:bookmarkEnd w:id="227"/>
      <w:bookmarkEnd w:id="228"/>
      <w:bookmarkEnd w:id="229"/>
      <w:bookmarkEnd w:id="230"/>
      <w:r>
        <w:lastRenderedPageBreak/>
        <w:t xml:space="preserve">Figure </w:t>
      </w:r>
      <w:r w:rsidR="00C17F7C">
        <w:fldChar w:fldCharType="begin"/>
      </w:r>
      <w:r w:rsidR="00C17F7C">
        <w:instrText xml:space="preserve"> SEQ Figure \* ARABIC </w:instrText>
      </w:r>
      <w:r w:rsidR="00C17F7C">
        <w:fldChar w:fldCharType="separate"/>
      </w:r>
      <w:r w:rsidR="005F38BC">
        <w:rPr>
          <w:noProof/>
        </w:rPr>
        <w:t>57</w:t>
      </w:r>
      <w:r w:rsidR="00C17F7C">
        <w:fldChar w:fldCharType="end"/>
      </w:r>
      <w:bookmarkEnd w:id="232"/>
      <w:r>
        <w:t>: Enter Daily QC Results</w:t>
      </w:r>
    </w:p>
    <w:p w:rsidR="00957095" w:rsidRDefault="00634BFC" w:rsidP="00957095">
      <w:pPr>
        <w:pStyle w:val="BodyText"/>
      </w:pPr>
      <w:r>
        <w:rPr>
          <w:noProof/>
        </w:rPr>
        <w:drawing>
          <wp:inline distT="0" distB="0" distL="0" distR="0">
            <wp:extent cx="4457700" cy="42291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457700" cy="4229100"/>
                    </a:xfrm>
                    <a:prstGeom prst="rect">
                      <a:avLst/>
                    </a:prstGeom>
                    <a:noFill/>
                    <a:ln>
                      <a:noFill/>
                    </a:ln>
                  </pic:spPr>
                </pic:pic>
              </a:graphicData>
            </a:graphic>
          </wp:inline>
        </w:drawing>
      </w:r>
    </w:p>
    <w:p w:rsidR="002118B0" w:rsidRDefault="002118B0" w:rsidP="002118B0">
      <w:pPr>
        <w:pStyle w:val="Caption"/>
      </w:pPr>
      <w:bookmarkStart w:id="233" w:name="_Ref126641476"/>
      <w:r>
        <w:lastRenderedPageBreak/>
        <w:t xml:space="preserve">Figure </w:t>
      </w:r>
      <w:r w:rsidR="00C17F7C">
        <w:fldChar w:fldCharType="begin"/>
      </w:r>
      <w:r w:rsidR="00C17F7C">
        <w:instrText xml:space="preserve"> SEQ Figure \* ARABIC </w:instrText>
      </w:r>
      <w:r w:rsidR="00C17F7C">
        <w:fldChar w:fldCharType="separate"/>
      </w:r>
      <w:r w:rsidR="005F38BC">
        <w:rPr>
          <w:noProof/>
        </w:rPr>
        <w:t>58</w:t>
      </w:r>
      <w:r w:rsidR="00C17F7C">
        <w:fldChar w:fldCharType="end"/>
      </w:r>
      <w:bookmarkEnd w:id="231"/>
      <w:bookmarkEnd w:id="233"/>
      <w:r>
        <w:t>:</w:t>
      </w:r>
      <w:r w:rsidR="00F20BC5">
        <w:t xml:space="preserve"> </w:t>
      </w:r>
      <w:r w:rsidR="00957095">
        <w:t>Record Lot Numbers for</w:t>
      </w:r>
      <w:r w:rsidR="00F20BC5">
        <w:t xml:space="preserve"> Daily QC </w:t>
      </w:r>
      <w:r w:rsidR="00957095">
        <w:t>Testing</w:t>
      </w:r>
    </w:p>
    <w:p w:rsidR="00F20BC5" w:rsidRPr="00F20BC5" w:rsidRDefault="00634BFC" w:rsidP="00580E36">
      <w:pPr>
        <w:pStyle w:val="BodyText"/>
      </w:pPr>
      <w:r>
        <w:rPr>
          <w:noProof/>
        </w:rPr>
        <w:drawing>
          <wp:inline distT="0" distB="0" distL="0" distR="0">
            <wp:extent cx="4724400" cy="344805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724400" cy="3448050"/>
                    </a:xfrm>
                    <a:prstGeom prst="rect">
                      <a:avLst/>
                    </a:prstGeom>
                    <a:noFill/>
                    <a:ln>
                      <a:noFill/>
                    </a:ln>
                  </pic:spPr>
                </pic:pic>
              </a:graphicData>
            </a:graphic>
          </wp:inline>
        </w:drawing>
      </w:r>
    </w:p>
    <w:p w:rsidR="00462FB1" w:rsidRDefault="00462FB1" w:rsidP="00462FB1">
      <w:pPr>
        <w:pStyle w:val="Caption"/>
      </w:pPr>
      <w:bookmarkStart w:id="234" w:name="_Ref126642061"/>
      <w:r>
        <w:t xml:space="preserve">Figure </w:t>
      </w:r>
      <w:r w:rsidR="00C17F7C">
        <w:fldChar w:fldCharType="begin"/>
      </w:r>
      <w:r w:rsidR="00C17F7C">
        <w:instrText xml:space="preserve"> SEQ Figure \* ARABIC </w:instrText>
      </w:r>
      <w:r w:rsidR="00C17F7C">
        <w:fldChar w:fldCharType="separate"/>
      </w:r>
      <w:r w:rsidR="005F38BC">
        <w:rPr>
          <w:noProof/>
        </w:rPr>
        <w:t>59</w:t>
      </w:r>
      <w:r w:rsidR="00C17F7C">
        <w:fldChar w:fldCharType="end"/>
      </w:r>
      <w:bookmarkEnd w:id="234"/>
      <w:r>
        <w:t>: Enter Daily QC Results with Serologic Reactions</w:t>
      </w:r>
    </w:p>
    <w:p w:rsidR="00F759ED" w:rsidRDefault="00634BFC" w:rsidP="00462FB1">
      <w:pPr>
        <w:pStyle w:val="BodyText"/>
      </w:pPr>
      <w:r>
        <w:rPr>
          <w:noProof/>
        </w:rPr>
        <w:drawing>
          <wp:inline distT="0" distB="0" distL="0" distR="0">
            <wp:extent cx="4800600" cy="3514725"/>
            <wp:effectExtent l="0" t="0" r="0"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800600" cy="3514725"/>
                    </a:xfrm>
                    <a:prstGeom prst="rect">
                      <a:avLst/>
                    </a:prstGeom>
                    <a:noFill/>
                    <a:ln>
                      <a:noFill/>
                    </a:ln>
                  </pic:spPr>
                </pic:pic>
              </a:graphicData>
            </a:graphic>
          </wp:inline>
        </w:drawing>
      </w:r>
    </w:p>
    <w:p w:rsidR="002A21AE" w:rsidRDefault="00E645A6" w:rsidP="00F759ED">
      <w:pPr>
        <w:pStyle w:val="Heading2"/>
      </w:pPr>
      <w:bookmarkStart w:id="235" w:name="_Toc459900102"/>
      <w:r>
        <w:lastRenderedPageBreak/>
        <w:t>Reagents</w:t>
      </w:r>
      <w:bookmarkEnd w:id="235"/>
      <w:r w:rsidR="00C4437D">
        <w:fldChar w:fldCharType="begin"/>
      </w:r>
      <w:r w:rsidR="00C4437D">
        <w:instrText xml:space="preserve"> XE "</w:instrText>
      </w:r>
      <w:r w:rsidR="00C4437D" w:rsidRPr="00BC2841">
        <w:instrText>Reagents</w:instrText>
      </w:r>
      <w:r w:rsidR="00C4437D">
        <w:instrText xml:space="preserve">" </w:instrText>
      </w:r>
      <w:r w:rsidR="00C4437D">
        <w:fldChar w:fldCharType="end"/>
      </w:r>
      <w:r w:rsidR="002A21AE">
        <w:t xml:space="preserve"> </w:t>
      </w:r>
      <w:r w:rsidR="002A21AE">
        <w:rPr>
          <w:vanish/>
        </w:rPr>
        <w:t>UC_20</w:t>
      </w:r>
    </w:p>
    <w:p w:rsidR="002A21AE" w:rsidRDefault="002A21AE" w:rsidP="00FA7E65">
      <w:pPr>
        <w:pStyle w:val="BodyText"/>
      </w:pPr>
      <w:r>
        <w:t>The options related to reagent inventory control record the receipt of specific reagents by reagent type for each division.</w:t>
      </w:r>
    </w:p>
    <w:p w:rsidR="002A21AE" w:rsidRDefault="002A21AE">
      <w:pPr>
        <w:pStyle w:val="Heading4"/>
      </w:pPr>
      <w:bookmarkStart w:id="236" w:name="_Log_In_Reagents,_Update Inventory, "/>
      <w:bookmarkEnd w:id="220"/>
      <w:bookmarkEnd w:id="236"/>
      <w:r>
        <w:t>Log In Reagents, Update Inventory,</w:t>
      </w:r>
      <w:bookmarkStart w:id="237" w:name="_Toc63680376"/>
      <w:r>
        <w:t xml:space="preserve"> View/Print Inventory</w:t>
      </w:r>
      <w:bookmarkEnd w:id="237"/>
      <w:r w:rsidR="00771C65">
        <w:t xml:space="preserve">, Maintain </w:t>
      </w:r>
      <w:r w:rsidR="005F6016">
        <w:t>Minimum Levels</w:t>
      </w:r>
    </w:p>
    <w:p w:rsidR="002A21AE" w:rsidRDefault="002A21AE" w:rsidP="00FA7E65">
      <w:pPr>
        <w:pStyle w:val="BodyText"/>
      </w:pPr>
      <w:r>
        <w:t>The reagent log is maintained by individual division even in a multidivisional database. Update Inventory allows the user to update reagent inventory by changing the number of vials available. The user may view inventory online using various search criteria and prin</w:t>
      </w:r>
      <w:r w:rsidR="00447051">
        <w:t>t a copy of the search results.</w:t>
      </w:r>
    </w:p>
    <w:p w:rsidR="002A21AE" w:rsidRDefault="002A21AE">
      <w:pPr>
        <w:pStyle w:val="Heading4"/>
      </w:pPr>
      <w:r>
        <w:t>Assumptions</w:t>
      </w:r>
      <w:r>
        <w:rPr>
          <w:b w:val="0"/>
        </w:rPr>
        <w:t xml:space="preserve"> </w:t>
      </w:r>
    </w:p>
    <w:p w:rsidR="00852AC1" w:rsidRDefault="00852AC1" w:rsidP="00852AC1">
      <w:pPr>
        <w:pStyle w:val="ListBullet"/>
      </w:pPr>
      <w:r>
        <w:t>The division is “full service.”</w:t>
      </w:r>
    </w:p>
    <w:p w:rsidR="002A21AE" w:rsidRDefault="002A21AE">
      <w:pPr>
        <w:pStyle w:val="ListBullet"/>
      </w:pPr>
      <w:r>
        <w:t>Reagents are in the inventory of the user’s division.</w:t>
      </w:r>
    </w:p>
    <w:p w:rsidR="002A21AE" w:rsidRDefault="002A21AE">
      <w:pPr>
        <w:pStyle w:val="Heading4"/>
      </w:pPr>
      <w:r>
        <w:t xml:space="preserve">Outcome </w:t>
      </w:r>
    </w:p>
    <w:p w:rsidR="002A21AE" w:rsidRDefault="002A21AE">
      <w:pPr>
        <w:pStyle w:val="ListBullet"/>
      </w:pPr>
      <w:r>
        <w:t>A user may select previously logged-in reagents through Enter Daily QC Results, Patient Testing: Record a Patient Antigen Typing, and Unit Antigen Typing.</w:t>
      </w:r>
    </w:p>
    <w:p w:rsidR="002A21AE" w:rsidRDefault="002A21AE">
      <w:pPr>
        <w:pStyle w:val="ListBullet"/>
      </w:pPr>
      <w:r>
        <w:t>Reagents entered are accessible only within the division in which they were entered.</w:t>
      </w:r>
    </w:p>
    <w:p w:rsidR="002A21AE" w:rsidRDefault="002A21AE">
      <w:pPr>
        <w:pStyle w:val="Heading4"/>
      </w:pPr>
      <w:r>
        <w:t>Limitations and Restrictions</w:t>
      </w:r>
      <w:r>
        <w:rPr>
          <w:b w:val="0"/>
        </w:rPr>
        <w:t xml:space="preserve"> </w:t>
      </w:r>
    </w:p>
    <w:p w:rsidR="002A21AE" w:rsidRDefault="002A21AE">
      <w:pPr>
        <w:pStyle w:val="ListBullet"/>
      </w:pPr>
      <w:r>
        <w:t>VBECS does not display a reagent report by invoice number.</w:t>
      </w:r>
    </w:p>
    <w:p w:rsidR="0029147B" w:rsidRDefault="0029147B">
      <w:pPr>
        <w:pStyle w:val="ListBullet"/>
      </w:pPr>
      <w:r>
        <w:t>The unsatisfactory portion of a shipment must be recorded individually.</w:t>
      </w:r>
    </w:p>
    <w:p w:rsidR="00BE53DD" w:rsidRDefault="00BE53DD" w:rsidP="00BE53DD">
      <w:pPr>
        <w:pStyle w:val="ListBullet"/>
      </w:pPr>
      <w:r>
        <w:t>There is no retrospective data entry or user selection for th</w:t>
      </w:r>
      <w:r w:rsidR="0061702F">
        <w:t>ese</w:t>
      </w:r>
      <w:r>
        <w:t xml:space="preserve"> </w:t>
      </w:r>
      <w:r w:rsidR="0061702F">
        <w:t>options</w:t>
      </w:r>
      <w:r>
        <w:t>.</w:t>
      </w:r>
    </w:p>
    <w:p w:rsidR="00053349" w:rsidRDefault="00053349" w:rsidP="00053349">
      <w:pPr>
        <w:pStyle w:val="ListBullet"/>
      </w:pPr>
      <w:r>
        <w:t xml:space="preserve">Each site must set a standard for recording quantity: it may use the number of cases or the number of units within the cases. </w:t>
      </w:r>
    </w:p>
    <w:p w:rsidR="00F759ED" w:rsidRPr="00993A74" w:rsidRDefault="00F759ED" w:rsidP="00053349">
      <w:pPr>
        <w:pStyle w:val="ListBullet"/>
      </w:pPr>
      <w:r>
        <w:t xml:space="preserve">When a user enters a lot number in the Lot # field and clicks the </w:t>
      </w:r>
      <w:r>
        <w:rPr>
          <w:b/>
        </w:rPr>
        <w:t>magnifying glass</w:t>
      </w:r>
      <w:r>
        <w:t xml:space="preserve">, VBECS displays only the first instance of a duplicate lot number. </w:t>
      </w:r>
      <w:r w:rsidRPr="00F759ED">
        <w:rPr>
          <w:vanish/>
        </w:rPr>
        <w:t>(UserDoc Task 1083)</w:t>
      </w:r>
    </w:p>
    <w:p w:rsidR="00993A74" w:rsidRDefault="00993A74" w:rsidP="00053349">
      <w:pPr>
        <w:pStyle w:val="ListBullet"/>
      </w:pPr>
      <w:r>
        <w:t xml:space="preserve">Free text details can be added only when “Other” is selected as the canned comment. </w:t>
      </w:r>
      <w:r w:rsidRPr="004F0095">
        <w:rPr>
          <w:vanish/>
        </w:rPr>
        <w:t>DR 2218</w:t>
      </w:r>
    </w:p>
    <w:p w:rsidR="002A21AE" w:rsidRDefault="002A21AE">
      <w:pPr>
        <w:pStyle w:val="Heading4"/>
      </w:pPr>
      <w:r>
        <w:t>Additional Information</w:t>
      </w:r>
    </w:p>
    <w:p w:rsidR="00852AC1" w:rsidRPr="00852AC1" w:rsidRDefault="00852AC1" w:rsidP="00852AC1">
      <w:pPr>
        <w:pStyle w:val="ListBullet"/>
      </w:pPr>
      <w:r w:rsidRPr="00852AC1">
        <w:rPr>
          <w:snapToGrid w:val="0"/>
          <w:vanish/>
        </w:rPr>
        <w:t>BR_41.32</w:t>
      </w:r>
      <w:r>
        <w:rPr>
          <w:snapToGrid w:val="0"/>
        </w:rPr>
        <w:t xml:space="preserve">This option is disabled for transfusion-only facilities. </w:t>
      </w:r>
    </w:p>
    <w:p w:rsidR="002A21AE" w:rsidRDefault="002A21AE">
      <w:pPr>
        <w:pStyle w:val="ListBullet"/>
      </w:pPr>
      <w:r>
        <w:t>VBECS displays alerts, as appropriate, during execution of Enter Daily QC Results to notify the user when reagent inventory levels fall below minimum inventory levels, as defined in Maintain Minimum Levels.</w:t>
      </w:r>
    </w:p>
    <w:p w:rsidR="00CA67F2" w:rsidRDefault="00CA67F2">
      <w:pPr>
        <w:pStyle w:val="ListBullet"/>
      </w:pPr>
      <w:r>
        <w:t>Local policies and procedures must define the use of patient antisera as reagents.</w:t>
      </w:r>
    </w:p>
    <w:p w:rsidR="002A21AE" w:rsidRDefault="002A21AE">
      <w:pPr>
        <w:pStyle w:val="Heading4"/>
        <w:rPr>
          <w:b w:val="0"/>
        </w:rPr>
      </w:pPr>
      <w:r>
        <w:t>User Roles with Access to This Option</w:t>
      </w:r>
      <w:r>
        <w:rPr>
          <w:b w:val="0"/>
        </w:rPr>
        <w:t xml:space="preserve"> </w:t>
      </w:r>
    </w:p>
    <w:p w:rsidR="002A21AE" w:rsidRDefault="00560BC1">
      <w:pPr>
        <w:pStyle w:val="Roles"/>
        <w:rPr>
          <w:snapToGrid w:val="0"/>
        </w:rPr>
      </w:pPr>
      <w:r>
        <w:t>All users</w:t>
      </w:r>
    </w:p>
    <w:p w:rsidR="00D34814" w:rsidRDefault="00D34814" w:rsidP="00D34814">
      <w:pPr>
        <w:pStyle w:val="Heading4"/>
      </w:pPr>
      <w:r>
        <w:t>Log in Reagents</w:t>
      </w:r>
      <w:r>
        <w:fldChar w:fldCharType="begin"/>
      </w:r>
      <w:r>
        <w:instrText xml:space="preserve"> XE </w:instrText>
      </w:r>
      <w:r w:rsidR="00FA7E65">
        <w:instrText>“</w:instrText>
      </w:r>
      <w:r>
        <w:instrText>Log in Reagents</w:instrText>
      </w:r>
      <w:r w:rsidR="00FA7E65">
        <w:instrText>”</w:instrText>
      </w:r>
      <w:r>
        <w:instrText xml:space="preserve"> </w:instrText>
      </w:r>
      <w:r>
        <w:fldChar w:fldCharType="end"/>
      </w:r>
      <w:r>
        <w:t xml:space="preserve"> </w:t>
      </w:r>
    </w:p>
    <w:p w:rsidR="009C34E7" w:rsidRDefault="00D34814" w:rsidP="00FA7E65">
      <w:pPr>
        <w:pStyle w:val="BodyText"/>
      </w:pPr>
      <w:r w:rsidRPr="00FA7E65">
        <w:t>A user records the receipt of specific reagents by type. The reagent record includes the date the shipment was received, reagent name, lot number, expiration date, manufacturer, and number of vials received in a shipment.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FB4E58">
        <w:tblPrEx>
          <w:tblCellMar>
            <w:top w:w="0" w:type="dxa"/>
            <w:bottom w:w="0" w:type="dxa"/>
          </w:tblCellMar>
        </w:tblPrEx>
        <w:trPr>
          <w:cantSplit/>
          <w:tblHeader/>
        </w:trPr>
        <w:tc>
          <w:tcPr>
            <w:tcW w:w="3240" w:type="dxa"/>
            <w:shd w:val="pct30" w:color="auto" w:fill="FFFFFF"/>
            <w:vAlign w:val="bottom"/>
          </w:tcPr>
          <w:p w:rsidR="00FB4E58" w:rsidRDefault="009C34E7" w:rsidP="00A65805">
            <w:pPr>
              <w:pStyle w:val="TableText"/>
              <w:rPr>
                <w:b/>
              </w:rPr>
            </w:pPr>
            <w:r>
              <w:br w:type="page"/>
            </w:r>
            <w:r w:rsidR="00FB4E58">
              <w:rPr>
                <w:b/>
              </w:rPr>
              <w:t>User Action</w:t>
            </w:r>
          </w:p>
        </w:tc>
        <w:tc>
          <w:tcPr>
            <w:tcW w:w="6120" w:type="dxa"/>
            <w:shd w:val="pct30" w:color="auto" w:fill="FFFFFF"/>
            <w:vAlign w:val="bottom"/>
          </w:tcPr>
          <w:p w:rsidR="00FB4E58" w:rsidRDefault="00FB4E58" w:rsidP="00A65805">
            <w:pPr>
              <w:pStyle w:val="TableText"/>
              <w:rPr>
                <w:b/>
              </w:rPr>
            </w:pPr>
            <w:r>
              <w:rPr>
                <w:b/>
              </w:rPr>
              <w:t>VBECS</w:t>
            </w:r>
          </w:p>
        </w:tc>
      </w:tr>
      <w:tr w:rsidR="00FB4E58">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FB4E58" w:rsidRDefault="00FB4E58" w:rsidP="00FB4E58">
            <w:pPr>
              <w:pStyle w:val="TableTextNumbers"/>
            </w:pPr>
            <w:r>
              <w:t xml:space="preserve">Select </w:t>
            </w:r>
            <w:r>
              <w:rPr>
                <w:b/>
              </w:rPr>
              <w:t>Reagents</w:t>
            </w:r>
            <w:r>
              <w:t xml:space="preserve"> from the main menu.</w:t>
            </w:r>
          </w:p>
        </w:tc>
        <w:tc>
          <w:tcPr>
            <w:tcW w:w="6120" w:type="dxa"/>
            <w:tcBorders>
              <w:top w:val="single" w:sz="4" w:space="0" w:color="auto"/>
              <w:left w:val="single" w:sz="4" w:space="0" w:color="auto"/>
              <w:bottom w:val="single" w:sz="4" w:space="0" w:color="auto"/>
              <w:right w:val="single" w:sz="4" w:space="0" w:color="auto"/>
            </w:tcBorders>
          </w:tcPr>
          <w:p w:rsidR="00FB4E58" w:rsidRDefault="00FB4E58" w:rsidP="00A65805">
            <w:pPr>
              <w:pStyle w:val="TableTextBullet"/>
            </w:pPr>
            <w:r>
              <w:t xml:space="preserve">Displays options for Quality Control functions. </w:t>
            </w:r>
          </w:p>
          <w:p w:rsidR="00FB4E58" w:rsidRDefault="00FB4E58" w:rsidP="00A65805">
            <w:pPr>
              <w:pStyle w:val="TableTextBullet"/>
            </w:pPr>
            <w:r>
              <w:t>Displays options for processing reagents.</w:t>
            </w:r>
          </w:p>
        </w:tc>
      </w:tr>
      <w:tr w:rsidR="00FB4E58">
        <w:tblPrEx>
          <w:tblCellMar>
            <w:top w:w="0" w:type="dxa"/>
            <w:bottom w:w="0" w:type="dxa"/>
          </w:tblCellMar>
        </w:tblPrEx>
        <w:tc>
          <w:tcPr>
            <w:tcW w:w="3240" w:type="dxa"/>
          </w:tcPr>
          <w:p w:rsidR="00FB4E58" w:rsidRDefault="00FB4E58" w:rsidP="00A65805">
            <w:pPr>
              <w:pStyle w:val="TableTextNumbers"/>
            </w:pPr>
            <w:r>
              <w:t xml:space="preserve">Select </w:t>
            </w:r>
            <w:r>
              <w:rPr>
                <w:b/>
              </w:rPr>
              <w:t>Log In Reagents</w:t>
            </w:r>
            <w:r w:rsidRPr="00FB4E58">
              <w:t>.</w:t>
            </w:r>
          </w:p>
        </w:tc>
        <w:tc>
          <w:tcPr>
            <w:tcW w:w="6120" w:type="dxa"/>
          </w:tcPr>
          <w:p w:rsidR="00FB4E58" w:rsidRDefault="00FB4E58" w:rsidP="00A65805">
            <w:pPr>
              <w:pStyle w:val="TableTextBullet"/>
            </w:pPr>
            <w:r>
              <w:t>Displays fields for entering invoice and reagent information.</w:t>
            </w:r>
          </w:p>
        </w:tc>
      </w:tr>
      <w:tr w:rsidR="00FB4E58">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FB4E58" w:rsidRDefault="00FB4E58" w:rsidP="00A65805">
            <w:pPr>
              <w:pStyle w:val="TableTextNumbers"/>
            </w:pPr>
            <w:r>
              <w:lastRenderedPageBreak/>
              <w:t>Invoice Information:</w:t>
            </w:r>
          </w:p>
          <w:p w:rsidR="00FB4E58" w:rsidRDefault="00FB4E58" w:rsidP="00A65805">
            <w:pPr>
              <w:pStyle w:val="TableTextNumbersContinued"/>
              <w:rPr>
                <w:b/>
                <w:bCs/>
              </w:rPr>
            </w:pPr>
          </w:p>
          <w:p w:rsidR="00FB4E58" w:rsidRDefault="00FB4E58" w:rsidP="00A65805">
            <w:pPr>
              <w:pStyle w:val="TableTextNumbersContinued"/>
            </w:pPr>
            <w:r>
              <w:t>Select or edit the date and time in the Date Received field.</w:t>
            </w:r>
          </w:p>
          <w:p w:rsidR="00FB4E58" w:rsidRDefault="00FB4E58" w:rsidP="00A65805">
            <w:pPr>
              <w:pStyle w:val="TableTextNumbersContinued"/>
            </w:pPr>
          </w:p>
          <w:p w:rsidR="00FB4E58" w:rsidRDefault="00FB4E58" w:rsidP="00A65805">
            <w:pPr>
              <w:pStyle w:val="TableTextNumbersContinued"/>
            </w:pPr>
            <w:r>
              <w:t>Enter the invoice number in the Invoice Number field.</w:t>
            </w:r>
          </w:p>
          <w:p w:rsidR="00FB4E58" w:rsidRDefault="00FB4E58" w:rsidP="00A65805">
            <w:pPr>
              <w:pStyle w:val="TableTextNumbersContinued"/>
            </w:pPr>
          </w:p>
          <w:p w:rsidR="00FB4E58" w:rsidRDefault="00FB4E58" w:rsidP="00A65805">
            <w:pPr>
              <w:pStyle w:val="TableTextNumbersContinued"/>
            </w:pPr>
            <w:r>
              <w:t>Enter the name of the manufacturer in the Manufacturer field, or select a name from the drop-down list.</w:t>
            </w:r>
          </w:p>
        </w:tc>
        <w:tc>
          <w:tcPr>
            <w:tcW w:w="6120" w:type="dxa"/>
            <w:tcBorders>
              <w:top w:val="single" w:sz="4" w:space="0" w:color="auto"/>
              <w:left w:val="single" w:sz="4" w:space="0" w:color="auto"/>
              <w:bottom w:val="single" w:sz="4" w:space="0" w:color="auto"/>
              <w:right w:val="single" w:sz="4" w:space="0" w:color="auto"/>
            </w:tcBorders>
          </w:tcPr>
          <w:p w:rsidR="00FB4E58" w:rsidRDefault="00FB4E58" w:rsidP="00A65805">
            <w:pPr>
              <w:pStyle w:val="TableText"/>
            </w:pPr>
          </w:p>
          <w:p w:rsidR="00FB4E58" w:rsidRDefault="00634BFC" w:rsidP="00A65805">
            <w:pPr>
              <w:pStyle w:val="TableText"/>
              <w:rPr>
                <w:b/>
                <w:bCs/>
                <w:szCs w:val="18"/>
              </w:rPr>
            </w:pPr>
            <w:r>
              <w:rPr>
                <w:b/>
                <w:bCs/>
                <w:noProof/>
              </w:rPr>
              <mc:AlternateContent>
                <mc:Choice Requires="wps">
                  <w:drawing>
                    <wp:anchor distT="0" distB="0" distL="114300" distR="114300" simplePos="0" relativeHeight="25169868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36" name="Line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8"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yM1FQ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I/f&#10;IzUVAgAALQQAAA4AAAAAAAAAAAAAAAAALgIAAGRycy9lMm9Eb2MueG1sUEsBAi0AFAAGAAgAAAAh&#10;ABdPMBLbAAAACAEAAA8AAAAAAAAAAAAAAAAAbwQAAGRycy9kb3ducmV2LnhtbFBLBQYAAAAABAAE&#10;APMAAAB3BQAAAAA=&#10;" strokeweight="1.5pt"/>
                  </w:pict>
                </mc:Fallback>
              </mc:AlternateContent>
            </w:r>
            <w:r w:rsidR="00FB4E58">
              <w:rPr>
                <w:b/>
                <w:bCs/>
                <w:szCs w:val="18"/>
              </w:rPr>
              <w:t>NOTES</w:t>
            </w:r>
          </w:p>
          <w:p w:rsidR="00FB4E58" w:rsidRDefault="00FB4E58" w:rsidP="00A65805">
            <w:pPr>
              <w:pStyle w:val="NotesText"/>
            </w:pPr>
          </w:p>
          <w:p w:rsidR="00FB4E58" w:rsidRDefault="00FB4E58" w:rsidP="00A65805">
            <w:pPr>
              <w:pStyle w:val="NotesText"/>
            </w:pPr>
            <w:r w:rsidRPr="00FB4E58">
              <w:rPr>
                <w:rFonts w:cs="Arial"/>
                <w:vanish/>
                <w:szCs w:val="18"/>
              </w:rPr>
              <w:t xml:space="preserve">BR_81.10 </w:t>
            </w:r>
            <w:r>
              <w:t xml:space="preserve">More than one technologist at a time may process a large shipment of reagents; only one technologist at a time may process individual reagents in the shipment. </w:t>
            </w:r>
          </w:p>
          <w:p w:rsidR="00FB4E58" w:rsidRDefault="00FB4E58" w:rsidP="00A65805">
            <w:pPr>
              <w:pStyle w:val="NotesText"/>
            </w:pPr>
          </w:p>
          <w:p w:rsidR="00FB4E58" w:rsidRDefault="00FB4E58" w:rsidP="00A65805">
            <w:pPr>
              <w:pStyle w:val="NotesText"/>
            </w:pPr>
            <w:r w:rsidRPr="00FB4E58">
              <w:rPr>
                <w:rFonts w:cs="Arial"/>
                <w:vanish/>
                <w:szCs w:val="18"/>
              </w:rPr>
              <w:t xml:space="preserve">BR_20.01 </w:t>
            </w:r>
            <w:r>
              <w:t>The default date received is the current date and time. The user may edit it to a past date and time only.</w:t>
            </w:r>
          </w:p>
          <w:p w:rsidR="00FB4E58" w:rsidRDefault="00FB4E58" w:rsidP="00A65805">
            <w:pPr>
              <w:pStyle w:val="NotesText"/>
            </w:pPr>
          </w:p>
          <w:p w:rsidR="00FB4E58" w:rsidRDefault="00FB4E58" w:rsidP="00A65805">
            <w:pPr>
              <w:pStyle w:val="NotesText"/>
            </w:pPr>
            <w:r w:rsidRPr="001017A2">
              <w:rPr>
                <w:rFonts w:cs="Arial"/>
                <w:vanish/>
                <w:szCs w:val="18"/>
              </w:rPr>
              <w:t xml:space="preserve">BR_81.07 </w:t>
            </w:r>
            <w:r>
              <w:t xml:space="preserve">When the reagent type and lot number were already entered for this invoice, VBECS </w:t>
            </w:r>
            <w:r>
              <w:rPr>
                <w:noProof/>
              </w:rPr>
              <w:t>warns that the user is</w:t>
            </w:r>
            <w:r>
              <w:t xml:space="preserve"> trying to enter </w:t>
            </w:r>
            <w:r w:rsidR="001017A2">
              <w:t xml:space="preserve">a </w:t>
            </w:r>
            <w:r>
              <w:t xml:space="preserve">reagent that was already logged into the system for this invoice. </w:t>
            </w:r>
            <w:r>
              <w:rPr>
                <w:b/>
              </w:rPr>
              <w:t>Yes</w:t>
            </w:r>
            <w:r>
              <w:t xml:space="preserve"> takes the user to the </w:t>
            </w:r>
            <w:r w:rsidR="00FA7E65">
              <w:t>“</w:t>
            </w:r>
            <w:r>
              <w:t>Update Reagent Inventory</w:t>
            </w:r>
            <w:r w:rsidR="00FA7E65">
              <w:t>”</w:t>
            </w:r>
            <w:r>
              <w:t xml:space="preserve"> screen where VBECS displays the reagent type and lot number for update. </w:t>
            </w:r>
            <w:r>
              <w:rPr>
                <w:b/>
              </w:rPr>
              <w:t>No</w:t>
            </w:r>
            <w:r>
              <w:t xml:space="preserve"> clears all fields on the screen, allowing the user to log in another reagent. </w:t>
            </w:r>
          </w:p>
        </w:tc>
      </w:tr>
      <w:tr w:rsidR="00FB4E58">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FB4E58" w:rsidRDefault="00FB4E58" w:rsidP="00A65805">
            <w:pPr>
              <w:pStyle w:val="TableTextNumbers"/>
            </w:pPr>
            <w:r>
              <w:t>Reagent Information:</w:t>
            </w:r>
          </w:p>
          <w:p w:rsidR="00FB4E58" w:rsidRDefault="00FB4E58" w:rsidP="00A65805">
            <w:pPr>
              <w:pStyle w:val="TableTextNumbersContinued"/>
              <w:rPr>
                <w:b/>
                <w:bCs/>
              </w:rPr>
            </w:pPr>
          </w:p>
          <w:p w:rsidR="00FB4E58" w:rsidRDefault="00FB4E58" w:rsidP="00A65805">
            <w:pPr>
              <w:pStyle w:val="TableTextNumbersContinued"/>
            </w:pPr>
            <w:r>
              <w:t>Enter the reagent name and reagent type in the Manufacturer Reagent Name and Reagent Type fields, or select from the drop-down lists.</w:t>
            </w:r>
          </w:p>
          <w:p w:rsidR="00FB4E58" w:rsidRDefault="00FB4E58" w:rsidP="00A65805">
            <w:pPr>
              <w:pStyle w:val="TableTextNumbersContinued"/>
            </w:pPr>
          </w:p>
          <w:p w:rsidR="00FB4E58" w:rsidRDefault="00FB4E58" w:rsidP="00A65805">
            <w:pPr>
              <w:pStyle w:val="TableTextNumbersContinued"/>
            </w:pPr>
            <w:r>
              <w:t>Enter the lot number in the Lot Number field.</w:t>
            </w:r>
          </w:p>
          <w:p w:rsidR="00FB4E58" w:rsidRDefault="00FB4E58" w:rsidP="00A65805">
            <w:pPr>
              <w:pStyle w:val="TableTextNumbersContinued"/>
            </w:pPr>
          </w:p>
          <w:p w:rsidR="00FB4E58" w:rsidRDefault="00FB4E58" w:rsidP="00A65805">
            <w:pPr>
              <w:pStyle w:val="TableTextNumbersContinued"/>
            </w:pPr>
            <w:r>
              <w:t>Select or edit the date and time in the Lot Expiration Date field.</w:t>
            </w:r>
          </w:p>
          <w:p w:rsidR="00FB4E58" w:rsidRDefault="00FB4E58" w:rsidP="00A65805">
            <w:pPr>
              <w:pStyle w:val="TableTextNumbersContinued"/>
            </w:pPr>
          </w:p>
          <w:p w:rsidR="00FB4E58" w:rsidRDefault="00FB4E58" w:rsidP="00A65805">
            <w:pPr>
              <w:pStyle w:val="TableTextNumbersContinued"/>
            </w:pPr>
            <w:r>
              <w:t>Enter (or select) a quantity (1–999) in the Vials Received per Lot Number field.</w:t>
            </w:r>
          </w:p>
        </w:tc>
        <w:tc>
          <w:tcPr>
            <w:tcW w:w="6120" w:type="dxa"/>
            <w:tcBorders>
              <w:top w:val="single" w:sz="4" w:space="0" w:color="auto"/>
              <w:left w:val="single" w:sz="4" w:space="0" w:color="auto"/>
              <w:bottom w:val="single" w:sz="4" w:space="0" w:color="auto"/>
              <w:right w:val="single" w:sz="4" w:space="0" w:color="auto"/>
            </w:tcBorders>
          </w:tcPr>
          <w:p w:rsidR="00FB4E58" w:rsidRDefault="00FB4E58" w:rsidP="00A65805">
            <w:pPr>
              <w:pStyle w:val="TableText"/>
              <w:rPr>
                <w:b/>
                <w:bCs/>
                <w:szCs w:val="18"/>
              </w:rPr>
            </w:pPr>
          </w:p>
          <w:p w:rsidR="00FB4E58" w:rsidRDefault="00634BFC" w:rsidP="00A65805">
            <w:pPr>
              <w:pStyle w:val="TableText"/>
              <w:rPr>
                <w:b/>
                <w:bCs/>
                <w:szCs w:val="18"/>
              </w:rPr>
            </w:pPr>
            <w:r>
              <w:rPr>
                <w:b/>
                <w:bCs/>
                <w:noProof/>
              </w:rPr>
              <mc:AlternateContent>
                <mc:Choice Requires="wps">
                  <w:drawing>
                    <wp:anchor distT="0" distB="0" distL="114300" distR="114300" simplePos="0" relativeHeight="25170073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35" name="Line 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0"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riwFgIAAC0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Aj&#10;GriwFgIAAC0EAAAOAAAAAAAAAAAAAAAAAC4CAABkcnMvZTJvRG9jLnhtbFBLAQItABQABgAIAAAA&#10;IQAXTzAS2wAAAAgBAAAPAAAAAAAAAAAAAAAAAHAEAABkcnMvZG93bnJldi54bWxQSwUGAAAAAAQA&#10;BADzAAAAeAUAAAAA&#10;" strokeweight="1.5pt"/>
                  </w:pict>
                </mc:Fallback>
              </mc:AlternateContent>
            </w:r>
            <w:r w:rsidR="00FB4E58">
              <w:rPr>
                <w:b/>
                <w:bCs/>
                <w:szCs w:val="18"/>
              </w:rPr>
              <w:t>NOTES</w:t>
            </w:r>
          </w:p>
          <w:p w:rsidR="00FB4E58" w:rsidRDefault="00FB4E58" w:rsidP="00A65805">
            <w:pPr>
              <w:pStyle w:val="NotesText"/>
            </w:pPr>
          </w:p>
          <w:p w:rsidR="00FB4E58" w:rsidRDefault="00FB4E58" w:rsidP="00F95BCA">
            <w:pPr>
              <w:pStyle w:val="NotesText"/>
            </w:pPr>
            <w:r>
              <w:t>The default lot expiration date is one minute before midnig</w:t>
            </w:r>
            <w:r w:rsidR="00F95BCA">
              <w:t>ht (23:59) of the current date.</w:t>
            </w:r>
          </w:p>
        </w:tc>
      </w:tr>
      <w:tr w:rsidR="00FB4E58">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FB4E58" w:rsidRDefault="00FB4E58" w:rsidP="00A65805">
            <w:pPr>
              <w:pStyle w:val="TableTextNumbers"/>
            </w:pPr>
            <w:r>
              <w:t>Visual Inspection Information:</w:t>
            </w:r>
          </w:p>
          <w:p w:rsidR="00FB4E58" w:rsidRDefault="00FB4E58" w:rsidP="00A65805">
            <w:pPr>
              <w:pStyle w:val="TableTextNumbersContinued"/>
              <w:rPr>
                <w:b/>
                <w:bCs/>
              </w:rPr>
            </w:pPr>
          </w:p>
          <w:p w:rsidR="00FB4E58" w:rsidRDefault="00FB4E58" w:rsidP="00A65805">
            <w:pPr>
              <w:pStyle w:val="TableTextNumbersContinued"/>
            </w:pPr>
            <w:r>
              <w:t xml:space="preserve">Click the </w:t>
            </w:r>
            <w:r>
              <w:rPr>
                <w:b/>
              </w:rPr>
              <w:t xml:space="preserve">Satisfactory </w:t>
            </w:r>
            <w:r w:rsidRPr="00BF2E41">
              <w:t>radio button</w:t>
            </w:r>
            <w:r>
              <w:t xml:space="preserve">, or click the </w:t>
            </w:r>
            <w:r>
              <w:rPr>
                <w:b/>
              </w:rPr>
              <w:t xml:space="preserve">Unsatisfactory </w:t>
            </w:r>
            <w:r w:rsidRPr="00BF2E41">
              <w:t>radio button</w:t>
            </w:r>
            <w:r>
              <w:t xml:space="preserve"> and select a comment from the drop-down list in the Comment field.</w:t>
            </w:r>
          </w:p>
          <w:p w:rsidR="00FB4E58" w:rsidRDefault="00FB4E58" w:rsidP="00A65805">
            <w:pPr>
              <w:pStyle w:val="TableTextNumbersContinued"/>
            </w:pPr>
          </w:p>
          <w:p w:rsidR="00FB4E58" w:rsidRDefault="00FB4E58" w:rsidP="00A65805">
            <w:pPr>
              <w:pStyle w:val="TableTextNumbersContinued"/>
            </w:pPr>
            <w:r>
              <w:t xml:space="preserve">Click </w:t>
            </w:r>
            <w:r>
              <w:rPr>
                <w:b/>
              </w:rPr>
              <w:t>Add</w:t>
            </w:r>
            <w:r>
              <w:t xml:space="preserve"> to add the reagents to the inventory list.</w:t>
            </w:r>
          </w:p>
        </w:tc>
        <w:tc>
          <w:tcPr>
            <w:tcW w:w="6120" w:type="dxa"/>
            <w:tcBorders>
              <w:top w:val="single" w:sz="4" w:space="0" w:color="auto"/>
              <w:left w:val="single" w:sz="4" w:space="0" w:color="auto"/>
              <w:bottom w:val="single" w:sz="4" w:space="0" w:color="auto"/>
              <w:right w:val="single" w:sz="4" w:space="0" w:color="auto"/>
            </w:tcBorders>
          </w:tcPr>
          <w:p w:rsidR="00FB4E58" w:rsidRDefault="00FB4E58" w:rsidP="00A65805">
            <w:pPr>
              <w:pStyle w:val="TableText"/>
              <w:rPr>
                <w:b/>
                <w:bCs/>
                <w:szCs w:val="18"/>
              </w:rPr>
            </w:pPr>
          </w:p>
          <w:p w:rsidR="00FB4E58" w:rsidRDefault="00634BFC" w:rsidP="00A65805">
            <w:pPr>
              <w:pStyle w:val="TableText"/>
              <w:rPr>
                <w:b/>
                <w:bCs/>
                <w:szCs w:val="18"/>
              </w:rPr>
            </w:pPr>
            <w:r>
              <w:rPr>
                <w:b/>
                <w:bCs/>
                <w:noProof/>
              </w:rPr>
              <mc:AlternateContent>
                <mc:Choice Requires="wps">
                  <w:drawing>
                    <wp:anchor distT="0" distB="0" distL="114300" distR="114300" simplePos="0" relativeHeight="25169971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34" name="Line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9"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B5FFQ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Mvw&#10;HkUVAgAALQQAAA4AAAAAAAAAAAAAAAAALgIAAGRycy9lMm9Eb2MueG1sUEsBAi0AFAAGAAgAAAAh&#10;ABdPMBLbAAAACAEAAA8AAAAAAAAAAAAAAAAAbwQAAGRycy9kb3ducmV2LnhtbFBLBQYAAAAABAAE&#10;APMAAAB3BQAAAAA=&#10;" strokeweight="1.5pt"/>
                  </w:pict>
                </mc:Fallback>
              </mc:AlternateContent>
            </w:r>
            <w:r w:rsidR="00FB4E58">
              <w:rPr>
                <w:b/>
                <w:bCs/>
                <w:szCs w:val="18"/>
              </w:rPr>
              <w:t>NOTES</w:t>
            </w:r>
          </w:p>
          <w:p w:rsidR="00FB4E58" w:rsidRDefault="00FB4E58" w:rsidP="00A65805">
            <w:pPr>
              <w:pStyle w:val="NotesText"/>
            </w:pPr>
          </w:p>
          <w:p w:rsidR="00FB4E58" w:rsidRDefault="00FB4E58" w:rsidP="00A65805">
            <w:pPr>
              <w:pStyle w:val="NotesText"/>
            </w:pPr>
            <w:r>
              <w:t>Satisfactory reagent</w:t>
            </w:r>
            <w:r w:rsidR="001017A2">
              <w:t>s are</w:t>
            </w:r>
            <w:r>
              <w:t xml:space="preserve"> available for later selection, unsatisfactory reagent</w:t>
            </w:r>
            <w:r w:rsidR="001017A2">
              <w:t>s</w:t>
            </w:r>
            <w:r>
              <w:t xml:space="preserve"> are not.</w:t>
            </w:r>
          </w:p>
          <w:p w:rsidR="00FB4E58" w:rsidRDefault="00FB4E58" w:rsidP="00A65805">
            <w:pPr>
              <w:pStyle w:val="NotesText"/>
            </w:pPr>
          </w:p>
          <w:p w:rsidR="00FB4E58" w:rsidRDefault="00FB4E58" w:rsidP="00A65805">
            <w:pPr>
              <w:pStyle w:val="NotesText"/>
            </w:pPr>
            <w:r>
              <w:t>When a user selects Other from the drop-down list in the Comment field, entry of additional text in the Details field is required.</w:t>
            </w:r>
          </w:p>
        </w:tc>
      </w:tr>
      <w:tr w:rsidR="00FB4E58">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FB4E58" w:rsidRDefault="00FB4E58" w:rsidP="00A65805">
            <w:pPr>
              <w:pStyle w:val="TableTextNumbers"/>
            </w:pPr>
            <w:r>
              <w:t>Repeat Steps 3–5 to log in more supplies, as desired.</w:t>
            </w:r>
          </w:p>
        </w:tc>
        <w:tc>
          <w:tcPr>
            <w:tcW w:w="6120" w:type="dxa"/>
            <w:tcBorders>
              <w:top w:val="single" w:sz="4" w:space="0" w:color="auto"/>
              <w:left w:val="single" w:sz="4" w:space="0" w:color="auto"/>
              <w:bottom w:val="single" w:sz="4" w:space="0" w:color="auto"/>
              <w:right w:val="single" w:sz="4" w:space="0" w:color="auto"/>
            </w:tcBorders>
          </w:tcPr>
          <w:p w:rsidR="00FB4E58" w:rsidRDefault="00FB4E58" w:rsidP="00A65805">
            <w:pPr>
              <w:pStyle w:val="TableText"/>
              <w:rPr>
                <w:b/>
                <w:bCs/>
                <w:szCs w:val="18"/>
              </w:rPr>
            </w:pPr>
          </w:p>
          <w:p w:rsidR="00FB4E58" w:rsidRDefault="00634BFC" w:rsidP="00A65805">
            <w:pPr>
              <w:pStyle w:val="TableText"/>
              <w:rPr>
                <w:b/>
                <w:bCs/>
                <w:szCs w:val="18"/>
              </w:rPr>
            </w:pPr>
            <w:r>
              <w:rPr>
                <w:b/>
                <w:bCs/>
                <w:noProof/>
              </w:rPr>
              <mc:AlternateContent>
                <mc:Choice Requires="wps">
                  <w:drawing>
                    <wp:anchor distT="0" distB="0" distL="114300" distR="114300" simplePos="0" relativeHeight="25170176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33" name="Line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1"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73kFgIAAC0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Ap&#10;673kFgIAAC0EAAAOAAAAAAAAAAAAAAAAAC4CAABkcnMvZTJvRG9jLnhtbFBLAQItABQABgAIAAAA&#10;IQAXTzAS2wAAAAgBAAAPAAAAAAAAAAAAAAAAAHAEAABkcnMvZG93bnJldi54bWxQSwUGAAAAAAQA&#10;BADzAAAAeAUAAAAA&#10;" strokeweight="1.5pt"/>
                  </w:pict>
                </mc:Fallback>
              </mc:AlternateContent>
            </w:r>
            <w:r w:rsidR="00FB4E58">
              <w:rPr>
                <w:b/>
                <w:bCs/>
                <w:szCs w:val="18"/>
              </w:rPr>
              <w:t>NOTES</w:t>
            </w:r>
          </w:p>
          <w:p w:rsidR="00FB4E58" w:rsidRDefault="00FB4E58" w:rsidP="00A65805">
            <w:pPr>
              <w:pStyle w:val="NotesText"/>
            </w:pPr>
          </w:p>
          <w:p w:rsidR="00FB4E58" w:rsidRDefault="00FB4E58" w:rsidP="00A65805">
            <w:pPr>
              <w:pStyle w:val="NotesText"/>
            </w:pPr>
            <w:r>
              <w:rPr>
                <w:rFonts w:cs="Arial"/>
                <w:vanish/>
              </w:rPr>
              <w:t xml:space="preserve">BR_81.03 </w:t>
            </w:r>
            <w:r>
              <w:t xml:space="preserve">Click </w:t>
            </w:r>
            <w:r>
              <w:rPr>
                <w:b/>
              </w:rPr>
              <w:t>Clear</w:t>
            </w:r>
            <w:r>
              <w:t xml:space="preserve"> to clear all but the Invoice Number, Date Received, Manufacturer, and Lot Expiration Date fields.</w:t>
            </w:r>
          </w:p>
        </w:tc>
      </w:tr>
      <w:tr w:rsidR="00FB4E58">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FB4E58" w:rsidRDefault="00FB4E58" w:rsidP="00A65805">
            <w:pPr>
              <w:pStyle w:val="TableTextNumbers"/>
            </w:pPr>
            <w:r>
              <w:t xml:space="preserve">Click </w:t>
            </w:r>
            <w:r>
              <w:rPr>
                <w:b/>
              </w:rPr>
              <w:t>OK</w:t>
            </w:r>
            <w:r>
              <w:t xml:space="preserve"> to save.</w:t>
            </w:r>
          </w:p>
          <w:p w:rsidR="00FB4E58" w:rsidRDefault="00FB4E58" w:rsidP="00A65805">
            <w:pPr>
              <w:pStyle w:val="TableTextNumbersContinued"/>
              <w:rPr>
                <w:b/>
                <w:bCs/>
              </w:rPr>
            </w:pPr>
          </w:p>
          <w:p w:rsidR="00FB4E58" w:rsidRDefault="00FB4E58" w:rsidP="00A65805">
            <w:pPr>
              <w:pStyle w:val="TableTextNumbersContinued"/>
              <w:rPr>
                <w:b/>
                <w:bCs/>
              </w:rPr>
            </w:pPr>
            <w:r>
              <w:rPr>
                <w:bCs/>
              </w:rPr>
              <w:t>Clic</w:t>
            </w:r>
            <w:r>
              <w:t xml:space="preserve">k </w:t>
            </w:r>
            <w:r>
              <w:rPr>
                <w:b/>
              </w:rPr>
              <w:t>Yes</w:t>
            </w:r>
            <w:r>
              <w:t xml:space="preserve"> to confirm the save and exit</w:t>
            </w:r>
            <w:r>
              <w:rPr>
                <w:bCs/>
              </w:rPr>
              <w:t>.</w:t>
            </w:r>
            <w:r>
              <w:rPr>
                <w:b/>
                <w:bCs/>
              </w:rPr>
              <w:t xml:space="preserve">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rsidR="00FB4E58" w:rsidRDefault="00FB4E58" w:rsidP="00A65805">
            <w:pPr>
              <w:pStyle w:val="TableTextBullet"/>
            </w:pPr>
            <w:r>
              <w:t>Requests confirmation to update the database.</w:t>
            </w:r>
          </w:p>
        </w:tc>
      </w:tr>
    </w:tbl>
    <w:p w:rsidR="00613D46" w:rsidRDefault="00613D46" w:rsidP="00613D46">
      <w:pPr>
        <w:pStyle w:val="Heading4"/>
      </w:pPr>
      <w:r>
        <w:t>Update Reagent Inventory</w:t>
      </w:r>
      <w:r>
        <w:fldChar w:fldCharType="begin"/>
      </w:r>
      <w:r>
        <w:instrText xml:space="preserve"> XE </w:instrText>
      </w:r>
      <w:r w:rsidR="00FA7E65">
        <w:instrText>“</w:instrText>
      </w:r>
      <w:r>
        <w:instrText>Update Reagent Inventory</w:instrText>
      </w:r>
      <w:r w:rsidR="00FA7E65">
        <w:instrText>”</w:instrText>
      </w:r>
      <w:r>
        <w:instrText xml:space="preserve"> </w:instrText>
      </w:r>
      <w:r>
        <w:fldChar w:fldCharType="end"/>
      </w:r>
      <w:r>
        <w:t xml:space="preserve"> </w:t>
      </w:r>
    </w:p>
    <w:p w:rsidR="002A21AE" w:rsidRDefault="00C461C7" w:rsidP="007F12F1">
      <w:pPr>
        <w:pStyle w:val="BodyText"/>
      </w:pPr>
      <w:r>
        <w:t>The</w:t>
      </w:r>
      <w:r w:rsidR="00613D46">
        <w:t xml:space="preserve"> user change</w:t>
      </w:r>
      <w:r w:rsidR="003B2E74">
        <w:t>s</w:t>
      </w:r>
      <w:r w:rsidR="00613D46">
        <w:t xml:space="preserve"> the number of available items in the reagent inventory.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613D46">
        <w:tblPrEx>
          <w:tblCellMar>
            <w:top w:w="0" w:type="dxa"/>
            <w:bottom w:w="0" w:type="dxa"/>
          </w:tblCellMar>
        </w:tblPrEx>
        <w:trPr>
          <w:cantSplit/>
          <w:tblHeader/>
        </w:trPr>
        <w:tc>
          <w:tcPr>
            <w:tcW w:w="3240" w:type="dxa"/>
            <w:shd w:val="pct30" w:color="auto" w:fill="FFFFFF"/>
            <w:vAlign w:val="bottom"/>
          </w:tcPr>
          <w:p w:rsidR="00613D46" w:rsidRDefault="00613D46" w:rsidP="00A65805">
            <w:pPr>
              <w:pStyle w:val="TableText"/>
              <w:rPr>
                <w:b/>
              </w:rPr>
            </w:pPr>
            <w:r>
              <w:rPr>
                <w:b/>
              </w:rPr>
              <w:lastRenderedPageBreak/>
              <w:t>User Action</w:t>
            </w:r>
          </w:p>
        </w:tc>
        <w:tc>
          <w:tcPr>
            <w:tcW w:w="6120" w:type="dxa"/>
            <w:shd w:val="pct30" w:color="auto" w:fill="FFFFFF"/>
            <w:vAlign w:val="bottom"/>
          </w:tcPr>
          <w:p w:rsidR="00613D46" w:rsidRDefault="00613D46" w:rsidP="00A65805">
            <w:pPr>
              <w:pStyle w:val="TableText"/>
              <w:rPr>
                <w:b/>
              </w:rPr>
            </w:pPr>
            <w:r>
              <w:rPr>
                <w:b/>
              </w:rPr>
              <w:t>VBECS</w:t>
            </w:r>
          </w:p>
        </w:tc>
      </w:tr>
      <w:tr w:rsidR="00613D46">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613D46" w:rsidRDefault="00613D46" w:rsidP="002244F1">
            <w:pPr>
              <w:pStyle w:val="TableTextNumbers"/>
            </w:pPr>
            <w:r>
              <w:t xml:space="preserve">Select </w:t>
            </w:r>
            <w:r>
              <w:rPr>
                <w:b/>
              </w:rPr>
              <w:t>Reagents</w:t>
            </w:r>
            <w:r>
              <w:t xml:space="preserve"> from the main menu.</w:t>
            </w:r>
          </w:p>
        </w:tc>
        <w:tc>
          <w:tcPr>
            <w:tcW w:w="6120" w:type="dxa"/>
            <w:tcBorders>
              <w:top w:val="single" w:sz="4" w:space="0" w:color="auto"/>
              <w:left w:val="single" w:sz="4" w:space="0" w:color="auto"/>
              <w:bottom w:val="single" w:sz="4" w:space="0" w:color="auto"/>
              <w:right w:val="single" w:sz="4" w:space="0" w:color="auto"/>
            </w:tcBorders>
          </w:tcPr>
          <w:p w:rsidR="00613D46" w:rsidRDefault="00613D46" w:rsidP="00A65805">
            <w:pPr>
              <w:pStyle w:val="TableTextBullet"/>
            </w:pPr>
            <w:r>
              <w:t xml:space="preserve">Displays options for Quality Control functions. </w:t>
            </w:r>
          </w:p>
          <w:p w:rsidR="00613D46" w:rsidRDefault="00613D46" w:rsidP="00A65805">
            <w:pPr>
              <w:pStyle w:val="TableTextBullet"/>
            </w:pPr>
            <w:r>
              <w:t>Displays options for processing reagents.</w:t>
            </w:r>
          </w:p>
        </w:tc>
      </w:tr>
      <w:tr w:rsidR="00613D46">
        <w:tblPrEx>
          <w:tblCellMar>
            <w:top w:w="0" w:type="dxa"/>
            <w:bottom w:w="0" w:type="dxa"/>
          </w:tblCellMar>
        </w:tblPrEx>
        <w:tc>
          <w:tcPr>
            <w:tcW w:w="3240" w:type="dxa"/>
          </w:tcPr>
          <w:p w:rsidR="00613D46" w:rsidRDefault="00613D46" w:rsidP="00AB00F0">
            <w:pPr>
              <w:pStyle w:val="TableTextNumbers"/>
            </w:pPr>
            <w:r>
              <w:t xml:space="preserve">Select </w:t>
            </w:r>
            <w:r>
              <w:rPr>
                <w:b/>
              </w:rPr>
              <w:t>Update Inventory</w:t>
            </w:r>
            <w:r>
              <w:t>.</w:t>
            </w:r>
          </w:p>
        </w:tc>
        <w:tc>
          <w:tcPr>
            <w:tcW w:w="6120" w:type="dxa"/>
          </w:tcPr>
          <w:p w:rsidR="00613D46" w:rsidRDefault="00613D46" w:rsidP="00A65805">
            <w:pPr>
              <w:pStyle w:val="TableTextBullet"/>
            </w:pPr>
            <w:r>
              <w:t>Lists existing satisfactory reagents by default.</w:t>
            </w:r>
          </w:p>
        </w:tc>
      </w:tr>
      <w:tr w:rsidR="00613D46">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613D46" w:rsidRDefault="00613D46" w:rsidP="00A65805">
            <w:pPr>
              <w:pStyle w:val="TableTextNumbers"/>
            </w:pPr>
            <w:r>
              <w:t>Select a reagent to edit.</w:t>
            </w:r>
          </w:p>
          <w:p w:rsidR="00613D46" w:rsidRDefault="00613D46" w:rsidP="00A65805">
            <w:pPr>
              <w:pStyle w:val="TableTextNumbersContinued"/>
            </w:pPr>
          </w:p>
          <w:p w:rsidR="00613D46" w:rsidRDefault="00613D46" w:rsidP="00A65805">
            <w:pPr>
              <w:pStyle w:val="TableTextNumbersContinued"/>
            </w:pPr>
            <w:r>
              <w:t xml:space="preserve">To view </w:t>
            </w:r>
            <w:r w:rsidR="00E516F6">
              <w:t>reagents</w:t>
            </w:r>
            <w:r>
              <w:t xml:space="preserve"> with a specific lot number, enter the lot number in the Lot # field and click the </w:t>
            </w:r>
            <w:r>
              <w:rPr>
                <w:b/>
              </w:rPr>
              <w:t>magnifying glass</w:t>
            </w:r>
            <w:r>
              <w:t>.</w:t>
            </w:r>
          </w:p>
        </w:tc>
        <w:tc>
          <w:tcPr>
            <w:tcW w:w="6120" w:type="dxa"/>
            <w:tcBorders>
              <w:top w:val="single" w:sz="4" w:space="0" w:color="auto"/>
              <w:left w:val="single" w:sz="4" w:space="0" w:color="auto"/>
              <w:bottom w:val="single" w:sz="4" w:space="0" w:color="auto"/>
              <w:right w:val="single" w:sz="4" w:space="0" w:color="auto"/>
            </w:tcBorders>
          </w:tcPr>
          <w:p w:rsidR="00613D46" w:rsidRDefault="00613D46" w:rsidP="00A65805">
            <w:pPr>
              <w:pStyle w:val="TableText"/>
            </w:pPr>
          </w:p>
          <w:p w:rsidR="00613D46" w:rsidRDefault="00634BFC" w:rsidP="00A65805">
            <w:pPr>
              <w:pStyle w:val="TableText"/>
              <w:rPr>
                <w:b/>
                <w:bCs/>
                <w:szCs w:val="18"/>
              </w:rPr>
            </w:pPr>
            <w:r>
              <w:rPr>
                <w:b/>
                <w:bCs/>
                <w:noProof/>
              </w:rPr>
              <mc:AlternateContent>
                <mc:Choice Requires="wps">
                  <w:drawing>
                    <wp:anchor distT="0" distB="0" distL="114300" distR="114300" simplePos="0" relativeHeight="25170380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32" name="Lin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3"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0nEFQ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Fzf&#10;ScQVAgAALQQAAA4AAAAAAAAAAAAAAAAALgIAAGRycy9lMm9Eb2MueG1sUEsBAi0AFAAGAAgAAAAh&#10;ABdPMBLbAAAACAEAAA8AAAAAAAAAAAAAAAAAbwQAAGRycy9kb3ducmV2LnhtbFBLBQYAAAAABAAE&#10;APMAAAB3BQAAAAA=&#10;" strokeweight="1.5pt"/>
                  </w:pict>
                </mc:Fallback>
              </mc:AlternateContent>
            </w:r>
            <w:r w:rsidR="00613D46">
              <w:rPr>
                <w:b/>
                <w:bCs/>
                <w:szCs w:val="18"/>
              </w:rPr>
              <w:t>NOTES</w:t>
            </w:r>
          </w:p>
          <w:p w:rsidR="00613D46" w:rsidRDefault="00613D46" w:rsidP="00A65805">
            <w:pPr>
              <w:pStyle w:val="NotesText"/>
            </w:pPr>
          </w:p>
          <w:p w:rsidR="00613D46" w:rsidRDefault="00613D46" w:rsidP="00A65805">
            <w:pPr>
              <w:pStyle w:val="NotesText"/>
            </w:pPr>
            <w:r>
              <w:t>Click a reagent type to reveal manufacturer names. Click a manufacturer name to reveal lot numbers.</w:t>
            </w:r>
          </w:p>
        </w:tc>
      </w:tr>
      <w:tr w:rsidR="00613D46">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613D46" w:rsidRDefault="00613D46" w:rsidP="00A65805">
            <w:pPr>
              <w:pStyle w:val="TableTextNumbers"/>
            </w:pPr>
            <w:r>
              <w:t>Click a lot number to enable the Number of Vials Available field.</w:t>
            </w:r>
          </w:p>
          <w:p w:rsidR="00613D46" w:rsidRDefault="00613D46" w:rsidP="00A65805">
            <w:pPr>
              <w:pStyle w:val="TableTextNumbersContinued"/>
            </w:pPr>
          </w:p>
          <w:p w:rsidR="00613D46" w:rsidRDefault="00613D46" w:rsidP="00A65805">
            <w:pPr>
              <w:pStyle w:val="TableTextNumbersContinued"/>
            </w:pPr>
            <w:r>
              <w:t>Enter (or select) a quantity that is less than or equal to the current entry in the Quantity Available field.</w:t>
            </w:r>
          </w:p>
          <w:p w:rsidR="00613D46" w:rsidRDefault="00613D46" w:rsidP="00A65805">
            <w:pPr>
              <w:pStyle w:val="TableTextNumbersContinued"/>
            </w:pPr>
          </w:p>
          <w:p w:rsidR="00613D46" w:rsidRDefault="00613D46" w:rsidP="00A65805">
            <w:pPr>
              <w:pStyle w:val="TableTextNumbersContinued"/>
            </w:pPr>
            <w:r>
              <w:t>Select or edit the date and time in the Date Changed field</w:t>
            </w:r>
            <w:r w:rsidR="00580E36">
              <w:t xml:space="preserve"> (</w:t>
            </w:r>
            <w:r w:rsidR="00580E36">
              <w:fldChar w:fldCharType="begin"/>
            </w:r>
            <w:r w:rsidR="00580E36">
              <w:instrText xml:space="preserve"> REF _Ref126549074 \h </w:instrText>
            </w:r>
            <w:r w:rsidR="00580E36">
              <w:fldChar w:fldCharType="separate"/>
            </w:r>
            <w:r w:rsidR="005F38BC">
              <w:t xml:space="preserve">Figure </w:t>
            </w:r>
            <w:r w:rsidR="005F38BC">
              <w:rPr>
                <w:noProof/>
              </w:rPr>
              <w:t>60</w:t>
            </w:r>
            <w:r w:rsidR="00580E36">
              <w:fldChar w:fldCharType="end"/>
            </w:r>
            <w:r w:rsidR="00580E36">
              <w:t>)</w:t>
            </w:r>
            <w:r>
              <w:t>.</w:t>
            </w:r>
          </w:p>
        </w:tc>
        <w:tc>
          <w:tcPr>
            <w:tcW w:w="6120" w:type="dxa"/>
            <w:tcBorders>
              <w:top w:val="single" w:sz="4" w:space="0" w:color="auto"/>
              <w:left w:val="single" w:sz="4" w:space="0" w:color="auto"/>
              <w:bottom w:val="single" w:sz="4" w:space="0" w:color="auto"/>
              <w:right w:val="single" w:sz="4" w:space="0" w:color="auto"/>
            </w:tcBorders>
          </w:tcPr>
          <w:p w:rsidR="00613D46" w:rsidRDefault="00613D46" w:rsidP="00A65805">
            <w:pPr>
              <w:pStyle w:val="TableText"/>
            </w:pPr>
          </w:p>
          <w:p w:rsidR="00613D46" w:rsidRDefault="00634BFC" w:rsidP="00A65805">
            <w:pPr>
              <w:pStyle w:val="TableText"/>
              <w:rPr>
                <w:b/>
                <w:bCs/>
                <w:szCs w:val="18"/>
              </w:rPr>
            </w:pPr>
            <w:r>
              <w:rPr>
                <w:b/>
                <w:bCs/>
                <w:noProof/>
              </w:rPr>
              <mc:AlternateContent>
                <mc:Choice Requires="wps">
                  <w:drawing>
                    <wp:anchor distT="0" distB="0" distL="114300" distR="114300" simplePos="0" relativeHeight="25170278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31" name="Line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2"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JQFQ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KtE&#10;wlAVAgAALQQAAA4AAAAAAAAAAAAAAAAALgIAAGRycy9lMm9Eb2MueG1sUEsBAi0AFAAGAAgAAAAh&#10;ABdPMBLbAAAACAEAAA8AAAAAAAAAAAAAAAAAbwQAAGRycy9kb3ducmV2LnhtbFBLBQYAAAAABAAE&#10;APMAAAB3BQAAAAA=&#10;" strokeweight="1.5pt"/>
                  </w:pict>
                </mc:Fallback>
              </mc:AlternateContent>
            </w:r>
            <w:r w:rsidR="00613D46">
              <w:rPr>
                <w:b/>
                <w:bCs/>
                <w:szCs w:val="18"/>
              </w:rPr>
              <w:t>NOTES</w:t>
            </w:r>
          </w:p>
          <w:p w:rsidR="00613D46" w:rsidRDefault="00613D46" w:rsidP="00A65805">
            <w:pPr>
              <w:pStyle w:val="NotesText"/>
            </w:pPr>
          </w:p>
          <w:p w:rsidR="00613D46" w:rsidRDefault="00613D46" w:rsidP="00A65805">
            <w:pPr>
              <w:pStyle w:val="NotesText"/>
            </w:pPr>
            <w:r>
              <w:t>The default change date is the current date and time. The user may edit it to a past date and time only.</w:t>
            </w:r>
          </w:p>
          <w:p w:rsidR="00613D46" w:rsidRDefault="00613D46" w:rsidP="00A65805">
            <w:pPr>
              <w:pStyle w:val="NotesText"/>
            </w:pPr>
          </w:p>
          <w:p w:rsidR="00613D46" w:rsidRDefault="00613D46" w:rsidP="00A65805">
            <w:pPr>
              <w:pStyle w:val="NotesText"/>
            </w:pPr>
            <w:r>
              <w:t>When a user selects Other from the drop-down list in the Reason for Change field, he may enter additional text in the Comments field.</w:t>
            </w:r>
          </w:p>
          <w:p w:rsidR="00613D46" w:rsidRDefault="00613D46" w:rsidP="00A65805">
            <w:pPr>
              <w:pStyle w:val="NotesText"/>
            </w:pPr>
          </w:p>
        </w:tc>
      </w:tr>
      <w:tr w:rsidR="00613D46">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613D46" w:rsidRDefault="00613D46" w:rsidP="00A65805">
            <w:pPr>
              <w:pStyle w:val="TableTextNumbers"/>
            </w:pPr>
            <w:r>
              <w:t>Repeat Steps 3 and 4 to edit more reagents</w:t>
            </w:r>
            <w:r w:rsidR="00E516F6">
              <w:t>,</w:t>
            </w:r>
            <w:r>
              <w:t xml:space="preserve"> as desired.</w:t>
            </w:r>
          </w:p>
        </w:tc>
        <w:tc>
          <w:tcPr>
            <w:tcW w:w="6120" w:type="dxa"/>
            <w:tcBorders>
              <w:top w:val="single" w:sz="4" w:space="0" w:color="auto"/>
              <w:left w:val="single" w:sz="4" w:space="0" w:color="auto"/>
              <w:bottom w:val="single" w:sz="4" w:space="0" w:color="auto"/>
              <w:right w:val="single" w:sz="4" w:space="0" w:color="auto"/>
            </w:tcBorders>
          </w:tcPr>
          <w:p w:rsidR="00613D46" w:rsidRDefault="00613D46" w:rsidP="00A65805">
            <w:pPr>
              <w:pStyle w:val="TableText"/>
            </w:pPr>
          </w:p>
        </w:tc>
      </w:tr>
      <w:tr w:rsidR="00613D46">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613D46" w:rsidRDefault="00613D46" w:rsidP="00A65805">
            <w:pPr>
              <w:pStyle w:val="TableTextNumbers"/>
            </w:pPr>
            <w:r>
              <w:t xml:space="preserve">Click </w:t>
            </w:r>
            <w:r>
              <w:rPr>
                <w:b/>
              </w:rPr>
              <w:t>OK</w:t>
            </w:r>
            <w:r>
              <w:t xml:space="preserve"> to save.</w:t>
            </w:r>
          </w:p>
          <w:p w:rsidR="00613D46" w:rsidRDefault="00613D46" w:rsidP="00A65805">
            <w:pPr>
              <w:pStyle w:val="TableTextNumbersContinued"/>
            </w:pPr>
          </w:p>
          <w:p w:rsidR="00613D46" w:rsidRDefault="00613D46" w:rsidP="00A65805">
            <w:pPr>
              <w:pStyle w:val="TableTextNumbersContinued"/>
            </w:pPr>
            <w:r>
              <w:t xml:space="preserve">Click </w:t>
            </w:r>
            <w:r>
              <w:rPr>
                <w:b/>
              </w:rPr>
              <w:t>Yes</w:t>
            </w:r>
            <w:r>
              <w:t xml:space="preserve"> to confirm the save and view the updated list.</w:t>
            </w:r>
          </w:p>
        </w:tc>
        <w:tc>
          <w:tcPr>
            <w:tcW w:w="6120" w:type="dxa"/>
            <w:tcBorders>
              <w:top w:val="single" w:sz="4" w:space="0" w:color="auto"/>
              <w:left w:val="single" w:sz="4" w:space="0" w:color="auto"/>
              <w:bottom w:val="single" w:sz="4" w:space="0" w:color="auto"/>
              <w:right w:val="single" w:sz="4" w:space="0" w:color="auto"/>
            </w:tcBorders>
          </w:tcPr>
          <w:p w:rsidR="00613D46" w:rsidRDefault="00613D46" w:rsidP="00A65805">
            <w:pPr>
              <w:pStyle w:val="TableTextBullet"/>
            </w:pPr>
            <w:r>
              <w:t xml:space="preserve">Prompts </w:t>
            </w:r>
            <w:r w:rsidR="00E516F6">
              <w:t>the user to confirm</w:t>
            </w:r>
            <w:r>
              <w:t xml:space="preserve"> the save.</w:t>
            </w:r>
          </w:p>
          <w:p w:rsidR="00613D46" w:rsidRDefault="00613D46" w:rsidP="00A65805">
            <w:pPr>
              <w:pStyle w:val="TableTextBullet"/>
            </w:pPr>
            <w:r>
              <w:t xml:space="preserve">Saves the record and redisplays current inventory, as in Step 3. </w:t>
            </w:r>
          </w:p>
          <w:p w:rsidR="00613D46" w:rsidRDefault="00613D46" w:rsidP="00A65805">
            <w:pPr>
              <w:pStyle w:val="TableTextBullet"/>
            </w:pPr>
            <w:r>
              <w:t>Displays an option to exit.</w:t>
            </w:r>
          </w:p>
        </w:tc>
      </w:tr>
      <w:tr w:rsidR="00613D46">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613D46" w:rsidRDefault="00613D46" w:rsidP="00A65805">
            <w:pPr>
              <w:pStyle w:val="TableTextNumbers"/>
            </w:pPr>
            <w:r>
              <w:t xml:space="preserve">Click </w:t>
            </w:r>
            <w:r>
              <w:rPr>
                <w:b/>
              </w:rPr>
              <w:t>Close</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rsidR="00613D46" w:rsidRDefault="00613D46" w:rsidP="00A65805">
            <w:pPr>
              <w:pStyle w:val="NotesText"/>
              <w:ind w:left="0"/>
            </w:pPr>
          </w:p>
        </w:tc>
      </w:tr>
    </w:tbl>
    <w:p w:rsidR="00580E36" w:rsidRDefault="00580E36" w:rsidP="00580E36">
      <w:pPr>
        <w:pStyle w:val="Caption"/>
      </w:pPr>
      <w:bookmarkStart w:id="238" w:name="_Ref126549074"/>
      <w:r>
        <w:t xml:space="preserve">Figure </w:t>
      </w:r>
      <w:r w:rsidR="00C17F7C">
        <w:fldChar w:fldCharType="begin"/>
      </w:r>
      <w:r w:rsidR="00C17F7C">
        <w:instrText xml:space="preserve"> SEQ Figure \* ARABIC </w:instrText>
      </w:r>
      <w:r w:rsidR="00C17F7C">
        <w:fldChar w:fldCharType="separate"/>
      </w:r>
      <w:r w:rsidR="005F38BC">
        <w:rPr>
          <w:noProof/>
        </w:rPr>
        <w:t>60</w:t>
      </w:r>
      <w:r w:rsidR="00C17F7C">
        <w:fldChar w:fldCharType="end"/>
      </w:r>
      <w:bookmarkEnd w:id="238"/>
      <w:r>
        <w:t>: Update Reagent Inventory</w:t>
      </w:r>
    </w:p>
    <w:p w:rsidR="00580E36" w:rsidRDefault="00634BFC" w:rsidP="00580E36">
      <w:pPr>
        <w:pStyle w:val="BodyText"/>
      </w:pPr>
      <w:r>
        <w:rPr>
          <w:noProof/>
        </w:rPr>
        <w:drawing>
          <wp:inline distT="0" distB="0" distL="0" distR="0">
            <wp:extent cx="4457700" cy="3667125"/>
            <wp:effectExtent l="0" t="0" r="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457700" cy="3667125"/>
                    </a:xfrm>
                    <a:prstGeom prst="rect">
                      <a:avLst/>
                    </a:prstGeom>
                    <a:noFill/>
                    <a:ln>
                      <a:noFill/>
                    </a:ln>
                  </pic:spPr>
                </pic:pic>
              </a:graphicData>
            </a:graphic>
          </wp:inline>
        </w:drawing>
      </w:r>
    </w:p>
    <w:p w:rsidR="00FE6B9A" w:rsidRDefault="00FE6B9A" w:rsidP="00FE6B9A">
      <w:pPr>
        <w:pStyle w:val="Heading4"/>
      </w:pPr>
      <w:r>
        <w:lastRenderedPageBreak/>
        <w:t>View/Print Reagent Inventory</w:t>
      </w:r>
      <w:r>
        <w:fldChar w:fldCharType="begin"/>
      </w:r>
      <w:r>
        <w:instrText xml:space="preserve"> XE </w:instrText>
      </w:r>
      <w:r w:rsidR="00FA7E65">
        <w:instrText>“</w:instrText>
      </w:r>
      <w:r>
        <w:instrText>View/Print Reagent Inventory</w:instrText>
      </w:r>
      <w:r w:rsidR="00FA7E65">
        <w:instrText>”</w:instrText>
      </w:r>
      <w:r>
        <w:instrText xml:space="preserve"> </w:instrText>
      </w:r>
      <w:r>
        <w:fldChar w:fldCharType="end"/>
      </w:r>
      <w:r>
        <w:t xml:space="preserve"> </w:t>
      </w:r>
    </w:p>
    <w:p w:rsidR="002A21AE" w:rsidRDefault="00C461C7" w:rsidP="007F12F1">
      <w:pPr>
        <w:pStyle w:val="BodyText"/>
      </w:pPr>
      <w:r>
        <w:t>The</w:t>
      </w:r>
      <w:r w:rsidR="00FE6B9A">
        <w:t xml:space="preserve"> user view</w:t>
      </w:r>
      <w:r w:rsidR="00F859D5">
        <w:t>s</w:t>
      </w:r>
      <w:r w:rsidR="00FE6B9A">
        <w:t xml:space="preserve"> inventory online based on various search criteria and print</w:t>
      </w:r>
      <w:r w:rsidR="00F859D5">
        <w:t>s</w:t>
      </w:r>
      <w:r w:rsidR="00FE6B9A">
        <w:t xml:space="preserve"> the search results.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FE6B9A">
        <w:tblPrEx>
          <w:tblCellMar>
            <w:top w:w="0" w:type="dxa"/>
            <w:bottom w:w="0" w:type="dxa"/>
          </w:tblCellMar>
        </w:tblPrEx>
        <w:trPr>
          <w:cantSplit/>
          <w:tblHeader/>
        </w:trPr>
        <w:tc>
          <w:tcPr>
            <w:tcW w:w="3240" w:type="dxa"/>
            <w:shd w:val="pct30" w:color="auto" w:fill="FFFFFF"/>
            <w:vAlign w:val="bottom"/>
          </w:tcPr>
          <w:p w:rsidR="00FE6B9A" w:rsidRDefault="00FE6B9A" w:rsidP="00A65805">
            <w:pPr>
              <w:pStyle w:val="TableText"/>
              <w:rPr>
                <w:b/>
              </w:rPr>
            </w:pPr>
            <w:r>
              <w:rPr>
                <w:b/>
              </w:rPr>
              <w:t>User Action</w:t>
            </w:r>
          </w:p>
        </w:tc>
        <w:tc>
          <w:tcPr>
            <w:tcW w:w="6120" w:type="dxa"/>
            <w:shd w:val="pct30" w:color="auto" w:fill="FFFFFF"/>
            <w:vAlign w:val="bottom"/>
          </w:tcPr>
          <w:p w:rsidR="00FE6B9A" w:rsidRDefault="00FE6B9A" w:rsidP="00A65805">
            <w:pPr>
              <w:pStyle w:val="TableText"/>
              <w:rPr>
                <w:b/>
              </w:rPr>
            </w:pPr>
            <w:r>
              <w:rPr>
                <w:b/>
              </w:rPr>
              <w:t>VBECS</w:t>
            </w:r>
          </w:p>
        </w:tc>
      </w:tr>
      <w:tr w:rsidR="00FE6B9A">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FE6B9A" w:rsidRDefault="00FE6B9A" w:rsidP="00A65805">
            <w:pPr>
              <w:pStyle w:val="TableTextNumbers"/>
            </w:pPr>
            <w:r>
              <w:t xml:space="preserve">Select </w:t>
            </w:r>
            <w:r>
              <w:rPr>
                <w:b/>
              </w:rPr>
              <w:t>Reagents</w:t>
            </w:r>
            <w:r>
              <w:t xml:space="preserve"> from the main menu.</w:t>
            </w:r>
          </w:p>
          <w:p w:rsidR="00FE6B9A" w:rsidRDefault="00FE6B9A" w:rsidP="00A65805">
            <w:pPr>
              <w:pStyle w:val="TableTextNumbersContinued"/>
            </w:pPr>
          </w:p>
        </w:tc>
        <w:tc>
          <w:tcPr>
            <w:tcW w:w="6120" w:type="dxa"/>
            <w:tcBorders>
              <w:top w:val="single" w:sz="4" w:space="0" w:color="auto"/>
              <w:left w:val="single" w:sz="4" w:space="0" w:color="auto"/>
              <w:bottom w:val="single" w:sz="4" w:space="0" w:color="auto"/>
              <w:right w:val="single" w:sz="4" w:space="0" w:color="auto"/>
            </w:tcBorders>
          </w:tcPr>
          <w:p w:rsidR="00FE6B9A" w:rsidRDefault="00FE6B9A" w:rsidP="00A65805">
            <w:pPr>
              <w:pStyle w:val="TableTextBullet"/>
            </w:pPr>
            <w:r>
              <w:t xml:space="preserve">Displays options for Quality Control functions. </w:t>
            </w:r>
          </w:p>
          <w:p w:rsidR="00FE6B9A" w:rsidRDefault="00FE6B9A" w:rsidP="00A65805">
            <w:pPr>
              <w:pStyle w:val="TableTextBullet"/>
            </w:pPr>
            <w:r>
              <w:t>Displays options for processing reagents.</w:t>
            </w:r>
          </w:p>
        </w:tc>
      </w:tr>
      <w:tr w:rsidR="00FE6B9A">
        <w:tblPrEx>
          <w:tblCellMar>
            <w:top w:w="0" w:type="dxa"/>
            <w:bottom w:w="0" w:type="dxa"/>
          </w:tblCellMar>
        </w:tblPrEx>
        <w:tc>
          <w:tcPr>
            <w:tcW w:w="3240" w:type="dxa"/>
          </w:tcPr>
          <w:p w:rsidR="00FE6B9A" w:rsidRDefault="00FE6B9A" w:rsidP="00A65805">
            <w:pPr>
              <w:pStyle w:val="TableTextNumbers"/>
            </w:pPr>
            <w:r>
              <w:t xml:space="preserve">Select </w:t>
            </w:r>
            <w:r>
              <w:rPr>
                <w:b/>
              </w:rPr>
              <w:t>View/Print Inventory</w:t>
            </w:r>
            <w:r>
              <w:t>.</w:t>
            </w:r>
          </w:p>
        </w:tc>
        <w:tc>
          <w:tcPr>
            <w:tcW w:w="6120" w:type="dxa"/>
          </w:tcPr>
          <w:p w:rsidR="00FE6B9A" w:rsidRDefault="00FE6B9A" w:rsidP="00A65805">
            <w:pPr>
              <w:pStyle w:val="TableTextBullet"/>
            </w:pPr>
            <w:r>
              <w:t xml:space="preserve">Lists </w:t>
            </w:r>
            <w:r w:rsidR="006B2239">
              <w:t>r</w:t>
            </w:r>
            <w:r>
              <w:t xml:space="preserve">eagent </w:t>
            </w:r>
            <w:r w:rsidR="006B2239">
              <w:t>t</w:t>
            </w:r>
            <w:r>
              <w:t>ypes.</w:t>
            </w:r>
          </w:p>
        </w:tc>
      </w:tr>
      <w:tr w:rsidR="00FE6B9A">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FE6B9A" w:rsidRDefault="00FE6B9A" w:rsidP="00A65805">
            <w:pPr>
              <w:pStyle w:val="TableTextNumbers"/>
            </w:pPr>
            <w:r>
              <w:t>Click one or more check boxes in the Reagent Type list to select reagent types.</w:t>
            </w:r>
          </w:p>
        </w:tc>
        <w:tc>
          <w:tcPr>
            <w:tcW w:w="6120" w:type="dxa"/>
            <w:tcBorders>
              <w:top w:val="single" w:sz="4" w:space="0" w:color="auto"/>
              <w:left w:val="single" w:sz="4" w:space="0" w:color="auto"/>
              <w:bottom w:val="single" w:sz="4" w:space="0" w:color="auto"/>
              <w:right w:val="single" w:sz="4" w:space="0" w:color="auto"/>
            </w:tcBorders>
          </w:tcPr>
          <w:p w:rsidR="00FE6B9A" w:rsidRDefault="00FE6B9A" w:rsidP="00A65805">
            <w:pPr>
              <w:pStyle w:val="TableTextBullet"/>
            </w:pPr>
            <w:r>
              <w:t xml:space="preserve">Displays or allows </w:t>
            </w:r>
            <w:r w:rsidR="006B2239">
              <w:t xml:space="preserve">the </w:t>
            </w:r>
            <w:r>
              <w:t>user to print a report of all current in-date, unsatisfactory, expired reagent inventory and minimum stock levels as a read-only display based on the selection criteria entered:</w:t>
            </w:r>
          </w:p>
          <w:p w:rsidR="00FE6B9A" w:rsidRDefault="00FE6B9A" w:rsidP="00A65805">
            <w:pPr>
              <w:pStyle w:val="TableTextBullet1"/>
            </w:pPr>
            <w:r>
              <w:t xml:space="preserve">Reagent </w:t>
            </w:r>
            <w:r w:rsidR="006B2239">
              <w:t>t</w:t>
            </w:r>
            <w:r>
              <w:t>ype</w:t>
            </w:r>
          </w:p>
          <w:p w:rsidR="00FE6B9A" w:rsidRDefault="00FE6B9A" w:rsidP="00A65805">
            <w:pPr>
              <w:pStyle w:val="TableTextBullet1"/>
            </w:pPr>
            <w:r>
              <w:t xml:space="preserve">In-date (active) </w:t>
            </w:r>
            <w:r w:rsidR="006B2239">
              <w:t>r</w:t>
            </w:r>
            <w:r>
              <w:t>eagents</w:t>
            </w:r>
          </w:p>
          <w:p w:rsidR="00FE6B9A" w:rsidRDefault="00FE6B9A" w:rsidP="00A65805">
            <w:pPr>
              <w:pStyle w:val="TableTextBullet1"/>
            </w:pPr>
            <w:r>
              <w:t xml:space="preserve">Unsatisfactory </w:t>
            </w:r>
            <w:r w:rsidR="006B2239">
              <w:t>r</w:t>
            </w:r>
            <w:r>
              <w:t>eagents</w:t>
            </w:r>
          </w:p>
          <w:p w:rsidR="00FE6B9A" w:rsidRDefault="00FE6B9A" w:rsidP="00A65805">
            <w:pPr>
              <w:pStyle w:val="TableTextBullet1"/>
            </w:pPr>
            <w:r>
              <w:t xml:space="preserve">Expired (inactive) </w:t>
            </w:r>
            <w:r w:rsidR="006B2239">
              <w:t>r</w:t>
            </w:r>
            <w:r>
              <w:t>eagents</w:t>
            </w:r>
          </w:p>
          <w:p w:rsidR="00FE6B9A" w:rsidRDefault="00FE6B9A" w:rsidP="00A65805">
            <w:pPr>
              <w:pStyle w:val="TableTextBullet1"/>
            </w:pPr>
            <w:r>
              <w:t xml:space="preserve">Expiration </w:t>
            </w:r>
            <w:r w:rsidR="006B2239">
              <w:t>d</w:t>
            </w:r>
            <w:r>
              <w:t xml:space="preserve">ate </w:t>
            </w:r>
            <w:r w:rsidR="006B2239">
              <w:t>r</w:t>
            </w:r>
            <w:r>
              <w:t>ange (</w:t>
            </w:r>
            <w:r w:rsidR="006B2239">
              <w:t xml:space="preserve">the </w:t>
            </w:r>
            <w:r>
              <w:t>user enters a date to begin and end the search)</w:t>
            </w:r>
          </w:p>
          <w:p w:rsidR="00FE6B9A" w:rsidRDefault="00A517D3" w:rsidP="00A65805">
            <w:pPr>
              <w:pStyle w:val="TableTextBullet1"/>
            </w:pPr>
            <w:r>
              <w:t>Date received</w:t>
            </w:r>
            <w:r w:rsidR="00FE6B9A">
              <w:t xml:space="preserve"> (</w:t>
            </w:r>
            <w:r w:rsidR="006B2239">
              <w:t xml:space="preserve">the </w:t>
            </w:r>
            <w:r w:rsidR="00FE6B9A">
              <w:t>user enters a date to begin and end the search)</w:t>
            </w:r>
          </w:p>
          <w:p w:rsidR="00FE6B9A" w:rsidRDefault="00FE6B9A" w:rsidP="00A65805">
            <w:pPr>
              <w:pStyle w:val="TableText"/>
            </w:pPr>
          </w:p>
          <w:p w:rsidR="00FE6B9A" w:rsidRDefault="00634BFC" w:rsidP="00A65805">
            <w:pPr>
              <w:pStyle w:val="TableText"/>
              <w:rPr>
                <w:b/>
                <w:bCs/>
                <w:szCs w:val="18"/>
              </w:rPr>
            </w:pPr>
            <w:r>
              <w:rPr>
                <w:b/>
                <w:bCs/>
                <w:noProof/>
              </w:rPr>
              <mc:AlternateContent>
                <mc:Choice Requires="wps">
                  <w:drawing>
                    <wp:anchor distT="0" distB="0" distL="114300" distR="114300" simplePos="0" relativeHeight="25170483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30" name="Lin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4"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8IjFA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" strokeweight="1.5pt"/>
                  </w:pict>
                </mc:Fallback>
              </mc:AlternateContent>
            </w:r>
            <w:r w:rsidR="00FE6B9A">
              <w:rPr>
                <w:b/>
                <w:bCs/>
                <w:szCs w:val="18"/>
              </w:rPr>
              <w:t>NOTES</w:t>
            </w:r>
          </w:p>
          <w:p w:rsidR="00FE6B9A" w:rsidRDefault="00FE6B9A" w:rsidP="00A65805">
            <w:pPr>
              <w:pStyle w:val="NotesText"/>
            </w:pPr>
          </w:p>
          <w:p w:rsidR="00FE6B9A" w:rsidRPr="00165119" w:rsidRDefault="00FE6B9A" w:rsidP="00165119">
            <w:pPr>
              <w:pStyle w:val="NotesText"/>
              <w:rPr>
                <w:vanish/>
                <w:szCs w:val="18"/>
              </w:rPr>
            </w:pPr>
            <w:r>
              <w:rPr>
                <w:rFonts w:cs="Arial"/>
                <w:vanish/>
              </w:rPr>
              <w:t>BR_</w:t>
            </w:r>
            <w:r w:rsidR="00C8315E">
              <w:rPr>
                <w:rFonts w:cs="Arial"/>
                <w:vanish/>
              </w:rPr>
              <w:t>20.16</w:t>
            </w:r>
            <w:r>
              <w:rPr>
                <w:rFonts w:cs="Arial"/>
                <w:vanish/>
              </w:rPr>
              <w:t xml:space="preserve"> </w:t>
            </w:r>
            <w:bookmarkStart w:id="239" w:name="OLE_LINK11"/>
            <w:bookmarkStart w:id="240" w:name="OLE_LINK12"/>
            <w:r w:rsidR="00C8315E">
              <w:t>VBECS display only reagents selected based on search criteria.</w:t>
            </w:r>
            <w:bookmarkEnd w:id="239"/>
            <w:bookmarkEnd w:id="240"/>
          </w:p>
        </w:tc>
      </w:tr>
      <w:tr w:rsidR="00FE6B9A">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FE6B9A" w:rsidRDefault="000D70D6" w:rsidP="00A65805">
            <w:pPr>
              <w:pStyle w:val="TableTextNumbers"/>
            </w:pPr>
            <w:r>
              <w:t xml:space="preserve">Click </w:t>
            </w:r>
            <w:r w:rsidRPr="000D70D6">
              <w:rPr>
                <w:b/>
              </w:rPr>
              <w:t>OK</w:t>
            </w:r>
            <w:r>
              <w:t xml:space="preserve"> to a</w:t>
            </w:r>
            <w:r w:rsidR="00FE6B9A">
              <w:t>ccept the displayed selection criteria</w:t>
            </w:r>
            <w:r w:rsidR="00686D38">
              <w:t xml:space="preserve"> (</w:t>
            </w:r>
            <w:r w:rsidR="00686D38">
              <w:fldChar w:fldCharType="begin"/>
            </w:r>
            <w:r w:rsidR="00686D38">
              <w:instrText xml:space="preserve"> REF _Ref126550016 \h </w:instrText>
            </w:r>
            <w:r w:rsidR="00686D38">
              <w:fldChar w:fldCharType="separate"/>
            </w:r>
            <w:r w:rsidR="005F38BC">
              <w:t xml:space="preserve">Figure </w:t>
            </w:r>
            <w:r w:rsidR="005F38BC">
              <w:rPr>
                <w:noProof/>
              </w:rPr>
              <w:t>61</w:t>
            </w:r>
            <w:r w:rsidR="00686D38">
              <w:fldChar w:fldCharType="end"/>
            </w:r>
            <w:r w:rsidR="00686D38">
              <w:t>)</w:t>
            </w:r>
            <w:r w:rsidR="00FE6B9A">
              <w:t>.</w:t>
            </w:r>
          </w:p>
          <w:p w:rsidR="00FE6B9A" w:rsidRDefault="00FE6B9A" w:rsidP="00A65805">
            <w:pPr>
              <w:pStyle w:val="TableTextNumbers"/>
              <w:numPr>
                <w:ilvl w:val="0"/>
                <w:numId w:val="0"/>
              </w:numPr>
            </w:pPr>
          </w:p>
        </w:tc>
        <w:tc>
          <w:tcPr>
            <w:tcW w:w="6120" w:type="dxa"/>
            <w:tcBorders>
              <w:top w:val="single" w:sz="4" w:space="0" w:color="auto"/>
              <w:left w:val="single" w:sz="4" w:space="0" w:color="auto"/>
              <w:bottom w:val="single" w:sz="4" w:space="0" w:color="auto"/>
              <w:right w:val="single" w:sz="4" w:space="0" w:color="auto"/>
            </w:tcBorders>
          </w:tcPr>
          <w:p w:rsidR="00FE6B9A" w:rsidRDefault="00FE6B9A" w:rsidP="00A65805">
            <w:pPr>
              <w:pStyle w:val="TableTextBullet"/>
            </w:pPr>
            <w:r>
              <w:t>Compiles the report and displays an option to print or exit the report.</w:t>
            </w:r>
          </w:p>
        </w:tc>
      </w:tr>
      <w:tr w:rsidR="00FE6B9A">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FE6B9A" w:rsidRDefault="00FE6B9A" w:rsidP="00A65805">
            <w:pPr>
              <w:pStyle w:val="TableTextNumbers"/>
            </w:pPr>
            <w:r>
              <w:t xml:space="preserve">Click </w:t>
            </w:r>
            <w:r>
              <w:rPr>
                <w:b/>
              </w:rPr>
              <w:t xml:space="preserve">Print </w:t>
            </w:r>
            <w:r>
              <w:t>to print the list of reagents.</w:t>
            </w:r>
          </w:p>
        </w:tc>
        <w:tc>
          <w:tcPr>
            <w:tcW w:w="6120" w:type="dxa"/>
            <w:tcBorders>
              <w:top w:val="single" w:sz="4" w:space="0" w:color="auto"/>
              <w:left w:val="single" w:sz="4" w:space="0" w:color="auto"/>
              <w:bottom w:val="single" w:sz="4" w:space="0" w:color="auto"/>
              <w:right w:val="single" w:sz="4" w:space="0" w:color="auto"/>
            </w:tcBorders>
          </w:tcPr>
          <w:p w:rsidR="00FE6B9A" w:rsidRDefault="00FE6B9A" w:rsidP="009710F9">
            <w:pPr>
              <w:pStyle w:val="TableTextBullet"/>
            </w:pPr>
            <w:r>
              <w:t>Sends the report to print on the printer selected by the user.</w:t>
            </w:r>
          </w:p>
        </w:tc>
      </w:tr>
      <w:tr w:rsidR="00FE6B9A">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FE6B9A" w:rsidRDefault="00FE6B9A" w:rsidP="00A65805">
            <w:pPr>
              <w:pStyle w:val="TableTextNumbers"/>
            </w:pPr>
            <w:r>
              <w:t xml:space="preserve">Print another report or </w:t>
            </w:r>
            <w:r w:rsidR="000D70D6">
              <w:t xml:space="preserve">click </w:t>
            </w:r>
            <w:r w:rsidR="000D70D6" w:rsidRPr="000D70D6">
              <w:rPr>
                <w:b/>
              </w:rPr>
              <w:t>Close</w:t>
            </w:r>
            <w:r w:rsidR="000D70D6">
              <w:t xml:space="preserve"> </w:t>
            </w:r>
            <w:r w:rsidR="005D7E72">
              <w:t xml:space="preserve">to </w:t>
            </w:r>
            <w:r>
              <w:t xml:space="preserve">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rsidR="00FE6B9A" w:rsidRDefault="00FE6B9A" w:rsidP="00A65805">
            <w:pPr>
              <w:pStyle w:val="TableText"/>
            </w:pPr>
          </w:p>
        </w:tc>
      </w:tr>
    </w:tbl>
    <w:p w:rsidR="00686D38" w:rsidRDefault="00686D38" w:rsidP="00686D38">
      <w:pPr>
        <w:pStyle w:val="Caption"/>
      </w:pPr>
      <w:bookmarkStart w:id="241" w:name="_Ref126550016"/>
      <w:r>
        <w:t xml:space="preserve">Figure </w:t>
      </w:r>
      <w:r w:rsidR="00C17F7C">
        <w:fldChar w:fldCharType="begin"/>
      </w:r>
      <w:r w:rsidR="00C17F7C">
        <w:instrText xml:space="preserve"> SEQ Figure \* ARABIC </w:instrText>
      </w:r>
      <w:r w:rsidR="00C17F7C">
        <w:fldChar w:fldCharType="separate"/>
      </w:r>
      <w:r w:rsidR="005F38BC">
        <w:rPr>
          <w:noProof/>
        </w:rPr>
        <w:t>61</w:t>
      </w:r>
      <w:r w:rsidR="00C17F7C">
        <w:fldChar w:fldCharType="end"/>
      </w:r>
      <w:bookmarkEnd w:id="241"/>
      <w:r>
        <w:t xml:space="preserve">: Reagent </w:t>
      </w:r>
      <w:r w:rsidR="006406D8">
        <w:t>Search</w:t>
      </w:r>
    </w:p>
    <w:p w:rsidR="00307D76" w:rsidRDefault="00634BFC" w:rsidP="00307D76">
      <w:pPr>
        <w:pStyle w:val="BodyText"/>
      </w:pPr>
      <w:r>
        <w:rPr>
          <w:noProof/>
        </w:rPr>
        <w:drawing>
          <wp:inline distT="0" distB="0" distL="0" distR="0">
            <wp:extent cx="4019550" cy="28765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019550" cy="2876550"/>
                    </a:xfrm>
                    <a:prstGeom prst="rect">
                      <a:avLst/>
                    </a:prstGeom>
                    <a:noFill/>
                    <a:ln>
                      <a:noFill/>
                    </a:ln>
                  </pic:spPr>
                </pic:pic>
              </a:graphicData>
            </a:graphic>
          </wp:inline>
        </w:drawing>
      </w:r>
    </w:p>
    <w:p w:rsidR="00771C65" w:rsidRDefault="00B06E01" w:rsidP="00FD24BA">
      <w:pPr>
        <w:pStyle w:val="Heading4"/>
      </w:pPr>
      <w:r>
        <w:br w:type="page"/>
      </w:r>
      <w:r w:rsidR="005F6016">
        <w:lastRenderedPageBreak/>
        <w:t xml:space="preserve">Maintain Minimum Levels </w:t>
      </w:r>
      <w:r w:rsidR="00771C65">
        <w:fldChar w:fldCharType="begin"/>
      </w:r>
      <w:r w:rsidR="00771C65">
        <w:instrText xml:space="preserve"> XE </w:instrText>
      </w:r>
      <w:r w:rsidR="00FA7E65">
        <w:instrText>“</w:instrText>
      </w:r>
      <w:r w:rsidR="005F6016">
        <w:instrText xml:space="preserve">Maintain Minimum Levels </w:instrText>
      </w:r>
      <w:r w:rsidR="00FA7E65">
        <w:instrText>”</w:instrText>
      </w:r>
      <w:r w:rsidR="00771C65">
        <w:instrText xml:space="preserve"> </w:instrText>
      </w:r>
      <w:r w:rsidR="00771C65">
        <w:fldChar w:fldCharType="end"/>
      </w:r>
      <w:r w:rsidR="00771C65">
        <w:t xml:space="preserve"> </w:t>
      </w:r>
    </w:p>
    <w:p w:rsidR="002A21AE" w:rsidRPr="00CF3293" w:rsidRDefault="00CF3293" w:rsidP="00CF3293">
      <w:pPr>
        <w:pStyle w:val="BodyText"/>
        <w:rPr>
          <w:rFonts w:cs="Arial"/>
          <w:snapToGrid w:val="0"/>
          <w:color w:val="000000"/>
          <w:szCs w:val="18"/>
        </w:rPr>
      </w:pPr>
      <w:r>
        <w:t>The user sets minimum stock levels for reagent types used in the division.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1B61D3">
        <w:tblPrEx>
          <w:tblCellMar>
            <w:top w:w="0" w:type="dxa"/>
            <w:bottom w:w="0" w:type="dxa"/>
          </w:tblCellMar>
        </w:tblPrEx>
        <w:trPr>
          <w:cantSplit/>
          <w:tblHeader/>
        </w:trPr>
        <w:tc>
          <w:tcPr>
            <w:tcW w:w="3240" w:type="dxa"/>
            <w:shd w:val="pct30" w:color="auto" w:fill="FFFFFF"/>
            <w:vAlign w:val="bottom"/>
          </w:tcPr>
          <w:p w:rsidR="001B61D3" w:rsidRDefault="001B61D3" w:rsidP="00A65805">
            <w:pPr>
              <w:pStyle w:val="TableText"/>
              <w:rPr>
                <w:b/>
              </w:rPr>
            </w:pPr>
            <w:r>
              <w:rPr>
                <w:b/>
              </w:rPr>
              <w:t>User Action</w:t>
            </w:r>
          </w:p>
        </w:tc>
        <w:tc>
          <w:tcPr>
            <w:tcW w:w="6120" w:type="dxa"/>
            <w:shd w:val="pct30" w:color="auto" w:fill="FFFFFF"/>
            <w:vAlign w:val="bottom"/>
          </w:tcPr>
          <w:p w:rsidR="001B61D3" w:rsidRDefault="001B61D3" w:rsidP="00A65805">
            <w:pPr>
              <w:pStyle w:val="TableText"/>
              <w:rPr>
                <w:b/>
              </w:rPr>
            </w:pPr>
            <w:r>
              <w:rPr>
                <w:b/>
              </w:rPr>
              <w:t>VBECS</w:t>
            </w:r>
          </w:p>
        </w:tc>
      </w:tr>
      <w:tr w:rsidR="001B61D3">
        <w:tblPrEx>
          <w:tblCellMar>
            <w:top w:w="0" w:type="dxa"/>
            <w:bottom w:w="0" w:type="dxa"/>
          </w:tblCellMar>
        </w:tblPrEx>
        <w:tc>
          <w:tcPr>
            <w:tcW w:w="3240" w:type="dxa"/>
          </w:tcPr>
          <w:p w:rsidR="001B61D3" w:rsidRDefault="001B61D3" w:rsidP="006D628A">
            <w:pPr>
              <w:pStyle w:val="TableTextNumbers"/>
            </w:pPr>
            <w:r>
              <w:t xml:space="preserve">Select </w:t>
            </w:r>
            <w:r>
              <w:rPr>
                <w:b/>
              </w:rPr>
              <w:t>Reagents</w:t>
            </w:r>
            <w:r w:rsidR="006D628A">
              <w:t xml:space="preserve"> from the main menu.</w:t>
            </w:r>
          </w:p>
        </w:tc>
        <w:tc>
          <w:tcPr>
            <w:tcW w:w="6120" w:type="dxa"/>
          </w:tcPr>
          <w:p w:rsidR="001B61D3" w:rsidRDefault="001B61D3" w:rsidP="006D628A">
            <w:pPr>
              <w:pStyle w:val="TableTextBullet"/>
            </w:pPr>
            <w:r>
              <w:t>Displays o</w:t>
            </w:r>
            <w:r w:rsidR="006D628A">
              <w:t>ptions for processing reagents.</w:t>
            </w:r>
          </w:p>
          <w:p w:rsidR="001B61D3" w:rsidRDefault="001B61D3" w:rsidP="00A65805">
            <w:pPr>
              <w:pStyle w:val="NotesText"/>
            </w:pPr>
          </w:p>
        </w:tc>
      </w:tr>
      <w:tr w:rsidR="001B61D3">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1B61D3" w:rsidRDefault="001B61D3" w:rsidP="00A65805">
            <w:pPr>
              <w:pStyle w:val="TableTextNumbers"/>
            </w:pPr>
            <w:r>
              <w:t xml:space="preserve">Select </w:t>
            </w:r>
            <w:r>
              <w:rPr>
                <w:b/>
              </w:rPr>
              <w:t>Maintain Minimum Levels</w:t>
            </w:r>
            <w:r>
              <w:rPr>
                <w:rStyle w:val="TableTextNumbersContinuedChar"/>
              </w:rPr>
              <w:t>.</w:t>
            </w:r>
          </w:p>
        </w:tc>
        <w:tc>
          <w:tcPr>
            <w:tcW w:w="6120" w:type="dxa"/>
            <w:tcBorders>
              <w:top w:val="single" w:sz="4" w:space="0" w:color="auto"/>
              <w:left w:val="single" w:sz="4" w:space="0" w:color="auto"/>
              <w:bottom w:val="single" w:sz="4" w:space="0" w:color="auto"/>
              <w:right w:val="single" w:sz="4" w:space="0" w:color="auto"/>
            </w:tcBorders>
          </w:tcPr>
          <w:p w:rsidR="001B61D3" w:rsidRDefault="001B61D3" w:rsidP="00A65805">
            <w:pPr>
              <w:pStyle w:val="TableTextBullet"/>
            </w:pPr>
            <w:r>
              <w:t>Lists available reagent types and their associated minimum stock levels.</w:t>
            </w:r>
          </w:p>
        </w:tc>
      </w:tr>
      <w:tr w:rsidR="001B61D3">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1B61D3" w:rsidRDefault="001B61D3" w:rsidP="00A65805">
            <w:pPr>
              <w:pStyle w:val="TableTextNumbers"/>
            </w:pPr>
            <w:r>
              <w:t xml:space="preserve">Select a </w:t>
            </w:r>
            <w:r w:rsidRPr="00A96756">
              <w:rPr>
                <w:b/>
              </w:rPr>
              <w:t>Reagent Type</w:t>
            </w:r>
            <w:r>
              <w:t xml:space="preserve"> to edit the minimum level threshold. </w:t>
            </w:r>
          </w:p>
        </w:tc>
        <w:tc>
          <w:tcPr>
            <w:tcW w:w="6120" w:type="dxa"/>
            <w:tcBorders>
              <w:top w:val="single" w:sz="4" w:space="0" w:color="auto"/>
              <w:left w:val="single" w:sz="4" w:space="0" w:color="auto"/>
              <w:bottom w:val="single" w:sz="4" w:space="0" w:color="auto"/>
              <w:right w:val="single" w:sz="4" w:space="0" w:color="auto"/>
            </w:tcBorders>
          </w:tcPr>
          <w:p w:rsidR="001B61D3" w:rsidRDefault="006D628A" w:rsidP="00A65805">
            <w:pPr>
              <w:pStyle w:val="TableTextBullet"/>
            </w:pPr>
            <w:r>
              <w:t>Displays the r</w:t>
            </w:r>
            <w:r w:rsidR="001B61D3">
              <w:t xml:space="preserve">eagent </w:t>
            </w:r>
            <w:r>
              <w:t>t</w:t>
            </w:r>
            <w:r w:rsidR="001B61D3">
              <w:t xml:space="preserve">ype selected and allows the user to edit the Minimum Stock Level field or select </w:t>
            </w:r>
            <w:r>
              <w:t>another</w:t>
            </w:r>
            <w:r w:rsidR="001B61D3">
              <w:t xml:space="preserve"> reagent.</w:t>
            </w:r>
          </w:p>
          <w:p w:rsidR="001B61D3" w:rsidRDefault="001B61D3" w:rsidP="006D628A">
            <w:pPr>
              <w:pStyle w:val="TableText"/>
            </w:pPr>
          </w:p>
          <w:p w:rsidR="001B61D3" w:rsidRDefault="00634BFC" w:rsidP="00A65805">
            <w:pPr>
              <w:pStyle w:val="TableText"/>
              <w:rPr>
                <w:b/>
                <w:bCs/>
                <w:szCs w:val="18"/>
              </w:rPr>
            </w:pPr>
            <w:r>
              <w:rPr>
                <w:b/>
                <w:bCs/>
                <w:noProof/>
              </w:rPr>
              <mc:AlternateContent>
                <mc:Choice Requires="wps">
                  <w:drawing>
                    <wp:anchor distT="0" distB="0" distL="114300" distR="114300" simplePos="0" relativeHeight="25170585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29" name="Lin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6"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Hir&#10;yxkVAgAALQQAAA4AAAAAAAAAAAAAAAAALgIAAGRycy9lMm9Eb2MueG1sUEsBAi0AFAAGAAgAAAAh&#10;ABdPMBLbAAAACAEAAA8AAAAAAAAAAAAAAAAAbwQAAGRycy9kb3ducmV2LnhtbFBLBQYAAAAABAAE&#10;APMAAAB3BQAAAAA=&#10;" strokeweight="1.5pt"/>
                  </w:pict>
                </mc:Fallback>
              </mc:AlternateContent>
            </w:r>
            <w:r w:rsidR="001B61D3">
              <w:rPr>
                <w:b/>
                <w:bCs/>
                <w:szCs w:val="18"/>
              </w:rPr>
              <w:t>NOTES</w:t>
            </w:r>
          </w:p>
          <w:p w:rsidR="001B61D3" w:rsidRDefault="001B61D3" w:rsidP="00A65805">
            <w:pPr>
              <w:pStyle w:val="NotesText"/>
            </w:pPr>
          </w:p>
          <w:p w:rsidR="001B61D3" w:rsidRDefault="001B61D3" w:rsidP="006D628A">
            <w:pPr>
              <w:pStyle w:val="NotesText"/>
            </w:pPr>
            <w:r w:rsidRPr="00A96756">
              <w:rPr>
                <w:rFonts w:cs="Arial"/>
              </w:rPr>
              <w:t xml:space="preserve">A minimum inventory level (a whole number from 0 to 999) is set for each reagent type. This is related to the reagent type, independent of manufacturer name and lot numbers. </w:t>
            </w:r>
          </w:p>
        </w:tc>
      </w:tr>
      <w:tr w:rsidR="001B61D3">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1B61D3" w:rsidRDefault="001B61D3" w:rsidP="00A65805">
            <w:pPr>
              <w:pStyle w:val="TableTextNumbers"/>
            </w:pPr>
            <w:r>
              <w:t xml:space="preserve">Enter (or select) a minimum number of vials in the </w:t>
            </w:r>
            <w:r w:rsidRPr="00A96756">
              <w:rPr>
                <w:b/>
              </w:rPr>
              <w:t xml:space="preserve">Minimum Stock </w:t>
            </w:r>
            <w:r>
              <w:rPr>
                <w:b/>
              </w:rPr>
              <w:t>L</w:t>
            </w:r>
            <w:r w:rsidRPr="00A96756">
              <w:rPr>
                <w:b/>
              </w:rPr>
              <w:t>evel</w:t>
            </w:r>
            <w:r>
              <w:t xml:space="preserve"> field.</w:t>
            </w:r>
          </w:p>
        </w:tc>
        <w:tc>
          <w:tcPr>
            <w:tcW w:w="6120" w:type="dxa"/>
            <w:tcBorders>
              <w:top w:val="single" w:sz="4" w:space="0" w:color="auto"/>
              <w:left w:val="single" w:sz="4" w:space="0" w:color="auto"/>
              <w:bottom w:val="single" w:sz="4" w:space="0" w:color="auto"/>
              <w:right w:val="single" w:sz="4" w:space="0" w:color="auto"/>
            </w:tcBorders>
          </w:tcPr>
          <w:p w:rsidR="001B61D3" w:rsidRDefault="001B61D3" w:rsidP="00A65805">
            <w:pPr>
              <w:pStyle w:val="TableTextBullet"/>
            </w:pPr>
            <w:r>
              <w:t>Displays the changes and allows the user to</w:t>
            </w:r>
            <w:r w:rsidR="00BC0E81">
              <w:t xml:space="preserve"> select another reagent to edit.</w:t>
            </w:r>
          </w:p>
          <w:p w:rsidR="001B61D3" w:rsidRDefault="001B61D3" w:rsidP="00A65805">
            <w:pPr>
              <w:pStyle w:val="TableText"/>
            </w:pPr>
          </w:p>
          <w:p w:rsidR="001B61D3" w:rsidRDefault="00634BFC" w:rsidP="00A65805">
            <w:pPr>
              <w:pStyle w:val="TableText"/>
              <w:rPr>
                <w:b/>
                <w:bCs/>
                <w:szCs w:val="18"/>
              </w:rPr>
            </w:pPr>
            <w:r>
              <w:rPr>
                <w:b/>
                <w:bCs/>
                <w:noProof/>
              </w:rPr>
              <mc:AlternateContent>
                <mc:Choice Requires="wps">
                  <w:drawing>
                    <wp:anchor distT="0" distB="0" distL="114300" distR="114300" simplePos="0" relativeHeight="25170688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28" name="Lin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7"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1yfFQIAAC0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Khf&#10;XJ8VAgAALQQAAA4AAAAAAAAAAAAAAAAALgIAAGRycy9lMm9Eb2MueG1sUEsBAi0AFAAGAAgAAAAh&#10;ABdPMBLbAAAACAEAAA8AAAAAAAAAAAAAAAAAbwQAAGRycy9kb3ducmV2LnhtbFBLBQYAAAAABAAE&#10;APMAAAB3BQAAAAA=&#10;" strokeweight="1.5pt"/>
                  </w:pict>
                </mc:Fallback>
              </mc:AlternateContent>
            </w:r>
            <w:r w:rsidR="001B61D3">
              <w:rPr>
                <w:b/>
                <w:bCs/>
                <w:szCs w:val="18"/>
              </w:rPr>
              <w:t>NOTES</w:t>
            </w:r>
          </w:p>
          <w:p w:rsidR="001B61D3" w:rsidRDefault="001B61D3" w:rsidP="00A65805">
            <w:pPr>
              <w:pStyle w:val="NotesText"/>
            </w:pPr>
          </w:p>
          <w:p w:rsidR="001B61D3" w:rsidRDefault="001B61D3" w:rsidP="00A65805">
            <w:pPr>
              <w:pStyle w:val="NotesText"/>
            </w:pPr>
            <w:r>
              <w:rPr>
                <w:rFonts w:cs="Arial"/>
                <w:vanish/>
              </w:rPr>
              <w:t xml:space="preserve">BR_20.09 </w:t>
            </w:r>
            <w:r>
              <w:t xml:space="preserve">When the number of vials in stock is at or is less than the stock minimum, VBECS notifies the user and instructs him to check the inventory. </w:t>
            </w:r>
          </w:p>
          <w:p w:rsidR="001B61D3" w:rsidRDefault="001B61D3" w:rsidP="00A65805">
            <w:pPr>
              <w:pStyle w:val="NotesText"/>
            </w:pPr>
          </w:p>
          <w:p w:rsidR="001B61D3" w:rsidRDefault="001B61D3" w:rsidP="00A65805">
            <w:pPr>
              <w:pStyle w:val="NotesText"/>
            </w:pPr>
            <w:r>
              <w:t>Inventory levels are tied to the reagent type, not to the manufacturer reagent name or the lot number. A particular type may have multiple manufacturer reagent names and multiple lot numbers associated with that manufacturer reagent name, all of which are summed to create the inventory of that reagent type. VBECS tracks the total number of vials in the system for a particular reagent type.</w:t>
            </w:r>
          </w:p>
          <w:p w:rsidR="0079067D" w:rsidRDefault="0079067D" w:rsidP="00A65805">
            <w:pPr>
              <w:pStyle w:val="NotesText"/>
            </w:pPr>
          </w:p>
          <w:p w:rsidR="0079067D" w:rsidRDefault="0079067D" w:rsidP="00A65805">
            <w:pPr>
              <w:pStyle w:val="NotesText"/>
            </w:pPr>
            <w:r>
              <w:rPr>
                <w:rFonts w:cs="Arial"/>
                <w:vanish/>
              </w:rPr>
              <w:t xml:space="preserve">BR_58.02 </w:t>
            </w:r>
            <w:r>
              <w:t xml:space="preserve">Each reagent type has one minimum inventory level established regardless of manufacturer name and lot numbers. Valid entries are whole numbers from </w:t>
            </w:r>
            <w:r w:rsidR="00133C70">
              <w:t>0</w:t>
            </w:r>
            <w:r>
              <w:t xml:space="preserve"> to 999.</w:t>
            </w:r>
          </w:p>
        </w:tc>
      </w:tr>
      <w:tr w:rsidR="001B61D3">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1B61D3" w:rsidRDefault="001B61D3" w:rsidP="00A65805">
            <w:pPr>
              <w:pStyle w:val="TableTextNumbers"/>
            </w:pPr>
            <w:r>
              <w:t xml:space="preserve">Review the displayed information and click </w:t>
            </w:r>
            <w:r>
              <w:rPr>
                <w:b/>
              </w:rPr>
              <w:t>U</w:t>
            </w:r>
            <w:r w:rsidR="00B31DEA">
              <w:rPr>
                <w:b/>
              </w:rPr>
              <w:t>pdate</w:t>
            </w:r>
            <w:r w:rsidR="00307D76" w:rsidRPr="00307D76">
              <w:t xml:space="preserve"> (</w:t>
            </w:r>
            <w:r w:rsidR="00307D76">
              <w:fldChar w:fldCharType="begin"/>
            </w:r>
            <w:r w:rsidR="00307D76">
              <w:instrText xml:space="preserve"> REF _Ref126550654 \h </w:instrText>
            </w:r>
            <w:r w:rsidR="00307D76">
              <w:fldChar w:fldCharType="separate"/>
            </w:r>
            <w:r w:rsidR="005F38BC">
              <w:t xml:space="preserve">Figure </w:t>
            </w:r>
            <w:r w:rsidR="005F38BC">
              <w:rPr>
                <w:noProof/>
              </w:rPr>
              <w:t>62</w:t>
            </w:r>
            <w:r w:rsidR="00307D76">
              <w:fldChar w:fldCharType="end"/>
            </w:r>
            <w:r w:rsidR="00307D76" w:rsidRPr="00307D76">
              <w:t>)</w:t>
            </w:r>
            <w:r>
              <w:t>.</w:t>
            </w:r>
          </w:p>
        </w:tc>
        <w:tc>
          <w:tcPr>
            <w:tcW w:w="6120" w:type="dxa"/>
            <w:tcBorders>
              <w:top w:val="single" w:sz="4" w:space="0" w:color="auto"/>
              <w:left w:val="single" w:sz="4" w:space="0" w:color="auto"/>
              <w:bottom w:val="single" w:sz="4" w:space="0" w:color="auto"/>
              <w:right w:val="single" w:sz="4" w:space="0" w:color="auto"/>
            </w:tcBorders>
          </w:tcPr>
          <w:p w:rsidR="001B61D3" w:rsidRDefault="001B61D3" w:rsidP="00A65805">
            <w:pPr>
              <w:pStyle w:val="TableTextBullet"/>
            </w:pPr>
            <w:r>
              <w:t>Displays the changes and allows the user to select another reagent to edit</w:t>
            </w:r>
            <w:r w:rsidR="002F1731">
              <w:t>.</w:t>
            </w:r>
          </w:p>
          <w:p w:rsidR="001B61D3" w:rsidRDefault="001B61D3" w:rsidP="00A65805">
            <w:pPr>
              <w:pStyle w:val="TableTextBullet"/>
            </w:pPr>
            <w:r>
              <w:t xml:space="preserve">Prompts </w:t>
            </w:r>
            <w:r w:rsidR="00B31DEA">
              <w:t>the user to confirm</w:t>
            </w:r>
            <w:r>
              <w:t xml:space="preserve"> the save. </w:t>
            </w:r>
          </w:p>
        </w:tc>
      </w:tr>
      <w:tr w:rsidR="00BE3C21">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BE3C21" w:rsidRDefault="00BE3C21" w:rsidP="004A7373">
            <w:pPr>
              <w:pStyle w:val="TableTextNumbers"/>
            </w:pPr>
            <w:r>
              <w:t>Repeat Steps 3–5 until all minimum reagent levels are set.</w:t>
            </w:r>
          </w:p>
        </w:tc>
        <w:tc>
          <w:tcPr>
            <w:tcW w:w="6120" w:type="dxa"/>
            <w:tcBorders>
              <w:top w:val="single" w:sz="4" w:space="0" w:color="auto"/>
              <w:left w:val="single" w:sz="4" w:space="0" w:color="auto"/>
              <w:bottom w:val="single" w:sz="4" w:space="0" w:color="auto"/>
              <w:right w:val="single" w:sz="4" w:space="0" w:color="auto"/>
            </w:tcBorders>
          </w:tcPr>
          <w:p w:rsidR="00BE3C21" w:rsidRDefault="00BE3C21" w:rsidP="00BE3C21">
            <w:pPr>
              <w:pStyle w:val="TableText"/>
            </w:pPr>
          </w:p>
        </w:tc>
      </w:tr>
      <w:tr w:rsidR="001B61D3">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1B61D3" w:rsidRDefault="001B61D3" w:rsidP="004A7373">
            <w:pPr>
              <w:pStyle w:val="TableTextNumbers"/>
            </w:pPr>
            <w:r>
              <w:t xml:space="preserve">Click </w:t>
            </w:r>
            <w:r>
              <w:rPr>
                <w:b/>
              </w:rPr>
              <w:t>OK</w:t>
            </w:r>
            <w:r>
              <w:t xml:space="preserve"> to save</w:t>
            </w:r>
            <w:r w:rsidR="004A7373">
              <w:t>,</w:t>
            </w:r>
            <w:r w:rsidR="00B31DEA">
              <w:t xml:space="preserve"> and </w:t>
            </w:r>
            <w:r>
              <w:rPr>
                <w:b/>
              </w:rPr>
              <w:t>Yes</w:t>
            </w:r>
            <w:r>
              <w:t xml:space="preserve"> to confirm the save.</w:t>
            </w:r>
            <w:r w:rsidR="005D6F0D">
              <w:rPr>
                <w:vanish/>
                <w:color w:val="FFFFFF"/>
                <w:szCs w:val="18"/>
              </w:rPr>
              <w:t xml:space="preserve"> </w:t>
            </w:r>
            <w:r w:rsidR="005D6F0D">
              <w:rPr>
                <w:vanish/>
                <w:color w:val="FFFFFF"/>
                <w:szCs w:val="18"/>
              </w:rPr>
              <w:fldChar w:fldCharType="begin"/>
            </w:r>
            <w:r w:rsidR="005D6F0D">
              <w:rPr>
                <w:vanish/>
                <w:color w:val="FFFFFF"/>
                <w:szCs w:val="18"/>
              </w:rPr>
              <w:instrText xml:space="preserve"> LISTNUM \l 1 \s 0 </w:instrText>
            </w:r>
            <w:r w:rsidR="005D6F0D">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rsidR="001B61D3" w:rsidRDefault="001B61D3" w:rsidP="00A65805">
            <w:pPr>
              <w:pStyle w:val="TableTextBullet"/>
            </w:pPr>
            <w:r>
              <w:t>Saves the record and exits.</w:t>
            </w:r>
          </w:p>
        </w:tc>
      </w:tr>
    </w:tbl>
    <w:p w:rsidR="00307D76" w:rsidRDefault="00307D76" w:rsidP="00307D76">
      <w:pPr>
        <w:pStyle w:val="Caption"/>
      </w:pPr>
      <w:bookmarkStart w:id="242" w:name="_Ref126550654"/>
      <w:r>
        <w:lastRenderedPageBreak/>
        <w:t xml:space="preserve">Figure </w:t>
      </w:r>
      <w:r w:rsidR="00C17F7C">
        <w:fldChar w:fldCharType="begin"/>
      </w:r>
      <w:r w:rsidR="00C17F7C">
        <w:instrText xml:space="preserve"> SEQ Figure \* ARABIC </w:instrText>
      </w:r>
      <w:r w:rsidR="00C17F7C">
        <w:fldChar w:fldCharType="separate"/>
      </w:r>
      <w:r w:rsidR="005F38BC">
        <w:rPr>
          <w:noProof/>
        </w:rPr>
        <w:t>62</w:t>
      </w:r>
      <w:r w:rsidR="00C17F7C">
        <w:fldChar w:fldCharType="end"/>
      </w:r>
      <w:bookmarkEnd w:id="242"/>
      <w:r>
        <w:t>: Maintain Minimum Reagent Levels</w:t>
      </w:r>
    </w:p>
    <w:p w:rsidR="00771C65" w:rsidRDefault="00634BFC" w:rsidP="00771C65">
      <w:pPr>
        <w:pStyle w:val="BodyText"/>
      </w:pPr>
      <w:r>
        <w:rPr>
          <w:noProof/>
        </w:rPr>
        <w:drawing>
          <wp:inline distT="0" distB="0" distL="0" distR="0">
            <wp:extent cx="3419475" cy="3524250"/>
            <wp:effectExtent l="0" t="0" r="952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419475" cy="3524250"/>
                    </a:xfrm>
                    <a:prstGeom prst="rect">
                      <a:avLst/>
                    </a:prstGeom>
                    <a:noFill/>
                    <a:ln>
                      <a:noFill/>
                    </a:ln>
                  </pic:spPr>
                </pic:pic>
              </a:graphicData>
            </a:graphic>
          </wp:inline>
        </w:drawing>
      </w:r>
    </w:p>
    <w:p w:rsidR="002A21AE" w:rsidRDefault="00864906">
      <w:pPr>
        <w:pStyle w:val="Heading3"/>
      </w:pPr>
      <w:r>
        <w:br w:type="page"/>
      </w:r>
      <w:bookmarkStart w:id="243" w:name="_Toc459900103"/>
      <w:r w:rsidR="00FF225E">
        <w:lastRenderedPageBreak/>
        <w:t>Supplies</w:t>
      </w:r>
      <w:bookmarkEnd w:id="243"/>
      <w:r w:rsidR="002A21AE">
        <w:fldChar w:fldCharType="begin"/>
      </w:r>
      <w:r w:rsidR="002A21AE">
        <w:instrText xml:space="preserve"> XE </w:instrText>
      </w:r>
      <w:r w:rsidR="00FA7E65">
        <w:instrText>“</w:instrText>
      </w:r>
      <w:r w:rsidR="00FF225E">
        <w:instrText>Supplies</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UC_81</w:t>
      </w:r>
    </w:p>
    <w:p w:rsidR="002A21AE" w:rsidRDefault="002A21AE" w:rsidP="00FA7E65">
      <w:pPr>
        <w:pStyle w:val="BodyText"/>
      </w:pPr>
      <w:r>
        <w:t xml:space="preserve">The user documents the receipt of supplies, and updates and views the supply inventory. </w:t>
      </w:r>
    </w:p>
    <w:p w:rsidR="002A21AE" w:rsidRDefault="002A21AE">
      <w:pPr>
        <w:pStyle w:val="Heading4"/>
      </w:pPr>
      <w:r>
        <w:t>Assumptions</w:t>
      </w:r>
      <w:r>
        <w:rPr>
          <w:b w:val="0"/>
        </w:rPr>
        <w:t xml:space="preserve"> </w:t>
      </w:r>
    </w:p>
    <w:p w:rsidR="002A21AE" w:rsidRDefault="002A21AE">
      <w:pPr>
        <w:pStyle w:val="ListBullet"/>
      </w:pPr>
      <w:r>
        <w:rPr>
          <w:rFonts w:ascii="Arial" w:hAnsi="Arial" w:cs="Arial"/>
          <w:vanish/>
          <w:spacing w:val="0"/>
          <w:sz w:val="18"/>
        </w:rPr>
        <w:t xml:space="preserve">BR_81.01 </w:t>
      </w:r>
      <w:r>
        <w:t>A user may maintain supply inventory only in the division logged into.</w:t>
      </w:r>
    </w:p>
    <w:p w:rsidR="002A21AE" w:rsidRDefault="002A21AE">
      <w:pPr>
        <w:pStyle w:val="Heading4"/>
      </w:pPr>
      <w:r>
        <w:t xml:space="preserve">Outcome </w:t>
      </w:r>
    </w:p>
    <w:p w:rsidR="002A21AE" w:rsidRDefault="002A21AE">
      <w:pPr>
        <w:pStyle w:val="ListBullet"/>
      </w:pPr>
      <w:r>
        <w:t>A supply inventory that is accessible only within the division of entry was established.</w:t>
      </w:r>
    </w:p>
    <w:p w:rsidR="002A21AE" w:rsidRDefault="002A21AE">
      <w:pPr>
        <w:pStyle w:val="Heading4"/>
      </w:pPr>
      <w:r>
        <w:t>Limitations and Restrictions</w:t>
      </w:r>
      <w:r>
        <w:rPr>
          <w:b w:val="0"/>
        </w:rPr>
        <w:t xml:space="preserve"> </w:t>
      </w:r>
    </w:p>
    <w:p w:rsidR="002A21AE" w:rsidRDefault="002A21AE">
      <w:pPr>
        <w:pStyle w:val="ListBullet"/>
      </w:pPr>
      <w:r>
        <w:t xml:space="preserve">The division’s modification processes may allow or require the user to select previously entered supplies for association with a blood unit’s modification. An inventory of containers (transfer bags) and sterile </w:t>
      </w:r>
      <w:r w:rsidR="00AD29E0">
        <w:t>connection</w:t>
      </w:r>
      <w:r>
        <w:t xml:space="preserve"> device (SCD) wafers is </w:t>
      </w:r>
      <w:r>
        <w:rPr>
          <w:i/>
        </w:rPr>
        <w:t>required</w:t>
      </w:r>
      <w:r>
        <w:t xml:space="preserve"> for various modification processes. </w:t>
      </w:r>
    </w:p>
    <w:p w:rsidR="002A21AE" w:rsidRDefault="002A21AE">
      <w:pPr>
        <w:pStyle w:val="ListBullet"/>
      </w:pPr>
      <w:r>
        <w:t>There is no retrospective data entry or user selection for th</w:t>
      </w:r>
      <w:r w:rsidR="00932460">
        <w:t>is</w:t>
      </w:r>
      <w:r>
        <w:t xml:space="preserve"> </w:t>
      </w:r>
      <w:r w:rsidR="00932460">
        <w:t>option</w:t>
      </w:r>
      <w:r>
        <w:t>.</w:t>
      </w:r>
    </w:p>
    <w:p w:rsidR="0007472F" w:rsidRDefault="0007472F" w:rsidP="0007472F">
      <w:pPr>
        <w:pStyle w:val="ListBullet"/>
      </w:pPr>
      <w:r>
        <w:t>The unsatisfactory portion of a shipment must be recorded individually.</w:t>
      </w:r>
    </w:p>
    <w:p w:rsidR="00A90872" w:rsidRDefault="007F4949">
      <w:pPr>
        <w:pStyle w:val="ListBullet"/>
      </w:pPr>
      <w:r>
        <w:t>Each site must set a standard for recording quantity: it may</w:t>
      </w:r>
      <w:r w:rsidR="00A90872">
        <w:t xml:space="preserve"> </w:t>
      </w:r>
      <w:r>
        <w:t>use</w:t>
      </w:r>
      <w:r w:rsidR="00A90872">
        <w:t xml:space="preserve"> </w:t>
      </w:r>
      <w:r>
        <w:t xml:space="preserve">the number of </w:t>
      </w:r>
      <w:r w:rsidR="009335DA">
        <w:t>case</w:t>
      </w:r>
      <w:r>
        <w:t>s</w:t>
      </w:r>
      <w:r w:rsidR="00A90872">
        <w:t xml:space="preserve"> or the number of units </w:t>
      </w:r>
      <w:r>
        <w:t>within the cases</w:t>
      </w:r>
      <w:r w:rsidR="00A90872">
        <w:t>.</w:t>
      </w:r>
      <w:r>
        <w:t xml:space="preserve"> </w:t>
      </w:r>
    </w:p>
    <w:p w:rsidR="002A21AE" w:rsidRDefault="002A21AE">
      <w:pPr>
        <w:pStyle w:val="Heading4"/>
      </w:pPr>
      <w:r>
        <w:t xml:space="preserve">Additional Information </w:t>
      </w:r>
    </w:p>
    <w:p w:rsidR="002A21AE" w:rsidRDefault="002A21AE">
      <w:pPr>
        <w:pStyle w:val="ListBullet"/>
      </w:pPr>
      <w:r>
        <w:t xml:space="preserve">Maintaining Blood Bank Equipment (Equipment: Log In Equipment, Equipment: Maintain Equipment) and </w:t>
      </w:r>
      <w:r w:rsidR="005F6016">
        <w:t>Reagents</w:t>
      </w:r>
      <w:r>
        <w:t xml:space="preserve"> (Log In Reagents, Update Inventory, View/Print Inventory</w:t>
      </w:r>
      <w:r w:rsidR="005F6016">
        <w:t>, Maintain Minimum Levels</w:t>
      </w:r>
      <w:r>
        <w:t xml:space="preserve">) accommodate the maintenance of reagents and equipment, respectively. </w:t>
      </w:r>
    </w:p>
    <w:p w:rsidR="002A21AE" w:rsidRDefault="002A21AE">
      <w:pPr>
        <w:pStyle w:val="ListBullet"/>
      </w:pPr>
      <w:r>
        <w:t xml:space="preserve">VBECS saves the lot number, manufacturer name, and expiration date of supplies used in a unit’s modification process as part of a unit’s modification record when associated during the modification transaction. </w:t>
      </w:r>
    </w:p>
    <w:p w:rsidR="002A21AE" w:rsidRDefault="002A21AE">
      <w:pPr>
        <w:pStyle w:val="ListBullet"/>
      </w:pPr>
      <w:r>
        <w:t>VBECS creates a list of manufacturers as they are entered and makes the list available for selection. Users may not edit entries.</w:t>
      </w:r>
    </w:p>
    <w:p w:rsidR="002A21AE" w:rsidRDefault="002A21AE">
      <w:pPr>
        <w:pStyle w:val="Heading4"/>
        <w:rPr>
          <w:b w:val="0"/>
        </w:rPr>
      </w:pPr>
      <w:r>
        <w:t>User Roles with Access to This Option</w:t>
      </w:r>
      <w:r>
        <w:rPr>
          <w:b w:val="0"/>
        </w:rPr>
        <w:t xml:space="preserve"> </w:t>
      </w:r>
    </w:p>
    <w:p w:rsidR="002A21AE" w:rsidRDefault="00BB1B50">
      <w:pPr>
        <w:pStyle w:val="Roles"/>
        <w:rPr>
          <w:snapToGrid w:val="0"/>
        </w:rPr>
      </w:pPr>
      <w:r>
        <w:t>All users</w:t>
      </w:r>
    </w:p>
    <w:p w:rsidR="002A21AE" w:rsidRDefault="002A21AE">
      <w:pPr>
        <w:pStyle w:val="Heading4"/>
      </w:pPr>
      <w:r>
        <w:t>Log in Supplies</w:t>
      </w:r>
      <w:r>
        <w:fldChar w:fldCharType="begin"/>
      </w:r>
      <w:r>
        <w:instrText xml:space="preserve"> XE </w:instrText>
      </w:r>
      <w:r w:rsidR="00FA7E65">
        <w:instrText>“</w:instrText>
      </w:r>
      <w:r>
        <w:instrText>Log in Supplies</w:instrText>
      </w:r>
      <w:r w:rsidR="00FA7E65">
        <w:instrText>”</w:instrText>
      </w:r>
      <w:r>
        <w:instrText xml:space="preserve"> </w:instrText>
      </w:r>
      <w:r>
        <w:fldChar w:fldCharType="end"/>
      </w:r>
      <w:r>
        <w:t xml:space="preserve"> </w:t>
      </w:r>
    </w:p>
    <w:p w:rsidR="002A21AE" w:rsidRDefault="00153A27" w:rsidP="00FA7E65">
      <w:pPr>
        <w:pStyle w:val="BodyText"/>
      </w:pPr>
      <w:r>
        <w:t>The</w:t>
      </w:r>
      <w:r w:rsidR="002A21AE">
        <w:t xml:space="preserve"> user records the receipt of specific supplies by type. The supply record includes the date the shipment was received, supply name, lot number, expiration date, manufacturer, and number of items received in a shipment.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 xml:space="preserve">Select </w:t>
            </w:r>
            <w:r>
              <w:rPr>
                <w:b/>
              </w:rPr>
              <w:t>Tools</w:t>
            </w:r>
            <w:r>
              <w:t xml:space="preserve"> from the main menu.</w:t>
            </w:r>
          </w:p>
          <w:p w:rsidR="002A21AE" w:rsidRDefault="002A21AE">
            <w:pPr>
              <w:pStyle w:val="TableTextNumbersContinued"/>
            </w:pPr>
          </w:p>
          <w:p w:rsidR="002A21AE" w:rsidRDefault="002A21AE">
            <w:pPr>
              <w:pStyle w:val="TableTextNumbersContinued"/>
            </w:pPr>
            <w:r>
              <w:t xml:space="preserve">Select </w:t>
            </w:r>
            <w:r>
              <w:rPr>
                <w:b/>
              </w:rPr>
              <w:t>Supplies</w:t>
            </w:r>
            <w:r>
              <w:t>.</w:t>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Bullet"/>
            </w:pPr>
            <w:r>
              <w:t xml:space="preserve">Displays options for processing administrative functions. </w:t>
            </w:r>
          </w:p>
          <w:p w:rsidR="002A21AE" w:rsidRDefault="002A21AE">
            <w:pPr>
              <w:pStyle w:val="TableTextBullet"/>
            </w:pPr>
            <w:r>
              <w:t>Displays options for processing supplies.</w:t>
            </w:r>
          </w:p>
        </w:tc>
      </w:tr>
      <w:tr w:rsidR="002A21AE">
        <w:tblPrEx>
          <w:tblCellMar>
            <w:top w:w="0" w:type="dxa"/>
            <w:bottom w:w="0" w:type="dxa"/>
          </w:tblCellMar>
        </w:tblPrEx>
        <w:tc>
          <w:tcPr>
            <w:tcW w:w="3240" w:type="dxa"/>
          </w:tcPr>
          <w:p w:rsidR="002A21AE" w:rsidRDefault="002A21AE">
            <w:pPr>
              <w:pStyle w:val="TableTextNumbers"/>
            </w:pPr>
            <w:r>
              <w:t xml:space="preserve">Select </w:t>
            </w:r>
            <w:r>
              <w:rPr>
                <w:b/>
              </w:rPr>
              <w:t>Log In Supplies</w:t>
            </w:r>
            <w:r>
              <w:t>.</w:t>
            </w:r>
          </w:p>
        </w:tc>
        <w:tc>
          <w:tcPr>
            <w:tcW w:w="6120" w:type="dxa"/>
          </w:tcPr>
          <w:p w:rsidR="002A21AE" w:rsidRDefault="002A21AE">
            <w:pPr>
              <w:pStyle w:val="TableTextBullet"/>
            </w:pPr>
            <w:r>
              <w:t>Displays fields for entering invoice and supply information.</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Invoice Information:</w:t>
            </w:r>
          </w:p>
          <w:p w:rsidR="002A21AE" w:rsidRDefault="002A21AE">
            <w:pPr>
              <w:pStyle w:val="TableTextNumbersContinued"/>
              <w:rPr>
                <w:b/>
                <w:bCs/>
              </w:rPr>
            </w:pPr>
          </w:p>
          <w:p w:rsidR="002A21AE" w:rsidRDefault="002A21AE">
            <w:pPr>
              <w:pStyle w:val="TableTextNumbersContinued"/>
            </w:pPr>
            <w:r>
              <w:t>Enter the invoice number in the Invoice Number field.</w:t>
            </w:r>
          </w:p>
          <w:p w:rsidR="002A21AE" w:rsidRDefault="002A21AE">
            <w:pPr>
              <w:pStyle w:val="TableTextNumbersContinued"/>
            </w:pPr>
          </w:p>
          <w:p w:rsidR="002A21AE" w:rsidRDefault="002A21AE">
            <w:pPr>
              <w:pStyle w:val="TableTextNumbersContinued"/>
            </w:pPr>
            <w:r>
              <w:t>Select or edit the date and time in the Date Received field</w:t>
            </w:r>
            <w:r w:rsidR="00FB4E58">
              <w:t>.</w:t>
            </w:r>
          </w:p>
          <w:p w:rsidR="002A21AE" w:rsidRDefault="002A21AE">
            <w:pPr>
              <w:pStyle w:val="TableTextNumbersContinued"/>
            </w:pPr>
          </w:p>
          <w:p w:rsidR="002A21AE" w:rsidRDefault="002A21AE">
            <w:pPr>
              <w:pStyle w:val="TableTextNumbersContinued"/>
            </w:pPr>
            <w:r>
              <w:t>Enter the name of the manufacturer in the Manufacturer field, or select a name from the drop-down list.</w:t>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4611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27" name="Lin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0" o:spid="_x0000_s1026" style="position:absolute;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Ae&#10;RyXEFgIAAC0EAAAOAAAAAAAAAAAAAAAAAC4CAABkcnMvZTJvRG9jLnhtbFBLAQItABQABgAIAAAA&#10;IQAXTzAS2wAAAAgBAAAPAAAAAAAAAAAAAAAAAHAEAABkcnMvZG93bnJldi54bWxQSwUGAAAAAAQA&#10;BADzAAAAeAU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BR_81.10 </w:t>
            </w:r>
            <w:r>
              <w:t xml:space="preserve">More than one technologist at a time may process a large shipment of supplies; only one technologist at a time may process individual supplies in the shipment. </w:t>
            </w:r>
          </w:p>
          <w:p w:rsidR="002A21AE" w:rsidRDefault="002A21AE">
            <w:pPr>
              <w:pStyle w:val="NotesText"/>
            </w:pPr>
          </w:p>
          <w:p w:rsidR="002A21AE" w:rsidRDefault="002A21AE">
            <w:pPr>
              <w:pStyle w:val="NotesText"/>
            </w:pPr>
            <w:r>
              <w:rPr>
                <w:rFonts w:cs="Arial"/>
                <w:vanish/>
              </w:rPr>
              <w:lastRenderedPageBreak/>
              <w:t xml:space="preserve">BR_20.01 </w:t>
            </w:r>
            <w:r>
              <w:t>The default date received is the current date and time. The user may edit it to a past date and time only.</w:t>
            </w:r>
          </w:p>
          <w:p w:rsidR="002A21AE" w:rsidRDefault="002A21AE">
            <w:pPr>
              <w:pStyle w:val="NotesText"/>
            </w:pPr>
          </w:p>
          <w:p w:rsidR="002A21AE" w:rsidRDefault="002A21AE">
            <w:pPr>
              <w:pStyle w:val="NotesText"/>
            </w:pPr>
            <w:r>
              <w:rPr>
                <w:rFonts w:cs="Arial"/>
                <w:vanish/>
              </w:rPr>
              <w:t xml:space="preserve">BR_81.07 </w:t>
            </w:r>
            <w:r>
              <w:t xml:space="preserve">When the supply type and lot number were already entered for this invoice, VBECS </w:t>
            </w:r>
            <w:r>
              <w:rPr>
                <w:noProof/>
              </w:rPr>
              <w:t>warns that the user is</w:t>
            </w:r>
            <w:r>
              <w:t xml:space="preserve"> trying to enter </w:t>
            </w:r>
            <w:r w:rsidR="001017A2">
              <w:t xml:space="preserve">a </w:t>
            </w:r>
            <w:r>
              <w:t xml:space="preserve">supply that was already logged into the system for this invoice. </w:t>
            </w:r>
            <w:r>
              <w:rPr>
                <w:b/>
              </w:rPr>
              <w:t>Yes</w:t>
            </w:r>
            <w:r>
              <w:t xml:space="preserve"> takes the user to the </w:t>
            </w:r>
            <w:r w:rsidR="00FA7E65">
              <w:t>“</w:t>
            </w:r>
            <w:r>
              <w:t>Update Supply Inventory</w:t>
            </w:r>
            <w:r w:rsidR="00FA7E65">
              <w:t>”</w:t>
            </w:r>
            <w:r>
              <w:t xml:space="preserve"> screen where VBECS displays the supply type and lot number for update. </w:t>
            </w:r>
            <w:r>
              <w:rPr>
                <w:b/>
              </w:rPr>
              <w:t>No</w:t>
            </w:r>
            <w:r>
              <w:t xml:space="preserve"> clears all fields on the screen, allowing the user to log in another supply. </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lastRenderedPageBreak/>
              <w:t>Supply Information:</w:t>
            </w:r>
          </w:p>
          <w:p w:rsidR="002A21AE" w:rsidRDefault="002A21AE">
            <w:pPr>
              <w:pStyle w:val="TableTextNumbersContinued"/>
              <w:rPr>
                <w:b/>
                <w:bCs/>
              </w:rPr>
            </w:pPr>
          </w:p>
          <w:p w:rsidR="002A21AE" w:rsidRDefault="002A21AE">
            <w:pPr>
              <w:pStyle w:val="TableTextNumbersContinued"/>
            </w:pPr>
            <w:r>
              <w:t>Enter the name of the manufacturer and supply type in the Manufacturer and Supply Type fields, or select from the drop-down lists.</w:t>
            </w:r>
          </w:p>
          <w:p w:rsidR="002A21AE" w:rsidRDefault="002A21AE">
            <w:pPr>
              <w:pStyle w:val="TableTextNumbersContinued"/>
            </w:pPr>
          </w:p>
          <w:p w:rsidR="002A21AE" w:rsidRDefault="002A21AE">
            <w:pPr>
              <w:pStyle w:val="TableTextNumbersContinued"/>
            </w:pPr>
            <w:r>
              <w:t>Enter the lot number in the Lot Number field.</w:t>
            </w:r>
          </w:p>
          <w:p w:rsidR="002A21AE" w:rsidRDefault="002A21AE">
            <w:pPr>
              <w:pStyle w:val="TableTextNumbersContinued"/>
            </w:pPr>
          </w:p>
          <w:p w:rsidR="002A21AE" w:rsidRDefault="002A21AE">
            <w:pPr>
              <w:pStyle w:val="TableTextNumbersContinued"/>
            </w:pPr>
            <w:r>
              <w:t>Select or edit the date and time in the Lot Expiration Date field.</w:t>
            </w:r>
          </w:p>
          <w:p w:rsidR="002A21AE" w:rsidRDefault="002A21AE">
            <w:pPr>
              <w:pStyle w:val="TableTextNumbersContinued"/>
            </w:pPr>
          </w:p>
          <w:p w:rsidR="002A21AE" w:rsidRDefault="002A21AE">
            <w:pPr>
              <w:pStyle w:val="TableTextNumbersContinued"/>
            </w:pPr>
            <w:r>
              <w:t>Enter (or select) a quantity (1–999) in the Quantity Received field.</w:t>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
              <w:rPr>
                <w:b/>
                <w:bCs/>
                <w:szCs w:val="18"/>
              </w:rPr>
            </w:pPr>
          </w:p>
          <w:p w:rsidR="002A21AE" w:rsidRDefault="00634BFC">
            <w:pPr>
              <w:pStyle w:val="TableText"/>
              <w:rPr>
                <w:b/>
                <w:bCs/>
                <w:szCs w:val="18"/>
              </w:rPr>
            </w:pPr>
            <w:r>
              <w:rPr>
                <w:b/>
                <w:bCs/>
                <w:noProof/>
              </w:rPr>
              <mc:AlternateContent>
                <mc:Choice Requires="wps">
                  <w:drawing>
                    <wp:anchor distT="0" distB="0" distL="114300" distR="114300" simplePos="0" relativeHeight="25154816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26" name="Lin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2" o:spid="_x0000_s1026" style="position:absolute;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9HkFgIAAC0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Br&#10;c9HkFgIAAC0EAAAOAAAAAAAAAAAAAAAAAC4CAABkcnMvZTJvRG9jLnhtbFBLAQItABQABgAIAAAA&#10;IQAXTzAS2wAAAAgBAAAPAAAAAAAAAAAAAAAAAHAEAABkcnMvZG93bnJldi54bWxQSwUGAAAAAAQA&#10;BADzAAAAeAU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t>The default lot expiration date is one minute before midnight (23:59) of the current date.</w:t>
            </w:r>
          </w:p>
          <w:p w:rsidR="002A21AE" w:rsidRDefault="002A21AE">
            <w:pPr>
              <w:pStyle w:val="TableText"/>
            </w:pP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Visual Inspection Information:</w:t>
            </w:r>
          </w:p>
          <w:p w:rsidR="002A21AE" w:rsidRDefault="002A21AE">
            <w:pPr>
              <w:pStyle w:val="TableTextNumbersContinued"/>
              <w:rPr>
                <w:b/>
                <w:bCs/>
              </w:rPr>
            </w:pPr>
          </w:p>
          <w:p w:rsidR="002A21AE" w:rsidRDefault="002A21AE">
            <w:pPr>
              <w:pStyle w:val="TableTextNumbersContinued"/>
            </w:pPr>
            <w:r>
              <w:t xml:space="preserve">Click the </w:t>
            </w:r>
            <w:r>
              <w:rPr>
                <w:b/>
              </w:rPr>
              <w:t xml:space="preserve">Satisfactory </w:t>
            </w:r>
            <w:r w:rsidRPr="00BF2E41">
              <w:t>radio button</w:t>
            </w:r>
            <w:r>
              <w:t xml:space="preserve">, or click the </w:t>
            </w:r>
            <w:r>
              <w:rPr>
                <w:b/>
              </w:rPr>
              <w:t xml:space="preserve">Unsatisfactory </w:t>
            </w:r>
            <w:r w:rsidRPr="00BF2E41">
              <w:t>radio button</w:t>
            </w:r>
            <w:r>
              <w:t xml:space="preserve"> and select a comment from the drop-down list in the Comment field.</w:t>
            </w:r>
          </w:p>
          <w:p w:rsidR="002A21AE" w:rsidRDefault="002A21AE">
            <w:pPr>
              <w:pStyle w:val="TableTextNumbersContinued"/>
            </w:pPr>
          </w:p>
          <w:p w:rsidR="002A21AE" w:rsidRDefault="002A21AE">
            <w:pPr>
              <w:pStyle w:val="TableTextNumbersContinued"/>
            </w:pPr>
            <w:r>
              <w:t xml:space="preserve">Click </w:t>
            </w:r>
            <w:r>
              <w:rPr>
                <w:b/>
              </w:rPr>
              <w:t>Add</w:t>
            </w:r>
            <w:r>
              <w:t xml:space="preserve"> to add the supplies to the inventory list</w:t>
            </w:r>
            <w:r w:rsidR="00FD24BA">
              <w:t xml:space="preserve"> (</w:t>
            </w:r>
            <w:r w:rsidR="00FD24BA">
              <w:fldChar w:fldCharType="begin"/>
            </w:r>
            <w:r w:rsidR="00FD24BA">
              <w:instrText xml:space="preserve"> REF _Ref126551514 \h </w:instrText>
            </w:r>
            <w:r w:rsidR="00FD24BA">
              <w:fldChar w:fldCharType="separate"/>
            </w:r>
            <w:r w:rsidR="005F38BC">
              <w:t xml:space="preserve">Figure </w:t>
            </w:r>
            <w:r w:rsidR="005F38BC">
              <w:rPr>
                <w:noProof/>
              </w:rPr>
              <w:t>63</w:t>
            </w:r>
            <w:r w:rsidR="00FD24BA">
              <w:fldChar w:fldCharType="end"/>
            </w:r>
            <w:r w:rsidR="00FD24BA">
              <w:t>)</w:t>
            </w:r>
            <w:r>
              <w:t>.</w:t>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
              <w:rPr>
                <w:b/>
                <w:bCs/>
                <w:szCs w:val="18"/>
              </w:rPr>
            </w:pPr>
          </w:p>
          <w:p w:rsidR="002A21AE" w:rsidRDefault="00634BFC">
            <w:pPr>
              <w:pStyle w:val="TableText"/>
              <w:rPr>
                <w:b/>
                <w:bCs/>
                <w:szCs w:val="18"/>
              </w:rPr>
            </w:pPr>
            <w:r>
              <w:rPr>
                <w:b/>
                <w:bCs/>
                <w:noProof/>
              </w:rPr>
              <mc:AlternateContent>
                <mc:Choice Requires="wps">
                  <w:drawing>
                    <wp:anchor distT="0" distB="0" distL="114300" distR="114300" simplePos="0" relativeHeight="25154713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25" name="Line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1" o:spid="_x0000_s1026" style="position:absolute;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i0FwIAAC0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t xml:space="preserve">Satisfactory inventory is available for later selection, unsatisfactory inventory </w:t>
            </w:r>
            <w:r w:rsidR="001017A2">
              <w:t xml:space="preserve">is </w:t>
            </w:r>
            <w:r>
              <w:t>not.</w:t>
            </w:r>
          </w:p>
          <w:p w:rsidR="002A21AE" w:rsidRDefault="002A21AE">
            <w:pPr>
              <w:pStyle w:val="NotesText"/>
            </w:pPr>
          </w:p>
          <w:p w:rsidR="002A21AE" w:rsidRDefault="002A21AE">
            <w:pPr>
              <w:pStyle w:val="NotesText"/>
            </w:pPr>
            <w:r>
              <w:t>When a user selects Other from the drop-down list in the Comment field, entry of additional text in the Details field is required.</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Repeat Steps 3–5 to log in more supplies, as desired.</w:t>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
              <w:rPr>
                <w:b/>
                <w:bCs/>
                <w:szCs w:val="18"/>
              </w:rPr>
            </w:pPr>
          </w:p>
          <w:p w:rsidR="002A21AE" w:rsidRDefault="00634BFC">
            <w:pPr>
              <w:pStyle w:val="TableText"/>
              <w:rPr>
                <w:b/>
                <w:bCs/>
                <w:szCs w:val="18"/>
              </w:rPr>
            </w:pPr>
            <w:r>
              <w:rPr>
                <w:b/>
                <w:bCs/>
                <w:noProof/>
              </w:rPr>
              <mc:AlternateContent>
                <mc:Choice Requires="wps">
                  <w:drawing>
                    <wp:anchor distT="0" distB="0" distL="114300" distR="114300" simplePos="0" relativeHeight="25154918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24" name="Lin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3" o:spid="_x0000_s1026" style="position:absolute;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yUFg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Av&#10;XOyUFgIAAC0EAAAOAAAAAAAAAAAAAAAAAC4CAABkcnMvZTJvRG9jLnhtbFBLAQItABQABgAIAAAA&#10;IQAXTzAS2wAAAAgBAAAPAAAAAAAAAAAAAAAAAHAEAABkcnMvZG93bnJldi54bWxQSwUGAAAAAAQA&#10;BADzAAAAeAU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BR_81.03 </w:t>
            </w:r>
            <w:r>
              <w:t xml:space="preserve">Click </w:t>
            </w:r>
            <w:r>
              <w:rPr>
                <w:b/>
              </w:rPr>
              <w:t>Clear</w:t>
            </w:r>
            <w:r>
              <w:t xml:space="preserve"> to clear all but the Invoice Number, Date Received, Manufacturer, and Lot Expiration Date fields.</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 xml:space="preserve">Click </w:t>
            </w:r>
            <w:r>
              <w:rPr>
                <w:b/>
              </w:rPr>
              <w:t>OK</w:t>
            </w:r>
            <w:r>
              <w:t xml:space="preserve"> to save.</w:t>
            </w:r>
          </w:p>
          <w:p w:rsidR="002A21AE" w:rsidRDefault="002A21AE">
            <w:pPr>
              <w:pStyle w:val="TableTextNumbersContinued"/>
              <w:rPr>
                <w:b/>
                <w:bCs/>
              </w:rPr>
            </w:pPr>
          </w:p>
          <w:p w:rsidR="002A21AE" w:rsidRDefault="002A21AE">
            <w:pPr>
              <w:pStyle w:val="TableTextNumbersContinued"/>
              <w:rPr>
                <w:b/>
                <w:bCs/>
              </w:rPr>
            </w:pPr>
            <w:r>
              <w:rPr>
                <w:bCs/>
              </w:rPr>
              <w:t>Clic</w:t>
            </w:r>
            <w:r>
              <w:t xml:space="preserve">k </w:t>
            </w:r>
            <w:r>
              <w:rPr>
                <w:b/>
              </w:rPr>
              <w:t>Yes</w:t>
            </w:r>
            <w:r>
              <w:t xml:space="preserve"> to confirm the save and exit</w:t>
            </w:r>
            <w:r>
              <w:rPr>
                <w:bCs/>
              </w:rPr>
              <w:t>.</w:t>
            </w:r>
            <w:r>
              <w:rPr>
                <w:b/>
                <w:bCs/>
              </w:rPr>
              <w:t xml:space="preserve">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Bullet"/>
            </w:pPr>
            <w:r>
              <w:t>Requests confirmation to update the database.</w:t>
            </w:r>
          </w:p>
        </w:tc>
      </w:tr>
    </w:tbl>
    <w:p w:rsidR="00FD24BA" w:rsidRDefault="00FD24BA" w:rsidP="00FD24BA">
      <w:pPr>
        <w:pStyle w:val="Caption"/>
      </w:pPr>
      <w:bookmarkStart w:id="244" w:name="_Ref126551514"/>
      <w:r>
        <w:lastRenderedPageBreak/>
        <w:t xml:space="preserve">Figure </w:t>
      </w:r>
      <w:r w:rsidR="00C17F7C">
        <w:fldChar w:fldCharType="begin"/>
      </w:r>
      <w:r w:rsidR="00C17F7C">
        <w:instrText xml:space="preserve"> SEQ Figure \* ARABIC </w:instrText>
      </w:r>
      <w:r w:rsidR="00C17F7C">
        <w:fldChar w:fldCharType="separate"/>
      </w:r>
      <w:r w:rsidR="005F38BC">
        <w:rPr>
          <w:noProof/>
        </w:rPr>
        <w:t>63</w:t>
      </w:r>
      <w:r w:rsidR="00C17F7C">
        <w:fldChar w:fldCharType="end"/>
      </w:r>
      <w:bookmarkEnd w:id="244"/>
      <w:r>
        <w:t>: Log In Supplies</w:t>
      </w:r>
    </w:p>
    <w:p w:rsidR="00FD24BA" w:rsidRDefault="00634BFC" w:rsidP="00FD24BA">
      <w:pPr>
        <w:pStyle w:val="BodyText"/>
      </w:pPr>
      <w:r>
        <w:rPr>
          <w:noProof/>
        </w:rPr>
        <w:drawing>
          <wp:inline distT="0" distB="0" distL="0" distR="0">
            <wp:extent cx="5143500" cy="344805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143500" cy="3448050"/>
                    </a:xfrm>
                    <a:prstGeom prst="rect">
                      <a:avLst/>
                    </a:prstGeom>
                    <a:noFill/>
                    <a:ln>
                      <a:noFill/>
                    </a:ln>
                  </pic:spPr>
                </pic:pic>
              </a:graphicData>
            </a:graphic>
          </wp:inline>
        </w:drawing>
      </w:r>
    </w:p>
    <w:p w:rsidR="002A21AE" w:rsidRDefault="002A21AE">
      <w:pPr>
        <w:pStyle w:val="Heading4"/>
      </w:pPr>
      <w:r>
        <w:t>Update Supply Inventory</w:t>
      </w:r>
      <w:r>
        <w:fldChar w:fldCharType="begin"/>
      </w:r>
      <w:r>
        <w:instrText xml:space="preserve"> XE </w:instrText>
      </w:r>
      <w:r w:rsidR="00FA7E65">
        <w:instrText>“</w:instrText>
      </w:r>
      <w:r>
        <w:instrText>Update Supply Inventory</w:instrText>
      </w:r>
      <w:r w:rsidR="00FA7E65">
        <w:instrText>”</w:instrText>
      </w:r>
      <w:r>
        <w:instrText xml:space="preserve"> </w:instrText>
      </w:r>
      <w:r>
        <w:fldChar w:fldCharType="end"/>
      </w:r>
      <w:r>
        <w:t xml:space="preserve"> </w:t>
      </w:r>
    </w:p>
    <w:p w:rsidR="002A21AE" w:rsidRDefault="00153A27" w:rsidP="00FA7E65">
      <w:pPr>
        <w:pStyle w:val="BodyText"/>
      </w:pPr>
      <w:r>
        <w:t>The</w:t>
      </w:r>
      <w:r w:rsidR="002A21AE">
        <w:t xml:space="preserve"> user change</w:t>
      </w:r>
      <w:r w:rsidR="00CE6B22">
        <w:t>s</w:t>
      </w:r>
      <w:r w:rsidR="002A21AE">
        <w:t xml:space="preserve"> the number of available items in the supply inventory.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 xml:space="preserve">Select </w:t>
            </w:r>
            <w:r>
              <w:rPr>
                <w:b/>
              </w:rPr>
              <w:t>Tools</w:t>
            </w:r>
            <w:r>
              <w:t xml:space="preserve"> from the main menu.</w:t>
            </w:r>
          </w:p>
          <w:p w:rsidR="002A21AE" w:rsidRDefault="002A21AE">
            <w:pPr>
              <w:pStyle w:val="TableTextNumbersContinued"/>
            </w:pPr>
          </w:p>
          <w:p w:rsidR="002A21AE" w:rsidRDefault="002A21AE">
            <w:pPr>
              <w:pStyle w:val="TableTextNumbersContinued"/>
            </w:pPr>
            <w:r>
              <w:t xml:space="preserve">Select </w:t>
            </w:r>
            <w:r>
              <w:rPr>
                <w:b/>
              </w:rPr>
              <w:t>Supplies</w:t>
            </w:r>
            <w:r>
              <w:t>.</w:t>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Bullet"/>
            </w:pPr>
            <w:r>
              <w:t xml:space="preserve">Displays options for processing administrative functions. </w:t>
            </w:r>
          </w:p>
          <w:p w:rsidR="002A21AE" w:rsidRDefault="002A21AE">
            <w:pPr>
              <w:pStyle w:val="TableTextBullet"/>
            </w:pPr>
            <w:r>
              <w:t>Displays options for processing supplies.</w:t>
            </w:r>
          </w:p>
        </w:tc>
      </w:tr>
      <w:tr w:rsidR="002A21AE">
        <w:tblPrEx>
          <w:tblCellMar>
            <w:top w:w="0" w:type="dxa"/>
            <w:bottom w:w="0" w:type="dxa"/>
          </w:tblCellMar>
        </w:tblPrEx>
        <w:tc>
          <w:tcPr>
            <w:tcW w:w="3240" w:type="dxa"/>
          </w:tcPr>
          <w:p w:rsidR="002A21AE" w:rsidRDefault="002A21AE">
            <w:pPr>
              <w:pStyle w:val="TableTextNumbers"/>
            </w:pPr>
            <w:r>
              <w:t xml:space="preserve">Select </w:t>
            </w:r>
            <w:r>
              <w:rPr>
                <w:b/>
              </w:rPr>
              <w:t>Update Supply Inventory</w:t>
            </w:r>
            <w:r>
              <w:t>.</w:t>
            </w:r>
          </w:p>
          <w:p w:rsidR="002A21AE" w:rsidRDefault="002A21AE">
            <w:pPr>
              <w:pStyle w:val="TableTextNumbersContinued"/>
            </w:pPr>
          </w:p>
          <w:p w:rsidR="002A21AE" w:rsidRDefault="002A21AE">
            <w:pPr>
              <w:pStyle w:val="TableTextNumbersContinued"/>
            </w:pPr>
            <w:r>
              <w:rPr>
                <w:rFonts w:cs="Arial"/>
                <w:vanish/>
              </w:rPr>
              <w:t xml:space="preserve">BR_81.12 </w:t>
            </w:r>
            <w:r>
              <w:t xml:space="preserve">Click the </w:t>
            </w:r>
            <w:r>
              <w:rPr>
                <w:b/>
              </w:rPr>
              <w:t xml:space="preserve">Include Expired Supplies </w:t>
            </w:r>
            <w:r w:rsidRPr="00D1100E">
              <w:t>check box</w:t>
            </w:r>
            <w:r>
              <w:t xml:space="preserve"> to include expired supplies in the list.</w:t>
            </w:r>
          </w:p>
        </w:tc>
        <w:tc>
          <w:tcPr>
            <w:tcW w:w="6120" w:type="dxa"/>
          </w:tcPr>
          <w:p w:rsidR="002A21AE" w:rsidRDefault="002A21AE">
            <w:pPr>
              <w:pStyle w:val="TableTextBullet"/>
            </w:pPr>
            <w:r>
              <w:t>Lists existing satisfactory supplies by default.</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Select a supply to edit.</w:t>
            </w:r>
          </w:p>
          <w:p w:rsidR="002A21AE" w:rsidRDefault="002A21AE">
            <w:pPr>
              <w:pStyle w:val="TableTextNumbersContinued"/>
            </w:pPr>
          </w:p>
          <w:p w:rsidR="002A21AE" w:rsidRDefault="002A21AE">
            <w:pPr>
              <w:pStyle w:val="TableTextNumbersContinued"/>
            </w:pPr>
            <w:r>
              <w:t xml:space="preserve">To view supplies with a specific lot number, enter the lot number in the Lot # field and click the </w:t>
            </w:r>
            <w:r>
              <w:rPr>
                <w:b/>
              </w:rPr>
              <w:t>magnifying glass</w:t>
            </w:r>
            <w:r>
              <w:t>.</w:t>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5123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23" name="Lin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5" o:spid="_x0000_s1026" style="position:absolute;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jRFg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D+&#10;3sjRFgIAAC0EAAAOAAAAAAAAAAAAAAAAAC4CAABkcnMvZTJvRG9jLnhtbFBLAQItABQABgAIAAAA&#10;IQAXTzAS2wAAAAgBAAAPAAAAAAAAAAAAAAAAAHAEAABkcnMvZG93bnJldi54bWxQSwUGAAAAAAQA&#10;BADzAAAAeAU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t>Click a supply type to reveal manufacturer supply names. Click a manufacturer supply name to reveal lot numbers.</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Click a lot number to enable the Quantity Available field.</w:t>
            </w:r>
          </w:p>
          <w:p w:rsidR="002A21AE" w:rsidRDefault="002A21AE">
            <w:pPr>
              <w:pStyle w:val="TableTextNumbersContinued"/>
            </w:pPr>
          </w:p>
          <w:p w:rsidR="002A21AE" w:rsidRDefault="002A21AE">
            <w:pPr>
              <w:pStyle w:val="TableTextNumbersContinued"/>
            </w:pPr>
            <w:r>
              <w:t>Enter (or select) a quantity that is less than or equal to the current entry in the Quantity Available field.</w:t>
            </w:r>
          </w:p>
          <w:p w:rsidR="002A21AE" w:rsidRDefault="002A21AE">
            <w:pPr>
              <w:pStyle w:val="TableTextNumbersContinued"/>
            </w:pPr>
          </w:p>
          <w:p w:rsidR="002A21AE" w:rsidRDefault="002A21AE">
            <w:pPr>
              <w:pStyle w:val="TableTextNumbersContinued"/>
            </w:pPr>
            <w:r>
              <w:t>Select or edit the date and time in the Date Changed field</w:t>
            </w:r>
            <w:r w:rsidR="001556AE">
              <w:t xml:space="preserve"> (</w:t>
            </w:r>
            <w:r w:rsidR="001556AE">
              <w:fldChar w:fldCharType="begin"/>
            </w:r>
            <w:r w:rsidR="001556AE">
              <w:instrText xml:space="preserve"> REF _Ref126552250 \h </w:instrText>
            </w:r>
            <w:r w:rsidR="001556AE">
              <w:fldChar w:fldCharType="separate"/>
            </w:r>
            <w:r w:rsidR="005F38BC">
              <w:t xml:space="preserve">Figure </w:t>
            </w:r>
            <w:r w:rsidR="005F38BC">
              <w:rPr>
                <w:noProof/>
              </w:rPr>
              <w:t>64</w:t>
            </w:r>
            <w:r w:rsidR="001556AE">
              <w:fldChar w:fldCharType="end"/>
            </w:r>
            <w:r w:rsidR="001556AE">
              <w:t>)</w:t>
            </w:r>
            <w:r>
              <w:t>.</w:t>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5020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22" name="Lin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4" o:spid="_x0000_s1026" style="position:absolute;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l9XFQIAAC0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C4q&#10;X1c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t>The default change date is the current date and time. The user may edit it to a past date and time only.</w:t>
            </w:r>
          </w:p>
          <w:p w:rsidR="002A21AE" w:rsidRDefault="002A21AE">
            <w:pPr>
              <w:pStyle w:val="NotesText"/>
            </w:pPr>
          </w:p>
          <w:p w:rsidR="002A21AE" w:rsidRDefault="002A21AE">
            <w:pPr>
              <w:pStyle w:val="NotesText"/>
            </w:pPr>
            <w:r>
              <w:t>When a user selects Other from the drop-down list in the Reason for Change field, he may enter additional text in the Comments field.</w:t>
            </w:r>
          </w:p>
          <w:p w:rsidR="002A21AE" w:rsidRDefault="002A21AE">
            <w:pPr>
              <w:pStyle w:val="NotesText"/>
            </w:pP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lastRenderedPageBreak/>
              <w:t>Repeat Steps 3 and 4 to edit more supplies, as desired.</w:t>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
            </w:pP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 xml:space="preserve">Click </w:t>
            </w:r>
            <w:r>
              <w:rPr>
                <w:b/>
              </w:rPr>
              <w:t>OK</w:t>
            </w:r>
            <w:r>
              <w:t xml:space="preserve"> to save.</w:t>
            </w:r>
          </w:p>
          <w:p w:rsidR="002A21AE" w:rsidRDefault="002A21AE">
            <w:pPr>
              <w:pStyle w:val="TableTextNumbersContinued"/>
            </w:pPr>
          </w:p>
          <w:p w:rsidR="002A21AE" w:rsidRDefault="002A21AE">
            <w:pPr>
              <w:pStyle w:val="TableTextNumbersContinued"/>
            </w:pPr>
            <w:r>
              <w:t xml:space="preserve">Click </w:t>
            </w:r>
            <w:r>
              <w:rPr>
                <w:b/>
              </w:rPr>
              <w:t>Yes</w:t>
            </w:r>
            <w:r>
              <w:t xml:space="preserve"> to confirm the save and view the updated list.</w:t>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
            </w:pP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 xml:space="preserve">Click </w:t>
            </w:r>
            <w:r>
              <w:rPr>
                <w:b/>
              </w:rPr>
              <w:t>Print Supply Inventory</w:t>
            </w:r>
            <w:r>
              <w:t xml:space="preserve"> to print the list of supplies.</w:t>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Bullet"/>
            </w:pPr>
            <w:r>
              <w:t>Displays the Supply Inventory window (see View/Print Supply Inventory).</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 xml:space="preserve">Click </w:t>
            </w:r>
            <w:r>
              <w:rPr>
                <w:b/>
              </w:rPr>
              <w:t>Cancel</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NotesText"/>
              <w:ind w:left="0"/>
            </w:pPr>
          </w:p>
        </w:tc>
      </w:tr>
    </w:tbl>
    <w:p w:rsidR="001556AE" w:rsidRDefault="001556AE" w:rsidP="001556AE">
      <w:pPr>
        <w:pStyle w:val="Caption"/>
      </w:pPr>
      <w:bookmarkStart w:id="245" w:name="_Ref126552250"/>
      <w:r>
        <w:t xml:space="preserve">Figure </w:t>
      </w:r>
      <w:r w:rsidR="00C17F7C">
        <w:fldChar w:fldCharType="begin"/>
      </w:r>
      <w:r w:rsidR="00C17F7C">
        <w:instrText xml:space="preserve"> SEQ Figure \* ARABIC </w:instrText>
      </w:r>
      <w:r w:rsidR="00C17F7C">
        <w:fldChar w:fldCharType="separate"/>
      </w:r>
      <w:r w:rsidR="005F38BC">
        <w:rPr>
          <w:noProof/>
        </w:rPr>
        <w:t>64</w:t>
      </w:r>
      <w:r w:rsidR="00C17F7C">
        <w:fldChar w:fldCharType="end"/>
      </w:r>
      <w:bookmarkEnd w:id="245"/>
      <w:r>
        <w:t>: Update Supplies</w:t>
      </w:r>
    </w:p>
    <w:p w:rsidR="001556AE" w:rsidRDefault="00634BFC" w:rsidP="001556AE">
      <w:pPr>
        <w:pStyle w:val="BodyText"/>
      </w:pPr>
      <w:r>
        <w:rPr>
          <w:noProof/>
        </w:rPr>
        <w:drawing>
          <wp:inline distT="0" distB="0" distL="0" distR="0">
            <wp:extent cx="5143500" cy="38862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143500" cy="3886200"/>
                    </a:xfrm>
                    <a:prstGeom prst="rect">
                      <a:avLst/>
                    </a:prstGeom>
                    <a:noFill/>
                    <a:ln>
                      <a:noFill/>
                    </a:ln>
                  </pic:spPr>
                </pic:pic>
              </a:graphicData>
            </a:graphic>
          </wp:inline>
        </w:drawing>
      </w:r>
    </w:p>
    <w:p w:rsidR="002A21AE" w:rsidRDefault="002A21AE">
      <w:pPr>
        <w:pStyle w:val="Heading4"/>
      </w:pPr>
      <w:r>
        <w:t>View/Print Supply Inventory</w:t>
      </w:r>
      <w:r>
        <w:fldChar w:fldCharType="begin"/>
      </w:r>
      <w:r>
        <w:instrText xml:space="preserve"> XE </w:instrText>
      </w:r>
      <w:r w:rsidR="00FA7E65">
        <w:instrText>“</w:instrText>
      </w:r>
      <w:r>
        <w:instrText>View/Print Supply Inventory</w:instrText>
      </w:r>
      <w:r w:rsidR="00FA7E65">
        <w:instrText>”</w:instrText>
      </w:r>
      <w:r>
        <w:instrText xml:space="preserve"> </w:instrText>
      </w:r>
      <w:r>
        <w:fldChar w:fldCharType="end"/>
      </w:r>
      <w:r>
        <w:t xml:space="preserve"> </w:t>
      </w:r>
    </w:p>
    <w:p w:rsidR="002A21AE" w:rsidRDefault="00153A27" w:rsidP="00FA7E65">
      <w:pPr>
        <w:pStyle w:val="BodyText"/>
      </w:pPr>
      <w:r>
        <w:t>The</w:t>
      </w:r>
      <w:r w:rsidR="002A21AE">
        <w:t xml:space="preserve"> user view</w:t>
      </w:r>
      <w:r w:rsidR="00A91655">
        <w:t>s</w:t>
      </w:r>
      <w:r w:rsidR="002A21AE">
        <w:t xml:space="preserve"> inventory online based on various search criteria and print</w:t>
      </w:r>
      <w:r w:rsidR="00A91655">
        <w:t>s</w:t>
      </w:r>
      <w:r w:rsidR="002A21AE">
        <w:t xml:space="preserve"> the search results.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FFFFFF"/>
            <w:vAlign w:val="bottom"/>
          </w:tcPr>
          <w:p w:rsidR="002A21AE" w:rsidRDefault="002A21AE">
            <w:pPr>
              <w:pStyle w:val="TableText"/>
              <w:rPr>
                <w:b/>
              </w:rPr>
            </w:pPr>
            <w:bookmarkStart w:id="246" w:name="_Toc73176862"/>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 xml:space="preserve">Select </w:t>
            </w:r>
            <w:r>
              <w:rPr>
                <w:b/>
              </w:rPr>
              <w:t>Tools</w:t>
            </w:r>
            <w:r>
              <w:t xml:space="preserve"> from the main menu.</w:t>
            </w:r>
          </w:p>
          <w:p w:rsidR="002A21AE" w:rsidRDefault="002A21AE">
            <w:pPr>
              <w:pStyle w:val="TableTextNumbersContinued"/>
            </w:pPr>
          </w:p>
          <w:p w:rsidR="002A21AE" w:rsidRDefault="002A21AE">
            <w:pPr>
              <w:pStyle w:val="TableTextNumbersContinued"/>
            </w:pPr>
            <w:r>
              <w:t xml:space="preserve">Select </w:t>
            </w:r>
            <w:r>
              <w:rPr>
                <w:b/>
              </w:rPr>
              <w:t>Supplies</w:t>
            </w:r>
            <w:r>
              <w:t>.</w:t>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Bullet"/>
            </w:pPr>
            <w:r>
              <w:t xml:space="preserve">Displays options for processing administrative functions. </w:t>
            </w:r>
          </w:p>
          <w:p w:rsidR="002A21AE" w:rsidRDefault="002A21AE">
            <w:pPr>
              <w:pStyle w:val="TableTextBullet"/>
            </w:pPr>
            <w:r>
              <w:t>Displays options for processing supplies.</w:t>
            </w:r>
          </w:p>
        </w:tc>
      </w:tr>
      <w:tr w:rsidR="002A21AE">
        <w:tblPrEx>
          <w:tblCellMar>
            <w:top w:w="0" w:type="dxa"/>
            <w:bottom w:w="0" w:type="dxa"/>
          </w:tblCellMar>
        </w:tblPrEx>
        <w:tc>
          <w:tcPr>
            <w:tcW w:w="3240" w:type="dxa"/>
          </w:tcPr>
          <w:p w:rsidR="002A21AE" w:rsidRDefault="002A21AE">
            <w:pPr>
              <w:pStyle w:val="TableTextNumbers"/>
            </w:pPr>
            <w:r>
              <w:t xml:space="preserve">Select </w:t>
            </w:r>
            <w:r>
              <w:rPr>
                <w:b/>
              </w:rPr>
              <w:t>View/Print Supply Inventory</w:t>
            </w:r>
            <w:r>
              <w:t>.</w:t>
            </w:r>
          </w:p>
        </w:tc>
        <w:tc>
          <w:tcPr>
            <w:tcW w:w="6120" w:type="dxa"/>
          </w:tcPr>
          <w:p w:rsidR="002A21AE" w:rsidRDefault="002A21AE">
            <w:pPr>
              <w:pStyle w:val="TableTextBullet"/>
            </w:pPr>
            <w:r>
              <w:t>Lists supply types.</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Click one or more check boxes in the Supply Type list to select supply types.</w:t>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Bullet"/>
            </w:pPr>
            <w:r>
              <w:t>Displays or allows</w:t>
            </w:r>
            <w:r w:rsidR="006B2239">
              <w:t xml:space="preserve"> the</w:t>
            </w:r>
            <w:r>
              <w:t xml:space="preserve"> user to print a report of all current in-date, expired, and unsatisfactory supply inventory and minimum stock levels as a read-only display based on the selection criteria entered:</w:t>
            </w:r>
          </w:p>
          <w:p w:rsidR="002A21AE" w:rsidRDefault="002A21AE">
            <w:pPr>
              <w:pStyle w:val="TableTextBullet1"/>
            </w:pPr>
            <w:r>
              <w:t>Date range (</w:t>
            </w:r>
            <w:r w:rsidR="006B2239">
              <w:t xml:space="preserve">the </w:t>
            </w:r>
            <w:r>
              <w:t>user enter</w:t>
            </w:r>
            <w:r w:rsidR="006B2239">
              <w:t>s</w:t>
            </w:r>
            <w:r>
              <w:t xml:space="preserve"> a date to begin and end the search)</w:t>
            </w:r>
          </w:p>
          <w:p w:rsidR="002A21AE" w:rsidRDefault="002A21AE">
            <w:pPr>
              <w:pStyle w:val="TableTextBullet1"/>
            </w:pPr>
            <w:r>
              <w:t>Supply type</w:t>
            </w:r>
          </w:p>
          <w:p w:rsidR="002A21AE" w:rsidRDefault="002A21AE">
            <w:pPr>
              <w:pStyle w:val="TableTextBullet1"/>
            </w:pPr>
            <w:r>
              <w:t>In-date (active) Supplies</w:t>
            </w:r>
          </w:p>
          <w:p w:rsidR="002A21AE" w:rsidRDefault="002A21AE">
            <w:pPr>
              <w:pStyle w:val="TableTextBullet1"/>
            </w:pPr>
            <w:r>
              <w:lastRenderedPageBreak/>
              <w:t>Expired (inactive) Supplies</w:t>
            </w:r>
          </w:p>
          <w:p w:rsidR="002A21AE" w:rsidRDefault="002A21AE">
            <w:pPr>
              <w:pStyle w:val="TableTextBullet1"/>
            </w:pPr>
            <w:r>
              <w:t>Expiration date of the supply</w:t>
            </w:r>
          </w:p>
          <w:p w:rsidR="002A21AE" w:rsidRDefault="002A21AE">
            <w:pPr>
              <w:pStyle w:val="TableTextBullet1"/>
            </w:pPr>
            <w:r>
              <w:t>Date received</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5225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21" name="Lin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7" o:spid="_x0000_s1026" style="position:absolute;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ZYHFQIAAC0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B8x&#10;lgc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rPr>
                <w:vanish/>
                <w:szCs w:val="18"/>
              </w:rPr>
            </w:pPr>
            <w:r>
              <w:rPr>
                <w:rFonts w:cs="Arial"/>
                <w:vanish/>
              </w:rPr>
              <w:t xml:space="preserve">BR_81.08 </w:t>
            </w:r>
            <w:r>
              <w:t>A user may view the supply inventory by one, some, or all of the selection criteria.</w:t>
            </w:r>
          </w:p>
          <w:p w:rsidR="002A21AE" w:rsidRDefault="002A21AE">
            <w:pPr>
              <w:pStyle w:val="NotesText"/>
              <w:rPr>
                <w:vanish/>
                <w:szCs w:val="18"/>
              </w:rPr>
            </w:pPr>
          </w:p>
          <w:p w:rsidR="002A21AE" w:rsidRDefault="002A21AE">
            <w:pPr>
              <w:pStyle w:val="NotesText"/>
            </w:pPr>
            <w:r>
              <w:rPr>
                <w:vanish/>
                <w:szCs w:val="18"/>
              </w:rPr>
              <w:t>PT_81.01 Supply Types</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165119">
            <w:pPr>
              <w:pStyle w:val="TableTextNumbers"/>
            </w:pPr>
            <w:r>
              <w:lastRenderedPageBreak/>
              <w:t xml:space="preserve">Click </w:t>
            </w:r>
            <w:r w:rsidRPr="00165119">
              <w:rPr>
                <w:b/>
              </w:rPr>
              <w:t>OK</w:t>
            </w:r>
            <w:r>
              <w:t xml:space="preserve"> to a</w:t>
            </w:r>
            <w:r w:rsidR="002A21AE">
              <w:t>ccept the displayed selection criteria.</w:t>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Bullet"/>
            </w:pPr>
            <w:r>
              <w:t>Compiles the report and displays an option to print or exit the report.</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 xml:space="preserve">Click </w:t>
            </w:r>
            <w:r>
              <w:rPr>
                <w:b/>
              </w:rPr>
              <w:t>Print Supply Inventory</w:t>
            </w:r>
            <w:r>
              <w:t xml:space="preserve"> to print the list of supplies.</w:t>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Bullet"/>
            </w:pPr>
            <w:r>
              <w:t>Sends the report to print on the printer selected by the user.</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5328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20"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8" o:spid="_x0000_s1026" style="position:absolute;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xFQ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F5N&#10;X7E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BR_81.09 </w:t>
            </w:r>
            <w:r>
              <w:t>VBECS displays and prints the report in the supply type order</w:t>
            </w:r>
            <w:r w:rsidR="00F85F11">
              <w:t xml:space="preserve"> </w:t>
            </w:r>
            <w:r>
              <w:rPr>
                <w:vanish/>
                <w:szCs w:val="18"/>
              </w:rPr>
              <w:t>(as defined in PT_81.01)</w:t>
            </w:r>
            <w:r>
              <w:t>: in-date by lot number in reverse chronological order of expiration date, followed by expired and unsatisfactory supplies. Details included in the report:</w:t>
            </w:r>
          </w:p>
          <w:p w:rsidR="002A21AE" w:rsidRDefault="002A21AE">
            <w:pPr>
              <w:pStyle w:val="NotesTextBullet"/>
            </w:pPr>
            <w:r>
              <w:t xml:space="preserve">Supply Type (Unit of Measure) </w:t>
            </w:r>
          </w:p>
          <w:p w:rsidR="002A21AE" w:rsidRDefault="002A21AE">
            <w:pPr>
              <w:pStyle w:val="NotesTextBullet"/>
            </w:pPr>
            <w:r>
              <w:t>Manufacturer</w:t>
            </w:r>
          </w:p>
          <w:p w:rsidR="002A21AE" w:rsidRDefault="002A21AE">
            <w:pPr>
              <w:pStyle w:val="NotesTextBullet"/>
            </w:pPr>
            <w:r>
              <w:t>Manufacturer’s Supply Name</w:t>
            </w:r>
          </w:p>
          <w:p w:rsidR="002A21AE" w:rsidRDefault="002A21AE">
            <w:pPr>
              <w:pStyle w:val="NotesTextBullet"/>
            </w:pPr>
            <w:r>
              <w:t>Lot Number</w:t>
            </w:r>
          </w:p>
          <w:p w:rsidR="002A21AE" w:rsidRDefault="002A21AE">
            <w:pPr>
              <w:pStyle w:val="NotesTextBullet"/>
            </w:pPr>
            <w:r>
              <w:t>Expiration Date</w:t>
            </w:r>
          </w:p>
          <w:p w:rsidR="002A21AE" w:rsidRDefault="002A21AE">
            <w:pPr>
              <w:pStyle w:val="NotesTextBullet"/>
            </w:pPr>
            <w:r>
              <w:t>Number Available</w:t>
            </w:r>
          </w:p>
          <w:p w:rsidR="002A21AE" w:rsidRDefault="002A21AE">
            <w:pPr>
              <w:pStyle w:val="NotesTextBullet"/>
            </w:pPr>
            <w:r>
              <w:t>Inspection upon receipt</w:t>
            </w:r>
          </w:p>
          <w:p w:rsidR="002A21AE" w:rsidRDefault="002A21AE">
            <w:pPr>
              <w:pStyle w:val="NotesTextBullet"/>
            </w:pPr>
            <w:r>
              <w:t>Invoice Number</w:t>
            </w:r>
          </w:p>
          <w:p w:rsidR="002A21AE" w:rsidRDefault="002A21AE">
            <w:pPr>
              <w:pStyle w:val="NotesTextBullet"/>
            </w:pPr>
            <w:r>
              <w:t xml:space="preserve">Received Date/Time </w:t>
            </w:r>
          </w:p>
          <w:p w:rsidR="002A21AE" w:rsidRDefault="002A21AE">
            <w:pPr>
              <w:pStyle w:val="NotesTextBullet"/>
            </w:pPr>
            <w:r>
              <w:t>Received by Tech Name</w:t>
            </w:r>
          </w:p>
          <w:p w:rsidR="002A21AE" w:rsidRDefault="002A21AE" w:rsidP="000C4324">
            <w:pPr>
              <w:pStyle w:val="NotesTextBullet"/>
            </w:pPr>
            <w:r>
              <w:t>Comments</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Print another report or</w:t>
            </w:r>
            <w:r w:rsidR="00165119">
              <w:t xml:space="preserve"> click </w:t>
            </w:r>
            <w:r w:rsidR="00165119" w:rsidRPr="00165119">
              <w:rPr>
                <w:b/>
              </w:rPr>
              <w:t>Cancel</w:t>
            </w:r>
            <w:r w:rsidR="00165119">
              <w:t xml:space="preserve"> to</w:t>
            </w:r>
            <w:r>
              <w:t xml:space="preserve">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
            </w:pPr>
          </w:p>
        </w:tc>
      </w:tr>
    </w:tbl>
    <w:p w:rsidR="002A21AE" w:rsidRDefault="002A21AE">
      <w:pPr>
        <w:pStyle w:val="Heading3"/>
      </w:pPr>
      <w:bookmarkStart w:id="247" w:name="_Toc459900104"/>
      <w:bookmarkEnd w:id="246"/>
      <w:r>
        <w:t>Equipment</w:t>
      </w:r>
      <w:bookmarkEnd w:id="247"/>
      <w:r>
        <w:fldChar w:fldCharType="begin"/>
      </w:r>
      <w:r>
        <w:instrText xml:space="preserve"> XE </w:instrText>
      </w:r>
      <w:r w:rsidR="00FA7E65">
        <w:instrText>“</w:instrText>
      </w:r>
      <w:r>
        <w:instrText>Equipment</w:instrText>
      </w:r>
      <w:r w:rsidR="00FA7E65">
        <w:instrText>”</w:instrText>
      </w:r>
      <w:r>
        <w:instrText xml:space="preserve"> </w:instrText>
      </w:r>
      <w:r>
        <w:fldChar w:fldCharType="end"/>
      </w:r>
      <w:r>
        <w:t xml:space="preserve"> </w:t>
      </w:r>
      <w:r>
        <w:rPr>
          <w:rFonts w:ascii="Times New Roman" w:hAnsi="Times New Roman" w:cs="Times New Roman"/>
          <w:b w:val="0"/>
          <w:vanish/>
          <w:sz w:val="22"/>
        </w:rPr>
        <w:t>UC_22</w:t>
      </w:r>
    </w:p>
    <w:p w:rsidR="002A21AE" w:rsidRDefault="002A21AE" w:rsidP="00FA7E65">
      <w:pPr>
        <w:pStyle w:val="BodyText"/>
      </w:pPr>
      <w:r>
        <w:t>The user registers blood bank instruments and other equipment (refrigerators, freezers, thawing bath, incubators, centrifuges, etc.) and records associated maintenance activities.</w:t>
      </w:r>
    </w:p>
    <w:p w:rsidR="002A21AE" w:rsidRDefault="002A21AE">
      <w:pPr>
        <w:pStyle w:val="Heading4"/>
        <w:rPr>
          <w:b w:val="0"/>
        </w:rPr>
      </w:pPr>
      <w:r>
        <w:t>Assumptions</w:t>
      </w:r>
    </w:p>
    <w:p w:rsidR="002A21AE" w:rsidRDefault="002A21AE">
      <w:pPr>
        <w:pStyle w:val="ListBullet"/>
      </w:pPr>
      <w:r>
        <w:rPr>
          <w:rFonts w:ascii="Arial" w:hAnsi="Arial" w:cs="Arial"/>
          <w:vanish/>
          <w:spacing w:val="0"/>
          <w:sz w:val="18"/>
        </w:rPr>
        <w:t xml:space="preserve">BR_22.01 </w:t>
      </w:r>
      <w:r>
        <w:t>A user may maintain equipment inventory only in the division currently logged into.</w:t>
      </w:r>
    </w:p>
    <w:p w:rsidR="002A21AE" w:rsidRDefault="002A21AE">
      <w:pPr>
        <w:pStyle w:val="Heading4"/>
      </w:pPr>
      <w:r>
        <w:t xml:space="preserve">Outcome </w:t>
      </w:r>
    </w:p>
    <w:p w:rsidR="002A21AE" w:rsidRDefault="002A21AE">
      <w:pPr>
        <w:pStyle w:val="ListBullet"/>
        <w:rPr>
          <w:b/>
        </w:rPr>
      </w:pPr>
      <w:r>
        <w:t>An equipment maintenance record, accessible within the division of entry, was established.</w:t>
      </w:r>
    </w:p>
    <w:p w:rsidR="002A21AE" w:rsidRDefault="002A21AE">
      <w:pPr>
        <w:pStyle w:val="Heading4"/>
      </w:pPr>
      <w:r>
        <w:t xml:space="preserve">Limitations and Restrictions </w:t>
      </w:r>
    </w:p>
    <w:p w:rsidR="002A21AE" w:rsidRDefault="002A21AE">
      <w:pPr>
        <w:pStyle w:val="ListBullet"/>
      </w:pPr>
      <w:r>
        <w:t>VBECS does not check for duplicate entries of equipment names and identifiers.</w:t>
      </w:r>
    </w:p>
    <w:p w:rsidR="002A21AE" w:rsidRDefault="002A21AE">
      <w:pPr>
        <w:pStyle w:val="ListBullet"/>
      </w:pPr>
      <w:r>
        <w:t xml:space="preserve">There is no retrospective data entry or user selection for </w:t>
      </w:r>
      <w:r w:rsidR="00932460">
        <w:t>this option</w:t>
      </w:r>
      <w:r>
        <w:t>.</w:t>
      </w:r>
    </w:p>
    <w:p w:rsidR="002A21AE" w:rsidRDefault="002A21AE">
      <w:pPr>
        <w:pStyle w:val="Heading4"/>
      </w:pPr>
      <w:r>
        <w:t xml:space="preserve">Additional Information </w:t>
      </w:r>
    </w:p>
    <w:p w:rsidR="002A21AE" w:rsidRDefault="002A21AE">
      <w:pPr>
        <w:pStyle w:val="ListBullet"/>
      </w:pPr>
      <w:r>
        <w:t>VBECS does not calculate inventory levels for supplies or equipment.</w:t>
      </w:r>
    </w:p>
    <w:p w:rsidR="002A21AE" w:rsidRDefault="002A21AE">
      <w:pPr>
        <w:pStyle w:val="Heading4"/>
        <w:rPr>
          <w:b w:val="0"/>
        </w:rPr>
      </w:pPr>
      <w:r>
        <w:t>User Roles with Access to This Option</w:t>
      </w:r>
      <w:r>
        <w:rPr>
          <w:b w:val="0"/>
        </w:rPr>
        <w:t xml:space="preserve"> </w:t>
      </w:r>
    </w:p>
    <w:p w:rsidR="002A21AE" w:rsidRDefault="00410B0E">
      <w:pPr>
        <w:pStyle w:val="Roles"/>
        <w:rPr>
          <w:snapToGrid w:val="0"/>
        </w:rPr>
      </w:pPr>
      <w:r>
        <w:t>All users</w:t>
      </w:r>
    </w:p>
    <w:p w:rsidR="002A21AE" w:rsidRDefault="002A21AE">
      <w:pPr>
        <w:pStyle w:val="Heading4"/>
      </w:pPr>
      <w:r>
        <w:lastRenderedPageBreak/>
        <w:t>Equipment: Log In Equipment</w:t>
      </w:r>
      <w:r>
        <w:fldChar w:fldCharType="begin"/>
      </w:r>
      <w:r>
        <w:instrText xml:space="preserve"> XE </w:instrText>
      </w:r>
      <w:r w:rsidR="00FA7E65">
        <w:instrText>“</w:instrText>
      </w:r>
      <w:r>
        <w:instrText>Equipment\: Log In Equipment</w:instrText>
      </w:r>
      <w:r w:rsidR="00FA7E65">
        <w:instrText>”</w:instrText>
      </w:r>
      <w:r>
        <w:instrText xml:space="preserve"> </w:instrText>
      </w:r>
      <w:r>
        <w:fldChar w:fldCharType="end"/>
      </w:r>
    </w:p>
    <w:p w:rsidR="002A21AE" w:rsidRDefault="002A21AE" w:rsidP="00FA7E65">
      <w:pPr>
        <w:pStyle w:val="BodyText"/>
      </w:pPr>
      <w:r>
        <w:t>A user add</w:t>
      </w:r>
      <w:r w:rsidR="0000095B">
        <w:t>s</w:t>
      </w:r>
      <w:r>
        <w:t xml:space="preserve"> new equipment or maintain</w:t>
      </w:r>
      <w:r w:rsidR="0000095B">
        <w:t>s</w:t>
      </w:r>
      <w:r>
        <w:t xml:space="preserve"> existing equipment. After equipment is registered, the user must record periodic maintenance. The equipment records are updated and retained according to local procedure and policy. Once an equipment record is established, it may be selected as equipment used during a blood product modification.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pPr>
              <w:pStyle w:val="TableTextNumbers"/>
            </w:pPr>
            <w:r>
              <w:t xml:space="preserve">To add new equipment, select </w:t>
            </w:r>
            <w:r>
              <w:rPr>
                <w:b/>
              </w:rPr>
              <w:t>Tools</w:t>
            </w:r>
            <w:r>
              <w:t xml:space="preserve"> from the main menu.</w:t>
            </w:r>
          </w:p>
          <w:p w:rsidR="002A21AE" w:rsidRDefault="002A21AE">
            <w:pPr>
              <w:pStyle w:val="TableTextNumbersContinued"/>
            </w:pPr>
          </w:p>
          <w:p w:rsidR="002A21AE" w:rsidRDefault="002A21AE">
            <w:pPr>
              <w:pStyle w:val="TableTextNumbersContinued"/>
            </w:pPr>
            <w:r>
              <w:t xml:space="preserve">Select </w:t>
            </w:r>
            <w:r>
              <w:rPr>
                <w:b/>
              </w:rPr>
              <w:t>Equipment</w:t>
            </w:r>
            <w:r>
              <w:t>.</w:t>
            </w:r>
          </w:p>
        </w:tc>
        <w:tc>
          <w:tcPr>
            <w:tcW w:w="6120" w:type="dxa"/>
          </w:tcPr>
          <w:p w:rsidR="002A21AE" w:rsidRDefault="002A21AE">
            <w:pPr>
              <w:pStyle w:val="TableTextBullet"/>
            </w:pPr>
            <w:r>
              <w:t>Displays options to maintain equipment maintenance.</w:t>
            </w:r>
          </w:p>
          <w:p w:rsidR="002A21AE" w:rsidRDefault="002A21AE">
            <w:pPr>
              <w:pStyle w:val="NotesText"/>
            </w:pP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 xml:space="preserve">Select </w:t>
            </w:r>
            <w:r>
              <w:rPr>
                <w:b/>
              </w:rPr>
              <w:t>Log In Equipment</w:t>
            </w:r>
            <w:r>
              <w:t xml:space="preserve"> to create an equipment record or </w:t>
            </w:r>
            <w:r>
              <w:rPr>
                <w:b/>
              </w:rPr>
              <w:t>Maintain Equipment</w:t>
            </w:r>
            <w:r>
              <w:t xml:space="preserve"> to record maintenance (see Equipment: Maintain Equipment).</w:t>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Bullet"/>
            </w:pPr>
            <w:r>
              <w:rPr>
                <w:rFonts w:cs="Arial"/>
                <w:vanish/>
              </w:rPr>
              <w:t xml:space="preserve">BR_22.05 </w:t>
            </w:r>
            <w:r>
              <w:t>Displays an empty equipment property template.</w:t>
            </w:r>
          </w:p>
          <w:p w:rsidR="002A21AE" w:rsidRDefault="002A21AE">
            <w:pPr>
              <w:pStyle w:val="TableTextBullet"/>
            </w:pPr>
            <w:r>
              <w:t>Displays all in-service equipment items for the blood bank associated with the user’s division and offers the option to display out-of-service equipment.</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Equipment Info area: Enter the equipment information in the appropriate fields. Enter or select an equipment type from the drop-down menu.</w:t>
            </w:r>
          </w:p>
          <w:p w:rsidR="002A21AE" w:rsidRDefault="002A21AE">
            <w:pPr>
              <w:pStyle w:val="TableTextNumbersContinued"/>
              <w:rPr>
                <w:b/>
                <w:bCs/>
              </w:rPr>
            </w:pPr>
          </w:p>
          <w:p w:rsidR="002A21AE" w:rsidRDefault="002A21AE">
            <w:pPr>
              <w:pStyle w:val="TableTextNumbersContinued"/>
            </w:pPr>
            <w:r>
              <w:t>Installation Info area: Select or edit the date and time in the Date Received/Installed field.</w:t>
            </w:r>
          </w:p>
          <w:p w:rsidR="002A21AE" w:rsidRDefault="002A21AE">
            <w:pPr>
              <w:pStyle w:val="TableTextNumbersContinued"/>
            </w:pPr>
          </w:p>
          <w:p w:rsidR="002A21AE" w:rsidRDefault="002A21AE">
            <w:pPr>
              <w:pStyle w:val="TableTextNumbersContinued"/>
            </w:pPr>
            <w:r>
              <w:t xml:space="preserve">Click the </w:t>
            </w:r>
            <w:r>
              <w:rPr>
                <w:b/>
              </w:rPr>
              <w:t xml:space="preserve">Expiration/Renewal Date </w:t>
            </w:r>
            <w:r w:rsidRPr="00D1100E">
              <w:t>check box</w:t>
            </w:r>
            <w:r>
              <w:rPr>
                <w:b/>
              </w:rPr>
              <w:t xml:space="preserve"> </w:t>
            </w:r>
            <w:r>
              <w:t xml:space="preserve">when there’s an expiration or renewal date, and edit the date as above. </w:t>
            </w:r>
          </w:p>
          <w:p w:rsidR="002A21AE" w:rsidRDefault="002A21AE">
            <w:pPr>
              <w:pStyle w:val="TableTextNumbersContinued"/>
            </w:pPr>
          </w:p>
          <w:p w:rsidR="002A21AE" w:rsidRDefault="002A21AE">
            <w:pPr>
              <w:pStyle w:val="TableTextNumbersContinued"/>
            </w:pPr>
            <w:r>
              <w:t>Manufacturer Info area: Enter the manufacturer name or select a manufacturer from the drop-down list.</w:t>
            </w:r>
          </w:p>
          <w:p w:rsidR="002A21AE" w:rsidRDefault="002A21AE">
            <w:pPr>
              <w:pStyle w:val="TableTextNumbersContinued"/>
            </w:pPr>
          </w:p>
          <w:p w:rsidR="002A21AE" w:rsidRDefault="002A21AE">
            <w:pPr>
              <w:pStyle w:val="TableTextNumbersContinued"/>
            </w:pPr>
            <w:r>
              <w:t xml:space="preserve">Enter the manufacturer’s contact information in the appropriate fields or click the </w:t>
            </w:r>
            <w:r w:rsidR="00A6373D">
              <w:rPr>
                <w:b/>
              </w:rPr>
              <w:t>find</w:t>
            </w:r>
            <w:r w:rsidRPr="00BF2E41">
              <w:t xml:space="preserve"> button</w:t>
            </w:r>
            <w:r>
              <w:t xml:space="preserve"> to select the manufacturer’s address.</w:t>
            </w:r>
          </w:p>
          <w:p w:rsidR="002A21AE" w:rsidRDefault="002A21AE">
            <w:pPr>
              <w:pStyle w:val="TableTextNumbersContinued"/>
            </w:pPr>
          </w:p>
          <w:p w:rsidR="002A21AE" w:rsidRDefault="002A21AE">
            <w:pPr>
              <w:pStyle w:val="TableTextNumbersContinued"/>
            </w:pPr>
            <w:r>
              <w:t xml:space="preserve">Click </w:t>
            </w:r>
            <w:r>
              <w:rPr>
                <w:b/>
              </w:rPr>
              <w:t>Add</w:t>
            </w:r>
            <w:r>
              <w:t xml:space="preserve"> to add the equipment to inventory</w:t>
            </w:r>
            <w:r w:rsidR="00D33C56">
              <w:t xml:space="preserve"> (</w:t>
            </w:r>
            <w:r w:rsidR="00D33C56">
              <w:fldChar w:fldCharType="begin"/>
            </w:r>
            <w:r w:rsidR="00D33C56">
              <w:instrText xml:space="preserve"> REF _Ref126556319 \h </w:instrText>
            </w:r>
            <w:r w:rsidR="00D33C56">
              <w:fldChar w:fldCharType="separate"/>
            </w:r>
            <w:r w:rsidR="005F38BC">
              <w:t xml:space="preserve">Figure </w:t>
            </w:r>
            <w:r w:rsidR="005F38BC">
              <w:rPr>
                <w:noProof/>
              </w:rPr>
              <w:t>65</w:t>
            </w:r>
            <w:r w:rsidR="00D33C56">
              <w:fldChar w:fldCharType="end"/>
            </w:r>
            <w:r w:rsidR="00D33C56">
              <w:t>)</w:t>
            </w:r>
            <w:r>
              <w:t>.</w:t>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Bullet"/>
            </w:pPr>
            <w:r>
              <w:t>Displays fields for entering equipment name, ID, serial number, and type in the Equipment Info area.</w:t>
            </w:r>
          </w:p>
          <w:p w:rsidR="002A21AE" w:rsidRDefault="002A21AE">
            <w:pPr>
              <w:pStyle w:val="TableTextBullet"/>
            </w:pPr>
            <w:r>
              <w:t>Displays fields for entering the date the equipment was received or installed, warranty or service contract number, and expiration or renewal service contract date in the Installation Info area.</w:t>
            </w:r>
          </w:p>
          <w:p w:rsidR="002A21AE" w:rsidRDefault="002A21AE">
            <w:pPr>
              <w:pStyle w:val="TableTextBullet"/>
            </w:pPr>
            <w:r>
              <w:t>Displays fields for entering the manufacturer name, address, and phone in the Manufacturer Info area.</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Repeat Step 3 to add new items to the equipment list.</w:t>
            </w:r>
          </w:p>
          <w:p w:rsidR="002A21AE" w:rsidRDefault="002A21AE">
            <w:pPr>
              <w:pStyle w:val="TableTextNumbersContinued"/>
            </w:pPr>
          </w:p>
          <w:p w:rsidR="002A21AE" w:rsidRDefault="002A21AE">
            <w:pPr>
              <w:pStyle w:val="TableTextNumbersContinued"/>
            </w:pPr>
            <w:r>
              <w:t xml:space="preserve">Click </w:t>
            </w:r>
            <w:r>
              <w:rPr>
                <w:b/>
              </w:rPr>
              <w:t>OK</w:t>
            </w:r>
            <w:r>
              <w:t xml:space="preserve"> to save.</w:t>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Bullet"/>
            </w:pPr>
            <w:r>
              <w:rPr>
                <w:rFonts w:cs="Arial"/>
                <w:vanish/>
              </w:rPr>
              <w:t xml:space="preserve">BR_22.02 </w:t>
            </w:r>
            <w:r>
              <w:t>VBECS maintains a historical record for each piece of equipment entered.</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 xml:space="preserve">Click </w:t>
            </w:r>
            <w:r>
              <w:rPr>
                <w:b/>
              </w:rPr>
              <w:t>Yes</w:t>
            </w:r>
            <w:r>
              <w:t xml:space="preserve"> to confirm and exit.</w:t>
            </w:r>
            <w:r>
              <w:rPr>
                <w:vanish/>
                <w:szCs w:val="18"/>
              </w:rP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
            </w:pPr>
          </w:p>
        </w:tc>
      </w:tr>
    </w:tbl>
    <w:p w:rsidR="00D33C56" w:rsidRDefault="00D33C56" w:rsidP="00D33C56">
      <w:pPr>
        <w:pStyle w:val="Caption"/>
      </w:pPr>
      <w:bookmarkStart w:id="248" w:name="_Toc67109534"/>
      <w:bookmarkStart w:id="249" w:name="_Ref126556319"/>
      <w:bookmarkEnd w:id="248"/>
      <w:r>
        <w:lastRenderedPageBreak/>
        <w:t xml:space="preserve">Figure </w:t>
      </w:r>
      <w:r w:rsidR="00C17F7C">
        <w:fldChar w:fldCharType="begin"/>
      </w:r>
      <w:r w:rsidR="00C17F7C">
        <w:instrText xml:space="preserve"> SEQ Figure \* ARABIC </w:instrText>
      </w:r>
      <w:r w:rsidR="00C17F7C">
        <w:fldChar w:fldCharType="separate"/>
      </w:r>
      <w:r w:rsidR="005F38BC">
        <w:rPr>
          <w:noProof/>
        </w:rPr>
        <w:t>65</w:t>
      </w:r>
      <w:r w:rsidR="00C17F7C">
        <w:fldChar w:fldCharType="end"/>
      </w:r>
      <w:bookmarkEnd w:id="249"/>
      <w:r>
        <w:t>: Log In Equipment</w:t>
      </w:r>
    </w:p>
    <w:p w:rsidR="00F00E49" w:rsidRDefault="00634BFC" w:rsidP="00F00E49">
      <w:pPr>
        <w:pStyle w:val="BodyText"/>
      </w:pPr>
      <w:r>
        <w:rPr>
          <w:noProof/>
        </w:rPr>
        <w:drawing>
          <wp:inline distT="0" distB="0" distL="0" distR="0">
            <wp:extent cx="5943600" cy="381952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43600" cy="3819525"/>
                    </a:xfrm>
                    <a:prstGeom prst="rect">
                      <a:avLst/>
                    </a:prstGeom>
                    <a:noFill/>
                    <a:ln>
                      <a:noFill/>
                    </a:ln>
                  </pic:spPr>
                </pic:pic>
              </a:graphicData>
            </a:graphic>
          </wp:inline>
        </w:drawing>
      </w:r>
    </w:p>
    <w:p w:rsidR="002A21AE" w:rsidRDefault="002A21AE">
      <w:pPr>
        <w:pStyle w:val="Heading4"/>
      </w:pPr>
      <w:r>
        <w:t>Equipment: Maintain Equipment</w:t>
      </w:r>
      <w:r>
        <w:fldChar w:fldCharType="begin"/>
      </w:r>
      <w:r>
        <w:instrText xml:space="preserve"> XE </w:instrText>
      </w:r>
      <w:r w:rsidR="00FA7E65">
        <w:instrText>“</w:instrText>
      </w:r>
      <w:r>
        <w:instrText>Equipment\: Maintain Equipment</w:instrText>
      </w:r>
      <w:r w:rsidR="00FA7E65">
        <w:instrText>”</w:instrText>
      </w:r>
      <w:r>
        <w:instrText xml:space="preserve"> </w:instrText>
      </w:r>
      <w:r>
        <w:fldChar w:fldCharType="end"/>
      </w:r>
      <w:r>
        <w:t xml:space="preserve"> </w:t>
      </w:r>
    </w:p>
    <w:p w:rsidR="002A21AE" w:rsidRDefault="002A21AE" w:rsidP="00FA7E65">
      <w:pPr>
        <w:pStyle w:val="BodyText"/>
      </w:pPr>
      <w:r>
        <w:t>The user maintain</w:t>
      </w:r>
      <w:r w:rsidR="00D268A9">
        <w:t>s</w:t>
      </w:r>
      <w:r>
        <w:t xml:space="preserve"> an online equipment record to record periodic maintenance. Equipment records are updated and retained according to local procedure and policy.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tblHeader/>
        </w:trPr>
        <w:tc>
          <w:tcPr>
            <w:tcW w:w="3240" w:type="dxa"/>
            <w:shd w:val="clear" w:color="auto" w:fill="B3B3B3"/>
            <w:vAlign w:val="bottom"/>
          </w:tcPr>
          <w:p w:rsidR="002A21AE" w:rsidRDefault="002A21AE">
            <w:pPr>
              <w:pStyle w:val="TableText"/>
              <w:rPr>
                <w:b/>
              </w:rPr>
            </w:pPr>
            <w:r>
              <w:rPr>
                <w:b/>
              </w:rPr>
              <w:t>User Action</w:t>
            </w:r>
          </w:p>
        </w:tc>
        <w:tc>
          <w:tcPr>
            <w:tcW w:w="6120" w:type="dxa"/>
            <w:shd w:val="clear" w:color="auto" w:fill="B3B3B3"/>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pPr>
              <w:pStyle w:val="TableTextNumbers"/>
            </w:pPr>
            <w:r>
              <w:t xml:space="preserve">To maintain equipment, select </w:t>
            </w:r>
            <w:r>
              <w:rPr>
                <w:b/>
              </w:rPr>
              <w:t>Tools</w:t>
            </w:r>
            <w:r>
              <w:t xml:space="preserve"> from the main menu.</w:t>
            </w:r>
          </w:p>
          <w:p w:rsidR="002A21AE" w:rsidRDefault="002A21AE">
            <w:pPr>
              <w:pStyle w:val="TableTextNumbersContinued"/>
              <w:rPr>
                <w:b/>
                <w:bCs/>
              </w:rPr>
            </w:pPr>
          </w:p>
          <w:p w:rsidR="002A21AE" w:rsidRDefault="002A21AE">
            <w:pPr>
              <w:pStyle w:val="TableTextNumbersContinued"/>
            </w:pPr>
            <w:r>
              <w:t xml:space="preserve">Select </w:t>
            </w:r>
            <w:r>
              <w:rPr>
                <w:b/>
              </w:rPr>
              <w:t>Equipment</w:t>
            </w:r>
            <w:r>
              <w:t>.</w:t>
            </w:r>
          </w:p>
        </w:tc>
        <w:tc>
          <w:tcPr>
            <w:tcW w:w="6120" w:type="dxa"/>
          </w:tcPr>
          <w:p w:rsidR="002A21AE" w:rsidRDefault="002A21AE">
            <w:pPr>
              <w:pStyle w:val="TableTextBullet"/>
            </w:pPr>
            <w:r>
              <w:t>Displays options to maintain equipment maintenance.</w:t>
            </w:r>
          </w:p>
          <w:p w:rsidR="002A21AE" w:rsidRDefault="002A21AE">
            <w:pPr>
              <w:pStyle w:val="NotesText"/>
            </w:pP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 xml:space="preserve">Select </w:t>
            </w:r>
            <w:r>
              <w:rPr>
                <w:b/>
              </w:rPr>
              <w:t>Maintain Equipment</w:t>
            </w:r>
            <w:r>
              <w:t xml:space="preserve"> to record maintenance or </w:t>
            </w:r>
            <w:r>
              <w:rPr>
                <w:b/>
              </w:rPr>
              <w:t>Log In Equipment</w:t>
            </w:r>
            <w:r>
              <w:t xml:space="preserve"> to create an equipment record (see Equipment: Log In Equipment).</w:t>
            </w:r>
            <w:r>
              <w:rPr>
                <w:b/>
              </w:rPr>
              <w:t xml:space="preserve"> </w:t>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Bullet"/>
            </w:pPr>
            <w:r>
              <w:t>Displays entered in-service equipment items for the blood bank associated with the user’s division and offers the option to display out-of-service equipment.</w:t>
            </w:r>
          </w:p>
        </w:tc>
      </w:tr>
      <w:tr w:rsidR="002A21AE">
        <w:tblPrEx>
          <w:tblCellMar>
            <w:top w:w="0" w:type="dxa"/>
            <w:bottom w:w="0" w:type="dxa"/>
          </w:tblCellMar>
        </w:tblPrEx>
        <w:tc>
          <w:tcPr>
            <w:tcW w:w="3240" w:type="dxa"/>
          </w:tcPr>
          <w:p w:rsidR="002A21AE" w:rsidRDefault="002A21AE">
            <w:pPr>
              <w:pStyle w:val="TableTextNumbers"/>
            </w:pPr>
            <w:r>
              <w:t>In the Equipment tab, enter the equipment serial number</w:t>
            </w:r>
            <w:r w:rsidR="005B4E11">
              <w:t xml:space="preserve"> (or </w:t>
            </w:r>
            <w:r>
              <w:t xml:space="preserve">enter part of the serial number and click the </w:t>
            </w:r>
            <w:r>
              <w:rPr>
                <w:b/>
              </w:rPr>
              <w:t>magnifying glass</w:t>
            </w:r>
            <w:r>
              <w:t xml:space="preserve"> to view serial numbers</w:t>
            </w:r>
            <w:r w:rsidR="005B4E11">
              <w:t>)</w:t>
            </w:r>
            <w:r>
              <w:t xml:space="preserve">, or click </w:t>
            </w:r>
            <w:r>
              <w:rPr>
                <w:bdr w:val="single" w:sz="4" w:space="0" w:color="auto"/>
              </w:rPr>
              <w:fldChar w:fldCharType="begin">
                <w:ffData>
                  <w:name w:val=""/>
                  <w:enabled w:val="0"/>
                  <w:calcOnExit w:val="0"/>
                  <w:textInput>
                    <w:default w:val=" + "/>
                  </w:textInput>
                </w:ffData>
              </w:fldChar>
            </w:r>
            <w:r>
              <w:rPr>
                <w:bdr w:val="single" w:sz="4" w:space="0" w:color="auto"/>
              </w:rPr>
              <w:instrText xml:space="preserve"> FORMTEXT </w:instrText>
            </w:r>
            <w:r>
              <w:rPr>
                <w:bdr w:val="single" w:sz="4" w:space="0" w:color="auto"/>
              </w:rPr>
            </w:r>
            <w:r>
              <w:rPr>
                <w:bdr w:val="single" w:sz="4" w:space="0" w:color="auto"/>
              </w:rPr>
              <w:fldChar w:fldCharType="separate"/>
            </w:r>
            <w:r w:rsidR="00A510F2">
              <w:rPr>
                <w:noProof/>
                <w:bdr w:val="single" w:sz="4" w:space="0" w:color="auto"/>
              </w:rPr>
              <w:t xml:space="preserve"> + </w:t>
            </w:r>
            <w:r>
              <w:rPr>
                <w:bdr w:val="single" w:sz="4" w:space="0" w:color="auto"/>
              </w:rPr>
              <w:fldChar w:fldCharType="end"/>
            </w:r>
            <w:r>
              <w:t xml:space="preserve"> in front of each equipment type and name to view equipment items.</w:t>
            </w:r>
          </w:p>
          <w:p w:rsidR="002A21AE" w:rsidRDefault="002A21AE">
            <w:pPr>
              <w:pStyle w:val="TableTextNumbersContinued"/>
            </w:pPr>
          </w:p>
          <w:p w:rsidR="002A21AE" w:rsidRDefault="002A21AE">
            <w:pPr>
              <w:pStyle w:val="TableTextNumbersContinued"/>
            </w:pPr>
            <w:r>
              <w:t>Select the serial number of the item whose record will be maintained.</w:t>
            </w:r>
          </w:p>
          <w:p w:rsidR="002A21AE" w:rsidRDefault="002A21AE">
            <w:pPr>
              <w:pStyle w:val="TableTextNumbersContinued"/>
            </w:pPr>
          </w:p>
          <w:p w:rsidR="002A21AE" w:rsidRDefault="002A21AE">
            <w:pPr>
              <w:pStyle w:val="TableTextNumbersContinued"/>
            </w:pPr>
            <w:r>
              <w:lastRenderedPageBreak/>
              <w:t xml:space="preserve">Click the </w:t>
            </w:r>
            <w:r>
              <w:rPr>
                <w:b/>
              </w:rPr>
              <w:t xml:space="preserve">Include Out of Service Equipment </w:t>
            </w:r>
            <w:r w:rsidRPr="00D1100E">
              <w:t>check box</w:t>
            </w:r>
            <w:r>
              <w:t>, if desired.</w:t>
            </w:r>
          </w:p>
        </w:tc>
        <w:tc>
          <w:tcPr>
            <w:tcW w:w="6120" w:type="dxa"/>
          </w:tcPr>
          <w:p w:rsidR="002A21AE" w:rsidRDefault="002A21AE">
            <w:pPr>
              <w:pStyle w:val="TableTextBullet"/>
            </w:pPr>
            <w:r>
              <w:lastRenderedPageBreak/>
              <w:t>Displays fields for entering the type of maintenance event performed, the date the maintenance was performed, the results of the event, the next scheduled event, the next scheduled maintenance date, and pending maintenance issues in the Maintenance tab, and allows the user to select a maintenance event type and event details.</w:t>
            </w:r>
          </w:p>
          <w:p w:rsidR="002A21AE" w:rsidRDefault="002A21AE">
            <w:pPr>
              <w:pStyle w:val="TableTextBullet"/>
            </w:pPr>
            <w:r>
              <w:t>Displays entered information.</w:t>
            </w:r>
          </w:p>
        </w:tc>
      </w:tr>
      <w:tr w:rsidR="002A21AE">
        <w:tblPrEx>
          <w:tblCellMar>
            <w:top w:w="0" w:type="dxa"/>
            <w:bottom w:w="0" w:type="dxa"/>
          </w:tblCellMar>
        </w:tblPrEx>
        <w:tc>
          <w:tcPr>
            <w:tcW w:w="3240" w:type="dxa"/>
          </w:tcPr>
          <w:p w:rsidR="002A21AE" w:rsidRDefault="002A21AE">
            <w:pPr>
              <w:pStyle w:val="TableTextNumbers"/>
            </w:pPr>
            <w:r>
              <w:lastRenderedPageBreak/>
              <w:t>Review and edit the equipment data in the Equipment tab.</w:t>
            </w:r>
          </w:p>
        </w:tc>
        <w:tc>
          <w:tcPr>
            <w:tcW w:w="6120" w:type="dxa"/>
          </w:tcPr>
          <w:p w:rsidR="002A21AE" w:rsidRDefault="002A21AE">
            <w:pPr>
              <w:pStyle w:val="TableTextBullet"/>
            </w:pPr>
            <w:r>
              <w:t>Displays entered information.</w:t>
            </w:r>
          </w:p>
        </w:tc>
      </w:tr>
      <w:tr w:rsidR="002A21AE">
        <w:tblPrEx>
          <w:tblCellMar>
            <w:top w:w="0" w:type="dxa"/>
            <w:bottom w:w="0" w:type="dxa"/>
          </w:tblCellMar>
        </w:tblPrEx>
        <w:tc>
          <w:tcPr>
            <w:tcW w:w="3240" w:type="dxa"/>
          </w:tcPr>
          <w:p w:rsidR="002A21AE" w:rsidRDefault="002A21AE">
            <w:pPr>
              <w:pStyle w:val="TableTextNumbers"/>
            </w:pPr>
            <w:r>
              <w:t xml:space="preserve">Select the </w:t>
            </w:r>
            <w:r>
              <w:rPr>
                <w:b/>
              </w:rPr>
              <w:t>Maintenance</w:t>
            </w:r>
            <w:r>
              <w:t xml:space="preserve"> </w:t>
            </w:r>
            <w:r>
              <w:rPr>
                <w:b/>
              </w:rPr>
              <w:t>tab</w:t>
            </w:r>
            <w:r>
              <w:t>.</w:t>
            </w:r>
          </w:p>
          <w:p w:rsidR="002A21AE" w:rsidRDefault="002A21AE">
            <w:pPr>
              <w:pStyle w:val="TableTextNumbersContinued"/>
            </w:pPr>
          </w:p>
          <w:p w:rsidR="002A21AE" w:rsidRDefault="002A21AE">
            <w:pPr>
              <w:pStyle w:val="TableTextNumbersContinued"/>
            </w:pPr>
            <w:r>
              <w:t xml:space="preserve">To add a maintenance event, enter the maintenance type or select it from the drop-down list. </w:t>
            </w:r>
          </w:p>
          <w:p w:rsidR="002A21AE" w:rsidRDefault="002A21AE">
            <w:pPr>
              <w:pStyle w:val="TableTextNumbersContinued"/>
            </w:pPr>
          </w:p>
          <w:p w:rsidR="002A21AE" w:rsidRDefault="002A21AE">
            <w:pPr>
              <w:pStyle w:val="TableTextNumbersContinued"/>
            </w:pPr>
            <w:r>
              <w:t>Select or edit the date and time in the Maintenance Date field.</w:t>
            </w:r>
          </w:p>
          <w:p w:rsidR="002A21AE" w:rsidRDefault="002A21AE">
            <w:pPr>
              <w:pStyle w:val="TableTextNumbersContinued"/>
            </w:pPr>
          </w:p>
          <w:p w:rsidR="002A21AE" w:rsidRDefault="002A21AE">
            <w:pPr>
              <w:pStyle w:val="TableTextNumbersContinued"/>
            </w:pPr>
            <w:r>
              <w:t>Enter details in the Maintenance Results and Pending Issues fields.</w:t>
            </w:r>
          </w:p>
          <w:p w:rsidR="002A21AE" w:rsidRDefault="002A21AE">
            <w:pPr>
              <w:pStyle w:val="TableTextNumbersContinued"/>
            </w:pPr>
          </w:p>
          <w:p w:rsidR="002A21AE" w:rsidRDefault="002A21AE">
            <w:pPr>
              <w:pStyle w:val="TableTextNumbersContinued"/>
            </w:pPr>
            <w:r>
              <w:t xml:space="preserve">Click </w:t>
            </w:r>
            <w:r>
              <w:rPr>
                <w:b/>
              </w:rPr>
              <w:t>Add</w:t>
            </w:r>
            <w:r>
              <w:t xml:space="preserve"> to add the maintenance event to the Maintenance Events list</w:t>
            </w:r>
            <w:r w:rsidR="005B4E11">
              <w:t xml:space="preserve"> (</w:t>
            </w:r>
            <w:r w:rsidR="005B4E11">
              <w:fldChar w:fldCharType="begin"/>
            </w:r>
            <w:r w:rsidR="005B4E11">
              <w:instrText xml:space="preserve"> REF _Ref126556751 \h </w:instrText>
            </w:r>
            <w:r w:rsidR="005B4E11">
              <w:fldChar w:fldCharType="separate"/>
            </w:r>
            <w:r w:rsidR="005F38BC">
              <w:t xml:space="preserve">Figure </w:t>
            </w:r>
            <w:r w:rsidR="005F38BC">
              <w:rPr>
                <w:noProof/>
              </w:rPr>
              <w:t>66</w:t>
            </w:r>
            <w:r w:rsidR="005B4E11">
              <w:fldChar w:fldCharType="end"/>
            </w:r>
            <w:r w:rsidR="005B4E11">
              <w:t>)</w:t>
            </w:r>
            <w:r>
              <w:t>.</w:t>
            </w:r>
          </w:p>
          <w:p w:rsidR="002A21AE" w:rsidRDefault="002A21AE">
            <w:pPr>
              <w:pStyle w:val="TableTextNumbersContinued"/>
            </w:pPr>
          </w:p>
          <w:p w:rsidR="002A21AE" w:rsidRDefault="002A21AE">
            <w:pPr>
              <w:pStyle w:val="TableTextNumbersContinued"/>
            </w:pPr>
            <w:r>
              <w:t xml:space="preserve">Click </w:t>
            </w:r>
            <w:r>
              <w:rPr>
                <w:b/>
              </w:rPr>
              <w:t>Print</w:t>
            </w:r>
            <w:r>
              <w:t xml:space="preserve"> to print the record.</w:t>
            </w:r>
          </w:p>
        </w:tc>
        <w:tc>
          <w:tcPr>
            <w:tcW w:w="6120" w:type="dxa"/>
          </w:tcPr>
          <w:p w:rsidR="002A21AE" w:rsidRDefault="002A21AE">
            <w:pPr>
              <w:pStyle w:val="TableTextBullet"/>
            </w:pPr>
            <w:r>
              <w:t>Displays recorded maintenance information and allows the user to update information.</w:t>
            </w:r>
          </w:p>
          <w:p w:rsidR="002A21AE" w:rsidRDefault="002A21AE">
            <w:pPr>
              <w:pStyle w:val="TableTextBullet"/>
            </w:pPr>
            <w:r>
              <w:t>Displays an option to print an Equipment Report.</w:t>
            </w:r>
          </w:p>
        </w:tc>
      </w:tr>
      <w:tr w:rsidR="002A21AE">
        <w:tblPrEx>
          <w:tblCellMar>
            <w:top w:w="0" w:type="dxa"/>
            <w:bottom w:w="0" w:type="dxa"/>
          </w:tblCellMar>
        </w:tblPrEx>
        <w:tc>
          <w:tcPr>
            <w:tcW w:w="3240" w:type="dxa"/>
          </w:tcPr>
          <w:p w:rsidR="002A21AE" w:rsidRDefault="002A21AE">
            <w:pPr>
              <w:pStyle w:val="TableTextNumbers"/>
            </w:pPr>
            <w:r>
              <w:t xml:space="preserve">Click the </w:t>
            </w:r>
            <w:r>
              <w:rPr>
                <w:b/>
              </w:rPr>
              <w:t>Out of Service Equipment</w:t>
            </w:r>
            <w:r>
              <w:t xml:space="preserve"> </w:t>
            </w:r>
            <w:r w:rsidRPr="00D1100E">
              <w:t>check box</w:t>
            </w:r>
            <w:r>
              <w:t xml:space="preserve"> to remove equipment.</w:t>
            </w:r>
          </w:p>
        </w:tc>
        <w:tc>
          <w:tcPr>
            <w:tcW w:w="6120" w:type="dxa"/>
          </w:tcPr>
          <w:p w:rsidR="002A21AE" w:rsidRDefault="002A21AE">
            <w:pPr>
              <w:pStyle w:val="TableTextBullet"/>
            </w:pPr>
            <w:r>
              <w:t>Removes the equipment from the list of currently maintained equipment.</w:t>
            </w:r>
          </w:p>
        </w:tc>
      </w:tr>
      <w:tr w:rsidR="002A21AE">
        <w:tblPrEx>
          <w:tblCellMar>
            <w:top w:w="0" w:type="dxa"/>
            <w:bottom w:w="0" w:type="dxa"/>
          </w:tblCellMar>
        </w:tblPrEx>
        <w:tc>
          <w:tcPr>
            <w:tcW w:w="3240" w:type="dxa"/>
          </w:tcPr>
          <w:p w:rsidR="002A21AE" w:rsidRDefault="002A21AE">
            <w:pPr>
              <w:pStyle w:val="TableTextNumbers"/>
            </w:pPr>
            <w:r>
              <w:t>Repeat Steps 3–6, as desired.</w:t>
            </w:r>
          </w:p>
        </w:tc>
        <w:tc>
          <w:tcPr>
            <w:tcW w:w="6120" w:type="dxa"/>
          </w:tcPr>
          <w:p w:rsidR="002A21AE" w:rsidRDefault="002A21AE">
            <w:pPr>
              <w:pStyle w:val="TableText"/>
            </w:pPr>
          </w:p>
        </w:tc>
      </w:tr>
      <w:tr w:rsidR="002A21AE">
        <w:tblPrEx>
          <w:tblCellMar>
            <w:top w:w="0" w:type="dxa"/>
            <w:bottom w:w="0" w:type="dxa"/>
          </w:tblCellMar>
        </w:tblPrEx>
        <w:tc>
          <w:tcPr>
            <w:tcW w:w="3240" w:type="dxa"/>
          </w:tcPr>
          <w:p w:rsidR="002A21AE" w:rsidRDefault="002A21AE">
            <w:pPr>
              <w:pStyle w:val="TableTextNumbers"/>
            </w:pPr>
            <w:r>
              <w:t xml:space="preserve">Click </w:t>
            </w:r>
            <w:r>
              <w:rPr>
                <w:b/>
              </w:rPr>
              <w:t xml:space="preserve">OK </w:t>
            </w:r>
            <w:r>
              <w:t xml:space="preserve">and </w:t>
            </w:r>
            <w:r>
              <w:rPr>
                <w:b/>
              </w:rPr>
              <w:t>Yes</w:t>
            </w:r>
            <w:r>
              <w:t xml:space="preserve"> to save and continue, or </w:t>
            </w:r>
            <w:r>
              <w:rPr>
                <w:b/>
              </w:rPr>
              <w:t>No</w:t>
            </w:r>
            <w:r>
              <w:t xml:space="preserve"> to return to the screen and continue.</w:t>
            </w:r>
          </w:p>
          <w:p w:rsidR="002A21AE" w:rsidRDefault="002A21AE">
            <w:pPr>
              <w:pStyle w:val="TableTextNumbersContinued"/>
            </w:pPr>
          </w:p>
          <w:p w:rsidR="002A21AE" w:rsidRDefault="002A21AE">
            <w:pPr>
              <w:pStyle w:val="TableTextNumbersContinued"/>
            </w:pPr>
            <w:r>
              <w:t xml:space="preserve">Click </w:t>
            </w:r>
            <w:r>
              <w:rPr>
                <w:b/>
              </w:rPr>
              <w:t>Cancel</w:t>
            </w:r>
            <w:r>
              <w:t xml:space="preserve"> to exit without saving.</w:t>
            </w:r>
            <w:r>
              <w:rPr>
                <w:vanish/>
                <w:szCs w:val="18"/>
              </w:rPr>
              <w:t xml:space="preserve">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rsidR="002A21AE" w:rsidRDefault="002A21AE">
            <w:pPr>
              <w:pStyle w:val="TableTextBullet"/>
              <w:ind w:left="0" w:firstLine="0"/>
            </w:pPr>
            <w:r>
              <w:t>Prompts the user to confirm the save.</w:t>
            </w:r>
          </w:p>
          <w:p w:rsidR="002A21AE" w:rsidRDefault="002A21AE">
            <w:pPr>
              <w:pStyle w:val="TableTextBullet"/>
              <w:ind w:left="0" w:firstLine="0"/>
            </w:pPr>
            <w:r>
              <w:t>Saves the updates to the equipment record.</w:t>
            </w:r>
          </w:p>
        </w:tc>
      </w:tr>
    </w:tbl>
    <w:p w:rsidR="005B4E11" w:rsidRDefault="005B4E11" w:rsidP="005B4E11">
      <w:pPr>
        <w:pStyle w:val="Caption"/>
      </w:pPr>
      <w:bookmarkStart w:id="250" w:name="_Ref126556751"/>
      <w:r>
        <w:lastRenderedPageBreak/>
        <w:t xml:space="preserve">Figure </w:t>
      </w:r>
      <w:r w:rsidR="00C17F7C">
        <w:fldChar w:fldCharType="begin"/>
      </w:r>
      <w:r w:rsidR="00C17F7C">
        <w:instrText xml:space="preserve"> SEQ Figure \* ARABIC </w:instrText>
      </w:r>
      <w:r w:rsidR="00C17F7C">
        <w:fldChar w:fldCharType="separate"/>
      </w:r>
      <w:r w:rsidR="005F38BC">
        <w:rPr>
          <w:noProof/>
        </w:rPr>
        <w:t>66</w:t>
      </w:r>
      <w:r w:rsidR="00C17F7C">
        <w:fldChar w:fldCharType="end"/>
      </w:r>
      <w:bookmarkEnd w:id="250"/>
      <w:r>
        <w:t>: Maintain Equipment</w:t>
      </w:r>
    </w:p>
    <w:p w:rsidR="009516A4" w:rsidRDefault="00634BFC" w:rsidP="005B4E11">
      <w:pPr>
        <w:pStyle w:val="BodyText"/>
      </w:pPr>
      <w:r>
        <w:rPr>
          <w:noProof/>
        </w:rPr>
        <w:drawing>
          <wp:inline distT="0" distB="0" distL="0" distR="0">
            <wp:extent cx="5600700" cy="441007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600700" cy="4410075"/>
                    </a:xfrm>
                    <a:prstGeom prst="rect">
                      <a:avLst/>
                    </a:prstGeom>
                    <a:noFill/>
                    <a:ln>
                      <a:noFill/>
                    </a:ln>
                  </pic:spPr>
                </pic:pic>
              </a:graphicData>
            </a:graphic>
          </wp:inline>
        </w:drawing>
      </w:r>
    </w:p>
    <w:p w:rsidR="00DA7128" w:rsidRDefault="009516A4" w:rsidP="009516A4">
      <w:pPr>
        <w:pStyle w:val="BodyText"/>
        <w:jc w:val="center"/>
      </w:pPr>
      <w:r>
        <w:br w:type="page"/>
      </w:r>
      <w:r>
        <w:lastRenderedPageBreak/>
        <w:t>This page intentionally left blank.</w:t>
      </w:r>
    </w:p>
    <w:p w:rsidR="002A21AE" w:rsidRDefault="002A21AE">
      <w:pPr>
        <w:pStyle w:val="Heading1"/>
      </w:pPr>
      <w:r>
        <w:br w:type="page"/>
      </w:r>
      <w:bookmarkStart w:id="251" w:name="_Toc63680360"/>
      <w:bookmarkStart w:id="252" w:name="_Toc459900105"/>
      <w:bookmarkEnd w:id="219"/>
      <w:r>
        <w:lastRenderedPageBreak/>
        <w:t>Component Processing</w:t>
      </w:r>
      <w:bookmarkEnd w:id="252"/>
      <w:r>
        <w:fldChar w:fldCharType="begin"/>
      </w:r>
      <w:r>
        <w:instrText xml:space="preserve"> XE </w:instrText>
      </w:r>
      <w:r w:rsidR="00FA7E65">
        <w:instrText>“</w:instrText>
      </w:r>
      <w:r>
        <w:instrText>Component Processing</w:instrText>
      </w:r>
      <w:r w:rsidR="00FA7E65">
        <w:instrText>”</w:instrText>
      </w:r>
      <w:r>
        <w:instrText xml:space="preserve"> </w:instrText>
      </w:r>
      <w:r>
        <w:fldChar w:fldCharType="end"/>
      </w:r>
    </w:p>
    <w:p w:rsidR="002A21AE" w:rsidRDefault="002A21AE">
      <w:pPr>
        <w:pStyle w:val="Heading2"/>
      </w:pPr>
      <w:bookmarkStart w:id="253" w:name="_Toc63680361"/>
      <w:bookmarkStart w:id="254" w:name="_Toc63680357"/>
      <w:bookmarkStart w:id="255" w:name="_Toc459900106"/>
      <w:bookmarkEnd w:id="251"/>
      <w:r>
        <w:t>Shipments</w:t>
      </w:r>
      <w:bookmarkEnd w:id="254"/>
      <w:bookmarkEnd w:id="255"/>
      <w:r>
        <w:fldChar w:fldCharType="begin"/>
      </w:r>
      <w:r>
        <w:instrText xml:space="preserve"> XE </w:instrText>
      </w:r>
      <w:r w:rsidR="00FA7E65">
        <w:instrText>“</w:instrText>
      </w:r>
      <w:r>
        <w:instrText>Shipments</w:instrText>
      </w:r>
      <w:r w:rsidR="00FA7E65">
        <w:instrText>”</w:instrText>
      </w:r>
      <w:r>
        <w:instrText xml:space="preserve"> </w:instrText>
      </w:r>
      <w:r>
        <w:fldChar w:fldCharType="end"/>
      </w:r>
    </w:p>
    <w:p w:rsidR="002A21AE" w:rsidRDefault="002A21AE">
      <w:pPr>
        <w:pStyle w:val="Heading3"/>
      </w:pPr>
      <w:bookmarkStart w:id="256" w:name="_Toc63680358"/>
      <w:bookmarkStart w:id="257" w:name="_Incoming_Shipment"/>
      <w:bookmarkStart w:id="258" w:name="_Toc459900107"/>
      <w:bookmarkEnd w:id="257"/>
      <w:r>
        <w:t>Incoming Shipment</w:t>
      </w:r>
      <w:bookmarkEnd w:id="258"/>
      <w:r w:rsidRPr="007716F7">
        <w:rPr>
          <w:vanish/>
        </w:rPr>
        <w:fldChar w:fldCharType="begin"/>
      </w:r>
      <w:r w:rsidRPr="007716F7">
        <w:rPr>
          <w:vanish/>
        </w:rPr>
        <w:instrText xml:space="preserve"> XE </w:instrText>
      </w:r>
      <w:r w:rsidR="00FA7E65" w:rsidRPr="007716F7">
        <w:rPr>
          <w:vanish/>
        </w:rPr>
        <w:instrText>“</w:instrText>
      </w:r>
      <w:r w:rsidRPr="007716F7">
        <w:rPr>
          <w:vanish/>
        </w:rPr>
        <w:instrText>Incoming Shipment</w:instrText>
      </w:r>
      <w:r w:rsidR="00FA7E65" w:rsidRPr="007716F7">
        <w:rPr>
          <w:vanish/>
        </w:rPr>
        <w:instrText>”</w:instrText>
      </w:r>
      <w:r w:rsidRPr="007716F7">
        <w:rPr>
          <w:vanish/>
        </w:rPr>
        <w:instrText xml:space="preserve"> </w:instrText>
      </w:r>
      <w:r w:rsidRPr="007716F7">
        <w:rPr>
          <w:vanish/>
        </w:rPr>
        <w:fldChar w:fldCharType="end"/>
      </w:r>
      <w:r w:rsidRPr="007716F7">
        <w:rPr>
          <w:vanish/>
        </w:rPr>
        <w:t xml:space="preserve"> UC_01</w:t>
      </w:r>
    </w:p>
    <w:p w:rsidR="002A21AE" w:rsidRDefault="002A21AE" w:rsidP="00FA7E65">
      <w:pPr>
        <w:pStyle w:val="BodyText"/>
      </w:pPr>
      <w:r>
        <w:t xml:space="preserve">A shipment handled in this option contains one or more containers of human blood products. </w:t>
      </w:r>
    </w:p>
    <w:p w:rsidR="002A21AE" w:rsidRDefault="002A21AE" w:rsidP="00FA7E65">
      <w:pPr>
        <w:pStyle w:val="BodyText"/>
      </w:pPr>
      <w:r>
        <w:t>The user may use a barcode scanner to read information from a unit blood bag (recommended) or enter this information. The user reviews and confirms the information before adding a unit to the database.</w:t>
      </w:r>
    </w:p>
    <w:p w:rsidR="002A21AE" w:rsidRDefault="002A21AE">
      <w:pPr>
        <w:pStyle w:val="Heading4"/>
      </w:pPr>
      <w:r>
        <w:t>Assumptions</w:t>
      </w:r>
    </w:p>
    <w:p w:rsidR="002A21AE" w:rsidRDefault="002A21AE">
      <w:pPr>
        <w:pStyle w:val="ListBullet"/>
      </w:pPr>
      <w:r>
        <w:t xml:space="preserve">The connection to </w:t>
      </w:r>
      <w:r w:rsidR="00CA0045" w:rsidRPr="00CA0045">
        <w:rPr>
          <w:bCs/>
        </w:rPr>
        <w:t>VistA</w:t>
      </w:r>
      <w:r w:rsidR="00905CBA">
        <w:t xml:space="preserve"> is active</w:t>
      </w:r>
      <w:r>
        <w:t>.</w:t>
      </w:r>
    </w:p>
    <w:p w:rsidR="002A21AE" w:rsidRDefault="002A21AE">
      <w:pPr>
        <w:pStyle w:val="ListBullet"/>
      </w:pPr>
      <w:r>
        <w:t>The division is configured.</w:t>
      </w:r>
    </w:p>
    <w:p w:rsidR="006B4DCB" w:rsidRDefault="00AF37DA" w:rsidP="006B4DCB">
      <w:pPr>
        <w:pStyle w:val="ListBullet"/>
      </w:pPr>
      <w:r>
        <w:t>The shipper is active.</w:t>
      </w:r>
    </w:p>
    <w:p w:rsidR="00AE02FE" w:rsidRDefault="00AE02FE">
      <w:pPr>
        <w:pStyle w:val="ListBullet"/>
      </w:pPr>
      <w:r>
        <w:t>Units are inspected and deemed satisfactory for receipt before they are entered in VBECS.</w:t>
      </w:r>
    </w:p>
    <w:p w:rsidR="002A21AE" w:rsidRDefault="002A21AE">
      <w:pPr>
        <w:pStyle w:val="Heading4"/>
      </w:pPr>
      <w:r>
        <w:t>Outcome</w:t>
      </w:r>
    </w:p>
    <w:p w:rsidR="002A21AE" w:rsidRDefault="002A21AE">
      <w:pPr>
        <w:pStyle w:val="ListBullet"/>
      </w:pPr>
      <w:r>
        <w:t>A shipment or partial shipment of blood units was processed and added to the blood bank inventory.</w:t>
      </w:r>
    </w:p>
    <w:p w:rsidR="002A21AE" w:rsidRDefault="002A21AE">
      <w:pPr>
        <w:pStyle w:val="ListBullet"/>
      </w:pPr>
      <w:r>
        <w:t>The initial status for each unit was set in accordance with component class.</w:t>
      </w:r>
    </w:p>
    <w:p w:rsidR="002A21AE" w:rsidRDefault="002A21AE">
      <w:pPr>
        <w:pStyle w:val="Heading4"/>
      </w:pPr>
      <w:r>
        <w:t>Limitations and Restrictions</w:t>
      </w:r>
    </w:p>
    <w:p w:rsidR="00F862E5" w:rsidRDefault="00F862E5" w:rsidP="009212B0">
      <w:pPr>
        <w:pStyle w:val="ListBullet"/>
      </w:pPr>
      <w:bookmarkStart w:id="259" w:name="OLE_LINK29"/>
      <w:bookmarkStart w:id="260" w:name="OLE_LINK30"/>
      <w:r>
        <w:t>VBECS d</w:t>
      </w:r>
      <w:r w:rsidRPr="00F862E5">
        <w:t xml:space="preserve">oes not </w:t>
      </w:r>
      <w:r w:rsidR="008C657D">
        <w:t>compare</w:t>
      </w:r>
      <w:r w:rsidRPr="00F862E5">
        <w:t xml:space="preserve"> </w:t>
      </w:r>
      <w:r w:rsidR="008C657D">
        <w:t xml:space="preserve">the ABO/Rh </w:t>
      </w:r>
      <w:r w:rsidRPr="00F862E5">
        <w:t xml:space="preserve">of </w:t>
      </w:r>
      <w:r>
        <w:t>a</w:t>
      </w:r>
      <w:r w:rsidR="008C657D">
        <w:t>n</w:t>
      </w:r>
      <w:r w:rsidRPr="00F862E5">
        <w:t xml:space="preserve"> </w:t>
      </w:r>
      <w:r w:rsidR="008C657D">
        <w:t>a</w:t>
      </w:r>
      <w:r w:rsidRPr="00F862E5">
        <w:t xml:space="preserve">utologous unit </w:t>
      </w:r>
      <w:r w:rsidR="008C657D">
        <w:t xml:space="preserve">or display a message when the ABO/Rh </w:t>
      </w:r>
      <w:r w:rsidRPr="00F862E5">
        <w:t xml:space="preserve">is incompatible with the </w:t>
      </w:r>
      <w:r>
        <w:t>r</w:t>
      </w:r>
      <w:r w:rsidRPr="00F862E5">
        <w:t xml:space="preserve">estricted </w:t>
      </w:r>
      <w:r>
        <w:t>f</w:t>
      </w:r>
      <w:r w:rsidRPr="00F862E5">
        <w:t>or patient</w:t>
      </w:r>
      <w:r>
        <w:t>.</w:t>
      </w:r>
    </w:p>
    <w:bookmarkEnd w:id="259"/>
    <w:bookmarkEnd w:id="260"/>
    <w:p w:rsidR="00DC5A13" w:rsidRDefault="00DC5A13" w:rsidP="00DC5A13">
      <w:pPr>
        <w:pStyle w:val="Caution"/>
      </w:pPr>
      <w:r w:rsidRPr="009A667D">
        <w:t>When a product typ</w:t>
      </w:r>
      <w:r w:rsidR="009A667D" w:rsidRPr="009A667D">
        <w:t>e, cod</w:t>
      </w:r>
      <w:r w:rsidRPr="009A667D">
        <w:t>e</w:t>
      </w:r>
      <w:r w:rsidR="009A667D" w:rsidRPr="009A667D">
        <w:t>,</w:t>
      </w:r>
      <w:r w:rsidRPr="009A667D">
        <w:t xml:space="preserve"> or</w:t>
      </w:r>
      <w:r w:rsidR="009A667D" w:rsidRPr="009A667D">
        <w:t xml:space="preserve"> local</w:t>
      </w:r>
      <w:r w:rsidRPr="009A667D">
        <w:t xml:space="preserve"> code is not in</w:t>
      </w:r>
      <w:r>
        <w:t xml:space="preserve"> VBECS or a blood supplier creates a product code, contact the Help Desk. See Customer Support for contact information.</w:t>
      </w:r>
      <w:r w:rsidR="00703780" w:rsidRPr="00703780">
        <w:rPr>
          <w:vanish/>
        </w:rPr>
        <w:t>(DR 2,640)</w:t>
      </w:r>
    </w:p>
    <w:p w:rsidR="009212B0" w:rsidRPr="009212B0" w:rsidRDefault="009212B0" w:rsidP="009212B0">
      <w:pPr>
        <w:pStyle w:val="ListBullet"/>
      </w:pPr>
      <w:r w:rsidRPr="009212B0">
        <w:t>The user must enter the donation type for Codabar-labeled units.</w:t>
      </w:r>
    </w:p>
    <w:p w:rsidR="008C1BD3" w:rsidRDefault="008C1BD3" w:rsidP="00C805FB">
      <w:pPr>
        <w:pStyle w:val="ListBullet"/>
      </w:pPr>
      <w:r>
        <w:t>T</w:t>
      </w:r>
      <w:r w:rsidRPr="008C1BD3">
        <w:t xml:space="preserve">he </w:t>
      </w:r>
      <w:r>
        <w:t>unit expiration [</w:t>
      </w:r>
      <w:r w:rsidRPr="008C1BD3">
        <w:t>Maximum Storage Time (MST)</w:t>
      </w:r>
      <w:r>
        <w:t>]</w:t>
      </w:r>
      <w:r w:rsidRPr="008C1BD3">
        <w:t xml:space="preserve"> is set to the longest possible storage time based on product type, core condition</w:t>
      </w:r>
      <w:r w:rsidR="00922AD8" w:rsidRPr="008C1BD3">
        <w:t>, attributes</w:t>
      </w:r>
      <w:r w:rsidRPr="008C1BD3">
        <w:t>, and available references as a guide. The MST is set at a higher leve</w:t>
      </w:r>
      <w:r>
        <w:t>l</w:t>
      </w:r>
      <w:r w:rsidRPr="008C1BD3">
        <w:t xml:space="preserve"> than an individual collection product code. VBECS does not know the specific collection details.  It is the </w:t>
      </w:r>
      <w:r w:rsidR="008B6D25" w:rsidRPr="008C1BD3">
        <w:t>responsibility</w:t>
      </w:r>
      <w:r w:rsidRPr="008C1BD3">
        <w:t xml:space="preserve"> of each user to accurately enter and process any one blood unit based on its expiration date/time as labeled by the collection facility.</w:t>
      </w:r>
      <w:r>
        <w:rPr>
          <w:vanish/>
        </w:rPr>
        <w:t xml:space="preserve"> Task 1280</w:t>
      </w:r>
    </w:p>
    <w:p w:rsidR="00C805FB" w:rsidRDefault="00C805FB" w:rsidP="00C805FB">
      <w:pPr>
        <w:pStyle w:val="ListBullet"/>
      </w:pPr>
      <w:r>
        <w:t>When a user inadvertently enters a unit ID that is longer than seven characters for a Codabar unit, or 13 characters for an ISBT 128 unit, VBECS accepts the entry but will not associate it with the scanned unit ID.</w:t>
      </w:r>
      <w:r w:rsidR="0000455C" w:rsidRPr="0000455C">
        <w:rPr>
          <w:vanish/>
        </w:rPr>
        <w:t xml:space="preserve"> DR 2,671</w:t>
      </w:r>
    </w:p>
    <w:p w:rsidR="00947FF8" w:rsidRDefault="003D0CA1" w:rsidP="009212B0">
      <w:pPr>
        <w:pStyle w:val="ListBullet"/>
      </w:pPr>
      <w:r w:rsidRPr="009212B0">
        <w:t>When blood products intended for quarantine are scanned, VBECS does not automatically quarantine them: the user must do so.</w:t>
      </w:r>
    </w:p>
    <w:p w:rsidR="00F1437A" w:rsidRDefault="00F1437A" w:rsidP="009212B0">
      <w:pPr>
        <w:pStyle w:val="ListBullet"/>
      </w:pPr>
      <w:r>
        <w:t>The display of Special Testing for a unit is limited to 253 characters in Incoming Shipment. All of the special testing is saved in VBECS and is available on reports.</w:t>
      </w:r>
      <w:r>
        <w:rPr>
          <w:vanish/>
        </w:rPr>
        <w:t xml:space="preserve"> DR 3781</w:t>
      </w:r>
    </w:p>
    <w:p w:rsidR="00CE1BCA" w:rsidRDefault="00CE1BCA" w:rsidP="009212B0">
      <w:pPr>
        <w:pStyle w:val="ListBullet"/>
      </w:pPr>
      <w:r>
        <w:t xml:space="preserve">The display label that is built when logging a blood product into VBECS does not change from volunteer donor to autologous when the donation type is changed. </w:t>
      </w:r>
      <w:r>
        <w:rPr>
          <w:vanish/>
        </w:rPr>
        <w:t>DR 3041</w:t>
      </w:r>
    </w:p>
    <w:p w:rsidR="007E4F3D" w:rsidRPr="009212B0" w:rsidRDefault="007E4F3D" w:rsidP="009212B0">
      <w:pPr>
        <w:pStyle w:val="ListBullet"/>
      </w:pPr>
      <w:r w:rsidRPr="00E032D7">
        <w:t xml:space="preserve">VBECS </w:t>
      </w:r>
      <w:r>
        <w:t xml:space="preserve">does not accept scanned information for some modified ISBT 128 </w:t>
      </w:r>
      <w:r w:rsidRPr="00E032D7">
        <w:t>blood units</w:t>
      </w:r>
      <w:r>
        <w:t>. VBECS accepts entered information in these instances.</w:t>
      </w:r>
      <w:r w:rsidRPr="00E032D7">
        <w:rPr>
          <w:vanish/>
        </w:rPr>
        <w:t>UserDoc Task 1085, based on CR 1594 (deferred)</w:t>
      </w:r>
      <w:r w:rsidRPr="006805FF">
        <w:rPr>
          <w:vanish/>
        </w:rPr>
        <w:t xml:space="preserve"> UserDoc Task 1091, based on DR 1922</w:t>
      </w:r>
    </w:p>
    <w:p w:rsidR="00B4679A" w:rsidRPr="009212B0" w:rsidRDefault="005D3F4F" w:rsidP="009212B0">
      <w:pPr>
        <w:pStyle w:val="ListBullet"/>
      </w:pPr>
      <w:r>
        <w:t>VBECS does not recognize scanned</w:t>
      </w:r>
      <w:r w:rsidR="00190AFA" w:rsidRPr="009212B0">
        <w:t xml:space="preserve"> labels for </w:t>
      </w:r>
      <w:r w:rsidR="00EF77F8">
        <w:t>para-Bombay or B</w:t>
      </w:r>
      <w:r w:rsidR="00B4679A" w:rsidRPr="009212B0">
        <w:t xml:space="preserve">ombay </w:t>
      </w:r>
      <w:r w:rsidR="00190AFA" w:rsidRPr="009212B0">
        <w:t xml:space="preserve">ISBT </w:t>
      </w:r>
      <w:r w:rsidR="00B4679A" w:rsidRPr="009212B0">
        <w:t>unit</w:t>
      </w:r>
      <w:r w:rsidR="00190AFA" w:rsidRPr="009212B0">
        <w:t>s</w:t>
      </w:r>
      <w:r w:rsidR="00B4679A" w:rsidRPr="009212B0">
        <w:t>.</w:t>
      </w:r>
    </w:p>
    <w:p w:rsidR="0078512B" w:rsidRPr="009212B0" w:rsidRDefault="0078512B" w:rsidP="009212B0">
      <w:pPr>
        <w:pStyle w:val="ListBullet"/>
      </w:pPr>
      <w:r w:rsidRPr="009212B0">
        <w:lastRenderedPageBreak/>
        <w:t>VBECS does not check whether blood products with the same unit ID and different product codes are the same blood type.</w:t>
      </w:r>
    </w:p>
    <w:p w:rsidR="0078512B" w:rsidRDefault="005D3F4F" w:rsidP="009212B0">
      <w:pPr>
        <w:pStyle w:val="ListBullet"/>
      </w:pPr>
      <w:r>
        <w:t>VBECS does not allow duplicate IDs for the same product code.</w:t>
      </w:r>
    </w:p>
    <w:p w:rsidR="00B64A43" w:rsidRDefault="00B64A43" w:rsidP="009212B0">
      <w:pPr>
        <w:pStyle w:val="ListBullet"/>
      </w:pPr>
      <w:r>
        <w:t xml:space="preserve">VBECS reads Codabar prefixes and translates them into digits. </w:t>
      </w:r>
      <w:r w:rsidR="0083451B">
        <w:t>When</w:t>
      </w:r>
      <w:r w:rsidR="00AD1081">
        <w:t xml:space="preserve"> this results in</w:t>
      </w:r>
      <w:r w:rsidR="0083451B">
        <w:t xml:space="preserve"> </w:t>
      </w:r>
      <w:r w:rsidR="00AD1081">
        <w:t xml:space="preserve">identical </w:t>
      </w:r>
      <w:r w:rsidR="007124A6">
        <w:t xml:space="preserve">Codabar </w:t>
      </w:r>
      <w:r>
        <w:t>unit ID</w:t>
      </w:r>
      <w:r w:rsidR="007124A6">
        <w:t>s</w:t>
      </w:r>
      <w:r w:rsidR="0083451B">
        <w:t xml:space="preserve">, </w:t>
      </w:r>
      <w:r w:rsidR="007124A6">
        <w:t xml:space="preserve">keep the original unit and </w:t>
      </w:r>
      <w:r w:rsidR="0083451B">
        <w:t xml:space="preserve">return the </w:t>
      </w:r>
      <w:r w:rsidR="007124A6">
        <w:t>other unit</w:t>
      </w:r>
      <w:r w:rsidR="0083451B">
        <w:t xml:space="preserve"> to the supplier.</w:t>
      </w:r>
      <w:r w:rsidR="00DE7D08" w:rsidRPr="00DE7D08">
        <w:rPr>
          <w:vanish/>
        </w:rPr>
        <w:t xml:space="preserve"> DR 2,540</w:t>
      </w:r>
    </w:p>
    <w:p w:rsidR="00452BA4" w:rsidRDefault="00452BA4" w:rsidP="009212B0">
      <w:pPr>
        <w:pStyle w:val="ListBullet"/>
      </w:pPr>
      <w:r>
        <w:t>When a user scans a p</w:t>
      </w:r>
      <w:r w:rsidRPr="00452BA4">
        <w:t xml:space="preserve">roduct </w:t>
      </w:r>
      <w:r>
        <w:t>c</w:t>
      </w:r>
      <w:r w:rsidRPr="00452BA4">
        <w:t xml:space="preserve">ode </w:t>
      </w:r>
      <w:r>
        <w:t>or</w:t>
      </w:r>
      <w:r w:rsidRPr="00452BA4">
        <w:t xml:space="preserve"> </w:t>
      </w:r>
      <w:r>
        <w:t>e</w:t>
      </w:r>
      <w:r w:rsidRPr="00452BA4">
        <w:t xml:space="preserve">xpiration </w:t>
      </w:r>
      <w:r>
        <w:t>d</w:t>
      </w:r>
      <w:r w:rsidRPr="00452BA4">
        <w:t>ate barcode in the Unit ID field</w:t>
      </w:r>
      <w:r>
        <w:t>, VBECS does not display the entered information or an</w:t>
      </w:r>
      <w:r w:rsidRPr="00452BA4">
        <w:t xml:space="preserve"> error icon. </w:t>
      </w:r>
    </w:p>
    <w:p w:rsidR="00DC22C9" w:rsidRDefault="00DC22C9" w:rsidP="009212B0">
      <w:pPr>
        <w:pStyle w:val="ListBullet"/>
      </w:pPr>
      <w:bookmarkStart w:id="261" w:name="OLE_LINK33"/>
      <w:bookmarkStart w:id="262" w:name="OLE_LINK34"/>
      <w:r w:rsidRPr="00DC22C9">
        <w:t xml:space="preserve">When </w:t>
      </w:r>
      <w:r>
        <w:t xml:space="preserve">a user scans an ISBT </w:t>
      </w:r>
      <w:r w:rsidR="00D723CF">
        <w:t xml:space="preserve">product ID </w:t>
      </w:r>
      <w:r>
        <w:t xml:space="preserve">with “0” as </w:t>
      </w:r>
      <w:r w:rsidR="004F2A80">
        <w:t xml:space="preserve">the </w:t>
      </w:r>
      <w:r w:rsidR="00D723CF">
        <w:t>donation type (</w:t>
      </w:r>
      <w:r>
        <w:t>sixth character</w:t>
      </w:r>
      <w:r w:rsidR="00D723CF">
        <w:t>)</w:t>
      </w:r>
      <w:r>
        <w:t xml:space="preserve">, VBECS indicates that the donation type is not specified. </w:t>
      </w:r>
      <w:r w:rsidR="004F2A80">
        <w:t>W</w:t>
      </w:r>
      <w:r w:rsidR="00205693">
        <w:t>h</w:t>
      </w:r>
      <w:r>
        <w:t xml:space="preserve">en the user selects </w:t>
      </w:r>
      <w:r w:rsidR="00DF2243">
        <w:t xml:space="preserve">a donation type </w:t>
      </w:r>
      <w:r>
        <w:t>from</w:t>
      </w:r>
      <w:r w:rsidRPr="00DC22C9">
        <w:t xml:space="preserve"> the </w:t>
      </w:r>
      <w:r w:rsidR="005131BC">
        <w:t>drop-down</w:t>
      </w:r>
      <w:r w:rsidRPr="00DC22C9">
        <w:t xml:space="preserve"> </w:t>
      </w:r>
      <w:r>
        <w:t xml:space="preserve">menu, VBECS </w:t>
      </w:r>
      <w:r w:rsidR="00DF2243">
        <w:t xml:space="preserve">replaces “0” with </w:t>
      </w:r>
      <w:r w:rsidR="00FD697C">
        <w:t>a</w:t>
      </w:r>
      <w:r w:rsidR="004F2A80">
        <w:t xml:space="preserve"> recognizable</w:t>
      </w:r>
      <w:r w:rsidR="00DF2243">
        <w:t xml:space="preserve"> </w:t>
      </w:r>
      <w:r w:rsidRPr="00DC22C9">
        <w:t>character in the product code text box and store</w:t>
      </w:r>
      <w:r w:rsidR="00DF2243">
        <w:t>s it as such</w:t>
      </w:r>
      <w:r w:rsidRPr="00DC22C9">
        <w:t xml:space="preserve">. </w:t>
      </w:r>
      <w:r w:rsidR="004F2A80">
        <w:t xml:space="preserve">When the user rescans the product ID, </w:t>
      </w:r>
      <w:r w:rsidR="00693E8E">
        <w:t xml:space="preserve">he </w:t>
      </w:r>
      <w:r w:rsidR="004F2A80">
        <w:t xml:space="preserve">must </w:t>
      </w:r>
      <w:r w:rsidRPr="00DC22C9">
        <w:t xml:space="preserve">manually </w:t>
      </w:r>
      <w:r w:rsidR="004F2A80">
        <w:t>replace</w:t>
      </w:r>
      <w:r w:rsidRPr="00DC22C9">
        <w:t xml:space="preserve"> </w:t>
      </w:r>
      <w:r w:rsidR="00693E8E">
        <w:t>“0”</w:t>
      </w:r>
      <w:r w:rsidR="004F2A80">
        <w:t xml:space="preserve"> or search using the unit ID alone, or the unit ID and the first five characters of the product ID</w:t>
      </w:r>
      <w:r w:rsidRPr="00DC22C9">
        <w:t xml:space="preserve">. </w:t>
      </w:r>
    </w:p>
    <w:p w:rsidR="000E07BD" w:rsidRDefault="000E07BD" w:rsidP="000E07BD">
      <w:pPr>
        <w:pStyle w:val="ListBullet"/>
      </w:pPr>
      <w:bookmarkStart w:id="263" w:name="_Toc76279374"/>
      <w:bookmarkEnd w:id="261"/>
      <w:bookmarkEnd w:id="262"/>
      <w:r>
        <w:t xml:space="preserve">Blood product code entries in the blood product table include those from ICCBBA for ISBT 128 and from the AABB Codabar table. Product codes created after </w:t>
      </w:r>
      <w:r w:rsidR="00D76A13">
        <w:t>the release of VBECS</w:t>
      </w:r>
      <w:r>
        <w:t xml:space="preserve"> cannot be entered until the updated tables are incorporated through patches to VBECS. Refuse acceptance of the unit, if possible.</w:t>
      </w:r>
      <w:r w:rsidR="003D71A3">
        <w:t xml:space="preserve"> </w:t>
      </w:r>
      <w:r>
        <w:t>U</w:t>
      </w:r>
      <w:r w:rsidRPr="009212B0">
        <w:t>ser</w:t>
      </w:r>
      <w:r>
        <w:t>s</w:t>
      </w:r>
      <w:r w:rsidRPr="009212B0">
        <w:t xml:space="preserve"> may not </w:t>
      </w:r>
      <w:r>
        <w:t>edit the blood product table.</w:t>
      </w:r>
    </w:p>
    <w:p w:rsidR="009C0C39" w:rsidRDefault="009C0C39" w:rsidP="009C0C39">
      <w:pPr>
        <w:pStyle w:val="ListBullet"/>
      </w:pPr>
      <w:r>
        <w:t>ISBT 128 tables include blood product codes labeled as not for manufacturing or transfusion.</w:t>
      </w:r>
      <w:r w:rsidR="00A25BC9">
        <w:t xml:space="preserve"> </w:t>
      </w:r>
      <w:r>
        <w:t>VBECS does not restrict such products from being entered, issued, or transferred</w:t>
      </w:r>
      <w:r w:rsidR="00F964B4">
        <w:t xml:space="preserve"> (</w:t>
      </w:r>
      <w:r>
        <w:t>local policy controls their use</w:t>
      </w:r>
      <w:r w:rsidR="00F964B4">
        <w:t>), but</w:t>
      </w:r>
      <w:r>
        <w:t xml:space="preserve"> does not accommodate blood modification for </w:t>
      </w:r>
      <w:r w:rsidR="00F964B4">
        <w:t>the</w:t>
      </w:r>
      <w:r w:rsidR="00976013">
        <w:t>se products</w:t>
      </w:r>
      <w:r w:rsidR="00F964B4">
        <w:t>.</w:t>
      </w:r>
    </w:p>
    <w:p w:rsidR="00A3263D" w:rsidRDefault="00A3263D" w:rsidP="009C0C39">
      <w:pPr>
        <w:pStyle w:val="ListBullet"/>
      </w:pPr>
      <w:r>
        <w:t xml:space="preserve">A user cannot bring in pooled ABO or pooled Rh types for plasma or FFP. </w:t>
      </w:r>
      <w:r w:rsidRPr="00A3263D">
        <w:t>Cryoprecipitate</w:t>
      </w:r>
      <w:r>
        <w:t xml:space="preserve"> is </w:t>
      </w:r>
      <w:r w:rsidRPr="00A3263D">
        <w:rPr>
          <w:b/>
        </w:rPr>
        <w:t>not</w:t>
      </w:r>
      <w:r>
        <w:t xml:space="preserve"> affected.</w:t>
      </w:r>
      <w:r w:rsidR="0013234C">
        <w:t xml:space="preserve"> </w:t>
      </w:r>
      <w:r w:rsidR="0013234C" w:rsidRPr="0013234C">
        <w:rPr>
          <w:vanish/>
        </w:rPr>
        <w:t>DR 4316</w:t>
      </w:r>
    </w:p>
    <w:p w:rsidR="002A21AE" w:rsidRDefault="002A21AE">
      <w:pPr>
        <w:pStyle w:val="Heading4"/>
      </w:pPr>
      <w:r>
        <w:t>Additional Information</w:t>
      </w:r>
      <w:bookmarkEnd w:id="263"/>
    </w:p>
    <w:p w:rsidR="00B743A4" w:rsidRPr="00922928" w:rsidRDefault="0004202A" w:rsidP="00B743A4">
      <w:pPr>
        <w:pStyle w:val="ListBullet"/>
      </w:pPr>
      <w:bookmarkStart w:id="264" w:name="_Toc76279375"/>
      <w:r w:rsidRPr="00B743A4">
        <w:rPr>
          <w:vanish/>
        </w:rPr>
        <w:t xml:space="preserve">BR_1.14 </w:t>
      </w:r>
      <w:r w:rsidR="00B743A4" w:rsidRPr="00922928">
        <w:t xml:space="preserve">A unique blood unit record is defined by the following data elements: </w:t>
      </w:r>
    </w:p>
    <w:p w:rsidR="00B743A4" w:rsidRPr="00922928" w:rsidRDefault="00B743A4" w:rsidP="00B743A4">
      <w:pPr>
        <w:pStyle w:val="ListBullet2"/>
        <w:tabs>
          <w:tab w:val="clear" w:pos="648"/>
          <w:tab w:val="num" w:pos="576"/>
        </w:tabs>
        <w:ind w:left="1008" w:hanging="360"/>
      </w:pPr>
      <w:r w:rsidRPr="00922928">
        <w:t>VBECS Division</w:t>
      </w:r>
    </w:p>
    <w:p w:rsidR="00B743A4" w:rsidRPr="00922928" w:rsidRDefault="00B743A4" w:rsidP="00B743A4">
      <w:pPr>
        <w:pStyle w:val="ListBullet2"/>
        <w:tabs>
          <w:tab w:val="clear" w:pos="648"/>
          <w:tab w:val="num" w:pos="576"/>
        </w:tabs>
        <w:ind w:left="1008" w:hanging="360"/>
      </w:pPr>
      <w:r w:rsidRPr="00922928">
        <w:t>Unit ID</w:t>
      </w:r>
    </w:p>
    <w:p w:rsidR="00B743A4" w:rsidRDefault="00B743A4" w:rsidP="00B743A4">
      <w:pPr>
        <w:pStyle w:val="ListBullet2"/>
        <w:tabs>
          <w:tab w:val="clear" w:pos="648"/>
          <w:tab w:val="num" w:pos="576"/>
        </w:tabs>
        <w:ind w:left="1008" w:hanging="360"/>
      </w:pPr>
      <w:r>
        <w:t>Product type code (Codabar Only)</w:t>
      </w:r>
    </w:p>
    <w:p w:rsidR="00B743A4" w:rsidRDefault="00B743A4" w:rsidP="00B743A4">
      <w:pPr>
        <w:pStyle w:val="ListBullet3"/>
      </w:pPr>
      <w:r>
        <w:t xml:space="preserve">For example: Product Code: 12000 will present a choice of Product type code: </w:t>
      </w:r>
    </w:p>
    <w:p w:rsidR="00B743A4" w:rsidRPr="00B743A4" w:rsidRDefault="00B743A4" w:rsidP="002F6D7B">
      <w:pPr>
        <w:pStyle w:val="TableText"/>
        <w:numPr>
          <w:ilvl w:val="2"/>
          <w:numId w:val="42"/>
        </w:numPr>
        <w:tabs>
          <w:tab w:val="clear" w:pos="2160"/>
          <w:tab w:val="num" w:pos="1528"/>
        </w:tabs>
        <w:ind w:hanging="992"/>
        <w:rPr>
          <w:rFonts w:ascii="Times New Roman" w:hAnsi="Times New Roman"/>
          <w:sz w:val="22"/>
          <w:szCs w:val="22"/>
        </w:rPr>
      </w:pPr>
      <w:r w:rsidRPr="00B743A4">
        <w:rPr>
          <w:rFonts w:ascii="Times New Roman" w:hAnsi="Times New Roman"/>
          <w:sz w:val="22"/>
          <w:szCs w:val="22"/>
        </w:rPr>
        <w:t>Platelets</w:t>
      </w:r>
    </w:p>
    <w:p w:rsidR="00B743A4" w:rsidRPr="00B743A4" w:rsidRDefault="00B743A4" w:rsidP="002F6D7B">
      <w:pPr>
        <w:pStyle w:val="TableText"/>
        <w:numPr>
          <w:ilvl w:val="2"/>
          <w:numId w:val="42"/>
        </w:numPr>
        <w:tabs>
          <w:tab w:val="clear" w:pos="2160"/>
          <w:tab w:val="num" w:pos="1528"/>
        </w:tabs>
        <w:ind w:hanging="992"/>
        <w:rPr>
          <w:rFonts w:ascii="Times New Roman" w:hAnsi="Times New Roman"/>
          <w:sz w:val="22"/>
          <w:szCs w:val="22"/>
        </w:rPr>
      </w:pPr>
      <w:r w:rsidRPr="00B743A4">
        <w:rPr>
          <w:rFonts w:ascii="Times New Roman" w:hAnsi="Times New Roman"/>
          <w:sz w:val="22"/>
          <w:szCs w:val="22"/>
        </w:rPr>
        <w:t>Washed Platelets</w:t>
      </w:r>
    </w:p>
    <w:p w:rsidR="00B743A4" w:rsidRPr="00922928" w:rsidRDefault="00B743A4" w:rsidP="00B743A4">
      <w:pPr>
        <w:pStyle w:val="ListBullet2"/>
        <w:tabs>
          <w:tab w:val="clear" w:pos="648"/>
          <w:tab w:val="num" w:pos="576"/>
        </w:tabs>
        <w:ind w:left="1008" w:hanging="360"/>
      </w:pPr>
      <w:r w:rsidRPr="00922928">
        <w:t>Product code</w:t>
      </w:r>
    </w:p>
    <w:p w:rsidR="00B743A4" w:rsidRDefault="00B743A4" w:rsidP="00B743A4">
      <w:pPr>
        <w:pStyle w:val="ListBullet3"/>
      </w:pPr>
      <w:r>
        <w:t>Codabar (5 digits)</w:t>
      </w:r>
    </w:p>
    <w:p w:rsidR="00B743A4" w:rsidRPr="00B743A4" w:rsidRDefault="00B743A4" w:rsidP="00B743A4">
      <w:pPr>
        <w:pStyle w:val="ListBullet3"/>
        <w:rPr>
          <w:spacing w:val="-5"/>
        </w:rPr>
      </w:pPr>
      <w:r>
        <w:t>ISBT 128 (8 alphanumeric characters).</w:t>
      </w:r>
    </w:p>
    <w:p w:rsidR="0004202A" w:rsidRDefault="0004202A" w:rsidP="0004202A">
      <w:pPr>
        <w:pStyle w:val="ListBullet"/>
      </w:pPr>
      <w:r>
        <w:t>VBECS stores scanned ISBT 128 product codes and displays them as eight characters:</w:t>
      </w:r>
    </w:p>
    <w:p w:rsidR="0004202A" w:rsidRDefault="0004202A" w:rsidP="0004202A">
      <w:pPr>
        <w:pStyle w:val="ListBullet2"/>
      </w:pPr>
      <w:r>
        <w:t>Characters 1–5: product type</w:t>
      </w:r>
    </w:p>
    <w:p w:rsidR="0004202A" w:rsidRDefault="0004202A" w:rsidP="0004202A">
      <w:pPr>
        <w:pStyle w:val="ListBullet2"/>
      </w:pPr>
      <w:r>
        <w:t>Character 6: donation type</w:t>
      </w:r>
    </w:p>
    <w:p w:rsidR="0004202A" w:rsidRDefault="0004202A" w:rsidP="0004202A">
      <w:pPr>
        <w:pStyle w:val="ListBullet2"/>
      </w:pPr>
      <w:r>
        <w:t>Characters 7 and 8: division code (split)</w:t>
      </w:r>
    </w:p>
    <w:p w:rsidR="0004202A" w:rsidRDefault="0004202A" w:rsidP="0004202A">
      <w:pPr>
        <w:pStyle w:val="ListBullet"/>
      </w:pPr>
      <w:r>
        <w:rPr>
          <w:vanish/>
          <w:spacing w:val="0"/>
        </w:rPr>
        <w:t xml:space="preserve">BR_1.13 </w:t>
      </w:r>
      <w:r>
        <w:t>VBECS may display a scanned Codabar product code as seven characters.</w:t>
      </w:r>
    </w:p>
    <w:p w:rsidR="00467C77" w:rsidRPr="00467C77" w:rsidRDefault="0087742E" w:rsidP="00363509">
      <w:pPr>
        <w:pStyle w:val="ListBullet"/>
      </w:pPr>
      <w:r w:rsidRPr="00467C77">
        <w:t xml:space="preserve">When </w:t>
      </w:r>
      <w:r w:rsidR="0004065B" w:rsidRPr="00467C77">
        <w:t xml:space="preserve">ISBT 128 </w:t>
      </w:r>
      <w:r w:rsidRPr="00467C77">
        <w:t xml:space="preserve">units received during downtime must be issued, it is recommended that the user record the check character. </w:t>
      </w:r>
      <w:r w:rsidR="00871BF5" w:rsidRPr="00467C77">
        <w:t xml:space="preserve">When a blood unit is to be logged in after downtime and the unit is unavailable for scanning, the user must enter the </w:t>
      </w:r>
      <w:r w:rsidR="00DC36C4" w:rsidRPr="00467C77">
        <w:t xml:space="preserve">ISBT </w:t>
      </w:r>
      <w:r w:rsidR="00363509" w:rsidRPr="00467C77">
        <w:t>unit ID</w:t>
      </w:r>
      <w:r w:rsidR="00871BF5" w:rsidRPr="00467C77">
        <w:t xml:space="preserve"> and </w:t>
      </w:r>
      <w:r w:rsidR="00DC36C4" w:rsidRPr="00467C77">
        <w:t>the case-sensitive check character (</w:t>
      </w:r>
      <w:r w:rsidR="00363509" w:rsidRPr="00467C77">
        <w:t xml:space="preserve">the character in the </w:t>
      </w:r>
      <w:r w:rsidR="00DC36C4" w:rsidRPr="00467C77">
        <w:t xml:space="preserve">square following the </w:t>
      </w:r>
      <w:r w:rsidR="00363509" w:rsidRPr="00467C77">
        <w:t>unit ID</w:t>
      </w:r>
      <w:r w:rsidR="00DC36C4" w:rsidRPr="00467C77">
        <w:t>).</w:t>
      </w:r>
      <w:r w:rsidR="00871BF5" w:rsidRPr="00467C77">
        <w:t xml:space="preserve"> </w:t>
      </w:r>
      <w:bookmarkStart w:id="265" w:name="OLE_LINK9"/>
      <w:bookmarkStart w:id="266" w:name="OLE_LINK10"/>
    </w:p>
    <w:p w:rsidR="00467C77" w:rsidRPr="00467C77" w:rsidRDefault="00363509">
      <w:pPr>
        <w:pStyle w:val="ListBullet"/>
      </w:pPr>
      <w:r w:rsidRPr="00467C77">
        <w:t>To calculate a check character</w:t>
      </w:r>
      <w:r w:rsidRPr="00467C77">
        <w:fldChar w:fldCharType="begin"/>
      </w:r>
      <w:r w:rsidRPr="00467C77">
        <w:instrText xml:space="preserve"> XE "check character" </w:instrText>
      </w:r>
      <w:r w:rsidRPr="00467C77">
        <w:fldChar w:fldCharType="end"/>
      </w:r>
      <w:r w:rsidRPr="00467C77">
        <w:t>, see the Quick K Calculator</w:t>
      </w:r>
      <w:r w:rsidR="00985C7F" w:rsidRPr="00467C77">
        <w:fldChar w:fldCharType="begin"/>
      </w:r>
      <w:r w:rsidR="00985C7F" w:rsidRPr="00467C77">
        <w:instrText xml:space="preserve"> XE "Quick K Calculator" </w:instrText>
      </w:r>
      <w:r w:rsidR="00985C7F" w:rsidRPr="00467C77">
        <w:fldChar w:fldCharType="end"/>
      </w:r>
      <w:r w:rsidRPr="00467C77">
        <w:t xml:space="preserve"> on the ICCBBA Web page under ISBT 128, Other Tools. Follow the instructions to download the application.</w:t>
      </w:r>
      <w:bookmarkEnd w:id="265"/>
      <w:bookmarkEnd w:id="266"/>
    </w:p>
    <w:p w:rsidR="00467C77" w:rsidRPr="00467C77" w:rsidRDefault="002A21AE" w:rsidP="00C718D7">
      <w:pPr>
        <w:pStyle w:val="ListBullet"/>
      </w:pPr>
      <w:r w:rsidRPr="00467C77">
        <w:t>Each division may have only one blood unit record of the same product type, product code, and unit ID. A unit shipped out (transferred) and subsequently shipped to (received by) a division in the same database will maintain individual records of the unit ID and product code for each division.</w:t>
      </w:r>
    </w:p>
    <w:p w:rsidR="00467C77" w:rsidRPr="00467C77" w:rsidRDefault="00C718D7" w:rsidP="00C718D7">
      <w:pPr>
        <w:pStyle w:val="ListBullet"/>
      </w:pPr>
      <w:r w:rsidRPr="00467C77">
        <w:lastRenderedPageBreak/>
        <w:t xml:space="preserve">Several data elements, including the unit ID and product code, define a blood unit record as unique. </w:t>
      </w:r>
      <w:r w:rsidR="0078512B" w:rsidRPr="00467C77">
        <w:t xml:space="preserve">The unit record also includes </w:t>
      </w:r>
      <w:r w:rsidRPr="00467C77">
        <w:t>expiration date</w:t>
      </w:r>
      <w:r w:rsidR="0078512B" w:rsidRPr="00467C77">
        <w:t xml:space="preserve"> and </w:t>
      </w:r>
      <w:r w:rsidRPr="00467C77">
        <w:t>time, blood type</w:t>
      </w:r>
      <w:r w:rsidR="0078512B" w:rsidRPr="00467C77">
        <w:t>,</w:t>
      </w:r>
      <w:r w:rsidRPr="00467C77">
        <w:t xml:space="preserve"> and donation type. </w:t>
      </w:r>
      <w:r w:rsidR="0078512B" w:rsidRPr="00467C77">
        <w:t>These data elements are not editable.</w:t>
      </w:r>
    </w:p>
    <w:p w:rsidR="00992C7D" w:rsidRPr="00467C77" w:rsidRDefault="00992C7D" w:rsidP="00C718D7">
      <w:pPr>
        <w:pStyle w:val="ListBullet"/>
      </w:pPr>
      <w:r w:rsidRPr="00467C77">
        <w:t xml:space="preserve">Some suppliers relabel blood products and do not affix their own FDA Registration Number to </w:t>
      </w:r>
      <w:r w:rsidR="009026B6" w:rsidRPr="00467C77">
        <w:t xml:space="preserve">those </w:t>
      </w:r>
      <w:r w:rsidRPr="00467C77">
        <w:t xml:space="preserve">units. </w:t>
      </w:r>
      <w:r w:rsidR="00D86843" w:rsidRPr="00467C77">
        <w:t xml:space="preserve">It is recommended that the user obtain FDA Registration Number barcodes from their suppliers and </w:t>
      </w:r>
      <w:r w:rsidR="00DD5226" w:rsidRPr="00467C77">
        <w:t>use them for</w:t>
      </w:r>
      <w:r w:rsidR="00D86843" w:rsidRPr="00467C77">
        <w:t xml:space="preserve"> scanning </w:t>
      </w:r>
      <w:r w:rsidRPr="00467C77">
        <w:t>the shipper.</w:t>
      </w:r>
    </w:p>
    <w:p w:rsidR="002A21AE" w:rsidRDefault="002A21AE">
      <w:pPr>
        <w:pStyle w:val="Heading4"/>
      </w:pPr>
      <w:r>
        <w:t>User Roles with Access to This Option</w:t>
      </w:r>
      <w:bookmarkEnd w:id="264"/>
    </w:p>
    <w:p w:rsidR="002A21AE" w:rsidRDefault="00873EEB">
      <w:pPr>
        <w:pStyle w:val="Roles"/>
        <w:rPr>
          <w:snapToGrid w:val="0"/>
        </w:rPr>
      </w:pPr>
      <w:r>
        <w:t>All users</w:t>
      </w:r>
    </w:p>
    <w:p w:rsidR="002A21AE" w:rsidRDefault="00634BFC">
      <w:pPr>
        <w:pStyle w:val="Heading4"/>
      </w:pPr>
      <w:r>
        <w:rPr>
          <w:noProof/>
        </w:rPr>
        <w:drawing>
          <wp:inline distT="0" distB="0" distL="0" distR="0">
            <wp:extent cx="152400" cy="1524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A21AE">
        <w:t xml:space="preserve"> Incoming Shipment </w:t>
      </w:r>
    </w:p>
    <w:p w:rsidR="002A21AE" w:rsidRDefault="00A367A9" w:rsidP="00FA7E65">
      <w:pPr>
        <w:pStyle w:val="BodyText"/>
      </w:pPr>
      <w:r>
        <w:t>I</w:t>
      </w:r>
      <w:r w:rsidR="002A21AE">
        <w:t xml:space="preserve">n a “transfusion-only” facility, units must be restricted for use by a specific patient while an incoming shipment is processed. VBECS identifies the original collection facility to determine the presence of an eye-readable prefix and/or alphabetical characters in a </w:t>
      </w:r>
      <w:r>
        <w:t xml:space="preserve">Codabar </w:t>
      </w:r>
      <w:r w:rsidR="002A21AE">
        <w:t>unit ID. A user may enter unique unit information regarding special testing and antigen phenotyping. The user confirms that all entered units from the shipment were added to the database in the blood bank.</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pPr>
              <w:pStyle w:val="TableTextNumbers"/>
            </w:pPr>
            <w:r>
              <w:t xml:space="preserve">Select </w:t>
            </w:r>
            <w:r>
              <w:rPr>
                <w:b/>
              </w:rPr>
              <w:t>Shipments</w:t>
            </w:r>
            <w:r>
              <w:t xml:space="preserve"> from the main menu.</w:t>
            </w:r>
          </w:p>
          <w:p w:rsidR="002A21AE" w:rsidRDefault="002A21AE">
            <w:pPr>
              <w:pStyle w:val="TableTextNumbersContinued"/>
              <w:rPr>
                <w:b/>
                <w:bCs/>
              </w:rPr>
            </w:pPr>
          </w:p>
          <w:p w:rsidR="002A21AE" w:rsidRDefault="002A21AE">
            <w:pPr>
              <w:pStyle w:val="TableTextNumbersContinued"/>
              <w:rPr>
                <w:b/>
                <w:bCs/>
              </w:rPr>
            </w:pPr>
            <w:r w:rsidRPr="00C761CD">
              <w:rPr>
                <w:bCs/>
              </w:rPr>
              <w:t>Select</w:t>
            </w:r>
            <w:r>
              <w:rPr>
                <w:b/>
                <w:bCs/>
              </w:rPr>
              <w:t xml:space="preserve"> Incoming Shipment</w:t>
            </w:r>
            <w:r w:rsidRPr="00C761CD">
              <w:rPr>
                <w:bCs/>
              </w:rPr>
              <w:t>.</w:t>
            </w:r>
          </w:p>
        </w:tc>
        <w:tc>
          <w:tcPr>
            <w:tcW w:w="6120" w:type="dxa"/>
          </w:tcPr>
          <w:p w:rsidR="002A21AE" w:rsidRDefault="002A21AE">
            <w:pPr>
              <w:pStyle w:val="TableTextBullet"/>
            </w:pPr>
            <w:r>
              <w:t xml:space="preserve">Displays options for processing blood product shipments. </w:t>
            </w:r>
          </w:p>
          <w:p w:rsidR="002A21AE" w:rsidRDefault="002A21AE">
            <w:pPr>
              <w:pStyle w:val="TableTextBullet"/>
            </w:pPr>
            <w:r>
              <w:t>Displays invoice information fields for entering shipment information.</w:t>
            </w:r>
          </w:p>
        </w:tc>
      </w:tr>
      <w:tr w:rsidR="002A21AE">
        <w:tblPrEx>
          <w:tblCellMar>
            <w:top w:w="0" w:type="dxa"/>
            <w:bottom w:w="0" w:type="dxa"/>
          </w:tblCellMar>
        </w:tblPrEx>
        <w:tc>
          <w:tcPr>
            <w:tcW w:w="3240" w:type="dxa"/>
          </w:tcPr>
          <w:p w:rsidR="002A21AE" w:rsidRDefault="002A21AE">
            <w:pPr>
              <w:pStyle w:val="TableTextNumbers"/>
            </w:pPr>
            <w:r>
              <w:t xml:space="preserve">Scan the invoice number barcode or enter the invoice number. </w:t>
            </w:r>
          </w:p>
          <w:p w:rsidR="002A21AE" w:rsidRDefault="002A21AE">
            <w:pPr>
              <w:pStyle w:val="TableTextNumbersContinued"/>
            </w:pPr>
          </w:p>
          <w:p w:rsidR="002A21AE" w:rsidRDefault="002A21AE">
            <w:pPr>
              <w:pStyle w:val="TableTextNumbersContinued"/>
            </w:pPr>
            <w:r>
              <w:t xml:space="preserve">To search for an existing invoice, click the </w:t>
            </w:r>
            <w:r w:rsidR="00A6373D">
              <w:rPr>
                <w:b/>
              </w:rPr>
              <w:t>find</w:t>
            </w:r>
            <w:r w:rsidRPr="00BF2E41">
              <w:t xml:space="preserve"> button</w:t>
            </w:r>
            <w:r>
              <w:t xml:space="preserve">. Enter an invoice number and/or select a shipper from the drop-down list, then click </w:t>
            </w:r>
            <w:r>
              <w:rPr>
                <w:b/>
              </w:rPr>
              <w:t>Search</w:t>
            </w:r>
            <w:r>
              <w:t xml:space="preserve">. Click an invoice number to select it and click </w:t>
            </w:r>
            <w:r>
              <w:rPr>
                <w:b/>
              </w:rPr>
              <w:t>OK</w:t>
            </w:r>
            <w:r>
              <w:t>.</w:t>
            </w:r>
          </w:p>
        </w:tc>
        <w:tc>
          <w:tcPr>
            <w:tcW w:w="6120" w:type="dxa"/>
          </w:tcPr>
          <w:p w:rsidR="002A21AE" w:rsidRDefault="002A21AE">
            <w:pPr>
              <w:pStyle w:val="TableTextBullet"/>
            </w:pPr>
            <w:r>
              <w:t>When an identified invoice does not exist, asks the user whether he wants to create an invoice and add units to it.</w:t>
            </w:r>
          </w:p>
          <w:p w:rsidR="002A21AE" w:rsidRDefault="002A21AE">
            <w:pPr>
              <w:pStyle w:val="TableTextBullet"/>
            </w:pPr>
            <w:r>
              <w:t>Displays the option to search for existing invoices by invoice number and/or by active shipper. When no match is found, notifies the user.</w:t>
            </w:r>
          </w:p>
          <w:p w:rsidR="002A21AE" w:rsidRDefault="002A21AE">
            <w:pPr>
              <w:pStyle w:val="TableText"/>
              <w:rPr>
                <w:b/>
                <w:bCs/>
                <w:szCs w:val="18"/>
              </w:rPr>
            </w:pPr>
          </w:p>
          <w:p w:rsidR="002A21AE" w:rsidRDefault="00634BFC">
            <w:pPr>
              <w:pStyle w:val="TableText"/>
              <w:rPr>
                <w:b/>
                <w:bCs/>
                <w:szCs w:val="18"/>
              </w:rPr>
            </w:pPr>
            <w:r>
              <w:rPr>
                <w:b/>
                <w:bCs/>
                <w:noProof/>
              </w:rPr>
              <mc:AlternateContent>
                <mc:Choice Requires="wps">
                  <w:drawing>
                    <wp:anchor distT="0" distB="0" distL="114300" distR="114300" simplePos="0" relativeHeight="25151232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19"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 o:spid="_x0000_s1026" style="position:absolute;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2vIFQIAAC0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K9H&#10;a8g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Pr="0051299B" w:rsidRDefault="002A21AE" w:rsidP="0051299B">
            <w:pPr>
              <w:pStyle w:val="NotesText"/>
            </w:pPr>
          </w:p>
          <w:p w:rsidR="002A21AE" w:rsidRDefault="002A21AE" w:rsidP="0051299B">
            <w:pPr>
              <w:pStyle w:val="NotesText"/>
            </w:pPr>
            <w:r w:rsidRPr="009660C3">
              <w:rPr>
                <w:vanish/>
                <w:szCs w:val="18"/>
              </w:rPr>
              <w:t xml:space="preserve">BR_1.63 </w:t>
            </w:r>
            <w:r>
              <w:t>When a user chooses to select an existing invoice to add units, VBECS ensures that the shipper is marked as active. VBECS displays and allows the user to edit existing invoices associated with active shippers.</w:t>
            </w:r>
          </w:p>
          <w:p w:rsidR="00126AF8" w:rsidRDefault="00126AF8">
            <w:pPr>
              <w:pStyle w:val="NotesText"/>
            </w:pPr>
          </w:p>
          <w:p w:rsidR="00126AF8" w:rsidRPr="00126AF8" w:rsidRDefault="00126AF8">
            <w:pPr>
              <w:pStyle w:val="NotesText"/>
            </w:pPr>
            <w:r>
              <w:t xml:space="preserve">To correct </w:t>
            </w:r>
            <w:r w:rsidRPr="00126AF8">
              <w:t xml:space="preserve">an invoice associated with an inactive shipper, </w:t>
            </w:r>
            <w:r>
              <w:t>the user</w:t>
            </w:r>
            <w:r w:rsidRPr="00126AF8">
              <w:t xml:space="preserve"> must </w:t>
            </w:r>
            <w:r>
              <w:t>re</w:t>
            </w:r>
            <w:r w:rsidRPr="00126AF8">
              <w:t xml:space="preserve">activate the shipper. </w:t>
            </w:r>
          </w:p>
          <w:p w:rsidR="002A21AE" w:rsidRDefault="002A21AE">
            <w:pPr>
              <w:pStyle w:val="NotesText"/>
            </w:pPr>
          </w:p>
          <w:p w:rsidR="002A21AE" w:rsidRDefault="002A21AE" w:rsidP="00297B57">
            <w:pPr>
              <w:pStyle w:val="NotesText"/>
            </w:pPr>
            <w:r w:rsidRPr="009660C3">
              <w:rPr>
                <w:vanish/>
                <w:szCs w:val="18"/>
              </w:rPr>
              <w:t xml:space="preserve">BR_1.38 </w:t>
            </w:r>
            <w:r>
              <w:t xml:space="preserve">Multiple users may process different units from a </w:t>
            </w:r>
            <w:r>
              <w:rPr>
                <w:iCs/>
              </w:rPr>
              <w:t>shipment</w:t>
            </w:r>
            <w:r w:rsidR="00297B57">
              <w:t xml:space="preserve">. </w:t>
            </w:r>
          </w:p>
          <w:p w:rsidR="009A7DAC" w:rsidRDefault="009A7DAC" w:rsidP="00297B57">
            <w:pPr>
              <w:pStyle w:val="NotesText"/>
            </w:pPr>
          </w:p>
          <w:p w:rsidR="009A7DAC" w:rsidRPr="009A7DAC" w:rsidRDefault="009A7DAC" w:rsidP="00297B57">
            <w:pPr>
              <w:pStyle w:val="NotesText"/>
            </w:pPr>
            <w:bookmarkStart w:id="267" w:name="OLE_LINK31"/>
            <w:bookmarkStart w:id="268" w:name="OLE_LINK32"/>
            <w:r w:rsidRPr="009A7DAC">
              <w:t xml:space="preserve">When </w:t>
            </w:r>
            <w:r w:rsidR="006829C9">
              <w:t>more than one user</w:t>
            </w:r>
            <w:r w:rsidRPr="009A7DAC">
              <w:t xml:space="preserve"> intend</w:t>
            </w:r>
            <w:r w:rsidR="006829C9">
              <w:t>s</w:t>
            </w:r>
            <w:r w:rsidRPr="009A7DAC">
              <w:t xml:space="preserve"> to work on </w:t>
            </w:r>
            <w:r w:rsidR="006829C9">
              <w:t>an</w:t>
            </w:r>
            <w:r w:rsidRPr="009A7DAC">
              <w:t xml:space="preserve"> invoice, one </w:t>
            </w:r>
            <w:r>
              <w:t>user</w:t>
            </w:r>
            <w:r w:rsidRPr="009A7DAC">
              <w:t xml:space="preserve"> </w:t>
            </w:r>
            <w:r>
              <w:t>must</w:t>
            </w:r>
            <w:r w:rsidRPr="009A7DAC">
              <w:t xml:space="preserve"> create </w:t>
            </w:r>
            <w:r w:rsidR="006829C9">
              <w:t>the</w:t>
            </w:r>
            <w:r w:rsidRPr="009A7DAC">
              <w:t xml:space="preserve"> invoice</w:t>
            </w:r>
            <w:r>
              <w:t>. T</w:t>
            </w:r>
            <w:r w:rsidRPr="009A7DAC">
              <w:t xml:space="preserve">he other users </w:t>
            </w:r>
            <w:r>
              <w:t>must</w:t>
            </w:r>
            <w:r w:rsidRPr="009A7DAC">
              <w:t xml:space="preserve"> select </w:t>
            </w:r>
            <w:r w:rsidR="00551508">
              <w:t>that</w:t>
            </w:r>
            <w:r w:rsidRPr="009A7DAC">
              <w:t xml:space="preserve"> invoice and add units to it.</w:t>
            </w:r>
            <w:bookmarkEnd w:id="267"/>
            <w:bookmarkEnd w:id="268"/>
          </w:p>
        </w:tc>
      </w:tr>
      <w:tr w:rsidR="00DA1590">
        <w:tblPrEx>
          <w:tblCellMar>
            <w:top w:w="0" w:type="dxa"/>
            <w:bottom w:w="0" w:type="dxa"/>
          </w:tblCellMar>
        </w:tblPrEx>
        <w:tc>
          <w:tcPr>
            <w:tcW w:w="3240" w:type="dxa"/>
          </w:tcPr>
          <w:p w:rsidR="00DA1590" w:rsidRDefault="00DA1590">
            <w:pPr>
              <w:pStyle w:val="TableTextNumbers"/>
            </w:pPr>
            <w:r>
              <w:t>Select a source</w:t>
            </w:r>
            <w:r w:rsidR="007536F3">
              <w:t xml:space="preserve"> from the Source (Shipper) drop-down list. If needed, edit the date received in the Date Received field.</w:t>
            </w:r>
          </w:p>
        </w:tc>
        <w:tc>
          <w:tcPr>
            <w:tcW w:w="6120" w:type="dxa"/>
          </w:tcPr>
          <w:p w:rsidR="00297B57" w:rsidRDefault="00297B57" w:rsidP="00297B57">
            <w:pPr>
              <w:pStyle w:val="TableText"/>
              <w:rPr>
                <w:b/>
                <w:bCs/>
                <w:szCs w:val="18"/>
              </w:rPr>
            </w:pPr>
          </w:p>
          <w:p w:rsidR="00297B57" w:rsidRDefault="00634BFC" w:rsidP="00297B57">
            <w:pPr>
              <w:pStyle w:val="TableText"/>
              <w:rPr>
                <w:b/>
                <w:bCs/>
                <w:szCs w:val="18"/>
              </w:rPr>
            </w:pPr>
            <w:r>
              <w:rPr>
                <w:b/>
                <w:bCs/>
                <w:noProof/>
              </w:rPr>
              <mc:AlternateContent>
                <mc:Choice Requires="wps">
                  <w:drawing>
                    <wp:anchor distT="0" distB="0" distL="114300" distR="114300" simplePos="0" relativeHeight="25170790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18" name="Lin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8"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rc6FA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" strokeweight="1.5pt"/>
                  </w:pict>
                </mc:Fallback>
              </mc:AlternateContent>
            </w:r>
            <w:r w:rsidR="00297B57">
              <w:rPr>
                <w:b/>
                <w:bCs/>
                <w:szCs w:val="18"/>
              </w:rPr>
              <w:t>NOTES</w:t>
            </w:r>
          </w:p>
          <w:p w:rsidR="00297B57" w:rsidRDefault="00297B57" w:rsidP="00297B57">
            <w:pPr>
              <w:pStyle w:val="NotesText"/>
            </w:pPr>
          </w:p>
          <w:p w:rsidR="00297B57" w:rsidRDefault="00297B57" w:rsidP="00297B57">
            <w:pPr>
              <w:pStyle w:val="NotesText"/>
            </w:pPr>
            <w:r>
              <w:t>The date and time a shipment is received cannot be in the future.</w:t>
            </w:r>
          </w:p>
          <w:p w:rsidR="00297B57" w:rsidRDefault="00297B57" w:rsidP="00297B57">
            <w:pPr>
              <w:pStyle w:val="NotesText"/>
            </w:pPr>
          </w:p>
          <w:p w:rsidR="00297B57" w:rsidRDefault="00297B57" w:rsidP="00297B57">
            <w:pPr>
              <w:pStyle w:val="NotesText"/>
            </w:pPr>
            <w:r>
              <w:t>After a user enters or selects an invoice number, the user may enter information in the shipper, date received, and processing technologist fields.</w:t>
            </w:r>
          </w:p>
          <w:p w:rsidR="00297B57" w:rsidRDefault="00297B57" w:rsidP="00297B57">
            <w:pPr>
              <w:pStyle w:val="NotesText"/>
            </w:pPr>
          </w:p>
          <w:p w:rsidR="00DA1590" w:rsidRDefault="00297B57" w:rsidP="00297B57">
            <w:pPr>
              <w:pStyle w:val="NotesText"/>
            </w:pPr>
            <w:r>
              <w:t>During retrospective entry, the user must enter the shipment date and time before entering any other unit transaction.</w:t>
            </w:r>
          </w:p>
        </w:tc>
      </w:tr>
      <w:tr w:rsidR="002A21AE">
        <w:tblPrEx>
          <w:tblCellMar>
            <w:top w:w="0" w:type="dxa"/>
            <w:bottom w:w="0" w:type="dxa"/>
          </w:tblCellMar>
        </w:tblPrEx>
        <w:tc>
          <w:tcPr>
            <w:tcW w:w="3240" w:type="dxa"/>
          </w:tcPr>
          <w:p w:rsidR="002A21AE" w:rsidRDefault="001743E6">
            <w:pPr>
              <w:pStyle w:val="TableTextNumbers"/>
            </w:pPr>
            <w:r>
              <w:t xml:space="preserve">Click the </w:t>
            </w:r>
            <w:r w:rsidRPr="001743E6">
              <w:rPr>
                <w:b/>
              </w:rPr>
              <w:t>ISBT</w:t>
            </w:r>
            <w:r>
              <w:t xml:space="preserve"> or </w:t>
            </w:r>
            <w:r w:rsidRPr="001743E6">
              <w:rPr>
                <w:b/>
              </w:rPr>
              <w:t xml:space="preserve">Codabar </w:t>
            </w:r>
            <w:r w:rsidRPr="00BF2E41">
              <w:t>radio button</w:t>
            </w:r>
            <w:r>
              <w:t xml:space="preserve"> to s</w:t>
            </w:r>
            <w:r w:rsidR="002A21AE">
              <w:t>elect a labeling type</w:t>
            </w:r>
            <w:r>
              <w:t>,</w:t>
            </w:r>
            <w:r w:rsidR="0023261D">
              <w:t xml:space="preserve"> </w:t>
            </w:r>
            <w:r w:rsidR="002A21AE">
              <w:t xml:space="preserve">or </w:t>
            </w:r>
            <w:r w:rsidR="002A21AE">
              <w:lastRenderedPageBreak/>
              <w:t xml:space="preserve">scan the unit ID barcode. Click </w:t>
            </w:r>
            <w:r w:rsidR="002A21AE">
              <w:rPr>
                <w:b/>
              </w:rPr>
              <w:t>OK</w:t>
            </w:r>
            <w:r w:rsidR="002A21AE">
              <w:t xml:space="preserve"> again to continue. </w:t>
            </w:r>
          </w:p>
        </w:tc>
        <w:tc>
          <w:tcPr>
            <w:tcW w:w="6120" w:type="dxa"/>
          </w:tcPr>
          <w:p w:rsidR="002A21AE" w:rsidRDefault="002A21AE">
            <w:pPr>
              <w:pStyle w:val="TableTextBullet"/>
            </w:pPr>
            <w:r>
              <w:lastRenderedPageBreak/>
              <w:t>When the barcode is scanned, determines the labeling type</w:t>
            </w:r>
            <w:r w:rsidR="001743E6">
              <w:t xml:space="preserve"> (autodiscriminates)</w:t>
            </w:r>
            <w:r>
              <w:t>.</w:t>
            </w:r>
          </w:p>
        </w:tc>
      </w:tr>
      <w:tr w:rsidR="002A21AE">
        <w:tblPrEx>
          <w:tblCellMar>
            <w:top w:w="0" w:type="dxa"/>
            <w:bottom w:w="0" w:type="dxa"/>
          </w:tblCellMar>
        </w:tblPrEx>
        <w:tc>
          <w:tcPr>
            <w:tcW w:w="3240" w:type="dxa"/>
          </w:tcPr>
          <w:p w:rsidR="002A21AE" w:rsidRDefault="002A21AE">
            <w:pPr>
              <w:pStyle w:val="TableTextNumbers"/>
            </w:pPr>
            <w:r>
              <w:lastRenderedPageBreak/>
              <w:t xml:space="preserve">Click </w:t>
            </w:r>
            <w:r>
              <w:rPr>
                <w:b/>
              </w:rPr>
              <w:t>Yes</w:t>
            </w:r>
            <w:r>
              <w:t xml:space="preserve"> to add units to the invoice or click </w:t>
            </w:r>
            <w:r>
              <w:rPr>
                <w:b/>
              </w:rPr>
              <w:t>No</w:t>
            </w:r>
            <w:r>
              <w:t xml:space="preserve"> to select another invoice.</w:t>
            </w:r>
          </w:p>
        </w:tc>
        <w:tc>
          <w:tcPr>
            <w:tcW w:w="6120" w:type="dxa"/>
          </w:tcPr>
          <w:p w:rsidR="002A21AE" w:rsidRDefault="002A21AE">
            <w:pPr>
              <w:pStyle w:val="TableTextBullet"/>
            </w:pPr>
            <w:r>
              <w:t>When a user selects an existing invoice, displays the shipment information and blood unit details associated with the invoice.</w:t>
            </w:r>
          </w:p>
        </w:tc>
      </w:tr>
      <w:tr w:rsidR="002A21AE">
        <w:tblPrEx>
          <w:tblCellMar>
            <w:top w:w="0" w:type="dxa"/>
            <w:bottom w:w="0" w:type="dxa"/>
          </w:tblCellMar>
        </w:tblPrEx>
        <w:tc>
          <w:tcPr>
            <w:tcW w:w="3240" w:type="dxa"/>
          </w:tcPr>
          <w:p w:rsidR="002A21AE" w:rsidRDefault="002A21AE">
            <w:pPr>
              <w:pStyle w:val="TableTextNumbers"/>
            </w:pPr>
            <w:r>
              <w:t xml:space="preserve">Select a unit to add. </w:t>
            </w:r>
          </w:p>
          <w:p w:rsidR="002A21AE" w:rsidRDefault="002A21AE">
            <w:pPr>
              <w:pStyle w:val="TableTextNumbersContinued"/>
            </w:pPr>
          </w:p>
          <w:p w:rsidR="002A21AE" w:rsidRDefault="002A21AE">
            <w:pPr>
              <w:pStyle w:val="TableTextNumbersContinued"/>
            </w:pPr>
            <w:r>
              <w:t xml:space="preserve">For a Codabar-labeled unit, scan the FDA </w:t>
            </w:r>
            <w:r w:rsidR="00B85812">
              <w:t>Registration Number</w:t>
            </w:r>
            <w:r>
              <w:t xml:space="preserve"> barcode or enter the FDA </w:t>
            </w:r>
            <w:r w:rsidR="00B85812">
              <w:t>Registration Number</w:t>
            </w:r>
            <w:r>
              <w:t>.</w:t>
            </w:r>
          </w:p>
          <w:p w:rsidR="002A21AE" w:rsidRDefault="002A21AE">
            <w:pPr>
              <w:pStyle w:val="TableTextNumbersContinued"/>
            </w:pPr>
          </w:p>
          <w:p w:rsidR="002A21AE" w:rsidRDefault="002A21AE">
            <w:pPr>
              <w:pStyle w:val="TableTextNumbersContinued"/>
            </w:pPr>
            <w:r>
              <w:t xml:space="preserve">For an ISBT 128-labeled unit, continue at Step </w:t>
            </w:r>
            <w:r w:rsidR="00522467">
              <w:t>7</w:t>
            </w:r>
            <w:r>
              <w:t>.</w:t>
            </w:r>
          </w:p>
        </w:tc>
        <w:tc>
          <w:tcPr>
            <w:tcW w:w="6120" w:type="dxa"/>
          </w:tcPr>
          <w:p w:rsidR="002A21AE" w:rsidRDefault="002A21AE">
            <w:pPr>
              <w:pStyle w:val="TableTextBullet"/>
            </w:pPr>
            <w:r>
              <w:t>Displays shipment data and prompts the user to scan individual units.</w:t>
            </w:r>
          </w:p>
          <w:p w:rsidR="002A21AE" w:rsidRDefault="002A21AE">
            <w:pPr>
              <w:pStyle w:val="TableTextBullet"/>
            </w:pPr>
            <w:r>
              <w:t xml:space="preserve">Displays information corresponding to the FDA registration barcode scanned or allows a user to search for the FDA </w:t>
            </w:r>
            <w:r w:rsidR="00B85812">
              <w:t>Registration Number</w:t>
            </w:r>
            <w:r>
              <w:t xml:space="preserve"> and facility information (all users may activate a facility).</w:t>
            </w:r>
          </w:p>
          <w:p w:rsidR="0077041C" w:rsidRDefault="0077041C">
            <w:pPr>
              <w:pStyle w:val="TableTextBullet"/>
            </w:pPr>
            <w:r>
              <w:t>When a facility receives a blood product from a shipper for the first time, prompts the user to activate the blood product for that shipper.</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1436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17"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9" o:spid="_x0000_s1026" style="position:absolute;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mCGFQIAAC0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MvC&#10;YIY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sidRPr="009660C3">
              <w:rPr>
                <w:vanish/>
                <w:szCs w:val="18"/>
              </w:rPr>
              <w:t xml:space="preserve">BR_1.11 </w:t>
            </w:r>
            <w:r>
              <w:t xml:space="preserve">VBECS may display a scanned FDA </w:t>
            </w:r>
            <w:r w:rsidR="00B85812">
              <w:t>Registration Number</w:t>
            </w:r>
            <w:r>
              <w:t xml:space="preserve"> with two additional characters. </w:t>
            </w:r>
          </w:p>
          <w:p w:rsidR="00CD7224" w:rsidRDefault="00CD7224">
            <w:pPr>
              <w:pStyle w:val="NotesText"/>
            </w:pPr>
          </w:p>
          <w:p w:rsidR="00CD7224" w:rsidRDefault="00CD7224">
            <w:pPr>
              <w:pStyle w:val="NotesText"/>
            </w:pPr>
            <w:r>
              <w:t>For</w:t>
            </w:r>
            <w:r w:rsidR="003139BF">
              <w:t xml:space="preserve"> United Blood Services (UBS)</w:t>
            </w:r>
            <w:r>
              <w:t xml:space="preserve"> </w:t>
            </w:r>
            <w:r w:rsidR="003139BF">
              <w:t>facilitie</w:t>
            </w:r>
            <w:r>
              <w:t xml:space="preserve">s other than Scottsdale, see </w:t>
            </w:r>
            <w:r w:rsidR="00543DAF">
              <w:fldChar w:fldCharType="begin"/>
            </w:r>
            <w:r w:rsidR="00543DAF">
              <w:instrText xml:space="preserve"> REF _Ref170005123 \h </w:instrText>
            </w:r>
            <w:r w:rsidR="00543DAF">
              <w:fldChar w:fldCharType="separate"/>
            </w:r>
            <w:r w:rsidR="005F38BC">
              <w:t xml:space="preserve">Appendix </w:t>
            </w:r>
            <w:r w:rsidR="005F38BC">
              <w:rPr>
                <w:noProof/>
              </w:rPr>
              <w:t>L</w:t>
            </w:r>
            <w:r w:rsidR="00543DAF">
              <w:fldChar w:fldCharType="end"/>
            </w:r>
            <w:r>
              <w:t>: United Blood Services (UBS) Facility Barcodes.</w:t>
            </w:r>
          </w:p>
          <w:p w:rsidR="002A21AE" w:rsidRDefault="002A21AE">
            <w:pPr>
              <w:pStyle w:val="NotesText"/>
            </w:pPr>
          </w:p>
          <w:p w:rsidR="002A21AE" w:rsidRDefault="002A21AE">
            <w:pPr>
              <w:pStyle w:val="NotesText"/>
            </w:pPr>
            <w:r w:rsidRPr="009660C3">
              <w:rPr>
                <w:vanish/>
                <w:szCs w:val="18"/>
              </w:rPr>
              <w:t xml:space="preserve">BR_1.12 </w:t>
            </w:r>
            <w:r>
              <w:t xml:space="preserve">When VBECS does not recognize an FDA </w:t>
            </w:r>
            <w:r w:rsidR="00B85812">
              <w:t>Registration Number</w:t>
            </w:r>
            <w:r>
              <w:t xml:space="preserve">, it </w:t>
            </w:r>
            <w:r>
              <w:rPr>
                <w:noProof/>
              </w:rPr>
              <w:t>warns the user</w:t>
            </w:r>
            <w:r>
              <w:t>. The user may edit or reenter the number. If VBECS still does not recognize the number, the user must add the unknown facility to continue.</w:t>
            </w:r>
          </w:p>
        </w:tc>
      </w:tr>
      <w:tr w:rsidR="002A21AE">
        <w:tblPrEx>
          <w:tblCellMar>
            <w:top w:w="0" w:type="dxa"/>
            <w:bottom w:w="0" w:type="dxa"/>
          </w:tblCellMar>
        </w:tblPrEx>
        <w:tc>
          <w:tcPr>
            <w:tcW w:w="3240" w:type="dxa"/>
          </w:tcPr>
          <w:p w:rsidR="002A21AE" w:rsidRDefault="002A21AE">
            <w:pPr>
              <w:pStyle w:val="TableTextNumbers"/>
            </w:pPr>
            <w:r>
              <w:t>For an ISBT 128-labeled unit, scan</w:t>
            </w:r>
            <w:r w:rsidR="00A83A22">
              <w:t xml:space="preserve"> the label,</w:t>
            </w:r>
            <w:r>
              <w:t xml:space="preserve"> or enter the unit ID</w:t>
            </w:r>
            <w:r w:rsidR="00A83A22">
              <w:t xml:space="preserve"> and check character (in that order)</w:t>
            </w:r>
            <w:r>
              <w:t>.</w:t>
            </w:r>
          </w:p>
        </w:tc>
        <w:tc>
          <w:tcPr>
            <w:tcW w:w="6120" w:type="dxa"/>
          </w:tcPr>
          <w:p w:rsidR="002A21AE" w:rsidRDefault="002A21AE">
            <w:pPr>
              <w:pStyle w:val="TableTextBullet"/>
            </w:pPr>
            <w:r>
              <w:t xml:space="preserve">Disables the FDA </w:t>
            </w:r>
            <w:r w:rsidR="00B85812">
              <w:t>Registration Number</w:t>
            </w:r>
            <w:r>
              <w:t xml:space="preserve"> field.</w:t>
            </w:r>
          </w:p>
          <w:p w:rsidR="002A21AE" w:rsidRDefault="002A21AE">
            <w:pPr>
              <w:pStyle w:val="TableTextBullet"/>
            </w:pPr>
            <w:r>
              <w:t>Displays information corresponding to the unit ID barcode scanned. When a user enters an ISBT 128-labeled unit ID, VBECS prompts the user to enter the check character from the blood bag.</w:t>
            </w:r>
          </w:p>
          <w:p w:rsidR="002A21AE" w:rsidRDefault="002A21AE">
            <w:pPr>
              <w:pStyle w:val="TableTextBullet1"/>
            </w:pPr>
            <w:r>
              <w:rPr>
                <w:vanish/>
              </w:rPr>
              <w:t xml:space="preserve">BR_1.09 BR_1.08 </w:t>
            </w:r>
            <w:r>
              <w:t xml:space="preserve">When a user scans ISBT 128 labels units and the cursor is in an inappropriate field, VBECS </w:t>
            </w:r>
            <w:r>
              <w:rPr>
                <w:noProof/>
              </w:rPr>
              <w:t xml:space="preserve">warns that the </w:t>
            </w:r>
            <w:r w:rsidR="00346B6E">
              <w:rPr>
                <w:noProof/>
              </w:rPr>
              <w:t>incorrect</w:t>
            </w:r>
            <w:r>
              <w:t xml:space="preserve"> barcode was scanned.</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2256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16"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7" o:spid="_x0000_s1026" style="position:absolute;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H9FQIAAC0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DOK&#10;wf0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ind w:left="0"/>
            </w:pPr>
            <w:r>
              <w:t>For Codabar-labeled units:</w:t>
            </w:r>
          </w:p>
          <w:p w:rsidR="002A21AE" w:rsidRDefault="002A21AE">
            <w:pPr>
              <w:pStyle w:val="NotesText"/>
            </w:pPr>
            <w:r w:rsidRPr="00781DAE">
              <w:rPr>
                <w:rFonts w:cs="Arial"/>
                <w:vanish/>
                <w:szCs w:val="18"/>
              </w:rPr>
              <w:t>BR_1.11</w:t>
            </w:r>
            <w:r w:rsidRPr="009660C3">
              <w:rPr>
                <w:vanish/>
                <w:szCs w:val="18"/>
              </w:rPr>
              <w:t xml:space="preserve"> </w:t>
            </w:r>
            <w:r>
              <w:t xml:space="preserve">VBECS may display a scanned FDA </w:t>
            </w:r>
            <w:r w:rsidR="00B85812">
              <w:t>Registration Number</w:t>
            </w:r>
            <w:r>
              <w:t xml:space="preserve"> with two additional characters. </w:t>
            </w:r>
          </w:p>
          <w:p w:rsidR="002A21AE" w:rsidRDefault="002A21AE">
            <w:pPr>
              <w:pStyle w:val="NotesText"/>
            </w:pPr>
          </w:p>
          <w:p w:rsidR="002A21AE" w:rsidRDefault="002A21AE">
            <w:pPr>
              <w:pStyle w:val="NotesText"/>
            </w:pPr>
            <w:r w:rsidRPr="00781DAE">
              <w:rPr>
                <w:rFonts w:cs="Arial"/>
                <w:vanish/>
                <w:szCs w:val="18"/>
              </w:rPr>
              <w:t>BR_1.12</w:t>
            </w:r>
            <w:r w:rsidRPr="009660C3">
              <w:rPr>
                <w:vanish/>
                <w:szCs w:val="18"/>
              </w:rPr>
              <w:t xml:space="preserve"> </w:t>
            </w:r>
            <w:r>
              <w:t xml:space="preserve">When VBECS does not recognize an FDA </w:t>
            </w:r>
            <w:r w:rsidR="00B85812">
              <w:t>Registration Number</w:t>
            </w:r>
            <w:r>
              <w:t>, it warns the user. The user may edit or reenter the number. If VBECS still does not recognize the number, the user must add the unknown facility to continue.</w:t>
            </w:r>
          </w:p>
          <w:p w:rsidR="002A21AE" w:rsidRDefault="002A21AE">
            <w:pPr>
              <w:pStyle w:val="NotesText"/>
            </w:pPr>
          </w:p>
          <w:p w:rsidR="002A21AE" w:rsidRDefault="002A21AE">
            <w:pPr>
              <w:pStyle w:val="NotesText"/>
            </w:pPr>
            <w:r w:rsidRPr="00781DAE">
              <w:rPr>
                <w:rFonts w:cs="Arial"/>
                <w:vanish/>
                <w:szCs w:val="18"/>
              </w:rPr>
              <w:t>BR_1.15</w:t>
            </w:r>
            <w:r w:rsidR="00CE3961">
              <w:rPr>
                <w:rFonts w:cs="Arial"/>
                <w:vanish/>
                <w:szCs w:val="18"/>
              </w:rPr>
              <w:t>,</w:t>
            </w:r>
            <w:r w:rsidRPr="00781DAE">
              <w:rPr>
                <w:rFonts w:cs="Arial"/>
                <w:vanish/>
                <w:szCs w:val="18"/>
              </w:rPr>
              <w:t xml:space="preserve"> BR_ 1.16</w:t>
            </w:r>
            <w:r w:rsidRPr="009660C3">
              <w:rPr>
                <w:vanish/>
                <w:szCs w:val="18"/>
              </w:rPr>
              <w:t xml:space="preserve"> </w:t>
            </w:r>
            <w:r>
              <w:t xml:space="preserve">When no FDA </w:t>
            </w:r>
            <w:r w:rsidR="00B85812">
              <w:t>Registration Number</w:t>
            </w:r>
            <w:r>
              <w:t xml:space="preserve"> barcode was scanned, VBECS displays an error message to remind the user to scan it so that VBECS can properly interpret the Codabar unit ID.</w:t>
            </w:r>
          </w:p>
          <w:p w:rsidR="002A21AE" w:rsidRDefault="002A21AE">
            <w:pPr>
              <w:pStyle w:val="NotesText"/>
            </w:pPr>
          </w:p>
          <w:p w:rsidR="002A21AE" w:rsidRDefault="002A21AE">
            <w:pPr>
              <w:pStyle w:val="NotesText"/>
            </w:pPr>
            <w:r>
              <w:t>When a user scans a unit ID barcode but enters other unit information, VBECS marks the unit record as scanned and does not indicate that other data field information was entered during incoming shipment of that unit.</w:t>
            </w:r>
          </w:p>
          <w:p w:rsidR="002A21AE" w:rsidRDefault="002A21AE">
            <w:pPr>
              <w:pStyle w:val="NotesText"/>
            </w:pPr>
          </w:p>
          <w:p w:rsidR="002A21AE" w:rsidRDefault="002A21AE">
            <w:pPr>
              <w:pStyle w:val="NotesText"/>
            </w:pPr>
            <w:r w:rsidRPr="00781DAE">
              <w:rPr>
                <w:rFonts w:cs="Arial"/>
                <w:vanish/>
                <w:szCs w:val="18"/>
              </w:rPr>
              <w:t>BR_1.05</w:t>
            </w:r>
            <w:r w:rsidRPr="009660C3">
              <w:rPr>
                <w:vanish/>
                <w:szCs w:val="18"/>
              </w:rPr>
              <w:t xml:space="preserve"> </w:t>
            </w:r>
            <w:r>
              <w:t xml:space="preserve">When a unit ID or its prefix does not match the format defined for the collection facility, VBECS warns the user. </w:t>
            </w:r>
          </w:p>
          <w:p w:rsidR="002A21AE" w:rsidRDefault="002A21AE">
            <w:pPr>
              <w:pStyle w:val="NotesText"/>
            </w:pPr>
          </w:p>
          <w:p w:rsidR="002A21AE" w:rsidRDefault="002A21AE">
            <w:pPr>
              <w:pStyle w:val="NotesText"/>
            </w:pPr>
            <w:r>
              <w:t xml:space="preserve">The ID of a unit associated with a local supplier with a facility prefix and alphabetic characters has two numbers for the facility prefix, and one or two alphabetic characters. When there is one </w:t>
            </w:r>
            <w:r>
              <w:lastRenderedPageBreak/>
              <w:t>alphabetic character, at least six numbers must follow. When there are two alphabetic characters, at least five numbers must follow. Codabar unit IDs cannot contain “A,” “B,” “D,” “I,” “O,” or “U.”</w:t>
            </w:r>
          </w:p>
          <w:p w:rsidR="002A21AE" w:rsidRDefault="002A21AE">
            <w:pPr>
              <w:pStyle w:val="NotesText"/>
            </w:pPr>
          </w:p>
          <w:p w:rsidR="002A21AE" w:rsidRDefault="002A21AE">
            <w:pPr>
              <w:pStyle w:val="NotesText"/>
              <w:ind w:left="0"/>
            </w:pPr>
            <w:r>
              <w:t>For ISBT 128-labeled units:</w:t>
            </w:r>
          </w:p>
          <w:p w:rsidR="002A21AE" w:rsidRDefault="002A21AE">
            <w:pPr>
              <w:pStyle w:val="NotesText"/>
            </w:pPr>
            <w:r w:rsidRPr="00DC786E">
              <w:rPr>
                <w:rFonts w:cs="Arial"/>
                <w:vanish/>
                <w:szCs w:val="18"/>
              </w:rPr>
              <w:t>BR_1.19</w:t>
            </w:r>
            <w:r w:rsidRPr="009660C3">
              <w:rPr>
                <w:vanish/>
                <w:szCs w:val="18"/>
              </w:rPr>
              <w:t xml:space="preserve"> </w:t>
            </w:r>
            <w:r>
              <w:t>When the user-entered check character from the label does not match the VBECS-generated check character, VBECS warns the user.</w:t>
            </w:r>
          </w:p>
          <w:p w:rsidR="002A21AE" w:rsidRDefault="002A21AE">
            <w:pPr>
              <w:pStyle w:val="NotesText"/>
            </w:pPr>
          </w:p>
          <w:p w:rsidR="002A21AE" w:rsidRDefault="002A21AE">
            <w:pPr>
              <w:pStyle w:val="NotesText"/>
            </w:pPr>
            <w:r w:rsidRPr="00781DAE">
              <w:rPr>
                <w:rFonts w:cs="Arial"/>
                <w:vanish/>
                <w:szCs w:val="18"/>
              </w:rPr>
              <w:t>BR_1.64</w:t>
            </w:r>
            <w:r w:rsidRPr="009660C3">
              <w:rPr>
                <w:vanish/>
                <w:szCs w:val="18"/>
              </w:rPr>
              <w:t xml:space="preserve"> </w:t>
            </w:r>
            <w:r>
              <w:t xml:space="preserve">When VBECS does not find a matching entry for the ICCBBA </w:t>
            </w:r>
            <w:r w:rsidR="00B85812">
              <w:t>Registration Number</w:t>
            </w:r>
            <w:r>
              <w:t xml:space="preserve"> on the local supplier table, the user must activate or add a local supplier before continuing.</w:t>
            </w:r>
          </w:p>
        </w:tc>
      </w:tr>
      <w:tr w:rsidR="002A21AE">
        <w:tblPrEx>
          <w:tblCellMar>
            <w:top w:w="0" w:type="dxa"/>
            <w:bottom w:w="0" w:type="dxa"/>
          </w:tblCellMar>
        </w:tblPrEx>
        <w:tc>
          <w:tcPr>
            <w:tcW w:w="3240" w:type="dxa"/>
          </w:tcPr>
          <w:p w:rsidR="002A21AE" w:rsidRDefault="002A21AE">
            <w:pPr>
              <w:pStyle w:val="TableTextNumbers"/>
            </w:pPr>
            <w:r>
              <w:lastRenderedPageBreak/>
              <w:t xml:space="preserve">Scan the product code barcode or enter the product code. </w:t>
            </w:r>
          </w:p>
        </w:tc>
        <w:tc>
          <w:tcPr>
            <w:tcW w:w="6120" w:type="dxa"/>
          </w:tcPr>
          <w:p w:rsidR="004641E8" w:rsidRPr="004641E8" w:rsidRDefault="004641E8">
            <w:pPr>
              <w:pStyle w:val="TableTextBullet"/>
              <w:rPr>
                <w:color w:val="000000"/>
              </w:rPr>
            </w:pPr>
            <w:r>
              <w:t xml:space="preserve">When a user scans a product code </w:t>
            </w:r>
            <w:r w:rsidR="006D09BD">
              <w:t>barcode that is not activ</w:t>
            </w:r>
            <w:r>
              <w:t>ated in the user’s division, prompts the user to activate the code.</w:t>
            </w:r>
            <w:r w:rsidR="006D09BD">
              <w:t xml:space="preserve"> (See Blood Products.)</w:t>
            </w:r>
          </w:p>
          <w:p w:rsidR="002A21AE" w:rsidRDefault="002A21AE">
            <w:pPr>
              <w:pStyle w:val="TableTextBullet"/>
              <w:rPr>
                <w:color w:val="000000"/>
              </w:rPr>
            </w:pPr>
            <w:r>
              <w:t>Displays the corresponding product code, product name, and (for ISBT) donation type (see Step 11).</w:t>
            </w:r>
          </w:p>
          <w:p w:rsidR="002A21AE" w:rsidRDefault="002A21AE">
            <w:pPr>
              <w:pStyle w:val="TableTextBullet"/>
            </w:pPr>
            <w:r>
              <w:rPr>
                <w:color w:val="000000"/>
              </w:rPr>
              <w:t>When a unit ID of the same product type and code exists in a division, t</w:t>
            </w:r>
            <w:r>
              <w:t>he expiration date is in the future, and there is no record of inactivation or transfer of that unit ID and product code in the division’s record:</w:t>
            </w:r>
          </w:p>
          <w:p w:rsidR="002A21AE" w:rsidRDefault="002A21AE">
            <w:pPr>
              <w:pStyle w:val="TableTextBullet1"/>
            </w:pPr>
            <w:r>
              <w:t>Warns that the blood unit already exists in the division.</w:t>
            </w:r>
          </w:p>
          <w:p w:rsidR="002A21AE" w:rsidRDefault="002A21AE">
            <w:pPr>
              <w:pStyle w:val="TableTextBullet1"/>
            </w:pPr>
            <w:r>
              <w:t>Clears the data entry fields. The user may enter a different unit ID and product code.</w:t>
            </w:r>
          </w:p>
          <w:p w:rsidR="002A21AE" w:rsidRDefault="002A21AE">
            <w:pPr>
              <w:pStyle w:val="TableTextBullet"/>
            </w:pPr>
            <w:r>
              <w:rPr>
                <w:color w:val="000000"/>
              </w:rPr>
              <w:t>When a unit ID of the same product type and code exists in a division and t</w:t>
            </w:r>
            <w:r>
              <w:t xml:space="preserve">he unit in the division has an expiration date in the past, </w:t>
            </w:r>
            <w:r>
              <w:rPr>
                <w:noProof/>
              </w:rPr>
              <w:t>warns that t</w:t>
            </w:r>
            <w:r>
              <w:t>he blood unit already exists in the division.</w:t>
            </w:r>
          </w:p>
          <w:p w:rsidR="002A21AE" w:rsidRDefault="002A21AE">
            <w:pPr>
              <w:pStyle w:val="TableTextBullet"/>
            </w:pPr>
            <w:r>
              <w:rPr>
                <w:color w:val="000000"/>
              </w:rPr>
              <w:t>When a unit ID of the same product type and code exists in a division, t</w:t>
            </w:r>
            <w:r>
              <w:t>he unit status is “Transferred,” and the ABO/Rh and unit expiration date are identical to the existing unit of record:</w:t>
            </w:r>
          </w:p>
          <w:p w:rsidR="002A21AE" w:rsidRDefault="002A21AE">
            <w:pPr>
              <w:pStyle w:val="TableTextBullet1"/>
            </w:pPr>
            <w:r>
              <w:t>Makes the existing unit record available.</w:t>
            </w:r>
          </w:p>
          <w:p w:rsidR="002A21AE" w:rsidRDefault="002A21AE">
            <w:pPr>
              <w:pStyle w:val="TableTextBullet1"/>
            </w:pPr>
            <w:r>
              <w:t xml:space="preserve">Warns that the user is attempting to reenter a unit in inventory. </w:t>
            </w:r>
            <w:r>
              <w:rPr>
                <w:b/>
              </w:rPr>
              <w:t>No</w:t>
            </w:r>
            <w:r>
              <w:t xml:space="preserve"> clears the unit. </w:t>
            </w:r>
            <w:r>
              <w:rPr>
                <w:b/>
              </w:rPr>
              <w:t>Yes</w:t>
            </w:r>
            <w:r>
              <w:t xml:space="preserve"> and saves the unit.</w:t>
            </w:r>
          </w:p>
          <w:p w:rsidR="002A21AE" w:rsidRDefault="002A21AE">
            <w:pPr>
              <w:pStyle w:val="TableTextBullet1"/>
            </w:pPr>
            <w:r>
              <w:t>Updates the unit status to “Limited” or “Available</w:t>
            </w:r>
            <w:r w:rsidR="00BA7846">
              <w:t>.</w:t>
            </w:r>
            <w:r>
              <w:t xml:space="preserve">” </w:t>
            </w:r>
          </w:p>
          <w:p w:rsidR="002A21AE" w:rsidRDefault="002A21AE">
            <w:pPr>
              <w:pStyle w:val="TableTextBullet1"/>
            </w:pPr>
            <w:r>
              <w:t>Updates the unit record to reflect the reentry of the unit in the division’s inventory. The user may add new information about this unit through Edit Unit Information.</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1539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15"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0" o:spid="_x0000_s1026" style="position:absolute;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lQCFQIAAC0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O0O&#10;VAI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ind w:left="0"/>
            </w:pPr>
            <w:r>
              <w:br/>
              <w:t>Scanned Product Codes</w:t>
            </w:r>
          </w:p>
          <w:p w:rsidR="002A21AE" w:rsidRDefault="002A21AE">
            <w:pPr>
              <w:pStyle w:val="NotesText"/>
            </w:pPr>
            <w:r w:rsidRPr="00781DAE">
              <w:rPr>
                <w:rFonts w:cs="Arial"/>
                <w:vanish/>
              </w:rPr>
              <w:t>BR_1.42</w:t>
            </w:r>
            <w:r w:rsidRPr="009660C3">
              <w:rPr>
                <w:vanish/>
                <w:szCs w:val="18"/>
              </w:rPr>
              <w:t xml:space="preserve"> </w:t>
            </w:r>
            <w:r>
              <w:t>When a unit is transferred between facilities in a consolidated database or is reentered after transfer to an unrelated facility, VBECS records all unit activity.</w:t>
            </w:r>
          </w:p>
          <w:p w:rsidR="002A21AE" w:rsidRDefault="002A21AE">
            <w:pPr>
              <w:pStyle w:val="NotesText"/>
            </w:pPr>
          </w:p>
          <w:p w:rsidR="002A21AE" w:rsidRDefault="002A21AE">
            <w:pPr>
              <w:pStyle w:val="NotesText"/>
              <w:rPr>
                <w:color w:val="000000"/>
              </w:rPr>
            </w:pPr>
            <w:r w:rsidRPr="00781DAE">
              <w:rPr>
                <w:rFonts w:cs="Arial"/>
                <w:vanish/>
              </w:rPr>
              <w:t>BR_1.58</w:t>
            </w:r>
            <w:r w:rsidR="009660C3">
              <w:rPr>
                <w:rFonts w:cs="Arial"/>
                <w:vanish/>
              </w:rPr>
              <w:t>,</w:t>
            </w:r>
            <w:r w:rsidRPr="00781DAE">
              <w:rPr>
                <w:rFonts w:cs="Arial"/>
                <w:vanish/>
              </w:rPr>
              <w:t xml:space="preserve"> BR_1.59</w:t>
            </w:r>
            <w:r w:rsidRPr="009660C3">
              <w:rPr>
                <w:vanish/>
                <w:szCs w:val="18"/>
              </w:rPr>
              <w:t xml:space="preserve"> </w:t>
            </w:r>
            <w:r>
              <w:rPr>
                <w:color w:val="000000"/>
              </w:rPr>
              <w:t>Codabar units may not be added to an ISBT 128 shipment in the same session and ISBT 128 units may not be added to a Codabar shipment in the same session. However, a completed incoming shipment invoice may contain both types of units.</w:t>
            </w:r>
          </w:p>
          <w:p w:rsidR="002A21AE" w:rsidRDefault="002A21AE">
            <w:pPr>
              <w:pStyle w:val="NotesText"/>
            </w:pPr>
          </w:p>
          <w:p w:rsidR="002A21AE" w:rsidRDefault="002A21AE">
            <w:pPr>
              <w:pStyle w:val="NotesText"/>
            </w:pPr>
            <w:r w:rsidRPr="00781DAE">
              <w:rPr>
                <w:rFonts w:cs="Arial"/>
                <w:vanish/>
              </w:rPr>
              <w:t>BR_1.53</w:t>
            </w:r>
            <w:r w:rsidRPr="009660C3">
              <w:rPr>
                <w:vanish/>
                <w:szCs w:val="18"/>
              </w:rPr>
              <w:t xml:space="preserve"> </w:t>
            </w:r>
            <w:r>
              <w:t xml:space="preserve">When a blood product code in the RED BLOOD CELLS, WHOLE BLOOD, or APHERESIS RED BLOOD CELLS ICCBBA component class is entered, VBECS enables data entry of sickle cell negative and antigen typing. The </w:t>
            </w:r>
            <w:r w:rsidR="0068235D">
              <w:t>cytomegalovirus (</w:t>
            </w:r>
            <w:r>
              <w:t>CMV</w:t>
            </w:r>
            <w:r w:rsidR="0068235D">
              <w:t>)</w:t>
            </w:r>
            <w:r>
              <w:t xml:space="preserve"> negative data entry option is always enabled.</w:t>
            </w:r>
          </w:p>
          <w:p w:rsidR="002A21AE" w:rsidRDefault="002A21AE">
            <w:pPr>
              <w:pStyle w:val="NotesText"/>
            </w:pPr>
          </w:p>
          <w:p w:rsidR="002A21AE" w:rsidRDefault="002A21AE">
            <w:pPr>
              <w:pStyle w:val="NotesText"/>
            </w:pPr>
            <w:r>
              <w:rPr>
                <w:vanish/>
                <w:szCs w:val="18"/>
              </w:rPr>
              <w:lastRenderedPageBreak/>
              <w:t>BR_8.12</w:t>
            </w:r>
            <w:r w:rsidR="00E344DC">
              <w:rPr>
                <w:vanish/>
                <w:szCs w:val="18"/>
              </w:rPr>
              <w:t xml:space="preserve"> </w:t>
            </w:r>
            <w:r w:rsidR="00DA09BD">
              <w:t>When a user enters a product code that VBECS does not recognize, VBECS warns that the blood product was not found and that it does not support entry of new blood products.</w:t>
            </w:r>
          </w:p>
          <w:p w:rsidR="002A21AE" w:rsidRDefault="002A21AE">
            <w:pPr>
              <w:pStyle w:val="NotesText"/>
            </w:pPr>
          </w:p>
          <w:p w:rsidR="002A21AE" w:rsidRDefault="002A21AE">
            <w:pPr>
              <w:pStyle w:val="NotesText"/>
            </w:pPr>
            <w:r>
              <w:rPr>
                <w:b/>
                <w:bCs/>
              </w:rPr>
              <w:t>OK</w:t>
            </w:r>
            <w:r>
              <w:t xml:space="preserve"> returns the user to a blank screen to enter a different product. The user may enter a different product code.</w:t>
            </w:r>
          </w:p>
          <w:p w:rsidR="00185119" w:rsidRDefault="00185119">
            <w:pPr>
              <w:pStyle w:val="NotesText"/>
            </w:pPr>
          </w:p>
          <w:p w:rsidR="00185119" w:rsidRDefault="00185119" w:rsidP="00185119">
            <w:pPr>
              <w:pStyle w:val="NotesText"/>
            </w:pPr>
            <w:r>
              <w:t>VBECS requires the full 8-digit ISBT 128 product code. The user should enter the 8-digit ISBT 128 product code as it appears on the blood unit label of the actual blood unit being entered into VBECS. When a user does not enter the sixth through eighth characters, VBECS automatically completes the required information with defaults, V and 00, respectively. This may be changed by clearing the unit information and entering the complete 8-digit ISBT 128 unit product code.</w:t>
            </w:r>
            <w:r>
              <w:rPr>
                <w:vanish/>
              </w:rPr>
              <w:t xml:space="preserve"> </w:t>
            </w:r>
            <w:r w:rsidRPr="00185119">
              <w:rPr>
                <w:vanish/>
              </w:rPr>
              <w:t>DR 4484</w:t>
            </w:r>
          </w:p>
          <w:p w:rsidR="002A21AE" w:rsidRDefault="002A21AE">
            <w:pPr>
              <w:pStyle w:val="NotesText"/>
            </w:pPr>
          </w:p>
          <w:p w:rsidR="002A21AE" w:rsidRDefault="002A21AE">
            <w:pPr>
              <w:pStyle w:val="NotesText"/>
            </w:pPr>
            <w:r>
              <w:rPr>
                <w:rFonts w:cs="Arial"/>
                <w:vanish/>
              </w:rPr>
              <w:t xml:space="preserve">BR_1.50 </w:t>
            </w:r>
            <w:r>
              <w:t>VBECS assigns a volume to the unit based on the average volume field from the Blood Product Table entry corresponding to the unit’s blood product code.</w:t>
            </w:r>
          </w:p>
          <w:p w:rsidR="002A21AE" w:rsidRDefault="002A21AE">
            <w:pPr>
              <w:pStyle w:val="NotesText"/>
            </w:pPr>
          </w:p>
          <w:p w:rsidR="002A21AE" w:rsidRDefault="002A21AE" w:rsidP="003947ED">
            <w:pPr>
              <w:pStyle w:val="NotesText"/>
            </w:pPr>
            <w:r>
              <w:rPr>
                <w:rFonts w:cs="Arial"/>
                <w:vanish/>
              </w:rPr>
              <w:t xml:space="preserve">BR_1.02 </w:t>
            </w:r>
            <w:r>
              <w:t>For each product type in a shipment, site parameters must indicate that the product is marked as active for the division and that a cost is associated with the shipper. If not, VBECS prompts the user to</w:t>
            </w:r>
            <w:r w:rsidR="003947ED">
              <w:t xml:space="preserve"> mark the component as active.</w:t>
            </w:r>
            <w:r w:rsidR="00AA6C54">
              <w:t xml:space="preserve"> </w:t>
            </w:r>
          </w:p>
          <w:p w:rsidR="008E48F6" w:rsidRDefault="008E48F6" w:rsidP="008E48F6">
            <w:pPr>
              <w:pStyle w:val="NotesText"/>
              <w:ind w:left="0"/>
            </w:pPr>
          </w:p>
          <w:p w:rsidR="008E48F6" w:rsidRDefault="008E48F6" w:rsidP="008E48F6">
            <w:pPr>
              <w:pStyle w:val="NotesText"/>
              <w:ind w:left="0"/>
            </w:pPr>
            <w:r>
              <w:t>For Codabar-labeled units:</w:t>
            </w:r>
          </w:p>
          <w:p w:rsidR="008E48F6" w:rsidRDefault="008E48F6" w:rsidP="008E48F6">
            <w:pPr>
              <w:pStyle w:val="NotesText"/>
            </w:pPr>
            <w:r>
              <w:rPr>
                <w:rFonts w:cs="Arial"/>
                <w:vanish/>
              </w:rPr>
              <w:t xml:space="preserve">BR_1.13 </w:t>
            </w:r>
            <w:r>
              <w:t>VBECS displays a scanned Codabar product code as seven characters.</w:t>
            </w:r>
          </w:p>
          <w:p w:rsidR="008E48F6" w:rsidRDefault="008E48F6" w:rsidP="008E48F6">
            <w:pPr>
              <w:pStyle w:val="NotesText"/>
            </w:pPr>
          </w:p>
          <w:p w:rsidR="008E48F6" w:rsidRDefault="008E48F6" w:rsidP="008E48F6">
            <w:pPr>
              <w:pStyle w:val="NotesText"/>
            </w:pPr>
            <w:r>
              <w:t>In some instances, Codabar product codes are not unique when they are modified.</w:t>
            </w:r>
          </w:p>
          <w:p w:rsidR="008E48F6" w:rsidRDefault="008E48F6" w:rsidP="008E48F6">
            <w:pPr>
              <w:pStyle w:val="NotesText"/>
            </w:pPr>
          </w:p>
          <w:p w:rsidR="008E48F6" w:rsidRDefault="008E48F6" w:rsidP="008E48F6">
            <w:pPr>
              <w:pStyle w:val="NotesText"/>
              <w:ind w:left="0"/>
            </w:pPr>
            <w:r>
              <w:t>For ISBT 128-labeled units:</w:t>
            </w:r>
          </w:p>
          <w:p w:rsidR="008E48F6" w:rsidRDefault="008E48F6" w:rsidP="008E48F6">
            <w:pPr>
              <w:pStyle w:val="NotesText"/>
            </w:pPr>
            <w:r>
              <w:rPr>
                <w:rFonts w:cs="Arial"/>
                <w:vanish/>
              </w:rPr>
              <w:t xml:space="preserve">BR_1.14 </w:t>
            </w:r>
            <w:r>
              <w:t>VBECS stores scanned ISBT 128 product codes and displays them as eight characters:</w:t>
            </w:r>
          </w:p>
          <w:p w:rsidR="008E48F6" w:rsidRDefault="008E48F6" w:rsidP="008E48F6">
            <w:pPr>
              <w:pStyle w:val="NotesTextBullet"/>
            </w:pPr>
            <w:r>
              <w:t>Characters 1–5 are used to search the ISBT Blood Product Table to identify the product type.</w:t>
            </w:r>
          </w:p>
          <w:p w:rsidR="008E48F6" w:rsidRDefault="008E48F6" w:rsidP="008E48F6">
            <w:pPr>
              <w:pStyle w:val="NotesTextBullet"/>
            </w:pPr>
            <w:r>
              <w:t>Character 6 indicates donation type.</w:t>
            </w:r>
          </w:p>
          <w:p w:rsidR="008E48F6" w:rsidRDefault="008E48F6" w:rsidP="008E48F6">
            <w:pPr>
              <w:pStyle w:val="NotesTextBullet"/>
            </w:pPr>
            <w:r>
              <w:t>Character 7 indicates a division at the time of collection.</w:t>
            </w:r>
          </w:p>
          <w:p w:rsidR="008E48F6" w:rsidRDefault="008E48F6" w:rsidP="008E48F6">
            <w:pPr>
              <w:pStyle w:val="NotesTextBullet"/>
            </w:pPr>
            <w:r>
              <w:t xml:space="preserve">Character 8 indicates an additional aliquot. </w:t>
            </w:r>
          </w:p>
        </w:tc>
      </w:tr>
      <w:tr w:rsidR="002A21AE">
        <w:tblPrEx>
          <w:tblCellMar>
            <w:top w:w="0" w:type="dxa"/>
            <w:bottom w:w="0" w:type="dxa"/>
          </w:tblCellMar>
        </w:tblPrEx>
        <w:tc>
          <w:tcPr>
            <w:tcW w:w="3240" w:type="dxa"/>
          </w:tcPr>
          <w:p w:rsidR="002A21AE" w:rsidRDefault="002A21AE">
            <w:pPr>
              <w:pStyle w:val="TableTextNumbers"/>
            </w:pPr>
            <w:r>
              <w:lastRenderedPageBreak/>
              <w:t xml:space="preserve">For Codabar- and ISBT 128-labeled units, scan the ABO/Rh number barcode, enter the ABO/Rh, or select the ABO/Rh from the drop-down list. </w:t>
            </w:r>
          </w:p>
        </w:tc>
        <w:tc>
          <w:tcPr>
            <w:tcW w:w="6120" w:type="dxa"/>
          </w:tcPr>
          <w:p w:rsidR="002A21AE" w:rsidRDefault="002A21AE">
            <w:pPr>
              <w:pStyle w:val="TableTextBullet"/>
            </w:pPr>
            <w:r>
              <w:t>Displays the corresponding ABO/Rh.</w:t>
            </w:r>
          </w:p>
          <w:p w:rsidR="002A21AE" w:rsidRDefault="002A21AE">
            <w:pPr>
              <w:pStyle w:val="TableTextBullet"/>
              <w:rPr>
                <w:color w:val="000000"/>
              </w:rPr>
            </w:pPr>
            <w:r>
              <w:t>Allows the selection of only ABO/Rh types acceptable for ICCBBA component classes.</w:t>
            </w:r>
          </w:p>
          <w:p w:rsidR="002A21AE" w:rsidRDefault="002A21AE">
            <w:pPr>
              <w:pStyle w:val="TableTextBullet"/>
            </w:pPr>
            <w:r>
              <w:rPr>
                <w:rFonts w:cs="Arial"/>
                <w:vanish/>
              </w:rPr>
              <w:t xml:space="preserve">BR_1.66 </w:t>
            </w:r>
            <w:r>
              <w:t xml:space="preserve">Enables the ABO/Rh field when a valid product code is entered. </w:t>
            </w:r>
          </w:p>
        </w:tc>
      </w:tr>
      <w:tr w:rsidR="002A21AE">
        <w:tblPrEx>
          <w:tblCellMar>
            <w:top w:w="0" w:type="dxa"/>
            <w:bottom w:w="0" w:type="dxa"/>
          </w:tblCellMar>
        </w:tblPrEx>
        <w:tc>
          <w:tcPr>
            <w:tcW w:w="3240" w:type="dxa"/>
          </w:tcPr>
          <w:p w:rsidR="002A21AE" w:rsidRDefault="002A21AE">
            <w:pPr>
              <w:pStyle w:val="TableTextNumbers"/>
            </w:pPr>
            <w:r>
              <w:t>Scan the expiration date barcode or enter the expiration date and time when an expiration time is required.</w:t>
            </w:r>
          </w:p>
        </w:tc>
        <w:tc>
          <w:tcPr>
            <w:tcW w:w="6120" w:type="dxa"/>
          </w:tcPr>
          <w:p w:rsidR="002A21AE" w:rsidRDefault="002A21AE">
            <w:pPr>
              <w:pStyle w:val="TableTextBullet"/>
            </w:pPr>
            <w:r>
              <w:t>Displays the corresponding expiration date and time.</w:t>
            </w:r>
          </w:p>
          <w:p w:rsidR="002A21AE" w:rsidRDefault="002A21AE">
            <w:pPr>
              <w:pStyle w:val="TableText"/>
              <w:ind w:left="720"/>
            </w:pPr>
          </w:p>
          <w:p w:rsidR="002A21AE" w:rsidRDefault="00634BFC">
            <w:pPr>
              <w:pStyle w:val="TableText"/>
              <w:rPr>
                <w:b/>
                <w:bCs/>
                <w:szCs w:val="18"/>
              </w:rPr>
            </w:pPr>
            <w:r>
              <w:rPr>
                <w:b/>
                <w:bCs/>
                <w:noProof/>
              </w:rPr>
              <mc:AlternateContent>
                <mc:Choice Requires="wps">
                  <w:drawing>
                    <wp:anchor distT="0" distB="0" distL="114300" distR="114300" simplePos="0" relativeHeight="25151641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14"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2" o:spid="_x0000_s1026" style="position:absolute;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AiFA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szCs w:val="18"/>
              </w:rPr>
              <w:t>BR_1.22</w:t>
            </w:r>
            <w:r w:rsidR="00CE3961">
              <w:rPr>
                <w:rFonts w:cs="Arial"/>
                <w:vanish/>
                <w:szCs w:val="18"/>
              </w:rPr>
              <w:t>,</w:t>
            </w:r>
            <w:r>
              <w:rPr>
                <w:rFonts w:cs="Arial"/>
                <w:vanish/>
                <w:szCs w:val="18"/>
              </w:rPr>
              <w:t xml:space="preserve"> </w:t>
            </w:r>
            <w:r>
              <w:rPr>
                <w:vanish/>
                <w:szCs w:val="18"/>
              </w:rPr>
              <w:t xml:space="preserve">BR_1.23 </w:t>
            </w:r>
            <w:r>
              <w:t>The default unit expiration time is 23:59.</w:t>
            </w:r>
          </w:p>
          <w:p w:rsidR="002A21AE" w:rsidRDefault="002A21AE">
            <w:pPr>
              <w:pStyle w:val="NotesText"/>
            </w:pPr>
          </w:p>
          <w:p w:rsidR="002A21AE" w:rsidRDefault="002A21AE">
            <w:pPr>
              <w:pStyle w:val="NotesText"/>
            </w:pPr>
            <w:r>
              <w:rPr>
                <w:rFonts w:cs="Arial"/>
                <w:vanish/>
              </w:rPr>
              <w:t xml:space="preserve">BR_1.31 </w:t>
            </w:r>
            <w:r>
              <w:t xml:space="preserve">VBECS compares the entered blood product’s expiration date to the maximum storage date and time limit for the product type. The date and time of shipment receipt are used as the collection date and time. When the expiration date entered exceeds the defined maximum storage time, VBECS displays an error message and clears the field. The user may reenter an expiration date and time for the product. </w:t>
            </w:r>
          </w:p>
          <w:p w:rsidR="002A21AE" w:rsidRDefault="002A21AE">
            <w:pPr>
              <w:pStyle w:val="NotesText"/>
            </w:pPr>
            <w:r>
              <w:lastRenderedPageBreak/>
              <w:t> </w:t>
            </w:r>
          </w:p>
          <w:p w:rsidR="002A21AE" w:rsidRDefault="002A21AE">
            <w:pPr>
              <w:pStyle w:val="NotesText"/>
            </w:pPr>
            <w:r>
              <w:t xml:space="preserve">Products </w:t>
            </w:r>
            <w:r w:rsidR="00352C41">
              <w:t>with</w:t>
            </w:r>
            <w:r>
              <w:t xml:space="preserve"> a maximum expiration date and time of </w:t>
            </w:r>
            <w:r>
              <w:rPr>
                <w:u w:val="single"/>
              </w:rPr>
              <w:t>&lt;</w:t>
            </w:r>
            <w:r>
              <w:t xml:space="preserve">24 hours default to an expiration time </w:t>
            </w:r>
            <w:r w:rsidR="00352C41">
              <w:rPr>
                <w:u w:val="single"/>
              </w:rPr>
              <w:t>&lt;</w:t>
            </w:r>
            <w:r>
              <w:t xml:space="preserve">24 hours from the time of the incoming shipment. Product types with a maximum expiration date and time of </w:t>
            </w:r>
            <w:r>
              <w:rPr>
                <w:u w:val="single"/>
              </w:rPr>
              <w:t>&gt;</w:t>
            </w:r>
            <w:r>
              <w:t xml:space="preserve"> 24 hours have a default expiration time of 23:59.</w:t>
            </w:r>
          </w:p>
          <w:p w:rsidR="002A21AE" w:rsidRDefault="002A21AE">
            <w:pPr>
              <w:pStyle w:val="NotesText"/>
            </w:pPr>
          </w:p>
          <w:p w:rsidR="002A21AE" w:rsidRDefault="002A21AE">
            <w:pPr>
              <w:pStyle w:val="NotesText"/>
            </w:pPr>
            <w:r>
              <w:rPr>
                <w:rFonts w:cs="Arial"/>
                <w:vanish/>
              </w:rPr>
              <w:t xml:space="preserve">BR_1.61 </w:t>
            </w:r>
            <w:r w:rsidR="009965B7" w:rsidRPr="00896F17">
              <w:rPr>
                <w:rStyle w:val="BullhornChar"/>
              </w:rPr>
              <w:t></w:t>
            </w:r>
            <w:r w:rsidR="009965B7" w:rsidRPr="00D62E87">
              <w:rPr>
                <w:rFonts w:ascii="Webdings" w:hAnsi="Webdings"/>
              </w:rPr>
              <w:t></w:t>
            </w:r>
            <w:r>
              <w:t xml:space="preserve">When a unit expiration date precedes the incoming shipment date and time, VBECS emits an audible alert, </w:t>
            </w:r>
            <w:r>
              <w:rPr>
                <w:noProof/>
              </w:rPr>
              <w:t>warns that the user</w:t>
            </w:r>
            <w:r>
              <w:t xml:space="preserve"> is attempting to enter an expired unit, and asks whether the user wishes to continue. </w:t>
            </w:r>
          </w:p>
          <w:p w:rsidR="002A21AE" w:rsidRDefault="002A21AE">
            <w:pPr>
              <w:pStyle w:val="NotesText"/>
              <w:rPr>
                <w:b/>
              </w:rPr>
            </w:pPr>
          </w:p>
          <w:p w:rsidR="002A21AE" w:rsidRDefault="002A21AE">
            <w:pPr>
              <w:pStyle w:val="NotesText"/>
            </w:pPr>
            <w:r>
              <w:rPr>
                <w:b/>
              </w:rPr>
              <w:t>No</w:t>
            </w:r>
            <w:r>
              <w:t xml:space="preserve"> clears the unit expiration date field. The user must enter a new, acceptable expiration date. </w:t>
            </w:r>
            <w:r>
              <w:rPr>
                <w:b/>
              </w:rPr>
              <w:t>Yes</w:t>
            </w:r>
            <w:r>
              <w:t xml:space="preserve"> requires the user to enter a comment.</w:t>
            </w:r>
          </w:p>
          <w:p w:rsidR="002A21AE" w:rsidRDefault="002A21AE">
            <w:pPr>
              <w:pStyle w:val="NotesText"/>
              <w:rPr>
                <w:rFonts w:cs="Arial"/>
              </w:rPr>
            </w:pPr>
          </w:p>
          <w:p w:rsidR="002A21AE" w:rsidRDefault="002A21AE">
            <w:pPr>
              <w:pStyle w:val="NotesText"/>
              <w:rPr>
                <w:rFonts w:cs="Arial"/>
              </w:rPr>
            </w:pPr>
            <w:r>
              <w:rPr>
                <w:rFonts w:cs="Arial"/>
              </w:rPr>
              <w:t>VBECS captures details of this override in an Exception Report.</w:t>
            </w:r>
          </w:p>
        </w:tc>
      </w:tr>
      <w:tr w:rsidR="002A21AE">
        <w:tblPrEx>
          <w:tblCellMar>
            <w:top w:w="0" w:type="dxa"/>
            <w:bottom w:w="0" w:type="dxa"/>
          </w:tblCellMar>
        </w:tblPrEx>
        <w:tc>
          <w:tcPr>
            <w:tcW w:w="3240" w:type="dxa"/>
          </w:tcPr>
          <w:p w:rsidR="002A21AE" w:rsidRDefault="002A21AE">
            <w:pPr>
              <w:pStyle w:val="TableTextNumbers"/>
            </w:pPr>
            <w:r>
              <w:lastRenderedPageBreak/>
              <w:t xml:space="preserve">For Codabar-labeled units, accept “voluntary allogeneic” or select another donation type. </w:t>
            </w:r>
          </w:p>
          <w:p w:rsidR="002A21AE" w:rsidRDefault="002A21AE">
            <w:pPr>
              <w:pStyle w:val="TableTextNumbersContinued"/>
            </w:pPr>
          </w:p>
          <w:p w:rsidR="002A21AE" w:rsidRDefault="002A21AE">
            <w:pPr>
              <w:pStyle w:val="TableTextNumbersContinued"/>
            </w:pPr>
            <w:r>
              <w:t>For ISBT 128-labeled units, accept the donation type based on character 6 of the product code (cannot be edited) or, when character 6 is “0,” indicate a donation type.</w:t>
            </w:r>
          </w:p>
        </w:tc>
        <w:tc>
          <w:tcPr>
            <w:tcW w:w="6120" w:type="dxa"/>
          </w:tcPr>
          <w:p w:rsidR="002A21AE" w:rsidRDefault="002A21AE">
            <w:pPr>
              <w:pStyle w:val="TableTextBullet"/>
            </w:pPr>
            <w:r>
              <w:t xml:space="preserve">Assigns the donation type to the unit or requires user input, as needed. </w:t>
            </w:r>
          </w:p>
          <w:p w:rsidR="002A21AE" w:rsidRDefault="002A21AE">
            <w:pPr>
              <w:pStyle w:val="TableTextBullet"/>
            </w:pPr>
            <w:r>
              <w:t xml:space="preserve">For Codabar, assigns the “voluntary allogeneic” donation type to the unit. </w:t>
            </w:r>
          </w:p>
          <w:p w:rsidR="002A21AE" w:rsidRDefault="002A21AE">
            <w:pPr>
              <w:pStyle w:val="TableTextBullet"/>
            </w:pPr>
            <w:r>
              <w:t>Requires data entry of the “reserved for” patient name and/or patient ID and the disease market testing status for “autologous” and “directed” donation types.</w:t>
            </w:r>
          </w:p>
          <w:p w:rsidR="002A21AE" w:rsidRDefault="002A21AE">
            <w:pPr>
              <w:pStyle w:val="TableText"/>
              <w:ind w:left="720"/>
            </w:pPr>
          </w:p>
          <w:p w:rsidR="002A21AE" w:rsidRDefault="00634BFC">
            <w:pPr>
              <w:pStyle w:val="TableText"/>
              <w:rPr>
                <w:b/>
                <w:bCs/>
                <w:szCs w:val="18"/>
              </w:rPr>
            </w:pPr>
            <w:r>
              <w:rPr>
                <w:b/>
                <w:bCs/>
                <w:noProof/>
              </w:rPr>
              <mc:AlternateContent>
                <mc:Choice Requires="wps">
                  <w:drawing>
                    <wp:anchor distT="0" distB="0" distL="114300" distR="114300" simplePos="0" relativeHeight="25152153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13"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6" o:spid="_x0000_s1026" style="position:absolute;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G5fFQ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K2g&#10;bl8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t>For ISBT 128, donation types other than “Special Testing Barcode” and “Not Specified” cannot be edited. When the donation type is “Special Testing Barcode” or “Not Specified,” the user must select a different donation type.</w:t>
            </w:r>
          </w:p>
          <w:p w:rsidR="002A21AE" w:rsidRDefault="002A21AE">
            <w:pPr>
              <w:pStyle w:val="NotesText"/>
            </w:pPr>
          </w:p>
          <w:p w:rsidR="002A21AE" w:rsidRDefault="002A21AE">
            <w:pPr>
              <w:pStyle w:val="NotesText"/>
            </w:pPr>
            <w:r>
              <w:t xml:space="preserve">Codabar barcodes do not include donation type codes, so a user must select a valid donation type. </w:t>
            </w:r>
            <w:r w:rsidR="00124F98">
              <w:t>When a donation type requires restriction (directed or autologous), the user must associate the unit with a patient name.</w:t>
            </w:r>
          </w:p>
          <w:p w:rsidR="002A21AE" w:rsidRDefault="002A21AE">
            <w:pPr>
              <w:pStyle w:val="NotesText"/>
            </w:pPr>
          </w:p>
          <w:p w:rsidR="002A21AE" w:rsidRDefault="002A21AE">
            <w:pPr>
              <w:pStyle w:val="NotesText"/>
            </w:pPr>
            <w:r>
              <w:rPr>
                <w:rFonts w:cs="Arial"/>
                <w:vanish/>
              </w:rPr>
              <w:t>BR_1.36</w:t>
            </w:r>
            <w:r w:rsidR="00CA0133">
              <w:rPr>
                <w:rFonts w:cs="Arial"/>
                <w:vanish/>
              </w:rPr>
              <w:t>,</w:t>
            </w:r>
            <w:r>
              <w:rPr>
                <w:rFonts w:cs="Arial"/>
                <w:vanish/>
              </w:rPr>
              <w:t xml:space="preserve"> BR_1.26 </w:t>
            </w:r>
            <w:r>
              <w:t>When a site is a transfusion-only facility, each unit processed must be restricted to a specific patient regardless of donation type.</w:t>
            </w:r>
          </w:p>
        </w:tc>
      </w:tr>
      <w:tr w:rsidR="002A21AE">
        <w:tblPrEx>
          <w:tblCellMar>
            <w:top w:w="0" w:type="dxa"/>
            <w:bottom w:w="0" w:type="dxa"/>
          </w:tblCellMar>
        </w:tblPrEx>
        <w:tc>
          <w:tcPr>
            <w:tcW w:w="3240" w:type="dxa"/>
          </w:tcPr>
          <w:p w:rsidR="002A21AE" w:rsidRDefault="0017553F">
            <w:pPr>
              <w:pStyle w:val="TableTextNumbers"/>
            </w:pPr>
            <w:r>
              <w:t xml:space="preserve">Click the </w:t>
            </w:r>
            <w:r w:rsidR="00A6373D">
              <w:rPr>
                <w:b/>
              </w:rPr>
              <w:t>find</w:t>
            </w:r>
            <w:r w:rsidRPr="00BF2E41">
              <w:t xml:space="preserve"> button</w:t>
            </w:r>
            <w:r>
              <w:t xml:space="preserve"> next to the Restricted For Patient field to </w:t>
            </w:r>
            <w:r w:rsidR="00034390">
              <w:t>i</w:t>
            </w:r>
            <w:r w:rsidR="002A21AE">
              <w:t>ndicate the patient for whom the unit is reserved, as needed.</w:t>
            </w:r>
          </w:p>
        </w:tc>
        <w:tc>
          <w:tcPr>
            <w:tcW w:w="6120" w:type="dxa"/>
          </w:tcPr>
          <w:p w:rsidR="002A21AE" w:rsidRDefault="002A21AE">
            <w:pPr>
              <w:pStyle w:val="TableTextBullet"/>
            </w:pPr>
            <w:r>
              <w:t xml:space="preserve">Allows the user to search for active </w:t>
            </w:r>
            <w:r w:rsidR="00CA0045" w:rsidRPr="00CA0045">
              <w:rPr>
                <w:bCs/>
              </w:rPr>
              <w:t>VistA</w:t>
            </w:r>
            <w:r>
              <w:rPr>
                <w:bCs/>
              </w:rPr>
              <w:t xml:space="preserve"> patients to associate with the unit.</w:t>
            </w:r>
          </w:p>
          <w:p w:rsidR="002A21AE" w:rsidRDefault="002A21AE">
            <w:pPr>
              <w:pStyle w:val="TableTextBullet"/>
            </w:pPr>
            <w:r>
              <w:t>Requires data entry of a patient name and/or patient ID to associate the unit with that patient when a unit has a “directed” or “autologous” donation type or the receiving facility is a “transfusion-only” facility.</w:t>
            </w:r>
          </w:p>
          <w:p w:rsidR="002A21AE" w:rsidRDefault="002A21AE">
            <w:pPr>
              <w:pStyle w:val="TableTextBullet"/>
            </w:pPr>
            <w:r>
              <w:t xml:space="preserve">When no match exists, </w:t>
            </w:r>
            <w:r>
              <w:rPr>
                <w:noProof/>
              </w:rPr>
              <w:t>warns the user.</w:t>
            </w:r>
          </w:p>
          <w:p w:rsidR="002A21AE" w:rsidRDefault="002A21AE">
            <w:pPr>
              <w:pStyle w:val="TableTextBullet"/>
            </w:pPr>
            <w:r>
              <w:t>When the unit is autologous, requires a user to indicate the disease marker testing status:</w:t>
            </w:r>
          </w:p>
          <w:p w:rsidR="002A21AE" w:rsidRDefault="002A21AE">
            <w:pPr>
              <w:pStyle w:val="TableTextBullet1"/>
            </w:pPr>
            <w:r>
              <w:t>NEG: unit fully tested and negative for all disease markers</w:t>
            </w:r>
          </w:p>
          <w:p w:rsidR="002A21AE" w:rsidRDefault="002A21AE">
            <w:pPr>
              <w:pStyle w:val="TableTextBullet1"/>
            </w:pPr>
            <w:r>
              <w:t>POS: unit tested and positive for one or more disease markers (biohazard)</w:t>
            </w:r>
          </w:p>
          <w:p w:rsidR="002A21AE" w:rsidRDefault="002A21AE">
            <w:pPr>
              <w:pStyle w:val="TableTextBullet1"/>
            </w:pPr>
            <w:r>
              <w:t>NFT: unit not fully tested for one or more disease markers (biohazard)</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1334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12"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8" o:spid="_x0000_s1026" style="position:absolute;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M8kFQIAAC0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FXo&#10;zyQ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1C50C2" w:rsidRDefault="001C50C2">
            <w:pPr>
              <w:pStyle w:val="NotesText"/>
              <w:rPr>
                <w:rFonts w:cs="Arial"/>
              </w:rPr>
            </w:pPr>
            <w:r w:rsidRPr="001C50C2">
              <w:rPr>
                <w:rFonts w:cs="Arial"/>
              </w:rPr>
              <w:t xml:space="preserve">Displays a message when the user selects a patient with a blank </w:t>
            </w:r>
            <w:r w:rsidRPr="001C50C2">
              <w:rPr>
                <w:rFonts w:cs="Arial"/>
              </w:rPr>
              <w:lastRenderedPageBreak/>
              <w:t xml:space="preserve">first or last name, or the name is too long. The user is instructed to contact the VBECS Administrator for assistance. </w:t>
            </w:r>
            <w:r w:rsidRPr="001C50C2">
              <w:rPr>
                <w:rFonts w:cs="Arial"/>
                <w:vanish/>
              </w:rPr>
              <w:t>DR 3444</w:t>
            </w:r>
          </w:p>
          <w:p w:rsidR="001C50C2" w:rsidRDefault="001C50C2">
            <w:pPr>
              <w:pStyle w:val="NotesText"/>
              <w:rPr>
                <w:rFonts w:cs="Arial"/>
              </w:rPr>
            </w:pPr>
          </w:p>
          <w:p w:rsidR="002A21AE" w:rsidRDefault="00D407D0">
            <w:pPr>
              <w:pStyle w:val="NotesText"/>
            </w:pPr>
            <w:r>
              <w:rPr>
                <w:rFonts w:cs="Arial"/>
                <w:vanish/>
              </w:rPr>
              <w:t>DR 1,041</w:t>
            </w:r>
            <w:r w:rsidRPr="00D407D0">
              <w:rPr>
                <w:rFonts w:cs="Arial"/>
                <w:szCs w:val="18"/>
              </w:rPr>
              <w:t xml:space="preserve">The Patient Blood Availability Report does not include restricted units not assigned </w:t>
            </w:r>
            <w:r>
              <w:rPr>
                <w:rFonts w:cs="Arial"/>
                <w:szCs w:val="18"/>
              </w:rPr>
              <w:t xml:space="preserve">to a patient. To track such units, the user may enter restricted units’ IDs in the Special Instruction field in Special Instructions &amp; Transfusion Requirements: Enter and Remove Special </w:t>
            </w:r>
            <w:r w:rsidR="00541DC0">
              <w:rPr>
                <w:rFonts w:cs="Arial"/>
                <w:szCs w:val="18"/>
              </w:rPr>
              <w:t>Instructions. When</w:t>
            </w:r>
            <w:r w:rsidR="002A21AE">
              <w:t xml:space="preserve"> a user restricts a unit to a patient and VBECS does not find that patient in its database, VBECS searches </w:t>
            </w:r>
            <w:r w:rsidR="00CA0045" w:rsidRPr="00CA0045">
              <w:rPr>
                <w:bCs/>
              </w:rPr>
              <w:t>VistA</w:t>
            </w:r>
            <w:r w:rsidR="002A21AE">
              <w:t>. When it finds a valid patient, VBECS adds the patient to the database.</w:t>
            </w:r>
          </w:p>
        </w:tc>
      </w:tr>
      <w:tr w:rsidR="002A21AE">
        <w:tblPrEx>
          <w:tblCellMar>
            <w:top w:w="0" w:type="dxa"/>
            <w:bottom w:w="0" w:type="dxa"/>
          </w:tblCellMar>
        </w:tblPrEx>
        <w:tc>
          <w:tcPr>
            <w:tcW w:w="3240" w:type="dxa"/>
          </w:tcPr>
          <w:p w:rsidR="002A21AE" w:rsidRDefault="002A21AE">
            <w:pPr>
              <w:pStyle w:val="TableTextNumbers"/>
            </w:pPr>
            <w:r>
              <w:lastRenderedPageBreak/>
              <w:t>Do one or more:</w:t>
            </w:r>
          </w:p>
          <w:p w:rsidR="002A21AE" w:rsidRDefault="002A21AE">
            <w:pPr>
              <w:pStyle w:val="TableTextNumbersContinued"/>
            </w:pPr>
          </w:p>
          <w:p w:rsidR="002A21AE" w:rsidRDefault="002A21AE">
            <w:pPr>
              <w:pStyle w:val="TableTextNumbersContinued"/>
            </w:pPr>
            <w:r>
              <w:t xml:space="preserve">Accept the blank check boxes or click a check box to indicate that a unit is CMV Negative or Sickle Cell Negative. </w:t>
            </w:r>
          </w:p>
          <w:p w:rsidR="002A21AE" w:rsidRDefault="002A21AE">
            <w:pPr>
              <w:pStyle w:val="TableTextNumbersContinued"/>
            </w:pPr>
          </w:p>
          <w:p w:rsidR="002A21AE" w:rsidRDefault="002A21AE">
            <w:pPr>
              <w:pStyle w:val="TableTextNumbersContinued"/>
            </w:pPr>
            <w:r>
              <w:t>Enter an additional cost.</w:t>
            </w:r>
          </w:p>
          <w:p w:rsidR="002A21AE" w:rsidRDefault="002A21AE">
            <w:pPr>
              <w:pStyle w:val="TableTextNumbersContinued"/>
            </w:pPr>
          </w:p>
          <w:p w:rsidR="002A21AE" w:rsidRDefault="002A21AE">
            <w:pPr>
              <w:pStyle w:val="TableTextNumbersContinued"/>
            </w:pPr>
            <w:r>
              <w:t>Enter an antigen phenotype for a unit</w:t>
            </w:r>
            <w:r w:rsidR="00DC6B68">
              <w:t xml:space="preserve"> (</w:t>
            </w:r>
            <w:r w:rsidR="00DC6B68">
              <w:fldChar w:fldCharType="begin"/>
            </w:r>
            <w:r w:rsidR="00DC6B68">
              <w:instrText xml:space="preserve"> REF _Ref126645045 \h </w:instrText>
            </w:r>
            <w:r w:rsidR="00DC6B68">
              <w:fldChar w:fldCharType="separate"/>
            </w:r>
            <w:r w:rsidR="005F38BC">
              <w:t xml:space="preserve">Figure </w:t>
            </w:r>
            <w:r w:rsidR="005F38BC">
              <w:rPr>
                <w:noProof/>
              </w:rPr>
              <w:t>67</w:t>
            </w:r>
            <w:r w:rsidR="00DC6B68">
              <w:fldChar w:fldCharType="end"/>
            </w:r>
            <w:r w:rsidR="00DC6B68">
              <w:t>)</w:t>
            </w:r>
            <w:r>
              <w:t xml:space="preserve">. </w:t>
            </w:r>
          </w:p>
        </w:tc>
        <w:tc>
          <w:tcPr>
            <w:tcW w:w="6120" w:type="dxa"/>
          </w:tcPr>
          <w:p w:rsidR="002A21AE" w:rsidRDefault="002A21AE">
            <w:pPr>
              <w:pStyle w:val="TableTextBullet"/>
            </w:pPr>
            <w:r>
              <w:t>Displays an option to save or clear unit information.</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2051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11"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2" o:spid="_x0000_s1026" style="position:absolute;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c2FA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t>VBECS accommodates data entry of:</w:t>
            </w:r>
          </w:p>
          <w:p w:rsidR="002A21AE" w:rsidRDefault="002A21AE">
            <w:pPr>
              <w:pStyle w:val="NotesTextBullet"/>
            </w:pPr>
            <w:r>
              <w:rPr>
                <w:rFonts w:cs="Arial"/>
                <w:vanish/>
              </w:rPr>
              <w:t xml:space="preserve">BR_1.44 </w:t>
            </w:r>
            <w:r>
              <w:t>Special testing results (antigen phenotype results, CMV negative, or sickle cell negative).</w:t>
            </w:r>
          </w:p>
          <w:p w:rsidR="002A21AE" w:rsidRDefault="002A21AE">
            <w:pPr>
              <w:pStyle w:val="NotesTextBullet"/>
            </w:pPr>
            <w:r>
              <w:rPr>
                <w:rFonts w:cs="Arial"/>
                <w:vanish/>
              </w:rPr>
              <w:t xml:space="preserve">BR_1.46 </w:t>
            </w:r>
            <w:r>
              <w:t>A single special typing cost (the sum of charges from $0.00 to $999.00, other than the base unit cost) to associate with a unit.</w:t>
            </w:r>
          </w:p>
          <w:p w:rsidR="002A21AE" w:rsidRDefault="002A21AE">
            <w:pPr>
              <w:pStyle w:val="NotesText"/>
            </w:pPr>
          </w:p>
          <w:p w:rsidR="002A21AE" w:rsidRDefault="002A21AE">
            <w:pPr>
              <w:pStyle w:val="NotesText"/>
            </w:pPr>
            <w:r>
              <w:rPr>
                <w:rFonts w:cs="Arial"/>
                <w:vanish/>
              </w:rPr>
              <w:t xml:space="preserve">BR_1.45 </w:t>
            </w:r>
            <w:r>
              <w:t xml:space="preserve">An antigen type may be positive or negative for any antigen listed as a VBECS corresponding antigen in </w:t>
            </w:r>
            <w:r w:rsidR="00543DAF">
              <w:fldChar w:fldCharType="begin"/>
            </w:r>
            <w:r w:rsidR="00543DAF">
              <w:instrText xml:space="preserve"> REF _Ref170004931 \h </w:instrText>
            </w:r>
            <w:r w:rsidR="00543DAF">
              <w:fldChar w:fldCharType="separate"/>
            </w:r>
            <w:r w:rsidR="005F38BC">
              <w:t xml:space="preserve">Appendix </w:t>
            </w:r>
            <w:r w:rsidR="005F38BC">
              <w:rPr>
                <w:noProof/>
              </w:rPr>
              <w:t>B</w:t>
            </w:r>
            <w:r w:rsidR="00543DAF">
              <w:fldChar w:fldCharType="end"/>
            </w:r>
            <w:r>
              <w:t xml:space="preserve">: </w:t>
            </w:r>
            <w:r w:rsidR="00771DBD">
              <w:fldChar w:fldCharType="begin"/>
            </w:r>
            <w:r w:rsidR="00771DBD">
              <w:instrText xml:space="preserve"> REF _Ref126484449 \h </w:instrText>
            </w:r>
            <w:r w:rsidR="00771DBD">
              <w:fldChar w:fldCharType="separate"/>
            </w:r>
            <w:r w:rsidR="005F38BC">
              <w:t xml:space="preserve">Table </w:t>
            </w:r>
            <w:r w:rsidR="005F38BC">
              <w:rPr>
                <w:noProof/>
              </w:rPr>
              <w:t>14</w:t>
            </w:r>
            <w:r w:rsidR="005F38BC">
              <w:t xml:space="preserve">: </w:t>
            </w:r>
            <w:r w:rsidR="005F38BC">
              <w:rPr>
                <w:vanish/>
              </w:rPr>
              <w:t xml:space="preserve">TT_23.01A </w:t>
            </w:r>
            <w:r w:rsidR="005F38BC">
              <w:t>Antibody and Antigen Table: Irregular Antibodies</w:t>
            </w:r>
            <w:r w:rsidR="00771DBD">
              <w:fldChar w:fldCharType="end"/>
            </w:r>
            <w:r>
              <w:t>. An antigen may not be positive and negative for the same unit.</w:t>
            </w:r>
          </w:p>
        </w:tc>
      </w:tr>
      <w:tr w:rsidR="002A21AE">
        <w:tblPrEx>
          <w:tblCellMar>
            <w:top w:w="0" w:type="dxa"/>
            <w:bottom w:w="0" w:type="dxa"/>
          </w:tblCellMar>
        </w:tblPrEx>
        <w:tc>
          <w:tcPr>
            <w:tcW w:w="3240" w:type="dxa"/>
          </w:tcPr>
          <w:p w:rsidR="002A21AE" w:rsidRDefault="002A21AE">
            <w:pPr>
              <w:pStyle w:val="TableTextNumbers"/>
            </w:pPr>
            <w:r>
              <w:t xml:space="preserve">Review and click </w:t>
            </w:r>
            <w:r>
              <w:rPr>
                <w:b/>
              </w:rPr>
              <w:t>Save</w:t>
            </w:r>
            <w:r>
              <w:t xml:space="preserve"> to accept the unit.</w:t>
            </w:r>
          </w:p>
        </w:tc>
        <w:tc>
          <w:tcPr>
            <w:tcW w:w="6120" w:type="dxa"/>
          </w:tcPr>
          <w:p w:rsidR="002A21AE" w:rsidRDefault="00590A7C">
            <w:pPr>
              <w:pStyle w:val="TableTextBullet"/>
            </w:pPr>
            <w:r>
              <w:rPr>
                <w:vanish/>
              </w:rPr>
              <w:t>BR_1</w:t>
            </w:r>
            <w:r w:rsidRPr="00B21CEA">
              <w:rPr>
                <w:vanish/>
              </w:rPr>
              <w:t xml:space="preserve">.68 </w:t>
            </w:r>
            <w:r w:rsidR="002A21AE" w:rsidRPr="00590A7C">
              <w:t xml:space="preserve">Asks </w:t>
            </w:r>
            <w:r w:rsidR="002A21AE">
              <w:t xml:space="preserve">the user whether he </w:t>
            </w:r>
            <w:r>
              <w:t>has inspected the units and that they are satisfactory.</w:t>
            </w:r>
            <w:r w:rsidR="002A21AE">
              <w:t xml:space="preserve"> </w:t>
            </w:r>
          </w:p>
          <w:p w:rsidR="000E3E6B" w:rsidRDefault="000E3E6B" w:rsidP="000E3E6B">
            <w:pPr>
              <w:pStyle w:val="TableTextBullet"/>
            </w:pPr>
            <w:r>
              <w:t>When the user clicks yes, the unit record is added to the division’s inventory.  When the user clicks no, the unit information is cleared and the unit is not entered into the division’s inventory.</w:t>
            </w:r>
          </w:p>
          <w:p w:rsidR="002A21AE" w:rsidRDefault="002A21AE">
            <w:pPr>
              <w:pStyle w:val="TableTextBullet"/>
            </w:pPr>
            <w:r>
              <w:t>Adds the unit to the database.</w:t>
            </w:r>
          </w:p>
          <w:p w:rsidR="002A21AE" w:rsidRDefault="002A21AE">
            <w:pPr>
              <w:pStyle w:val="TableTextBullet"/>
            </w:pPr>
            <w:r>
              <w:t xml:space="preserve">Lists summary information for the accepted unit. </w:t>
            </w:r>
          </w:p>
          <w:p w:rsidR="002A21AE" w:rsidRDefault="002A21AE">
            <w:pPr>
              <w:pStyle w:val="TableTextBullet"/>
            </w:pPr>
            <w:r>
              <w:t xml:space="preserve">Allows the user to begin processing a new unit. </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1744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10"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3" o:spid="_x0000_s1026" style="position:absolute;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LlkFA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" strokeweight="1.5pt"/>
                  </w:pict>
                </mc:Fallback>
              </mc:AlternateContent>
            </w:r>
            <w:r w:rsidR="002A21AE">
              <w:rPr>
                <w:b/>
                <w:bCs/>
                <w:szCs w:val="18"/>
              </w:rPr>
              <w:t>NOTES</w:t>
            </w:r>
          </w:p>
          <w:p w:rsidR="002A21AE" w:rsidRDefault="002A21AE">
            <w:pPr>
              <w:pStyle w:val="NotesText"/>
            </w:pPr>
          </w:p>
          <w:p w:rsidR="00B21CEA" w:rsidRPr="00B21CEA" w:rsidRDefault="00B21CEA" w:rsidP="00B21CEA">
            <w:pPr>
              <w:pStyle w:val="NotesText"/>
            </w:pPr>
            <w:r w:rsidRPr="00B21CEA">
              <w:t>If the unit is not satisfactory per the visual inspection, the user must click no. The unit is not entered into VBECS inventory and should be processed according to local procedure and policy.</w:t>
            </w:r>
          </w:p>
          <w:p w:rsidR="00B21CEA" w:rsidRDefault="00B21CEA">
            <w:pPr>
              <w:pStyle w:val="NotesText"/>
            </w:pPr>
          </w:p>
          <w:p w:rsidR="002A21AE" w:rsidRDefault="002A21AE">
            <w:pPr>
              <w:pStyle w:val="NotesText"/>
            </w:pPr>
            <w:r>
              <w:t>VBECS assigns unit statuses based on a site’s configuration in Configure Division. For a:</w:t>
            </w:r>
          </w:p>
          <w:p w:rsidR="002A21AE" w:rsidRDefault="002A21AE">
            <w:pPr>
              <w:pStyle w:val="NotesTextBullet"/>
            </w:pPr>
            <w:r>
              <w:t>“Full-service” facility, VBECS assigns “Limited” status to blood products that contain red cells and “Available” status to all other components.</w:t>
            </w:r>
          </w:p>
          <w:p w:rsidR="002A21AE" w:rsidRDefault="002A21AE">
            <w:pPr>
              <w:pStyle w:val="NotesTextBullet"/>
            </w:pPr>
            <w:r>
              <w:t>“Transfusion-only” facility, VBECS assigns “Available” status to the units. ABO/Rh confirmation testing is not required.</w:t>
            </w:r>
          </w:p>
          <w:p w:rsidR="002A21AE" w:rsidRDefault="002A21AE">
            <w:pPr>
              <w:pStyle w:val="NotesText"/>
            </w:pPr>
          </w:p>
          <w:p w:rsidR="002A21AE" w:rsidRDefault="002A21AE">
            <w:pPr>
              <w:pStyle w:val="NotesText"/>
            </w:pPr>
            <w:r>
              <w:t>Units are available only to users in the division in which the units were processed (separate inventories are maintained in a multidivisional site).</w:t>
            </w:r>
          </w:p>
          <w:p w:rsidR="00260D14" w:rsidRDefault="00260D14">
            <w:pPr>
              <w:pStyle w:val="NotesText"/>
            </w:pPr>
          </w:p>
          <w:p w:rsidR="00260D14" w:rsidRDefault="00260D14">
            <w:pPr>
              <w:pStyle w:val="NotesText"/>
            </w:pPr>
            <w:r>
              <w:t>To edit incorrect saved information, inactivate the unit through Edit Unit Information</w:t>
            </w:r>
            <w:r w:rsidR="00AB2CA4">
              <w:t>, then ree</w:t>
            </w:r>
            <w:r>
              <w:t xml:space="preserve">nter </w:t>
            </w:r>
            <w:r w:rsidR="00AB2CA4">
              <w:t xml:space="preserve">unit </w:t>
            </w:r>
            <w:r>
              <w:t>information in Incoming Shipment.</w:t>
            </w:r>
          </w:p>
        </w:tc>
      </w:tr>
      <w:tr w:rsidR="002A21AE">
        <w:tblPrEx>
          <w:tblCellMar>
            <w:top w:w="0" w:type="dxa"/>
            <w:bottom w:w="0" w:type="dxa"/>
          </w:tblCellMar>
        </w:tblPrEx>
        <w:tc>
          <w:tcPr>
            <w:tcW w:w="3240" w:type="dxa"/>
          </w:tcPr>
          <w:p w:rsidR="002A21AE" w:rsidRDefault="002A21AE">
            <w:pPr>
              <w:pStyle w:val="TableTextNumbers"/>
            </w:pPr>
            <w:r>
              <w:t>Repeat until all units are entered.</w:t>
            </w:r>
          </w:p>
        </w:tc>
        <w:tc>
          <w:tcPr>
            <w:tcW w:w="6120" w:type="dxa"/>
          </w:tcPr>
          <w:p w:rsidR="002A21AE" w:rsidRDefault="002A21AE">
            <w:pPr>
              <w:pStyle w:val="TableTextBullet"/>
            </w:pPr>
            <w:r>
              <w:t>Displays all unit data entries.</w:t>
            </w:r>
          </w:p>
        </w:tc>
      </w:tr>
      <w:tr w:rsidR="002A21AE">
        <w:tblPrEx>
          <w:tblCellMar>
            <w:top w:w="0" w:type="dxa"/>
            <w:bottom w:w="0" w:type="dxa"/>
          </w:tblCellMar>
        </w:tblPrEx>
        <w:tc>
          <w:tcPr>
            <w:tcW w:w="3240" w:type="dxa"/>
            <w:tcBorders>
              <w:bottom w:val="single" w:sz="4" w:space="0" w:color="auto"/>
            </w:tcBorders>
          </w:tcPr>
          <w:p w:rsidR="002A21AE" w:rsidRDefault="002A21AE">
            <w:pPr>
              <w:pStyle w:val="TableTextNumbers"/>
            </w:pPr>
            <w:r>
              <w:lastRenderedPageBreak/>
              <w:t xml:space="preserve">Click </w:t>
            </w:r>
            <w:r>
              <w:rPr>
                <w:b/>
              </w:rPr>
              <w:t>Close</w:t>
            </w:r>
            <w: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bottom w:val="single" w:sz="4" w:space="0" w:color="auto"/>
            </w:tcBorders>
          </w:tcPr>
          <w:p w:rsidR="002A21AE" w:rsidRDefault="002A21AE">
            <w:pPr>
              <w:pStyle w:val="TableText"/>
            </w:pPr>
          </w:p>
        </w:tc>
      </w:tr>
    </w:tbl>
    <w:p w:rsidR="00DC6B68" w:rsidRDefault="00DC6B68" w:rsidP="00DC6B68">
      <w:pPr>
        <w:pStyle w:val="Caption"/>
      </w:pPr>
      <w:bookmarkStart w:id="269" w:name="_Ref126645045"/>
      <w:r>
        <w:t xml:space="preserve">Figure </w:t>
      </w:r>
      <w:r w:rsidR="00C17F7C">
        <w:fldChar w:fldCharType="begin"/>
      </w:r>
      <w:r w:rsidR="00C17F7C">
        <w:instrText xml:space="preserve"> SEQ Figure \* ARABIC </w:instrText>
      </w:r>
      <w:r w:rsidR="00C17F7C">
        <w:fldChar w:fldCharType="separate"/>
      </w:r>
      <w:r w:rsidR="005F38BC">
        <w:rPr>
          <w:noProof/>
        </w:rPr>
        <w:t>67</w:t>
      </w:r>
      <w:r w:rsidR="00C17F7C">
        <w:fldChar w:fldCharType="end"/>
      </w:r>
      <w:bookmarkEnd w:id="269"/>
      <w:r>
        <w:t>: Process Incoming Shipment</w:t>
      </w:r>
    </w:p>
    <w:p w:rsidR="00DA7128" w:rsidRDefault="00634BFC" w:rsidP="00DA7128">
      <w:pPr>
        <w:pStyle w:val="BodyText"/>
      </w:pPr>
      <w:bookmarkStart w:id="270" w:name="_Toc63680359"/>
      <w:bookmarkStart w:id="271" w:name="_Outgoing_Shipment"/>
      <w:bookmarkEnd w:id="256"/>
      <w:bookmarkEnd w:id="271"/>
      <w:r>
        <w:rPr>
          <w:noProof/>
        </w:rPr>
        <w:drawing>
          <wp:inline distT="0" distB="0" distL="0" distR="0">
            <wp:extent cx="5314950" cy="3895725"/>
            <wp:effectExtent l="0" t="0" r="0"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314950" cy="3895725"/>
                    </a:xfrm>
                    <a:prstGeom prst="rect">
                      <a:avLst/>
                    </a:prstGeom>
                    <a:noFill/>
                    <a:ln>
                      <a:noFill/>
                    </a:ln>
                  </pic:spPr>
                </pic:pic>
              </a:graphicData>
            </a:graphic>
          </wp:inline>
        </w:drawing>
      </w:r>
    </w:p>
    <w:p w:rsidR="002A21AE" w:rsidRPr="00897252" w:rsidRDefault="002A21AE" w:rsidP="00DA7128">
      <w:pPr>
        <w:pStyle w:val="Heading4"/>
        <w:rPr>
          <w:rFonts w:ascii="Arial Bold" w:hAnsi="Arial Bold"/>
        </w:rPr>
      </w:pPr>
      <w:r>
        <w:t>Outgoing Shipment</w:t>
      </w:r>
      <w:bookmarkEnd w:id="270"/>
      <w:r w:rsidRPr="007716F7">
        <w:fldChar w:fldCharType="begin"/>
      </w:r>
      <w:r w:rsidRPr="007716F7">
        <w:instrText xml:space="preserve"> XE </w:instrText>
      </w:r>
      <w:r w:rsidR="00FA7E65" w:rsidRPr="007716F7">
        <w:instrText>“</w:instrText>
      </w:r>
      <w:r w:rsidRPr="007716F7">
        <w:instrText>Outgoing Shipment</w:instrText>
      </w:r>
      <w:r w:rsidR="00FA7E65" w:rsidRPr="007716F7">
        <w:instrText>”</w:instrText>
      </w:r>
      <w:r w:rsidRPr="007716F7">
        <w:instrText xml:space="preserve"> </w:instrText>
      </w:r>
      <w:r w:rsidRPr="007716F7">
        <w:fldChar w:fldCharType="end"/>
      </w:r>
      <w:r w:rsidRPr="007716F7">
        <w:t xml:space="preserve"> </w:t>
      </w:r>
      <w:r w:rsidRPr="00897252">
        <w:rPr>
          <w:rFonts w:ascii="Arial Bold" w:hAnsi="Arial Bold"/>
          <w:vanish/>
        </w:rPr>
        <w:t>UC_11</w:t>
      </w:r>
    </w:p>
    <w:p w:rsidR="002A21AE" w:rsidRDefault="002A21AE" w:rsidP="00FA7E65">
      <w:pPr>
        <w:pStyle w:val="BodyText"/>
      </w:pPr>
      <w:bookmarkStart w:id="272" w:name="_Toc49225137"/>
      <w:bookmarkStart w:id="273" w:name="_Toc49225235"/>
      <w:bookmarkStart w:id="274" w:name="_Toc75920287"/>
      <w:r>
        <w:t xml:space="preserve">The user processes and ships available blood units from his division to an outside facility, blood center, or hospital. </w:t>
      </w:r>
    </w:p>
    <w:p w:rsidR="002A21AE" w:rsidRDefault="002A21AE" w:rsidP="00FA7E65">
      <w:pPr>
        <w:pStyle w:val="BodyText"/>
      </w:pPr>
      <w:r>
        <w:t>The user may edit return credits (additional fees or credits may be issued from one site to another) before processing the shipment.</w:t>
      </w:r>
    </w:p>
    <w:p w:rsidR="002A21AE" w:rsidRDefault="002A21AE" w:rsidP="00FA7E65">
      <w:pPr>
        <w:pStyle w:val="BodyText"/>
      </w:pPr>
      <w:r>
        <w:t>VBECS generates a shipping invoice.</w:t>
      </w:r>
    </w:p>
    <w:p w:rsidR="002A21AE" w:rsidRDefault="002A21AE">
      <w:pPr>
        <w:pStyle w:val="Heading4"/>
      </w:pPr>
      <w:r>
        <w:t>Assumptions</w:t>
      </w:r>
    </w:p>
    <w:p w:rsidR="002A21AE" w:rsidRDefault="002A21AE">
      <w:pPr>
        <w:pStyle w:val="ListBullet"/>
      </w:pPr>
      <w:r>
        <w:t>Users are authorized to release units from inventory.</w:t>
      </w:r>
    </w:p>
    <w:p w:rsidR="002A21AE" w:rsidRDefault="002A21AE">
      <w:pPr>
        <w:pStyle w:val="ListBullet"/>
      </w:pPr>
      <w:r>
        <w:t>Blood units being shipped:</w:t>
      </w:r>
    </w:p>
    <w:p w:rsidR="002A21AE" w:rsidRDefault="002A21AE" w:rsidP="00802EE9">
      <w:pPr>
        <w:pStyle w:val="ListBullet2"/>
        <w:tabs>
          <w:tab w:val="clear" w:pos="648"/>
        </w:tabs>
        <w:ind w:left="900" w:hanging="270"/>
      </w:pPr>
      <w:r>
        <w:t xml:space="preserve">Were entered in the </w:t>
      </w:r>
      <w:r w:rsidR="009D2C46">
        <w:t>division</w:t>
      </w:r>
      <w:r>
        <w:t>.</w:t>
      </w:r>
    </w:p>
    <w:p w:rsidR="002A21AE" w:rsidRDefault="002A21AE" w:rsidP="00802EE9">
      <w:pPr>
        <w:pStyle w:val="ListBullet2"/>
        <w:tabs>
          <w:tab w:val="clear" w:pos="648"/>
        </w:tabs>
        <w:ind w:left="900" w:hanging="270"/>
      </w:pPr>
      <w:r>
        <w:t>Are available for scanning.</w:t>
      </w:r>
    </w:p>
    <w:p w:rsidR="002A21AE" w:rsidRDefault="002A21AE" w:rsidP="00802EE9">
      <w:pPr>
        <w:pStyle w:val="ListBullet2"/>
        <w:tabs>
          <w:tab w:val="clear" w:pos="648"/>
        </w:tabs>
        <w:ind w:left="900" w:hanging="270"/>
      </w:pPr>
      <w:r>
        <w:t>Are located in the user’s division.</w:t>
      </w:r>
    </w:p>
    <w:p w:rsidR="002A21AE" w:rsidRDefault="002A21AE">
      <w:pPr>
        <w:pStyle w:val="Heading4"/>
      </w:pPr>
      <w:r>
        <w:t>Outcome</w:t>
      </w:r>
    </w:p>
    <w:p w:rsidR="002A21AE" w:rsidRDefault="002A21AE">
      <w:pPr>
        <w:pStyle w:val="ListBullet"/>
      </w:pPr>
      <w:r>
        <w:t>An invoice for a completed shipment is closed and may not be modified.</w:t>
      </w:r>
    </w:p>
    <w:p w:rsidR="002A21AE" w:rsidRDefault="002A21AE">
      <w:pPr>
        <w:pStyle w:val="ListBullet"/>
      </w:pPr>
      <w:r>
        <w:t>An invoice for a shipment that is not confirmed is open and may be edited.</w:t>
      </w:r>
    </w:p>
    <w:p w:rsidR="002A21AE" w:rsidRDefault="002A21AE">
      <w:pPr>
        <w:pStyle w:val="ListBullet"/>
      </w:pPr>
      <w:r>
        <w:t>The units are not available in the division’s inventory.</w:t>
      </w:r>
    </w:p>
    <w:p w:rsidR="002A21AE" w:rsidRDefault="002A21AE">
      <w:pPr>
        <w:pStyle w:val="ListBullet"/>
      </w:pPr>
      <w:r>
        <w:lastRenderedPageBreak/>
        <w:t>When a unit is transferred to another division in the database, VBECS displays the history of the unit at both divisions. The unit is active in one division at a time.</w:t>
      </w:r>
    </w:p>
    <w:p w:rsidR="002A21AE" w:rsidRDefault="002A21AE">
      <w:pPr>
        <w:pStyle w:val="ListBullet"/>
      </w:pPr>
      <w:r>
        <w:t>A credit for a returned product may be assigned.</w:t>
      </w:r>
    </w:p>
    <w:p w:rsidR="002A21AE" w:rsidRDefault="002A21AE">
      <w:pPr>
        <w:pStyle w:val="Heading4"/>
      </w:pPr>
      <w:r>
        <w:t>Limitations and Restrictions</w:t>
      </w:r>
    </w:p>
    <w:p w:rsidR="002A21AE" w:rsidRDefault="002A21AE">
      <w:pPr>
        <w:pStyle w:val="ListBullet"/>
      </w:pPr>
      <w:r>
        <w:t>A user may edit only unconfirmed invoices.</w:t>
      </w:r>
    </w:p>
    <w:p w:rsidR="007F1742" w:rsidRDefault="007F1742">
      <w:pPr>
        <w:pStyle w:val="ListBullet"/>
      </w:pPr>
      <w:bookmarkStart w:id="275" w:name="OLE_LINK25"/>
      <w:bookmarkStart w:id="276" w:name="OLE_LINK26"/>
      <w:r>
        <w:t xml:space="preserve">The number of tests </w:t>
      </w:r>
      <w:r w:rsidRPr="007F1742">
        <w:t xml:space="preserve">displayed on </w:t>
      </w:r>
      <w:r>
        <w:t>an</w:t>
      </w:r>
      <w:r w:rsidRPr="007F1742">
        <w:t xml:space="preserve"> invoice is limited to 8</w:t>
      </w:r>
      <w:r>
        <w:t>,000 characters</w:t>
      </w:r>
      <w:r w:rsidR="0083592C">
        <w:t xml:space="preserve"> per unit</w:t>
      </w:r>
      <w:r>
        <w:t>.</w:t>
      </w:r>
    </w:p>
    <w:p w:rsidR="00DE6961" w:rsidRDefault="00DE6961">
      <w:pPr>
        <w:pStyle w:val="ListBullet"/>
      </w:pPr>
      <w:r>
        <w:t>When the user creates an invoice and cancels before saving it, VBECS excludes the invoice number from use.</w:t>
      </w:r>
    </w:p>
    <w:bookmarkEnd w:id="275"/>
    <w:bookmarkEnd w:id="276"/>
    <w:p w:rsidR="002A21AE" w:rsidRDefault="002A21AE">
      <w:pPr>
        <w:pStyle w:val="Heading4"/>
      </w:pPr>
      <w:r>
        <w:t>Additional Information</w:t>
      </w:r>
    </w:p>
    <w:p w:rsidR="002A21AE" w:rsidRDefault="002A21AE">
      <w:pPr>
        <w:pStyle w:val="ListBullet"/>
      </w:pPr>
      <w:r>
        <w:t>None</w:t>
      </w:r>
    </w:p>
    <w:p w:rsidR="002A21AE" w:rsidRDefault="002A21AE">
      <w:pPr>
        <w:pStyle w:val="Heading4"/>
      </w:pPr>
      <w:r>
        <w:t>User Roles with Access to This Option</w:t>
      </w:r>
    </w:p>
    <w:p w:rsidR="002A21AE" w:rsidRDefault="00873EEB">
      <w:pPr>
        <w:pStyle w:val="Roles"/>
        <w:rPr>
          <w:snapToGrid w:val="0"/>
        </w:rPr>
      </w:pPr>
      <w:r>
        <w:t>All users</w:t>
      </w:r>
    </w:p>
    <w:bookmarkEnd w:id="272"/>
    <w:bookmarkEnd w:id="273"/>
    <w:bookmarkEnd w:id="274"/>
    <w:p w:rsidR="002A21AE" w:rsidRDefault="00634BFC">
      <w:pPr>
        <w:pStyle w:val="Heading4"/>
      </w:pPr>
      <w:r>
        <w:rPr>
          <w:noProof/>
        </w:rPr>
        <w:drawing>
          <wp:inline distT="0" distB="0" distL="0" distR="0">
            <wp:extent cx="152400" cy="1524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A21AE">
        <w:t xml:space="preserve"> Outgoing Shipment </w:t>
      </w:r>
    </w:p>
    <w:p w:rsidR="002A21AE" w:rsidRDefault="002A21AE" w:rsidP="00FA7E65">
      <w:pPr>
        <w:pStyle w:val="BodyText"/>
      </w:pPr>
      <w:r>
        <w:t xml:space="preserve">A user ships blood units from his division’s inventory to a facility that is not a transfusion location of his division. These units were removed from inventory and are available for scanning and packaging. </w:t>
      </w:r>
    </w:p>
    <w:p w:rsidR="002A21AE" w:rsidRDefault="002A21AE" w:rsidP="00FA7E65">
      <w:pPr>
        <w:pStyle w:val="BodyText"/>
      </w:pPr>
      <w:r>
        <w:t>The user identifies the shipment destination, scans the unit ID and product code for the first unit in the shipment, and repeats this process for each unit added to the shipment. The user completes the data entry and then reviews and accepts the shipment information. When the shipment is confirmed, the user may print a shipping invoice.</w:t>
      </w:r>
    </w:p>
    <w:p w:rsidR="002A21AE" w:rsidRDefault="002A21AE" w:rsidP="00FA7E65">
      <w:pPr>
        <w:pStyle w:val="BodyText"/>
      </w:pPr>
      <w:r>
        <w:t>VBECS generates an invoice that includes information for the blood units on that invoice.</w:t>
      </w:r>
    </w:p>
    <w:p w:rsidR="002A21AE" w:rsidRDefault="002A21AE" w:rsidP="00FA7E65">
      <w:pPr>
        <w:pStyle w:val="BodyText"/>
      </w:pPr>
      <w:r>
        <w:t>A user may edit return credits (additional fees or credits may be issued from one site to another) before processing the shipment.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pPr>
              <w:pStyle w:val="TableTextNumbers"/>
            </w:pPr>
            <w:r>
              <w:t xml:space="preserve">Select </w:t>
            </w:r>
            <w:r>
              <w:rPr>
                <w:b/>
              </w:rPr>
              <w:t>Shipments</w:t>
            </w:r>
            <w:r>
              <w:t xml:space="preserve"> from the main menu.</w:t>
            </w:r>
          </w:p>
          <w:p w:rsidR="002A21AE" w:rsidRDefault="002A21AE">
            <w:pPr>
              <w:pStyle w:val="TableTextNumbersContinued"/>
              <w:rPr>
                <w:b/>
                <w:bCs/>
              </w:rPr>
            </w:pPr>
          </w:p>
          <w:p w:rsidR="002A21AE" w:rsidRDefault="002A21AE">
            <w:pPr>
              <w:pStyle w:val="TableTextNumbersContinued"/>
              <w:rPr>
                <w:b/>
                <w:bCs/>
              </w:rPr>
            </w:pPr>
            <w:r>
              <w:rPr>
                <w:b/>
                <w:bCs/>
              </w:rPr>
              <w:t>Select Outgoing Shipment.</w:t>
            </w:r>
          </w:p>
        </w:tc>
        <w:tc>
          <w:tcPr>
            <w:tcW w:w="6120" w:type="dxa"/>
          </w:tcPr>
          <w:p w:rsidR="002A21AE" w:rsidRDefault="002A21AE">
            <w:pPr>
              <w:pStyle w:val="TableTextBullet"/>
            </w:pPr>
            <w:r>
              <w:t xml:space="preserve">Displays options for processing shipments. </w:t>
            </w:r>
          </w:p>
          <w:p w:rsidR="002A21AE" w:rsidRDefault="002A21AE">
            <w:pPr>
              <w:pStyle w:val="TableTextBullet"/>
            </w:pPr>
            <w:r>
              <w:t>Displays options for selecting a new invoice or an existing (recent) invoice.</w:t>
            </w:r>
          </w:p>
        </w:tc>
      </w:tr>
      <w:tr w:rsidR="002A21AE">
        <w:tblPrEx>
          <w:tblCellMar>
            <w:top w:w="0" w:type="dxa"/>
            <w:bottom w:w="0" w:type="dxa"/>
          </w:tblCellMar>
        </w:tblPrEx>
        <w:tc>
          <w:tcPr>
            <w:tcW w:w="3240" w:type="dxa"/>
          </w:tcPr>
          <w:p w:rsidR="002A21AE" w:rsidRDefault="002A21AE">
            <w:pPr>
              <w:pStyle w:val="TableTextNumbers"/>
            </w:pPr>
            <w:r>
              <w:t xml:space="preserve">To process a new invoice, select </w:t>
            </w:r>
            <w:r>
              <w:rPr>
                <w:b/>
              </w:rPr>
              <w:t>New Invoice</w:t>
            </w:r>
            <w:r>
              <w:t xml:space="preserve">. (To process an existing invoice, </w:t>
            </w:r>
            <w:r w:rsidR="0059575A">
              <w:t>continue at</w:t>
            </w:r>
            <w:r>
              <w:t xml:space="preserve"> Step </w:t>
            </w:r>
            <w:r w:rsidR="007E11BF">
              <w:t>3</w:t>
            </w:r>
            <w:r>
              <w:t>.)</w:t>
            </w:r>
          </w:p>
          <w:p w:rsidR="002A21AE" w:rsidRDefault="002A21AE">
            <w:pPr>
              <w:pStyle w:val="TableTextNumbersContinued"/>
            </w:pPr>
          </w:p>
          <w:p w:rsidR="002A21AE" w:rsidRDefault="002A21AE">
            <w:pPr>
              <w:pStyle w:val="TableTextNumbersContinued"/>
            </w:pPr>
            <w:r>
              <w:t>Enter the invoice number provided by the outside facility or leave the Invoice Number field blank.</w:t>
            </w:r>
          </w:p>
          <w:p w:rsidR="002A21AE" w:rsidRDefault="002A21AE">
            <w:pPr>
              <w:pStyle w:val="TableTextNumbersContinued"/>
            </w:pPr>
          </w:p>
          <w:p w:rsidR="002A21AE" w:rsidRDefault="002A21AE">
            <w:pPr>
              <w:pStyle w:val="TableTextNumbersContinued"/>
            </w:pPr>
            <w:r>
              <w:t>Select a shipment destination from the drop-down list.</w:t>
            </w:r>
          </w:p>
          <w:p w:rsidR="002A21AE" w:rsidRDefault="002A21AE">
            <w:pPr>
              <w:pStyle w:val="TableTextNumbersContinued"/>
            </w:pPr>
          </w:p>
          <w:p w:rsidR="002A21AE" w:rsidRDefault="007E11BF">
            <w:pPr>
              <w:pStyle w:val="TableTextNumbersContinued"/>
            </w:pPr>
            <w:r>
              <w:t xml:space="preserve">Click the </w:t>
            </w:r>
            <w:r w:rsidRPr="007E11BF">
              <w:rPr>
                <w:b/>
              </w:rPr>
              <w:t>Return to Shipper</w:t>
            </w:r>
            <w:r>
              <w:t xml:space="preserve"> or </w:t>
            </w:r>
            <w:r w:rsidRPr="007E11BF">
              <w:rPr>
                <w:b/>
              </w:rPr>
              <w:t xml:space="preserve">Send to Unrelated Shipper </w:t>
            </w:r>
            <w:r w:rsidRPr="00BF2E41">
              <w:t>radio button</w:t>
            </w:r>
            <w:r>
              <w:t xml:space="preserve"> to select a shipment type</w:t>
            </w:r>
            <w:r w:rsidR="00D039A6">
              <w:t xml:space="preserve"> (</w:t>
            </w:r>
            <w:r w:rsidR="00D039A6">
              <w:fldChar w:fldCharType="begin"/>
            </w:r>
            <w:r w:rsidR="00D039A6">
              <w:instrText xml:space="preserve"> REF _Ref126554236 \h </w:instrText>
            </w:r>
            <w:r w:rsidR="00D039A6">
              <w:fldChar w:fldCharType="separate"/>
            </w:r>
            <w:r w:rsidR="005F38BC">
              <w:t xml:space="preserve">Figure </w:t>
            </w:r>
            <w:r w:rsidR="005F38BC">
              <w:rPr>
                <w:noProof/>
              </w:rPr>
              <w:t>68</w:t>
            </w:r>
            <w:r w:rsidR="00D039A6">
              <w:fldChar w:fldCharType="end"/>
            </w:r>
            <w:r w:rsidR="00D039A6">
              <w:t>)</w:t>
            </w:r>
            <w:r>
              <w:t>.</w:t>
            </w:r>
          </w:p>
          <w:p w:rsidR="002A21AE" w:rsidRDefault="002A21AE">
            <w:pPr>
              <w:pStyle w:val="TableTextNumbersContinued"/>
            </w:pPr>
          </w:p>
          <w:p w:rsidR="002A21AE" w:rsidRDefault="002A21AE">
            <w:pPr>
              <w:pStyle w:val="TableTextNumbersContinued"/>
            </w:pPr>
            <w:r>
              <w:lastRenderedPageBreak/>
              <w:t>Continue at Step 4.</w:t>
            </w:r>
          </w:p>
        </w:tc>
        <w:tc>
          <w:tcPr>
            <w:tcW w:w="6120" w:type="dxa"/>
          </w:tcPr>
          <w:p w:rsidR="002A21AE" w:rsidRDefault="002A21AE">
            <w:pPr>
              <w:pStyle w:val="TableTextBullet"/>
            </w:pPr>
            <w:r>
              <w:lastRenderedPageBreak/>
              <w:t>Displays fields for entering shipment information.</w:t>
            </w:r>
          </w:p>
          <w:p w:rsidR="002A21AE" w:rsidRDefault="002A21AE">
            <w:pPr>
              <w:pStyle w:val="TableTextBullet"/>
            </w:pPr>
            <w:r>
              <w:t>Generates an invoice number when the Invoice Number field is blank.</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1948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09"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0" o:spid="_x0000_s1026" style="position:absolute;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UjoFQIAAC0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B8p&#10;SOg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t xml:space="preserve">To select an existing invoice while in the new invoice window, click </w:t>
            </w:r>
            <w:r>
              <w:rPr>
                <w:b/>
              </w:rPr>
              <w:t>Use Existing Invoice</w:t>
            </w:r>
            <w:r>
              <w:t>.</w:t>
            </w:r>
          </w:p>
        </w:tc>
      </w:tr>
      <w:tr w:rsidR="002A21AE">
        <w:tblPrEx>
          <w:tblCellMar>
            <w:top w:w="0" w:type="dxa"/>
            <w:bottom w:w="0" w:type="dxa"/>
          </w:tblCellMar>
        </w:tblPrEx>
        <w:tc>
          <w:tcPr>
            <w:tcW w:w="3240" w:type="dxa"/>
          </w:tcPr>
          <w:p w:rsidR="002A21AE" w:rsidRDefault="002A21AE">
            <w:pPr>
              <w:pStyle w:val="TableTextNumbers"/>
            </w:pPr>
            <w:r>
              <w:lastRenderedPageBreak/>
              <w:t xml:space="preserve">To process an existing invoice, select </w:t>
            </w:r>
            <w:r>
              <w:rPr>
                <w:b/>
              </w:rPr>
              <w:t>Recent Invoice</w:t>
            </w:r>
            <w:r>
              <w:t xml:space="preserve"> from the Outgoing Shipment menu. </w:t>
            </w:r>
          </w:p>
          <w:p w:rsidR="002A21AE" w:rsidRDefault="002A21AE">
            <w:pPr>
              <w:pStyle w:val="TableTextNumbersContinued"/>
            </w:pPr>
          </w:p>
          <w:p w:rsidR="002A21AE" w:rsidRDefault="002A21AE">
            <w:pPr>
              <w:pStyle w:val="TableTextNumbersContinued"/>
            </w:pPr>
            <w:r>
              <w:t>Select an invoice.</w:t>
            </w:r>
          </w:p>
        </w:tc>
        <w:tc>
          <w:tcPr>
            <w:tcW w:w="6120" w:type="dxa"/>
          </w:tcPr>
          <w:p w:rsidR="002A21AE" w:rsidRDefault="002A21AE">
            <w:pPr>
              <w:pStyle w:val="TableTextBullet"/>
            </w:pPr>
            <w:r>
              <w:t>Displays a list of open (unconfirmed) invoices.</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49900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08"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1yFA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t xml:space="preserve">To select a new invoice while in the existing invoice window, click </w:t>
            </w:r>
            <w:r>
              <w:rPr>
                <w:b/>
              </w:rPr>
              <w:t>Create New Invoice</w:t>
            </w:r>
            <w:r>
              <w:t>.</w:t>
            </w:r>
          </w:p>
          <w:p w:rsidR="002A21AE" w:rsidRDefault="002A21AE">
            <w:pPr>
              <w:pStyle w:val="NotesText"/>
            </w:pPr>
          </w:p>
          <w:p w:rsidR="002A21AE" w:rsidRDefault="002A21AE">
            <w:pPr>
              <w:pStyle w:val="NotesText"/>
            </w:pPr>
            <w:r>
              <w:rPr>
                <w:rFonts w:cs="Arial"/>
                <w:vanish/>
              </w:rPr>
              <w:t xml:space="preserve">BR_11.20 </w:t>
            </w:r>
            <w:r>
              <w:t xml:space="preserve">A user may edit only saved, not </w:t>
            </w:r>
            <w:r w:rsidR="0096027B">
              <w:t>confirmed</w:t>
            </w:r>
            <w:r>
              <w:t>, outgoing shipment invoices.</w:t>
            </w:r>
          </w:p>
          <w:p w:rsidR="002A21AE" w:rsidRDefault="002A21AE">
            <w:pPr>
              <w:pStyle w:val="NotesText"/>
            </w:pPr>
          </w:p>
          <w:p w:rsidR="002A21AE" w:rsidRDefault="002A21AE">
            <w:pPr>
              <w:pStyle w:val="NotesText"/>
            </w:pPr>
            <w:r>
              <w:rPr>
                <w:rFonts w:cs="Arial"/>
                <w:vanish/>
              </w:rPr>
              <w:t xml:space="preserve">BR_11.10 </w:t>
            </w:r>
            <w:r>
              <w:t>A user may select shipping destination (ship-to) facilities based on site parameters that define a shipper for a division.</w:t>
            </w:r>
          </w:p>
          <w:p w:rsidR="002A21AE" w:rsidRDefault="002A21AE">
            <w:pPr>
              <w:pStyle w:val="NotesText"/>
            </w:pPr>
          </w:p>
          <w:p w:rsidR="002A21AE" w:rsidRDefault="002A21AE">
            <w:pPr>
              <w:pStyle w:val="NotesText"/>
            </w:pPr>
            <w:r>
              <w:rPr>
                <w:rFonts w:cs="Arial"/>
                <w:vanish/>
              </w:rPr>
              <w:t xml:space="preserve">BR_8.03 </w:t>
            </w:r>
            <w:r>
              <w:t>A shipper must be marked as an active collection facility for a division before a user may select it as a valid shipper for a blood product for that division. This includes marking the division facility itself as an active collection facility to accommodate the creation of new blood products through modification.</w:t>
            </w:r>
          </w:p>
        </w:tc>
      </w:tr>
      <w:tr w:rsidR="002A21AE">
        <w:tblPrEx>
          <w:tblCellMar>
            <w:top w:w="0" w:type="dxa"/>
            <w:bottom w:w="0" w:type="dxa"/>
          </w:tblCellMar>
        </w:tblPrEx>
        <w:tc>
          <w:tcPr>
            <w:tcW w:w="3240" w:type="dxa"/>
          </w:tcPr>
          <w:p w:rsidR="002A21AE" w:rsidRDefault="002A21AE">
            <w:pPr>
              <w:pStyle w:val="TableTextNumbers"/>
            </w:pPr>
            <w:r>
              <w:t xml:space="preserve">Click </w:t>
            </w:r>
            <w:r>
              <w:rPr>
                <w:b/>
              </w:rPr>
              <w:t>OK</w:t>
            </w:r>
            <w:r>
              <w:t xml:space="preserve"> to save the information entered</w:t>
            </w:r>
            <w:r w:rsidR="0023533F">
              <w:t xml:space="preserve"> (</w:t>
            </w:r>
            <w:r w:rsidR="0023533F">
              <w:fldChar w:fldCharType="begin"/>
            </w:r>
            <w:r w:rsidR="0023533F">
              <w:instrText xml:space="preserve"> REF _Ref126554236 \h </w:instrText>
            </w:r>
            <w:r w:rsidR="0023533F">
              <w:fldChar w:fldCharType="separate"/>
            </w:r>
            <w:r w:rsidR="005F38BC">
              <w:t xml:space="preserve">Figure </w:t>
            </w:r>
            <w:r w:rsidR="005F38BC">
              <w:rPr>
                <w:noProof/>
              </w:rPr>
              <w:t>68</w:t>
            </w:r>
            <w:r w:rsidR="0023533F">
              <w:fldChar w:fldCharType="end"/>
            </w:r>
            <w:r w:rsidR="0023533F">
              <w:t>)</w:t>
            </w:r>
            <w:r>
              <w:t>.</w:t>
            </w:r>
          </w:p>
        </w:tc>
        <w:tc>
          <w:tcPr>
            <w:tcW w:w="6120" w:type="dxa"/>
          </w:tcPr>
          <w:p w:rsidR="002A21AE" w:rsidRDefault="002A21AE">
            <w:pPr>
              <w:pStyle w:val="TableTextBullet"/>
            </w:pPr>
            <w:r>
              <w:t>Displays fields for entering unit information.</w:t>
            </w:r>
          </w:p>
        </w:tc>
      </w:tr>
      <w:tr w:rsidR="002A21AE">
        <w:tblPrEx>
          <w:tblCellMar>
            <w:top w:w="0" w:type="dxa"/>
            <w:bottom w:w="0" w:type="dxa"/>
          </w:tblCellMar>
        </w:tblPrEx>
        <w:tc>
          <w:tcPr>
            <w:tcW w:w="3240" w:type="dxa"/>
          </w:tcPr>
          <w:p w:rsidR="002A21AE" w:rsidRDefault="002A21AE" w:rsidP="004D1052">
            <w:pPr>
              <w:pStyle w:val="TableTextNumbers"/>
            </w:pPr>
            <w:r>
              <w:t>For each unit to be added to the shipping invoice, scan the unit ID and product code barcodes or enter them in</w:t>
            </w:r>
            <w:r w:rsidR="007D28E0">
              <w:t xml:space="preserve"> the Unit ID and Product fields (</w:t>
            </w:r>
            <w:r w:rsidR="007D28E0">
              <w:fldChar w:fldCharType="begin"/>
            </w:r>
            <w:r w:rsidR="007D28E0">
              <w:instrText xml:space="preserve"> REF _Ref137886628 \h </w:instrText>
            </w:r>
            <w:r w:rsidR="007D28E0">
              <w:fldChar w:fldCharType="separate"/>
            </w:r>
            <w:r w:rsidR="005F38BC">
              <w:t xml:space="preserve">Figure </w:t>
            </w:r>
            <w:r w:rsidR="005F38BC">
              <w:rPr>
                <w:noProof/>
              </w:rPr>
              <w:t>69</w:t>
            </w:r>
            <w:r w:rsidR="007D28E0">
              <w:fldChar w:fldCharType="end"/>
            </w:r>
            <w:r w:rsidR="007D28E0">
              <w:t xml:space="preserve"> and </w:t>
            </w:r>
            <w:r w:rsidR="007D28E0">
              <w:fldChar w:fldCharType="begin"/>
            </w:r>
            <w:r w:rsidR="007D28E0">
              <w:instrText xml:space="preserve"> REF _Ref137886705 \h </w:instrText>
            </w:r>
            <w:r w:rsidR="007D28E0">
              <w:fldChar w:fldCharType="separate"/>
            </w:r>
            <w:r w:rsidR="005F38BC">
              <w:t xml:space="preserve">Figure </w:t>
            </w:r>
            <w:r w:rsidR="005F38BC">
              <w:rPr>
                <w:noProof/>
              </w:rPr>
              <w:t>70</w:t>
            </w:r>
            <w:r w:rsidR="007D28E0">
              <w:fldChar w:fldCharType="end"/>
            </w:r>
            <w:r w:rsidR="007D28E0">
              <w:t>).</w:t>
            </w:r>
          </w:p>
          <w:p w:rsidR="009567F0" w:rsidRDefault="009567F0" w:rsidP="009567F0">
            <w:pPr>
              <w:pStyle w:val="TableTextNumbers"/>
              <w:numPr>
                <w:ilvl w:val="0"/>
                <w:numId w:val="0"/>
              </w:numPr>
              <w:ind w:left="288" w:hanging="288"/>
            </w:pPr>
          </w:p>
          <w:p w:rsidR="009567F0" w:rsidRDefault="009567F0" w:rsidP="009567F0">
            <w:pPr>
              <w:pStyle w:val="TableTextNumbersContinued"/>
            </w:pPr>
            <w:r>
              <w:t xml:space="preserve">Click </w:t>
            </w:r>
            <w:r>
              <w:rPr>
                <w:b/>
              </w:rPr>
              <w:t>OK</w:t>
            </w:r>
            <w:r>
              <w:t>.</w:t>
            </w:r>
          </w:p>
        </w:tc>
        <w:tc>
          <w:tcPr>
            <w:tcW w:w="6120" w:type="dxa"/>
          </w:tcPr>
          <w:p w:rsidR="002A21AE" w:rsidRDefault="002A21AE">
            <w:pPr>
              <w:pStyle w:val="TableTextBullet"/>
            </w:pPr>
            <w:r>
              <w:t>Displays corresponding unit data.</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0003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07"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KFQIAAC0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JrP&#10;D4o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BR_11.15 </w:t>
            </w:r>
            <w:r>
              <w:t xml:space="preserve">When a unit selected for inclusion in a shipment is quarantined, VBECS </w:t>
            </w:r>
            <w:r>
              <w:rPr>
                <w:noProof/>
              </w:rPr>
              <w:t>warns the user and asks the user whether he wishes to continue.</w:t>
            </w:r>
            <w:r>
              <w:t xml:space="preserve"> </w:t>
            </w:r>
          </w:p>
          <w:p w:rsidR="002A21AE" w:rsidRDefault="002A21AE">
            <w:pPr>
              <w:pStyle w:val="NotesText"/>
            </w:pPr>
          </w:p>
          <w:p w:rsidR="002A21AE" w:rsidRDefault="002A21AE">
            <w:pPr>
              <w:pStyle w:val="NotesText"/>
            </w:pPr>
            <w:r>
              <w:rPr>
                <w:b/>
              </w:rPr>
              <w:t>No</w:t>
            </w:r>
            <w:r>
              <w:t xml:space="preserve"> clears the unit information and allows entry of a new unit or shipment process. </w:t>
            </w:r>
            <w:r>
              <w:rPr>
                <w:b/>
              </w:rPr>
              <w:t>Yes</w:t>
            </w:r>
            <w:r>
              <w:t xml:space="preserve"> adds the unit to the shipment.</w:t>
            </w:r>
          </w:p>
          <w:p w:rsidR="002A21AE" w:rsidRDefault="002A21AE">
            <w:pPr>
              <w:pStyle w:val="NotesText"/>
            </w:pPr>
          </w:p>
          <w:p w:rsidR="002A21AE" w:rsidRDefault="002A21AE">
            <w:pPr>
              <w:pStyle w:val="NotesText"/>
            </w:pPr>
            <w:r>
              <w:rPr>
                <w:rFonts w:cs="Arial"/>
                <w:vanish/>
              </w:rPr>
              <w:t xml:space="preserve">BR_11.03 </w:t>
            </w:r>
            <w:r>
              <w:t>VBECS allows the shipment or transfer of units located only in the same division as the user and in the blood bank (for “Limited,” “Available,” “Assigned,” and “Crossmatched” unit statuses only).</w:t>
            </w:r>
          </w:p>
          <w:p w:rsidR="002A21AE" w:rsidRDefault="002A21AE">
            <w:pPr>
              <w:pStyle w:val="NotesText"/>
            </w:pPr>
          </w:p>
          <w:p w:rsidR="002A21AE" w:rsidRDefault="002A21AE">
            <w:pPr>
              <w:pStyle w:val="NotesText"/>
            </w:pPr>
            <w:r>
              <w:rPr>
                <w:rFonts w:cs="Arial"/>
                <w:vanish/>
              </w:rPr>
              <w:t xml:space="preserve">BR_11.12 </w:t>
            </w:r>
            <w:r>
              <w:t>When a unit is expired, VBECS warns the user.</w:t>
            </w:r>
          </w:p>
          <w:p w:rsidR="002A21AE" w:rsidRDefault="002A21AE">
            <w:pPr>
              <w:pStyle w:val="NotesText"/>
            </w:pPr>
          </w:p>
          <w:p w:rsidR="002A21AE" w:rsidRDefault="002A21AE">
            <w:pPr>
              <w:pStyle w:val="NotesText"/>
            </w:pPr>
            <w:r>
              <w:rPr>
                <w:rFonts w:cs="Arial"/>
                <w:vanish/>
              </w:rPr>
              <w:t xml:space="preserve">BR_11.05 </w:t>
            </w:r>
            <w:r>
              <w:t xml:space="preserve">When units selected for shipment are assigned </w:t>
            </w:r>
            <w:r w:rsidR="0009383F">
              <w:t xml:space="preserve">or crossmatched </w:t>
            </w:r>
            <w:r>
              <w:t xml:space="preserve">to a patient, VBECS warns the user and asks the user whether to release the unit before shipping. </w:t>
            </w:r>
          </w:p>
          <w:p w:rsidR="002A21AE" w:rsidRDefault="002A21AE">
            <w:pPr>
              <w:pStyle w:val="NotesText"/>
            </w:pPr>
          </w:p>
          <w:p w:rsidR="00D31A97" w:rsidRDefault="0009383F" w:rsidP="00D31A97">
            <w:pPr>
              <w:pStyle w:val="NotesText"/>
            </w:pPr>
            <w:r>
              <w:rPr>
                <w:b/>
              </w:rPr>
              <w:t>Yes</w:t>
            </w:r>
            <w:r>
              <w:t xml:space="preserve"> releases all patient assignments from the unit </w:t>
            </w:r>
            <w:r w:rsidRPr="00203AFF">
              <w:t>prior to adding the unit to the invoice (no assignment information is displayed on the invoice)</w:t>
            </w:r>
            <w:r>
              <w:t xml:space="preserve">. </w:t>
            </w:r>
            <w:r>
              <w:rPr>
                <w:b/>
              </w:rPr>
              <w:t>No</w:t>
            </w:r>
            <w:r>
              <w:t xml:space="preserve"> indicates that </w:t>
            </w:r>
            <w:r w:rsidRPr="00203AFF">
              <w:t>the outgoing shipment invoice must include the unit’s patient association details.</w:t>
            </w:r>
          </w:p>
        </w:tc>
      </w:tr>
      <w:tr w:rsidR="002A21AE">
        <w:tblPrEx>
          <w:tblCellMar>
            <w:top w:w="0" w:type="dxa"/>
            <w:bottom w:w="0" w:type="dxa"/>
          </w:tblCellMar>
        </w:tblPrEx>
        <w:tc>
          <w:tcPr>
            <w:tcW w:w="3240" w:type="dxa"/>
            <w:tcBorders>
              <w:bottom w:val="single" w:sz="4" w:space="0" w:color="auto"/>
            </w:tcBorders>
          </w:tcPr>
          <w:p w:rsidR="002A21AE" w:rsidRDefault="002A21AE">
            <w:pPr>
              <w:pStyle w:val="TableTextNumbers"/>
            </w:pPr>
            <w:r>
              <w:t xml:space="preserve">Respond to warnings, when indicated. </w:t>
            </w:r>
          </w:p>
          <w:p w:rsidR="002A21AE" w:rsidRDefault="002A21AE">
            <w:pPr>
              <w:pStyle w:val="TableTextNumbersContinued"/>
            </w:pPr>
          </w:p>
          <w:p w:rsidR="002A21AE" w:rsidRDefault="002A21AE">
            <w:pPr>
              <w:pStyle w:val="TableTextNumbersContinued"/>
            </w:pPr>
            <w:r>
              <w:t>Clic</w:t>
            </w:r>
            <w:r>
              <w:rPr>
                <w:rStyle w:val="TableTextNumbersContinuedChar"/>
              </w:rPr>
              <w:t xml:space="preserve">k </w:t>
            </w:r>
            <w:r>
              <w:rPr>
                <w:rStyle w:val="TableTextNumbersContinuedChar"/>
                <w:b/>
              </w:rPr>
              <w:t>Select</w:t>
            </w:r>
            <w:r>
              <w:rPr>
                <w:rStyle w:val="TableTextNumbersContinuedChar"/>
              </w:rPr>
              <w:t xml:space="preserve"> to add the selected unit t</w:t>
            </w:r>
            <w:r>
              <w:t xml:space="preserve">o the shipping invoice or click </w:t>
            </w:r>
            <w:r>
              <w:rPr>
                <w:b/>
              </w:rPr>
              <w:t>Clear</w:t>
            </w:r>
            <w:r>
              <w:t xml:space="preserve"> to delete a unit</w:t>
            </w:r>
            <w:r w:rsidR="00AA511E">
              <w:t xml:space="preserve"> (</w:t>
            </w:r>
            <w:r w:rsidR="00AA511E">
              <w:fldChar w:fldCharType="begin"/>
            </w:r>
            <w:r w:rsidR="00AA511E">
              <w:instrText xml:space="preserve"> REF _Ref137888427 \h </w:instrText>
            </w:r>
            <w:r w:rsidR="00AA511E">
              <w:fldChar w:fldCharType="separate"/>
            </w:r>
            <w:r w:rsidR="005F38BC">
              <w:t xml:space="preserve">Figure </w:t>
            </w:r>
            <w:r w:rsidR="005F38BC">
              <w:rPr>
                <w:noProof/>
              </w:rPr>
              <w:t>71</w:t>
            </w:r>
            <w:r w:rsidR="00AA511E">
              <w:fldChar w:fldCharType="end"/>
            </w:r>
            <w:r w:rsidR="00AA511E">
              <w:t>)</w:t>
            </w:r>
            <w:r>
              <w:t>.</w:t>
            </w:r>
          </w:p>
        </w:tc>
        <w:tc>
          <w:tcPr>
            <w:tcW w:w="6120" w:type="dxa"/>
            <w:tcBorders>
              <w:bottom w:val="single" w:sz="4" w:space="0" w:color="auto"/>
            </w:tcBorders>
          </w:tcPr>
          <w:p w:rsidR="002A21AE" w:rsidRDefault="002A21AE">
            <w:pPr>
              <w:pStyle w:val="TableTextBullet"/>
            </w:pPr>
            <w:r>
              <w:t xml:space="preserve">Adds unit to </w:t>
            </w:r>
            <w:r w:rsidR="00F2752C">
              <w:t xml:space="preserve">or removes </w:t>
            </w:r>
            <w:r w:rsidR="005E58CF">
              <w:t>unit</w:t>
            </w:r>
            <w:r w:rsidR="00F2752C">
              <w:t xml:space="preserve"> from </w:t>
            </w:r>
            <w:r>
              <w:t>a temporary list of selected units.</w:t>
            </w:r>
          </w:p>
        </w:tc>
      </w:tr>
      <w:tr w:rsidR="00351221">
        <w:tblPrEx>
          <w:tblCellMar>
            <w:top w:w="0" w:type="dxa"/>
            <w:bottom w:w="0" w:type="dxa"/>
          </w:tblCellMar>
        </w:tblPrEx>
        <w:tc>
          <w:tcPr>
            <w:tcW w:w="3240" w:type="dxa"/>
            <w:tcBorders>
              <w:bottom w:val="single" w:sz="4" w:space="0" w:color="auto"/>
            </w:tcBorders>
          </w:tcPr>
          <w:p w:rsidR="00CB20E3" w:rsidRDefault="00CB20E3" w:rsidP="00CB20E3">
            <w:pPr>
              <w:pStyle w:val="TableTextNumbers"/>
            </w:pPr>
            <w:r>
              <w:t xml:space="preserve">Repeat Steps 5 and 6 until all units for outgoing shipment are entered. </w:t>
            </w:r>
          </w:p>
          <w:p w:rsidR="00CB20E3" w:rsidRDefault="00CB20E3" w:rsidP="00CB20E3">
            <w:pPr>
              <w:pStyle w:val="TableTextNumbersContinued"/>
            </w:pPr>
          </w:p>
          <w:p w:rsidR="00CB20E3" w:rsidRDefault="00CB20E3" w:rsidP="00CB20E3">
            <w:pPr>
              <w:pStyle w:val="TableTextNumbersContinued"/>
            </w:pPr>
            <w:r>
              <w:t xml:space="preserve">Click </w:t>
            </w:r>
            <w:r>
              <w:rPr>
                <w:b/>
              </w:rPr>
              <w:t>Save</w:t>
            </w:r>
            <w:r>
              <w:t xml:space="preserve"> to save the information </w:t>
            </w:r>
            <w:r>
              <w:lastRenderedPageBreak/>
              <w:t>entered</w:t>
            </w:r>
            <w:r w:rsidR="00AA511E">
              <w:t xml:space="preserve"> (</w:t>
            </w:r>
            <w:r w:rsidR="00AA511E">
              <w:fldChar w:fldCharType="begin"/>
            </w:r>
            <w:r w:rsidR="00AA511E">
              <w:instrText xml:space="preserve"> REF _Ref137888482 \h </w:instrText>
            </w:r>
            <w:r w:rsidR="00AA511E">
              <w:fldChar w:fldCharType="separate"/>
            </w:r>
            <w:r w:rsidR="005F38BC">
              <w:t xml:space="preserve">Figure </w:t>
            </w:r>
            <w:r w:rsidR="005F38BC">
              <w:rPr>
                <w:noProof/>
              </w:rPr>
              <w:t>72</w:t>
            </w:r>
            <w:r w:rsidR="00AA511E">
              <w:fldChar w:fldCharType="end"/>
            </w:r>
            <w:r w:rsidR="00AA511E">
              <w:t xml:space="preserve">) and </w:t>
            </w:r>
            <w:r w:rsidR="00AA511E" w:rsidRPr="00AA511E">
              <w:rPr>
                <w:b/>
              </w:rPr>
              <w:t>Yes</w:t>
            </w:r>
            <w:r w:rsidR="00AA511E">
              <w:t xml:space="preserve"> to confirm the save</w:t>
            </w:r>
            <w:r>
              <w:t>.</w:t>
            </w:r>
          </w:p>
          <w:p w:rsidR="00CB20E3" w:rsidRDefault="00CB20E3" w:rsidP="00CB20E3">
            <w:pPr>
              <w:pStyle w:val="TableTextNumbersContinued"/>
            </w:pPr>
          </w:p>
          <w:p w:rsidR="003B03EA" w:rsidRDefault="00CB20E3" w:rsidP="005C043C">
            <w:pPr>
              <w:pStyle w:val="TableTextNumbersContinued"/>
            </w:pPr>
            <w:r>
              <w:t xml:space="preserve">To cancel the shipment, click </w:t>
            </w:r>
            <w:r>
              <w:rPr>
                <w:b/>
              </w:rPr>
              <w:t>Cancel Shipment</w:t>
            </w:r>
            <w:r>
              <w:t xml:space="preserve">, then </w:t>
            </w:r>
            <w:r>
              <w:rPr>
                <w:b/>
              </w:rPr>
              <w:t>Yes</w:t>
            </w:r>
            <w:r>
              <w:t xml:space="preserve"> to delete the invoice and return to Step 1 to begin again, or click </w:t>
            </w:r>
            <w:r>
              <w:rPr>
                <w:b/>
              </w:rPr>
              <w:t>No</w:t>
            </w:r>
            <w:r>
              <w:t xml:space="preserve"> to return to the invoice</w:t>
            </w:r>
            <w:r w:rsidR="00AA511E">
              <w:t xml:space="preserve"> (</w:t>
            </w:r>
            <w:r w:rsidR="00AA511E">
              <w:fldChar w:fldCharType="begin"/>
            </w:r>
            <w:r w:rsidR="00AA511E">
              <w:instrText xml:space="preserve"> REF _Ref137888790 \h </w:instrText>
            </w:r>
            <w:r w:rsidR="00AA511E">
              <w:fldChar w:fldCharType="separate"/>
            </w:r>
            <w:r w:rsidR="005F38BC">
              <w:t xml:space="preserve">Figure </w:t>
            </w:r>
            <w:r w:rsidR="005F38BC">
              <w:rPr>
                <w:noProof/>
              </w:rPr>
              <w:t>73</w:t>
            </w:r>
            <w:r w:rsidR="00AA511E">
              <w:fldChar w:fldCharType="end"/>
            </w:r>
            <w:r w:rsidR="00AA511E">
              <w:t>)</w:t>
            </w:r>
            <w:r>
              <w:t>.</w:t>
            </w:r>
          </w:p>
        </w:tc>
        <w:tc>
          <w:tcPr>
            <w:tcW w:w="6120" w:type="dxa"/>
            <w:tcBorders>
              <w:bottom w:val="single" w:sz="4" w:space="0" w:color="auto"/>
            </w:tcBorders>
          </w:tcPr>
          <w:p w:rsidR="00CB20E3" w:rsidRDefault="00CB20E3" w:rsidP="00CB20E3">
            <w:pPr>
              <w:pStyle w:val="TableTextBullet"/>
            </w:pPr>
            <w:r>
              <w:lastRenderedPageBreak/>
              <w:t xml:space="preserve">Displays shipment information. </w:t>
            </w:r>
          </w:p>
          <w:p w:rsidR="00CB20E3" w:rsidRDefault="00CB20E3" w:rsidP="00CB20E3">
            <w:pPr>
              <w:pStyle w:val="TableTextBullet"/>
            </w:pPr>
            <w:r>
              <w:t xml:space="preserve">When a user clicks </w:t>
            </w:r>
            <w:r>
              <w:rPr>
                <w:b/>
              </w:rPr>
              <w:t>Cancel Shipment</w:t>
            </w:r>
            <w:r>
              <w:t xml:space="preserve">, asks whether the user wants to remove all units from the invoice. </w:t>
            </w:r>
            <w:r>
              <w:rPr>
                <w:b/>
              </w:rPr>
              <w:t>Yes</w:t>
            </w:r>
            <w:r>
              <w:t xml:space="preserve"> deletes the invoice. </w:t>
            </w:r>
            <w:r>
              <w:rPr>
                <w:b/>
              </w:rPr>
              <w:t xml:space="preserve">No </w:t>
            </w:r>
            <w:r>
              <w:t>returns to the invoice.</w:t>
            </w:r>
          </w:p>
          <w:p w:rsidR="00CB20E3" w:rsidRDefault="00CB20E3" w:rsidP="00CB20E3">
            <w:pPr>
              <w:pStyle w:val="TableText"/>
            </w:pPr>
          </w:p>
          <w:p w:rsidR="00CB20E3" w:rsidRDefault="00634BFC" w:rsidP="00CB20E3">
            <w:pPr>
              <w:pStyle w:val="TableText"/>
              <w:rPr>
                <w:b/>
                <w:bCs/>
                <w:szCs w:val="18"/>
              </w:rPr>
            </w:pPr>
            <w:r>
              <w:rPr>
                <w:b/>
                <w:bCs/>
                <w:noProof/>
              </w:rPr>
              <w:lastRenderedPageBreak/>
              <mc:AlternateContent>
                <mc:Choice Requires="wps">
                  <w:drawing>
                    <wp:anchor distT="0" distB="0" distL="114300" distR="114300" simplePos="0" relativeHeight="25170892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06" name="Lin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9"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Mhz&#10;T3QVAgAALQQAAA4AAAAAAAAAAAAAAAAALgIAAGRycy9lMm9Eb2MueG1sUEsBAi0AFAAGAAgAAAAh&#10;ABdPMBLbAAAACAEAAA8AAAAAAAAAAAAAAAAAbwQAAGRycy9kb3ducmV2LnhtbFBLBQYAAAAABAAE&#10;APMAAAB3BQAAAAA=&#10;" strokeweight="1.5pt"/>
                  </w:pict>
                </mc:Fallback>
              </mc:AlternateContent>
            </w:r>
            <w:r w:rsidR="00CB20E3">
              <w:rPr>
                <w:b/>
                <w:bCs/>
                <w:szCs w:val="18"/>
              </w:rPr>
              <w:t>NOTES</w:t>
            </w:r>
          </w:p>
          <w:p w:rsidR="00CB20E3" w:rsidRDefault="00CB20E3" w:rsidP="00CB20E3">
            <w:pPr>
              <w:pStyle w:val="NotesText"/>
            </w:pPr>
          </w:p>
          <w:p w:rsidR="00351221" w:rsidRDefault="00CB20E3" w:rsidP="00CB20E3">
            <w:pPr>
              <w:pStyle w:val="TableTextBullet"/>
            </w:pPr>
            <w:r>
              <w:t>A user may add or delete units from a temporary list before accepting the information entered.</w:t>
            </w:r>
          </w:p>
        </w:tc>
      </w:tr>
      <w:tr w:rsidR="005C043C">
        <w:tblPrEx>
          <w:tblCellMar>
            <w:top w:w="0" w:type="dxa"/>
            <w:bottom w:w="0" w:type="dxa"/>
          </w:tblCellMar>
        </w:tblPrEx>
        <w:tc>
          <w:tcPr>
            <w:tcW w:w="3240" w:type="dxa"/>
            <w:tcBorders>
              <w:bottom w:val="single" w:sz="4" w:space="0" w:color="auto"/>
            </w:tcBorders>
          </w:tcPr>
          <w:p w:rsidR="005C043C" w:rsidRDefault="005C043C" w:rsidP="005C043C">
            <w:pPr>
              <w:pStyle w:val="TableTextNumbers"/>
            </w:pPr>
            <w:r>
              <w:lastRenderedPageBreak/>
              <w:t xml:space="preserve">To change the return credit amount for a unit in a “Return to Shipper” unconfirmed shipment, select a unit and right-click the mouse. Select </w:t>
            </w:r>
            <w:r>
              <w:rPr>
                <w:b/>
                <w:bCs/>
              </w:rPr>
              <w:t>Return Credit Update</w:t>
            </w:r>
            <w:r w:rsidR="00AA511E">
              <w:rPr>
                <w:b/>
                <w:bCs/>
              </w:rPr>
              <w:t xml:space="preserve"> </w:t>
            </w:r>
            <w:r w:rsidR="00AA511E" w:rsidRPr="00AA511E">
              <w:rPr>
                <w:bCs/>
              </w:rPr>
              <w:t>(</w:t>
            </w:r>
            <w:r w:rsidR="00AA511E">
              <w:rPr>
                <w:bCs/>
              </w:rPr>
              <w:fldChar w:fldCharType="begin"/>
            </w:r>
            <w:r w:rsidR="00AA511E">
              <w:rPr>
                <w:bCs/>
              </w:rPr>
              <w:instrText xml:space="preserve"> REF _Ref137888867 \h </w:instrText>
            </w:r>
            <w:r w:rsidR="00007EFF" w:rsidRPr="00AA511E">
              <w:rPr>
                <w:bCs/>
              </w:rPr>
            </w:r>
            <w:r w:rsidR="00AA511E">
              <w:rPr>
                <w:bCs/>
              </w:rPr>
              <w:fldChar w:fldCharType="separate"/>
            </w:r>
            <w:r w:rsidR="005F38BC">
              <w:t xml:space="preserve">Figure </w:t>
            </w:r>
            <w:r w:rsidR="005F38BC">
              <w:rPr>
                <w:noProof/>
              </w:rPr>
              <w:t>74</w:t>
            </w:r>
            <w:r w:rsidR="00AA511E">
              <w:rPr>
                <w:bCs/>
              </w:rPr>
              <w:fldChar w:fldCharType="end"/>
            </w:r>
            <w:r w:rsidR="00AA511E" w:rsidRPr="00AA511E">
              <w:rPr>
                <w:bCs/>
              </w:rPr>
              <w:t>)</w:t>
            </w:r>
            <w:r>
              <w:t>.</w:t>
            </w:r>
          </w:p>
          <w:p w:rsidR="005C043C" w:rsidRDefault="005C043C" w:rsidP="005C043C">
            <w:pPr>
              <w:pStyle w:val="TableTextNumbersContinued"/>
            </w:pPr>
          </w:p>
          <w:p w:rsidR="005C043C" w:rsidRDefault="005C043C" w:rsidP="005C043C">
            <w:pPr>
              <w:pStyle w:val="TableTextNumbersContinued"/>
            </w:pPr>
            <w:r>
              <w:t xml:space="preserve">Enter the return credit amount. </w:t>
            </w:r>
          </w:p>
          <w:p w:rsidR="005C043C" w:rsidRDefault="005C043C" w:rsidP="005C043C">
            <w:pPr>
              <w:pStyle w:val="TableTextNumbersContinued"/>
            </w:pPr>
          </w:p>
          <w:p w:rsidR="005C043C" w:rsidRDefault="005C043C" w:rsidP="005C043C">
            <w:pPr>
              <w:pStyle w:val="TableTextNumbersContinued"/>
            </w:pPr>
            <w:r>
              <w:t xml:space="preserve">Click </w:t>
            </w:r>
            <w:r>
              <w:rPr>
                <w:b/>
              </w:rPr>
              <w:t>OK</w:t>
            </w:r>
            <w:r>
              <w:t xml:space="preserve"> to save the information entered or </w:t>
            </w:r>
            <w:r>
              <w:rPr>
                <w:b/>
              </w:rPr>
              <w:t>Cancel</w:t>
            </w:r>
            <w:r>
              <w:t xml:space="preserve"> to return to the invoice.</w:t>
            </w:r>
          </w:p>
        </w:tc>
        <w:tc>
          <w:tcPr>
            <w:tcW w:w="6120" w:type="dxa"/>
            <w:tcBorders>
              <w:bottom w:val="single" w:sz="4" w:space="0" w:color="auto"/>
            </w:tcBorders>
          </w:tcPr>
          <w:p w:rsidR="0035003C" w:rsidRDefault="0035003C" w:rsidP="0035003C">
            <w:pPr>
              <w:pStyle w:val="TableTextBullet"/>
            </w:pPr>
            <w:r>
              <w:t xml:space="preserve">Prompts the user to accept the new amount. </w:t>
            </w:r>
          </w:p>
          <w:p w:rsidR="005C043C" w:rsidRDefault="0035003C" w:rsidP="0035003C">
            <w:pPr>
              <w:pStyle w:val="TableTextBullet"/>
            </w:pPr>
            <w:r>
              <w:t>Returns to the invoice and displays the return credit amount on the invoice.</w:t>
            </w:r>
          </w:p>
          <w:p w:rsidR="00FC12DC" w:rsidRDefault="00FC12DC" w:rsidP="00FC12DC">
            <w:pPr>
              <w:pStyle w:val="TableTextBullet"/>
            </w:pPr>
            <w:r>
              <w:t>Displays the unit’s financial information and allows the user to edit the return credit amount.</w:t>
            </w:r>
          </w:p>
          <w:p w:rsidR="00FC12DC" w:rsidRDefault="00FC12DC" w:rsidP="00FC12DC">
            <w:pPr>
              <w:pStyle w:val="TableText"/>
            </w:pPr>
          </w:p>
          <w:p w:rsidR="00FC12DC" w:rsidRDefault="00634BFC" w:rsidP="00FC12DC">
            <w:pPr>
              <w:pStyle w:val="TableText"/>
              <w:rPr>
                <w:b/>
              </w:rPr>
            </w:pPr>
            <w:r>
              <w:rPr>
                <w:b/>
                <w:noProof/>
              </w:rPr>
              <mc:AlternateContent>
                <mc:Choice Requires="wps">
                  <w:drawing>
                    <wp:anchor distT="0" distB="0" distL="114300" distR="114300" simplePos="0" relativeHeight="25170995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05" name="Line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0"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BQlFQIAAC4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Je8&#10;FCUVAgAALgQAAA4AAAAAAAAAAAAAAAAALgIAAGRycy9lMm9Eb2MueG1sUEsBAi0AFAAGAAgAAAAh&#10;ABdPMBLbAAAACAEAAA8AAAAAAAAAAAAAAAAAbwQAAGRycy9kb3ducmV2LnhtbFBLBQYAAAAABAAE&#10;APMAAAB3BQAAAAA=&#10;" strokeweight="1.5pt"/>
                  </w:pict>
                </mc:Fallback>
              </mc:AlternateContent>
            </w:r>
            <w:r w:rsidR="00FC12DC">
              <w:rPr>
                <w:b/>
              </w:rPr>
              <w:t>NOTES</w:t>
            </w:r>
          </w:p>
          <w:p w:rsidR="00FC12DC" w:rsidRDefault="00FC12DC" w:rsidP="00FC12DC">
            <w:pPr>
              <w:pStyle w:val="NotesText"/>
            </w:pPr>
          </w:p>
          <w:p w:rsidR="00FC12DC" w:rsidRDefault="00FC12DC" w:rsidP="00FC12DC">
            <w:pPr>
              <w:pStyle w:val="NotesText"/>
            </w:pPr>
            <w:r>
              <w:rPr>
                <w:rFonts w:cs="Arial"/>
                <w:vanish/>
              </w:rPr>
              <w:t xml:space="preserve">BR_11.14 </w:t>
            </w:r>
            <w:r>
              <w:t>VBECS applies a return credit (equal to the return credit percentage of the original cost of the unit) to units processed in an outgoing shipment to the original shipper. Users may edit return credits for individual units.</w:t>
            </w:r>
          </w:p>
          <w:p w:rsidR="00FC12DC" w:rsidRDefault="00FC12DC" w:rsidP="00FC12DC">
            <w:pPr>
              <w:pStyle w:val="NotesText"/>
            </w:pPr>
          </w:p>
          <w:p w:rsidR="00FC12DC" w:rsidRDefault="00FC12DC" w:rsidP="00FC12DC">
            <w:pPr>
              <w:pStyle w:val="NotesText"/>
            </w:pPr>
            <w:r>
              <w:t xml:space="preserve">Instead of right-clicking the mouse, a user may press the application key </w:t>
            </w:r>
            <w:r>
              <w:rPr>
                <w:sz w:val="16"/>
                <w:szCs w:val="16"/>
              </w:rPr>
              <w:t>(</w:t>
            </w:r>
            <w:r w:rsidR="00634BFC">
              <w:rPr>
                <w:noProof/>
                <w:sz w:val="16"/>
                <w:szCs w:val="16"/>
              </w:rPr>
              <w:drawing>
                <wp:inline distT="0" distB="0" distL="0" distR="0">
                  <wp:extent cx="152400" cy="161925"/>
                  <wp:effectExtent l="0" t="0" r="0" b="9525"/>
                  <wp:docPr id="147" name="Picture 147" descr="http://msdn.microsoft.com/library/en-us/dnacc/html/atg_keyboardshortcuts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msdn.microsoft.com/library/en-us/dnacc/html/atg_keyboardshortcuts_10.gif"/>
                          <pic:cNvPicPr>
                            <a:picLocks noChangeAspect="1" noChangeArrowheads="1"/>
                          </pic:cNvPicPr>
                        </pic:nvPicPr>
                        <pic:blipFill>
                          <a:blip r:embed="rId85" r:link="rId8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sz w:val="16"/>
                <w:szCs w:val="16"/>
              </w:rPr>
              <w:t xml:space="preserve">) </w:t>
            </w:r>
            <w:r>
              <w:t>on the keyboard.</w:t>
            </w:r>
          </w:p>
        </w:tc>
      </w:tr>
      <w:tr w:rsidR="002A21AE">
        <w:tblPrEx>
          <w:tblCellMar>
            <w:top w:w="0" w:type="dxa"/>
            <w:bottom w:w="0" w:type="dxa"/>
          </w:tblCellMar>
        </w:tblPrEx>
        <w:tc>
          <w:tcPr>
            <w:tcW w:w="3240" w:type="dxa"/>
            <w:tcBorders>
              <w:bottom w:val="single" w:sz="4" w:space="0" w:color="auto"/>
            </w:tcBorders>
          </w:tcPr>
          <w:p w:rsidR="002A21AE" w:rsidRDefault="002A21AE" w:rsidP="00670529">
            <w:pPr>
              <w:pStyle w:val="TableTextNumbers"/>
            </w:pPr>
            <w:r>
              <w:t xml:space="preserve">To confirm the shipment, click </w:t>
            </w:r>
            <w:r w:rsidR="00AA511E">
              <w:rPr>
                <w:b/>
              </w:rPr>
              <w:t>Save</w:t>
            </w:r>
            <w:r>
              <w:t xml:space="preserve">, then </w:t>
            </w:r>
            <w:r w:rsidR="00AA511E">
              <w:rPr>
                <w:b/>
              </w:rPr>
              <w:t>Yes</w:t>
            </w:r>
            <w:r>
              <w:t xml:space="preserve"> to save the invoice, or </w:t>
            </w:r>
            <w:r>
              <w:rPr>
                <w:b/>
              </w:rPr>
              <w:t>Cancel</w:t>
            </w:r>
            <w:r>
              <w:t xml:space="preserve"> to return to the invoice</w:t>
            </w:r>
            <w:r w:rsidR="00AA511E">
              <w:t xml:space="preserve"> (</w:t>
            </w:r>
            <w:r w:rsidR="00AA511E">
              <w:fldChar w:fldCharType="begin"/>
            </w:r>
            <w:r w:rsidR="00AA511E">
              <w:instrText xml:space="preserve"> REF _Ref137889266 \h </w:instrText>
            </w:r>
            <w:r w:rsidR="00AA511E">
              <w:fldChar w:fldCharType="separate"/>
            </w:r>
            <w:r w:rsidR="005F38BC">
              <w:t xml:space="preserve">Figure </w:t>
            </w:r>
            <w:r w:rsidR="005F38BC">
              <w:rPr>
                <w:noProof/>
              </w:rPr>
              <w:t>75</w:t>
            </w:r>
            <w:r w:rsidR="00AA511E">
              <w:fldChar w:fldCharType="end"/>
            </w:r>
            <w:r w:rsidR="00AA511E">
              <w:t>)</w:t>
            </w:r>
            <w:r>
              <w:t>.</w:t>
            </w:r>
          </w:p>
          <w:p w:rsidR="002A21AE" w:rsidRDefault="002A21AE">
            <w:pPr>
              <w:pStyle w:val="TableTextNumbersContinued"/>
            </w:pPr>
          </w:p>
          <w:p w:rsidR="002A21AE" w:rsidRDefault="002A21AE">
            <w:pPr>
              <w:pStyle w:val="TableTextNumbersContinued"/>
            </w:pPr>
            <w:r>
              <w:t xml:space="preserve">Click </w:t>
            </w:r>
            <w:r>
              <w:rPr>
                <w:b/>
              </w:rPr>
              <w:t>Print Invoice</w:t>
            </w:r>
            <w:r>
              <w:t xml:space="preserve"> to generate and view an invoice.</w:t>
            </w:r>
          </w:p>
          <w:p w:rsidR="002A21AE" w:rsidRDefault="002A21AE">
            <w:pPr>
              <w:pStyle w:val="TableTextNumbersContinued"/>
            </w:pPr>
          </w:p>
          <w:p w:rsidR="002A21AE" w:rsidRDefault="002A21AE">
            <w:pPr>
              <w:pStyle w:val="TableTextNumbersContinued"/>
            </w:pPr>
            <w:r>
              <w:t xml:space="preserve">Click </w:t>
            </w:r>
            <w:r w:rsidR="00172C39">
              <w:rPr>
                <w:b/>
              </w:rPr>
              <w:t>P</w:t>
            </w:r>
            <w:r>
              <w:rPr>
                <w:b/>
              </w:rPr>
              <w:t xml:space="preserve">rinter </w:t>
            </w:r>
            <w:r>
              <w:t xml:space="preserve">to print an invoice to send with the shipment or click </w:t>
            </w:r>
            <w:r w:rsidR="00007EFF" w:rsidRPr="00007EFF">
              <w:rPr>
                <w:b/>
              </w:rPr>
              <w:t>Close</w:t>
            </w:r>
            <w:r>
              <w:t xml:space="preserve"> to return to the invoice.</w:t>
            </w:r>
          </w:p>
          <w:p w:rsidR="002A21AE" w:rsidRDefault="002A21AE">
            <w:pPr>
              <w:pStyle w:val="TableTextNumbersContinued"/>
            </w:pPr>
          </w:p>
          <w:p w:rsidR="002A21AE" w:rsidRDefault="002A21AE">
            <w:pPr>
              <w:pStyle w:val="TableTextNumbersContinued"/>
            </w:pPr>
            <w:r>
              <w:t xml:space="preserve">Click </w:t>
            </w:r>
            <w:r>
              <w:rPr>
                <w:b/>
              </w:rPr>
              <w:t>Cancel</w:t>
            </w:r>
            <w:r>
              <w:t xml:space="preserve"> to exit or move to Step 9 to change a return credit amount.</w:t>
            </w:r>
          </w:p>
        </w:tc>
        <w:tc>
          <w:tcPr>
            <w:tcW w:w="6120" w:type="dxa"/>
            <w:tcBorders>
              <w:bottom w:val="single" w:sz="4" w:space="0" w:color="auto"/>
            </w:tcBorders>
          </w:tcPr>
          <w:p w:rsidR="008F675A" w:rsidRDefault="008F675A" w:rsidP="008F675A">
            <w:pPr>
              <w:pStyle w:val="TableText"/>
            </w:pPr>
          </w:p>
          <w:p w:rsidR="008F675A" w:rsidRDefault="00634BFC" w:rsidP="008F675A">
            <w:pPr>
              <w:pStyle w:val="TableText"/>
              <w:rPr>
                <w:b/>
              </w:rPr>
            </w:pPr>
            <w:r>
              <w:rPr>
                <w:b/>
                <w:noProof/>
              </w:rPr>
              <mc:AlternateContent>
                <mc:Choice Requires="wps">
                  <w:drawing>
                    <wp:anchor distT="0" distB="0" distL="114300" distR="114300" simplePos="0" relativeHeight="25179904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04" name="Line 1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8" o:spid="_x0000_s1026" style="position:absolute;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bF0FQIAAC4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IfB&#10;sXQVAgAALgQAAA4AAAAAAAAAAAAAAAAALgIAAGRycy9lMm9Eb2MueG1sUEsBAi0AFAAGAAgAAAAh&#10;ABdPMBLbAAAACAEAAA8AAAAAAAAAAAAAAAAAbwQAAGRycy9kb3ducmV2LnhtbFBLBQYAAAAABAAE&#10;APMAAAB3BQAAAAA=&#10;" strokeweight="1.5pt"/>
                  </w:pict>
                </mc:Fallback>
              </mc:AlternateContent>
            </w:r>
            <w:r w:rsidR="008F675A">
              <w:rPr>
                <w:b/>
              </w:rPr>
              <w:t>NOTES</w:t>
            </w:r>
          </w:p>
          <w:p w:rsidR="008F675A" w:rsidRDefault="008F675A" w:rsidP="008F675A">
            <w:pPr>
              <w:pStyle w:val="NotesText"/>
            </w:pPr>
          </w:p>
          <w:p w:rsidR="002A21AE" w:rsidRDefault="008F675A" w:rsidP="008F675A">
            <w:pPr>
              <w:pStyle w:val="NotesText"/>
            </w:pPr>
            <w:r>
              <w:rPr>
                <w:rFonts w:cs="Arial"/>
                <w:vanish/>
              </w:rPr>
              <w:t>BR_11.21</w:t>
            </w:r>
            <w:r w:rsidRPr="00203AFF">
              <w:t xml:space="preserve">When units selected for shipment are currently </w:t>
            </w:r>
            <w:r>
              <w:t>restricted to a patient and the donation type of the unit is Voluntary Allogeneic, in addition to releasing the patient assignment, VBECS al</w:t>
            </w:r>
            <w:r w:rsidR="00B21CEA">
              <w:t>so removes the unit restriction in a Transfusion Only division configuration.</w:t>
            </w:r>
            <w:r w:rsidR="002A21AE">
              <w:t xml:space="preserve"> </w:t>
            </w:r>
          </w:p>
        </w:tc>
      </w:tr>
      <w:tr w:rsidR="002A21AE">
        <w:tblPrEx>
          <w:tblCellMar>
            <w:top w:w="0" w:type="dxa"/>
            <w:bottom w:w="0" w:type="dxa"/>
          </w:tblCellMar>
        </w:tblPrEx>
        <w:tc>
          <w:tcPr>
            <w:tcW w:w="3240" w:type="dxa"/>
          </w:tcPr>
          <w:p w:rsidR="002A21AE" w:rsidRDefault="002A21AE" w:rsidP="00007EFF">
            <w:pPr>
              <w:pStyle w:val="TableTextNumbers"/>
            </w:pPr>
            <w:r>
              <w:t xml:space="preserve">Cancel or confirm the shipment as in Step </w:t>
            </w:r>
            <w:r w:rsidR="00007EFF">
              <w:t>9</w:t>
            </w:r>
            <w:r>
              <w:t>.</w:t>
            </w:r>
          </w:p>
        </w:tc>
        <w:tc>
          <w:tcPr>
            <w:tcW w:w="6120" w:type="dxa"/>
          </w:tcPr>
          <w:p w:rsidR="002A21AE" w:rsidRDefault="002A21AE">
            <w:pPr>
              <w:pStyle w:val="TableTextBullet"/>
            </w:pPr>
            <w:r>
              <w:t>Displays a “Confirm Shipment” option and stores the open invoice until the user chooses to complete the shipment.</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0105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03"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XVqFQ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BKR&#10;dWo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BR_11.18 </w:t>
            </w:r>
            <w:r>
              <w:t>When a shipment is saved but not confirmed, VBECS displays “NOT CONFIRMED” as the shipment date on the print version of the invoice.</w:t>
            </w:r>
          </w:p>
          <w:p w:rsidR="002A21AE" w:rsidRDefault="002A21AE">
            <w:pPr>
              <w:pStyle w:val="NotesText"/>
            </w:pPr>
          </w:p>
          <w:p w:rsidR="002A21AE" w:rsidRDefault="002A21AE">
            <w:pPr>
              <w:pStyle w:val="NotesText"/>
            </w:pPr>
            <w:r>
              <w:rPr>
                <w:rFonts w:cs="Arial"/>
                <w:vanish/>
              </w:rPr>
              <w:t xml:space="preserve">BR_17.02 </w:t>
            </w:r>
            <w:r>
              <w:t>The shipping invoice includes patient assignment, restriction, quarantine indicator, biohazard information, antigen typing (specificity and interpretation only), special testing information, and (when it is in a unit record) the autologous unit testing status.</w:t>
            </w:r>
          </w:p>
        </w:tc>
      </w:tr>
      <w:tr w:rsidR="002A21AE">
        <w:tblPrEx>
          <w:tblCellMar>
            <w:top w:w="0" w:type="dxa"/>
            <w:bottom w:w="0" w:type="dxa"/>
          </w:tblCellMar>
        </w:tblPrEx>
        <w:tc>
          <w:tcPr>
            <w:tcW w:w="3240" w:type="dxa"/>
          </w:tcPr>
          <w:p w:rsidR="002A21AE" w:rsidRDefault="002A21AE">
            <w:pPr>
              <w:pStyle w:val="TableTextNumbers"/>
            </w:pPr>
            <w:r>
              <w:t>When the shipment is confirmed, select or edit the date and time in the Shipment Date/Time field.</w:t>
            </w:r>
          </w:p>
          <w:p w:rsidR="002A21AE" w:rsidRDefault="002A21AE">
            <w:pPr>
              <w:pStyle w:val="TableTextNumbersContinued"/>
            </w:pPr>
          </w:p>
          <w:p w:rsidR="002A21AE" w:rsidRDefault="002A21AE">
            <w:pPr>
              <w:pStyle w:val="TableTextNumbersContinued"/>
            </w:pPr>
            <w:r>
              <w:lastRenderedPageBreak/>
              <w:t xml:space="preserve">Click </w:t>
            </w:r>
            <w:r>
              <w:rPr>
                <w:b/>
              </w:rPr>
              <w:t>OK</w:t>
            </w:r>
            <w:r>
              <w:t xml:space="preserve"> to save the information entered or </w:t>
            </w:r>
            <w:r>
              <w:rPr>
                <w:b/>
              </w:rPr>
              <w:t>Cancel</w:t>
            </w:r>
            <w:r>
              <w:t xml:space="preserve"> to return to the invoice.</w:t>
            </w:r>
          </w:p>
        </w:tc>
        <w:tc>
          <w:tcPr>
            <w:tcW w:w="6120" w:type="dxa"/>
          </w:tcPr>
          <w:p w:rsidR="002A21AE" w:rsidRDefault="002A21AE">
            <w:pPr>
              <w:pStyle w:val="TableTextBullet"/>
            </w:pPr>
            <w:r>
              <w:lastRenderedPageBreak/>
              <w:t>Displays shipment information, including the shipment date and time. When a user accepts the entered date and time, displays the invoice to be printed.</w:t>
            </w:r>
          </w:p>
          <w:p w:rsidR="002A21AE" w:rsidRDefault="002A21AE">
            <w:pPr>
              <w:pStyle w:val="TableTextBullet"/>
            </w:pPr>
            <w:r>
              <w:t xml:space="preserve">Updates the status of each unit in the shipment to show that each unit </w:t>
            </w:r>
            <w:r>
              <w:lastRenderedPageBreak/>
              <w:t xml:space="preserve">was transferred to the ship-to facility and assigns the shipment date and time as the date and time of the transaction. </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0208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02"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bzcFQ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FPt&#10;vNw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t>When VBECS confirms an outgoing shipment, it:</w:t>
            </w:r>
          </w:p>
          <w:p w:rsidR="002A21AE" w:rsidRDefault="002A21AE">
            <w:pPr>
              <w:pStyle w:val="NotesTextBullet"/>
            </w:pPr>
            <w:r>
              <w:rPr>
                <w:rFonts w:cs="Arial"/>
                <w:vanish/>
              </w:rPr>
              <w:t xml:space="preserve">BR_11.08 </w:t>
            </w:r>
            <w:r>
              <w:t xml:space="preserve">Adds the shipment information to the unit record, changes the status of each unit in the shipment to </w:t>
            </w:r>
            <w:r w:rsidR="00FA7E65">
              <w:t>“</w:t>
            </w:r>
            <w:r>
              <w:t>Transferred,</w:t>
            </w:r>
            <w:r w:rsidR="00FA7E65">
              <w:t>”</w:t>
            </w:r>
            <w:r>
              <w:t xml:space="preserve"> and assigns the date and time of the transaction to the shipment.</w:t>
            </w:r>
          </w:p>
          <w:p w:rsidR="002A21AE" w:rsidRDefault="002A21AE">
            <w:pPr>
              <w:pStyle w:val="NotesTextBullet"/>
            </w:pPr>
            <w:r>
              <w:rPr>
                <w:rFonts w:cs="Arial"/>
                <w:vanish/>
              </w:rPr>
              <w:t xml:space="preserve">BR_11.09 </w:t>
            </w:r>
            <w:r>
              <w:t xml:space="preserve">Saves the technologist ID, the name of the printing technologist, the division, and the date and time the shipment was processed. It also saves the confirmation date and time as the date and time of shipment. The user may accept or edit the current date and time </w:t>
            </w:r>
            <w:r w:rsidRPr="00D31A97">
              <w:t>displayed (no future date or time may be entered).</w:t>
            </w:r>
            <w:r w:rsidR="00D31A97" w:rsidRPr="00D31A97">
              <w:t xml:space="preserve"> The unit status is changed to transferred upon invoice confirmation.</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lastRenderedPageBreak/>
              <w:t xml:space="preserve">Click </w:t>
            </w:r>
            <w:r>
              <w:rPr>
                <w:b/>
              </w:rPr>
              <w:t>Print Invoice</w:t>
            </w:r>
            <w:r>
              <w:t xml:space="preserve"> to generate and view an invoice as in Step </w:t>
            </w:r>
            <w:r w:rsidR="00007EFF">
              <w:t>9</w:t>
            </w:r>
            <w:r>
              <w:t xml:space="preserve">, or click </w:t>
            </w:r>
            <w:r>
              <w:rPr>
                <w:b/>
              </w:rPr>
              <w:t>Cancel</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Bullet"/>
            </w:pPr>
            <w:r>
              <w:t xml:space="preserve">Displays the information to be printed on the invoice. </w:t>
            </w:r>
          </w:p>
          <w:p w:rsidR="002A21AE" w:rsidRDefault="002A21AE">
            <w:pPr>
              <w:pStyle w:val="TableTextBullet"/>
            </w:pPr>
            <w:r>
              <w:t>Prints the shipping invoice.</w:t>
            </w:r>
          </w:p>
          <w:p w:rsidR="002A21AE" w:rsidRDefault="002A21AE">
            <w:pPr>
              <w:pStyle w:val="TableText"/>
            </w:pPr>
          </w:p>
          <w:p w:rsidR="002A21AE" w:rsidRDefault="00634BFC">
            <w:pPr>
              <w:pStyle w:val="TableText"/>
              <w:rPr>
                <w:b/>
              </w:rPr>
            </w:pPr>
            <w:r>
              <w:rPr>
                <w:b/>
                <w:noProof/>
              </w:rPr>
              <mc:AlternateContent>
                <mc:Choice Requires="wps">
                  <w:drawing>
                    <wp:anchor distT="0" distB="0" distL="114300" distR="114300" simplePos="0" relativeHeight="25151846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01"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9" o:spid="_x0000_s1026" style="position:absolute;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ymxFA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" strokeweight="1.5pt"/>
                  </w:pict>
                </mc:Fallback>
              </mc:AlternateContent>
            </w:r>
            <w:r w:rsidR="002A21AE">
              <w:rPr>
                <w:b/>
              </w:rPr>
              <w:t>NOTES</w:t>
            </w:r>
          </w:p>
          <w:p w:rsidR="002A21AE" w:rsidRDefault="002A21AE">
            <w:pPr>
              <w:pStyle w:val="NotesText"/>
            </w:pPr>
          </w:p>
          <w:p w:rsidR="002A21AE" w:rsidRDefault="002A21AE">
            <w:pPr>
              <w:pStyle w:val="NotesText"/>
            </w:pPr>
            <w:r>
              <w:rPr>
                <w:rFonts w:cs="Arial"/>
                <w:vanish/>
              </w:rPr>
              <w:t xml:space="preserve">BR_92.07 </w:t>
            </w:r>
            <w:r>
              <w:t>When a user prints an invoice and VBECS does not find information to include in the invoice, VBECS notifies the user and asks whether he wants to continue to print. The user may cancel or print the report, which will include “No pending orders found.”</w:t>
            </w:r>
          </w:p>
        </w:tc>
      </w:tr>
    </w:tbl>
    <w:p w:rsidR="00D039A6" w:rsidRDefault="00D039A6" w:rsidP="00D039A6">
      <w:pPr>
        <w:pStyle w:val="Caption"/>
      </w:pPr>
      <w:bookmarkStart w:id="277" w:name="_Ref126554236"/>
      <w:r>
        <w:t xml:space="preserve">Figure </w:t>
      </w:r>
      <w:r w:rsidR="00C17F7C">
        <w:fldChar w:fldCharType="begin"/>
      </w:r>
      <w:r w:rsidR="00C17F7C">
        <w:instrText xml:space="preserve"> SEQ Figure \* ARABIC </w:instrText>
      </w:r>
      <w:r w:rsidR="00C17F7C">
        <w:fldChar w:fldCharType="separate"/>
      </w:r>
      <w:r w:rsidR="005F38BC">
        <w:rPr>
          <w:noProof/>
        </w:rPr>
        <w:t>68</w:t>
      </w:r>
      <w:r w:rsidR="00C17F7C">
        <w:fldChar w:fldCharType="end"/>
      </w:r>
      <w:bookmarkEnd w:id="277"/>
      <w:r>
        <w:t>: Process Outgoing Shipment</w:t>
      </w:r>
    </w:p>
    <w:p w:rsidR="00D039A6" w:rsidRDefault="00634BFC" w:rsidP="00D039A6">
      <w:pPr>
        <w:pStyle w:val="BodyText"/>
      </w:pPr>
      <w:r>
        <w:rPr>
          <w:noProof/>
        </w:rPr>
        <w:drawing>
          <wp:inline distT="0" distB="0" distL="0" distR="0">
            <wp:extent cx="4572000" cy="256222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572000" cy="2562225"/>
                    </a:xfrm>
                    <a:prstGeom prst="rect">
                      <a:avLst/>
                    </a:prstGeom>
                    <a:noFill/>
                    <a:ln>
                      <a:noFill/>
                    </a:ln>
                  </pic:spPr>
                </pic:pic>
              </a:graphicData>
            </a:graphic>
          </wp:inline>
        </w:drawing>
      </w:r>
    </w:p>
    <w:p w:rsidR="00A36F63" w:rsidRDefault="00A36F63" w:rsidP="00A36F63">
      <w:pPr>
        <w:pStyle w:val="Caption"/>
      </w:pPr>
      <w:bookmarkStart w:id="278" w:name="_Ref137886628"/>
      <w:r>
        <w:lastRenderedPageBreak/>
        <w:t xml:space="preserve">Figure </w:t>
      </w:r>
      <w:r w:rsidR="00C17F7C">
        <w:fldChar w:fldCharType="begin"/>
      </w:r>
      <w:r w:rsidR="00C17F7C">
        <w:instrText xml:space="preserve"> SEQ Figure \* ARABIC </w:instrText>
      </w:r>
      <w:r w:rsidR="00C17F7C">
        <w:fldChar w:fldCharType="separate"/>
      </w:r>
      <w:r w:rsidR="005F38BC">
        <w:rPr>
          <w:noProof/>
        </w:rPr>
        <w:t>69</w:t>
      </w:r>
      <w:r w:rsidR="00C17F7C">
        <w:fldChar w:fldCharType="end"/>
      </w:r>
      <w:bookmarkEnd w:id="278"/>
      <w:r>
        <w:t xml:space="preserve">: </w:t>
      </w:r>
      <w:bookmarkStart w:id="279" w:name="OLE_LINK53"/>
      <w:bookmarkStart w:id="280" w:name="OLE_LINK54"/>
      <w:r>
        <w:t>Select Units</w:t>
      </w:r>
      <w:r w:rsidR="0084755D">
        <w:t xml:space="preserve"> 1</w:t>
      </w:r>
      <w:bookmarkEnd w:id="279"/>
      <w:bookmarkEnd w:id="280"/>
    </w:p>
    <w:p w:rsidR="005438DD" w:rsidRDefault="00634BFC" w:rsidP="00D039A6">
      <w:pPr>
        <w:pStyle w:val="BodyText"/>
      </w:pPr>
      <w:r>
        <w:rPr>
          <w:noProof/>
        </w:rPr>
        <w:drawing>
          <wp:inline distT="0" distB="0" distL="0" distR="0">
            <wp:extent cx="4572000" cy="31623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572000" cy="3162300"/>
                    </a:xfrm>
                    <a:prstGeom prst="rect">
                      <a:avLst/>
                    </a:prstGeom>
                    <a:noFill/>
                    <a:ln>
                      <a:noFill/>
                    </a:ln>
                  </pic:spPr>
                </pic:pic>
              </a:graphicData>
            </a:graphic>
          </wp:inline>
        </w:drawing>
      </w:r>
    </w:p>
    <w:p w:rsidR="00A36F63" w:rsidRDefault="00A36F63" w:rsidP="00A36F63">
      <w:pPr>
        <w:pStyle w:val="Caption"/>
      </w:pPr>
      <w:bookmarkStart w:id="281" w:name="_Ref137886705"/>
      <w:r>
        <w:t xml:space="preserve">Figure </w:t>
      </w:r>
      <w:r w:rsidR="00C17F7C">
        <w:fldChar w:fldCharType="begin"/>
      </w:r>
      <w:r w:rsidR="00C17F7C">
        <w:instrText xml:space="preserve"> SEQ Figure \* ARABIC </w:instrText>
      </w:r>
      <w:r w:rsidR="00C17F7C">
        <w:fldChar w:fldCharType="separate"/>
      </w:r>
      <w:r w:rsidR="005F38BC">
        <w:rPr>
          <w:noProof/>
        </w:rPr>
        <w:t>70</w:t>
      </w:r>
      <w:r w:rsidR="00C17F7C">
        <w:fldChar w:fldCharType="end"/>
      </w:r>
      <w:bookmarkEnd w:id="281"/>
      <w:r>
        <w:t xml:space="preserve">: </w:t>
      </w:r>
      <w:r w:rsidR="0084755D">
        <w:t>Select Units 2</w:t>
      </w:r>
    </w:p>
    <w:p w:rsidR="004171E1" w:rsidRDefault="00634BFC" w:rsidP="00D039A6">
      <w:pPr>
        <w:pStyle w:val="BodyText"/>
      </w:pPr>
      <w:r>
        <w:rPr>
          <w:noProof/>
        </w:rPr>
        <w:drawing>
          <wp:inline distT="0" distB="0" distL="0" distR="0">
            <wp:extent cx="4686300" cy="32004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686300" cy="3200400"/>
                    </a:xfrm>
                    <a:prstGeom prst="rect">
                      <a:avLst/>
                    </a:prstGeom>
                    <a:noFill/>
                    <a:ln>
                      <a:noFill/>
                    </a:ln>
                  </pic:spPr>
                </pic:pic>
              </a:graphicData>
            </a:graphic>
          </wp:inline>
        </w:drawing>
      </w:r>
    </w:p>
    <w:p w:rsidR="0084755D" w:rsidRDefault="0084755D" w:rsidP="0084755D">
      <w:pPr>
        <w:pStyle w:val="Caption"/>
      </w:pPr>
      <w:bookmarkStart w:id="282" w:name="_Ref137888427"/>
      <w:r>
        <w:lastRenderedPageBreak/>
        <w:t xml:space="preserve">Figure </w:t>
      </w:r>
      <w:r w:rsidR="00C17F7C">
        <w:fldChar w:fldCharType="begin"/>
      </w:r>
      <w:r w:rsidR="00C17F7C">
        <w:instrText xml:space="preserve"> SEQ Figure \* ARABIC </w:instrText>
      </w:r>
      <w:r w:rsidR="00C17F7C">
        <w:fldChar w:fldCharType="separate"/>
      </w:r>
      <w:r w:rsidR="005F38BC">
        <w:rPr>
          <w:noProof/>
        </w:rPr>
        <w:t>71</w:t>
      </w:r>
      <w:r w:rsidR="00C17F7C">
        <w:fldChar w:fldCharType="end"/>
      </w:r>
      <w:bookmarkEnd w:id="282"/>
      <w:r>
        <w:t>: Select Units 3</w:t>
      </w:r>
    </w:p>
    <w:p w:rsidR="0084755D" w:rsidRDefault="00634BFC" w:rsidP="00D039A6">
      <w:pPr>
        <w:pStyle w:val="BodyText"/>
      </w:pPr>
      <w:r>
        <w:rPr>
          <w:noProof/>
        </w:rPr>
        <w:drawing>
          <wp:inline distT="0" distB="0" distL="0" distR="0">
            <wp:extent cx="4686300" cy="32385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686300" cy="3238500"/>
                    </a:xfrm>
                    <a:prstGeom prst="rect">
                      <a:avLst/>
                    </a:prstGeom>
                    <a:noFill/>
                    <a:ln>
                      <a:noFill/>
                    </a:ln>
                  </pic:spPr>
                </pic:pic>
              </a:graphicData>
            </a:graphic>
          </wp:inline>
        </w:drawing>
      </w:r>
    </w:p>
    <w:p w:rsidR="0084755D" w:rsidRDefault="0084755D" w:rsidP="0084755D">
      <w:pPr>
        <w:pStyle w:val="Caption"/>
      </w:pPr>
      <w:bookmarkStart w:id="283" w:name="_Ref137888482"/>
      <w:r>
        <w:t xml:space="preserve">Figure </w:t>
      </w:r>
      <w:r w:rsidR="00C17F7C">
        <w:fldChar w:fldCharType="begin"/>
      </w:r>
      <w:r w:rsidR="00C17F7C">
        <w:instrText xml:space="preserve"> SEQ Figure \* ARABIC </w:instrText>
      </w:r>
      <w:r w:rsidR="00C17F7C">
        <w:fldChar w:fldCharType="separate"/>
      </w:r>
      <w:r w:rsidR="005F38BC">
        <w:rPr>
          <w:noProof/>
        </w:rPr>
        <w:t>72</w:t>
      </w:r>
      <w:r w:rsidR="00C17F7C">
        <w:fldChar w:fldCharType="end"/>
      </w:r>
      <w:bookmarkEnd w:id="283"/>
      <w:r>
        <w:t>: Select Units 4</w:t>
      </w:r>
    </w:p>
    <w:p w:rsidR="00FC76B3" w:rsidRDefault="00634BFC" w:rsidP="00D039A6">
      <w:pPr>
        <w:pStyle w:val="BodyText"/>
      </w:pPr>
      <w:r>
        <w:rPr>
          <w:noProof/>
        </w:rPr>
        <w:drawing>
          <wp:inline distT="0" distB="0" distL="0" distR="0">
            <wp:extent cx="4629150" cy="32004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629150" cy="3200400"/>
                    </a:xfrm>
                    <a:prstGeom prst="rect">
                      <a:avLst/>
                    </a:prstGeom>
                    <a:noFill/>
                    <a:ln>
                      <a:noFill/>
                    </a:ln>
                  </pic:spPr>
                </pic:pic>
              </a:graphicData>
            </a:graphic>
          </wp:inline>
        </w:drawing>
      </w:r>
    </w:p>
    <w:p w:rsidR="00AA511E" w:rsidRDefault="00AA511E" w:rsidP="00AA511E">
      <w:pPr>
        <w:pStyle w:val="Caption"/>
      </w:pPr>
      <w:bookmarkStart w:id="284" w:name="_Ref137888790"/>
      <w:r>
        <w:lastRenderedPageBreak/>
        <w:t xml:space="preserve">Figure </w:t>
      </w:r>
      <w:r w:rsidR="00C17F7C">
        <w:fldChar w:fldCharType="begin"/>
      </w:r>
      <w:r w:rsidR="00C17F7C">
        <w:instrText xml:space="preserve"> SEQ Figure \* ARABIC </w:instrText>
      </w:r>
      <w:r w:rsidR="00C17F7C">
        <w:fldChar w:fldCharType="separate"/>
      </w:r>
      <w:r w:rsidR="005F38BC">
        <w:rPr>
          <w:noProof/>
        </w:rPr>
        <w:t>73</w:t>
      </w:r>
      <w:r w:rsidR="00C17F7C">
        <w:fldChar w:fldCharType="end"/>
      </w:r>
      <w:bookmarkEnd w:id="284"/>
      <w:r>
        <w:t>: Select Units 5</w:t>
      </w:r>
    </w:p>
    <w:p w:rsidR="00AA511E" w:rsidRDefault="00634BFC" w:rsidP="00A36F63">
      <w:pPr>
        <w:pStyle w:val="Caption"/>
      </w:pPr>
      <w:r>
        <w:rPr>
          <w:b w:val="0"/>
          <w:noProof/>
        </w:rPr>
        <w:drawing>
          <wp:inline distT="0" distB="0" distL="0" distR="0">
            <wp:extent cx="4400550" cy="3038475"/>
            <wp:effectExtent l="0" t="0" r="0"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400550" cy="3038475"/>
                    </a:xfrm>
                    <a:prstGeom prst="rect">
                      <a:avLst/>
                    </a:prstGeom>
                    <a:noFill/>
                    <a:ln>
                      <a:noFill/>
                    </a:ln>
                  </pic:spPr>
                </pic:pic>
              </a:graphicData>
            </a:graphic>
          </wp:inline>
        </w:drawing>
      </w:r>
    </w:p>
    <w:p w:rsidR="00A36F63" w:rsidRDefault="00A36F63" w:rsidP="00A36F63">
      <w:pPr>
        <w:pStyle w:val="Caption"/>
      </w:pPr>
      <w:bookmarkStart w:id="285" w:name="_Ref137888867"/>
      <w:r>
        <w:t xml:space="preserve">Figure </w:t>
      </w:r>
      <w:r w:rsidR="00C17F7C">
        <w:fldChar w:fldCharType="begin"/>
      </w:r>
      <w:r w:rsidR="00C17F7C">
        <w:instrText xml:space="preserve"> SEQ Figure \* ARABIC </w:instrText>
      </w:r>
      <w:r w:rsidR="00C17F7C">
        <w:fldChar w:fldCharType="separate"/>
      </w:r>
      <w:r w:rsidR="005F38BC">
        <w:rPr>
          <w:noProof/>
        </w:rPr>
        <w:t>74</w:t>
      </w:r>
      <w:r w:rsidR="00C17F7C">
        <w:fldChar w:fldCharType="end"/>
      </w:r>
      <w:bookmarkEnd w:id="285"/>
      <w:r>
        <w:t>: Return Credit Update</w:t>
      </w:r>
    </w:p>
    <w:p w:rsidR="00FC76B3" w:rsidRDefault="00634BFC" w:rsidP="00D039A6">
      <w:pPr>
        <w:pStyle w:val="BodyText"/>
      </w:pPr>
      <w:r>
        <w:rPr>
          <w:noProof/>
        </w:rPr>
        <w:drawing>
          <wp:inline distT="0" distB="0" distL="0" distR="0">
            <wp:extent cx="4371975" cy="3019425"/>
            <wp:effectExtent l="0" t="0" r="9525"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371975" cy="3019425"/>
                    </a:xfrm>
                    <a:prstGeom prst="rect">
                      <a:avLst/>
                    </a:prstGeom>
                    <a:noFill/>
                    <a:ln>
                      <a:noFill/>
                    </a:ln>
                  </pic:spPr>
                </pic:pic>
              </a:graphicData>
            </a:graphic>
          </wp:inline>
        </w:drawing>
      </w:r>
    </w:p>
    <w:p w:rsidR="00AA511E" w:rsidRDefault="00AA511E" w:rsidP="00AA511E">
      <w:pPr>
        <w:pStyle w:val="Caption"/>
      </w:pPr>
      <w:bookmarkStart w:id="286" w:name="_Ref137889266"/>
      <w:r>
        <w:lastRenderedPageBreak/>
        <w:t xml:space="preserve">Figure </w:t>
      </w:r>
      <w:r w:rsidR="00C17F7C">
        <w:fldChar w:fldCharType="begin"/>
      </w:r>
      <w:r w:rsidR="00C17F7C">
        <w:instrText xml:space="preserve"> SEQ Figure \* ARABIC </w:instrText>
      </w:r>
      <w:r w:rsidR="00C17F7C">
        <w:fldChar w:fldCharType="separate"/>
      </w:r>
      <w:r w:rsidR="005F38BC">
        <w:rPr>
          <w:noProof/>
        </w:rPr>
        <w:t>75</w:t>
      </w:r>
      <w:r w:rsidR="00C17F7C">
        <w:fldChar w:fldCharType="end"/>
      </w:r>
      <w:bookmarkEnd w:id="286"/>
      <w:r>
        <w:t>: Confirm Invoice</w:t>
      </w:r>
    </w:p>
    <w:p w:rsidR="00AA511E" w:rsidRDefault="00634BFC" w:rsidP="00A36F63">
      <w:pPr>
        <w:pStyle w:val="Caption"/>
      </w:pPr>
      <w:r>
        <w:rPr>
          <w:b w:val="0"/>
          <w:noProof/>
        </w:rPr>
        <w:drawing>
          <wp:inline distT="0" distB="0" distL="0" distR="0">
            <wp:extent cx="4400550" cy="3038475"/>
            <wp:effectExtent l="0" t="0" r="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400550" cy="3038475"/>
                    </a:xfrm>
                    <a:prstGeom prst="rect">
                      <a:avLst/>
                    </a:prstGeom>
                    <a:noFill/>
                    <a:ln>
                      <a:noFill/>
                    </a:ln>
                  </pic:spPr>
                </pic:pic>
              </a:graphicData>
            </a:graphic>
          </wp:inline>
        </w:drawing>
      </w:r>
    </w:p>
    <w:p w:rsidR="00A36F63" w:rsidRDefault="00A36F63" w:rsidP="00A36F63">
      <w:pPr>
        <w:pStyle w:val="Caption"/>
      </w:pPr>
      <w:r>
        <w:t xml:space="preserve">Figure </w:t>
      </w:r>
      <w:r w:rsidR="00C17F7C">
        <w:fldChar w:fldCharType="begin"/>
      </w:r>
      <w:r w:rsidR="00C17F7C">
        <w:instrText xml:space="preserve"> SEQ Figure \* ARABIC </w:instrText>
      </w:r>
      <w:r w:rsidR="00C17F7C">
        <w:fldChar w:fldCharType="separate"/>
      </w:r>
      <w:r w:rsidR="005F38BC">
        <w:rPr>
          <w:noProof/>
        </w:rPr>
        <w:t>76</w:t>
      </w:r>
      <w:r w:rsidR="00C17F7C">
        <w:fldChar w:fldCharType="end"/>
      </w:r>
      <w:r>
        <w:t>: Modify Return Credit</w:t>
      </w:r>
    </w:p>
    <w:p w:rsidR="00FC76B3" w:rsidRDefault="00634BFC" w:rsidP="00D039A6">
      <w:pPr>
        <w:pStyle w:val="BodyText"/>
      </w:pPr>
      <w:r>
        <w:rPr>
          <w:noProof/>
        </w:rPr>
        <w:drawing>
          <wp:inline distT="0" distB="0" distL="0" distR="0">
            <wp:extent cx="3448050" cy="2047875"/>
            <wp:effectExtent l="0" t="0" r="0"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448050" cy="2047875"/>
                    </a:xfrm>
                    <a:prstGeom prst="rect">
                      <a:avLst/>
                    </a:prstGeom>
                    <a:noFill/>
                    <a:ln>
                      <a:noFill/>
                    </a:ln>
                  </pic:spPr>
                </pic:pic>
              </a:graphicData>
            </a:graphic>
          </wp:inline>
        </w:drawing>
      </w:r>
    </w:p>
    <w:p w:rsidR="002041DB" w:rsidRDefault="002041DB" w:rsidP="002041DB">
      <w:pPr>
        <w:pStyle w:val="Caption"/>
      </w:pPr>
      <w:r>
        <w:lastRenderedPageBreak/>
        <w:t xml:space="preserve">Figure </w:t>
      </w:r>
      <w:r w:rsidR="00C17F7C">
        <w:fldChar w:fldCharType="begin"/>
      </w:r>
      <w:r w:rsidR="00C17F7C">
        <w:instrText xml:space="preserve"> SEQ Figure \* ARABIC </w:instrText>
      </w:r>
      <w:r w:rsidR="00C17F7C">
        <w:fldChar w:fldCharType="separate"/>
      </w:r>
      <w:r w:rsidR="005F38BC">
        <w:rPr>
          <w:noProof/>
        </w:rPr>
        <w:t>77</w:t>
      </w:r>
      <w:r w:rsidR="00C17F7C">
        <w:fldChar w:fldCharType="end"/>
      </w:r>
      <w:r>
        <w:t>: Confirm Shipment</w:t>
      </w:r>
    </w:p>
    <w:p w:rsidR="002041DB" w:rsidRDefault="00634BFC" w:rsidP="00D039A6">
      <w:pPr>
        <w:pStyle w:val="BodyText"/>
      </w:pPr>
      <w:r>
        <w:rPr>
          <w:b/>
          <w:noProof/>
        </w:rPr>
        <w:drawing>
          <wp:inline distT="0" distB="0" distL="0" distR="0">
            <wp:extent cx="4400550" cy="3038475"/>
            <wp:effectExtent l="0" t="0" r="0"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400550" cy="3038475"/>
                    </a:xfrm>
                    <a:prstGeom prst="rect">
                      <a:avLst/>
                    </a:prstGeom>
                    <a:noFill/>
                    <a:ln>
                      <a:noFill/>
                    </a:ln>
                  </pic:spPr>
                </pic:pic>
              </a:graphicData>
            </a:graphic>
          </wp:inline>
        </w:drawing>
      </w:r>
    </w:p>
    <w:p w:rsidR="002041DB" w:rsidRDefault="002041DB" w:rsidP="002041DB">
      <w:pPr>
        <w:pStyle w:val="Caption"/>
      </w:pPr>
      <w:r>
        <w:t xml:space="preserve">Figure </w:t>
      </w:r>
      <w:r w:rsidR="00C17F7C">
        <w:fldChar w:fldCharType="begin"/>
      </w:r>
      <w:r w:rsidR="00C17F7C">
        <w:instrText xml:space="preserve"> SEQ Figure \* ARABIC </w:instrText>
      </w:r>
      <w:r w:rsidR="00C17F7C">
        <w:fldChar w:fldCharType="separate"/>
      </w:r>
      <w:r w:rsidR="005F38BC">
        <w:rPr>
          <w:noProof/>
        </w:rPr>
        <w:t>78</w:t>
      </w:r>
      <w:r w:rsidR="00C17F7C">
        <w:fldChar w:fldCharType="end"/>
      </w:r>
      <w:r>
        <w:t>: Confirm Shipment Date</w:t>
      </w:r>
    </w:p>
    <w:p w:rsidR="002041DB" w:rsidRDefault="00634BFC" w:rsidP="00A815F7">
      <w:pPr>
        <w:pStyle w:val="BodyText"/>
      </w:pPr>
      <w:r>
        <w:rPr>
          <w:noProof/>
        </w:rPr>
        <w:drawing>
          <wp:inline distT="0" distB="0" distL="0" distR="0">
            <wp:extent cx="4400550" cy="30480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400550" cy="3048000"/>
                    </a:xfrm>
                    <a:prstGeom prst="rect">
                      <a:avLst/>
                    </a:prstGeom>
                    <a:noFill/>
                    <a:ln>
                      <a:noFill/>
                    </a:ln>
                  </pic:spPr>
                </pic:pic>
              </a:graphicData>
            </a:graphic>
          </wp:inline>
        </w:drawing>
      </w:r>
    </w:p>
    <w:p w:rsidR="002041DB" w:rsidRDefault="002041DB" w:rsidP="002041DB">
      <w:pPr>
        <w:pStyle w:val="Caption"/>
      </w:pPr>
      <w:r>
        <w:lastRenderedPageBreak/>
        <w:t xml:space="preserve">Figure </w:t>
      </w:r>
      <w:r w:rsidR="00C17F7C">
        <w:fldChar w:fldCharType="begin"/>
      </w:r>
      <w:r w:rsidR="00C17F7C">
        <w:instrText xml:space="preserve"> SEQ Figure \* ARABIC </w:instrText>
      </w:r>
      <w:r w:rsidR="00C17F7C">
        <w:fldChar w:fldCharType="separate"/>
      </w:r>
      <w:r w:rsidR="005F38BC">
        <w:rPr>
          <w:noProof/>
        </w:rPr>
        <w:t>79</w:t>
      </w:r>
      <w:r w:rsidR="00C17F7C">
        <w:fldChar w:fldCharType="end"/>
      </w:r>
      <w:r>
        <w:t>: Confirmation of Invoice</w:t>
      </w:r>
    </w:p>
    <w:p w:rsidR="00A815F7" w:rsidRDefault="00634BFC" w:rsidP="00A815F7">
      <w:pPr>
        <w:pStyle w:val="BodyText"/>
      </w:pPr>
      <w:r>
        <w:rPr>
          <w:noProof/>
        </w:rPr>
        <w:drawing>
          <wp:inline distT="0" distB="0" distL="0" distR="0">
            <wp:extent cx="1590675" cy="1133475"/>
            <wp:effectExtent l="0" t="0" r="9525"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590675" cy="1133475"/>
                    </a:xfrm>
                    <a:prstGeom prst="rect">
                      <a:avLst/>
                    </a:prstGeom>
                    <a:noFill/>
                    <a:ln>
                      <a:noFill/>
                    </a:ln>
                  </pic:spPr>
                </pic:pic>
              </a:graphicData>
            </a:graphic>
          </wp:inline>
        </w:drawing>
      </w:r>
    </w:p>
    <w:p w:rsidR="002A21AE" w:rsidRDefault="002A21AE" w:rsidP="00597EEA">
      <w:pPr>
        <w:pStyle w:val="Heading3"/>
      </w:pPr>
      <w:bookmarkStart w:id="287" w:name="_Toc459900108"/>
      <w:r>
        <w:t>Edit Invoice Text</w:t>
      </w:r>
      <w:bookmarkEnd w:id="287"/>
      <w:r w:rsidRPr="009F1B54">
        <w:rPr>
          <w:rFonts w:ascii="Arial Bold" w:hAnsi="Arial Bold"/>
          <w:vanish/>
        </w:rPr>
        <w:fldChar w:fldCharType="begin"/>
      </w:r>
      <w:r w:rsidRPr="009F1B54">
        <w:rPr>
          <w:rFonts w:ascii="Arial Bold" w:hAnsi="Arial Bold"/>
          <w:vanish/>
        </w:rPr>
        <w:instrText xml:space="preserve"> XE </w:instrText>
      </w:r>
      <w:r w:rsidR="00FA7E65" w:rsidRPr="009F1B54">
        <w:rPr>
          <w:rFonts w:ascii="Arial Bold" w:hAnsi="Arial Bold"/>
          <w:vanish/>
        </w:rPr>
        <w:instrText>“</w:instrText>
      </w:r>
      <w:r w:rsidRPr="009F1B54">
        <w:rPr>
          <w:rFonts w:ascii="Arial Bold" w:hAnsi="Arial Bold"/>
          <w:vanish/>
        </w:rPr>
        <w:instrText>Edit Invoice Text</w:instrText>
      </w:r>
      <w:r w:rsidR="00FA7E65" w:rsidRPr="009F1B54">
        <w:rPr>
          <w:rFonts w:ascii="Arial Bold" w:hAnsi="Arial Bold"/>
          <w:vanish/>
        </w:rPr>
        <w:instrText>”</w:instrText>
      </w:r>
      <w:r w:rsidRPr="009F1B54">
        <w:rPr>
          <w:rFonts w:ascii="Arial Bold" w:hAnsi="Arial Bold"/>
          <w:vanish/>
        </w:rPr>
        <w:instrText xml:space="preserve"> </w:instrText>
      </w:r>
      <w:r w:rsidRPr="009F1B54">
        <w:rPr>
          <w:rFonts w:ascii="Arial Bold" w:hAnsi="Arial Bold"/>
          <w:vanish/>
        </w:rPr>
        <w:fldChar w:fldCharType="end"/>
      </w:r>
      <w:r w:rsidRPr="009F1B54">
        <w:rPr>
          <w:rFonts w:ascii="Arial Bold" w:hAnsi="Arial Bold"/>
          <w:vanish/>
        </w:rPr>
        <w:t xml:space="preserve"> UC_17</w:t>
      </w:r>
    </w:p>
    <w:p w:rsidR="002A21AE" w:rsidRDefault="002A21AE" w:rsidP="00FA7E65">
      <w:pPr>
        <w:pStyle w:val="BodyText"/>
      </w:pPr>
      <w:r>
        <w:t xml:space="preserve">VBECS includes a shipping invoice. The user may edit the explanatory text above the signature on the last page of a shipping invoice. </w:t>
      </w:r>
    </w:p>
    <w:p w:rsidR="002A21AE" w:rsidRDefault="002A21AE">
      <w:pPr>
        <w:pStyle w:val="Heading4"/>
        <w:rPr>
          <w:b w:val="0"/>
        </w:rPr>
      </w:pPr>
      <w:r>
        <w:t>Assumptions</w:t>
      </w:r>
      <w:r>
        <w:rPr>
          <w:b w:val="0"/>
        </w:rPr>
        <w:t xml:space="preserve"> </w:t>
      </w:r>
    </w:p>
    <w:p w:rsidR="002A21AE" w:rsidRDefault="002A21AE">
      <w:pPr>
        <w:pStyle w:val="ListBullet"/>
      </w:pPr>
      <w:r>
        <w:t>Information on the outgoing shipment invoice is generated during Outgoing Shipment.</w:t>
      </w:r>
    </w:p>
    <w:p w:rsidR="002A21AE" w:rsidRDefault="002A21AE">
      <w:pPr>
        <w:pStyle w:val="Heading4"/>
      </w:pPr>
      <w:r>
        <w:t>Outcome</w:t>
      </w:r>
    </w:p>
    <w:p w:rsidR="002A21AE" w:rsidRDefault="002A21AE">
      <w:pPr>
        <w:pStyle w:val="ListBullet"/>
      </w:pPr>
      <w:r>
        <w:t>A division customized the text displayed on an outgoing shipment invoice.</w:t>
      </w:r>
    </w:p>
    <w:p w:rsidR="002A21AE" w:rsidRDefault="002A21AE">
      <w:pPr>
        <w:pStyle w:val="Heading4"/>
        <w:rPr>
          <w:b w:val="0"/>
        </w:rPr>
      </w:pPr>
      <w:r>
        <w:t>Limitations and Restrictions</w:t>
      </w:r>
      <w:r>
        <w:rPr>
          <w:b w:val="0"/>
        </w:rPr>
        <w:t xml:space="preserve"> </w:t>
      </w:r>
    </w:p>
    <w:p w:rsidR="002A21AE" w:rsidRDefault="002A21AE">
      <w:pPr>
        <w:pStyle w:val="ListBullet"/>
        <w:ind w:left="720"/>
      </w:pPr>
      <w:r>
        <w:t>None</w:t>
      </w:r>
    </w:p>
    <w:p w:rsidR="002A21AE" w:rsidRDefault="002A21AE">
      <w:pPr>
        <w:pStyle w:val="Heading4"/>
      </w:pPr>
      <w:r>
        <w:t xml:space="preserve">Additional Information </w:t>
      </w:r>
    </w:p>
    <w:p w:rsidR="000D6A15" w:rsidRDefault="000D6A15" w:rsidP="000D6A15">
      <w:pPr>
        <w:pStyle w:val="ListBullet"/>
      </w:pPr>
      <w:r w:rsidRPr="000D6A15">
        <w:rPr>
          <w:vanish/>
        </w:rPr>
        <w:t>BR_17.05</w:t>
      </w:r>
      <w:r w:rsidRPr="00D21BA8">
        <w:t>T</w:t>
      </w:r>
      <w:r>
        <w:t>he default explanatory text</w:t>
      </w:r>
      <w:r w:rsidR="00D21BA8">
        <w:t xml:space="preserve"> reads</w:t>
      </w:r>
      <w:r>
        <w:t>: “</w:t>
      </w:r>
      <w:r w:rsidRPr="005861CC">
        <w:t>I certify that the blood products listed were properly maintained, in accordance with the Code of Federal Regulations, while in storage at this institution. Components were inspected when packed for shipment and found to be satisfactory in color and appearance.</w:t>
      </w:r>
      <w:r>
        <w:t>”</w:t>
      </w:r>
    </w:p>
    <w:p w:rsidR="002A21AE" w:rsidRDefault="002A21AE">
      <w:pPr>
        <w:pStyle w:val="Heading4"/>
        <w:tabs>
          <w:tab w:val="left" w:pos="4140"/>
        </w:tabs>
        <w:rPr>
          <w:snapToGrid w:val="0"/>
        </w:rPr>
      </w:pPr>
      <w:r>
        <w:rPr>
          <w:snapToGrid w:val="0"/>
        </w:rPr>
        <w:t xml:space="preserve">User Roles with Access to This Option </w:t>
      </w:r>
    </w:p>
    <w:p w:rsidR="002A21AE" w:rsidRDefault="00B2267D">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Pr>
          <w:snapToGrid w:val="0"/>
        </w:rPr>
        <w:t>Enhanced Supervisor</w:t>
      </w:r>
    </w:p>
    <w:p w:rsidR="002A21AE" w:rsidRDefault="002A21AE">
      <w:pPr>
        <w:pStyle w:val="Heading4"/>
        <w:rPr>
          <w:snapToGrid w:val="0"/>
        </w:rPr>
      </w:pPr>
      <w:r>
        <w:rPr>
          <w:snapToGrid w:val="0"/>
        </w:rPr>
        <w:t>Edit Invoice Text</w:t>
      </w:r>
    </w:p>
    <w:p w:rsidR="002A21AE" w:rsidRDefault="002A21AE" w:rsidP="00FA7E65">
      <w:pPr>
        <w:pStyle w:val="BodyText"/>
      </w:pPr>
      <w:r>
        <w:t>The blood bank user needs to edit the shipping invoice text box to conform to changes in regulations or division requirements. When the edit is complete, the user saves the altered text for future shipping invoices. An audit trail of changes is maintained.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rPr>
          <w:cantSplit/>
        </w:trPr>
        <w:tc>
          <w:tcPr>
            <w:tcW w:w="3240" w:type="dxa"/>
          </w:tcPr>
          <w:p w:rsidR="002A21AE" w:rsidRDefault="002A21AE">
            <w:pPr>
              <w:pStyle w:val="TableTextNumbers"/>
            </w:pPr>
            <w:r>
              <w:t xml:space="preserve">Select </w:t>
            </w:r>
            <w:r>
              <w:rPr>
                <w:b/>
              </w:rPr>
              <w:t>Shipments</w:t>
            </w:r>
            <w:r>
              <w:t xml:space="preserve"> from the main menu. </w:t>
            </w:r>
          </w:p>
          <w:p w:rsidR="002A21AE" w:rsidRDefault="002A21AE">
            <w:pPr>
              <w:pStyle w:val="TableTextNumbersContinued"/>
            </w:pPr>
          </w:p>
          <w:p w:rsidR="002A21AE" w:rsidRDefault="002A21AE">
            <w:pPr>
              <w:pStyle w:val="TableTextNumbersContinued"/>
            </w:pPr>
            <w:r>
              <w:t xml:space="preserve">Select </w:t>
            </w:r>
            <w:r>
              <w:rPr>
                <w:b/>
              </w:rPr>
              <w:t>Edit Invoice Text.</w:t>
            </w:r>
          </w:p>
        </w:tc>
        <w:tc>
          <w:tcPr>
            <w:tcW w:w="6120" w:type="dxa"/>
          </w:tcPr>
          <w:p w:rsidR="002A21AE" w:rsidRDefault="002A21AE">
            <w:pPr>
              <w:pStyle w:val="TableTextBullet"/>
            </w:pPr>
            <w:r>
              <w:t xml:space="preserve">Displays options for processing blood product shipments. </w:t>
            </w:r>
          </w:p>
          <w:p w:rsidR="002A21AE" w:rsidRDefault="002A21AE">
            <w:pPr>
              <w:pStyle w:val="TableTextBullet"/>
            </w:pPr>
            <w:r>
              <w:t>Displays the current text for outgoing shipment invoice.</w:t>
            </w:r>
          </w:p>
        </w:tc>
      </w:tr>
      <w:tr w:rsidR="002A21AE">
        <w:tblPrEx>
          <w:tblCellMar>
            <w:top w:w="0" w:type="dxa"/>
            <w:bottom w:w="0" w:type="dxa"/>
          </w:tblCellMar>
        </w:tblPrEx>
        <w:trPr>
          <w:cantSplit/>
        </w:trPr>
        <w:tc>
          <w:tcPr>
            <w:tcW w:w="3240" w:type="dxa"/>
          </w:tcPr>
          <w:p w:rsidR="002A21AE" w:rsidRDefault="002A21AE">
            <w:pPr>
              <w:pStyle w:val="TableTextNumbers"/>
            </w:pPr>
            <w:r>
              <w:t>Edit the text.</w:t>
            </w:r>
          </w:p>
        </w:tc>
        <w:tc>
          <w:tcPr>
            <w:tcW w:w="6120" w:type="dxa"/>
          </w:tcPr>
          <w:p w:rsidR="002A21AE" w:rsidRDefault="002A21AE">
            <w:pPr>
              <w:pStyle w:val="TableTextBullet"/>
            </w:pPr>
            <w:r>
              <w:t xml:space="preserve">Displays entered data and changes for review. </w:t>
            </w:r>
          </w:p>
          <w:p w:rsidR="002A21AE" w:rsidRDefault="002A21AE">
            <w:pPr>
              <w:pStyle w:val="TableTextBullet"/>
            </w:pPr>
            <w:r>
              <w:t>Prompts the user to save or reject the changes.</w:t>
            </w:r>
          </w:p>
        </w:tc>
      </w:tr>
      <w:tr w:rsidR="002A21AE">
        <w:tblPrEx>
          <w:tblCellMar>
            <w:top w:w="0" w:type="dxa"/>
            <w:bottom w:w="0" w:type="dxa"/>
          </w:tblCellMar>
        </w:tblPrEx>
        <w:trPr>
          <w:cantSplit/>
        </w:trPr>
        <w:tc>
          <w:tcPr>
            <w:tcW w:w="3240" w:type="dxa"/>
          </w:tcPr>
          <w:p w:rsidR="002A21AE" w:rsidRDefault="002A21AE">
            <w:pPr>
              <w:pStyle w:val="TableTextNumbers"/>
            </w:pPr>
            <w:r>
              <w:t>Review the changes.</w:t>
            </w:r>
          </w:p>
          <w:p w:rsidR="002A21AE" w:rsidRDefault="002A21AE">
            <w:pPr>
              <w:pStyle w:val="TableTextNumbersContinued"/>
            </w:pPr>
          </w:p>
          <w:p w:rsidR="002A21AE" w:rsidRDefault="002A21AE">
            <w:pPr>
              <w:pStyle w:val="TableTextNumbersContinued"/>
            </w:pPr>
            <w:r>
              <w:t xml:space="preserve">Click </w:t>
            </w:r>
            <w:r>
              <w:rPr>
                <w:b/>
              </w:rPr>
              <w:t>OK</w:t>
            </w:r>
            <w:r>
              <w:t xml:space="preserve"> to save the text.</w:t>
            </w:r>
          </w:p>
          <w:p w:rsidR="002A21AE" w:rsidRDefault="002A21AE">
            <w:pPr>
              <w:pStyle w:val="TableTextNumbersContinued"/>
            </w:pPr>
          </w:p>
          <w:p w:rsidR="002A21AE" w:rsidRDefault="002A21AE">
            <w:pPr>
              <w:pStyle w:val="TableTextNumbersContinued"/>
            </w:pPr>
            <w:r>
              <w:t xml:space="preserve">Click </w:t>
            </w:r>
            <w:r>
              <w:rPr>
                <w:b/>
              </w:rPr>
              <w:t>Yes</w:t>
            </w:r>
            <w:r>
              <w:t xml:space="preserve"> to confirm the save and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rsidR="002A21AE" w:rsidRDefault="002A21AE">
            <w:pPr>
              <w:pStyle w:val="TableTextBullet"/>
            </w:pPr>
            <w:r>
              <w:t>Saves the new text and makes it available for outgoing shipment invoices.</w:t>
            </w:r>
          </w:p>
        </w:tc>
      </w:tr>
    </w:tbl>
    <w:p w:rsidR="00696609" w:rsidRDefault="00D53FD3" w:rsidP="00696609">
      <w:pPr>
        <w:pStyle w:val="Heading2"/>
      </w:pPr>
      <w:bookmarkStart w:id="288" w:name="_Toc459900109"/>
      <w:r>
        <w:lastRenderedPageBreak/>
        <w:t>Unit Search</w:t>
      </w:r>
      <w:r w:rsidR="005259AC">
        <w:t xml:space="preserve"> </w:t>
      </w:r>
      <w:r w:rsidR="00696609">
        <w:t>Screen</w:t>
      </w:r>
      <w:bookmarkEnd w:id="288"/>
      <w:r w:rsidR="00696609">
        <w:fldChar w:fldCharType="begin"/>
      </w:r>
      <w:r w:rsidR="00696609">
        <w:instrText xml:space="preserve"> XE “</w:instrText>
      </w:r>
      <w:r>
        <w:instrText>Unit Search</w:instrText>
      </w:r>
      <w:r w:rsidR="00696609">
        <w:instrText xml:space="preserve"> Screen” </w:instrText>
      </w:r>
      <w:r w:rsidR="00696609">
        <w:fldChar w:fldCharType="end"/>
      </w:r>
    </w:p>
    <w:p w:rsidR="00696609" w:rsidRDefault="00696609" w:rsidP="00696609">
      <w:pPr>
        <w:pStyle w:val="BodyText"/>
      </w:pPr>
      <w:r>
        <w:t xml:space="preserve">VBECS displays the </w:t>
      </w:r>
      <w:r w:rsidR="000E2F87">
        <w:t>Unit Search</w:t>
      </w:r>
      <w:r>
        <w:t xml:space="preserve"> screen </w:t>
      </w:r>
      <w:r w:rsidR="00A86D14">
        <w:t>(</w:t>
      </w:r>
      <w:r w:rsidR="00A6373D">
        <w:fldChar w:fldCharType="begin"/>
      </w:r>
      <w:r w:rsidR="00A6373D">
        <w:instrText xml:space="preserve"> REF _Ref300839358 \h </w:instrText>
      </w:r>
      <w:r w:rsidR="00A6373D">
        <w:fldChar w:fldCharType="separate"/>
      </w:r>
      <w:r w:rsidR="005F38BC">
        <w:t xml:space="preserve">Figure </w:t>
      </w:r>
      <w:r w:rsidR="005F38BC">
        <w:rPr>
          <w:noProof/>
        </w:rPr>
        <w:t>80</w:t>
      </w:r>
      <w:r w:rsidR="00A6373D">
        <w:fldChar w:fldCharType="end"/>
      </w:r>
      <w:r w:rsidR="00A86D14">
        <w:t xml:space="preserve">) </w:t>
      </w:r>
      <w:r>
        <w:t xml:space="preserve">when the user </w:t>
      </w:r>
      <w:r w:rsidR="00C57F9C">
        <w:t xml:space="preserve">clicks the </w:t>
      </w:r>
      <w:r w:rsidR="00A6373D">
        <w:rPr>
          <w:b/>
        </w:rPr>
        <w:t>find</w:t>
      </w:r>
      <w:r w:rsidR="00C57F9C" w:rsidRPr="00C57F9C">
        <w:rPr>
          <w:b/>
        </w:rPr>
        <w:t xml:space="preserve"> </w:t>
      </w:r>
      <w:r w:rsidR="00C57F9C" w:rsidRPr="00BF2E41">
        <w:t>button</w:t>
      </w:r>
      <w:r w:rsidR="002A36EF" w:rsidRPr="002A36EF">
        <w:t xml:space="preserve"> </w:t>
      </w:r>
      <w:r w:rsidR="00CA2640">
        <w:t>to select a unit</w:t>
      </w:r>
      <w:r w:rsidR="00574388">
        <w:t xml:space="preserve"> through some of the Blood Units, Patients, Shipments, and Supervisor main menu items</w:t>
      </w:r>
      <w:r>
        <w:t>.</w:t>
      </w:r>
      <w:r w:rsidR="005259AC">
        <w:t xml:space="preserve"> The title of the screen may vary </w:t>
      </w:r>
      <w:r w:rsidR="00A134BA">
        <w:t xml:space="preserve">(e.g., </w:t>
      </w:r>
      <w:r w:rsidR="003B7116">
        <w:t xml:space="preserve">Select Unit for Printing, Unit ABO/Rh Confirmation, </w:t>
      </w:r>
      <w:r w:rsidR="001A7E50">
        <w:t>Unit Antigen Typing,</w:t>
      </w:r>
      <w:r w:rsidR="005627A6">
        <w:t xml:space="preserve"> </w:t>
      </w:r>
      <w:r w:rsidR="00F47488">
        <w:t>Edit Unit Information</w:t>
      </w:r>
      <w:r w:rsidR="00A86581">
        <w:t>)</w:t>
      </w:r>
      <w:r w:rsidR="009046B4" w:rsidRPr="009046B4">
        <w:t xml:space="preserve"> </w:t>
      </w:r>
      <w:r w:rsidR="009046B4">
        <w:t>depending on the option selected.</w:t>
      </w:r>
      <w:r w:rsidR="003308A2">
        <w:t xml:space="preserve"> (The user then selects criteria to continue the search.)</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696609">
        <w:tblPrEx>
          <w:tblCellMar>
            <w:top w:w="0" w:type="dxa"/>
            <w:bottom w:w="0" w:type="dxa"/>
          </w:tblCellMar>
        </w:tblPrEx>
        <w:trPr>
          <w:cantSplit/>
          <w:tblHeader/>
        </w:trPr>
        <w:tc>
          <w:tcPr>
            <w:tcW w:w="3240" w:type="dxa"/>
            <w:shd w:val="pct30" w:color="auto" w:fill="FFFFFF"/>
            <w:vAlign w:val="bottom"/>
          </w:tcPr>
          <w:p w:rsidR="00696609" w:rsidRDefault="00696609" w:rsidP="00F52014">
            <w:pPr>
              <w:pStyle w:val="TableText"/>
              <w:rPr>
                <w:b/>
              </w:rPr>
            </w:pPr>
            <w:r>
              <w:rPr>
                <w:b/>
              </w:rPr>
              <w:t>User Action</w:t>
            </w:r>
          </w:p>
        </w:tc>
        <w:tc>
          <w:tcPr>
            <w:tcW w:w="6120" w:type="dxa"/>
            <w:shd w:val="pct30" w:color="auto" w:fill="FFFFFF"/>
            <w:vAlign w:val="bottom"/>
          </w:tcPr>
          <w:p w:rsidR="00696609" w:rsidRDefault="00696609" w:rsidP="00F52014">
            <w:pPr>
              <w:pStyle w:val="TableText"/>
              <w:rPr>
                <w:b/>
              </w:rPr>
            </w:pPr>
            <w:r>
              <w:rPr>
                <w:b/>
              </w:rPr>
              <w:t>VBECS</w:t>
            </w:r>
          </w:p>
        </w:tc>
      </w:tr>
      <w:tr w:rsidR="00696609">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696609" w:rsidRDefault="00574388" w:rsidP="00F52014">
            <w:pPr>
              <w:pStyle w:val="TableTextNumbers"/>
            </w:pPr>
            <w:r>
              <w:t>Select an item from the main menu and the desired option.</w:t>
            </w:r>
          </w:p>
          <w:p w:rsidR="00574388" w:rsidRDefault="00574388" w:rsidP="00574388">
            <w:pPr>
              <w:pStyle w:val="TableTextNumbersContinued"/>
            </w:pPr>
          </w:p>
          <w:p w:rsidR="00653EEA" w:rsidRPr="00653EEA" w:rsidRDefault="00574388" w:rsidP="00574388">
            <w:pPr>
              <w:pStyle w:val="TableTextNumbersContinued"/>
            </w:pPr>
            <w:r>
              <w:t>Click additional buttons as needed.</w:t>
            </w:r>
          </w:p>
        </w:tc>
        <w:tc>
          <w:tcPr>
            <w:tcW w:w="6120" w:type="dxa"/>
            <w:tcBorders>
              <w:top w:val="single" w:sz="4" w:space="0" w:color="auto"/>
              <w:left w:val="single" w:sz="4" w:space="0" w:color="auto"/>
              <w:bottom w:val="single" w:sz="4" w:space="0" w:color="auto"/>
              <w:right w:val="single" w:sz="4" w:space="0" w:color="auto"/>
            </w:tcBorders>
          </w:tcPr>
          <w:p w:rsidR="00696609" w:rsidRDefault="00696609" w:rsidP="00F52014">
            <w:pPr>
              <w:pStyle w:val="TableTextBullet"/>
            </w:pPr>
            <w:r>
              <w:t xml:space="preserve">Displays the </w:t>
            </w:r>
            <w:r w:rsidR="000E2F87">
              <w:t>Unit</w:t>
            </w:r>
            <w:r>
              <w:t xml:space="preserve"> Search screen.</w:t>
            </w:r>
          </w:p>
          <w:p w:rsidR="00EC1534" w:rsidRDefault="00EC1534" w:rsidP="00EC1534">
            <w:pPr>
              <w:pStyle w:val="TableText"/>
              <w:rPr>
                <w:b/>
                <w:bCs/>
              </w:rPr>
            </w:pPr>
          </w:p>
          <w:p w:rsidR="00EC1534" w:rsidRDefault="00634BFC" w:rsidP="00EC1534">
            <w:pPr>
              <w:pStyle w:val="TableText"/>
              <w:rPr>
                <w:b/>
                <w:bCs/>
              </w:rPr>
            </w:pPr>
            <w:r>
              <w:rPr>
                <w:noProof/>
              </w:rPr>
              <mc:AlternateContent>
                <mc:Choice Requires="wps">
                  <w:drawing>
                    <wp:anchor distT="0" distB="0" distL="114300" distR="114300" simplePos="0" relativeHeight="25179596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500" name="Line 1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5" o:spid="_x0000_s1026" style="position:absolute;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cxzFAIAAC4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" strokeweight="1.5pt"/>
                  </w:pict>
                </mc:Fallback>
              </mc:AlternateContent>
            </w:r>
            <w:r w:rsidR="00EC1534">
              <w:rPr>
                <w:b/>
                <w:bCs/>
              </w:rPr>
              <w:t xml:space="preserve">NOTES </w:t>
            </w:r>
          </w:p>
          <w:p w:rsidR="00EC1534" w:rsidRPr="0008348E" w:rsidRDefault="00EC1534" w:rsidP="00EC1534">
            <w:pPr>
              <w:pStyle w:val="NotesText"/>
            </w:pPr>
            <w:r w:rsidRPr="00EC1534">
              <w:t xml:space="preserve">Although multiple </w:t>
            </w:r>
            <w:r>
              <w:t xml:space="preserve">search </w:t>
            </w:r>
            <w:r w:rsidRPr="00EC1534">
              <w:t>criteria can be c</w:t>
            </w:r>
            <w:r>
              <w:t xml:space="preserve">hecked, the Unit Search screen </w:t>
            </w:r>
            <w:r w:rsidRPr="00EC1534">
              <w:t>perform</w:t>
            </w:r>
            <w:r>
              <w:t>s</w:t>
            </w:r>
            <w:r w:rsidRPr="00EC1534">
              <w:t xml:space="preserve"> independent searches not a summary search </w:t>
            </w:r>
            <w:r>
              <w:t>for all the selected variables.</w:t>
            </w:r>
            <w:r w:rsidR="0008348E">
              <w:rPr>
                <w:vanish/>
              </w:rPr>
              <w:t xml:space="preserve"> DR 3597</w:t>
            </w:r>
          </w:p>
          <w:p w:rsidR="00EC1534" w:rsidRDefault="00EC1534" w:rsidP="00EC1534">
            <w:pPr>
              <w:pStyle w:val="NotesText"/>
            </w:pPr>
          </w:p>
          <w:p w:rsidR="00EC1534" w:rsidRPr="0008348E" w:rsidRDefault="00EC1534" w:rsidP="00EC1534">
            <w:pPr>
              <w:pStyle w:val="NotesText"/>
            </w:pPr>
            <w:r>
              <w:t>Users can obtain a listing of all available unit specifics by creating a custom Blood Availability Report allowing them to make the appropriate selections without looking at each unit’s record.</w:t>
            </w:r>
            <w:r w:rsidR="0008348E">
              <w:rPr>
                <w:vanish/>
              </w:rPr>
              <w:t xml:space="preserve"> DR 3597</w:t>
            </w:r>
          </w:p>
        </w:tc>
      </w:tr>
      <w:tr w:rsidR="00696609">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0C426C" w:rsidRDefault="00696609" w:rsidP="008E012C">
            <w:pPr>
              <w:pStyle w:val="TableTextNumbers"/>
            </w:pPr>
            <w:r>
              <w:t xml:space="preserve">To search for a </w:t>
            </w:r>
            <w:r w:rsidR="000C426C">
              <w:t>unit</w:t>
            </w:r>
            <w:r w:rsidR="008E012C">
              <w:t xml:space="preserve">, </w:t>
            </w:r>
            <w:r w:rsidR="00415C5B">
              <w:t>enter the full or partial unit ID</w:t>
            </w:r>
            <w:r w:rsidR="00ED20E2">
              <w:t xml:space="preserve"> and click the </w:t>
            </w:r>
            <w:r w:rsidR="00A6373D" w:rsidRPr="00A6373D">
              <w:rPr>
                <w:b/>
              </w:rPr>
              <w:t>find</w:t>
            </w:r>
            <w:r w:rsidR="00ED20E2" w:rsidRPr="00ED20E2">
              <w:rPr>
                <w:b/>
              </w:rPr>
              <w:t xml:space="preserve"> </w:t>
            </w:r>
            <w:r w:rsidR="00ED20E2" w:rsidRPr="00D1100E">
              <w:t>button</w:t>
            </w:r>
            <w:r w:rsidR="00415C5B">
              <w:t xml:space="preserve">, or </w:t>
            </w:r>
            <w:r w:rsidR="00ED20E2">
              <w:t xml:space="preserve">just </w:t>
            </w:r>
            <w:r w:rsidR="008E012C">
              <w:t>c</w:t>
            </w:r>
            <w:r w:rsidR="000C426C">
              <w:t xml:space="preserve">lick the </w:t>
            </w:r>
            <w:r w:rsidR="00A6373D" w:rsidRPr="00A6373D">
              <w:rPr>
                <w:b/>
              </w:rPr>
              <w:t>find</w:t>
            </w:r>
            <w:r w:rsidR="000C426C" w:rsidRPr="008E012C">
              <w:rPr>
                <w:b/>
              </w:rPr>
              <w:t xml:space="preserve"> </w:t>
            </w:r>
            <w:r w:rsidR="000C426C" w:rsidRPr="00D1100E">
              <w:t>button</w:t>
            </w:r>
            <w:r w:rsidR="00A86D14">
              <w:rPr>
                <w:b/>
              </w:rPr>
              <w:t xml:space="preserve"> </w:t>
            </w:r>
            <w:r w:rsidR="00A86D14" w:rsidRPr="00A86D14">
              <w:t>(</w:t>
            </w:r>
            <w:r w:rsidR="00D76C2F">
              <w:fldChar w:fldCharType="begin"/>
            </w:r>
            <w:r w:rsidR="00D76C2F">
              <w:instrText xml:space="preserve"> REF _Ref300839358 \h </w:instrText>
            </w:r>
            <w:r w:rsidR="00D76C2F">
              <w:fldChar w:fldCharType="separate"/>
            </w:r>
            <w:r w:rsidR="005F38BC">
              <w:t xml:space="preserve">Figure </w:t>
            </w:r>
            <w:r w:rsidR="005F38BC">
              <w:rPr>
                <w:noProof/>
              </w:rPr>
              <w:t>80</w:t>
            </w:r>
            <w:r w:rsidR="00D76C2F">
              <w:fldChar w:fldCharType="end"/>
            </w:r>
            <w:r w:rsidR="000275FF">
              <w:t>)</w:t>
            </w:r>
            <w:r w:rsidR="000C426C">
              <w:t>.</w:t>
            </w:r>
          </w:p>
          <w:p w:rsidR="008E012C" w:rsidRDefault="008E012C" w:rsidP="008E012C">
            <w:pPr>
              <w:pStyle w:val="TableTextNumbersContinued"/>
            </w:pPr>
          </w:p>
          <w:p w:rsidR="00696609" w:rsidRDefault="008E012C" w:rsidP="008E012C">
            <w:pPr>
              <w:pStyle w:val="TableTextNumbersContinued"/>
            </w:pPr>
            <w:r>
              <w:t>Click a check box to select a unit.</w:t>
            </w:r>
          </w:p>
          <w:p w:rsidR="008E012C" w:rsidRDefault="008E012C" w:rsidP="008E012C">
            <w:pPr>
              <w:pStyle w:val="TableTextNumbersContinued"/>
            </w:pPr>
          </w:p>
          <w:p w:rsidR="00696609" w:rsidRDefault="008E012C" w:rsidP="008E012C">
            <w:pPr>
              <w:pStyle w:val="TableTextNumbersContinued"/>
            </w:pPr>
            <w:r>
              <w:t xml:space="preserve">Click </w:t>
            </w:r>
            <w:r w:rsidRPr="008E012C">
              <w:rPr>
                <w:b/>
              </w:rPr>
              <w:t>OK</w:t>
            </w:r>
            <w:r w:rsidR="00696609">
              <w:t>.</w:t>
            </w:r>
            <w:r w:rsidR="003F7207">
              <w:t xml:space="preserve"> </w:t>
            </w:r>
            <w:r w:rsidR="003F7207">
              <w:rPr>
                <w:vanish/>
                <w:color w:val="FFFFFF"/>
                <w:szCs w:val="18"/>
              </w:rPr>
              <w:fldChar w:fldCharType="begin"/>
            </w:r>
            <w:r w:rsidR="003F7207">
              <w:rPr>
                <w:vanish/>
                <w:color w:val="FFFFFF"/>
                <w:szCs w:val="18"/>
              </w:rPr>
              <w:instrText xml:space="preserve"> LISTNUM \l 1 \s 0 </w:instrText>
            </w:r>
            <w:r w:rsidR="003F7207">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rsidR="00050576" w:rsidRDefault="00696609" w:rsidP="00050576">
            <w:pPr>
              <w:pStyle w:val="TableTextBullet"/>
            </w:pPr>
            <w:r>
              <w:t xml:space="preserve">Lists </w:t>
            </w:r>
            <w:r w:rsidR="000C426C">
              <w:t>units</w:t>
            </w:r>
            <w:r>
              <w:t xml:space="preserve"> that meet the search criteria.</w:t>
            </w:r>
            <w:r w:rsidR="00050576">
              <w:t xml:space="preserve"> </w:t>
            </w:r>
          </w:p>
          <w:p w:rsidR="00696609" w:rsidRDefault="00050576" w:rsidP="00574388">
            <w:pPr>
              <w:pStyle w:val="TableTextBullet"/>
            </w:pPr>
            <w:r>
              <w:t>Displays unit-associated data.</w:t>
            </w:r>
          </w:p>
          <w:p w:rsidR="00415C5B" w:rsidRDefault="00415C5B" w:rsidP="00415C5B">
            <w:pPr>
              <w:pStyle w:val="TableText"/>
            </w:pPr>
          </w:p>
          <w:p w:rsidR="00415C5B" w:rsidRDefault="00634BFC" w:rsidP="00415C5B">
            <w:pPr>
              <w:pStyle w:val="TableText"/>
              <w:rPr>
                <w:b/>
                <w:bCs/>
              </w:rPr>
            </w:pPr>
            <w:r>
              <w:rPr>
                <w:noProof/>
              </w:rPr>
              <mc:AlternateContent>
                <mc:Choice Requires="wps">
                  <w:drawing>
                    <wp:anchor distT="0" distB="0" distL="114300" distR="114300" simplePos="0" relativeHeight="25178163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99" name="Line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3" o:spid="_x0000_s1026" style="position:absolute;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Lo/&#10;Gm4VAgAALgQAAA4AAAAAAAAAAAAAAAAALgIAAGRycy9lMm9Eb2MueG1sUEsBAi0AFAAGAAgAAAAh&#10;ABdPMBLbAAAACAEAAA8AAAAAAAAAAAAAAAAAbwQAAGRycy9kb3ducmV2LnhtbFBLBQYAAAAABAAE&#10;APMAAAB3BQAAAAA=&#10;" strokeweight="1.5pt"/>
                  </w:pict>
                </mc:Fallback>
              </mc:AlternateContent>
            </w:r>
            <w:r w:rsidR="00415C5B">
              <w:rPr>
                <w:b/>
                <w:bCs/>
              </w:rPr>
              <w:t xml:space="preserve">NOTES </w:t>
            </w:r>
          </w:p>
          <w:p w:rsidR="00415C5B" w:rsidRDefault="00415C5B" w:rsidP="00415C5B">
            <w:pPr>
              <w:pStyle w:val="NotesText"/>
            </w:pPr>
          </w:p>
          <w:p w:rsidR="00415C5B" w:rsidRDefault="00ED20E2" w:rsidP="00A6373D">
            <w:pPr>
              <w:pStyle w:val="NotesText"/>
            </w:pPr>
            <w:r>
              <w:t>To speed the search, e</w:t>
            </w:r>
            <w:r w:rsidR="00415C5B">
              <w:t xml:space="preserve">nter a </w:t>
            </w:r>
            <w:r>
              <w:t xml:space="preserve">full or partial </w:t>
            </w:r>
            <w:r w:rsidR="00415C5B">
              <w:t xml:space="preserve">unit ID instead </w:t>
            </w:r>
            <w:r>
              <w:t xml:space="preserve">of just clicking the </w:t>
            </w:r>
            <w:r w:rsidR="00A6373D">
              <w:rPr>
                <w:b/>
              </w:rPr>
              <w:t>find</w:t>
            </w:r>
            <w:r>
              <w:t xml:space="preserve"> button</w:t>
            </w:r>
            <w:r w:rsidR="00C54571">
              <w:t xml:space="preserve"> (which causes VBECS to search the entire database and takes longer)</w:t>
            </w:r>
            <w:r>
              <w:t>.</w:t>
            </w:r>
          </w:p>
        </w:tc>
      </w:tr>
    </w:tbl>
    <w:p w:rsidR="00DB3F75" w:rsidRDefault="0002560C" w:rsidP="0002560C">
      <w:pPr>
        <w:pStyle w:val="Caution"/>
      </w:pPr>
      <w:r>
        <w:t>VBECS checks unit IDs and product codes after the user enters the product code. When there is a discrepancy, VBECS displays the Input Error icon and allows the user to edit the data.</w:t>
      </w:r>
    </w:p>
    <w:p w:rsidR="00156636" w:rsidRPr="00A6373D" w:rsidRDefault="00A6373D" w:rsidP="00A6373D">
      <w:pPr>
        <w:pStyle w:val="Caption"/>
      </w:pPr>
      <w:bookmarkStart w:id="289" w:name="_Ref300839353"/>
      <w:bookmarkStart w:id="290" w:name="_Ref300839358"/>
      <w:r>
        <w:t xml:space="preserve">Figure </w:t>
      </w:r>
      <w:r>
        <w:fldChar w:fldCharType="begin"/>
      </w:r>
      <w:r>
        <w:instrText xml:space="preserve"> SEQ Figure \* ARABIC </w:instrText>
      </w:r>
      <w:r>
        <w:fldChar w:fldCharType="separate"/>
      </w:r>
      <w:r w:rsidR="005F38BC">
        <w:rPr>
          <w:noProof/>
        </w:rPr>
        <w:t>80</w:t>
      </w:r>
      <w:r>
        <w:fldChar w:fldCharType="end"/>
      </w:r>
      <w:bookmarkEnd w:id="290"/>
      <w:r>
        <w:t xml:space="preserve">: </w:t>
      </w:r>
      <w:r w:rsidR="00156636" w:rsidRPr="00A6373D">
        <w:t>Click the Find Button</w:t>
      </w:r>
      <w:bookmarkEnd w:id="289"/>
    </w:p>
    <w:p w:rsidR="00A6373D" w:rsidRDefault="00634BFC" w:rsidP="00A6373D">
      <w:pPr>
        <w:pStyle w:val="BodyText"/>
      </w:pPr>
      <w:r>
        <w:rPr>
          <w:noProof/>
        </w:rPr>
        <w:drawing>
          <wp:inline distT="0" distB="0" distL="0" distR="0">
            <wp:extent cx="4629150" cy="2733675"/>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629150" cy="2733675"/>
                    </a:xfrm>
                    <a:prstGeom prst="rect">
                      <a:avLst/>
                    </a:prstGeom>
                    <a:noFill/>
                    <a:ln>
                      <a:noFill/>
                    </a:ln>
                  </pic:spPr>
                </pic:pic>
              </a:graphicData>
            </a:graphic>
          </wp:inline>
        </w:drawing>
      </w:r>
    </w:p>
    <w:p w:rsidR="00A6373D" w:rsidRPr="00A6373D" w:rsidRDefault="00A6373D" w:rsidP="00A6373D">
      <w:pPr>
        <w:pStyle w:val="Caption"/>
      </w:pPr>
      <w:bookmarkStart w:id="291" w:name="_Ref300839381"/>
      <w:r>
        <w:lastRenderedPageBreak/>
        <w:t xml:space="preserve">Figure </w:t>
      </w:r>
      <w:r>
        <w:fldChar w:fldCharType="begin"/>
      </w:r>
      <w:r>
        <w:instrText xml:space="preserve"> SEQ Figure \* ARABIC </w:instrText>
      </w:r>
      <w:r>
        <w:fldChar w:fldCharType="separate"/>
      </w:r>
      <w:r w:rsidR="005F38BC">
        <w:rPr>
          <w:noProof/>
        </w:rPr>
        <w:t>81</w:t>
      </w:r>
      <w:r>
        <w:fldChar w:fldCharType="end"/>
      </w:r>
      <w:bookmarkEnd w:id="291"/>
      <w:r>
        <w:t xml:space="preserve">: </w:t>
      </w:r>
      <w:r w:rsidRPr="00A6373D">
        <w:t>Display Unit Search Screen</w:t>
      </w:r>
    </w:p>
    <w:p w:rsidR="00156636" w:rsidRDefault="00634BFC" w:rsidP="00156636">
      <w:pPr>
        <w:pStyle w:val="BodyText"/>
      </w:pPr>
      <w:r>
        <w:rPr>
          <w:noProof/>
        </w:rPr>
        <w:drawing>
          <wp:inline distT="0" distB="0" distL="0" distR="0">
            <wp:extent cx="4629150" cy="3171825"/>
            <wp:effectExtent l="0" t="0" r="0"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629150" cy="3171825"/>
                    </a:xfrm>
                    <a:prstGeom prst="rect">
                      <a:avLst/>
                    </a:prstGeom>
                    <a:noFill/>
                    <a:ln>
                      <a:noFill/>
                    </a:ln>
                  </pic:spPr>
                </pic:pic>
              </a:graphicData>
            </a:graphic>
          </wp:inline>
        </w:drawing>
      </w:r>
    </w:p>
    <w:p w:rsidR="00156636" w:rsidRDefault="00156636" w:rsidP="00156636">
      <w:pPr>
        <w:pStyle w:val="BodyText"/>
      </w:pPr>
    </w:p>
    <w:p w:rsidR="00156636" w:rsidRPr="00156636" w:rsidRDefault="00156636" w:rsidP="00156636">
      <w:pPr>
        <w:pStyle w:val="BodyText"/>
        <w:sectPr w:rsidR="00156636" w:rsidRPr="00156636" w:rsidSect="00EE771C">
          <w:headerReference w:type="default" r:id="rId172"/>
          <w:pgSz w:w="12240" w:h="15840" w:code="1"/>
          <w:pgMar w:top="1440" w:right="1440" w:bottom="1440" w:left="1440" w:header="720" w:footer="720" w:gutter="0"/>
          <w:cols w:space="720"/>
          <w:docGrid w:linePitch="360"/>
        </w:sectPr>
      </w:pPr>
    </w:p>
    <w:p w:rsidR="002A21AE" w:rsidRDefault="002A21AE" w:rsidP="00CE6B6A">
      <w:pPr>
        <w:pStyle w:val="Heading2"/>
      </w:pPr>
      <w:bookmarkStart w:id="292" w:name="_Toc459900110"/>
      <w:r>
        <w:lastRenderedPageBreak/>
        <w:t>Test Units</w:t>
      </w:r>
      <w:bookmarkEnd w:id="253"/>
      <w:bookmarkEnd w:id="292"/>
      <w:r>
        <w:fldChar w:fldCharType="begin"/>
      </w:r>
      <w:r>
        <w:instrText xml:space="preserve"> XE </w:instrText>
      </w:r>
      <w:r w:rsidR="00FA7E65">
        <w:instrText>“</w:instrText>
      </w:r>
      <w:r>
        <w:instrText>Test Units</w:instrText>
      </w:r>
      <w:r w:rsidR="00FA7E65">
        <w:instrText>”</w:instrText>
      </w:r>
      <w:r>
        <w:instrText xml:space="preserve"> </w:instrText>
      </w:r>
      <w:r>
        <w:fldChar w:fldCharType="end"/>
      </w:r>
    </w:p>
    <w:p w:rsidR="002A21AE" w:rsidRDefault="002A21AE">
      <w:pPr>
        <w:pStyle w:val="Heading3"/>
      </w:pPr>
      <w:bookmarkStart w:id="293" w:name="_ABO/Rh_Confirmation"/>
      <w:bookmarkStart w:id="294" w:name="_Toc459900111"/>
      <w:bookmarkEnd w:id="293"/>
      <w:r>
        <w:t>ABO/Rh Confirmation</w:t>
      </w:r>
      <w:bookmarkEnd w:id="294"/>
      <w:r w:rsidRPr="007716F7">
        <w:rPr>
          <w:vanish/>
        </w:rPr>
        <w:fldChar w:fldCharType="begin"/>
      </w:r>
      <w:r w:rsidRPr="007716F7">
        <w:rPr>
          <w:vanish/>
        </w:rPr>
        <w:instrText xml:space="preserve"> XE </w:instrText>
      </w:r>
      <w:r w:rsidR="00FA7E65" w:rsidRPr="007716F7">
        <w:rPr>
          <w:vanish/>
        </w:rPr>
        <w:instrText>“</w:instrText>
      </w:r>
      <w:r w:rsidRPr="007716F7">
        <w:rPr>
          <w:vanish/>
        </w:rPr>
        <w:instrText>ABO/Rh Confirmation</w:instrText>
      </w:r>
      <w:r w:rsidR="00FA7E65" w:rsidRPr="007716F7">
        <w:rPr>
          <w:vanish/>
        </w:rPr>
        <w:instrText>”</w:instrText>
      </w:r>
      <w:r w:rsidRPr="007716F7">
        <w:rPr>
          <w:vanish/>
        </w:rPr>
        <w:instrText xml:space="preserve"> </w:instrText>
      </w:r>
      <w:r w:rsidRPr="007716F7">
        <w:rPr>
          <w:vanish/>
        </w:rPr>
        <w:fldChar w:fldCharType="end"/>
      </w:r>
      <w:r w:rsidRPr="007716F7">
        <w:rPr>
          <w:vanish/>
        </w:rPr>
        <w:t xml:space="preserve"> UC_02</w:t>
      </w:r>
    </w:p>
    <w:p w:rsidR="002A21AE" w:rsidRDefault="002A21AE" w:rsidP="00FA7E65">
      <w:pPr>
        <w:pStyle w:val="BodyText"/>
      </w:pPr>
      <w:r>
        <w:t>Blood produc</w:t>
      </w:r>
      <w:r w:rsidR="006C5ACC">
        <w:t xml:space="preserve">ts </w:t>
      </w:r>
      <w:r w:rsidR="00C55227">
        <w:t xml:space="preserve">that contain red blood cells (Red Blood Cells, Whole Blood, Granulocytes and Leukocytes) </w:t>
      </w:r>
      <w:r>
        <w:t>require ABO/Rh confirmation</w:t>
      </w:r>
      <w:r w:rsidR="00D2652F" w:rsidRPr="00D2652F">
        <w:rPr>
          <w:vanish/>
        </w:rPr>
        <w:t>(PT_1.06 Product Types)</w:t>
      </w:r>
      <w:r>
        <w:t>. The user may process ABO/Rh confirmation results by selecting an invoice or individual units of blood received in a shipment. VBECS records the ABO/Rh test results for the list of blood units tested.</w:t>
      </w:r>
    </w:p>
    <w:p w:rsidR="002A21AE" w:rsidRDefault="002A21AE">
      <w:pPr>
        <w:pStyle w:val="Heading4"/>
      </w:pPr>
      <w:r>
        <w:t>Assumptions</w:t>
      </w:r>
    </w:p>
    <w:p w:rsidR="00852AC1" w:rsidRDefault="00852AC1" w:rsidP="00852AC1">
      <w:pPr>
        <w:pStyle w:val="ListBullet"/>
      </w:pPr>
      <w:r>
        <w:t>The division is “full service.”</w:t>
      </w:r>
    </w:p>
    <w:p w:rsidR="002A21AE" w:rsidRDefault="002A21AE">
      <w:pPr>
        <w:pStyle w:val="ListBullet"/>
      </w:pPr>
      <w:r>
        <w:t xml:space="preserve">A unit’s labeled ABO/Rh was entered in the same division as the user during login of an incoming shipment. </w:t>
      </w:r>
    </w:p>
    <w:p w:rsidR="002A21AE" w:rsidRDefault="002A21AE">
      <w:pPr>
        <w:pStyle w:val="ListBullet"/>
      </w:pPr>
      <w:r>
        <w:rPr>
          <w:rFonts w:ascii="Arial" w:hAnsi="Arial" w:cs="Arial"/>
          <w:vanish/>
          <w:spacing w:val="0"/>
          <w:sz w:val="18"/>
        </w:rPr>
        <w:t xml:space="preserve">BR_2.02 </w:t>
      </w:r>
      <w:r>
        <w:t>Only invoices processed within a user’s division may be accessed to create an ABO/Rh confirmation worklist.</w:t>
      </w:r>
    </w:p>
    <w:p w:rsidR="002A21AE" w:rsidRDefault="002A21AE">
      <w:pPr>
        <w:pStyle w:val="Heading4"/>
      </w:pPr>
      <w:r>
        <w:t>Outcome</w:t>
      </w:r>
    </w:p>
    <w:p w:rsidR="002A21AE" w:rsidRDefault="002A21AE">
      <w:pPr>
        <w:pStyle w:val="ListBullet"/>
      </w:pPr>
      <w:r>
        <w:t>Unit ABO/Rh observed test results and interpretations are available for selection for patient use.</w:t>
      </w:r>
    </w:p>
    <w:p w:rsidR="002A21AE" w:rsidRDefault="002A21AE">
      <w:pPr>
        <w:pStyle w:val="Heading4"/>
      </w:pPr>
      <w:r>
        <w:t>Limitations and Restrictions</w:t>
      </w:r>
    </w:p>
    <w:p w:rsidR="00164B44" w:rsidRPr="00164B44" w:rsidRDefault="00164B44">
      <w:pPr>
        <w:pStyle w:val="ListBullet"/>
      </w:pPr>
      <w:r w:rsidRPr="00164B44">
        <w:rPr>
          <w:vanish/>
        </w:rPr>
        <w:t xml:space="preserve">BR_41.32 </w:t>
      </w:r>
      <w:r>
        <w:t>This option is disabled for transfusion-only facilities.</w:t>
      </w:r>
    </w:p>
    <w:p w:rsidR="002A21AE" w:rsidRDefault="002A21AE">
      <w:pPr>
        <w:pStyle w:val="ListBullet"/>
      </w:pPr>
      <w:r>
        <w:rPr>
          <w:rFonts w:ascii="Arial" w:hAnsi="Arial" w:cs="Arial"/>
          <w:vanish/>
          <w:spacing w:val="0"/>
          <w:sz w:val="18"/>
        </w:rPr>
        <w:t xml:space="preserve">BR_2.04 </w:t>
      </w:r>
      <w:r w:rsidR="007D535F">
        <w:t>When building a worklist by invoice number, only invoiced units not previously tested and confirmed appear on the worklist. The user may deselect or add additional units.</w:t>
      </w:r>
    </w:p>
    <w:p w:rsidR="00513A28" w:rsidRPr="008631E9" w:rsidRDefault="002A21AE" w:rsidP="008631E9">
      <w:pPr>
        <w:pStyle w:val="ListBullet"/>
      </w:pPr>
      <w:r>
        <w:rPr>
          <w:rFonts w:ascii="Arial" w:hAnsi="Arial" w:cs="Arial"/>
          <w:vanish/>
          <w:spacing w:val="0"/>
          <w:sz w:val="18"/>
        </w:rPr>
        <w:t xml:space="preserve">BR_27.09 </w:t>
      </w:r>
      <w:r w:rsidR="001E3F16">
        <w:t>For batch processing, the user can select incoming shipment invoices from his division, processed within the previous five days</w:t>
      </w:r>
      <w:r w:rsidR="001E3F16" w:rsidRPr="008631E9">
        <w:t>.</w:t>
      </w:r>
    </w:p>
    <w:p w:rsidR="00E44A83" w:rsidRDefault="008631E9" w:rsidP="008631E9">
      <w:pPr>
        <w:pStyle w:val="ListBullet"/>
      </w:pPr>
      <w:r>
        <w:t xml:space="preserve">VBECS does not display product </w:t>
      </w:r>
      <w:r w:rsidRPr="008631E9">
        <w:t>code</w:t>
      </w:r>
      <w:r>
        <w:t xml:space="preserve">s associated with unit IDs in ABO/Rh Confirmation. </w:t>
      </w:r>
      <w:r w:rsidR="0011459B">
        <w:t>Therefore, d</w:t>
      </w:r>
      <w:r>
        <w:t>o not create ABO/Rh confirmation worklists containing units with the same unit ID.</w:t>
      </w:r>
    </w:p>
    <w:p w:rsidR="00E44A83" w:rsidRPr="00D12C95" w:rsidRDefault="008631E9" w:rsidP="00E44A83">
      <w:pPr>
        <w:pStyle w:val="ListBullet"/>
      </w:pPr>
      <w:r>
        <w:t xml:space="preserve"> </w:t>
      </w:r>
      <w:r w:rsidR="00E44A83">
        <w:t xml:space="preserve">POOLED </w:t>
      </w:r>
      <w:r w:rsidR="00E44A83" w:rsidRPr="00D12C95">
        <w:t xml:space="preserve">GRANULOCYTES </w:t>
      </w:r>
      <w:r w:rsidR="00E44A83" w:rsidRPr="00C60EBB">
        <w:rPr>
          <w:vanish/>
        </w:rPr>
        <w:t xml:space="preserve">(ICCBBA Component Class E036) </w:t>
      </w:r>
      <w:r w:rsidR="00E44A83" w:rsidRPr="00D12C95">
        <w:t>labeled with an Rh type of “Pooled” is considered an Rh Positive unit which does not require confirmation testing.</w:t>
      </w:r>
    </w:p>
    <w:p w:rsidR="008631E9" w:rsidRPr="008631E9" w:rsidRDefault="00E44A83" w:rsidP="00E44A83">
      <w:pPr>
        <w:pStyle w:val="ListBullet"/>
      </w:pPr>
      <w:r w:rsidRPr="00E44A83">
        <w:t xml:space="preserve">POOLED GRANULOCYTES </w:t>
      </w:r>
      <w:r w:rsidRPr="00C60EBB">
        <w:rPr>
          <w:vanish/>
        </w:rPr>
        <w:t xml:space="preserve">(ICCBBA Component Class E036) </w:t>
      </w:r>
      <w:r w:rsidRPr="00E44A83">
        <w:t>labeled with an ABO group of “Pooled” cannot be confirmed. A blood component unit received as “POOLED ABO” will have to be transfused using the Supervisory option, Document ABO Incompatible Transfusion.</w:t>
      </w:r>
    </w:p>
    <w:p w:rsidR="00852AC1" w:rsidRPr="00852AC1" w:rsidRDefault="002A21AE" w:rsidP="002F55AF">
      <w:pPr>
        <w:pStyle w:val="Heading4"/>
      </w:pPr>
      <w:r>
        <w:t>Additional Information</w:t>
      </w:r>
    </w:p>
    <w:p w:rsidR="002A21AE" w:rsidRPr="00995EAA" w:rsidRDefault="002A21AE">
      <w:pPr>
        <w:pStyle w:val="ListBullet"/>
        <w:rPr>
          <w:rStyle w:val="CommentReference"/>
          <w:sz w:val="22"/>
          <w:szCs w:val="22"/>
        </w:rPr>
      </w:pPr>
      <w:r>
        <w:rPr>
          <w:rFonts w:ascii="Arial" w:hAnsi="Arial" w:cs="Arial"/>
          <w:vanish/>
          <w:spacing w:val="0"/>
          <w:sz w:val="18"/>
        </w:rPr>
        <w:t xml:space="preserve">BR_2.11 </w:t>
      </w:r>
      <w:r>
        <w:t>Within a multidivisional facility when ABO/Rh confirmation is repeated on units from a facility within the same database, both the originating facility ABO/Rh confirmation testing results and the current testing results are stored.</w:t>
      </w:r>
      <w:r>
        <w:rPr>
          <w:rStyle w:val="CommentReference"/>
          <w:b/>
          <w:vanish/>
        </w:rPr>
        <w:t xml:space="preserve"> </w:t>
      </w:r>
    </w:p>
    <w:p w:rsidR="00995EAA" w:rsidRDefault="00995EAA" w:rsidP="00995EAA">
      <w:pPr>
        <w:pStyle w:val="ListBullet"/>
      </w:pPr>
      <w:r>
        <w:rPr>
          <w:vanish/>
          <w:spacing w:val="0"/>
        </w:rPr>
        <w:t xml:space="preserve">BR_2.19 </w:t>
      </w:r>
      <w:r>
        <w:t>The ABO/Rh confirmation worklist may be sorted by Unit ID, ABO/Rh, Product Type, Component Type, or Date/Time Received. When displaying the Date/Time Received, seconds are not displayed, but are used to sort the worklist when selecting Date/Time Received for the worklist sort criteria. VBECS uses seconds for calculations, for example in sorting items by time, even though it may not display seconds when time is shown.</w:t>
      </w:r>
    </w:p>
    <w:p w:rsidR="002A21AE" w:rsidRDefault="002A21AE">
      <w:pPr>
        <w:pStyle w:val="Heading4"/>
      </w:pPr>
      <w:r>
        <w:t>User Roles with Access to This Option</w:t>
      </w:r>
    </w:p>
    <w:p w:rsidR="002A21AE" w:rsidRDefault="002B1D25">
      <w:pPr>
        <w:pStyle w:val="Roles"/>
        <w:rPr>
          <w:snapToGrid w:val="0"/>
        </w:rPr>
      </w:pPr>
      <w:r>
        <w:t>All users</w:t>
      </w:r>
    </w:p>
    <w:p w:rsidR="002A21AE" w:rsidRDefault="00634BFC">
      <w:pPr>
        <w:pStyle w:val="Heading4"/>
      </w:pPr>
      <w:r>
        <w:rPr>
          <w:noProof/>
        </w:rPr>
        <w:lastRenderedPageBreak/>
        <w:drawing>
          <wp:inline distT="0" distB="0" distL="0" distR="0">
            <wp:extent cx="152400" cy="1524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A21AE">
        <w:t xml:space="preserve"> ABO/Rh Confirmation Testing</w:t>
      </w:r>
    </w:p>
    <w:p w:rsidR="002A21AE" w:rsidRDefault="002A21AE" w:rsidP="00FA7E65">
      <w:pPr>
        <w:pStyle w:val="BodyText"/>
      </w:pPr>
      <w:r>
        <w:t>To confirm ABO/Rh testing, the user creates a worklist of individual units from an invoice, or creates a custom worklist. The user records observed test reactions and interpretations. VBECS uses truth tables to verify that user-entered interpretations are consistent with observed reactions. VBECS compares ABO and/or Rh interpretations to units labeled “ABO/Rh” during login and displays warnings when there are inconsistencies.</w:t>
      </w:r>
    </w:p>
    <w:p w:rsidR="006F25B6" w:rsidRPr="00D73AB9" w:rsidRDefault="00634BFC" w:rsidP="006F25B6">
      <w:pPr>
        <w:pStyle w:val="Caution"/>
        <w:rPr>
          <w:spacing w:val="-5"/>
        </w:rPr>
      </w:pPr>
      <w:r>
        <w:rPr>
          <w:noProof/>
        </w:rPr>
        <w:drawing>
          <wp:inline distT="0" distB="0" distL="0" distR="0">
            <wp:extent cx="266700" cy="21907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443024">
        <w:t xml:space="preserve"> </w:t>
      </w:r>
      <w:r w:rsidR="006F25B6" w:rsidRPr="00D73AB9">
        <w:t>When a unit</w:t>
      </w:r>
      <w:r w:rsidR="006F25B6">
        <w:t>’</w:t>
      </w:r>
      <w:r w:rsidR="006F25B6" w:rsidRPr="00D73AB9">
        <w:t>s ABO/Rh confirmation test is repea</w:t>
      </w:r>
      <w:r w:rsidR="006F25B6">
        <w:t>ted after issue to a patient</w:t>
      </w:r>
      <w:r w:rsidR="006F25B6" w:rsidRPr="00D73AB9">
        <w:t xml:space="preserve">, </w:t>
      </w:r>
      <w:r w:rsidR="006F25B6">
        <w:t xml:space="preserve">VBECS does not compare the </w:t>
      </w:r>
      <w:r w:rsidR="006F25B6" w:rsidRPr="00D73AB9">
        <w:t>test result</w:t>
      </w:r>
      <w:r w:rsidR="006F25B6">
        <w:t>s</w:t>
      </w:r>
      <w:r w:rsidR="006F25B6" w:rsidRPr="00D73AB9">
        <w:t xml:space="preserve"> </w:t>
      </w:r>
      <w:r w:rsidR="006F25B6">
        <w:t>to</w:t>
      </w:r>
      <w:r w:rsidR="006F25B6" w:rsidRPr="00D73AB9">
        <w:t xml:space="preserve"> the patient</w:t>
      </w:r>
      <w:r w:rsidR="006F25B6">
        <w:t>’</w:t>
      </w:r>
      <w:r w:rsidR="006F25B6" w:rsidRPr="00D73AB9">
        <w:t xml:space="preserve">s blood type at time of issue. </w:t>
      </w:r>
      <w:r w:rsidR="006F25B6">
        <w:t>T</w:t>
      </w:r>
      <w:r w:rsidR="006F25B6" w:rsidRPr="00D73AB9">
        <w:t xml:space="preserve">he user </w:t>
      </w:r>
      <w:r w:rsidR="006F25B6">
        <w:t>must</w:t>
      </w:r>
      <w:r w:rsidR="006F25B6" w:rsidRPr="00D73AB9">
        <w:t xml:space="preserve"> </w:t>
      </w:r>
      <w:r w:rsidR="006F25B6">
        <w:t>detect discrepancies</w:t>
      </w:r>
      <w:r w:rsidR="006F25B6" w:rsidRPr="00D73AB9">
        <w:t xml:space="preserve"> and </w:t>
      </w:r>
      <w:r w:rsidR="006F25B6">
        <w:t xml:space="preserve">notify </w:t>
      </w:r>
      <w:r w:rsidR="006F25B6" w:rsidRPr="00D73AB9">
        <w:t>clinical personnel</w:t>
      </w:r>
      <w:r w:rsidR="006F25B6">
        <w:t>, in accordance with local policy</w:t>
      </w:r>
      <w:r w:rsidR="006F25B6" w:rsidRPr="00D73AB9">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tblHeader/>
        </w:trPr>
        <w:tc>
          <w:tcPr>
            <w:tcW w:w="3240" w:type="dxa"/>
            <w:shd w:val="pct30" w:color="auto" w:fill="FFFFFF"/>
            <w:vAlign w:val="bottom"/>
          </w:tcPr>
          <w:p w:rsidR="002A21AE" w:rsidRDefault="002A21AE">
            <w:pPr>
              <w:pStyle w:val="TableText"/>
              <w:rPr>
                <w:b/>
              </w:rPr>
            </w:pPr>
            <w:bookmarkStart w:id="295" w:name="_Toc78036833"/>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pPr>
              <w:pStyle w:val="TableTextNumbers"/>
            </w:pPr>
            <w:r>
              <w:t xml:space="preserve">When processing a shipment, select </w:t>
            </w:r>
            <w:r>
              <w:rPr>
                <w:b/>
              </w:rPr>
              <w:t>Shipments</w:t>
            </w:r>
            <w:r>
              <w:t xml:space="preserve"> from the main menu. </w:t>
            </w:r>
          </w:p>
          <w:p w:rsidR="002A21AE" w:rsidRDefault="002A21AE">
            <w:pPr>
              <w:pStyle w:val="TableTextNumbersContinued"/>
              <w:rPr>
                <w:b/>
                <w:bCs/>
              </w:rPr>
            </w:pPr>
          </w:p>
          <w:p w:rsidR="002A21AE" w:rsidRDefault="002A21AE">
            <w:pPr>
              <w:pStyle w:val="TableTextNumbersContinued"/>
            </w:pPr>
            <w:r>
              <w:t xml:space="preserve">When processing selected units, select </w:t>
            </w:r>
            <w:r>
              <w:rPr>
                <w:b/>
              </w:rPr>
              <w:t>Blood Units</w:t>
            </w:r>
            <w:r>
              <w:t xml:space="preserve"> from the main menu.</w:t>
            </w:r>
          </w:p>
          <w:p w:rsidR="002A21AE" w:rsidRDefault="002A21AE">
            <w:pPr>
              <w:pStyle w:val="TableTextNumbersContinued"/>
            </w:pPr>
          </w:p>
          <w:p w:rsidR="002A21AE" w:rsidRDefault="002A21AE">
            <w:pPr>
              <w:pStyle w:val="TableTextNumbersContinued"/>
            </w:pPr>
            <w:r>
              <w:t xml:space="preserve">Select </w:t>
            </w:r>
            <w:r>
              <w:rPr>
                <w:b/>
              </w:rPr>
              <w:t>ABO/Rh Confirmation</w:t>
            </w:r>
            <w:r>
              <w:t>.</w:t>
            </w:r>
          </w:p>
          <w:p w:rsidR="002A21AE" w:rsidRDefault="002A21AE">
            <w:pPr>
              <w:pStyle w:val="TableTextNumbersContinued"/>
            </w:pPr>
          </w:p>
          <w:p w:rsidR="002A21AE" w:rsidRDefault="002A21AE">
            <w:pPr>
              <w:pStyle w:val="TableTextNumbersContinued"/>
            </w:pPr>
            <w:r>
              <w:t>Select an invoice or units.</w:t>
            </w:r>
          </w:p>
          <w:p w:rsidR="002A21AE" w:rsidRDefault="002A21AE">
            <w:pPr>
              <w:pStyle w:val="TableTextNumbersContinued"/>
            </w:pPr>
            <w:r>
              <w:t xml:space="preserve"> </w:t>
            </w:r>
          </w:p>
          <w:p w:rsidR="002A21AE" w:rsidRDefault="002A21AE">
            <w:pPr>
              <w:pStyle w:val="TableTextNumbersContinued"/>
            </w:pPr>
            <w:r>
              <w:t xml:space="preserve">Click </w:t>
            </w:r>
            <w:r>
              <w:rPr>
                <w:b/>
              </w:rPr>
              <w:t>OK</w:t>
            </w:r>
            <w:r>
              <w:t>.</w:t>
            </w:r>
          </w:p>
        </w:tc>
        <w:tc>
          <w:tcPr>
            <w:tcW w:w="6120" w:type="dxa"/>
          </w:tcPr>
          <w:p w:rsidR="002A21AE" w:rsidRDefault="002A21AE">
            <w:pPr>
              <w:pStyle w:val="TableTextBullet"/>
            </w:pPr>
            <w:r>
              <w:t xml:space="preserve">Displays options for processing blood product shipments. By default, displays units in the worklist in the order in which they were entered during Incoming Shipment. </w:t>
            </w:r>
          </w:p>
          <w:p w:rsidR="002A21AE" w:rsidRDefault="002A21AE">
            <w:pPr>
              <w:pStyle w:val="TableTextBullet"/>
            </w:pPr>
            <w:r>
              <w:t>Lists invoices processed within the last five days in reverse chronological order.</w:t>
            </w:r>
          </w:p>
          <w:p w:rsidR="002A21AE" w:rsidRDefault="002A21AE">
            <w:pPr>
              <w:pStyle w:val="TableTextBullet"/>
            </w:pPr>
            <w:r>
              <w:t xml:space="preserve">Displays fields for entering rack information. </w:t>
            </w:r>
          </w:p>
          <w:p w:rsidR="002A21AE" w:rsidRDefault="002A21AE">
            <w:pPr>
              <w:pStyle w:val="TableTextBullet"/>
            </w:pPr>
            <w:r>
              <w:t>Allows units to be deleted from or added to the worklist.</w:t>
            </w:r>
          </w:p>
          <w:p w:rsidR="002A21AE" w:rsidRDefault="002A21AE">
            <w:pPr>
              <w:pStyle w:val="TableText"/>
            </w:pPr>
          </w:p>
          <w:p w:rsidR="002A21AE" w:rsidRDefault="00634BFC">
            <w:pPr>
              <w:pStyle w:val="TableText"/>
              <w:rPr>
                <w:b/>
                <w:bCs/>
              </w:rPr>
            </w:pPr>
            <w:r>
              <w:rPr>
                <w:noProof/>
              </w:rPr>
              <mc:AlternateContent>
                <mc:Choice Requires="wps">
                  <w:drawing>
                    <wp:anchor distT="0" distB="0" distL="114300" distR="114300" simplePos="0" relativeHeight="25152972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98"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7" o:spid="_x0000_s1026" style="position:absolute;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5UxFQ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DJr&#10;lTEVAgAALQQAAA4AAAAAAAAAAAAAAAAALgIAAGRycy9lMm9Eb2MueG1sUEsBAi0AFAAGAAgAAAAh&#10;ABdPMBLbAAAACAEAAA8AAAAAAAAAAAAAAAAAbwQAAGRycy9kb3ducmV2LnhtbFBLBQYAAAAABAAE&#10;APMAAAB3BQAAAAA=&#10;" strokeweight="1.5pt"/>
                  </w:pict>
                </mc:Fallback>
              </mc:AlternateContent>
            </w:r>
            <w:r w:rsidR="002A21AE">
              <w:rPr>
                <w:b/>
                <w:bCs/>
              </w:rPr>
              <w:t xml:space="preserve">NOTES </w:t>
            </w:r>
          </w:p>
          <w:p w:rsidR="002A21AE" w:rsidRDefault="002A21AE">
            <w:pPr>
              <w:pStyle w:val="NotesText"/>
            </w:pPr>
          </w:p>
          <w:p w:rsidR="006C18E7" w:rsidRDefault="006C18E7" w:rsidP="006C18E7">
            <w:pPr>
              <w:pStyle w:val="NotesText"/>
            </w:pPr>
            <w:r>
              <w:rPr>
                <w:rFonts w:cs="Arial"/>
                <w:vanish/>
              </w:rPr>
              <w:t xml:space="preserve">BR_5.03 </w:t>
            </w:r>
            <w:r>
              <w:t xml:space="preserve">The user may select only active units and those not in an inactive or final status. </w:t>
            </w:r>
          </w:p>
          <w:p w:rsidR="006C18E7" w:rsidRDefault="006C18E7">
            <w:pPr>
              <w:pStyle w:val="NotesText"/>
            </w:pPr>
          </w:p>
          <w:p w:rsidR="002A21AE" w:rsidRDefault="002A21AE">
            <w:pPr>
              <w:pStyle w:val="NotesText"/>
            </w:pPr>
            <w:r>
              <w:t>To create a customized list of units:</w:t>
            </w:r>
          </w:p>
          <w:p w:rsidR="002A21AE" w:rsidRDefault="002A21AE">
            <w:pPr>
              <w:pStyle w:val="NotesTextBullet"/>
            </w:pPr>
            <w:r>
              <w:t xml:space="preserve">Enter a unit ID or click the </w:t>
            </w:r>
            <w:r w:rsidR="00A6373D">
              <w:rPr>
                <w:b/>
              </w:rPr>
              <w:t>find</w:t>
            </w:r>
            <w:r>
              <w:rPr>
                <w:b/>
              </w:rPr>
              <w:t xml:space="preserve"> </w:t>
            </w:r>
            <w:r w:rsidRPr="00D1100E">
              <w:t>button</w:t>
            </w:r>
            <w:r>
              <w:t xml:space="preserve"> to search for a unit. VBECS lists</w:t>
            </w:r>
            <w:r>
              <w:rPr>
                <w:rStyle w:val="historydatafont1"/>
              </w:rPr>
              <w:t xml:space="preserve"> units with “limited” status</w:t>
            </w:r>
            <w:r>
              <w:t>.</w:t>
            </w:r>
          </w:p>
          <w:p w:rsidR="002A21AE" w:rsidRDefault="002A21AE">
            <w:pPr>
              <w:pStyle w:val="NotesTextBullet"/>
            </w:pPr>
            <w:r>
              <w:t>Select parameters from the options on the Select Units for ABO/Rh Confirmation screen.</w:t>
            </w:r>
          </w:p>
          <w:p w:rsidR="002A21AE" w:rsidRDefault="002A21AE">
            <w:pPr>
              <w:pStyle w:val="NotesTextBullet"/>
            </w:pPr>
            <w:r>
              <w:t xml:space="preserve">Select </w:t>
            </w:r>
            <w:r>
              <w:rPr>
                <w:b/>
              </w:rPr>
              <w:t>Units within Criteria</w:t>
            </w:r>
            <w:r>
              <w:t xml:space="preserve"> to work with.</w:t>
            </w:r>
          </w:p>
          <w:p w:rsidR="002A21AE" w:rsidRDefault="002A21AE">
            <w:pPr>
              <w:pStyle w:val="NotesTextBullet"/>
            </w:pPr>
            <w:r>
              <w:t xml:space="preserve">Click </w:t>
            </w:r>
            <w:r>
              <w:rPr>
                <w:b/>
              </w:rPr>
              <w:t>OK</w:t>
            </w:r>
            <w:r>
              <w:t>.</w:t>
            </w:r>
          </w:p>
          <w:p w:rsidR="002A21AE" w:rsidRDefault="002A21AE">
            <w:pPr>
              <w:pStyle w:val="NotesTextBullet"/>
            </w:pPr>
            <w:r>
              <w:t>Repeat this step until all units are included in the Selected Units list on the Unit ABO/Rh Confirmation screen.</w:t>
            </w:r>
          </w:p>
          <w:p w:rsidR="002A21AE" w:rsidRDefault="002A21AE">
            <w:pPr>
              <w:pStyle w:val="NotesTextBullet"/>
            </w:pPr>
            <w:r>
              <w:t xml:space="preserve">Click </w:t>
            </w:r>
            <w:r>
              <w:rPr>
                <w:b/>
              </w:rPr>
              <w:t>OK</w:t>
            </w:r>
            <w:r>
              <w:t>.</w:t>
            </w:r>
          </w:p>
        </w:tc>
      </w:tr>
      <w:tr w:rsidR="002A21AE">
        <w:tblPrEx>
          <w:tblCellMar>
            <w:top w:w="0" w:type="dxa"/>
            <w:bottom w:w="0" w:type="dxa"/>
          </w:tblCellMar>
        </w:tblPrEx>
        <w:tc>
          <w:tcPr>
            <w:tcW w:w="3240" w:type="dxa"/>
          </w:tcPr>
          <w:p w:rsidR="002A21AE" w:rsidRDefault="002A21AE" w:rsidP="009023E2">
            <w:pPr>
              <w:pStyle w:val="TableTextNumbers"/>
            </w:pPr>
            <w:r>
              <w:t>Select a rack.</w:t>
            </w:r>
          </w:p>
          <w:p w:rsidR="002A21AE" w:rsidRDefault="002A21AE">
            <w:pPr>
              <w:pStyle w:val="TableTextNumbersContinued"/>
            </w:pPr>
          </w:p>
          <w:p w:rsidR="002A21AE" w:rsidRDefault="002A21AE">
            <w:pPr>
              <w:pStyle w:val="TableTextNumbersContinued"/>
            </w:pPr>
            <w:r>
              <w:t>Select a date or accept the default.</w:t>
            </w:r>
          </w:p>
          <w:p w:rsidR="002A21AE" w:rsidRDefault="002A21AE">
            <w:pPr>
              <w:pStyle w:val="TableTextNumbersContinued"/>
            </w:pPr>
          </w:p>
          <w:p w:rsidR="002A21AE" w:rsidRDefault="002A21AE">
            <w:pPr>
              <w:pStyle w:val="TableTextNumbersContinued"/>
            </w:pPr>
            <w:r>
              <w:t>Select a Tested By name.</w:t>
            </w:r>
          </w:p>
          <w:p w:rsidR="002A21AE" w:rsidRDefault="002A21AE">
            <w:pPr>
              <w:pStyle w:val="TableTextNumbersContinued"/>
            </w:pPr>
          </w:p>
          <w:p w:rsidR="002A21AE" w:rsidRDefault="002A21AE">
            <w:pPr>
              <w:pStyle w:val="TableTextNumbersContinued"/>
            </w:pPr>
            <w:r>
              <w:t xml:space="preserve">Click </w:t>
            </w:r>
            <w:r>
              <w:rPr>
                <w:b/>
              </w:rPr>
              <w:t>Using Automated Instrument</w:t>
            </w:r>
            <w:r>
              <w:t xml:space="preserve">, as appropriate. </w:t>
            </w:r>
          </w:p>
          <w:p w:rsidR="002A21AE" w:rsidRDefault="002A21AE">
            <w:pPr>
              <w:pStyle w:val="TableTextNumbersContinued"/>
            </w:pPr>
          </w:p>
          <w:p w:rsidR="002A21AE" w:rsidRDefault="002A21AE">
            <w:pPr>
              <w:pStyle w:val="TableTextNumbersContinued"/>
            </w:pPr>
            <w:r>
              <w:t xml:space="preserve">Click the </w:t>
            </w:r>
            <w:r>
              <w:rPr>
                <w:b/>
              </w:rPr>
              <w:t xml:space="preserve">Perform Anti-D Testing </w:t>
            </w:r>
            <w:r w:rsidRPr="00D1100E">
              <w:t>check box</w:t>
            </w:r>
            <w:r>
              <w:t>, when appropriate.</w:t>
            </w:r>
          </w:p>
          <w:p w:rsidR="002A21AE" w:rsidRDefault="002A21AE">
            <w:pPr>
              <w:pStyle w:val="TableTextNumbersContinued"/>
            </w:pPr>
          </w:p>
          <w:p w:rsidR="002A21AE" w:rsidRDefault="002A21AE">
            <w:pPr>
              <w:pStyle w:val="TableTextNumbersContinued"/>
            </w:pPr>
            <w:r>
              <w:t xml:space="preserve">Click </w:t>
            </w:r>
            <w:r>
              <w:rPr>
                <w:b/>
              </w:rPr>
              <w:t>OK</w:t>
            </w:r>
            <w:r>
              <w:t>.</w:t>
            </w:r>
          </w:p>
        </w:tc>
        <w:tc>
          <w:tcPr>
            <w:tcW w:w="6120" w:type="dxa"/>
          </w:tcPr>
          <w:p w:rsidR="002A21AE" w:rsidRDefault="002A21AE">
            <w:pPr>
              <w:pStyle w:val="TableTextBullet"/>
            </w:pPr>
            <w:r>
              <w:t xml:space="preserve">Displays the racks available using the pick list provided. </w:t>
            </w:r>
          </w:p>
          <w:p w:rsidR="002A21AE" w:rsidRDefault="002A21AE">
            <w:pPr>
              <w:pStyle w:val="TableTextBullet"/>
            </w:pPr>
            <w:r>
              <w:t xml:space="preserve">Displays the date and time testing was performed. The default is the current date and time. The date may be edited using the pick list provided. </w:t>
            </w:r>
          </w:p>
          <w:p w:rsidR="002A21AE" w:rsidRDefault="002A21AE">
            <w:pPr>
              <w:pStyle w:val="TableTextBullet"/>
            </w:pPr>
            <w:r>
              <w:t xml:space="preserve">Displays the testing technologist’s identification. The default is the current user. Select a name from the pick list of valid division users to show a different testing technologist. </w:t>
            </w:r>
          </w:p>
          <w:p w:rsidR="002A21AE" w:rsidRDefault="002A21AE">
            <w:pPr>
              <w:pStyle w:val="TableTextBullet"/>
            </w:pPr>
            <w:r>
              <w:t>Displays warnings and the option to indicate that the user is ready to begin entering results after all warnings are addressed.</w:t>
            </w:r>
          </w:p>
          <w:p w:rsidR="002A21AE" w:rsidRDefault="002A21AE">
            <w:pPr>
              <w:pStyle w:val="TableTextBullet"/>
            </w:pPr>
            <w:r>
              <w:t>Generates an Exception Report entry when the user inactivates or deletes the partially completed result grids and enters a comment.</w:t>
            </w:r>
          </w:p>
          <w:p w:rsidR="002A21AE" w:rsidRDefault="002A21AE">
            <w:pPr>
              <w:pStyle w:val="TableText"/>
            </w:pPr>
          </w:p>
          <w:p w:rsidR="002A21AE" w:rsidRDefault="00634BFC">
            <w:pPr>
              <w:pStyle w:val="TableText"/>
              <w:rPr>
                <w:b/>
                <w:bCs/>
              </w:rPr>
            </w:pPr>
            <w:r>
              <w:rPr>
                <w:noProof/>
              </w:rPr>
              <mc:AlternateContent>
                <mc:Choice Requires="wps">
                  <w:drawing>
                    <wp:anchor distT="0" distB="0" distL="114300" distR="114300" simplePos="0" relativeHeight="25153075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97"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8" o:spid="_x0000_s1026" style="position:absolute;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gn5FQ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IYa&#10;CfkVAgAALQQAAA4AAAAAAAAAAAAAAAAALgIAAGRycy9lMm9Eb2MueG1sUEsBAi0AFAAGAAgAAAAh&#10;ABdPMBLbAAAACAEAAA8AAAAAAAAAAAAAAAAAbwQAAGRycy9kb3ducmV2LnhtbFBLBQYAAAAABAAE&#10;APMAAAB3BQAAAAA=&#10;" strokeweight="1.5pt"/>
                  </w:pict>
                </mc:Fallback>
              </mc:AlternateContent>
            </w:r>
            <w:r w:rsidR="002A21AE">
              <w:rPr>
                <w:b/>
                <w:bCs/>
              </w:rPr>
              <w:t xml:space="preserve">NOTES </w:t>
            </w:r>
          </w:p>
          <w:p w:rsidR="002A21AE" w:rsidRDefault="002A21AE">
            <w:pPr>
              <w:pStyle w:val="NotesText"/>
            </w:pPr>
          </w:p>
          <w:p w:rsidR="002A21AE" w:rsidRDefault="002A21AE">
            <w:pPr>
              <w:pStyle w:val="NotesText"/>
            </w:pPr>
            <w:r>
              <w:rPr>
                <w:rFonts w:cs="Arial"/>
                <w:vanish/>
              </w:rPr>
              <w:t xml:space="preserve">BR_2.47 </w:t>
            </w:r>
            <w:r>
              <w:t>A user may disable the anti-D testing grid column in the ABO/Rh unit confirmation worksheet.</w:t>
            </w:r>
          </w:p>
        </w:tc>
      </w:tr>
      <w:tr w:rsidR="002A21AE">
        <w:tblPrEx>
          <w:tblCellMar>
            <w:top w:w="0" w:type="dxa"/>
            <w:bottom w:w="0" w:type="dxa"/>
          </w:tblCellMar>
        </w:tblPrEx>
        <w:tc>
          <w:tcPr>
            <w:tcW w:w="3240" w:type="dxa"/>
          </w:tcPr>
          <w:p w:rsidR="002A21AE" w:rsidRDefault="002A21AE">
            <w:pPr>
              <w:pStyle w:val="TableTextNumbers"/>
            </w:pPr>
            <w:r>
              <w:t>Select a unit for which to record test results.</w:t>
            </w:r>
          </w:p>
          <w:p w:rsidR="002A21AE" w:rsidRDefault="002A21AE">
            <w:pPr>
              <w:pStyle w:val="TableTextNumbersContinued"/>
            </w:pPr>
          </w:p>
          <w:p w:rsidR="002A21AE" w:rsidRDefault="002A21AE">
            <w:pPr>
              <w:pStyle w:val="TableTextNumbersContinued"/>
            </w:pPr>
            <w:r>
              <w:lastRenderedPageBreak/>
              <w:t>Select a cell and enter an observed test result from the legend at the bottom of the screen.</w:t>
            </w:r>
          </w:p>
          <w:p w:rsidR="002A21AE" w:rsidRDefault="002A21AE">
            <w:pPr>
              <w:pStyle w:val="TableTextNumbersContinued"/>
            </w:pPr>
          </w:p>
          <w:p w:rsidR="002A21AE" w:rsidRDefault="002A21AE">
            <w:pPr>
              <w:pStyle w:val="TableTextNumbersContinued"/>
            </w:pPr>
            <w:r>
              <w:rPr>
                <w:rFonts w:cs="Arial"/>
                <w:vanish/>
                <w:szCs w:val="18"/>
              </w:rPr>
              <w:t>BR_2.30</w:t>
            </w:r>
            <w:r w:rsidR="00CE3961">
              <w:rPr>
                <w:rFonts w:cs="Arial"/>
                <w:vanish/>
                <w:szCs w:val="18"/>
              </w:rPr>
              <w:t>,</w:t>
            </w:r>
            <w:r>
              <w:rPr>
                <w:rFonts w:cs="Arial"/>
                <w:vanish/>
                <w:szCs w:val="18"/>
              </w:rPr>
              <w:t xml:space="preserve"> </w:t>
            </w:r>
            <w:r>
              <w:rPr>
                <w:vanish/>
                <w:szCs w:val="18"/>
              </w:rPr>
              <w:t xml:space="preserve">BR_2.31 </w:t>
            </w:r>
            <w:r>
              <w:t xml:space="preserve">Enter a valid interpretation, then press </w:t>
            </w:r>
            <w:r w:rsidR="00DF74D1">
              <w:t xml:space="preserve">the </w:t>
            </w:r>
            <w:r>
              <w:rPr>
                <w:b/>
              </w:rPr>
              <w:t>Enter</w:t>
            </w:r>
            <w:r w:rsidR="00DF74D1">
              <w:rPr>
                <w:b/>
              </w:rPr>
              <w:t xml:space="preserve"> key</w:t>
            </w:r>
            <w:r>
              <w:t xml:space="preserve"> to go to the next data grid interpretation or Comment cell.</w:t>
            </w:r>
          </w:p>
          <w:p w:rsidR="002A21AE" w:rsidRDefault="002A21AE">
            <w:pPr>
              <w:pStyle w:val="TableTextNumbersContinued"/>
            </w:pPr>
          </w:p>
          <w:p w:rsidR="002A21AE" w:rsidRDefault="002A21AE">
            <w:pPr>
              <w:pStyle w:val="TableTextNumbersContinued"/>
            </w:pPr>
            <w:r>
              <w:t>Select enter comments from the Unit Testing for the ABO and Rh interpretations, as needed.</w:t>
            </w:r>
          </w:p>
          <w:p w:rsidR="002A21AE" w:rsidRDefault="002A21AE">
            <w:pPr>
              <w:pStyle w:val="TableTextNumbersContinued"/>
            </w:pPr>
          </w:p>
          <w:p w:rsidR="002A21AE" w:rsidRDefault="002A21AE">
            <w:pPr>
              <w:pStyle w:val="TableTextNumbersContinued"/>
            </w:pPr>
            <w:r>
              <w:t>Repeat until all test results for the selected unit are entered.</w:t>
            </w:r>
          </w:p>
        </w:tc>
        <w:tc>
          <w:tcPr>
            <w:tcW w:w="6120" w:type="dxa"/>
          </w:tcPr>
          <w:p w:rsidR="002A21AE" w:rsidRDefault="002A21AE">
            <w:pPr>
              <w:pStyle w:val="TableTextBullet"/>
            </w:pPr>
            <w:r>
              <w:lastRenderedPageBreak/>
              <w:t>Creates a grid for data entry of results and interpretations, displaying units in the order selected.</w:t>
            </w:r>
          </w:p>
          <w:p w:rsidR="002A21AE" w:rsidRDefault="002A21AE">
            <w:pPr>
              <w:pStyle w:val="TableTextBullet"/>
            </w:pPr>
            <w:r>
              <w:t xml:space="preserve">Allows the user to select a blood test type and enter a test result for </w:t>
            </w:r>
            <w:r>
              <w:lastRenderedPageBreak/>
              <w:t>the unit.</w:t>
            </w:r>
          </w:p>
          <w:p w:rsidR="002A21AE" w:rsidRDefault="002A21AE">
            <w:pPr>
              <w:pStyle w:val="TableTextBullet"/>
            </w:pPr>
            <w:r>
              <w:t>Restricts data entry to valid selections for testing results. Displays testing results and interpretations entered.</w:t>
            </w:r>
          </w:p>
          <w:p w:rsidR="002A21AE" w:rsidRDefault="002A21AE">
            <w:pPr>
              <w:pStyle w:val="TableTextBullet"/>
            </w:pPr>
            <w:r>
              <w:t>An interpretation indicates that all appropriate test results were entered for the unit.</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3177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96"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9" o:spid="_x0000_s1026" style="position:absolute;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p5/FQIAAC0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Fbu&#10;nn8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9965B7">
            <w:pPr>
              <w:pStyle w:val="NotesText"/>
              <w:spacing w:before="240"/>
            </w:pPr>
            <w:r w:rsidRPr="00896F17">
              <w:rPr>
                <w:rStyle w:val="BullhornChar"/>
              </w:rPr>
              <w:t></w:t>
            </w:r>
            <w:r w:rsidRPr="00D62E87">
              <w:rPr>
                <w:rFonts w:ascii="Webdings" w:hAnsi="Webdings"/>
              </w:rPr>
              <w:t></w:t>
            </w:r>
            <w:r w:rsidRPr="00D62E87">
              <w:t>V</w:t>
            </w:r>
            <w:r w:rsidR="002A21AE">
              <w:t xml:space="preserve">BECS emits an audible alert and generates a warning requiring override when the ABO and/or Rh confirmation interpretation does not match the ABO and/or Rh of the unit at initial login. When the user confirms the discrepancy, inventory units whose ABO/Rh confirmation does not match the ABO/Rh at login are marked “Quarantined.” VBECS captures details for inclusion in an Exception Report (exception type: Unit ABO/Rh </w:t>
            </w:r>
            <w:r w:rsidR="00922AD8">
              <w:t>login</w:t>
            </w:r>
            <w:r w:rsidR="002A21AE">
              <w:t xml:space="preserve"> vs. confirmation do not match, unit quarantined).</w:t>
            </w:r>
          </w:p>
          <w:p w:rsidR="002A21AE" w:rsidRDefault="002A21AE">
            <w:pPr>
              <w:pStyle w:val="NotesText"/>
            </w:pPr>
          </w:p>
          <w:p w:rsidR="002A21AE" w:rsidRDefault="002A21AE" w:rsidP="005F1F08">
            <w:pPr>
              <w:pStyle w:val="NotesText"/>
            </w:pPr>
            <w:r>
              <w:rPr>
                <w:rFonts w:cs="Arial"/>
                <w:vanish/>
              </w:rPr>
              <w:t xml:space="preserve">BR_2.03 </w:t>
            </w:r>
            <w:r>
              <w:t>ABO/Rh confirmation testing data grids accommodate uniform data entry for Forward ABO testing</w:t>
            </w:r>
            <w:r w:rsidR="005F1F08">
              <w:t>.</w:t>
            </w:r>
          </w:p>
          <w:p w:rsidR="002A21AE" w:rsidRDefault="002A21AE">
            <w:pPr>
              <w:pStyle w:val="NotesText"/>
            </w:pPr>
          </w:p>
          <w:p w:rsidR="002A21AE" w:rsidRDefault="002A21AE">
            <w:pPr>
              <w:pStyle w:val="NotesText"/>
            </w:pPr>
            <w:r>
              <w:rPr>
                <w:rFonts w:cs="Arial"/>
                <w:vanish/>
              </w:rPr>
              <w:t xml:space="preserve">BR_2.27 </w:t>
            </w:r>
            <w:r w:rsidR="00EC34E1" w:rsidRPr="0094281E">
              <w:t>The cursor move</w:t>
            </w:r>
            <w:r w:rsidR="00EC34E1">
              <w:t>s</w:t>
            </w:r>
            <w:r w:rsidR="00EC34E1" w:rsidRPr="0094281E">
              <w:t xml:space="preserve"> with a single valid keystroke from the top left cell </w:t>
            </w:r>
            <w:r w:rsidR="00EC34E1">
              <w:t>across</w:t>
            </w:r>
            <w:r w:rsidR="00EC34E1" w:rsidRPr="0094281E">
              <w:t xml:space="preserve"> the row</w:t>
            </w:r>
            <w:r w:rsidR="00EC34E1">
              <w:t>,</w:t>
            </w:r>
            <w:r w:rsidR="00EC34E1" w:rsidRPr="0094281E">
              <w:t xml:space="preserve"> returning to the </w:t>
            </w:r>
            <w:r w:rsidR="00EC34E1">
              <w:t>left</w:t>
            </w:r>
            <w:r w:rsidR="00EC34E1" w:rsidRPr="0094281E">
              <w:t>most cell in the next row</w:t>
            </w:r>
            <w:r w:rsidR="00EC34E1">
              <w:t>,</w:t>
            </w:r>
            <w:r w:rsidR="00EC34E1" w:rsidRPr="0094281E">
              <w:t xml:space="preserve"> and so on down the worksheet grid.</w:t>
            </w:r>
            <w:r>
              <w:t xml:space="preserve"> The cursor stays in the reaction results cells by default (the technologist may use the mouse to click in the interpretation area) until the last entry is made in the reaction result portion of the grid. The cursor then goes to the first (top) interpretation cell.</w:t>
            </w:r>
          </w:p>
          <w:p w:rsidR="002A21AE" w:rsidRDefault="002A21AE">
            <w:pPr>
              <w:pStyle w:val="NotesText"/>
              <w:ind w:left="0"/>
            </w:pPr>
          </w:p>
          <w:p w:rsidR="002A21AE" w:rsidRDefault="002A21AE">
            <w:pPr>
              <w:pStyle w:val="NotesText"/>
            </w:pPr>
            <w:r>
              <w:t>The user may enter free-text comments or comments from the Unit Testing for the ABO and Rh interpretations</w:t>
            </w:r>
            <w:r w:rsidR="002106D5">
              <w:t xml:space="preserve"> (</w:t>
            </w:r>
            <w:r w:rsidR="002106D5">
              <w:fldChar w:fldCharType="begin"/>
            </w:r>
            <w:r w:rsidR="002106D5">
              <w:instrText xml:space="preserve"> REF _Ref256686527 \h </w:instrText>
            </w:r>
            <w:r w:rsidR="002106D5">
              <w:fldChar w:fldCharType="separate"/>
            </w:r>
            <w:r w:rsidR="005F38BC">
              <w:t xml:space="preserve">Table </w:t>
            </w:r>
            <w:r w:rsidR="005F38BC">
              <w:rPr>
                <w:noProof/>
              </w:rPr>
              <w:t>4</w:t>
            </w:r>
            <w:r w:rsidR="002106D5">
              <w:fldChar w:fldCharType="end"/>
            </w:r>
            <w:r w:rsidR="002106D5">
              <w:t>)</w:t>
            </w:r>
            <w:r>
              <w:t>.</w:t>
            </w:r>
          </w:p>
          <w:p w:rsidR="002A21AE" w:rsidRDefault="002A21AE">
            <w:pPr>
              <w:pStyle w:val="Caption"/>
              <w:ind w:left="720"/>
            </w:pPr>
            <w:bookmarkStart w:id="296" w:name="_Toc97523616"/>
            <w:bookmarkStart w:id="297" w:name="_Toc97527586"/>
            <w:bookmarkStart w:id="298" w:name="_Ref126504333"/>
            <w:bookmarkStart w:id="299" w:name="_Ref256686527"/>
            <w:r>
              <w:t xml:space="preserve">Table </w:t>
            </w:r>
            <w:r>
              <w:fldChar w:fldCharType="begin"/>
            </w:r>
            <w:r>
              <w:instrText xml:space="preserve"> SEQ Table \* ARABIC </w:instrText>
            </w:r>
            <w:r>
              <w:fldChar w:fldCharType="separate"/>
            </w:r>
            <w:r w:rsidR="005F38BC">
              <w:rPr>
                <w:noProof/>
              </w:rPr>
              <w:t>4</w:t>
            </w:r>
            <w:r>
              <w:fldChar w:fldCharType="end"/>
            </w:r>
            <w:bookmarkEnd w:id="299"/>
            <w:r>
              <w:t xml:space="preserve">: </w:t>
            </w:r>
            <w:r>
              <w:rPr>
                <w:rFonts w:ascii="Arial" w:hAnsi="Arial" w:cs="Arial"/>
                <w:b w:val="0"/>
                <w:vanish/>
                <w:sz w:val="18"/>
              </w:rPr>
              <w:t xml:space="preserve">BR_2.10 </w:t>
            </w:r>
            <w:r>
              <w:t>Valid Interpretations</w:t>
            </w:r>
            <w:bookmarkEnd w:id="296"/>
            <w:bookmarkEnd w:id="297"/>
            <w:bookmarkEnd w:id="298"/>
            <w:r>
              <w:fldChar w:fldCharType="begin"/>
            </w:r>
            <w:r>
              <w:instrText xml:space="preserve"> XE </w:instrText>
            </w:r>
            <w:r w:rsidR="00FA7E65">
              <w:instrText>“</w:instrText>
            </w:r>
            <w:r>
              <w:instrText>Tables:Valid Interpretations</w:instrText>
            </w:r>
            <w:r w:rsidR="00FA7E65">
              <w:instrText>”</w:instrText>
            </w:r>
            <w:r>
              <w:instrText xml:space="preserve"> </w:instrText>
            </w:r>
            <w:r>
              <w:fldChar w:fldCharType="end"/>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5"/>
              <w:gridCol w:w="1800"/>
            </w:tblGrid>
            <w:tr w:rsidR="002A21AE">
              <w:trPr>
                <w:tblHeader/>
              </w:trPr>
              <w:tc>
                <w:tcPr>
                  <w:tcW w:w="1615" w:type="dxa"/>
                  <w:shd w:val="clear" w:color="auto" w:fill="B3B3B3"/>
                  <w:vAlign w:val="bottom"/>
                </w:tcPr>
                <w:p w:rsidR="002A21AE" w:rsidRDefault="002A21AE">
                  <w:pPr>
                    <w:pStyle w:val="TableText"/>
                    <w:jc w:val="center"/>
                    <w:rPr>
                      <w:b/>
                    </w:rPr>
                  </w:pPr>
                  <w:r>
                    <w:rPr>
                      <w:b/>
                    </w:rPr>
                    <w:t>ABO</w:t>
                  </w:r>
                </w:p>
              </w:tc>
              <w:tc>
                <w:tcPr>
                  <w:tcW w:w="1800" w:type="dxa"/>
                  <w:shd w:val="clear" w:color="auto" w:fill="B3B3B3"/>
                  <w:vAlign w:val="bottom"/>
                </w:tcPr>
                <w:p w:rsidR="002A21AE" w:rsidRDefault="002A21AE">
                  <w:pPr>
                    <w:pStyle w:val="TableText"/>
                    <w:jc w:val="center"/>
                    <w:rPr>
                      <w:b/>
                    </w:rPr>
                  </w:pPr>
                  <w:r>
                    <w:rPr>
                      <w:b/>
                    </w:rPr>
                    <w:t>Rh</w:t>
                  </w:r>
                </w:p>
              </w:tc>
            </w:tr>
            <w:tr w:rsidR="002A21AE">
              <w:tc>
                <w:tcPr>
                  <w:tcW w:w="1615" w:type="dxa"/>
                  <w:vAlign w:val="bottom"/>
                </w:tcPr>
                <w:p w:rsidR="002A21AE" w:rsidRDefault="002A21AE">
                  <w:pPr>
                    <w:pStyle w:val="TableText"/>
                  </w:pPr>
                  <w:r>
                    <w:t>A</w:t>
                  </w:r>
                </w:p>
              </w:tc>
              <w:tc>
                <w:tcPr>
                  <w:tcW w:w="1800" w:type="dxa"/>
                  <w:vAlign w:val="bottom"/>
                </w:tcPr>
                <w:p w:rsidR="002A21AE" w:rsidRDefault="002A21AE">
                  <w:pPr>
                    <w:pStyle w:val="TableText"/>
                  </w:pPr>
                  <w:r>
                    <w:t>P, POS (positive)</w:t>
                  </w:r>
                </w:p>
              </w:tc>
            </w:tr>
            <w:tr w:rsidR="002A21AE">
              <w:tc>
                <w:tcPr>
                  <w:tcW w:w="1615" w:type="dxa"/>
                  <w:vAlign w:val="bottom"/>
                </w:tcPr>
                <w:p w:rsidR="002A21AE" w:rsidRDefault="002A21AE">
                  <w:pPr>
                    <w:pStyle w:val="TableText"/>
                  </w:pPr>
                  <w:r>
                    <w:t>B</w:t>
                  </w:r>
                </w:p>
              </w:tc>
              <w:tc>
                <w:tcPr>
                  <w:tcW w:w="1800" w:type="dxa"/>
                  <w:vAlign w:val="bottom"/>
                </w:tcPr>
                <w:p w:rsidR="002A21AE" w:rsidRDefault="002A21AE">
                  <w:pPr>
                    <w:pStyle w:val="TableText"/>
                  </w:pPr>
                  <w:r>
                    <w:t>N, NEG (negative)</w:t>
                  </w:r>
                </w:p>
              </w:tc>
            </w:tr>
            <w:tr w:rsidR="002A21AE">
              <w:tc>
                <w:tcPr>
                  <w:tcW w:w="1615" w:type="dxa"/>
                  <w:vAlign w:val="bottom"/>
                </w:tcPr>
                <w:p w:rsidR="002A21AE" w:rsidRDefault="002A21AE">
                  <w:pPr>
                    <w:pStyle w:val="TableText"/>
                  </w:pPr>
                  <w:r>
                    <w:t>AB</w:t>
                  </w:r>
                </w:p>
              </w:tc>
              <w:tc>
                <w:tcPr>
                  <w:tcW w:w="1800" w:type="dxa"/>
                  <w:tcBorders>
                    <w:bottom w:val="single" w:sz="4" w:space="0" w:color="auto"/>
                  </w:tcBorders>
                  <w:vAlign w:val="bottom"/>
                </w:tcPr>
                <w:p w:rsidR="002A21AE" w:rsidRDefault="002A21AE">
                  <w:pPr>
                    <w:pStyle w:val="TableText"/>
                  </w:pPr>
                  <w:r>
                    <w:t>I, Inconclusive</w:t>
                  </w:r>
                </w:p>
              </w:tc>
            </w:tr>
            <w:tr w:rsidR="002A21AE">
              <w:trPr>
                <w:cantSplit/>
              </w:trPr>
              <w:tc>
                <w:tcPr>
                  <w:tcW w:w="1615" w:type="dxa"/>
                  <w:vAlign w:val="bottom"/>
                </w:tcPr>
                <w:p w:rsidR="002A21AE" w:rsidRDefault="002A21AE">
                  <w:pPr>
                    <w:pStyle w:val="TableText"/>
                  </w:pPr>
                  <w:r>
                    <w:t>O</w:t>
                  </w:r>
                </w:p>
              </w:tc>
              <w:tc>
                <w:tcPr>
                  <w:tcW w:w="1800" w:type="dxa"/>
                  <w:vMerge w:val="restart"/>
                  <w:shd w:val="clear" w:color="auto" w:fill="B3B3B3"/>
                  <w:vAlign w:val="bottom"/>
                </w:tcPr>
                <w:p w:rsidR="002A21AE" w:rsidRDefault="002A21AE">
                  <w:pPr>
                    <w:pStyle w:val="TableText"/>
                  </w:pPr>
                </w:p>
              </w:tc>
            </w:tr>
            <w:tr w:rsidR="002A21AE">
              <w:trPr>
                <w:cantSplit/>
              </w:trPr>
              <w:tc>
                <w:tcPr>
                  <w:tcW w:w="1615" w:type="dxa"/>
                  <w:vAlign w:val="bottom"/>
                </w:tcPr>
                <w:p w:rsidR="002A21AE" w:rsidRDefault="002A21AE">
                  <w:pPr>
                    <w:pStyle w:val="TableText"/>
                  </w:pPr>
                  <w:r>
                    <w:t>I, Inconclusive</w:t>
                  </w:r>
                </w:p>
              </w:tc>
              <w:tc>
                <w:tcPr>
                  <w:tcW w:w="1800" w:type="dxa"/>
                  <w:vMerge/>
                  <w:vAlign w:val="bottom"/>
                </w:tcPr>
                <w:p w:rsidR="002A21AE" w:rsidRDefault="002A21AE">
                  <w:pPr>
                    <w:pStyle w:val="NotesText"/>
                  </w:pPr>
                </w:p>
              </w:tc>
            </w:tr>
          </w:tbl>
          <w:p w:rsidR="002A21AE" w:rsidRDefault="002A21AE">
            <w:pPr>
              <w:pStyle w:val="NotesText"/>
              <w:ind w:left="0"/>
            </w:pPr>
          </w:p>
          <w:p w:rsidR="002A21AE" w:rsidRDefault="002A21AE">
            <w:pPr>
              <w:pStyle w:val="NotesText"/>
            </w:pPr>
            <w:r>
              <w:rPr>
                <w:rFonts w:cs="Arial"/>
                <w:vanish/>
              </w:rPr>
              <w:t xml:space="preserve">BR_2.15 </w:t>
            </w:r>
            <w:r>
              <w:t>When a user saves a partially completed ABO/Rh testing worklist, VBECS clears unit entries with incomplete or no results, releases them from the worklist, and makes them available for inclusion in a future worklist.</w:t>
            </w:r>
          </w:p>
          <w:p w:rsidR="002A21AE" w:rsidRDefault="002A21AE">
            <w:pPr>
              <w:pStyle w:val="NotesText"/>
            </w:pPr>
          </w:p>
          <w:p w:rsidR="002A21AE" w:rsidRDefault="002A21AE">
            <w:pPr>
              <w:pStyle w:val="NotesText"/>
            </w:pPr>
            <w:r>
              <w:rPr>
                <w:rFonts w:cs="Arial"/>
                <w:vanish/>
              </w:rPr>
              <w:t xml:space="preserve">BR_2.35 </w:t>
            </w:r>
            <w:r>
              <w:t>Row validation is established for the interpretation vs. reaction results pattern by system rules</w:t>
            </w:r>
            <w:r>
              <w:rPr>
                <w:vanish/>
                <w:szCs w:val="18"/>
              </w:rPr>
              <w:t>TT_2.01 Forward ABO Confirmation and TT_2.02 Rh Confirmation: Forward Testing Truth Tables</w:t>
            </w:r>
            <w:r>
              <w:t>.</w:t>
            </w:r>
          </w:p>
          <w:p w:rsidR="00C55908" w:rsidRPr="00200B6D" w:rsidRDefault="00C55908" w:rsidP="00200B6D">
            <w:pPr>
              <w:pStyle w:val="NotesText"/>
            </w:pPr>
          </w:p>
          <w:p w:rsidR="002A21AE" w:rsidRDefault="002A21AE" w:rsidP="00200B6D">
            <w:pPr>
              <w:pStyle w:val="NotesText"/>
              <w:rPr>
                <w:noProof/>
                <w:color w:val="000000"/>
              </w:rPr>
            </w:pPr>
            <w:r w:rsidRPr="00200B6D">
              <w:rPr>
                <w:vanish/>
                <w:szCs w:val="18"/>
              </w:rPr>
              <w:t>BR_2.05</w:t>
            </w:r>
            <w:r w:rsidR="00CE3961">
              <w:rPr>
                <w:vanish/>
                <w:szCs w:val="18"/>
              </w:rPr>
              <w:t>,</w:t>
            </w:r>
            <w:r w:rsidRPr="00200B6D">
              <w:rPr>
                <w:vanish/>
                <w:szCs w:val="18"/>
              </w:rPr>
              <w:t xml:space="preserve"> BR_2.06 </w:t>
            </w:r>
            <w:r w:rsidRPr="00200B6D">
              <w:t>ABO</w:t>
            </w:r>
            <w:r w:rsidR="004A178C" w:rsidRPr="00200B6D">
              <w:t>/Rh</w:t>
            </w:r>
            <w:r w:rsidRPr="00200B6D">
              <w:t xml:space="preserve"> interpretations are consistent with observed test results based on system rules. Discrepancies are resolved before VBECS can verify ABO</w:t>
            </w:r>
            <w:r w:rsidR="004A178C" w:rsidRPr="00200B6D">
              <w:t>/Rh</w:t>
            </w:r>
            <w:r w:rsidRPr="00200B6D">
              <w:t xml:space="preserve"> confirmation results and add them to the database. The user may reenter valid results or delete entries and start over. </w:t>
            </w:r>
          </w:p>
        </w:tc>
      </w:tr>
      <w:tr w:rsidR="002A21AE">
        <w:tblPrEx>
          <w:tblCellMar>
            <w:top w:w="0" w:type="dxa"/>
            <w:bottom w:w="0" w:type="dxa"/>
          </w:tblCellMar>
        </w:tblPrEx>
        <w:tc>
          <w:tcPr>
            <w:tcW w:w="3240" w:type="dxa"/>
          </w:tcPr>
          <w:p w:rsidR="002A21AE" w:rsidRDefault="002A21AE">
            <w:pPr>
              <w:pStyle w:val="TableTextNumbers"/>
            </w:pPr>
            <w:r>
              <w:lastRenderedPageBreak/>
              <w:t>Confirm that all results were reviewed and are acceptable.</w:t>
            </w:r>
          </w:p>
          <w:p w:rsidR="002A21AE" w:rsidRDefault="002A21AE">
            <w:pPr>
              <w:pStyle w:val="TableTextNumbersContinued"/>
            </w:pPr>
          </w:p>
        </w:tc>
        <w:tc>
          <w:tcPr>
            <w:tcW w:w="6120" w:type="dxa"/>
          </w:tcPr>
          <w:p w:rsidR="002A21AE" w:rsidRDefault="002A21AE">
            <w:pPr>
              <w:pStyle w:val="TableTextBullet"/>
            </w:pPr>
            <w:r>
              <w:t>Repeats data validation and prompts the user to save.</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3280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95"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0" o:spid="_x0000_s1026" style="position:absolute;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ufqFQIAAC0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JxO&#10;5+o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lastRenderedPageBreak/>
              <w:t xml:space="preserve">BR_2.44 </w:t>
            </w:r>
            <w:r>
              <w:t xml:space="preserve">VBECS warns that it doesn’t save partially completed unit ABO/Rh confirmation worksheets. </w:t>
            </w:r>
          </w:p>
          <w:p w:rsidR="002A21AE" w:rsidRDefault="002A21AE">
            <w:pPr>
              <w:pStyle w:val="NotesText"/>
            </w:pPr>
          </w:p>
          <w:p w:rsidR="002A21AE" w:rsidRDefault="002A21AE">
            <w:pPr>
              <w:pStyle w:val="NotesText"/>
            </w:pPr>
            <w:r>
              <w:rPr>
                <w:rFonts w:cs="Arial"/>
                <w:vanish/>
              </w:rPr>
              <w:t xml:space="preserve">BR_2.21 </w:t>
            </w:r>
            <w:r w:rsidR="009965B7">
              <w:rPr>
                <w:rFonts w:ascii="Webdings" w:hAnsi="Webdings"/>
                <w:sz w:val="40"/>
                <w:szCs w:val="40"/>
              </w:rPr>
              <w:t></w:t>
            </w:r>
            <w:r w:rsidR="009965B7" w:rsidRPr="00D62E87">
              <w:rPr>
                <w:rFonts w:ascii="Webdings" w:hAnsi="Webdings"/>
              </w:rPr>
              <w:t></w:t>
            </w:r>
            <w:r w:rsidR="009965B7">
              <w:t>W</w:t>
            </w:r>
            <w:r>
              <w:t>hen VBECS verifies that the ABO or Rh interpretation is “Inconclusive,” it assigns the unit a “Quarantine” indicator, emits an audible alert, and captures details for inclusion in an Exception Report (exception type: ABO/Rh confirmation Inconclusiv</w:t>
            </w:r>
            <w:r w:rsidR="0038568C">
              <w:t>e, unit quarantined).</w:t>
            </w:r>
          </w:p>
          <w:p w:rsidR="002A21AE" w:rsidRDefault="002A21AE">
            <w:pPr>
              <w:pStyle w:val="NotesText"/>
            </w:pPr>
          </w:p>
          <w:p w:rsidR="002A21AE" w:rsidRDefault="002A21AE">
            <w:pPr>
              <w:pStyle w:val="NotesText"/>
            </w:pPr>
            <w:r>
              <w:rPr>
                <w:rFonts w:cs="Arial"/>
                <w:vanish/>
              </w:rPr>
              <w:t xml:space="preserve">BR_2.12 </w:t>
            </w:r>
            <w:r w:rsidR="00D91CEA">
              <w:t>Upon successful completion of ABO/Rh confirmation, the unit status is</w:t>
            </w:r>
            <w:r w:rsidR="001C17DF">
              <w:t xml:space="preserve"> updated</w:t>
            </w:r>
            <w:r w:rsidR="00D91CEA">
              <w:t>. Successful completion means that the ABO and Rh (if required) interpretation is consistent with recorded observed results and matches the ABO/Rh at unit login and any repeat ABO/Rh tests on the unit that are not invalidated.</w:t>
            </w:r>
          </w:p>
        </w:tc>
      </w:tr>
      <w:tr w:rsidR="00A751E4">
        <w:tblPrEx>
          <w:tblCellMar>
            <w:top w:w="0" w:type="dxa"/>
            <w:bottom w:w="0" w:type="dxa"/>
          </w:tblCellMar>
        </w:tblPrEx>
        <w:tc>
          <w:tcPr>
            <w:tcW w:w="3240" w:type="dxa"/>
          </w:tcPr>
          <w:p w:rsidR="00A751E4" w:rsidRDefault="00A751E4">
            <w:pPr>
              <w:pStyle w:val="TableTextNumbers"/>
            </w:pPr>
            <w:r>
              <w:lastRenderedPageBreak/>
              <w:t xml:space="preserve">Click </w:t>
            </w:r>
            <w:r w:rsidRPr="008C3BED">
              <w:rPr>
                <w:b/>
              </w:rPr>
              <w:t>OK</w:t>
            </w:r>
            <w:r>
              <w:t xml:space="preserve"> to save the ABO/Rh confirmation testing.</w:t>
            </w:r>
          </w:p>
        </w:tc>
        <w:tc>
          <w:tcPr>
            <w:tcW w:w="6120" w:type="dxa"/>
          </w:tcPr>
          <w:p w:rsidR="00A751E4" w:rsidRDefault="00A751E4" w:rsidP="00A751E4">
            <w:pPr>
              <w:pStyle w:val="TableTextBullet"/>
              <w:rPr>
                <w:b/>
                <w:bCs/>
                <w:szCs w:val="18"/>
              </w:rPr>
            </w:pPr>
            <w:r>
              <w:t>Prompts the user to confirm that all results were reviewed and are acceptable.</w:t>
            </w:r>
          </w:p>
        </w:tc>
      </w:tr>
      <w:tr w:rsidR="002A21AE">
        <w:tblPrEx>
          <w:tblCellMar>
            <w:top w:w="0" w:type="dxa"/>
            <w:bottom w:w="0" w:type="dxa"/>
          </w:tblCellMar>
        </w:tblPrEx>
        <w:tc>
          <w:tcPr>
            <w:tcW w:w="3240" w:type="dxa"/>
          </w:tcPr>
          <w:p w:rsidR="002A21AE" w:rsidRDefault="002A21AE">
            <w:pPr>
              <w:pStyle w:val="TableTextNumbers"/>
            </w:pPr>
            <w:r>
              <w:t xml:space="preserve">Click </w:t>
            </w:r>
            <w:r>
              <w:rPr>
                <w:b/>
              </w:rPr>
              <w:t>OK</w:t>
            </w:r>
            <w: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rsidR="002A21AE" w:rsidRDefault="002A21AE">
            <w:pPr>
              <w:pStyle w:val="TableText"/>
              <w:keepNext/>
              <w:rPr>
                <w:b/>
                <w:bCs/>
                <w:szCs w:val="18"/>
              </w:rPr>
            </w:pPr>
          </w:p>
        </w:tc>
      </w:tr>
    </w:tbl>
    <w:p w:rsidR="002A21AE" w:rsidRDefault="002A21AE">
      <w:pPr>
        <w:pStyle w:val="Heading3"/>
      </w:pPr>
      <w:bookmarkStart w:id="300" w:name="_Unit_Antigen_Typing"/>
      <w:bookmarkStart w:id="301" w:name="_Toc459900112"/>
      <w:bookmarkEnd w:id="295"/>
      <w:bookmarkEnd w:id="300"/>
      <w:r>
        <w:t>Unit Antigen Typing</w:t>
      </w:r>
      <w:bookmarkEnd w:id="301"/>
      <w:r w:rsidRPr="00796039">
        <w:rPr>
          <w:rFonts w:ascii="Arial Bold" w:hAnsi="Arial Bold"/>
          <w:vanish/>
        </w:rPr>
        <w:fldChar w:fldCharType="begin"/>
      </w:r>
      <w:r w:rsidRPr="00796039">
        <w:rPr>
          <w:rFonts w:ascii="Arial Bold" w:hAnsi="Arial Bold"/>
          <w:vanish/>
        </w:rPr>
        <w:instrText xml:space="preserve"> XE </w:instrText>
      </w:r>
      <w:r w:rsidR="00FA7E65" w:rsidRPr="00796039">
        <w:rPr>
          <w:rFonts w:ascii="Arial Bold" w:hAnsi="Arial Bold"/>
          <w:vanish/>
        </w:rPr>
        <w:instrText>“</w:instrText>
      </w:r>
      <w:r w:rsidRPr="00796039">
        <w:rPr>
          <w:rFonts w:ascii="Arial Bold" w:hAnsi="Arial Bold"/>
          <w:vanish/>
        </w:rPr>
        <w:instrText>Unit Antigen Typing</w:instrText>
      </w:r>
      <w:r w:rsidR="00FA7E65" w:rsidRPr="00796039">
        <w:rPr>
          <w:rFonts w:ascii="Arial Bold" w:hAnsi="Arial Bold"/>
          <w:vanish/>
        </w:rPr>
        <w:instrText>”</w:instrText>
      </w:r>
      <w:r w:rsidRPr="00796039">
        <w:rPr>
          <w:rFonts w:ascii="Arial Bold" w:hAnsi="Arial Bold"/>
          <w:vanish/>
        </w:rPr>
        <w:instrText xml:space="preserve"> </w:instrText>
      </w:r>
      <w:r w:rsidRPr="00796039">
        <w:rPr>
          <w:rFonts w:ascii="Arial Bold" w:hAnsi="Arial Bold"/>
          <w:vanish/>
        </w:rPr>
        <w:fldChar w:fldCharType="end"/>
      </w:r>
      <w:r w:rsidRPr="00796039">
        <w:rPr>
          <w:rFonts w:ascii="Arial Bold" w:hAnsi="Arial Bold"/>
          <w:vanish/>
        </w:rPr>
        <w:t xml:space="preserve"> UC_41 </w:t>
      </w:r>
    </w:p>
    <w:p w:rsidR="002A21AE" w:rsidRDefault="002A21AE" w:rsidP="00FA7E65">
      <w:pPr>
        <w:pStyle w:val="BodyText"/>
      </w:pPr>
      <w:bookmarkStart w:id="302" w:name="_Toc78171570"/>
      <w:r>
        <w:t>The user performs antigen typing for one or more of the antigens in a blood unit and records the results in a worklist.</w:t>
      </w:r>
    </w:p>
    <w:p w:rsidR="002A21AE" w:rsidRDefault="002A21AE">
      <w:pPr>
        <w:pStyle w:val="Heading4"/>
      </w:pPr>
      <w:r>
        <w:t>Assumptions</w:t>
      </w:r>
    </w:p>
    <w:p w:rsidR="002A21AE" w:rsidRDefault="002A21AE">
      <w:pPr>
        <w:pStyle w:val="ListBullet"/>
      </w:pPr>
      <w:r>
        <w:rPr>
          <w:rFonts w:ascii="Arial" w:hAnsi="Arial" w:cs="Arial"/>
          <w:vanish/>
          <w:spacing w:val="0"/>
          <w:sz w:val="18"/>
        </w:rPr>
        <w:t xml:space="preserve">BR_2.43 </w:t>
      </w:r>
      <w:r w:rsidR="00B540C0">
        <w:t>The division is “full service”.</w:t>
      </w:r>
    </w:p>
    <w:p w:rsidR="002A21AE" w:rsidRDefault="00A8101B">
      <w:pPr>
        <w:pStyle w:val="ListBullet"/>
      </w:pPr>
      <w:r>
        <w:t>The units</w:t>
      </w:r>
      <w:r w:rsidR="002A21AE">
        <w:t xml:space="preserve"> and the user are in the same division.</w:t>
      </w:r>
    </w:p>
    <w:p w:rsidR="002A21AE" w:rsidRDefault="002A21AE">
      <w:pPr>
        <w:pStyle w:val="ListBullet"/>
      </w:pPr>
      <w:r>
        <w:t>Antiserum inventory is entered during Log In Reagents.</w:t>
      </w:r>
    </w:p>
    <w:p w:rsidR="002A21AE" w:rsidRDefault="002A21AE">
      <w:pPr>
        <w:pStyle w:val="ListBullet"/>
      </w:pPr>
      <w:r>
        <w:t>Workload codes are assigned through Workload Codes.</w:t>
      </w:r>
    </w:p>
    <w:p w:rsidR="002A21AE" w:rsidRDefault="002A21AE">
      <w:pPr>
        <w:pStyle w:val="Heading4"/>
      </w:pPr>
      <w:r>
        <w:t>Outcome</w:t>
      </w:r>
    </w:p>
    <w:p w:rsidR="002A21AE" w:rsidRDefault="002A21AE">
      <w:pPr>
        <w:pStyle w:val="ListBullet"/>
      </w:pPr>
      <w:r>
        <w:t>Antigen typing was applied in the unit record for informational purposes in other options.</w:t>
      </w:r>
    </w:p>
    <w:p w:rsidR="002A21AE" w:rsidRDefault="002A21AE">
      <w:pPr>
        <w:pStyle w:val="ListBullet"/>
      </w:pPr>
      <w:r>
        <w:rPr>
          <w:rFonts w:ascii="Arial" w:hAnsi="Arial" w:cs="Arial"/>
          <w:vanish/>
          <w:spacing w:val="0"/>
          <w:sz w:val="18"/>
        </w:rPr>
        <w:t xml:space="preserve">BR_41.06 </w:t>
      </w:r>
      <w:r>
        <w:t>VBECS stores the lot number, vial identifier, manufacturer, and expiration date of the positive and negative control cells with the testing record.</w:t>
      </w:r>
    </w:p>
    <w:p w:rsidR="002A21AE" w:rsidRDefault="002A21AE">
      <w:pPr>
        <w:pStyle w:val="Heading4"/>
      </w:pPr>
      <w:r>
        <w:t>Limitations and Restrictions</w:t>
      </w:r>
    </w:p>
    <w:p w:rsidR="002A21AE" w:rsidRDefault="002A21AE">
      <w:pPr>
        <w:pStyle w:val="ListBullet"/>
      </w:pPr>
      <w:r>
        <w:t xml:space="preserve">Antigen typing applies only to blood products that contain red blood cells. This option does not address platelet, </w:t>
      </w:r>
      <w:r w:rsidR="007A6452">
        <w:t>histocompatibility locus antigens (</w:t>
      </w:r>
      <w:r>
        <w:t>HLA</w:t>
      </w:r>
      <w:r w:rsidR="00FF15AD">
        <w:t>s</w:t>
      </w:r>
      <w:r w:rsidR="007A6452">
        <w:t>)</w:t>
      </w:r>
      <w:r>
        <w:t xml:space="preserve">, or </w:t>
      </w:r>
      <w:r w:rsidR="007A6452">
        <w:t>Immunoglobulin A (</w:t>
      </w:r>
      <w:r>
        <w:t>IgA</w:t>
      </w:r>
      <w:r w:rsidR="007A6452">
        <w:t>)</w:t>
      </w:r>
      <w:r>
        <w:t xml:space="preserve"> antigenicity.</w:t>
      </w:r>
    </w:p>
    <w:p w:rsidR="002A21AE" w:rsidRDefault="002A21AE">
      <w:pPr>
        <w:pStyle w:val="ListBullet"/>
      </w:pPr>
      <w:r>
        <w:t>VBECS does not check whether the lot and vial numbers selected for the positive control cells differ from those of the negative control cells.</w:t>
      </w:r>
    </w:p>
    <w:p w:rsidR="00AC52D9" w:rsidRDefault="00FF15AD" w:rsidP="00AC52D9">
      <w:pPr>
        <w:pStyle w:val="ListBullet"/>
      </w:pPr>
      <w:r>
        <w:t>D antigen typing must not be combined in batch testing of Rh positive units.</w:t>
      </w:r>
    </w:p>
    <w:p w:rsidR="002A21AE" w:rsidRDefault="002A21AE">
      <w:pPr>
        <w:pStyle w:val="Heading4"/>
      </w:pPr>
      <w:r>
        <w:t>Additional Information</w:t>
      </w:r>
    </w:p>
    <w:p w:rsidR="00852AC1" w:rsidRPr="00852AC1" w:rsidRDefault="00852AC1" w:rsidP="009A6575">
      <w:pPr>
        <w:pStyle w:val="ListBullet"/>
      </w:pPr>
      <w:r w:rsidRPr="00852AC1">
        <w:rPr>
          <w:snapToGrid w:val="0"/>
          <w:vanish/>
        </w:rPr>
        <w:t>BR_41.32</w:t>
      </w:r>
      <w:r>
        <w:rPr>
          <w:snapToGrid w:val="0"/>
        </w:rPr>
        <w:t xml:space="preserve">This option is disabled for transfusion-only facilities. </w:t>
      </w:r>
    </w:p>
    <w:p w:rsidR="009A6575" w:rsidRDefault="009A6575" w:rsidP="009A6575">
      <w:pPr>
        <w:pStyle w:val="ListBullet"/>
      </w:pPr>
      <w:r>
        <w:t>Clinical significance and availability of typing reagents are not implied when antigens are included in the list of antigen type tests.</w:t>
      </w:r>
    </w:p>
    <w:p w:rsidR="002A21AE" w:rsidRDefault="002A21AE">
      <w:pPr>
        <w:pStyle w:val="ListBullet"/>
      </w:pPr>
      <w:r>
        <w:t xml:space="preserve">A CPRS patient order is not required to perform antigen typing of units. </w:t>
      </w:r>
    </w:p>
    <w:p w:rsidR="002A21AE" w:rsidRDefault="002A21AE">
      <w:pPr>
        <w:pStyle w:val="ListBullet"/>
      </w:pPr>
      <w:r>
        <w:t>A user may query the database for the presence of antigen-typed units and display or print the query results</w:t>
      </w:r>
      <w:r w:rsidR="006D5D06">
        <w:t xml:space="preserve"> in Blood Availability.</w:t>
      </w:r>
    </w:p>
    <w:p w:rsidR="002A21AE" w:rsidRDefault="002A21AE">
      <w:pPr>
        <w:pStyle w:val="ListBullet"/>
      </w:pPr>
      <w:r>
        <w:lastRenderedPageBreak/>
        <w:t>A user may retrieve evidence of antigen typing for any date or date range. Regulatory agencies require documentation of the reagent name, lot number, reagent expiration date, and positive and negative control.</w:t>
      </w:r>
    </w:p>
    <w:p w:rsidR="00AC52D9" w:rsidRDefault="00AC52D9">
      <w:pPr>
        <w:pStyle w:val="ListBullet"/>
      </w:pPr>
      <w:r>
        <w:t>A user is required to complete antigen typing QC in order to save test results. If an antigen testing worklist is started but not saved and a second testing worklist is started for the same antigen</w:t>
      </w:r>
      <w:r w:rsidR="00FE130E">
        <w:t>,</w:t>
      </w:r>
      <w:r>
        <w:t xml:space="preserve"> the QC grid will display and require completion because the first worklist has not been saved.</w:t>
      </w:r>
      <w:r>
        <w:rPr>
          <w:vanish/>
        </w:rPr>
        <w:t xml:space="preserve"> Task 1307</w:t>
      </w:r>
    </w:p>
    <w:p w:rsidR="002A21AE" w:rsidRDefault="002A21AE">
      <w:pPr>
        <w:pStyle w:val="Heading4"/>
      </w:pPr>
      <w:r>
        <w:t>User Roles with Access to This Option</w:t>
      </w:r>
    </w:p>
    <w:p w:rsidR="002A21AE" w:rsidRDefault="002B1D25">
      <w:pPr>
        <w:pStyle w:val="Roles"/>
        <w:rPr>
          <w:snapToGrid w:val="0"/>
        </w:rPr>
      </w:pPr>
      <w:r>
        <w:t>All users</w:t>
      </w:r>
    </w:p>
    <w:bookmarkEnd w:id="302"/>
    <w:p w:rsidR="002A21AE" w:rsidRDefault="002A21AE">
      <w:pPr>
        <w:pStyle w:val="Heading4"/>
      </w:pPr>
      <w:r>
        <w:t xml:space="preserve">Unit Antigen Typing </w:t>
      </w:r>
    </w:p>
    <w:p w:rsidR="002A21AE" w:rsidRDefault="002A21AE" w:rsidP="00FA7E65">
      <w:pPr>
        <w:pStyle w:val="BodyText"/>
      </w:pPr>
      <w:r>
        <w:t>The user performs antigen typing for one or more of the antigens on blood units. VBECS creates a list of available antigen specificities, including weak D, that can be tested. For each antigen tested, the user must select a reagent from available inventory. VBECS will check to see if valid positive and negative controls were tested for the selected reagent on the calendar day of testing. When controls are not tested, VBECS adds tests for the positive and negative controls to the worksheet.</w:t>
      </w:r>
    </w:p>
    <w:p w:rsidR="002A21AE" w:rsidRDefault="002A21AE" w:rsidP="00FA7E65">
      <w:pPr>
        <w:pStyle w:val="BodyText"/>
      </w:pPr>
      <w:r>
        <w:t>Red cell units prepared for patient transfusion may need to be negative for this antibody specificity based on their setting in the antibody table defined in Antibodies.</w:t>
      </w:r>
    </w:p>
    <w:p w:rsidR="00970274" w:rsidRDefault="00634BFC" w:rsidP="00970274">
      <w:pPr>
        <w:pStyle w:val="Caution"/>
      </w:pPr>
      <w:r>
        <w:rPr>
          <w:noProof/>
        </w:rPr>
        <w:drawing>
          <wp:inline distT="0" distB="0" distL="0" distR="0">
            <wp:extent cx="266700" cy="21907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970274">
        <w:t xml:space="preserve"> Deletion of a partially completed antigen typing worklist invalidates any completed tests contained on the worklist regardless of the status of the unit, including transfused units.</w:t>
      </w:r>
    </w:p>
    <w:p w:rsidR="00970274" w:rsidRPr="00D73AB9" w:rsidRDefault="00970274" w:rsidP="00970274">
      <w:pPr>
        <w:pStyle w:val="Caution"/>
        <w:rPr>
          <w:spacing w:val="-5"/>
        </w:rPr>
      </w:pPr>
      <w:r>
        <w:t>It is the user’s responsibility to verify that the records are being invalidated appropriately.</w:t>
      </w:r>
    </w:p>
    <w:p w:rsidR="00970274" w:rsidRDefault="00970274" w:rsidP="00FA7E65">
      <w:pPr>
        <w:pStyle w:val="BodyText"/>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tblHeader/>
        </w:trPr>
        <w:tc>
          <w:tcPr>
            <w:tcW w:w="3240" w:type="dxa"/>
            <w:shd w:val="pct30" w:color="auto" w:fill="FFFFFF"/>
            <w:vAlign w:val="bottom"/>
          </w:tcPr>
          <w:p w:rsidR="002A21AE" w:rsidRDefault="002A21AE">
            <w:pPr>
              <w:pStyle w:val="TableText"/>
              <w:rPr>
                <w:b/>
                <w:bCs/>
              </w:rPr>
            </w:pPr>
            <w:r>
              <w:rPr>
                <w:b/>
                <w:bCs/>
              </w:rPr>
              <w:t>User Action</w:t>
            </w:r>
          </w:p>
        </w:tc>
        <w:tc>
          <w:tcPr>
            <w:tcW w:w="6120" w:type="dxa"/>
            <w:shd w:val="pct30" w:color="auto" w:fill="FFFFFF"/>
            <w:vAlign w:val="bottom"/>
          </w:tcPr>
          <w:p w:rsidR="002A21AE" w:rsidRDefault="002A21AE">
            <w:pPr>
              <w:pStyle w:val="TableText"/>
              <w:rPr>
                <w:b/>
                <w:bCs/>
              </w:rPr>
            </w:pPr>
            <w:r>
              <w:rPr>
                <w:b/>
                <w:bCs/>
              </w:rPr>
              <w:t>VBECS</w:t>
            </w:r>
          </w:p>
        </w:tc>
      </w:tr>
      <w:tr w:rsidR="002A21AE">
        <w:tblPrEx>
          <w:tblCellMar>
            <w:top w:w="0" w:type="dxa"/>
            <w:bottom w:w="0" w:type="dxa"/>
          </w:tblCellMar>
        </w:tblPrEx>
        <w:tc>
          <w:tcPr>
            <w:tcW w:w="3240" w:type="dxa"/>
          </w:tcPr>
          <w:p w:rsidR="002A21AE" w:rsidRDefault="002A21AE">
            <w:pPr>
              <w:pStyle w:val="TableTextNumbers"/>
            </w:pPr>
            <w:r>
              <w:t xml:space="preserve">Select </w:t>
            </w:r>
            <w:r>
              <w:rPr>
                <w:b/>
              </w:rPr>
              <w:t>Blood Units</w:t>
            </w:r>
            <w:r>
              <w:t xml:space="preserve"> from the main menu. </w:t>
            </w:r>
          </w:p>
          <w:p w:rsidR="002A21AE" w:rsidRDefault="002A21AE">
            <w:pPr>
              <w:pStyle w:val="TableTextNumbersContinued"/>
            </w:pPr>
          </w:p>
          <w:p w:rsidR="002A21AE" w:rsidRDefault="002A21AE">
            <w:pPr>
              <w:pStyle w:val="TableTextNumbersContinued"/>
            </w:pPr>
            <w:r>
              <w:t xml:space="preserve">Select </w:t>
            </w:r>
            <w:r>
              <w:rPr>
                <w:b/>
              </w:rPr>
              <w:t>Unit Antigen Typing</w:t>
            </w:r>
            <w:r>
              <w:t>.</w:t>
            </w:r>
          </w:p>
        </w:tc>
        <w:tc>
          <w:tcPr>
            <w:tcW w:w="6120" w:type="dxa"/>
          </w:tcPr>
          <w:p w:rsidR="002A21AE" w:rsidRDefault="002A21AE">
            <w:pPr>
              <w:pStyle w:val="TableTextBullet"/>
            </w:pPr>
            <w:r>
              <w:t>Displays options for processing blood units.</w:t>
            </w:r>
          </w:p>
          <w:p w:rsidR="002A21AE" w:rsidRDefault="002A21AE">
            <w:pPr>
              <w:pStyle w:val="TableTextBullet"/>
            </w:pPr>
            <w:r>
              <w:t>Displays options for processing antisera.</w:t>
            </w:r>
          </w:p>
        </w:tc>
      </w:tr>
      <w:tr w:rsidR="002A21AE">
        <w:tblPrEx>
          <w:tblCellMar>
            <w:top w:w="0" w:type="dxa"/>
            <w:bottom w:w="0" w:type="dxa"/>
          </w:tblCellMar>
        </w:tblPrEx>
        <w:tc>
          <w:tcPr>
            <w:tcW w:w="3240" w:type="dxa"/>
          </w:tcPr>
          <w:p w:rsidR="002A21AE" w:rsidRDefault="002A21AE">
            <w:pPr>
              <w:pStyle w:val="TableTextNumbers"/>
            </w:pPr>
            <w:r>
              <w:t xml:space="preserve">Click </w:t>
            </w:r>
            <w:r>
              <w:rPr>
                <w:b/>
              </w:rPr>
              <w:t>Create New Worklist</w:t>
            </w:r>
            <w:r>
              <w:t>.</w:t>
            </w:r>
          </w:p>
          <w:p w:rsidR="002A21AE" w:rsidRDefault="002A21AE">
            <w:pPr>
              <w:pStyle w:val="TableTextNumbersContinued"/>
            </w:pPr>
          </w:p>
          <w:p w:rsidR="002A21AE" w:rsidRDefault="002A21AE">
            <w:pPr>
              <w:pStyle w:val="TableTextNumbersContinued"/>
            </w:pPr>
            <w:r>
              <w:t xml:space="preserve">When partially completed worklists exist, click a check box to select an existing worklist and go to Step 5. </w:t>
            </w:r>
          </w:p>
          <w:p w:rsidR="002A21AE" w:rsidRDefault="002A21AE">
            <w:pPr>
              <w:pStyle w:val="TableTextNumbersContinued"/>
            </w:pPr>
          </w:p>
          <w:p w:rsidR="002A21AE" w:rsidRDefault="002A21AE">
            <w:pPr>
              <w:pStyle w:val="TableTextNumbersContinued"/>
            </w:pPr>
            <w:r>
              <w:t xml:space="preserve">Click </w:t>
            </w:r>
            <w:r>
              <w:rPr>
                <w:b/>
              </w:rPr>
              <w:t>Delete</w:t>
            </w:r>
            <w:r>
              <w:t xml:space="preserve"> to delete the worklist from the list or </w:t>
            </w:r>
            <w:r>
              <w:rPr>
                <w:b/>
              </w:rPr>
              <w:t>OK</w:t>
            </w:r>
            <w:r>
              <w:t xml:space="preserve"> to continue.</w:t>
            </w:r>
          </w:p>
          <w:p w:rsidR="002A21AE" w:rsidRDefault="002A21AE">
            <w:pPr>
              <w:pStyle w:val="TableTextNumbersContinued"/>
              <w:rPr>
                <w:b/>
                <w:bCs/>
              </w:rPr>
            </w:pPr>
          </w:p>
          <w:p w:rsidR="002A21AE" w:rsidRDefault="002A21AE"/>
        </w:tc>
        <w:tc>
          <w:tcPr>
            <w:tcW w:w="6120" w:type="dxa"/>
          </w:tcPr>
          <w:p w:rsidR="002A21AE" w:rsidRDefault="002A21AE">
            <w:pPr>
              <w:pStyle w:val="TableTextBullet"/>
            </w:pPr>
            <w:r>
              <w:t>Accommodates selection of a partially completed testing worklist or creation of a new testing worklist.</w:t>
            </w:r>
          </w:p>
          <w:p w:rsidR="002A21AE" w:rsidRDefault="002A21AE">
            <w:pPr>
              <w:pStyle w:val="TableTextBullet"/>
            </w:pPr>
            <w:r>
              <w:t>Displays an option to select or delete a partially completed worksheet.</w:t>
            </w:r>
          </w:p>
          <w:p w:rsidR="002A21AE" w:rsidRDefault="002A21AE">
            <w:pPr>
              <w:pStyle w:val="TableTextBullet"/>
            </w:pPr>
            <w:r>
              <w:rPr>
                <w:rFonts w:cs="Arial"/>
                <w:vanish/>
              </w:rPr>
              <w:t xml:space="preserve">BR_41.15 </w:t>
            </w:r>
            <w:r>
              <w:t>When selecting a partially completed worklist, the user verifies the lot numbers, manufacturer name, and expiration date of the antiserum and control cells previously selected. These may not be edited. When a discrepancy is found, the user must delete the worklist and start over.</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3792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94" name="Lin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0" o:spid="_x0000_s1026" style="position:absolute;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RSZFgIAAC0EAAAOAAAAZHJzL2Uyb0RvYy54bWysU8GO2jAQvVfqP1i+QxI2Sy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Ag&#10;lRSZFgIAAC0EAAAOAAAAAAAAAAAAAAAAAC4CAABkcnMvZTJvRG9jLnhtbFBLAQItABQABgAIAAAA&#10;IQAXTzAS2wAAAAgBAAAPAAAAAAAAAAAAAAAAAHAEAABkcnMvZG93bnJldi54bWxQSwUGAAAAAAQA&#10;BADzAAAAeAU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t>VBECS displays the date and time the testing was performed (default: current date and time). These are editable to allow for retrospective entry.</w:t>
            </w:r>
          </w:p>
          <w:p w:rsidR="002A21AE" w:rsidRDefault="002A21AE">
            <w:pPr>
              <w:pStyle w:val="NotesText"/>
            </w:pPr>
          </w:p>
          <w:p w:rsidR="002A21AE" w:rsidRDefault="002A21AE">
            <w:pPr>
              <w:pStyle w:val="NotesText"/>
            </w:pPr>
            <w:r>
              <w:t>VBECS displays the testing technologist ID (default: current user). A pick list of valid division users is available for the user’s selection.</w:t>
            </w:r>
          </w:p>
          <w:p w:rsidR="002A21AE" w:rsidRDefault="002A21AE">
            <w:pPr>
              <w:pStyle w:val="NotesText"/>
              <w:ind w:left="0"/>
            </w:pPr>
          </w:p>
          <w:p w:rsidR="002A21AE" w:rsidRDefault="002A21AE">
            <w:pPr>
              <w:pStyle w:val="NotesText"/>
            </w:pPr>
            <w:r>
              <w:rPr>
                <w:rFonts w:cs="Arial"/>
                <w:vanish/>
              </w:rPr>
              <w:t xml:space="preserve">BR_56.14 </w:t>
            </w:r>
            <w:r>
              <w:t>When an automated instrument was used for testing, the user enters the name of the instrument and may indicate that successful quality control testing was done for the date.</w:t>
            </w:r>
          </w:p>
        </w:tc>
      </w:tr>
      <w:tr w:rsidR="002A21AE">
        <w:tblPrEx>
          <w:tblCellMar>
            <w:top w:w="0" w:type="dxa"/>
            <w:bottom w:w="0" w:type="dxa"/>
          </w:tblCellMar>
        </w:tblPrEx>
        <w:tc>
          <w:tcPr>
            <w:tcW w:w="3240" w:type="dxa"/>
          </w:tcPr>
          <w:p w:rsidR="002A21AE" w:rsidRDefault="002A21AE">
            <w:pPr>
              <w:pStyle w:val="TableTextNumbers"/>
            </w:pPr>
            <w:r>
              <w:lastRenderedPageBreak/>
              <w:t>To create a new testing worklist, select a date or accept the default.</w:t>
            </w:r>
          </w:p>
          <w:p w:rsidR="002A21AE" w:rsidRDefault="002A21AE">
            <w:pPr>
              <w:pStyle w:val="TableTextNumbersContinued"/>
            </w:pPr>
          </w:p>
          <w:p w:rsidR="002A21AE" w:rsidRDefault="002A21AE">
            <w:pPr>
              <w:pStyle w:val="TableTextNumbersContinued"/>
            </w:pPr>
            <w:r>
              <w:t>Select a “Tested By” name.</w:t>
            </w:r>
          </w:p>
          <w:p w:rsidR="002A21AE" w:rsidRDefault="002A21AE">
            <w:pPr>
              <w:pStyle w:val="TableTextNumbersContinued"/>
            </w:pPr>
          </w:p>
          <w:p w:rsidR="002A21AE" w:rsidRDefault="002A21AE">
            <w:pPr>
              <w:pStyle w:val="TableTextNumbersContinued"/>
            </w:pPr>
            <w:r>
              <w:t>Click a radio button to select Tube, Gel, or Solid Phase.</w:t>
            </w:r>
          </w:p>
          <w:p w:rsidR="002A21AE" w:rsidRDefault="002A21AE">
            <w:pPr>
              <w:pStyle w:val="TableTextNumbersContinued"/>
            </w:pPr>
          </w:p>
          <w:p w:rsidR="002A21AE" w:rsidRDefault="002A21AE">
            <w:pPr>
              <w:pStyle w:val="TableTextNumbersContinued"/>
            </w:pPr>
            <w:r>
              <w:t xml:space="preserve">Click </w:t>
            </w:r>
            <w:r>
              <w:rPr>
                <w:b/>
              </w:rPr>
              <w:t>Using Automated Instrument</w:t>
            </w:r>
            <w:r>
              <w:t xml:space="preserve">, as appropriate. </w:t>
            </w:r>
          </w:p>
          <w:p w:rsidR="002A21AE" w:rsidRDefault="002A21AE">
            <w:pPr>
              <w:pStyle w:val="TableTextNumbersContinued"/>
            </w:pPr>
          </w:p>
          <w:p w:rsidR="002A21AE" w:rsidRDefault="002A21AE">
            <w:pPr>
              <w:pStyle w:val="TableTextNumbersContinued"/>
            </w:pPr>
            <w:r>
              <w:t xml:space="preserve">Click </w:t>
            </w:r>
            <w:r>
              <w:rPr>
                <w:b/>
              </w:rPr>
              <w:t>OK</w:t>
            </w:r>
            <w:r>
              <w:t>.</w:t>
            </w:r>
          </w:p>
          <w:p w:rsidR="002A21AE" w:rsidRDefault="002A21AE">
            <w:pPr>
              <w:pStyle w:val="TableTextNumbersContinued"/>
            </w:pPr>
          </w:p>
        </w:tc>
        <w:tc>
          <w:tcPr>
            <w:tcW w:w="6120" w:type="dxa"/>
          </w:tcPr>
          <w:p w:rsidR="002A21AE" w:rsidRDefault="002A21AE">
            <w:pPr>
              <w:pStyle w:val="TableTextBullet"/>
            </w:pPr>
            <w:r>
              <w:t xml:space="preserve">Displays an option to select antiserum types. </w:t>
            </w:r>
          </w:p>
          <w:p w:rsidR="002A21AE" w:rsidRDefault="002A21AE">
            <w:pPr>
              <w:pStyle w:val="TableTextBullet"/>
            </w:pPr>
            <w:r>
              <w:t xml:space="preserve">Displays an option to select a lot number for each antiserum type selected. </w:t>
            </w:r>
          </w:p>
          <w:p w:rsidR="002A21AE" w:rsidRDefault="002A21AE">
            <w:pPr>
              <w:pStyle w:val="TableTextBullet"/>
            </w:pPr>
            <w:r>
              <w:t>Displays the lot number information.</w:t>
            </w:r>
          </w:p>
          <w:p w:rsidR="002A21AE" w:rsidRDefault="002A21AE">
            <w:pPr>
              <w:pStyle w:val="TableTextBullet"/>
            </w:pPr>
            <w:r>
              <w:t>Prompts the user to select the correct antiserum entry for the specificity selected.</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3894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93" name="Lin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1" o:spid="_x0000_s1026" style="position:absolute;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CZ&#10;0KcpFgIAAC0EAAAOAAAAAAAAAAAAAAAAAC4CAABkcnMvZTJvRG9jLnhtbFBLAQItABQABgAIAAAA&#10;IQAXTzAS2wAAAAgBAAAPAAAAAAAAAAAAAAAAAHAEAABkcnMvZG93bnJldi54bWxQSwUGAAAAAAQA&#10;BADzAAAAeAU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BR_41.01 </w:t>
            </w:r>
            <w:r>
              <w:t xml:space="preserve">VBECS lists available antigen type tests from which the user may select and allows the user to enter the specificity to expedite the search. The list of antigen type tests is derived from the Corresponding Antigens field from </w:t>
            </w:r>
            <w:r w:rsidR="00543DAF">
              <w:fldChar w:fldCharType="begin"/>
            </w:r>
            <w:r w:rsidR="00543DAF">
              <w:instrText xml:space="preserve"> REF _Ref170004931 \h </w:instrText>
            </w:r>
            <w:r w:rsidR="00543DAF">
              <w:fldChar w:fldCharType="separate"/>
            </w:r>
            <w:r w:rsidR="005F38BC">
              <w:t xml:space="preserve">Appendix </w:t>
            </w:r>
            <w:r w:rsidR="005F38BC">
              <w:rPr>
                <w:noProof/>
              </w:rPr>
              <w:t>B</w:t>
            </w:r>
            <w:r w:rsidR="00543DAF">
              <w:fldChar w:fldCharType="end"/>
            </w:r>
            <w:r>
              <w:t>:</w:t>
            </w:r>
            <w:r w:rsidR="0059553A">
              <w:t xml:space="preserve"> </w:t>
            </w:r>
            <w:r w:rsidR="00771DBD">
              <w:fldChar w:fldCharType="begin"/>
            </w:r>
            <w:r w:rsidR="00771DBD">
              <w:instrText xml:space="preserve"> REF _Ref126484449 \h </w:instrText>
            </w:r>
            <w:r w:rsidR="00771DBD">
              <w:fldChar w:fldCharType="separate"/>
            </w:r>
            <w:r w:rsidR="005F38BC">
              <w:t xml:space="preserve">Table </w:t>
            </w:r>
            <w:r w:rsidR="005F38BC">
              <w:rPr>
                <w:noProof/>
              </w:rPr>
              <w:t>14</w:t>
            </w:r>
            <w:r w:rsidR="005F38BC">
              <w:t xml:space="preserve">: </w:t>
            </w:r>
            <w:r w:rsidR="005F38BC">
              <w:rPr>
                <w:vanish/>
              </w:rPr>
              <w:t xml:space="preserve">TT_23.01A </w:t>
            </w:r>
            <w:r w:rsidR="005F38BC">
              <w:t>Antibody and Antigen Table: Irregular Antibodies</w:t>
            </w:r>
            <w:r w:rsidR="00771DBD">
              <w:fldChar w:fldCharType="end"/>
            </w:r>
            <w:r>
              <w:t xml:space="preserve">. </w:t>
            </w:r>
          </w:p>
          <w:p w:rsidR="002A21AE" w:rsidRDefault="002A21AE">
            <w:pPr>
              <w:pStyle w:val="NotesText"/>
            </w:pPr>
          </w:p>
          <w:p w:rsidR="002A21AE" w:rsidRDefault="002A21AE">
            <w:pPr>
              <w:pStyle w:val="NotesText"/>
            </w:pPr>
            <w:r>
              <w:rPr>
                <w:rFonts w:cs="Arial"/>
                <w:vanish/>
              </w:rPr>
              <w:t xml:space="preserve">BR_41.04 </w:t>
            </w:r>
            <w:r w:rsidR="009965B7" w:rsidRPr="00896F17">
              <w:rPr>
                <w:rStyle w:val="BullhornChar"/>
              </w:rPr>
              <w:t></w:t>
            </w:r>
            <w:r w:rsidR="009965B7" w:rsidRPr="00D62E87">
              <w:rPr>
                <w:rFonts w:ascii="Webdings" w:hAnsi="Webdings"/>
              </w:rPr>
              <w:t></w:t>
            </w:r>
            <w:r w:rsidR="009965B7" w:rsidRPr="00D62E87">
              <w:t>V</w:t>
            </w:r>
            <w:r>
              <w:t>BECS displays data fields for the user to select or enter the lot number, and displays the manufacturer and expiration date of each antiserum to be used in this transaction to allow the user to choose the correct antiserum. VBECS displays in-date antisera and allows the selection of outdated antisera, if needed, emits an audible alert, and requires an override and generation of an Exception Report (exception type: expired antisera used). A comment is required.</w:t>
            </w:r>
          </w:p>
          <w:p w:rsidR="002A21AE" w:rsidRDefault="002A21AE">
            <w:pPr>
              <w:pStyle w:val="NotesText"/>
            </w:pPr>
          </w:p>
          <w:p w:rsidR="002A21AE" w:rsidRDefault="002A21AE">
            <w:pPr>
              <w:pStyle w:val="NotesText"/>
            </w:pPr>
            <w:r>
              <w:rPr>
                <w:rFonts w:cs="Arial"/>
                <w:vanish/>
              </w:rPr>
              <w:t xml:space="preserve">BR_41.26 </w:t>
            </w:r>
            <w:r w:rsidR="00263B24" w:rsidRPr="00896F17">
              <w:rPr>
                <w:rStyle w:val="BullhornChar"/>
              </w:rPr>
              <w:t></w:t>
            </w:r>
            <w:r w:rsidR="00263B24">
              <w:rPr>
                <w:rFonts w:ascii="Webdings" w:hAnsi="Webdings"/>
              </w:rPr>
              <w:t></w:t>
            </w:r>
            <w:r w:rsidR="00263B24">
              <w:t>W</w:t>
            </w:r>
            <w:r>
              <w:t>hen a user attempts to change the phases of reactivity, VBECS emits an audible alert, warns that the user selected phases that were not used previously for this reagent, and asks whether the user wishes to continue.</w:t>
            </w:r>
          </w:p>
          <w:p w:rsidR="002A21AE" w:rsidRDefault="002A21AE">
            <w:pPr>
              <w:pStyle w:val="NotesText"/>
            </w:pPr>
          </w:p>
          <w:p w:rsidR="002A21AE" w:rsidRDefault="002A21AE">
            <w:pPr>
              <w:pStyle w:val="NotesText"/>
            </w:pPr>
            <w:r>
              <w:rPr>
                <w:b/>
              </w:rPr>
              <w:t>No</w:t>
            </w:r>
            <w:r>
              <w:t xml:space="preserve"> returns the user to the screen to select the correct testing phases. </w:t>
            </w:r>
            <w:r>
              <w:rPr>
                <w:b/>
              </w:rPr>
              <w:t>Yes</w:t>
            </w:r>
            <w:r>
              <w:t xml:space="preserve"> requires the user to enter a comment explaining why different testing phases are selected, and captures details for inclusion in an Exception Report (exception type: antigen testing phase change).</w:t>
            </w:r>
          </w:p>
          <w:p w:rsidR="002A21AE" w:rsidRDefault="002A21AE">
            <w:pPr>
              <w:pStyle w:val="NotesText"/>
            </w:pPr>
          </w:p>
          <w:p w:rsidR="00722DBF" w:rsidRDefault="00722DBF" w:rsidP="00722DBF">
            <w:pPr>
              <w:pStyle w:val="NotesText"/>
            </w:pPr>
            <w:r>
              <w:rPr>
                <w:snapToGrid w:val="0"/>
                <w:vanish/>
              </w:rPr>
              <w:t xml:space="preserve">BR_41.30 </w:t>
            </w:r>
            <w:r>
              <w:t>When a user selects a reagent rack for which quality control (QC) testing was never performed in Enter Daily QC Results, VBECS displays a warning message, clears the selection, and allows the user to select a different rack.</w:t>
            </w:r>
            <w:r w:rsidR="000371B2">
              <w:rPr>
                <w:vanish/>
              </w:rPr>
              <w:t xml:space="preserve"> DR 3945</w:t>
            </w:r>
          </w:p>
          <w:p w:rsidR="00722DBF" w:rsidRDefault="00722DBF">
            <w:pPr>
              <w:pStyle w:val="NotesText"/>
              <w:rPr>
                <w:rFonts w:cs="Arial"/>
                <w:vanish/>
              </w:rPr>
            </w:pPr>
          </w:p>
          <w:p w:rsidR="002A21AE" w:rsidRDefault="002A21AE">
            <w:pPr>
              <w:pStyle w:val="NotesText"/>
            </w:pPr>
            <w:r>
              <w:rPr>
                <w:rFonts w:cs="Arial"/>
                <w:vanish/>
              </w:rPr>
              <w:t xml:space="preserve">BR_41.27 </w:t>
            </w:r>
            <w:r>
              <w:t>When the user QC’d the antigen typing reagent lot number and performed patient antigen typing on the same date under different testing phases, VBECS enables the QC grid for the antisera in the phases the user selected.</w:t>
            </w:r>
          </w:p>
        </w:tc>
      </w:tr>
      <w:tr w:rsidR="002A21AE">
        <w:tblPrEx>
          <w:tblCellMar>
            <w:top w:w="0" w:type="dxa"/>
            <w:bottom w:w="0" w:type="dxa"/>
          </w:tblCellMar>
        </w:tblPrEx>
        <w:tc>
          <w:tcPr>
            <w:tcW w:w="3240" w:type="dxa"/>
          </w:tcPr>
          <w:p w:rsidR="002A21AE" w:rsidRDefault="002A21AE">
            <w:pPr>
              <w:pStyle w:val="TableTextNumbers"/>
            </w:pPr>
            <w:r>
              <w:t xml:space="preserve">Define the antiserum used. </w:t>
            </w:r>
          </w:p>
          <w:p w:rsidR="002A21AE" w:rsidRDefault="002A21AE">
            <w:pPr>
              <w:pStyle w:val="TableTextNumbersContinued"/>
            </w:pPr>
          </w:p>
          <w:p w:rsidR="002A21AE" w:rsidRDefault="002A21AE">
            <w:pPr>
              <w:pStyle w:val="TableTextNumbersContinued"/>
            </w:pPr>
            <w:r>
              <w:t>Enter a lot number for each antiserum specificity.</w:t>
            </w:r>
          </w:p>
          <w:p w:rsidR="002A21AE" w:rsidRDefault="002A21AE">
            <w:pPr>
              <w:pStyle w:val="TableTextNumbersContinued"/>
            </w:pPr>
          </w:p>
          <w:p w:rsidR="002A21AE" w:rsidRDefault="002A21AE">
            <w:pPr>
              <w:pStyle w:val="TableTextNumbersContinued"/>
            </w:pPr>
            <w:r>
              <w:t>Select the testing phase:</w:t>
            </w:r>
          </w:p>
          <w:p w:rsidR="002A21AE" w:rsidRDefault="002A21AE">
            <w:pPr>
              <w:pStyle w:val="TableTextNumbersBullet"/>
            </w:pPr>
            <w:r>
              <w:t>IS</w:t>
            </w:r>
          </w:p>
          <w:p w:rsidR="002A21AE" w:rsidRDefault="002A21AE">
            <w:pPr>
              <w:pStyle w:val="TableTextNumbersBullet"/>
            </w:pPr>
            <w:r>
              <w:t>IS/RT</w:t>
            </w:r>
          </w:p>
          <w:p w:rsidR="002A21AE" w:rsidRDefault="002A21AE">
            <w:pPr>
              <w:pStyle w:val="TableTextNumbersBullet"/>
            </w:pPr>
            <w:r>
              <w:t>IS/37</w:t>
            </w:r>
          </w:p>
          <w:p w:rsidR="002A21AE" w:rsidRDefault="002A21AE">
            <w:pPr>
              <w:pStyle w:val="TableTextNumbersBullet"/>
            </w:pPr>
            <w:r>
              <w:t>AHG/CC.</w:t>
            </w:r>
            <w:r>
              <w:br/>
            </w:r>
          </w:p>
          <w:p w:rsidR="002A21AE" w:rsidRDefault="002A21AE">
            <w:pPr>
              <w:pStyle w:val="TableTextNumbersContinued"/>
            </w:pPr>
            <w:r>
              <w:t>Select the rack, if applicable.</w:t>
            </w:r>
            <w:r>
              <w:br/>
            </w:r>
          </w:p>
          <w:p w:rsidR="002A21AE" w:rsidRDefault="002A21AE">
            <w:pPr>
              <w:pStyle w:val="TableTextNumbersContinued"/>
            </w:pPr>
            <w:r>
              <w:lastRenderedPageBreak/>
              <w:t xml:space="preserve">Select </w:t>
            </w:r>
            <w:r>
              <w:rPr>
                <w:b/>
              </w:rPr>
              <w:t>Add</w:t>
            </w:r>
            <w:r>
              <w:t xml:space="preserve">. </w:t>
            </w:r>
          </w:p>
          <w:p w:rsidR="002A21AE" w:rsidRDefault="002A21AE">
            <w:pPr>
              <w:pStyle w:val="TableTextNumbersContinued"/>
            </w:pPr>
          </w:p>
          <w:p w:rsidR="002A21AE" w:rsidRDefault="002A21AE">
            <w:pPr>
              <w:pStyle w:val="TableTextNumbersContinued"/>
            </w:pPr>
            <w:r>
              <w:t>Select additional antisera, if desired.</w:t>
            </w:r>
          </w:p>
          <w:p w:rsidR="002A21AE" w:rsidRDefault="002A21AE">
            <w:pPr>
              <w:pStyle w:val="TableTextNumbersContinued"/>
            </w:pPr>
          </w:p>
          <w:p w:rsidR="002A21AE" w:rsidRDefault="002A21AE">
            <w:pPr>
              <w:pStyle w:val="TableTextNumbersContinued"/>
            </w:pPr>
            <w:r>
              <w:t>Respond to warnings and enter comments, when indicated.</w:t>
            </w:r>
            <w:r>
              <w:br/>
            </w:r>
          </w:p>
          <w:p w:rsidR="002A21AE" w:rsidRDefault="002A21AE">
            <w:pPr>
              <w:pStyle w:val="TableTextNumbersContinued"/>
              <w:rPr>
                <w:b/>
                <w:bCs/>
              </w:rPr>
            </w:pPr>
            <w:r>
              <w:t xml:space="preserve">Select </w:t>
            </w:r>
            <w:r>
              <w:rPr>
                <w:b/>
              </w:rPr>
              <w:t>OK</w:t>
            </w:r>
            <w:r w:rsidR="00030E55" w:rsidRPr="00030E55">
              <w:t xml:space="preserve"> (</w:t>
            </w:r>
            <w:r w:rsidR="00030E55">
              <w:fldChar w:fldCharType="begin"/>
            </w:r>
            <w:r w:rsidR="00030E55">
              <w:instrText xml:space="preserve"> REF _Ref126648704 \h </w:instrText>
            </w:r>
            <w:r w:rsidR="00030E55">
              <w:fldChar w:fldCharType="separate"/>
            </w:r>
            <w:r w:rsidR="005F38BC">
              <w:t xml:space="preserve">Figure </w:t>
            </w:r>
            <w:r w:rsidR="005F38BC">
              <w:rPr>
                <w:noProof/>
              </w:rPr>
              <w:t>82</w:t>
            </w:r>
            <w:r w:rsidR="00030E55">
              <w:fldChar w:fldCharType="end"/>
            </w:r>
            <w:r w:rsidR="00030E55" w:rsidRPr="00030E55">
              <w:t>)</w:t>
            </w:r>
            <w:r>
              <w:t>.</w:t>
            </w:r>
          </w:p>
        </w:tc>
        <w:tc>
          <w:tcPr>
            <w:tcW w:w="6120" w:type="dxa"/>
          </w:tcPr>
          <w:p w:rsidR="002A21AE" w:rsidRDefault="002A21AE">
            <w:pPr>
              <w:pStyle w:val="TableTextBullet"/>
            </w:pPr>
            <w:r>
              <w:lastRenderedPageBreak/>
              <w:t xml:space="preserve">Displays an option to select the testing phases for the antiserum specificity by lot number. </w:t>
            </w:r>
          </w:p>
          <w:p w:rsidR="002A21AE" w:rsidRDefault="002A21AE">
            <w:pPr>
              <w:pStyle w:val="TableTextBullet"/>
            </w:pPr>
            <w:r>
              <w:t>Displays a testing grid disabling the phases not to be entered.</w:t>
            </w:r>
          </w:p>
          <w:p w:rsidR="002A21AE" w:rsidRDefault="002A21AE">
            <w:pPr>
              <w:pStyle w:val="TableTextBullet"/>
            </w:pPr>
            <w:r>
              <w:t>Stores the antiserum information and checks whether the positive and negative controls need to be tested with this batch.</w:t>
            </w:r>
          </w:p>
          <w:p w:rsidR="002A21AE" w:rsidRDefault="002A21AE">
            <w:pPr>
              <w:pStyle w:val="TableTextBullet"/>
            </w:pPr>
            <w:r>
              <w:t>Prompts the user to enter the lot number and vial identifier for the positive and negative control used for each antiserum tested.</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3996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92" name="Lin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2" o:spid="_x0000_s1026" style="position:absolute;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HJrFQIAAC0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I+k&#10;cms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BR_28.23 </w:t>
            </w:r>
            <w:r>
              <w:t xml:space="preserve">When VBECS displays lot numbers for selection, it checks the inventory system for the reagent name and lot numbers in a rack. The user cannot force the entry of a lot number that </w:t>
            </w:r>
            <w:r>
              <w:lastRenderedPageBreak/>
              <w:t>VBECS disallowed on the selection list. The user must choose a different reagent. The user may not select a reagent with an “unsatisfactory” value in the Inspection field or with a quantity of zero.</w:t>
            </w:r>
          </w:p>
          <w:p w:rsidR="008C5A8F" w:rsidRDefault="008C5A8F">
            <w:pPr>
              <w:pStyle w:val="NotesText"/>
            </w:pPr>
          </w:p>
          <w:p w:rsidR="008C5A8F" w:rsidRDefault="008C5A8F" w:rsidP="008C5A8F">
            <w:pPr>
              <w:pStyle w:val="NotesText"/>
            </w:pPr>
            <w:r>
              <w:rPr>
                <w:rFonts w:cs="Arial"/>
                <w:vanish/>
              </w:rPr>
              <w:t xml:space="preserve">BR_28.24 </w:t>
            </w:r>
            <w:r w:rsidRPr="00896F17">
              <w:rPr>
                <w:rStyle w:val="BullhornChar"/>
              </w:rPr>
              <w:t></w:t>
            </w:r>
            <w:r w:rsidRPr="00D62E87">
              <w:rPr>
                <w:rFonts w:ascii="Webdings" w:hAnsi="Webdings"/>
              </w:rPr>
              <w:t></w:t>
            </w:r>
            <w:r w:rsidRPr="00D62E87">
              <w:t>V</w:t>
            </w:r>
            <w:r>
              <w:t>BECS compares the expiration date of each reagent on the selected rack to the testing date, emits an audible alert, and warns when the reagent is expired.</w:t>
            </w:r>
          </w:p>
          <w:p w:rsidR="002A21AE" w:rsidRDefault="002A21AE">
            <w:pPr>
              <w:pStyle w:val="NotesText"/>
            </w:pPr>
          </w:p>
          <w:p w:rsidR="002A21AE" w:rsidRDefault="002A21AE">
            <w:pPr>
              <w:pStyle w:val="NotesText"/>
            </w:pPr>
            <w:r>
              <w:rPr>
                <w:rFonts w:cs="Arial"/>
                <w:vanish/>
              </w:rPr>
              <w:t xml:space="preserve">BR_41.02 </w:t>
            </w:r>
            <w:r>
              <w:t xml:space="preserve">VBECS enables the rack identifier field when a user selects the weak D or AHG/CC phase and disables the field when a user selects other phases. </w:t>
            </w:r>
          </w:p>
          <w:p w:rsidR="002A21AE" w:rsidRDefault="002A21AE">
            <w:pPr>
              <w:pStyle w:val="NotesText"/>
            </w:pPr>
          </w:p>
          <w:p w:rsidR="002A21AE" w:rsidRPr="00D452FC" w:rsidRDefault="002A21AE">
            <w:pPr>
              <w:pStyle w:val="NotesText"/>
              <w:rPr>
                <w:vanish/>
              </w:rPr>
            </w:pPr>
            <w:r>
              <w:rPr>
                <w:rFonts w:cs="Arial"/>
                <w:vanish/>
              </w:rPr>
              <w:t xml:space="preserve">BR_41.03 </w:t>
            </w:r>
            <w:r w:rsidR="004F2D49">
              <w:t>VBECS automatically adds the positive and negative control tests to the selected reagent type worklist if they have not been tested on that calendar date for the selected antisera lot number</w:t>
            </w:r>
            <w:r>
              <w:t>.</w:t>
            </w:r>
            <w:r w:rsidR="00D452FC">
              <w:t xml:space="preserve"> </w:t>
            </w:r>
            <w:r w:rsidR="00D452FC" w:rsidRPr="00D452FC">
              <w:rPr>
                <w:vanish/>
              </w:rPr>
              <w:t>DR 3717</w:t>
            </w:r>
          </w:p>
          <w:p w:rsidR="002A21AE" w:rsidRDefault="002A21AE">
            <w:pPr>
              <w:pStyle w:val="NotesText"/>
            </w:pPr>
          </w:p>
          <w:p w:rsidR="002A21AE" w:rsidRDefault="002A21AE">
            <w:pPr>
              <w:pStyle w:val="NotesText"/>
            </w:pPr>
            <w:r>
              <w:rPr>
                <w:rFonts w:cs="Arial"/>
                <w:vanish/>
              </w:rPr>
              <w:t xml:space="preserve">BR_41.25 </w:t>
            </w:r>
            <w:r>
              <w:t xml:space="preserve">Reagent lot numbers that are selectable for positive and negative control cells: </w:t>
            </w:r>
          </w:p>
          <w:p w:rsidR="002A21AE" w:rsidRDefault="002A21AE">
            <w:pPr>
              <w:pStyle w:val="NotesTextBullet"/>
            </w:pPr>
            <w:r>
              <w:t>Reverse ABO Typing Cells (set)</w:t>
            </w:r>
          </w:p>
          <w:p w:rsidR="002A21AE" w:rsidRDefault="002A21AE">
            <w:pPr>
              <w:pStyle w:val="NotesTextBullet"/>
            </w:pPr>
            <w:r>
              <w:t>A2 cell (vial)</w:t>
            </w:r>
          </w:p>
          <w:p w:rsidR="002A21AE" w:rsidRDefault="002A21AE">
            <w:pPr>
              <w:pStyle w:val="NotesTextBullet"/>
            </w:pPr>
            <w:r>
              <w:t>Screening Cells (set)</w:t>
            </w:r>
          </w:p>
          <w:p w:rsidR="002A21AE" w:rsidRDefault="002A21AE">
            <w:pPr>
              <w:pStyle w:val="NotesTextBullet"/>
            </w:pPr>
            <w:r>
              <w:t>Check Cells (vial)</w:t>
            </w:r>
          </w:p>
          <w:p w:rsidR="002A21AE" w:rsidRDefault="002A21AE">
            <w:pPr>
              <w:pStyle w:val="NotesTextBullet"/>
            </w:pPr>
            <w:r>
              <w:t>Panel (set)</w:t>
            </w:r>
          </w:p>
          <w:p w:rsidR="002A21AE" w:rsidRDefault="002A21AE">
            <w:pPr>
              <w:pStyle w:val="NotesTextBullet"/>
            </w:pPr>
            <w:r>
              <w:t>Other (set)</w:t>
            </w:r>
          </w:p>
          <w:p w:rsidR="00B062CD" w:rsidRDefault="00B062CD" w:rsidP="00B062CD">
            <w:pPr>
              <w:pStyle w:val="NotesText"/>
            </w:pPr>
          </w:p>
          <w:p w:rsidR="00B062CD" w:rsidRDefault="00B062CD" w:rsidP="00B062CD">
            <w:pPr>
              <w:pStyle w:val="NotesText"/>
            </w:pPr>
            <w:r>
              <w:t>VBECS r</w:t>
            </w:r>
            <w:r w:rsidRPr="00AA089C">
              <w:t>equest</w:t>
            </w:r>
            <w:r>
              <w:t>s</w:t>
            </w:r>
            <w:r w:rsidRPr="00AA089C">
              <w:t xml:space="preserve"> information about </w:t>
            </w:r>
            <w:r>
              <w:t>an antigen</w:t>
            </w:r>
            <w:r w:rsidRPr="00AA089C">
              <w:t xml:space="preserve"> lot number </w:t>
            </w:r>
            <w:r>
              <w:t xml:space="preserve">only </w:t>
            </w:r>
            <w:r w:rsidRPr="00AA089C">
              <w:t xml:space="preserve">the first time it is used </w:t>
            </w:r>
            <w:r>
              <w:t>on a specific</w:t>
            </w:r>
            <w:r w:rsidRPr="00AA089C">
              <w:t xml:space="preserve"> day. </w:t>
            </w:r>
          </w:p>
          <w:p w:rsidR="00B062CD" w:rsidRDefault="00B062CD" w:rsidP="00B062CD">
            <w:pPr>
              <w:pStyle w:val="NotesText"/>
            </w:pPr>
          </w:p>
          <w:p w:rsidR="00B062CD" w:rsidRDefault="00B062CD" w:rsidP="00B062CD">
            <w:pPr>
              <w:pStyle w:val="NotesText"/>
            </w:pPr>
            <w:r w:rsidRPr="00AA089C">
              <w:t xml:space="preserve">If there are multiple test tabs, </w:t>
            </w:r>
            <w:r>
              <w:t>VBECS displays a</w:t>
            </w:r>
            <w:r w:rsidRPr="00AA089C">
              <w:t xml:space="preserve"> </w:t>
            </w:r>
            <w:r>
              <w:t>message</w:t>
            </w:r>
            <w:r w:rsidRPr="00AA089C">
              <w:t xml:space="preserve"> </w:t>
            </w:r>
            <w:r>
              <w:t xml:space="preserve">that </w:t>
            </w:r>
            <w:r w:rsidRPr="00AA089C">
              <w:t xml:space="preserve">may not </w:t>
            </w:r>
            <w:r>
              <w:t>correspond to</w:t>
            </w:r>
            <w:r w:rsidRPr="00AA089C">
              <w:t xml:space="preserve"> the</w:t>
            </w:r>
            <w:r>
              <w:t xml:space="preserve"> selected</w:t>
            </w:r>
            <w:r w:rsidRPr="00AA089C">
              <w:t xml:space="preserve"> tab, but will </w:t>
            </w:r>
            <w:r>
              <w:t xml:space="preserve">correspond to </w:t>
            </w:r>
            <w:r w:rsidRPr="00AA089C">
              <w:t xml:space="preserve">information </w:t>
            </w:r>
            <w:r>
              <w:t xml:space="preserve">required by </w:t>
            </w:r>
            <w:r w:rsidRPr="00AA089C">
              <w:t>one of the requested tests.</w:t>
            </w:r>
          </w:p>
        </w:tc>
      </w:tr>
      <w:tr w:rsidR="002A21AE">
        <w:tblPrEx>
          <w:tblCellMar>
            <w:top w:w="0" w:type="dxa"/>
            <w:bottom w:w="0" w:type="dxa"/>
          </w:tblCellMar>
        </w:tblPrEx>
        <w:tc>
          <w:tcPr>
            <w:tcW w:w="3240" w:type="dxa"/>
          </w:tcPr>
          <w:p w:rsidR="002A21AE" w:rsidRDefault="002A21AE">
            <w:pPr>
              <w:pStyle w:val="TableTextNumbers"/>
            </w:pPr>
            <w:r>
              <w:lastRenderedPageBreak/>
              <w:t xml:space="preserve">Select one or more blood units to add to the worklist. </w:t>
            </w:r>
          </w:p>
          <w:p w:rsidR="002A21AE" w:rsidRDefault="002A21AE">
            <w:pPr>
              <w:pStyle w:val="TableTextNumbersContinued"/>
            </w:pPr>
          </w:p>
          <w:p w:rsidR="002A21AE" w:rsidRDefault="002A21AE">
            <w:pPr>
              <w:pStyle w:val="TableTextNumbersContinued"/>
            </w:pPr>
            <w:r>
              <w:t xml:space="preserve">Enter the unit ID and the product code from the inventory, or click the </w:t>
            </w:r>
            <w:r w:rsidR="00A6373D">
              <w:rPr>
                <w:b/>
              </w:rPr>
              <w:t>find</w:t>
            </w:r>
            <w:r>
              <w:rPr>
                <w:b/>
              </w:rPr>
              <w:t xml:space="preserve"> </w:t>
            </w:r>
            <w:r w:rsidRPr="00D1100E">
              <w:t>button</w:t>
            </w:r>
            <w:r>
              <w:t xml:space="preserve"> to search for a blood unit and select from the list of available units.</w:t>
            </w:r>
          </w:p>
          <w:p w:rsidR="002A21AE" w:rsidRDefault="002A21AE">
            <w:pPr>
              <w:pStyle w:val="TableTextNumbersContinued"/>
            </w:pPr>
          </w:p>
          <w:p w:rsidR="002A21AE" w:rsidRDefault="002A21AE" w:rsidP="001E4417">
            <w:pPr>
              <w:pStyle w:val="TableTextNumbersContinued"/>
            </w:pPr>
            <w:r>
              <w:t xml:space="preserve">Click </w:t>
            </w:r>
            <w:r>
              <w:rPr>
                <w:b/>
              </w:rPr>
              <w:t>OK</w:t>
            </w:r>
            <w:r>
              <w:t xml:space="preserve"> when all units are selected.</w:t>
            </w:r>
          </w:p>
        </w:tc>
        <w:tc>
          <w:tcPr>
            <w:tcW w:w="6120" w:type="dxa"/>
          </w:tcPr>
          <w:p w:rsidR="002A21AE" w:rsidRDefault="002A21AE">
            <w:pPr>
              <w:pStyle w:val="TableTextBullet"/>
            </w:pPr>
            <w:r>
              <w:t>Allows the user to scan or enter units to be included in the worklist or select them from a list.</w:t>
            </w:r>
          </w:p>
          <w:p w:rsidR="002A21AE" w:rsidRPr="001E4417" w:rsidRDefault="002A21AE" w:rsidP="001E4417">
            <w:pPr>
              <w:pStyle w:val="TableTextBullet"/>
              <w:rPr>
                <w:b/>
                <w:bCs/>
              </w:rPr>
            </w:pPr>
            <w:r>
              <w:t>Lists the selected units</w:t>
            </w:r>
            <w:r w:rsidRPr="001E4417">
              <w:rPr>
                <w:bCs/>
              </w:rPr>
              <w:t>.</w:t>
            </w:r>
          </w:p>
        </w:tc>
      </w:tr>
      <w:tr w:rsidR="002A21AE">
        <w:tblPrEx>
          <w:tblCellMar>
            <w:top w:w="0" w:type="dxa"/>
            <w:bottom w:w="0" w:type="dxa"/>
          </w:tblCellMar>
        </w:tblPrEx>
        <w:tc>
          <w:tcPr>
            <w:tcW w:w="3240" w:type="dxa"/>
          </w:tcPr>
          <w:p w:rsidR="00B6515C" w:rsidRDefault="00B6515C" w:rsidP="00B6515C">
            <w:pPr>
              <w:pStyle w:val="TableTextNumbers"/>
            </w:pPr>
            <w:r>
              <w:t>Select the lot number for the reagent and the positive and negative control cells. Enter the vial identifiers, if required. Enter “0” when not using panel cells.</w:t>
            </w:r>
          </w:p>
          <w:p w:rsidR="00B6515C" w:rsidRDefault="00B6515C" w:rsidP="00B6515C">
            <w:pPr>
              <w:pStyle w:val="TableTextNumbersContinued"/>
            </w:pPr>
          </w:p>
          <w:p w:rsidR="0048389A" w:rsidRDefault="00B6515C" w:rsidP="00B6515C">
            <w:pPr>
              <w:pStyle w:val="TableTextNumbersContinued"/>
            </w:pPr>
            <w:r>
              <w:t>Verify the reagent type and the positive and negative control cell lot numbers selected and vial identifiers entered, if required.</w:t>
            </w:r>
          </w:p>
        </w:tc>
        <w:tc>
          <w:tcPr>
            <w:tcW w:w="6120" w:type="dxa"/>
          </w:tcPr>
          <w:p w:rsidR="002A21AE" w:rsidRDefault="002A21AE">
            <w:pPr>
              <w:pStyle w:val="TableTextBullet"/>
            </w:pPr>
            <w:r>
              <w:t xml:space="preserve">Displays the reagent type and lot numbers, including the vial identifier. </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4099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91"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4" o:spid="_x0000_s1026" style="position:absolute;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4KFQIAAC0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BD4&#10;bgo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B6515C">
            <w:pPr>
              <w:pStyle w:val="NotesText"/>
            </w:pPr>
            <w:r>
              <w:t>The vial identifier, comprising one or two digits, identifies the vial contained in a kit of reagent red blood cells. A vial contains antigen positive or antigen negative blood cells to be used in quality control of the antisera.</w:t>
            </w:r>
          </w:p>
        </w:tc>
      </w:tr>
      <w:tr w:rsidR="002A21AE">
        <w:tblPrEx>
          <w:tblCellMar>
            <w:top w:w="0" w:type="dxa"/>
            <w:bottom w:w="0" w:type="dxa"/>
          </w:tblCellMar>
        </w:tblPrEx>
        <w:tc>
          <w:tcPr>
            <w:tcW w:w="3240" w:type="dxa"/>
          </w:tcPr>
          <w:p w:rsidR="002A21AE" w:rsidRDefault="002A21AE">
            <w:pPr>
              <w:pStyle w:val="TableTextNumbers"/>
            </w:pPr>
            <w:r>
              <w:t xml:space="preserve">Respond to warnings and continue with antigen typing. </w:t>
            </w:r>
          </w:p>
          <w:p w:rsidR="002A21AE" w:rsidRDefault="002A21AE">
            <w:pPr>
              <w:pStyle w:val="TableTextNumbersContinued"/>
            </w:pPr>
          </w:p>
          <w:p w:rsidR="002A21AE" w:rsidRDefault="002A21AE">
            <w:pPr>
              <w:pStyle w:val="TableTextNumbersContinued"/>
            </w:pPr>
            <w:r>
              <w:t xml:space="preserve">Review the lot number, manufacturer name, and </w:t>
            </w:r>
            <w:r>
              <w:lastRenderedPageBreak/>
              <w:t>expiration date for the antiserum and control cells. If they are not correct, start over.</w:t>
            </w:r>
          </w:p>
          <w:p w:rsidR="002A21AE" w:rsidRDefault="002A21AE">
            <w:pPr>
              <w:pStyle w:val="TableTextNumbersContinued"/>
            </w:pPr>
          </w:p>
          <w:p w:rsidR="002A21AE" w:rsidRDefault="002A21AE">
            <w:pPr>
              <w:pStyle w:val="TableTextNumbersContinued"/>
            </w:pPr>
            <w:r>
              <w:t>Select a control cell or unit to begin entering serologic reactions and interpretations in the data entry grid.</w:t>
            </w:r>
          </w:p>
          <w:p w:rsidR="002A21AE" w:rsidRDefault="002A21AE">
            <w:pPr>
              <w:pStyle w:val="TableTextNumbersContinued"/>
            </w:pPr>
          </w:p>
          <w:p w:rsidR="002A21AE" w:rsidRDefault="002A21AE">
            <w:pPr>
              <w:pStyle w:val="TableTextNumbersContinued"/>
              <w:rPr>
                <w:b/>
                <w:bCs/>
              </w:rPr>
            </w:pPr>
          </w:p>
          <w:p w:rsidR="002A21AE" w:rsidRDefault="002A21AE">
            <w:pPr>
              <w:pStyle w:val="TableTextNumbersContinued"/>
            </w:pPr>
          </w:p>
        </w:tc>
        <w:tc>
          <w:tcPr>
            <w:tcW w:w="6120" w:type="dxa"/>
          </w:tcPr>
          <w:p w:rsidR="002A21AE" w:rsidRDefault="002A21AE">
            <w:pPr>
              <w:pStyle w:val="TableTextBullet"/>
            </w:pPr>
            <w:r>
              <w:lastRenderedPageBreak/>
              <w:t>Displays each selected unit in a separate tab for each selected specificity with its own grids and quality control.</w:t>
            </w:r>
          </w:p>
          <w:p w:rsidR="002A21AE" w:rsidRDefault="002A21AE">
            <w:pPr>
              <w:pStyle w:val="TableTextBullet"/>
            </w:pPr>
            <w:r>
              <w:t xml:space="preserve">Displays a direct data entry </w:t>
            </w:r>
            <w:r w:rsidR="00917E9F">
              <w:t xml:space="preserve">(DDE) </w:t>
            </w:r>
            <w:r>
              <w:t>grid to enter serologic reaction results for antigen typing of units. This may already be filled with results from a previously saved partially completed worksheet.</w:t>
            </w:r>
          </w:p>
          <w:p w:rsidR="002A21AE" w:rsidRDefault="002A21AE">
            <w:pPr>
              <w:pStyle w:val="TableTextBullet"/>
            </w:pPr>
            <w:r>
              <w:lastRenderedPageBreak/>
              <w:t>Allows a user to select a unit or control cell and enter a test result.</w:t>
            </w:r>
          </w:p>
          <w:p w:rsidR="002A21AE" w:rsidRDefault="002A21AE">
            <w:pPr>
              <w:pStyle w:val="TableTextBullet"/>
            </w:pPr>
            <w:r>
              <w:t>Allows only valid data entries in the grid reaction result and interpretation cells.</w:t>
            </w:r>
          </w:p>
          <w:p w:rsidR="002A21AE" w:rsidRDefault="002A21AE">
            <w:pPr>
              <w:pStyle w:val="TableTextBullet"/>
            </w:pPr>
            <w:r>
              <w:t>Restricts data entry to valid selections for testing results.</w:t>
            </w:r>
          </w:p>
          <w:p w:rsidR="002A21AE" w:rsidRDefault="002A21AE">
            <w:pPr>
              <w:pStyle w:val="TableTextBullet"/>
            </w:pPr>
            <w:r>
              <w:t>Keeps all testing results and entered interpretations on the screen until the user saves them.</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4201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90"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5" o:spid="_x0000_s1026" style="position:absolute;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PmMFA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BR_41.07 </w:t>
            </w:r>
            <w:r>
              <w:t>VBECS displays the worklist for the grids by antiserum types.</w:t>
            </w:r>
          </w:p>
          <w:p w:rsidR="002A21AE" w:rsidRDefault="002A21AE">
            <w:pPr>
              <w:pStyle w:val="NotesText"/>
            </w:pPr>
          </w:p>
          <w:p w:rsidR="002A21AE" w:rsidRDefault="002A21AE">
            <w:pPr>
              <w:pStyle w:val="NotesText"/>
            </w:pPr>
            <w:r>
              <w:rPr>
                <w:rFonts w:cs="Arial"/>
                <w:vanish/>
              </w:rPr>
              <w:t xml:space="preserve">BR_41.09 </w:t>
            </w:r>
            <w:r>
              <w:t>Valid observed test results entered by a user:</w:t>
            </w:r>
          </w:p>
          <w:p w:rsidR="002A21AE" w:rsidRDefault="002A21AE">
            <w:pPr>
              <w:pStyle w:val="NotesTextBullet"/>
            </w:pPr>
            <w:r>
              <w:t>1 [1+ (positive)]</w:t>
            </w:r>
          </w:p>
          <w:p w:rsidR="002A21AE" w:rsidRDefault="002A21AE">
            <w:pPr>
              <w:pStyle w:val="NotesTextBullet"/>
            </w:pPr>
            <w:r>
              <w:t>2 [2+ (positive)]</w:t>
            </w:r>
          </w:p>
          <w:p w:rsidR="002A21AE" w:rsidRDefault="002A21AE">
            <w:pPr>
              <w:pStyle w:val="NotesTextBullet"/>
            </w:pPr>
            <w:r>
              <w:t>3 [3+ (positive)]</w:t>
            </w:r>
          </w:p>
          <w:p w:rsidR="002A21AE" w:rsidRDefault="002A21AE">
            <w:pPr>
              <w:pStyle w:val="NotesTextBullet"/>
            </w:pPr>
            <w:r>
              <w:t>4 [4+ (positive)]</w:t>
            </w:r>
          </w:p>
          <w:p w:rsidR="002A21AE" w:rsidRDefault="002A21AE">
            <w:pPr>
              <w:pStyle w:val="NotesTextBullet"/>
            </w:pPr>
            <w:r>
              <w:t>W [Weak (</w:t>
            </w:r>
            <w:r w:rsidR="006D384A">
              <w:t>positive</w:t>
            </w:r>
            <w:r>
              <w:t>)]</w:t>
            </w:r>
          </w:p>
          <w:p w:rsidR="002A21AE" w:rsidRDefault="002A21AE">
            <w:pPr>
              <w:pStyle w:val="NotesTextBullet"/>
            </w:pPr>
            <w:r>
              <w:t>F [Mixed Field (</w:t>
            </w:r>
            <w:r w:rsidR="006D384A">
              <w:t>positive</w:t>
            </w:r>
            <w:r>
              <w:t>)]</w:t>
            </w:r>
          </w:p>
          <w:p w:rsidR="002A21AE" w:rsidRDefault="002A21AE">
            <w:pPr>
              <w:pStyle w:val="NotesTextBullet"/>
            </w:pPr>
            <w:r>
              <w:t>M [Microscopic (</w:t>
            </w:r>
            <w:r w:rsidR="006D384A">
              <w:t>positive</w:t>
            </w:r>
            <w:r>
              <w:t>)]</w:t>
            </w:r>
          </w:p>
          <w:p w:rsidR="002A21AE" w:rsidRDefault="002A21AE">
            <w:pPr>
              <w:pStyle w:val="NotesTextBullet"/>
            </w:pPr>
            <w:r>
              <w:t>R [rouleaux (negative)]</w:t>
            </w:r>
          </w:p>
          <w:p w:rsidR="002A21AE" w:rsidRDefault="002A21AE">
            <w:pPr>
              <w:pStyle w:val="NotesTextBullet"/>
            </w:pPr>
            <w:r>
              <w:t>0 (zero) [No Agglutination (negative)]</w:t>
            </w:r>
          </w:p>
          <w:p w:rsidR="002A21AE" w:rsidRDefault="002A21AE">
            <w:pPr>
              <w:pStyle w:val="NotesTextBullet"/>
            </w:pPr>
            <w:r>
              <w:t>X (Not Tested)</w:t>
            </w:r>
            <w:r w:rsidR="002F7FF1">
              <w:t xml:space="preserve"> (does not indicate a disabled cell)</w:t>
            </w:r>
          </w:p>
          <w:p w:rsidR="002A21AE" w:rsidRDefault="002A21AE">
            <w:pPr>
              <w:pStyle w:val="NotesText"/>
            </w:pPr>
          </w:p>
          <w:p w:rsidR="002A21AE" w:rsidRDefault="002A21AE">
            <w:pPr>
              <w:pStyle w:val="NotesText"/>
            </w:pPr>
            <w:r>
              <w:t>When the AHG phase is selected for testing, the AHG must be negative and the CC must be at least 1+ positive to consider the test negative for a unit or for the negative control cell.</w:t>
            </w:r>
          </w:p>
          <w:p w:rsidR="002A21AE" w:rsidRDefault="002A21AE">
            <w:pPr>
              <w:pStyle w:val="NotesText"/>
            </w:pPr>
          </w:p>
          <w:p w:rsidR="002A21AE" w:rsidRDefault="002A21AE">
            <w:pPr>
              <w:pStyle w:val="NotesText"/>
            </w:pPr>
            <w:r>
              <w:rPr>
                <w:rFonts w:cs="Arial"/>
                <w:vanish/>
              </w:rPr>
              <w:t xml:space="preserve">BR_41.17 </w:t>
            </w:r>
            <w:r>
              <w:t xml:space="preserve">The column heading of the data grid specifies the phases of reactivity that may be used in a test selected for the specificity. </w:t>
            </w:r>
          </w:p>
          <w:p w:rsidR="002A21AE" w:rsidRDefault="002A21AE">
            <w:pPr>
              <w:pStyle w:val="NotesText"/>
            </w:pPr>
          </w:p>
          <w:p w:rsidR="002A21AE" w:rsidRDefault="002A21AE">
            <w:pPr>
              <w:pStyle w:val="NotesText"/>
            </w:pPr>
            <w:r>
              <w:rPr>
                <w:rFonts w:cs="Arial"/>
                <w:vanish/>
              </w:rPr>
              <w:t xml:space="preserve">BR_41.18 </w:t>
            </w:r>
            <w:r>
              <w:t>The row heading of the data grid specifies the unit ID being tested. These fields cannot be edited.</w:t>
            </w:r>
          </w:p>
          <w:p w:rsidR="002A21AE" w:rsidRDefault="002A21AE">
            <w:pPr>
              <w:pStyle w:val="NotesText"/>
            </w:pPr>
          </w:p>
          <w:p w:rsidR="002A21AE" w:rsidRDefault="002A21AE">
            <w:pPr>
              <w:pStyle w:val="NotesText"/>
            </w:pPr>
            <w:r>
              <w:rPr>
                <w:rFonts w:cs="Arial"/>
                <w:vanish/>
              </w:rPr>
              <w:t xml:space="preserve">BR_41.21 </w:t>
            </w:r>
            <w:r>
              <w:t>The rows for each antiserum type grid display the positive and negative control cells, then units, in the order in which a user added units to the worklist.</w:t>
            </w:r>
          </w:p>
          <w:p w:rsidR="002A21AE" w:rsidRDefault="002A21AE">
            <w:pPr>
              <w:pStyle w:val="NotesText"/>
            </w:pPr>
          </w:p>
          <w:p w:rsidR="002A21AE" w:rsidRDefault="002A21AE">
            <w:pPr>
              <w:pStyle w:val="NotesText"/>
            </w:pPr>
            <w:r>
              <w:rPr>
                <w:rFonts w:cs="Arial"/>
                <w:vanish/>
              </w:rPr>
              <w:t xml:space="preserve">BR_41.14 </w:t>
            </w:r>
            <w:r>
              <w:t xml:space="preserve">A comment can be associated with any antigen test performed. A user may select canned comments required by an override from the drop-down list or select </w:t>
            </w:r>
            <w:r>
              <w:rPr>
                <w:b/>
              </w:rPr>
              <w:t>Other</w:t>
            </w:r>
            <w:r>
              <w:t xml:space="preserve"> to enter free-text comments.</w:t>
            </w:r>
          </w:p>
        </w:tc>
      </w:tr>
      <w:tr w:rsidR="002A21AE">
        <w:tblPrEx>
          <w:tblCellMar>
            <w:top w:w="0" w:type="dxa"/>
            <w:bottom w:w="0" w:type="dxa"/>
          </w:tblCellMar>
        </w:tblPrEx>
        <w:tc>
          <w:tcPr>
            <w:tcW w:w="3240" w:type="dxa"/>
          </w:tcPr>
          <w:p w:rsidR="002A21AE" w:rsidRDefault="002A21AE">
            <w:pPr>
              <w:pStyle w:val="TableTextNumbers"/>
            </w:pPr>
            <w:r>
              <w:lastRenderedPageBreak/>
              <w:t>Enter results for the control cells and for all selected units. Refer to the legend at the bottom of the screen</w:t>
            </w:r>
            <w:r w:rsidR="002A4159">
              <w:t xml:space="preserve"> (</w:t>
            </w:r>
            <w:r w:rsidR="002A4159">
              <w:fldChar w:fldCharType="begin"/>
            </w:r>
            <w:r w:rsidR="002A4159">
              <w:instrText xml:space="preserve"> REF _Ref126649091 \h </w:instrText>
            </w:r>
            <w:r w:rsidR="002A4159">
              <w:fldChar w:fldCharType="separate"/>
            </w:r>
            <w:r w:rsidR="005F38BC">
              <w:t xml:space="preserve">Figure </w:t>
            </w:r>
            <w:r w:rsidR="005F38BC">
              <w:rPr>
                <w:noProof/>
              </w:rPr>
              <w:t>83</w:t>
            </w:r>
            <w:r w:rsidR="002A4159">
              <w:fldChar w:fldCharType="end"/>
            </w:r>
            <w:r w:rsidR="002A4159">
              <w:t>)</w:t>
            </w:r>
            <w:r>
              <w:t>.</w:t>
            </w:r>
          </w:p>
        </w:tc>
        <w:tc>
          <w:tcPr>
            <w:tcW w:w="6120" w:type="dxa"/>
          </w:tcPr>
          <w:p w:rsidR="002A21AE" w:rsidRDefault="002A21AE">
            <w:pPr>
              <w:pStyle w:val="TableTextBullet"/>
            </w:pPr>
            <w:r>
              <w:t>Prompts the user to confirm that all results were reviewed and are acceptable.</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4304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89" name="Lin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6" o:spid="_x0000_s1026" style="position:absolute;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HUFQIAAC0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MiQ&#10;0dQ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rsidP="009256FE">
            <w:pPr>
              <w:pStyle w:val="NotesText"/>
            </w:pPr>
            <w:r>
              <w:t xml:space="preserve">The positive and/or negative control cell test results on the date of testing must be </w:t>
            </w:r>
            <w:r w:rsidR="009256FE">
              <w:t>a valid positive or negative.</w:t>
            </w:r>
          </w:p>
          <w:p w:rsidR="002A21AE" w:rsidRDefault="002A21AE">
            <w:pPr>
              <w:pStyle w:val="NotesText"/>
            </w:pPr>
          </w:p>
          <w:p w:rsidR="002A21AE" w:rsidRDefault="002A21AE">
            <w:pPr>
              <w:pStyle w:val="NotesText"/>
            </w:pPr>
            <w:r>
              <w:rPr>
                <w:rFonts w:cs="Arial"/>
                <w:vanish/>
              </w:rPr>
              <w:t xml:space="preserve">BR_41.22 </w:t>
            </w:r>
            <w:r>
              <w:t xml:space="preserve">When a weak D interpretation is positive </w:t>
            </w:r>
            <w:r w:rsidR="00C749CF">
              <w:t xml:space="preserve">or inconclusive </w:t>
            </w:r>
            <w:r>
              <w:t xml:space="preserve">and is verified for a tested blood unit that was labeled as (Rh) D negative, VBECS warns the user and adds the quarantine indicator to the unit. </w:t>
            </w:r>
          </w:p>
          <w:p w:rsidR="002A21AE" w:rsidRDefault="002A21AE">
            <w:pPr>
              <w:pStyle w:val="NotesText"/>
            </w:pPr>
          </w:p>
          <w:p w:rsidR="00A33DDA" w:rsidRDefault="002A21AE" w:rsidP="00A33DDA">
            <w:pPr>
              <w:pStyle w:val="NotesText"/>
              <w:rPr>
                <w:rFonts w:cs="Arial"/>
                <w:vanish/>
              </w:rPr>
            </w:pPr>
            <w:r>
              <w:rPr>
                <w:rFonts w:cs="Arial"/>
                <w:vanish/>
              </w:rPr>
              <w:t xml:space="preserve">BR_41.12 </w:t>
            </w:r>
            <w:r w:rsidR="00A33DDA">
              <w:t xml:space="preserve">VBECS compares the antigen typing interpretation a user enters to previously assigned antigen typings for the same antigen (as assigned during Incoming Shipment, Edit Unit Information, or </w:t>
            </w:r>
            <w:r w:rsidR="00A33DDA">
              <w:lastRenderedPageBreak/>
              <w:t>previous testing). When the previous interpretation was not “inconclusive” and the current interpretation does not match the previously identified antigen type, VBECS warns the user and quarantines the unit.</w:t>
            </w:r>
          </w:p>
          <w:p w:rsidR="00BC3648" w:rsidRDefault="00BC3648">
            <w:pPr>
              <w:pStyle w:val="NotesText"/>
            </w:pPr>
          </w:p>
          <w:p w:rsidR="009230AA" w:rsidRDefault="009230AA" w:rsidP="00BC3648">
            <w:pPr>
              <w:pStyle w:val="NotesText"/>
              <w:rPr>
                <w:rFonts w:cs="Arial"/>
                <w:szCs w:val="18"/>
              </w:rPr>
            </w:pPr>
          </w:p>
          <w:p w:rsidR="00BC3648" w:rsidRDefault="00BC3648" w:rsidP="00BC3648">
            <w:pPr>
              <w:pStyle w:val="NotesText"/>
            </w:pPr>
            <w:r w:rsidRPr="00BC3648">
              <w:rPr>
                <w:rFonts w:cs="Arial"/>
                <w:vanish/>
                <w:szCs w:val="18"/>
              </w:rPr>
              <w:t>BR_41.19</w:t>
            </w:r>
            <w:r>
              <w:t>System rules establish row validation for the interpretation vs. reaction results pattern [for all user-indicated phase(s) of reactivity] for blood unit and quality control tests.</w:t>
            </w:r>
          </w:p>
        </w:tc>
      </w:tr>
      <w:tr w:rsidR="002A21AE">
        <w:tblPrEx>
          <w:tblCellMar>
            <w:top w:w="0" w:type="dxa"/>
            <w:bottom w:w="0" w:type="dxa"/>
          </w:tblCellMar>
        </w:tblPrEx>
        <w:tc>
          <w:tcPr>
            <w:tcW w:w="3240" w:type="dxa"/>
          </w:tcPr>
          <w:p w:rsidR="002A21AE" w:rsidRDefault="002A21AE">
            <w:pPr>
              <w:pStyle w:val="TableTextNumbers"/>
            </w:pPr>
            <w:r>
              <w:lastRenderedPageBreak/>
              <w:t>Repeat Steps 4–8 for each antiserum type.</w:t>
            </w:r>
          </w:p>
        </w:tc>
        <w:tc>
          <w:tcPr>
            <w:tcW w:w="6120" w:type="dxa"/>
          </w:tcPr>
          <w:p w:rsidR="002A21AE" w:rsidRDefault="002A21AE">
            <w:pPr>
              <w:pStyle w:val="TableTextBullet"/>
            </w:pPr>
            <w:r>
              <w:t>Displays the option to save.</w:t>
            </w:r>
          </w:p>
        </w:tc>
      </w:tr>
      <w:tr w:rsidR="002A21AE">
        <w:tblPrEx>
          <w:tblCellMar>
            <w:top w:w="0" w:type="dxa"/>
            <w:bottom w:w="0" w:type="dxa"/>
          </w:tblCellMar>
        </w:tblPrEx>
        <w:tc>
          <w:tcPr>
            <w:tcW w:w="3240" w:type="dxa"/>
          </w:tcPr>
          <w:p w:rsidR="002A21AE" w:rsidRDefault="002A21AE">
            <w:pPr>
              <w:pStyle w:val="TableTextNumbers"/>
            </w:pPr>
            <w:r>
              <w:t>Respond to warnings and save.</w:t>
            </w:r>
          </w:p>
        </w:tc>
        <w:tc>
          <w:tcPr>
            <w:tcW w:w="6120" w:type="dxa"/>
          </w:tcPr>
          <w:p w:rsidR="002A21AE" w:rsidRDefault="00C96530">
            <w:pPr>
              <w:pStyle w:val="TableTextBullet"/>
            </w:pPr>
            <w:r>
              <w:t xml:space="preserve">Saves the completed QC results with </w:t>
            </w:r>
            <w:r w:rsidR="002A21AE">
              <w:t xml:space="preserve">partially or fully completed </w:t>
            </w:r>
            <w:r>
              <w:t xml:space="preserve">unit testing </w:t>
            </w:r>
            <w:r w:rsidR="002A21AE">
              <w:t xml:space="preserve">data. </w:t>
            </w:r>
          </w:p>
          <w:p w:rsidR="002A21AE" w:rsidRDefault="002A21AE">
            <w:pPr>
              <w:pStyle w:val="TableTextBullet"/>
            </w:pPr>
            <w:r>
              <w:t xml:space="preserve">Reconfirms that all appropriate test results were entered, repeats all data validation, and saves the information on the worksheet displayed. </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4406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88" name="Lin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8" o:spid="_x0000_s1026" style="position:absolute;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DkAFQIAAC0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Oqs&#10;OQA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BR_41.16 </w:t>
            </w:r>
            <w:r>
              <w:t>VBECS saves the testing of one antiserum specificity at a time.</w:t>
            </w:r>
          </w:p>
          <w:p w:rsidR="00C96530" w:rsidRDefault="00C96530">
            <w:pPr>
              <w:pStyle w:val="NotesText"/>
            </w:pPr>
          </w:p>
          <w:p w:rsidR="002A21AE" w:rsidRDefault="00C96530">
            <w:pPr>
              <w:pStyle w:val="NotesText"/>
            </w:pPr>
            <w:r>
              <w:rPr>
                <w:vanish/>
              </w:rPr>
              <w:t xml:space="preserve">BR_41.33 </w:t>
            </w:r>
            <w:r w:rsidRPr="00C96530">
              <w:t>T</w:t>
            </w:r>
            <w:r w:rsidRPr="00176F35">
              <w:t xml:space="preserve">he Positive and Negative control cells must be complete and valid prior to the save of a unit antigen typing result. </w:t>
            </w:r>
            <w:r>
              <w:t>VBECS will d</w:t>
            </w:r>
            <w:r w:rsidRPr="00176F35">
              <w:t xml:space="preserve">isplay a </w:t>
            </w:r>
            <w:r w:rsidR="00D51933">
              <w:t xml:space="preserve">tooltip </w:t>
            </w:r>
            <w:r w:rsidRPr="00176F35">
              <w:t xml:space="preserve">message to the user </w:t>
            </w:r>
            <w:r>
              <w:t>if an attempt to save is made and the QC is not valid.</w:t>
            </w:r>
          </w:p>
          <w:p w:rsidR="00C96530" w:rsidRDefault="00C96530">
            <w:pPr>
              <w:pStyle w:val="NotesText"/>
            </w:pPr>
          </w:p>
          <w:p w:rsidR="002A21AE" w:rsidRDefault="002A21AE">
            <w:pPr>
              <w:pStyle w:val="NotesText"/>
            </w:pPr>
            <w:r>
              <w:rPr>
                <w:rFonts w:cs="Arial"/>
                <w:vanish/>
              </w:rPr>
              <w:t xml:space="preserve">BR_41.06 </w:t>
            </w:r>
            <w:r>
              <w:t>VBECS stores the lot number, vial identifier, manufacturer, and expiration date of the positive and negative control cells with the testing record.</w:t>
            </w:r>
          </w:p>
        </w:tc>
      </w:tr>
      <w:tr w:rsidR="002A21AE">
        <w:tblPrEx>
          <w:tblCellMar>
            <w:top w:w="0" w:type="dxa"/>
            <w:bottom w:w="0" w:type="dxa"/>
          </w:tblCellMar>
        </w:tblPrEx>
        <w:tc>
          <w:tcPr>
            <w:tcW w:w="3240" w:type="dxa"/>
          </w:tcPr>
          <w:p w:rsidR="002A21AE" w:rsidRDefault="002A21AE">
            <w:pPr>
              <w:pStyle w:val="TableTextNumbers"/>
            </w:pPr>
            <w:r>
              <w:t xml:space="preserve">Click </w:t>
            </w:r>
            <w:r>
              <w:rPr>
                <w:b/>
              </w:rPr>
              <w:t xml:space="preserve">OK </w:t>
            </w:r>
            <w:r>
              <w:t xml:space="preserve">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rsidR="002A21AE" w:rsidRDefault="002A21AE">
            <w:pPr>
              <w:pStyle w:val="TableText"/>
            </w:pPr>
          </w:p>
        </w:tc>
      </w:tr>
    </w:tbl>
    <w:p w:rsidR="00030E55" w:rsidRDefault="00030E55" w:rsidP="00030E55">
      <w:pPr>
        <w:pStyle w:val="Caption"/>
      </w:pPr>
      <w:bookmarkStart w:id="303" w:name="_Toc63680362"/>
      <w:bookmarkStart w:id="304" w:name="_Ref126648704"/>
      <w:r>
        <w:lastRenderedPageBreak/>
        <w:t xml:space="preserve">Figure </w:t>
      </w:r>
      <w:r w:rsidR="00C17F7C">
        <w:fldChar w:fldCharType="begin"/>
      </w:r>
      <w:r w:rsidR="00C17F7C">
        <w:instrText xml:space="preserve"> SEQ Figure \* ARABIC </w:instrText>
      </w:r>
      <w:r w:rsidR="00C17F7C">
        <w:fldChar w:fldCharType="separate"/>
      </w:r>
      <w:r w:rsidR="005F38BC">
        <w:rPr>
          <w:noProof/>
        </w:rPr>
        <w:t>82</w:t>
      </w:r>
      <w:r w:rsidR="00C17F7C">
        <w:fldChar w:fldCharType="end"/>
      </w:r>
      <w:bookmarkEnd w:id="304"/>
      <w:r>
        <w:t>: Unit Antigen Typing</w:t>
      </w:r>
    </w:p>
    <w:p w:rsidR="002A4159" w:rsidRDefault="00634BFC" w:rsidP="00030E55">
      <w:pPr>
        <w:pStyle w:val="BodyText"/>
      </w:pPr>
      <w:r>
        <w:rPr>
          <w:noProof/>
        </w:rPr>
        <w:drawing>
          <wp:inline distT="0" distB="0" distL="0" distR="0">
            <wp:extent cx="5943600" cy="40767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943600" cy="4076700"/>
                    </a:xfrm>
                    <a:prstGeom prst="rect">
                      <a:avLst/>
                    </a:prstGeom>
                    <a:noFill/>
                    <a:ln>
                      <a:noFill/>
                    </a:ln>
                  </pic:spPr>
                </pic:pic>
              </a:graphicData>
            </a:graphic>
          </wp:inline>
        </w:drawing>
      </w:r>
      <w:r w:rsidR="00030E55">
        <w:t xml:space="preserve"> </w:t>
      </w:r>
    </w:p>
    <w:p w:rsidR="002A4159" w:rsidRDefault="002A4159" w:rsidP="002A4159">
      <w:pPr>
        <w:pStyle w:val="Caption"/>
      </w:pPr>
      <w:bookmarkStart w:id="305" w:name="_Ref126649091"/>
      <w:r>
        <w:lastRenderedPageBreak/>
        <w:t xml:space="preserve">Figure </w:t>
      </w:r>
      <w:r w:rsidR="00C17F7C">
        <w:fldChar w:fldCharType="begin"/>
      </w:r>
      <w:r w:rsidR="00C17F7C">
        <w:instrText xml:space="preserve"> SEQ Figure \* ARABIC </w:instrText>
      </w:r>
      <w:r w:rsidR="00C17F7C">
        <w:fldChar w:fldCharType="separate"/>
      </w:r>
      <w:r w:rsidR="005F38BC">
        <w:rPr>
          <w:noProof/>
        </w:rPr>
        <w:t>83</w:t>
      </w:r>
      <w:r w:rsidR="00C17F7C">
        <w:fldChar w:fldCharType="end"/>
      </w:r>
      <w:bookmarkEnd w:id="305"/>
      <w:r>
        <w:t>: Unit Antigen Typing Serologic Results</w:t>
      </w:r>
    </w:p>
    <w:p w:rsidR="001B4885" w:rsidRDefault="00634BFC" w:rsidP="00030E55">
      <w:pPr>
        <w:pStyle w:val="BodyText"/>
      </w:pPr>
      <w:r>
        <w:rPr>
          <w:noProof/>
        </w:rPr>
        <w:drawing>
          <wp:inline distT="0" distB="0" distL="0" distR="0">
            <wp:extent cx="5943600" cy="35814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943600" cy="3581400"/>
                    </a:xfrm>
                    <a:prstGeom prst="rect">
                      <a:avLst/>
                    </a:prstGeom>
                    <a:noFill/>
                    <a:ln>
                      <a:noFill/>
                    </a:ln>
                  </pic:spPr>
                </pic:pic>
              </a:graphicData>
            </a:graphic>
          </wp:inline>
        </w:drawing>
      </w:r>
      <w:r w:rsidR="002A4159">
        <w:t xml:space="preserve"> </w:t>
      </w:r>
    </w:p>
    <w:p w:rsidR="002A21AE" w:rsidRDefault="002A21AE" w:rsidP="00E3402B">
      <w:pPr>
        <w:pStyle w:val="Heading2"/>
      </w:pPr>
      <w:r>
        <w:br w:type="page"/>
      </w:r>
      <w:bookmarkStart w:id="306" w:name="_Toc92426453"/>
      <w:bookmarkStart w:id="307" w:name="_Toc94349314"/>
      <w:bookmarkStart w:id="308" w:name="_Toc459900113"/>
      <w:bookmarkEnd w:id="303"/>
      <w:r>
        <w:lastRenderedPageBreak/>
        <w:t>Modify Components</w:t>
      </w:r>
      <w:bookmarkEnd w:id="308"/>
      <w:r>
        <w:fldChar w:fldCharType="begin"/>
      </w:r>
      <w:r>
        <w:instrText xml:space="preserve"> XE </w:instrText>
      </w:r>
      <w:r w:rsidR="00FA7E65">
        <w:instrText>“</w:instrText>
      </w:r>
      <w:r>
        <w:instrText>Modify Component</w:instrText>
      </w:r>
      <w:r w:rsidR="00FA7E65">
        <w:instrText>”</w:instrText>
      </w:r>
      <w:r>
        <w:instrText xml:space="preserve"> </w:instrText>
      </w:r>
      <w:r>
        <w:fldChar w:fldCharType="end"/>
      </w:r>
      <w:bookmarkEnd w:id="306"/>
      <w:bookmarkEnd w:id="307"/>
    </w:p>
    <w:p w:rsidR="002A21AE" w:rsidRDefault="002A21AE">
      <w:pPr>
        <w:pStyle w:val="Heading3"/>
      </w:pPr>
      <w:bookmarkStart w:id="309" w:name="_Toc94349315"/>
      <w:bookmarkStart w:id="310" w:name="_Modify_Units"/>
      <w:bookmarkStart w:id="311" w:name="_Toc459900114"/>
      <w:bookmarkEnd w:id="310"/>
      <w:r>
        <w:t>Modify Units</w:t>
      </w:r>
      <w:bookmarkEnd w:id="311"/>
      <w:r w:rsidRPr="00796039">
        <w:rPr>
          <w:rFonts w:ascii="Arial Bold" w:hAnsi="Arial Bold"/>
          <w:vanish/>
        </w:rPr>
        <w:fldChar w:fldCharType="begin"/>
      </w:r>
      <w:r w:rsidRPr="00796039">
        <w:rPr>
          <w:rFonts w:ascii="Arial Bold" w:hAnsi="Arial Bold"/>
          <w:vanish/>
        </w:rPr>
        <w:instrText xml:space="preserve"> XE </w:instrText>
      </w:r>
      <w:r w:rsidR="00FA7E65" w:rsidRPr="00796039">
        <w:rPr>
          <w:rFonts w:ascii="Arial Bold" w:hAnsi="Arial Bold"/>
          <w:vanish/>
        </w:rPr>
        <w:instrText>“</w:instrText>
      </w:r>
      <w:r w:rsidRPr="00796039">
        <w:rPr>
          <w:rFonts w:ascii="Arial Bold" w:hAnsi="Arial Bold"/>
          <w:vanish/>
        </w:rPr>
        <w:instrText>Modify Units</w:instrText>
      </w:r>
      <w:r w:rsidR="00FA7E65" w:rsidRPr="00796039">
        <w:rPr>
          <w:rFonts w:ascii="Arial Bold" w:hAnsi="Arial Bold"/>
          <w:vanish/>
        </w:rPr>
        <w:instrText>”</w:instrText>
      </w:r>
      <w:r w:rsidRPr="00796039">
        <w:rPr>
          <w:rFonts w:ascii="Arial Bold" w:hAnsi="Arial Bold"/>
          <w:vanish/>
        </w:rPr>
        <w:instrText xml:space="preserve"> </w:instrText>
      </w:r>
      <w:r w:rsidRPr="00796039">
        <w:rPr>
          <w:rFonts w:ascii="Arial Bold" w:hAnsi="Arial Bold"/>
          <w:vanish/>
        </w:rPr>
        <w:fldChar w:fldCharType="end"/>
      </w:r>
      <w:r w:rsidRPr="00796039">
        <w:rPr>
          <w:rFonts w:ascii="Arial Bold" w:hAnsi="Arial Bold"/>
          <w:vanish/>
        </w:rPr>
        <w:t xml:space="preserve"> UC_26</w:t>
      </w:r>
      <w:bookmarkEnd w:id="309"/>
    </w:p>
    <w:p w:rsidR="002A21AE" w:rsidRDefault="002A21AE" w:rsidP="00FA7E65">
      <w:pPr>
        <w:pStyle w:val="BodyText"/>
      </w:pPr>
      <w:bookmarkStart w:id="312" w:name="_Toc77662608"/>
      <w:r>
        <w:t xml:space="preserve">The user modifies a unit, which results in a different blood product (target product) with </w:t>
      </w:r>
      <w:r w:rsidR="00AC457B">
        <w:t>its own</w:t>
      </w:r>
      <w:r>
        <w:t xml:space="preserve"> properties. A division’s configuration determines the available modification types. </w:t>
      </w:r>
    </w:p>
    <w:p w:rsidR="002A21AE" w:rsidRDefault="002A21AE">
      <w:pPr>
        <w:pStyle w:val="Heading4"/>
      </w:pPr>
      <w:bookmarkStart w:id="313" w:name="_Toc94349316"/>
      <w:r>
        <w:t>Assumptions</w:t>
      </w:r>
      <w:bookmarkEnd w:id="313"/>
      <w:r w:rsidR="00AC457B">
        <w:fldChar w:fldCharType="begin"/>
      </w:r>
      <w:r w:rsidR="00AC457B">
        <w:instrText xml:space="preserve"> XE "</w:instrText>
      </w:r>
      <w:r w:rsidR="00AC457B" w:rsidRPr="00A60D38">
        <w:instrText>Assumptions</w:instrText>
      </w:r>
      <w:r w:rsidR="00AC457B">
        <w:instrText xml:space="preserve">" </w:instrText>
      </w:r>
      <w:r w:rsidR="00AC457B">
        <w:fldChar w:fldCharType="end"/>
      </w:r>
    </w:p>
    <w:p w:rsidR="002A21AE" w:rsidRDefault="00046402">
      <w:pPr>
        <w:pStyle w:val="ListBullet"/>
      </w:pPr>
      <w:r>
        <w:t>Product Modifications</w:t>
      </w:r>
      <w:r w:rsidR="002A21AE">
        <w:t xml:space="preserve"> was executed.</w:t>
      </w:r>
    </w:p>
    <w:p w:rsidR="002A21AE" w:rsidRDefault="00CB7D9B">
      <w:pPr>
        <w:pStyle w:val="ListBullet"/>
      </w:pPr>
      <w:r>
        <w:t>The division is the active shipper for target blood products.</w:t>
      </w:r>
    </w:p>
    <w:p w:rsidR="002A21AE" w:rsidRDefault="002A21AE">
      <w:pPr>
        <w:pStyle w:val="ListBullet"/>
      </w:pPr>
      <w:r>
        <w:t>A unit may be modified with or without patient assignment or restriction.</w:t>
      </w:r>
    </w:p>
    <w:p w:rsidR="002A21AE" w:rsidRDefault="002A21AE">
      <w:pPr>
        <w:pStyle w:val="ListBullet"/>
      </w:pPr>
      <w:r>
        <w:t>A unit may be modified with or without a patient order.</w:t>
      </w:r>
    </w:p>
    <w:p w:rsidR="002A21AE" w:rsidRDefault="002A21AE">
      <w:pPr>
        <w:pStyle w:val="ListBullet"/>
      </w:pPr>
      <w:r>
        <w:t>Units selected for modification must be in the same division as the user.</w:t>
      </w:r>
    </w:p>
    <w:p w:rsidR="00F81D5E" w:rsidRDefault="00F81D5E">
      <w:pPr>
        <w:pStyle w:val="ListBullet"/>
      </w:pPr>
      <w:r>
        <w:t>Product labels and unit numbers for modified products</w:t>
      </w:r>
      <w:r w:rsidRPr="00F81D5E">
        <w:t xml:space="preserve"> </w:t>
      </w:r>
      <w:r>
        <w:t>are on hand.</w:t>
      </w:r>
    </w:p>
    <w:p w:rsidR="0014066B" w:rsidRDefault="0014066B">
      <w:pPr>
        <w:pStyle w:val="ListBullet"/>
      </w:pPr>
      <w:r>
        <w:t>Supplies needed for the unit modification were entered in VBECS.</w:t>
      </w:r>
    </w:p>
    <w:p w:rsidR="002A21AE" w:rsidRDefault="002A21AE">
      <w:pPr>
        <w:pStyle w:val="Heading4"/>
      </w:pPr>
      <w:bookmarkStart w:id="314" w:name="_Toc94349317"/>
      <w:r>
        <w:t>Outcome</w:t>
      </w:r>
      <w:bookmarkEnd w:id="314"/>
    </w:p>
    <w:p w:rsidR="002A21AE" w:rsidRDefault="002A21AE">
      <w:pPr>
        <w:pStyle w:val="ListBullet"/>
      </w:pPr>
      <w:r>
        <w:t>Data generated for an Exception Report are stored for inclusion in the next Exception Report.</w:t>
      </w:r>
    </w:p>
    <w:p w:rsidR="002A21AE" w:rsidRDefault="002A21AE">
      <w:pPr>
        <w:pStyle w:val="ListBullet"/>
      </w:pPr>
      <w:r>
        <w:t>Workload-related data collected as the result of unit modification are stored for inclusion in Workload Reports.</w:t>
      </w:r>
    </w:p>
    <w:p w:rsidR="002A21AE" w:rsidRDefault="002A21AE">
      <w:pPr>
        <w:pStyle w:val="ListBullet"/>
      </w:pPr>
      <w:r>
        <w:t>At the completion of a unit modification, VBECS assigns the original unit a final status of “modified.”</w:t>
      </w:r>
    </w:p>
    <w:p w:rsidR="002A21AE" w:rsidRDefault="002A21AE">
      <w:pPr>
        <w:pStyle w:val="ListBullet"/>
      </w:pPr>
      <w:r>
        <w:t>A permanent virtual link exists between the original unit and target units created.</w:t>
      </w:r>
    </w:p>
    <w:p w:rsidR="002A21AE" w:rsidRDefault="002A21AE">
      <w:pPr>
        <w:pStyle w:val="ListBullet"/>
      </w:pPr>
      <w:r>
        <w:t>The shipper of the target unit created is the division in which the modification was performed. The cost assigned to the target unit is based on what was defined in Blood Products.</w:t>
      </w:r>
    </w:p>
    <w:p w:rsidR="002A21AE" w:rsidRDefault="002A21AE">
      <w:pPr>
        <w:pStyle w:val="Heading4"/>
      </w:pPr>
      <w:bookmarkStart w:id="315" w:name="_Toc94349318"/>
      <w:r>
        <w:t>Limitations and Restrictions</w:t>
      </w:r>
      <w:bookmarkEnd w:id="315"/>
    </w:p>
    <w:p w:rsidR="002A21AE" w:rsidRDefault="00CC5F64">
      <w:pPr>
        <w:pStyle w:val="ListBullet"/>
      </w:pPr>
      <w:r>
        <w:t>VBECS allows modification of units only in limited, assigned, crossmatched, and available statuses.</w:t>
      </w:r>
    </w:p>
    <w:p w:rsidR="002D6306" w:rsidRDefault="002D6306" w:rsidP="002D6306">
      <w:pPr>
        <w:pStyle w:val="ListBullet"/>
      </w:pPr>
      <w:r>
        <w:t>VBECS presents the conservative expiration date for target units. VBECS does not know th</w:t>
      </w:r>
      <w:r w:rsidR="008B6D25">
        <w:t xml:space="preserve">e specific collection details. </w:t>
      </w:r>
      <w:r>
        <w:t>It is the responsib</w:t>
      </w:r>
      <w:r w:rsidR="008B6D25">
        <w:t>i</w:t>
      </w:r>
      <w:r>
        <w:t>lity of each user to accurately enter and process any one blood unit based on its expiration date/time as labeled by the collection facility.</w:t>
      </w:r>
      <w:r>
        <w:rPr>
          <w:vanish/>
        </w:rPr>
        <w:t xml:space="preserve"> Task 1324</w:t>
      </w:r>
    </w:p>
    <w:p w:rsidR="002A21AE" w:rsidRDefault="002A21AE">
      <w:pPr>
        <w:pStyle w:val="Heading4"/>
      </w:pPr>
      <w:bookmarkStart w:id="316" w:name="_Toc94349319"/>
      <w:r>
        <w:t>Additional Information</w:t>
      </w:r>
      <w:bookmarkEnd w:id="316"/>
    </w:p>
    <w:p w:rsidR="002A21AE" w:rsidRDefault="002A21AE">
      <w:pPr>
        <w:pStyle w:val="ListBullet"/>
      </w:pPr>
      <w:r>
        <w:t>VBECS requires the identification of the transferred-to container when using an open method</w:t>
      </w:r>
      <w:r w:rsidR="00C249B1">
        <w:t xml:space="preserve"> or </w:t>
      </w:r>
      <w:r w:rsidR="00922AD8">
        <w:t>a</w:t>
      </w:r>
      <w:r w:rsidR="00C249B1">
        <w:t xml:space="preserve"> </w:t>
      </w:r>
      <w:r w:rsidR="00AD29E0">
        <w:t>sterile connection</w:t>
      </w:r>
      <w:r w:rsidR="00F17F64">
        <w:t xml:space="preserve"> device (SCD)</w:t>
      </w:r>
      <w:r w:rsidR="00C249B1">
        <w:t>.</w:t>
      </w:r>
    </w:p>
    <w:p w:rsidR="002A21AE" w:rsidRDefault="002A21AE">
      <w:pPr>
        <w:pStyle w:val="ListBullet"/>
      </w:pPr>
      <w:r>
        <w:t xml:space="preserve">VBECS requires the identification of the SCD wafer data when using an SCD. </w:t>
      </w:r>
    </w:p>
    <w:p w:rsidR="00B57CCA" w:rsidRDefault="00B57CCA">
      <w:pPr>
        <w:pStyle w:val="ListBullet"/>
      </w:pPr>
      <w:r w:rsidRPr="00B57CCA">
        <w:t xml:space="preserve">When </w:t>
      </w:r>
      <w:r>
        <w:t>a user extends an</w:t>
      </w:r>
      <w:r w:rsidRPr="00B57CCA">
        <w:t xml:space="preserve"> expiration date</w:t>
      </w:r>
      <w:r>
        <w:t xml:space="preserve"> beyond the default expiration date</w:t>
      </w:r>
      <w:r w:rsidRPr="00B57CCA">
        <w:t xml:space="preserve">, </w:t>
      </w:r>
      <w:r>
        <w:t xml:space="preserve">the override message </w:t>
      </w:r>
      <w:r w:rsidRPr="00B57CCA">
        <w:t xml:space="preserve">displays the </w:t>
      </w:r>
      <w:r>
        <w:t xml:space="preserve">original </w:t>
      </w:r>
      <w:r w:rsidRPr="00B57CCA">
        <w:t>expiration date.</w:t>
      </w:r>
    </w:p>
    <w:p w:rsidR="002A21AE" w:rsidRDefault="002A21AE">
      <w:pPr>
        <w:pStyle w:val="ListBullet"/>
      </w:pPr>
      <w:r>
        <w:t xml:space="preserve">Due to the variations in supplies </w:t>
      </w:r>
      <w:r w:rsidR="00C249B1">
        <w:t xml:space="preserve">and equipment </w:t>
      </w:r>
      <w:r>
        <w:t>used for other modification types, VBECS does not require supply</w:t>
      </w:r>
      <w:r w:rsidR="00C249B1">
        <w:t xml:space="preserve"> or equipment</w:t>
      </w:r>
      <w:r>
        <w:t xml:space="preserve"> entry</w:t>
      </w:r>
      <w:r w:rsidR="00C249B1">
        <w:t>,</w:t>
      </w:r>
      <w:r>
        <w:t xml:space="preserve"> but allows entry of those data as part of the modification record.</w:t>
      </w:r>
    </w:p>
    <w:p w:rsidR="002A21AE" w:rsidRDefault="002A21AE">
      <w:pPr>
        <w:pStyle w:val="ListBullet"/>
      </w:pPr>
      <w:r>
        <w:t>During the modification options (Modify Units: Pool Units; Modify Units: Split a Unit; Modify Units), a user may select an assigned blood unit for modification and transfer one patient assignment to the target units created.</w:t>
      </w:r>
    </w:p>
    <w:p w:rsidR="000145FB" w:rsidRDefault="000145FB" w:rsidP="000145FB">
      <w:pPr>
        <w:pStyle w:val="ListBullet"/>
      </w:pPr>
      <w:r>
        <w:t>To reverse other modifications, remove the “modified” status from each unit through Remove Final Status.</w:t>
      </w:r>
    </w:p>
    <w:p w:rsidR="003221B7" w:rsidRDefault="003221B7" w:rsidP="000145FB">
      <w:pPr>
        <w:pStyle w:val="ListBullet"/>
      </w:pPr>
      <w:r>
        <w:t>To edit the number of units in a</w:t>
      </w:r>
      <w:r w:rsidR="00892AB1">
        <w:t>n existing pool, use Add/Remove Units from a Pool.</w:t>
      </w:r>
    </w:p>
    <w:p w:rsidR="002A21AE" w:rsidRDefault="002A21AE">
      <w:pPr>
        <w:pStyle w:val="Heading4"/>
      </w:pPr>
      <w:bookmarkStart w:id="317" w:name="_Toc94349320"/>
      <w:r>
        <w:lastRenderedPageBreak/>
        <w:t>User Roles with Access to This Option</w:t>
      </w:r>
      <w:bookmarkEnd w:id="317"/>
    </w:p>
    <w:bookmarkEnd w:id="312"/>
    <w:p w:rsidR="000D69CE" w:rsidRDefault="000D69CE" w:rsidP="000D69CE">
      <w:pPr>
        <w:pStyle w:val="Roles"/>
        <w:rPr>
          <w:snapToGrid w:val="0"/>
        </w:rPr>
      </w:pPr>
      <w:r>
        <w:t>All users</w:t>
      </w:r>
    </w:p>
    <w:p w:rsidR="002A21AE" w:rsidRDefault="002A21AE">
      <w:pPr>
        <w:pStyle w:val="Heading4"/>
      </w:pPr>
      <w:bookmarkStart w:id="318" w:name="OLE_LINK27"/>
      <w:bookmarkStart w:id="319" w:name="OLE_LINK28"/>
      <w:r>
        <w:t>Modify Units</w:t>
      </w:r>
      <w:bookmarkEnd w:id="318"/>
      <w:bookmarkEnd w:id="319"/>
    </w:p>
    <w:p w:rsidR="002A21AE" w:rsidRDefault="002A21AE" w:rsidP="00FA7E65">
      <w:pPr>
        <w:pStyle w:val="BodyText"/>
      </w:pPr>
      <w:r>
        <w:t xml:space="preserve">The user selects the units to be modified. The user indicates the type of modification to be performed, then enters (preferably by scanning) the unit ID and product code. </w:t>
      </w:r>
    </w:p>
    <w:p w:rsidR="002A21AE" w:rsidRDefault="002A21AE" w:rsidP="00FA7E65">
      <w:pPr>
        <w:pStyle w:val="BodyText"/>
      </w:pPr>
      <w:r>
        <w:t>VBECS displays a creation date and time (default: current date and time) for the target units, which the user may change to a date and time in the past and not before the login date and time of the original unit. VBECS calculates a new expiration date for the target unit (based on the creation date and time</w:t>
      </w:r>
      <w:r w:rsidR="00C5700C">
        <w:t>, modification type, method, and original unit product type</w:t>
      </w:r>
      <w:r w:rsidR="00B14F35">
        <w:t>)</w:t>
      </w:r>
      <w:r>
        <w:t xml:space="preserve"> and records the date and time the original unit was modified. Some modification procedures require materials in addition to the new container. VBECS requires the entry of a new container lot number and SCD wafer, if indicated. </w:t>
      </w:r>
    </w:p>
    <w:p w:rsidR="002A21AE" w:rsidRDefault="00AA7C63" w:rsidP="00FA7E65">
      <w:pPr>
        <w:pStyle w:val="BodyText"/>
      </w:pPr>
      <w:r>
        <w:t>The modified target unit is now available for use.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tblHeader/>
        </w:trPr>
        <w:tc>
          <w:tcPr>
            <w:tcW w:w="3240" w:type="dxa"/>
            <w:shd w:val="pct30" w:color="auto" w:fill="FFFFFF"/>
            <w:vAlign w:val="bottom"/>
          </w:tcPr>
          <w:p w:rsidR="002A21AE" w:rsidRDefault="002A21AE">
            <w:pPr>
              <w:pStyle w:val="TableText"/>
              <w:rPr>
                <w:b/>
              </w:rPr>
            </w:pPr>
            <w:bookmarkStart w:id="320" w:name="_Toc63680363"/>
            <w:bookmarkStart w:id="321" w:name="_Toc79478694"/>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rsidP="002C6BD1">
            <w:pPr>
              <w:pStyle w:val="TableTextNumbers"/>
            </w:pPr>
            <w:r>
              <w:t xml:space="preserve">Select </w:t>
            </w:r>
            <w:r>
              <w:rPr>
                <w:b/>
              </w:rPr>
              <w:t>Blood Units</w:t>
            </w:r>
            <w:r>
              <w:t xml:space="preserve"> from the main menu. </w:t>
            </w:r>
          </w:p>
          <w:p w:rsidR="002A21AE" w:rsidRDefault="002A21AE">
            <w:pPr>
              <w:pStyle w:val="TableTextNumbersContinued"/>
            </w:pPr>
          </w:p>
          <w:p w:rsidR="002A21AE" w:rsidRDefault="002A21AE">
            <w:pPr>
              <w:pStyle w:val="TableTextNumbersContinued"/>
            </w:pPr>
            <w:r>
              <w:t xml:space="preserve">Select </w:t>
            </w:r>
            <w:r>
              <w:rPr>
                <w:b/>
              </w:rPr>
              <w:t>Modify Units</w:t>
            </w:r>
            <w:r>
              <w:t>.</w:t>
            </w:r>
          </w:p>
        </w:tc>
        <w:tc>
          <w:tcPr>
            <w:tcW w:w="6120" w:type="dxa"/>
          </w:tcPr>
          <w:p w:rsidR="002A21AE" w:rsidRDefault="002A21AE">
            <w:pPr>
              <w:pStyle w:val="TableTextBullet"/>
            </w:pPr>
            <w:r>
              <w:t>Displays options for processing blood units.</w:t>
            </w:r>
          </w:p>
          <w:p w:rsidR="002A21AE" w:rsidRDefault="00792C64">
            <w:pPr>
              <w:pStyle w:val="TableTextBullet"/>
            </w:pPr>
            <w:r w:rsidRPr="00792C64">
              <w:rPr>
                <w:vanish/>
                <w:szCs w:val="18"/>
              </w:rPr>
              <w:t>BR_26.32</w:t>
            </w:r>
            <w:r w:rsidR="002B1949">
              <w:rPr>
                <w:vanish/>
                <w:szCs w:val="18"/>
              </w:rPr>
              <w:t xml:space="preserve"> </w:t>
            </w:r>
            <w:r w:rsidR="002A21AE">
              <w:t xml:space="preserve">Displays valid modification options </w:t>
            </w:r>
            <w:r w:rsidR="00794BA2">
              <w:t xml:space="preserve">configured </w:t>
            </w:r>
            <w:r w:rsidR="002A21AE">
              <w:t xml:space="preserve">for the division and allows the user to select an option. </w:t>
            </w:r>
          </w:p>
        </w:tc>
      </w:tr>
      <w:tr w:rsidR="00504CD6">
        <w:tblPrEx>
          <w:tblCellMar>
            <w:top w:w="0" w:type="dxa"/>
            <w:bottom w:w="0" w:type="dxa"/>
          </w:tblCellMar>
        </w:tblPrEx>
        <w:tc>
          <w:tcPr>
            <w:tcW w:w="3240" w:type="dxa"/>
          </w:tcPr>
          <w:p w:rsidR="00504CD6" w:rsidRDefault="00504CD6" w:rsidP="00C92722">
            <w:pPr>
              <w:pStyle w:val="TableTextNumbers"/>
            </w:pPr>
            <w:r>
              <w:t>Enter the date and time of the unit modification.</w:t>
            </w:r>
          </w:p>
          <w:p w:rsidR="00504CD6" w:rsidRDefault="00504CD6" w:rsidP="007C035C">
            <w:pPr>
              <w:pStyle w:val="TableTextNumbersContinued"/>
            </w:pPr>
          </w:p>
          <w:p w:rsidR="00504CD6" w:rsidRDefault="00504CD6" w:rsidP="007C035C">
            <w:pPr>
              <w:pStyle w:val="TableTextNumbersContinued"/>
            </w:pPr>
            <w:r>
              <w:t xml:space="preserve">Enter the </w:t>
            </w:r>
            <w:r w:rsidR="007C035C">
              <w:t>name of the user who modifies the unit.</w:t>
            </w:r>
          </w:p>
        </w:tc>
        <w:tc>
          <w:tcPr>
            <w:tcW w:w="6120" w:type="dxa"/>
          </w:tcPr>
          <w:p w:rsidR="00504CD6" w:rsidRDefault="00504CD6" w:rsidP="00C92722">
            <w:pPr>
              <w:pStyle w:val="TableTextBullet"/>
            </w:pPr>
            <w:r>
              <w:t xml:space="preserve">Displays the default (current) date and time as the modification date and time. </w:t>
            </w:r>
          </w:p>
          <w:p w:rsidR="00504CD6" w:rsidRDefault="00504CD6" w:rsidP="00C92722">
            <w:pPr>
              <w:pStyle w:val="TableTextBullet"/>
            </w:pPr>
            <w:r>
              <w:t>Allows the user to change the date and time to a past date and time.</w:t>
            </w:r>
          </w:p>
          <w:p w:rsidR="00504CD6" w:rsidRDefault="00504CD6" w:rsidP="00C92722">
            <w:pPr>
              <w:pStyle w:val="TableText"/>
            </w:pPr>
          </w:p>
          <w:p w:rsidR="00504CD6" w:rsidRDefault="00634BFC" w:rsidP="00C92722">
            <w:pPr>
              <w:pStyle w:val="TableText"/>
              <w:rPr>
                <w:b/>
                <w:bCs/>
                <w:szCs w:val="18"/>
              </w:rPr>
            </w:pPr>
            <w:r>
              <w:rPr>
                <w:b/>
                <w:bCs/>
                <w:noProof/>
              </w:rPr>
              <mc:AlternateContent>
                <mc:Choice Requires="wps">
                  <w:drawing>
                    <wp:anchor distT="0" distB="0" distL="114300" distR="114300" simplePos="0" relativeHeight="25171814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87" name="Line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0"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" strokeweight="1.5pt"/>
                  </w:pict>
                </mc:Fallback>
              </mc:AlternateContent>
            </w:r>
            <w:r w:rsidR="00504CD6">
              <w:rPr>
                <w:b/>
                <w:bCs/>
                <w:szCs w:val="18"/>
              </w:rPr>
              <w:t>NOTES</w:t>
            </w:r>
          </w:p>
          <w:p w:rsidR="00504CD6" w:rsidRDefault="00504CD6" w:rsidP="00C92722">
            <w:pPr>
              <w:pStyle w:val="NotesText"/>
            </w:pPr>
          </w:p>
          <w:p w:rsidR="00504CD6" w:rsidRDefault="00504CD6" w:rsidP="00C92722">
            <w:pPr>
              <w:pStyle w:val="NotesText"/>
            </w:pPr>
            <w:r>
              <w:rPr>
                <w:rFonts w:cs="Arial"/>
                <w:vanish/>
              </w:rPr>
              <w:t xml:space="preserve">BR_26.01 </w:t>
            </w:r>
            <w:r>
              <w:t>The user may not enter a future date and time.</w:t>
            </w:r>
          </w:p>
        </w:tc>
      </w:tr>
      <w:tr w:rsidR="00504CD6">
        <w:tblPrEx>
          <w:tblCellMar>
            <w:top w:w="0" w:type="dxa"/>
            <w:bottom w:w="0" w:type="dxa"/>
          </w:tblCellMar>
        </w:tblPrEx>
        <w:trPr>
          <w:hidden/>
        </w:trPr>
        <w:tc>
          <w:tcPr>
            <w:tcW w:w="3240" w:type="dxa"/>
          </w:tcPr>
          <w:p w:rsidR="00504CD6" w:rsidRDefault="00504CD6" w:rsidP="00C92722">
            <w:pPr>
              <w:pStyle w:val="TableTextNumbers"/>
              <w:rPr>
                <w:b/>
              </w:rPr>
            </w:pPr>
            <w:r>
              <w:rPr>
                <w:rFonts w:cs="Arial"/>
                <w:vanish/>
              </w:rPr>
              <w:t xml:space="preserve">BR_26.10 </w:t>
            </w:r>
            <w:r>
              <w:t>Click a radio button to select a modification type:</w:t>
            </w:r>
            <w:r>
              <w:rPr>
                <w:b/>
              </w:rPr>
              <w:t xml:space="preserve"> </w:t>
            </w:r>
          </w:p>
          <w:p w:rsidR="00504CD6" w:rsidRDefault="00504CD6" w:rsidP="00C92722">
            <w:pPr>
              <w:pStyle w:val="TableTextNumbersBullet"/>
            </w:pPr>
            <w:r>
              <w:t xml:space="preserve">Thaw </w:t>
            </w:r>
          </w:p>
          <w:p w:rsidR="00504CD6" w:rsidRDefault="00504CD6" w:rsidP="00C92722">
            <w:pPr>
              <w:pStyle w:val="TableTextNumbersBullet"/>
            </w:pPr>
            <w:r>
              <w:t>Pool (See Modify Units: Pool Units.)</w:t>
            </w:r>
          </w:p>
          <w:p w:rsidR="00504CD6" w:rsidRDefault="00504CD6" w:rsidP="00C92722">
            <w:pPr>
              <w:pStyle w:val="TableTextNumbersBullet"/>
            </w:pPr>
            <w:r>
              <w:t>Thaw/Pool Cryo (See Modify Units: Pool Units.)</w:t>
            </w:r>
          </w:p>
          <w:p w:rsidR="00504CD6" w:rsidRDefault="00504CD6" w:rsidP="00C92722">
            <w:pPr>
              <w:pStyle w:val="TableTextNumbersBullet"/>
            </w:pPr>
            <w:r>
              <w:t>Split/Divide (See Modify Units: Split a Unit.)</w:t>
            </w:r>
          </w:p>
          <w:p w:rsidR="00504CD6" w:rsidRDefault="00504CD6" w:rsidP="00C92722">
            <w:pPr>
              <w:pStyle w:val="TableTextNumbersBullet"/>
            </w:pPr>
            <w:r>
              <w:t>Irradiate</w:t>
            </w:r>
          </w:p>
          <w:p w:rsidR="00504CD6" w:rsidRDefault="00504CD6" w:rsidP="00C92722">
            <w:pPr>
              <w:pStyle w:val="TableTextNumbersBullet"/>
            </w:pPr>
            <w:r>
              <w:t>Leukoreduce</w:t>
            </w:r>
          </w:p>
          <w:p w:rsidR="00504CD6" w:rsidRDefault="00504CD6" w:rsidP="00C92722">
            <w:pPr>
              <w:pStyle w:val="TableTextNumbersBullet"/>
            </w:pPr>
            <w:r>
              <w:t>Volume Reduce</w:t>
            </w:r>
          </w:p>
          <w:p w:rsidR="00504CD6" w:rsidRDefault="00504CD6" w:rsidP="00C92722">
            <w:pPr>
              <w:pStyle w:val="TableTextNumbersBullet"/>
            </w:pPr>
            <w:r>
              <w:t>Wash</w:t>
            </w:r>
          </w:p>
          <w:p w:rsidR="00504CD6" w:rsidRDefault="00504CD6" w:rsidP="00C92722">
            <w:pPr>
              <w:pStyle w:val="TableTextNumbersBullet"/>
            </w:pPr>
            <w:r>
              <w:t xml:space="preserve">Rejuvenate </w:t>
            </w:r>
          </w:p>
          <w:p w:rsidR="00504CD6" w:rsidRDefault="00504CD6" w:rsidP="00C92722">
            <w:pPr>
              <w:pStyle w:val="TableTextNumbersBullet"/>
            </w:pPr>
            <w:r>
              <w:t xml:space="preserve">Freeze </w:t>
            </w:r>
          </w:p>
          <w:p w:rsidR="00504CD6" w:rsidRDefault="00504CD6" w:rsidP="00C92722">
            <w:pPr>
              <w:pStyle w:val="TableTextNumbersBullet"/>
            </w:pPr>
            <w:r>
              <w:t>Deglycerolize</w:t>
            </w:r>
          </w:p>
          <w:p w:rsidR="00504CD6" w:rsidRDefault="00504CD6" w:rsidP="00C92722">
            <w:pPr>
              <w:pStyle w:val="TableTextNumbersBullet"/>
            </w:pPr>
            <w:r>
              <w:t>Add/Remove Units from Pool (See Add/Remove Units from a Pool.)</w:t>
            </w:r>
          </w:p>
        </w:tc>
        <w:tc>
          <w:tcPr>
            <w:tcW w:w="6120" w:type="dxa"/>
          </w:tcPr>
          <w:p w:rsidR="00504CD6" w:rsidRDefault="00504CD6" w:rsidP="00C92722">
            <w:pPr>
              <w:pStyle w:val="TableTextBullet"/>
            </w:pPr>
            <w:r>
              <w:t>Allows the user to enter data based on the modification type selected.</w:t>
            </w:r>
          </w:p>
          <w:p w:rsidR="00504CD6" w:rsidRDefault="00504CD6" w:rsidP="00C92722">
            <w:pPr>
              <w:pStyle w:val="TableTextBullet"/>
            </w:pPr>
            <w:r>
              <w:t>Allows the user to select a different processing technologist.</w:t>
            </w:r>
          </w:p>
          <w:p w:rsidR="00504CD6" w:rsidRDefault="00504CD6" w:rsidP="00C92722">
            <w:pPr>
              <w:pStyle w:val="TableTextBullet"/>
            </w:pPr>
            <w:r>
              <w:t>Displays only modifications enabled for the division.</w:t>
            </w:r>
          </w:p>
          <w:p w:rsidR="00504CD6" w:rsidRDefault="00504CD6" w:rsidP="00C92722">
            <w:pPr>
              <w:pStyle w:val="NotesText"/>
            </w:pPr>
          </w:p>
        </w:tc>
      </w:tr>
      <w:tr w:rsidR="002A21AE">
        <w:tblPrEx>
          <w:tblCellMar>
            <w:top w:w="0" w:type="dxa"/>
            <w:bottom w:w="0" w:type="dxa"/>
          </w:tblCellMar>
        </w:tblPrEx>
        <w:tc>
          <w:tcPr>
            <w:tcW w:w="3240" w:type="dxa"/>
          </w:tcPr>
          <w:p w:rsidR="002A21AE" w:rsidRDefault="002A21AE">
            <w:pPr>
              <w:pStyle w:val="TableTextNumbers"/>
            </w:pPr>
            <w:r>
              <w:t>Click a radio button to select a modification method, if required:</w:t>
            </w:r>
          </w:p>
          <w:p w:rsidR="002A21AE" w:rsidRDefault="002A21AE">
            <w:pPr>
              <w:pStyle w:val="TableTextNumbersBullet"/>
            </w:pPr>
            <w:r>
              <w:t>Open</w:t>
            </w:r>
          </w:p>
          <w:p w:rsidR="002A21AE" w:rsidRDefault="002A21AE">
            <w:pPr>
              <w:pStyle w:val="TableTextNumbersBullet"/>
            </w:pPr>
            <w:r>
              <w:t xml:space="preserve">Closed </w:t>
            </w:r>
          </w:p>
          <w:p w:rsidR="002A21AE" w:rsidRDefault="002A21AE">
            <w:pPr>
              <w:pStyle w:val="TableTextNumbersBullet"/>
            </w:pPr>
            <w:r>
              <w:t>Sterile Connection Device</w:t>
            </w:r>
            <w:r w:rsidR="001B4885">
              <w:t xml:space="preserve"> (</w:t>
            </w:r>
            <w:r w:rsidR="001B4885">
              <w:fldChar w:fldCharType="begin"/>
            </w:r>
            <w:r w:rsidR="001B4885">
              <w:instrText xml:space="preserve"> REF _Ref126649536 \h </w:instrText>
            </w:r>
            <w:r w:rsidR="001B4885">
              <w:fldChar w:fldCharType="separate"/>
            </w:r>
            <w:r w:rsidR="005F38BC">
              <w:t xml:space="preserve">Figure </w:t>
            </w:r>
            <w:r w:rsidR="005F38BC">
              <w:rPr>
                <w:noProof/>
              </w:rPr>
              <w:t>84</w:t>
            </w:r>
            <w:r w:rsidR="001B4885">
              <w:fldChar w:fldCharType="end"/>
            </w:r>
            <w:r w:rsidR="001B4885">
              <w:t>)</w:t>
            </w:r>
            <w:r>
              <w:t xml:space="preserve"> </w:t>
            </w:r>
          </w:p>
        </w:tc>
        <w:tc>
          <w:tcPr>
            <w:tcW w:w="6120" w:type="dxa"/>
          </w:tcPr>
          <w:p w:rsidR="002A21AE" w:rsidRDefault="002A21AE">
            <w:pPr>
              <w:pStyle w:val="TableTextBullet"/>
            </w:pPr>
            <w:r>
              <w:t>Displays the selected method.</w:t>
            </w:r>
          </w:p>
          <w:p w:rsidR="002A21AE" w:rsidRDefault="002A21AE" w:rsidP="0009404D">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5772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86" name="Line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1QpFQIAAC0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Oi/&#10;VCk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BR_26.22 </w:t>
            </w:r>
            <w:r>
              <w:t xml:space="preserve">VBECS stores the date and time for the original unit when it is modified. The </w:t>
            </w:r>
            <w:r w:rsidR="00600F6F">
              <w:t xml:space="preserve">modification </w:t>
            </w:r>
            <w:r>
              <w:t>date and time are also stored as the creation time for the target unit.</w:t>
            </w:r>
          </w:p>
          <w:p w:rsidR="002A21AE" w:rsidRDefault="002A21AE">
            <w:pPr>
              <w:pStyle w:val="NotesText"/>
            </w:pPr>
          </w:p>
          <w:p w:rsidR="002A21AE" w:rsidRDefault="002A21AE">
            <w:pPr>
              <w:pStyle w:val="NotesText"/>
            </w:pPr>
            <w:r>
              <w:rPr>
                <w:rFonts w:cs="Arial"/>
                <w:vanish/>
              </w:rPr>
              <w:t xml:space="preserve">BR_26.37 </w:t>
            </w:r>
            <w:r>
              <w:t xml:space="preserve">When the modification method is “Open” or “Sterile Connection </w:t>
            </w:r>
            <w:r>
              <w:lastRenderedPageBreak/>
              <w:t>Device (SCD),” the user must select a container supply type. When the modification method is “Closed,” VBECS does not allow the user to select a container supply type.</w:t>
            </w:r>
          </w:p>
          <w:p w:rsidR="002A21AE" w:rsidRDefault="002A21AE">
            <w:pPr>
              <w:pStyle w:val="NotesText"/>
            </w:pPr>
          </w:p>
          <w:p w:rsidR="002A21AE" w:rsidRDefault="002A21AE">
            <w:pPr>
              <w:pStyle w:val="NotesText"/>
            </w:pPr>
            <w:r>
              <w:rPr>
                <w:rFonts w:cs="Arial"/>
                <w:vanish/>
              </w:rPr>
              <w:t xml:space="preserve">BR_26.30 </w:t>
            </w:r>
            <w:r>
              <w:t>For an SCD modification method, the user must indicate the completeness of the weld</w:t>
            </w:r>
            <w:r w:rsidR="00725E6E">
              <w:t>, in accordance with local policy and procedures. VBECS defines weld status</w:t>
            </w:r>
            <w:r w:rsidR="007E2543">
              <w:t xml:space="preserve"> as</w:t>
            </w:r>
            <w:r>
              <w:t xml:space="preserve">: </w:t>
            </w:r>
          </w:p>
          <w:p w:rsidR="00396A5D" w:rsidRDefault="002A21AE" w:rsidP="00396A5D">
            <w:pPr>
              <w:pStyle w:val="NotesTextBullet"/>
            </w:pPr>
            <w:r>
              <w:t>Complete: the weld is complete and has no leakage or air bubbles.</w:t>
            </w:r>
          </w:p>
          <w:p w:rsidR="002A21AE" w:rsidRDefault="002A21AE" w:rsidP="00396A5D">
            <w:pPr>
              <w:pStyle w:val="NotesTextBullet"/>
            </w:pPr>
            <w:r>
              <w:t>Incomplete: the weld has a leak or air bubbles are present.</w:t>
            </w:r>
            <w:r w:rsidR="00396A5D">
              <w:t xml:space="preserve"> </w:t>
            </w:r>
            <w:r>
              <w:t xml:space="preserve">VBECS changes the expiration date and time of the unit to those of an open system for that product type. VBECS stores this weld check with the </w:t>
            </w:r>
            <w:r w:rsidR="0051757B">
              <w:t>historic</w:t>
            </w:r>
            <w:r>
              <w:t xml:space="preserve"> record of the target unit created in the modification.</w:t>
            </w:r>
          </w:p>
        </w:tc>
      </w:tr>
      <w:tr w:rsidR="002A21AE">
        <w:tblPrEx>
          <w:tblCellMar>
            <w:top w:w="0" w:type="dxa"/>
            <w:bottom w:w="0" w:type="dxa"/>
          </w:tblCellMar>
        </w:tblPrEx>
        <w:tc>
          <w:tcPr>
            <w:tcW w:w="3240" w:type="dxa"/>
          </w:tcPr>
          <w:p w:rsidR="002A21AE" w:rsidRDefault="00764A64">
            <w:pPr>
              <w:pStyle w:val="TableTextNumbers"/>
            </w:pPr>
            <w:r>
              <w:lastRenderedPageBreak/>
              <w:t xml:space="preserve">Click </w:t>
            </w:r>
            <w:r w:rsidRPr="00764A64">
              <w:rPr>
                <w:b/>
              </w:rPr>
              <w:t>OK</w:t>
            </w:r>
            <w:r>
              <w:t xml:space="preserve"> to a</w:t>
            </w:r>
            <w:r w:rsidR="002A21AE">
              <w:t xml:space="preserve">ccept </w:t>
            </w:r>
            <w:r w:rsidR="00403743">
              <w:t>the selected method</w:t>
            </w:r>
            <w:r>
              <w:t xml:space="preserve">, </w:t>
            </w:r>
            <w:r w:rsidR="002A21AE">
              <w:t xml:space="preserve">or edit </w:t>
            </w:r>
            <w:r>
              <w:t>it</w:t>
            </w:r>
            <w:r w:rsidR="002A21AE">
              <w:t>.</w:t>
            </w:r>
          </w:p>
        </w:tc>
        <w:tc>
          <w:tcPr>
            <w:tcW w:w="6120" w:type="dxa"/>
          </w:tcPr>
          <w:p w:rsidR="002A21AE" w:rsidRDefault="002A21AE">
            <w:pPr>
              <w:pStyle w:val="TableTextBullet"/>
            </w:pPr>
            <w:r>
              <w:t>Allows the user to scan, enter, or select units to modify.</w:t>
            </w:r>
          </w:p>
        </w:tc>
      </w:tr>
      <w:tr w:rsidR="002A21AE">
        <w:tblPrEx>
          <w:tblCellMar>
            <w:top w:w="0" w:type="dxa"/>
            <w:bottom w:w="0" w:type="dxa"/>
          </w:tblCellMar>
        </w:tblPrEx>
        <w:tc>
          <w:tcPr>
            <w:tcW w:w="3240" w:type="dxa"/>
          </w:tcPr>
          <w:p w:rsidR="002A21AE" w:rsidRDefault="002A21AE">
            <w:pPr>
              <w:pStyle w:val="TableTextNumbers"/>
            </w:pPr>
            <w:r>
              <w:t>Scan, enter, or select the ID and product code of the unit to be modified.</w:t>
            </w:r>
          </w:p>
        </w:tc>
        <w:tc>
          <w:tcPr>
            <w:tcW w:w="6120" w:type="dxa"/>
          </w:tcPr>
          <w:p w:rsidR="002A21AE" w:rsidRDefault="002A21AE">
            <w:pPr>
              <w:pStyle w:val="TableTextBullet"/>
            </w:pPr>
            <w:r>
              <w:t>Displays current data for the selected unit.</w:t>
            </w:r>
          </w:p>
          <w:p w:rsidR="002A21AE" w:rsidRDefault="002A21AE">
            <w:pPr>
              <w:pStyle w:val="TableTextBullet"/>
            </w:pPr>
            <w:r>
              <w:t>Verifies the appropriateness of the selected unit based on system rules and truth tables and displays error and warning messages based on the modification type selected and the user’s security level.</w:t>
            </w:r>
          </w:p>
          <w:p w:rsidR="002A21AE" w:rsidRDefault="002A21AE">
            <w:pPr>
              <w:pStyle w:val="TableTextBullet"/>
            </w:pPr>
            <w:r>
              <w:t>Prompts the user to continue with the selected unit or select a new unit based on the data in the review window.</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5158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85" name="Lin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4MSFQ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PC7&#10;gxI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BR_26.43 </w:t>
            </w:r>
            <w:r>
              <w:t>VBECS allows the user to select a product type for the original unit based on the selected modification type.</w:t>
            </w:r>
          </w:p>
          <w:p w:rsidR="002A21AE" w:rsidRDefault="002A21AE">
            <w:pPr>
              <w:pStyle w:val="NotesText"/>
            </w:pPr>
          </w:p>
          <w:p w:rsidR="002A21AE" w:rsidRDefault="002A21AE">
            <w:pPr>
              <w:pStyle w:val="NotesText"/>
            </w:pPr>
            <w:r>
              <w:t xml:space="preserve">See </w:t>
            </w:r>
            <w:r w:rsidR="00543DAF">
              <w:fldChar w:fldCharType="begin"/>
            </w:r>
            <w:r w:rsidR="00543DAF">
              <w:instrText xml:space="preserve"> REF _Ref170004931 \h </w:instrText>
            </w:r>
            <w:r w:rsidR="00543DAF">
              <w:fldChar w:fldCharType="separate"/>
            </w:r>
            <w:r w:rsidR="005F38BC">
              <w:t xml:space="preserve">Appendix </w:t>
            </w:r>
            <w:r w:rsidR="005F38BC">
              <w:rPr>
                <w:noProof/>
              </w:rPr>
              <w:t>B</w:t>
            </w:r>
            <w:r w:rsidR="00543DAF">
              <w:fldChar w:fldCharType="end"/>
            </w:r>
            <w:r>
              <w:t xml:space="preserve">: </w:t>
            </w:r>
            <w:r w:rsidR="00771DBD">
              <w:fldChar w:fldCharType="begin"/>
            </w:r>
            <w:r w:rsidR="00771DBD">
              <w:instrText xml:space="preserve"> REF _Ref126485019 \h </w:instrText>
            </w:r>
            <w:r w:rsidR="00771DBD">
              <w:fldChar w:fldCharType="separate"/>
            </w:r>
            <w:r w:rsidR="005F38BC">
              <w:t xml:space="preserve">Table </w:t>
            </w:r>
            <w:r w:rsidR="005F38BC">
              <w:rPr>
                <w:noProof/>
              </w:rPr>
              <w:t>22</w:t>
            </w:r>
            <w:r w:rsidR="005F38BC">
              <w:t xml:space="preserve">: </w:t>
            </w:r>
            <w:r w:rsidR="005F38BC">
              <w:rPr>
                <w:vanish/>
              </w:rPr>
              <w:t xml:space="preserve">TT_26.02A </w:t>
            </w:r>
            <w:r w:rsidR="005F38BC">
              <w:t>Allowable Product Modifications by Original Product Type</w:t>
            </w:r>
            <w:r w:rsidR="00771DBD">
              <w:fldChar w:fldCharType="end"/>
            </w:r>
            <w:r>
              <w:t>.</w:t>
            </w:r>
          </w:p>
          <w:p w:rsidR="002A21AE" w:rsidRDefault="002A21AE">
            <w:pPr>
              <w:pStyle w:val="NotesText"/>
            </w:pPr>
          </w:p>
          <w:p w:rsidR="00B00DEF" w:rsidRDefault="00B00DEF" w:rsidP="00B00DEF">
            <w:pPr>
              <w:pStyle w:val="NotesText"/>
            </w:pPr>
            <w:r>
              <w:rPr>
                <w:rFonts w:cs="Arial"/>
                <w:vanish/>
              </w:rPr>
              <w:t xml:space="preserve">BR_5.03 </w:t>
            </w:r>
            <w:r>
              <w:t xml:space="preserve">The user may select only active units and those not in an inactive or final status. </w:t>
            </w:r>
          </w:p>
          <w:p w:rsidR="002A21AE" w:rsidRDefault="002A21AE">
            <w:pPr>
              <w:pStyle w:val="NotesText"/>
            </w:pPr>
          </w:p>
          <w:p w:rsidR="002A21AE" w:rsidRDefault="002A21AE">
            <w:pPr>
              <w:pStyle w:val="NotesText"/>
            </w:pPr>
            <w:r w:rsidRPr="00636659">
              <w:rPr>
                <w:rFonts w:cs="Arial"/>
                <w:vanish/>
                <w:color w:val="0000FF"/>
              </w:rPr>
              <w:t>BR_26.33</w:t>
            </w:r>
            <w:r>
              <w:rPr>
                <w:rFonts w:cs="Arial"/>
                <w:vanish/>
              </w:rPr>
              <w:t xml:space="preserve"> </w:t>
            </w:r>
            <w:r>
              <w:t>When the user selects a status other than “limited,” “available,” “assigned,” or “crossmatched” for an original unit, VBECS warns the user. There is no override.</w:t>
            </w:r>
          </w:p>
          <w:p w:rsidR="002A21AE" w:rsidRDefault="002A21AE">
            <w:pPr>
              <w:pStyle w:val="NotesText"/>
            </w:pPr>
          </w:p>
          <w:p w:rsidR="002A21AE" w:rsidRDefault="002A21AE">
            <w:pPr>
              <w:pStyle w:val="NotesText"/>
            </w:pPr>
            <w:r w:rsidRPr="00FD2A6F">
              <w:rPr>
                <w:rFonts w:cs="Arial"/>
                <w:vanish/>
                <w:color w:val="0000FF"/>
              </w:rPr>
              <w:t>BR_26.36</w:t>
            </w:r>
            <w:r>
              <w:rPr>
                <w:rFonts w:cs="Arial"/>
                <w:vanish/>
              </w:rPr>
              <w:t xml:space="preserve"> </w:t>
            </w:r>
            <w:r>
              <w:t>When the selected unit is not appropriate for the modification type selected, VBECS warns the user and instructs him to verify the selected unit and modification type. There is no override. When the unit is expired or quarantined, VBECS displays an error message.</w:t>
            </w:r>
          </w:p>
          <w:p w:rsidR="002A21AE" w:rsidRDefault="002A21AE">
            <w:pPr>
              <w:pStyle w:val="NotesText"/>
            </w:pPr>
          </w:p>
          <w:p w:rsidR="002A21AE" w:rsidRDefault="002A21AE">
            <w:pPr>
              <w:pStyle w:val="NotesText"/>
            </w:pPr>
            <w:r>
              <w:rPr>
                <w:rFonts w:cs="Arial"/>
                <w:vanish/>
              </w:rPr>
              <w:t xml:space="preserve">BR_26.09 </w:t>
            </w:r>
            <w:r>
              <w:t>The user may select units containing red blood cells chosen for rejuvenation within three full days past their labeled expiration date. (For example, when a unit’s expiration date is the current day, VBECS counts this day as “day 0,” the next day as “day 1,” etc. The last acceptable date and time for selection is day 3 at 23:59). After this three-day period, VBECS considers the unit to be expired.</w:t>
            </w:r>
          </w:p>
          <w:p w:rsidR="002A21AE" w:rsidRDefault="002A21AE">
            <w:pPr>
              <w:pStyle w:val="NotesText"/>
            </w:pPr>
          </w:p>
          <w:p w:rsidR="002A21AE" w:rsidRDefault="002A21AE">
            <w:pPr>
              <w:pStyle w:val="NotesText"/>
            </w:pPr>
            <w:r>
              <w:rPr>
                <w:rFonts w:cs="Arial"/>
                <w:vanish/>
              </w:rPr>
              <w:t xml:space="preserve">BR_26.41 </w:t>
            </w:r>
            <w:r>
              <w:t>When the modification type is “volume reduce,” VBECS records the discarded plasma volume on the unit record. Otherwise, the user may not edit the Discarded Plasma Volume field. The discarded plasma volume may not be “0” (zero).</w:t>
            </w:r>
          </w:p>
          <w:p w:rsidR="002A21AE" w:rsidRDefault="002A21AE">
            <w:pPr>
              <w:pStyle w:val="NotesText"/>
            </w:pPr>
          </w:p>
          <w:p w:rsidR="002A21AE" w:rsidRDefault="002A21AE">
            <w:pPr>
              <w:pStyle w:val="NotesText"/>
            </w:pPr>
            <w:r w:rsidRPr="00896F17">
              <w:rPr>
                <w:rStyle w:val="BullhornChar"/>
              </w:rPr>
              <w:lastRenderedPageBreak/>
              <w:t></w:t>
            </w:r>
            <w:r w:rsidR="00C51C45" w:rsidRPr="00C51C45">
              <w:t xml:space="preserve"> </w:t>
            </w:r>
            <w:r>
              <w:t xml:space="preserve">See </w:t>
            </w:r>
            <w:r w:rsidR="00771DBD">
              <w:fldChar w:fldCharType="begin"/>
            </w:r>
            <w:r w:rsidR="00771DBD">
              <w:instrText xml:space="preserve"> REF _Ref126485060 \h </w:instrText>
            </w:r>
            <w:r w:rsidR="00771DBD">
              <w:fldChar w:fldCharType="separate"/>
            </w:r>
            <w:r w:rsidR="005F38BC">
              <w:t xml:space="preserve">Table </w:t>
            </w:r>
            <w:r w:rsidR="005F38BC">
              <w:rPr>
                <w:noProof/>
              </w:rPr>
              <w:t>5</w:t>
            </w:r>
            <w:r w:rsidR="00771DBD">
              <w:fldChar w:fldCharType="end"/>
            </w:r>
            <w:r>
              <w:t xml:space="preserve"> for alerts that may occur during this option.</w:t>
            </w:r>
          </w:p>
        </w:tc>
      </w:tr>
      <w:tr w:rsidR="002A21AE">
        <w:tblPrEx>
          <w:tblCellMar>
            <w:top w:w="0" w:type="dxa"/>
            <w:bottom w:w="0" w:type="dxa"/>
          </w:tblCellMar>
        </w:tblPrEx>
        <w:tc>
          <w:tcPr>
            <w:tcW w:w="3240" w:type="dxa"/>
          </w:tcPr>
          <w:p w:rsidR="002A21AE" w:rsidRDefault="00764A64">
            <w:pPr>
              <w:pStyle w:val="TableTextNumbers"/>
            </w:pPr>
            <w:r>
              <w:lastRenderedPageBreak/>
              <w:t xml:space="preserve">Click </w:t>
            </w:r>
            <w:r w:rsidRPr="00764A64">
              <w:rPr>
                <w:b/>
              </w:rPr>
              <w:t>OK</w:t>
            </w:r>
            <w:r>
              <w:t xml:space="preserve"> to accept </w:t>
            </w:r>
            <w:r w:rsidR="002A21AE">
              <w:t xml:space="preserve">the unit for modification. </w:t>
            </w:r>
          </w:p>
        </w:tc>
        <w:tc>
          <w:tcPr>
            <w:tcW w:w="6120" w:type="dxa"/>
          </w:tcPr>
          <w:p w:rsidR="002A21AE" w:rsidRDefault="002A21AE">
            <w:pPr>
              <w:pStyle w:val="TableTextBullet"/>
            </w:pPr>
            <w:r>
              <w:t xml:space="preserve">When the modification type is “thaw” or “irradiate,” </w:t>
            </w:r>
            <w:r w:rsidR="00971715">
              <w:t>allows</w:t>
            </w:r>
            <w:r>
              <w:t xml:space="preserve"> the user to select additional units to process or to continue processing the selected units. Otherwise, go to Step 8.</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5260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84" name="Lin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7"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SUFQ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CBP&#10;FJQ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BR_26.02 </w:t>
            </w:r>
            <w:r>
              <w:t>The user may process multiple products in a batch when the units are thawed or irradiated. The creation date and time apply to all units in the batch.</w:t>
            </w:r>
          </w:p>
        </w:tc>
      </w:tr>
      <w:tr w:rsidR="002A21AE">
        <w:tblPrEx>
          <w:tblCellMar>
            <w:top w:w="0" w:type="dxa"/>
            <w:bottom w:w="0" w:type="dxa"/>
          </w:tblCellMar>
        </w:tblPrEx>
        <w:tc>
          <w:tcPr>
            <w:tcW w:w="3240" w:type="dxa"/>
          </w:tcPr>
          <w:p w:rsidR="002A21AE" w:rsidRDefault="00764A64">
            <w:pPr>
              <w:pStyle w:val="TableTextNumbers"/>
            </w:pPr>
            <w:r>
              <w:t xml:space="preserve">Click the </w:t>
            </w:r>
            <w:r w:rsidRPr="00764A64">
              <w:rPr>
                <w:b/>
              </w:rPr>
              <w:t>Weld Complete</w:t>
            </w:r>
            <w:r>
              <w:t xml:space="preserve"> or </w:t>
            </w:r>
            <w:r w:rsidRPr="00764A64">
              <w:rPr>
                <w:b/>
              </w:rPr>
              <w:t xml:space="preserve">Weld Incomplete </w:t>
            </w:r>
            <w:r w:rsidRPr="00BF2E41">
              <w:t>radio button</w:t>
            </w:r>
            <w:r>
              <w:t xml:space="preserve"> to i</w:t>
            </w:r>
            <w:r w:rsidR="002A21AE">
              <w:t>ndicate the integrity of the SCD weld, when indicated.</w:t>
            </w:r>
          </w:p>
          <w:p w:rsidR="002A21AE" w:rsidRDefault="002A21AE">
            <w:pPr>
              <w:pStyle w:val="TableTextNumbersContinued"/>
            </w:pPr>
          </w:p>
          <w:p w:rsidR="002A21AE" w:rsidRDefault="00F437F8">
            <w:pPr>
              <w:pStyle w:val="TableTextNumbersContinued"/>
            </w:pPr>
            <w:r>
              <w:t xml:space="preserve">Click the </w:t>
            </w:r>
            <w:r w:rsidRPr="007B7DEC">
              <w:rPr>
                <w:b/>
              </w:rPr>
              <w:t>Container</w:t>
            </w:r>
            <w:r>
              <w:t xml:space="preserve">, </w:t>
            </w:r>
            <w:r w:rsidRPr="00764A64">
              <w:rPr>
                <w:b/>
              </w:rPr>
              <w:t>Supplies</w:t>
            </w:r>
            <w:r w:rsidRPr="007B7DEC">
              <w:t>,</w:t>
            </w:r>
            <w:r w:rsidR="0023261D">
              <w:t xml:space="preserve"> </w:t>
            </w:r>
            <w:r w:rsidRPr="00764A64">
              <w:rPr>
                <w:b/>
              </w:rPr>
              <w:t>Equipment</w:t>
            </w:r>
            <w:r w:rsidRPr="007B7DEC">
              <w:t>, or</w:t>
            </w:r>
            <w:r>
              <w:rPr>
                <w:b/>
              </w:rPr>
              <w:t xml:space="preserve"> SCD Wafer</w:t>
            </w:r>
            <w:r w:rsidRPr="00764A64">
              <w:rPr>
                <w:b/>
              </w:rPr>
              <w:t xml:space="preserve"> </w:t>
            </w:r>
            <w:r w:rsidRPr="00CC3C89">
              <w:t>tab</w:t>
            </w:r>
            <w:r w:rsidR="00764A64" w:rsidRPr="00CC3C89">
              <w:t xml:space="preserve"> </w:t>
            </w:r>
            <w:r w:rsidR="00764A64">
              <w:t>and enter</w:t>
            </w:r>
            <w:r w:rsidR="002A21AE">
              <w:t xml:space="preserve"> </w:t>
            </w:r>
            <w:r w:rsidR="00764A64">
              <w:t>an</w:t>
            </w:r>
            <w:r w:rsidR="002A21AE">
              <w:t>other supply and</w:t>
            </w:r>
            <w:r w:rsidR="00764A64">
              <w:t>/</w:t>
            </w:r>
            <w:r w:rsidR="002A21AE">
              <w:t>or equipment lot or ID number</w:t>
            </w:r>
            <w:r w:rsidR="00443BD5">
              <w:t xml:space="preserve"> (</w:t>
            </w:r>
            <w:r w:rsidR="00443BD5">
              <w:fldChar w:fldCharType="begin"/>
            </w:r>
            <w:r w:rsidR="00443BD5">
              <w:instrText xml:space="preserve"> REF _Ref126650409 \h </w:instrText>
            </w:r>
            <w:r w:rsidR="00443BD5">
              <w:fldChar w:fldCharType="separate"/>
            </w:r>
            <w:r w:rsidR="005F38BC">
              <w:t xml:space="preserve">Figure </w:t>
            </w:r>
            <w:r w:rsidR="005F38BC">
              <w:rPr>
                <w:noProof/>
              </w:rPr>
              <w:t>85</w:t>
            </w:r>
            <w:r w:rsidR="00443BD5">
              <w:fldChar w:fldCharType="end"/>
            </w:r>
            <w:r w:rsidR="00443BD5">
              <w:t>)</w:t>
            </w:r>
            <w:r w:rsidR="002A21AE">
              <w:t xml:space="preserve">. </w:t>
            </w:r>
          </w:p>
          <w:p w:rsidR="002A21AE" w:rsidRDefault="002A21AE">
            <w:pPr>
              <w:pStyle w:val="TableTextNumbers"/>
              <w:numPr>
                <w:ilvl w:val="0"/>
                <w:numId w:val="0"/>
              </w:numPr>
            </w:pPr>
          </w:p>
        </w:tc>
        <w:tc>
          <w:tcPr>
            <w:tcW w:w="6120" w:type="dxa"/>
          </w:tcPr>
          <w:p w:rsidR="002A21AE" w:rsidRDefault="002A21AE">
            <w:pPr>
              <w:pStyle w:val="TableTextBullet"/>
            </w:pPr>
            <w:r>
              <w:t>Calculates and displays a default expiration date and time of the target unit based on rules specific to the original blood product, the modification type, and processing conditions (open, closed); prompts the user to accept the date and time; and allows the user to edit them.</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5670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83" name="Line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fuLFQIAAC0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HaV&#10;+4s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BR_26.31 </w:t>
            </w:r>
            <w:r>
              <w:t xml:space="preserve">VBECS maintains lot and ID numbers entered, the new container lot number in the unit modification record, and the </w:t>
            </w:r>
            <w:r w:rsidR="0051757B">
              <w:t>historic</w:t>
            </w:r>
            <w:r>
              <w:t xml:space="preserve"> record of the target unit.</w:t>
            </w:r>
          </w:p>
          <w:p w:rsidR="002A21AE" w:rsidRDefault="002A21AE">
            <w:pPr>
              <w:pStyle w:val="NotesText"/>
            </w:pPr>
          </w:p>
          <w:p w:rsidR="002A21AE" w:rsidRDefault="002A21AE">
            <w:pPr>
              <w:pStyle w:val="NotesText"/>
            </w:pPr>
            <w:r w:rsidRPr="009174D5">
              <w:rPr>
                <w:rFonts w:cs="Arial"/>
                <w:vanish/>
              </w:rPr>
              <w:t>BR_26.45</w:t>
            </w:r>
            <w:r>
              <w:rPr>
                <w:rFonts w:cs="Arial"/>
                <w:vanish/>
              </w:rPr>
              <w:t xml:space="preserve"> </w:t>
            </w:r>
            <w:r>
              <w:t>VBECS checks the inventory system for the supply name, lot numbers, expiration date, and a quantity greater than “0” (zero). VBECS does not allow the user to select supplies with an “unsatisfactory” value in the Inspection field. When the user enters an unsatisfactory supply lot number, VBECS warns the user. The user must select a different supply item.</w:t>
            </w:r>
          </w:p>
          <w:p w:rsidR="002A21AE" w:rsidRDefault="002A21AE">
            <w:pPr>
              <w:pStyle w:val="NotesText"/>
            </w:pPr>
          </w:p>
          <w:p w:rsidR="002A21AE" w:rsidRDefault="00C51C45">
            <w:pPr>
              <w:pStyle w:val="NotesText"/>
            </w:pPr>
            <w:r w:rsidRPr="00896F17">
              <w:rPr>
                <w:rStyle w:val="BullhornChar"/>
              </w:rPr>
              <w:t></w:t>
            </w:r>
            <w:r w:rsidRPr="00C51C45">
              <w:t xml:space="preserve"> </w:t>
            </w:r>
            <w:r>
              <w:t>See</w:t>
            </w:r>
            <w:r w:rsidR="002A21AE">
              <w:t xml:space="preserve"> </w:t>
            </w:r>
            <w:r w:rsidR="00771DBD">
              <w:fldChar w:fldCharType="begin"/>
            </w:r>
            <w:r w:rsidR="00771DBD">
              <w:instrText xml:space="preserve"> REF _Ref126485060 \h </w:instrText>
            </w:r>
            <w:r w:rsidR="00771DBD">
              <w:fldChar w:fldCharType="separate"/>
            </w:r>
            <w:r w:rsidR="005F38BC">
              <w:t xml:space="preserve">Table </w:t>
            </w:r>
            <w:r w:rsidR="005F38BC">
              <w:rPr>
                <w:noProof/>
              </w:rPr>
              <w:t>5</w:t>
            </w:r>
            <w:r w:rsidR="00771DBD">
              <w:fldChar w:fldCharType="end"/>
            </w:r>
            <w:r w:rsidR="002A21AE">
              <w:t xml:space="preserve"> for alerts that may occur during this option.</w:t>
            </w:r>
          </w:p>
        </w:tc>
      </w:tr>
      <w:tr w:rsidR="002A21AE">
        <w:tblPrEx>
          <w:tblCellMar>
            <w:top w:w="0" w:type="dxa"/>
            <w:bottom w:w="0" w:type="dxa"/>
          </w:tblCellMar>
        </w:tblPrEx>
        <w:tc>
          <w:tcPr>
            <w:tcW w:w="3240" w:type="dxa"/>
          </w:tcPr>
          <w:p w:rsidR="002A21AE" w:rsidRDefault="002A21AE">
            <w:pPr>
              <w:pStyle w:val="TableTextNumbers"/>
            </w:pPr>
            <w:r>
              <w:t>Select</w:t>
            </w:r>
            <w:r w:rsidR="00764A64">
              <w:t xml:space="preserve"> a target product type from the drop-down list in the Product field.</w:t>
            </w:r>
          </w:p>
        </w:tc>
        <w:tc>
          <w:tcPr>
            <w:tcW w:w="6120" w:type="dxa"/>
          </w:tcPr>
          <w:p w:rsidR="002A21AE" w:rsidRDefault="002A21AE">
            <w:pPr>
              <w:pStyle w:val="TableTextBullet"/>
            </w:pPr>
            <w:r>
              <w:t xml:space="preserve">Displays target component types for the modification, conditions selected, and the original unit product type, and allows the user to select a single </w:t>
            </w:r>
            <w:r w:rsidR="00AF09D3">
              <w:t xml:space="preserve">product </w:t>
            </w:r>
            <w:r>
              <w:t>type.</w:t>
            </w:r>
          </w:p>
          <w:p w:rsidR="002A21AE" w:rsidRDefault="002A21AE">
            <w:pPr>
              <w:pStyle w:val="TableTextBullet"/>
            </w:pPr>
            <w:r>
              <w:t>Verifies that an active target component was selected and warns the user.</w:t>
            </w:r>
          </w:p>
          <w:p w:rsidR="002A21AE" w:rsidRDefault="002A21AE">
            <w:pPr>
              <w:pStyle w:val="TableTextBullet"/>
            </w:pPr>
            <w:r>
              <w:t>Allows the user to enter lot and ID numbers (with auto-completion) or select multiple items from the supply and equipment lists.</w:t>
            </w:r>
          </w:p>
          <w:p w:rsidR="002A21AE" w:rsidRDefault="002A21AE">
            <w:pPr>
              <w:pStyle w:val="TableTextBullet"/>
            </w:pPr>
            <w:r>
              <w:t>Warns that the target unit is not active and allows the user to activate the target component.</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5363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82" name="Lin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8"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k/wFQIAAC0EAAAOAAAAZHJzL2Uyb0RvYy54bWysU8GO2yAQvVfqPyDuie2sN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Ls2&#10;T/A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BR_26.13 </w:t>
            </w:r>
            <w:r>
              <w:t xml:space="preserve">The user must select a modification method (open, closed, Sterile Connection Device) for modification types, as described in </w:t>
            </w:r>
            <w:r w:rsidR="00543DAF">
              <w:fldChar w:fldCharType="begin"/>
            </w:r>
            <w:r w:rsidR="00543DAF">
              <w:instrText xml:space="preserve"> REF _Ref170004931 \h </w:instrText>
            </w:r>
            <w:r w:rsidR="00543DAF">
              <w:fldChar w:fldCharType="separate"/>
            </w:r>
            <w:r w:rsidR="005F38BC">
              <w:t xml:space="preserve">Appendix </w:t>
            </w:r>
            <w:r w:rsidR="005F38BC">
              <w:rPr>
                <w:noProof/>
              </w:rPr>
              <w:t>B</w:t>
            </w:r>
            <w:r w:rsidR="00543DAF">
              <w:fldChar w:fldCharType="end"/>
            </w:r>
            <w:r>
              <w:t xml:space="preserve">: </w:t>
            </w:r>
            <w:r w:rsidR="00771DBD">
              <w:fldChar w:fldCharType="begin"/>
            </w:r>
            <w:r w:rsidR="00771DBD">
              <w:instrText xml:space="preserve"> REF _Ref126485828 \h </w:instrText>
            </w:r>
            <w:r w:rsidR="00771DBD">
              <w:fldChar w:fldCharType="separate"/>
            </w:r>
            <w:r w:rsidR="005F38BC">
              <w:t xml:space="preserve">Table </w:t>
            </w:r>
            <w:r w:rsidR="005F38BC">
              <w:rPr>
                <w:noProof/>
              </w:rPr>
              <w:t>22</w:t>
            </w:r>
            <w:r w:rsidR="005F38BC">
              <w:t xml:space="preserve">: </w:t>
            </w:r>
            <w:r w:rsidR="005F38BC">
              <w:rPr>
                <w:vanish/>
              </w:rPr>
              <w:t xml:space="preserve">TT_26.02A </w:t>
            </w:r>
            <w:r w:rsidR="005F38BC">
              <w:t>Allowable Product Modifications by Original Product Type</w:t>
            </w:r>
            <w:r w:rsidR="00771DBD">
              <w:fldChar w:fldCharType="end"/>
            </w:r>
            <w:r>
              <w:t>.</w:t>
            </w:r>
          </w:p>
          <w:p w:rsidR="002A21AE" w:rsidRDefault="002A21AE">
            <w:pPr>
              <w:pStyle w:val="NotesText"/>
            </w:pPr>
          </w:p>
          <w:p w:rsidR="002A21AE" w:rsidRDefault="002A21AE">
            <w:pPr>
              <w:pStyle w:val="NotesText"/>
            </w:pPr>
            <w:r>
              <w:rPr>
                <w:rFonts w:cs="Arial"/>
                <w:vanish/>
              </w:rPr>
              <w:t xml:space="preserve">BR_26.12 </w:t>
            </w:r>
            <w:r>
              <w:t>VBECS displays available target component types based on ISBT 128 modification rules and site parameters for the division.</w:t>
            </w:r>
          </w:p>
          <w:p w:rsidR="002A21AE" w:rsidRDefault="002A21AE">
            <w:pPr>
              <w:pStyle w:val="NotesText"/>
            </w:pPr>
          </w:p>
          <w:p w:rsidR="002A21AE" w:rsidRDefault="002A21AE">
            <w:pPr>
              <w:pStyle w:val="NotesText"/>
            </w:pPr>
            <w:r>
              <w:rPr>
                <w:rFonts w:cs="Arial"/>
                <w:vanish/>
              </w:rPr>
              <w:t xml:space="preserve">BR_26.11 </w:t>
            </w:r>
            <w:r>
              <w:t>When the user selects a target component type not marked as active, VBECS warns the user, allows him to mark the target component as active, and returns him to this step in the modification process. Otherwise, VBECS returns the user to this step and allows him to select another target component type.</w:t>
            </w:r>
          </w:p>
          <w:p w:rsidR="002A21AE" w:rsidRDefault="002A21AE">
            <w:pPr>
              <w:pStyle w:val="NotesText"/>
            </w:pPr>
          </w:p>
          <w:p w:rsidR="002A21AE" w:rsidRDefault="002A21AE">
            <w:pPr>
              <w:pStyle w:val="NotesText"/>
              <w:rPr>
                <w:color w:val="000000"/>
                <w:szCs w:val="18"/>
              </w:rPr>
            </w:pPr>
            <w:r>
              <w:rPr>
                <w:rFonts w:cs="Arial"/>
                <w:vanish/>
              </w:rPr>
              <w:t>BR_8.01</w:t>
            </w:r>
            <w:r>
              <w:rPr>
                <w:rFonts w:cs="Arial"/>
                <w:vanish/>
                <w:szCs w:val="18"/>
              </w:rPr>
              <w:t xml:space="preserve"> </w:t>
            </w:r>
            <w:r>
              <w:rPr>
                <w:color w:val="000000"/>
                <w:szCs w:val="18"/>
              </w:rPr>
              <w:t xml:space="preserve">Site parameters indicate which products in the product code </w:t>
            </w:r>
            <w:r>
              <w:rPr>
                <w:color w:val="000000"/>
                <w:szCs w:val="18"/>
              </w:rPr>
              <w:lastRenderedPageBreak/>
              <w:t>database are marked as active for a division. The user may define fields for a product type at a site:</w:t>
            </w:r>
          </w:p>
          <w:p w:rsidR="002A21AE" w:rsidRDefault="002A21AE">
            <w:pPr>
              <w:pStyle w:val="NotesTextBullet"/>
            </w:pPr>
            <w:r>
              <w:t>Division shipper (automatically set to the user’s division):</w:t>
            </w:r>
          </w:p>
          <w:p w:rsidR="002A21AE" w:rsidRDefault="002A21AE">
            <w:pPr>
              <w:pStyle w:val="NotesTextBullet1"/>
            </w:pPr>
            <w:r>
              <w:t>Cost (U.S. currency)</w:t>
            </w:r>
          </w:p>
          <w:p w:rsidR="002A21AE" w:rsidRDefault="002A21AE">
            <w:pPr>
              <w:pStyle w:val="NotesTextBullet1"/>
            </w:pPr>
            <w:r>
              <w:t>Return Credit Percentage</w:t>
            </w:r>
          </w:p>
          <w:p w:rsidR="002A21AE" w:rsidRDefault="002A21AE">
            <w:pPr>
              <w:pStyle w:val="NotesTextBullet1"/>
            </w:pPr>
            <w:r>
              <w:t>Active?</w:t>
            </w:r>
          </w:p>
          <w:p w:rsidR="002A21AE" w:rsidRDefault="002A21AE">
            <w:pPr>
              <w:pStyle w:val="NotesText"/>
            </w:pPr>
          </w:p>
          <w:p w:rsidR="002A21AE" w:rsidRDefault="002A21AE">
            <w:pPr>
              <w:pStyle w:val="NotesText"/>
            </w:pPr>
            <w:r>
              <w:t>These are the only fields in the blood product table that are editable.</w:t>
            </w:r>
          </w:p>
          <w:p w:rsidR="002A21AE" w:rsidRDefault="002A21AE">
            <w:pPr>
              <w:pStyle w:val="NotesText"/>
            </w:pPr>
          </w:p>
          <w:p w:rsidR="002A21AE" w:rsidRDefault="002A21AE">
            <w:pPr>
              <w:pStyle w:val="NotesText"/>
            </w:pPr>
            <w:r>
              <w:rPr>
                <w:rFonts w:cs="Arial"/>
                <w:vanish/>
              </w:rPr>
              <w:t xml:space="preserve">BR_26.16 </w:t>
            </w:r>
            <w:r>
              <w:t>When the original unit type did not require ABO/Rh confirmation, the target unit</w:t>
            </w:r>
            <w:r w:rsidR="00004786">
              <w:t>, when created,</w:t>
            </w:r>
            <w:r>
              <w:t xml:space="preserve"> does not either. The target unit is immediately available for assignment, crossmatch, issue, or transfusion on completion of the modification. </w:t>
            </w:r>
          </w:p>
          <w:p w:rsidR="002A21AE" w:rsidRDefault="002A21AE">
            <w:pPr>
              <w:pStyle w:val="NotesText"/>
            </w:pPr>
          </w:p>
          <w:p w:rsidR="002A21AE" w:rsidRDefault="002A21AE">
            <w:pPr>
              <w:pStyle w:val="NotesText"/>
            </w:pPr>
            <w:r>
              <w:rPr>
                <w:rFonts w:cs="Arial"/>
                <w:vanish/>
              </w:rPr>
              <w:t xml:space="preserve">BR_26.23 </w:t>
            </w:r>
            <w:r>
              <w:t>When ABO/Rh confirmation testing was not performed on the original unit when the target unit was created, VBECS assigns “limited” status to the target unit and saves it for inclusion in an ABO/Rh confirmation worksheet.</w:t>
            </w:r>
          </w:p>
          <w:p w:rsidR="002A21AE" w:rsidRDefault="002A21AE">
            <w:pPr>
              <w:pStyle w:val="NotesText"/>
            </w:pPr>
            <w:r>
              <w:tab/>
            </w:r>
          </w:p>
          <w:p w:rsidR="002A21AE" w:rsidRDefault="002A21AE">
            <w:pPr>
              <w:pStyle w:val="NotesText"/>
            </w:pPr>
            <w:r w:rsidRPr="003F0C14">
              <w:rPr>
                <w:rFonts w:cs="Arial"/>
                <w:vanish/>
                <w:color w:val="0000FF"/>
              </w:rPr>
              <w:t>BR_26.25</w:t>
            </w:r>
            <w:r>
              <w:rPr>
                <w:rFonts w:cs="Arial"/>
                <w:vanish/>
              </w:rPr>
              <w:t xml:space="preserve"> </w:t>
            </w:r>
            <w:r>
              <w:t xml:space="preserve">When the original unit is assigned or crossmatched to a patient at the time of modification, VBECS notifies the user and asks whether he wishes to automatically assign the modified units to the patient. </w:t>
            </w:r>
            <w:r>
              <w:rPr>
                <w:b/>
              </w:rPr>
              <w:t>Yes</w:t>
            </w:r>
            <w:r>
              <w:t xml:space="preserve"> (default) applies the unit’s assignment or crossmatch data to the target component. </w:t>
            </w:r>
            <w:r>
              <w:rPr>
                <w:b/>
              </w:rPr>
              <w:t>No</w:t>
            </w:r>
            <w:r>
              <w:t xml:space="preserve"> does not apply the assignment to the target, and changes the target unit status to “available.” The original unit </w:t>
            </w:r>
            <w:r w:rsidR="006212E6">
              <w:t>retains patient assignment</w:t>
            </w:r>
            <w:r w:rsidR="00AA6C54">
              <w:t xml:space="preserve"> </w:t>
            </w:r>
            <w:r>
              <w:t>in both cases.</w:t>
            </w:r>
          </w:p>
          <w:p w:rsidR="002A21AE" w:rsidRDefault="002A21AE">
            <w:pPr>
              <w:pStyle w:val="NotesText"/>
            </w:pPr>
          </w:p>
          <w:p w:rsidR="002A21AE" w:rsidRDefault="00C51C45">
            <w:pPr>
              <w:pStyle w:val="NotesText"/>
            </w:pPr>
            <w:r w:rsidRPr="00896F17">
              <w:rPr>
                <w:rStyle w:val="BullhornChar"/>
              </w:rPr>
              <w:t></w:t>
            </w:r>
            <w:r w:rsidRPr="00C51C45">
              <w:t xml:space="preserve"> </w:t>
            </w:r>
            <w:r>
              <w:t>See</w:t>
            </w:r>
            <w:r w:rsidR="002A21AE">
              <w:t xml:space="preserve"> </w:t>
            </w:r>
            <w:r w:rsidR="00771DBD">
              <w:fldChar w:fldCharType="begin"/>
            </w:r>
            <w:r w:rsidR="00771DBD">
              <w:instrText xml:space="preserve"> REF _Ref126485060 \h </w:instrText>
            </w:r>
            <w:r w:rsidR="00771DBD">
              <w:fldChar w:fldCharType="separate"/>
            </w:r>
            <w:r w:rsidR="005F38BC">
              <w:t xml:space="preserve">Table </w:t>
            </w:r>
            <w:r w:rsidR="005F38BC">
              <w:rPr>
                <w:noProof/>
              </w:rPr>
              <w:t>5</w:t>
            </w:r>
            <w:r w:rsidR="00771DBD">
              <w:fldChar w:fldCharType="end"/>
            </w:r>
            <w:r w:rsidR="002A21AE">
              <w:t xml:space="preserve"> for alerts that may occur during this option.</w:t>
            </w:r>
          </w:p>
        </w:tc>
      </w:tr>
      <w:tr w:rsidR="002A21AE">
        <w:tblPrEx>
          <w:tblCellMar>
            <w:top w:w="0" w:type="dxa"/>
            <w:bottom w:w="0" w:type="dxa"/>
          </w:tblCellMar>
        </w:tblPrEx>
        <w:tc>
          <w:tcPr>
            <w:tcW w:w="3240" w:type="dxa"/>
          </w:tcPr>
          <w:p w:rsidR="002A21AE" w:rsidRDefault="00C239D1" w:rsidP="00C239D1">
            <w:pPr>
              <w:pStyle w:val="TableTextNumbers"/>
            </w:pPr>
            <w:r>
              <w:lastRenderedPageBreak/>
              <w:t>Accept or edit</w:t>
            </w:r>
            <w:r w:rsidR="00A77D1F">
              <w:t xml:space="preserve"> the</w:t>
            </w:r>
            <w:r w:rsidR="002A21AE">
              <w:t xml:space="preserve"> expiration date.</w:t>
            </w:r>
          </w:p>
        </w:tc>
        <w:tc>
          <w:tcPr>
            <w:tcW w:w="6120" w:type="dxa"/>
          </w:tcPr>
          <w:p w:rsidR="002A21AE" w:rsidRDefault="002A21AE">
            <w:pPr>
              <w:pStyle w:val="TableTextBullet"/>
            </w:pPr>
            <w:r>
              <w:t>Verifies the validity of the expiration date and warns the user, if indicated.</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5465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81" name="Lin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cRkFQIAAC0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Eyt&#10;xGQ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BR_26.34 </w:t>
            </w:r>
            <w:r>
              <w:t>When VBECS calculates the expiration date of a unit in days, starting from the date and time of modification, the expiration time is 23:59. When VBECS calculates the expiration date in hours, the unit expires at the specified hour and minute.</w:t>
            </w:r>
          </w:p>
          <w:p w:rsidR="002A21AE" w:rsidRDefault="002A21AE">
            <w:pPr>
              <w:pStyle w:val="NotesText"/>
            </w:pPr>
          </w:p>
          <w:p w:rsidR="002A21AE" w:rsidRDefault="002A21AE">
            <w:pPr>
              <w:pStyle w:val="NotesText"/>
            </w:pPr>
            <w:r>
              <w:rPr>
                <w:rFonts w:cs="Arial"/>
                <w:vanish/>
              </w:rPr>
              <w:t xml:space="preserve">BR_26.20 </w:t>
            </w:r>
            <w:r>
              <w:t>VBECS calculates an expiration date for the target component. For all modification types except Rejuv</w:t>
            </w:r>
            <w:r w:rsidR="00380E19">
              <w:t>enate</w:t>
            </w:r>
            <w:r>
              <w:t xml:space="preserve"> and Freeze, VBECS compares the calculated expiration date with that of the original unit and displays the earlier of the two as the default. The user may edit the calculated expiration date. (Due to the nature of the process, the calculated expiration date will greatly exceed the original expiration date of the original unit for Rejuv</w:t>
            </w:r>
            <w:r w:rsidR="00380E19">
              <w:t>enate</w:t>
            </w:r>
            <w:r>
              <w:t xml:space="preserve"> and Freeze, and will supersede the unit</w:t>
            </w:r>
            <w:r w:rsidR="00FA7E65">
              <w:t>’</w:t>
            </w:r>
            <w:r>
              <w:t>s original expiration date.)</w:t>
            </w:r>
          </w:p>
        </w:tc>
      </w:tr>
      <w:tr w:rsidR="002A21AE">
        <w:tblPrEx>
          <w:tblCellMar>
            <w:top w:w="0" w:type="dxa"/>
            <w:bottom w:w="0" w:type="dxa"/>
          </w:tblCellMar>
        </w:tblPrEx>
        <w:tc>
          <w:tcPr>
            <w:tcW w:w="3240" w:type="dxa"/>
          </w:tcPr>
          <w:p w:rsidR="002A21AE" w:rsidRDefault="002A21AE">
            <w:pPr>
              <w:pStyle w:val="TableTextNumbers"/>
            </w:pPr>
            <w:r>
              <w:t xml:space="preserve">Review the displayed unit data and </w:t>
            </w:r>
            <w:r w:rsidR="00A77D1F">
              <w:t xml:space="preserve">click </w:t>
            </w:r>
            <w:r w:rsidR="00A77D1F" w:rsidRPr="00A77D1F">
              <w:rPr>
                <w:b/>
              </w:rPr>
              <w:t>OK</w:t>
            </w:r>
            <w:r w:rsidR="00A77D1F">
              <w:t xml:space="preserve"> to </w:t>
            </w:r>
            <w:r>
              <w:t>confirm the modification.</w:t>
            </w:r>
          </w:p>
          <w:p w:rsidR="00A77D1F" w:rsidRDefault="00A77D1F" w:rsidP="00A77D1F">
            <w:pPr>
              <w:pStyle w:val="TableTextNumbersContinued"/>
            </w:pPr>
          </w:p>
          <w:p w:rsidR="00A77D1F" w:rsidRDefault="00C239D1" w:rsidP="00A77D1F">
            <w:pPr>
              <w:pStyle w:val="TableTextNumbersContinued"/>
            </w:pPr>
            <w:r>
              <w:t>If the unit has been relabeled, c</w:t>
            </w:r>
            <w:r w:rsidR="00A77D1F">
              <w:t xml:space="preserve">lick </w:t>
            </w:r>
            <w:r w:rsidR="00A77D1F" w:rsidRPr="00A77D1F">
              <w:rPr>
                <w:b/>
              </w:rPr>
              <w:t>Yes</w:t>
            </w:r>
            <w:r w:rsidR="00A77D1F">
              <w:t xml:space="preserve"> to verify the label</w:t>
            </w:r>
            <w:r>
              <w:t xml:space="preserve"> </w:t>
            </w:r>
            <w:r w:rsidR="00F331EC">
              <w:t>(</w:t>
            </w:r>
            <w:r w:rsidR="00051E30">
              <w:fldChar w:fldCharType="begin"/>
            </w:r>
            <w:r w:rsidR="00051E30">
              <w:instrText xml:space="preserve"> REF _Ref126650852 \h </w:instrText>
            </w:r>
            <w:r w:rsidR="00051E30">
              <w:fldChar w:fldCharType="separate"/>
            </w:r>
            <w:r w:rsidR="005F38BC">
              <w:t xml:space="preserve">Figure </w:t>
            </w:r>
            <w:r w:rsidR="005F38BC">
              <w:rPr>
                <w:noProof/>
              </w:rPr>
              <w:t>86</w:t>
            </w:r>
            <w:r w:rsidR="00051E30">
              <w:fldChar w:fldCharType="end"/>
            </w:r>
            <w:r w:rsidR="00F331EC">
              <w:t>)</w:t>
            </w:r>
            <w:r w:rsidR="00A77D1F">
              <w:t>.</w:t>
            </w:r>
          </w:p>
          <w:p w:rsidR="0014066B" w:rsidRDefault="0014066B" w:rsidP="00A77D1F">
            <w:pPr>
              <w:pStyle w:val="TableTextNumbersContinued"/>
            </w:pPr>
          </w:p>
          <w:p w:rsidR="0014066B" w:rsidRDefault="0014066B" w:rsidP="00A77D1F">
            <w:pPr>
              <w:pStyle w:val="TableTextNumbersContinued"/>
            </w:pPr>
            <w:r>
              <w:lastRenderedPageBreak/>
              <w:t xml:space="preserve">Click </w:t>
            </w:r>
            <w:r w:rsidRPr="0014066B">
              <w:rPr>
                <w:b/>
              </w:rPr>
              <w:t>No</w:t>
            </w:r>
            <w:r>
              <w:t xml:space="preserve"> to cancel and continue at Step 14.</w:t>
            </w:r>
          </w:p>
        </w:tc>
        <w:tc>
          <w:tcPr>
            <w:tcW w:w="6120" w:type="dxa"/>
          </w:tcPr>
          <w:p w:rsidR="005D32B0" w:rsidRDefault="005D32B0" w:rsidP="005D32B0">
            <w:pPr>
              <w:pStyle w:val="TableTextBullet"/>
            </w:pPr>
            <w:r>
              <w:lastRenderedPageBreak/>
              <w:t xml:space="preserve">When the original unit is currently assigned to a patient, notifies the user and asks whether he wishes to transfer the status to the target unit. </w:t>
            </w:r>
            <w:r>
              <w:rPr>
                <w:b/>
              </w:rPr>
              <w:t>Yes</w:t>
            </w:r>
            <w:r>
              <w:t xml:space="preserve"> updates the target unit status.</w:t>
            </w:r>
          </w:p>
          <w:p w:rsidR="002A21AE" w:rsidRDefault="002A21AE">
            <w:pPr>
              <w:pStyle w:val="NotesText"/>
            </w:pPr>
          </w:p>
        </w:tc>
      </w:tr>
      <w:tr w:rsidR="002A21AE">
        <w:tblPrEx>
          <w:tblCellMar>
            <w:top w:w="0" w:type="dxa"/>
            <w:bottom w:w="0" w:type="dxa"/>
          </w:tblCellMar>
        </w:tblPrEx>
        <w:tc>
          <w:tcPr>
            <w:tcW w:w="3240" w:type="dxa"/>
          </w:tcPr>
          <w:p w:rsidR="002A21AE" w:rsidRDefault="00A77D1F">
            <w:pPr>
              <w:pStyle w:val="TableTextNumbers"/>
            </w:pPr>
            <w:r>
              <w:lastRenderedPageBreak/>
              <w:t>Scan the label barcodes to v</w:t>
            </w:r>
            <w:r w:rsidR="002A21AE">
              <w:t>erify the target labels, based on local practice and labeling type of the modified unit.</w:t>
            </w:r>
          </w:p>
          <w:p w:rsidR="00A77D1F" w:rsidRDefault="00A77D1F" w:rsidP="00A77D1F">
            <w:pPr>
              <w:pStyle w:val="TableTextNumbersContinued"/>
            </w:pPr>
          </w:p>
          <w:p w:rsidR="00A77D1F" w:rsidRDefault="00A77D1F" w:rsidP="00A77D1F">
            <w:pPr>
              <w:pStyle w:val="TableTextNumbersContinued"/>
            </w:pPr>
            <w:r>
              <w:t>Enter a comment to complete the verification.</w:t>
            </w:r>
            <w:r w:rsidR="00403743">
              <w:t xml:space="preserve"> (This step is optional.)</w:t>
            </w:r>
          </w:p>
        </w:tc>
        <w:tc>
          <w:tcPr>
            <w:tcW w:w="6120" w:type="dxa"/>
          </w:tcPr>
          <w:p w:rsidR="002A21AE" w:rsidRDefault="002A21AE">
            <w:pPr>
              <w:pStyle w:val="TableTextBullet"/>
            </w:pPr>
            <w:r>
              <w:t>Displays the label verification window.</w:t>
            </w:r>
          </w:p>
          <w:p w:rsidR="00A77D1F" w:rsidRDefault="00A77D1F">
            <w:pPr>
              <w:pStyle w:val="TableTextBullet"/>
            </w:pPr>
            <w:r>
              <w:t>Indicates whether the scanned barcodes match those in the label.</w:t>
            </w:r>
          </w:p>
          <w:p w:rsidR="00403743" w:rsidRDefault="00403743" w:rsidP="00403743">
            <w:pPr>
              <w:pStyle w:val="TableTextBullet"/>
              <w:tabs>
                <w:tab w:val="num" w:pos="360"/>
              </w:tabs>
            </w:pPr>
            <w:r>
              <w:t xml:space="preserve">For each target created, system prompts user to indicate readiness to verify the labeling of the modified product. </w:t>
            </w:r>
          </w:p>
          <w:p w:rsidR="00403743" w:rsidRDefault="00403743" w:rsidP="00403743">
            <w:pPr>
              <w:pStyle w:val="TableTextBullet"/>
              <w:tabs>
                <w:tab w:val="num" w:pos="360"/>
              </w:tabs>
            </w:pPr>
            <w:r>
              <w:t>No new labels applied to modified product. Proceed to save the unit.</w:t>
            </w:r>
          </w:p>
          <w:p w:rsidR="00403743" w:rsidRDefault="00403743" w:rsidP="00403743">
            <w:pPr>
              <w:pStyle w:val="TableTextBullet"/>
              <w:tabs>
                <w:tab w:val="num" w:pos="360"/>
              </w:tabs>
            </w:pPr>
            <w:r>
              <w:t>Displays a screen to accommodate data entry of the modified unit’s:</w:t>
            </w:r>
          </w:p>
          <w:p w:rsidR="00403743" w:rsidRDefault="00403743" w:rsidP="00403743">
            <w:pPr>
              <w:pStyle w:val="TableTextBullet1"/>
              <w:tabs>
                <w:tab w:val="clear" w:pos="576"/>
                <w:tab w:val="num" w:pos="288"/>
              </w:tabs>
            </w:pPr>
            <w:r>
              <w:t>ABO/Rh</w:t>
            </w:r>
          </w:p>
          <w:p w:rsidR="00403743" w:rsidRDefault="00403743" w:rsidP="00403743">
            <w:pPr>
              <w:pStyle w:val="TableTextBullet1"/>
              <w:tabs>
                <w:tab w:val="clear" w:pos="576"/>
                <w:tab w:val="num" w:pos="288"/>
              </w:tabs>
            </w:pPr>
            <w:r>
              <w:t>Product Code</w:t>
            </w:r>
          </w:p>
          <w:p w:rsidR="00403743" w:rsidRDefault="00403743" w:rsidP="00403743">
            <w:pPr>
              <w:pStyle w:val="TableTextBullet1"/>
              <w:tabs>
                <w:tab w:val="clear" w:pos="576"/>
                <w:tab w:val="num" w:pos="288"/>
              </w:tabs>
            </w:pPr>
            <w:r>
              <w:t>Expiration Date</w:t>
            </w:r>
          </w:p>
          <w:p w:rsidR="00403743" w:rsidRDefault="00403743" w:rsidP="00403743">
            <w:pPr>
              <w:pStyle w:val="TableTextBullet"/>
              <w:tabs>
                <w:tab w:val="num" w:pos="360"/>
              </w:tabs>
            </w:pPr>
            <w:r>
              <w:t>This step repeats until all targets have been labeled and/or are ready for continued processing.</w:t>
            </w:r>
          </w:p>
          <w:p w:rsidR="00403743" w:rsidRDefault="00403743" w:rsidP="00403743">
            <w:pPr>
              <w:pStyle w:val="TableText"/>
            </w:pPr>
          </w:p>
          <w:p w:rsidR="00403743" w:rsidRDefault="00634BFC" w:rsidP="00403743">
            <w:pPr>
              <w:pStyle w:val="TableText"/>
              <w:rPr>
                <w:b/>
                <w:bCs/>
                <w:szCs w:val="18"/>
              </w:rPr>
            </w:pPr>
            <w:r>
              <w:rPr>
                <w:b/>
                <w:bCs/>
                <w:noProof/>
              </w:rPr>
              <mc:AlternateContent>
                <mc:Choice Requires="wps">
                  <w:drawing>
                    <wp:anchor distT="0" distB="0" distL="114300" distR="114300" simplePos="0" relativeHeight="25171712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80" name="Line 1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8"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Azt&#10;ee8VAgAALgQAAA4AAAAAAAAAAAAAAAAALgIAAGRycy9lMm9Eb2MueG1sUEsBAi0AFAAGAAgAAAAh&#10;ABdPMBLbAAAACAEAAA8AAAAAAAAAAAAAAAAAbwQAAGRycy9kb3ducmV2LnhtbFBLBQYAAAAABAAE&#10;APMAAAB3BQAAAAA=&#10;" strokeweight="1.5pt"/>
                  </w:pict>
                </mc:Fallback>
              </mc:AlternateContent>
            </w:r>
            <w:r w:rsidR="00403743">
              <w:rPr>
                <w:b/>
                <w:bCs/>
                <w:szCs w:val="18"/>
              </w:rPr>
              <w:t>NOTES</w:t>
            </w:r>
          </w:p>
          <w:p w:rsidR="00403743" w:rsidRDefault="00403743" w:rsidP="00403743">
            <w:pPr>
              <w:pStyle w:val="NotesText"/>
            </w:pPr>
          </w:p>
          <w:p w:rsidR="00403743" w:rsidRDefault="00403743" w:rsidP="00403743">
            <w:pPr>
              <w:pStyle w:val="NotesText"/>
            </w:pPr>
            <w:r>
              <w:t>The user may select “Verify modified unit label” to verify the modified unit label</w:t>
            </w:r>
            <w:r w:rsidR="00380967">
              <w:t>.</w:t>
            </w:r>
            <w:r>
              <w:t xml:space="preserve"> </w:t>
            </w:r>
            <w:r w:rsidR="00542972">
              <w:t xml:space="preserve">When the user does not verify the label, he </w:t>
            </w:r>
            <w:r w:rsidR="006832A2">
              <w:t xml:space="preserve">must enter a comment and </w:t>
            </w:r>
            <w:r w:rsidR="00BD738E">
              <w:t xml:space="preserve">then </w:t>
            </w:r>
            <w:r w:rsidR="006832A2">
              <w:t>click</w:t>
            </w:r>
            <w:r w:rsidR="00542972">
              <w:t xml:space="preserve"> </w:t>
            </w:r>
            <w:r w:rsidR="00542972" w:rsidRPr="00542972">
              <w:rPr>
                <w:b/>
              </w:rPr>
              <w:t>Cancel</w:t>
            </w:r>
            <w:r w:rsidR="006832A2">
              <w:t xml:space="preserve"> </w:t>
            </w:r>
            <w:r>
              <w:t>to exit.</w:t>
            </w:r>
          </w:p>
          <w:p w:rsidR="00403743" w:rsidRDefault="00403743" w:rsidP="00403743">
            <w:pPr>
              <w:pStyle w:val="NotesText"/>
            </w:pPr>
          </w:p>
          <w:p w:rsidR="00403743" w:rsidRDefault="00403743" w:rsidP="00403743">
            <w:pPr>
              <w:pStyle w:val="NotesText"/>
            </w:pPr>
            <w:r>
              <w:t>When the user does not select “Verify modified unit label,” he may continue at Step 1</w:t>
            </w:r>
            <w:r w:rsidR="00027FF5">
              <w:t>4</w:t>
            </w:r>
            <w:r>
              <w:t xml:space="preserve">. VBECS bypasses the label verification and does not create an Exception Report. </w:t>
            </w:r>
          </w:p>
          <w:p w:rsidR="00403743" w:rsidRDefault="00403743" w:rsidP="00403743">
            <w:pPr>
              <w:pStyle w:val="NotesText"/>
            </w:pPr>
          </w:p>
          <w:p w:rsidR="00403743" w:rsidRDefault="00403743" w:rsidP="00403743">
            <w:pPr>
              <w:pStyle w:val="NotesText"/>
              <w:rPr>
                <w:b/>
              </w:rPr>
            </w:pPr>
            <w:r>
              <w:t xml:space="preserve">When a component is modified and a new label is applied, </w:t>
            </w:r>
            <w:r w:rsidR="002A6CE1">
              <w:t>American Association of Blood Banks (</w:t>
            </w:r>
            <w:r>
              <w:t>AABB</w:t>
            </w:r>
            <w:r w:rsidR="002A6CE1">
              <w:t>)</w:t>
            </w:r>
            <w:r>
              <w:t xml:space="preserve"> standards require the labeling process to include a method to ensure the correctness of the unit number, ABO/Rh, expiration date, and component label.</w:t>
            </w:r>
          </w:p>
          <w:p w:rsidR="00403743" w:rsidRDefault="00403743" w:rsidP="00403743">
            <w:pPr>
              <w:pStyle w:val="NotesText"/>
              <w:rPr>
                <w:b/>
              </w:rPr>
            </w:pPr>
          </w:p>
          <w:p w:rsidR="00403743" w:rsidRDefault="00403743" w:rsidP="00403743">
            <w:pPr>
              <w:pStyle w:val="NotesText"/>
            </w:pPr>
            <w:r>
              <w:rPr>
                <w:rFonts w:cs="Arial"/>
                <w:vanish/>
              </w:rPr>
              <w:t xml:space="preserve">BR_26.24 </w:t>
            </w:r>
            <w:r>
              <w:t>VBECS does not display the modified unit data. VBECS instructs the user to verify the labeling of the target product and notifies him that scanning the barcode is preferred. When no barcode is available, the user may enter the data.</w:t>
            </w:r>
          </w:p>
          <w:p w:rsidR="00403743" w:rsidRDefault="00403743" w:rsidP="00403743">
            <w:pPr>
              <w:pStyle w:val="NotesText"/>
            </w:pPr>
          </w:p>
          <w:p w:rsidR="00403743" w:rsidRDefault="00403743" w:rsidP="00403743">
            <w:pPr>
              <w:pStyle w:val="NotesText"/>
            </w:pPr>
            <w:r w:rsidRPr="00DE10EE">
              <w:rPr>
                <w:rFonts w:cs="Arial"/>
                <w:vanish/>
                <w:color w:val="0000FF"/>
              </w:rPr>
              <w:t>BR_26.29</w:t>
            </w:r>
            <w:r>
              <w:rPr>
                <w:rFonts w:cs="Arial"/>
                <w:vanish/>
              </w:rPr>
              <w:t xml:space="preserve"> </w:t>
            </w:r>
            <w:r>
              <w:t>To verify the label, VBECS compares the entered data with the data of the target unit from the database. The user may scan or enter:</w:t>
            </w:r>
          </w:p>
          <w:p w:rsidR="00403743" w:rsidRDefault="00403743" w:rsidP="00403743">
            <w:pPr>
              <w:pStyle w:val="NotesTextBullet"/>
            </w:pPr>
            <w:r>
              <w:t>Unit ABO/Rh Label</w:t>
            </w:r>
          </w:p>
          <w:p w:rsidR="00403743" w:rsidRDefault="00403743" w:rsidP="00403743">
            <w:pPr>
              <w:pStyle w:val="NotesTextBullet"/>
            </w:pPr>
            <w:r>
              <w:t>Unit Product Code</w:t>
            </w:r>
          </w:p>
          <w:p w:rsidR="00403743" w:rsidRDefault="00403743" w:rsidP="00027FF5">
            <w:pPr>
              <w:pStyle w:val="NotesTextBullet"/>
            </w:pPr>
            <w:r>
              <w:t>Unit Expiration Date</w:t>
            </w:r>
          </w:p>
        </w:tc>
      </w:tr>
      <w:tr w:rsidR="002A21AE">
        <w:tblPrEx>
          <w:tblCellMar>
            <w:top w:w="0" w:type="dxa"/>
            <w:bottom w:w="0" w:type="dxa"/>
          </w:tblCellMar>
        </w:tblPrEx>
        <w:tc>
          <w:tcPr>
            <w:tcW w:w="3240" w:type="dxa"/>
          </w:tcPr>
          <w:p w:rsidR="002A21AE" w:rsidRDefault="002A21AE">
            <w:pPr>
              <w:pStyle w:val="TableTextNumbers"/>
            </w:pPr>
            <w:r>
              <w:t>Scan or enter each label on the target unit.</w:t>
            </w:r>
          </w:p>
        </w:tc>
        <w:tc>
          <w:tcPr>
            <w:tcW w:w="6120" w:type="dxa"/>
          </w:tcPr>
          <w:p w:rsidR="002A21AE" w:rsidRDefault="002A21AE">
            <w:pPr>
              <w:pStyle w:val="TableTextBullet"/>
            </w:pPr>
            <w:r>
              <w:t xml:space="preserve">Compares the data entered in each field to the database. </w:t>
            </w:r>
          </w:p>
          <w:p w:rsidR="002A21AE" w:rsidRDefault="002A21AE">
            <w:pPr>
              <w:pStyle w:val="TableTextBullet"/>
            </w:pPr>
            <w:r>
              <w:t>Asks whether the user wishes to save the data. When the user confirms that the data are correct, notifies him that the label verification is complete.</w:t>
            </w:r>
          </w:p>
          <w:p w:rsidR="002A21AE" w:rsidRDefault="002A21AE">
            <w:pPr>
              <w:pStyle w:val="TableTextBullet"/>
            </w:pPr>
            <w:r>
              <w:rPr>
                <w:rFonts w:cs="Arial"/>
                <w:vanish/>
              </w:rPr>
              <w:t xml:space="preserve">BR_26.27 </w:t>
            </w:r>
            <w:r>
              <w:t xml:space="preserve">Records the modified or restriction-released unit relabeling data as part of the unit record and stores the data for inclusion in the unit </w:t>
            </w:r>
            <w:r w:rsidR="0051757B">
              <w:t>history</w:t>
            </w:r>
            <w:r>
              <w:t xml:space="preserve"> report.</w:t>
            </w:r>
          </w:p>
          <w:p w:rsidR="002A21AE" w:rsidRDefault="002A21AE">
            <w:pPr>
              <w:pStyle w:val="TableTextBullet"/>
              <w:tabs>
                <w:tab w:val="clear" w:pos="288"/>
              </w:tabs>
            </w:pPr>
            <w:bookmarkStart w:id="322" w:name="OLE_LINK51"/>
            <w:bookmarkStart w:id="323" w:name="OLE_LINK52"/>
            <w:r>
              <w:t xml:space="preserve">Saves only the </w:t>
            </w:r>
            <w:r w:rsidR="00FB1B3C">
              <w:t>t</w:t>
            </w:r>
            <w:r>
              <w:t>ech</w:t>
            </w:r>
            <w:r w:rsidR="00FB1B3C">
              <w:t>nologist n</w:t>
            </w:r>
            <w:r>
              <w:t xml:space="preserve">ame and </w:t>
            </w:r>
            <w:r w:rsidR="00FB1B3C">
              <w:t>the date and time the label was verified</w:t>
            </w:r>
            <w:r>
              <w:t xml:space="preserve">. When the user indicates that a new label applied fails to complete the verification process, </w:t>
            </w:r>
            <w:r w:rsidR="003C77C1">
              <w:t xml:space="preserve">releases the assignment, quarantines the unit, and </w:t>
            </w:r>
            <w:r>
              <w:t>captures details for inclusion in an Exception Report (exception type: target product label failed checks).</w:t>
            </w:r>
          </w:p>
          <w:bookmarkEnd w:id="322"/>
          <w:bookmarkEnd w:id="323"/>
          <w:p w:rsidR="002A21AE" w:rsidRDefault="002A21AE">
            <w:pPr>
              <w:pStyle w:val="TableTextBullet"/>
              <w:tabs>
                <w:tab w:val="clear" w:pos="288"/>
              </w:tabs>
            </w:pPr>
            <w:r>
              <w:t>When the user confirms that the comparisons are correct, notifies him and asks whether he wishes to continue.</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5875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79" name="Line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4"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XZFQ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NrG&#10;Bdk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63B24">
            <w:pPr>
              <w:pStyle w:val="NotesText"/>
            </w:pPr>
            <w:r w:rsidRPr="00896F17">
              <w:rPr>
                <w:rStyle w:val="BullhornChar"/>
              </w:rPr>
              <w:t></w:t>
            </w:r>
            <w:r>
              <w:rPr>
                <w:rFonts w:ascii="Webdings" w:hAnsi="Webdings"/>
              </w:rPr>
              <w:t></w:t>
            </w:r>
            <w:r>
              <w:t>W</w:t>
            </w:r>
            <w:r w:rsidR="002A21AE">
              <w:t>hen there is no match,</w:t>
            </w:r>
            <w:r w:rsidR="002A21AE">
              <w:rPr>
                <w:noProof/>
                <w:color w:val="000000"/>
              </w:rPr>
              <w:t xml:space="preserve"> VBECS emits an audible alert, notifies the user, </w:t>
            </w:r>
            <w:r w:rsidR="002A21AE">
              <w:t xml:space="preserve">and instructs him to verify the labeling and reenter label data or select </w:t>
            </w:r>
            <w:r w:rsidR="00E23893">
              <w:rPr>
                <w:b/>
              </w:rPr>
              <w:t>Cancel</w:t>
            </w:r>
            <w:r w:rsidR="002A21AE">
              <w:t xml:space="preserve">. </w:t>
            </w:r>
          </w:p>
          <w:p w:rsidR="002A21AE" w:rsidRDefault="002A21AE">
            <w:pPr>
              <w:pStyle w:val="NotesText"/>
            </w:pPr>
          </w:p>
          <w:p w:rsidR="002A21AE" w:rsidRDefault="002A21AE">
            <w:pPr>
              <w:pStyle w:val="NotesText"/>
            </w:pPr>
            <w:r>
              <w:t xml:space="preserve">When there is no previous entry for a field, VBECS notifies the user and instructs him to enter a value or select </w:t>
            </w:r>
            <w:r w:rsidR="0082101B">
              <w:rPr>
                <w:b/>
              </w:rPr>
              <w:t>Cancel</w:t>
            </w:r>
            <w:r>
              <w:t>.</w:t>
            </w:r>
          </w:p>
          <w:p w:rsidR="002A21AE" w:rsidRDefault="002A21AE">
            <w:pPr>
              <w:pStyle w:val="NotesText"/>
            </w:pPr>
          </w:p>
          <w:p w:rsidR="002A21AE" w:rsidRDefault="00892350">
            <w:pPr>
              <w:pStyle w:val="NotesText"/>
            </w:pPr>
            <w:r>
              <w:t>VBECS requires a comment w</w:t>
            </w:r>
            <w:r w:rsidR="002A21AE">
              <w:t xml:space="preserve">hen the user selects </w:t>
            </w:r>
            <w:r w:rsidR="0082101B">
              <w:rPr>
                <w:b/>
              </w:rPr>
              <w:t>Cancel</w:t>
            </w:r>
            <w:r w:rsidR="002A21AE">
              <w:t>, and captures details for inclusion in an Exception Report (exception type: target product label failed checks).</w:t>
            </w:r>
          </w:p>
        </w:tc>
      </w:tr>
      <w:tr w:rsidR="002A21AE">
        <w:tblPrEx>
          <w:tblCellMar>
            <w:top w:w="0" w:type="dxa"/>
            <w:bottom w:w="0" w:type="dxa"/>
          </w:tblCellMar>
        </w:tblPrEx>
        <w:tc>
          <w:tcPr>
            <w:tcW w:w="3240" w:type="dxa"/>
          </w:tcPr>
          <w:p w:rsidR="002A21AE" w:rsidRDefault="002A21AE">
            <w:pPr>
              <w:pStyle w:val="TableTextNumbers"/>
            </w:pPr>
            <w:r>
              <w:lastRenderedPageBreak/>
              <w:t xml:space="preserve">Click </w:t>
            </w:r>
            <w:r>
              <w:rPr>
                <w:b/>
              </w:rPr>
              <w:t>OK</w:t>
            </w:r>
            <w:r>
              <w:t xml:space="preserve"> to confirm the save.</w:t>
            </w:r>
          </w:p>
        </w:tc>
        <w:tc>
          <w:tcPr>
            <w:tcW w:w="6120" w:type="dxa"/>
          </w:tcPr>
          <w:p w:rsidR="002A21AE" w:rsidRDefault="002A21AE">
            <w:pPr>
              <w:pStyle w:val="TableTextBullet"/>
              <w:tabs>
                <w:tab w:val="clear" w:pos="288"/>
              </w:tabs>
            </w:pPr>
            <w:r>
              <w:t>Saves the new modified unit data.</w:t>
            </w:r>
          </w:p>
          <w:p w:rsidR="002A21AE" w:rsidRDefault="002A21AE">
            <w:pPr>
              <w:pStyle w:val="TableTextBullet"/>
              <w:tabs>
                <w:tab w:val="clear" w:pos="288"/>
              </w:tabs>
            </w:pPr>
            <w:r>
              <w:t>Updates the status of the original unit to “modified.”</w:t>
            </w:r>
          </w:p>
          <w:p w:rsidR="00EE2911" w:rsidRDefault="00EE2911">
            <w:pPr>
              <w:pStyle w:val="TableTextBullet"/>
              <w:tabs>
                <w:tab w:val="clear" w:pos="288"/>
              </w:tabs>
            </w:pPr>
            <w:r>
              <w:t>Records the unit ID of the target unit on the record of the original unit.</w:t>
            </w:r>
          </w:p>
          <w:p w:rsidR="002A21AE" w:rsidRDefault="002A21AE">
            <w:pPr>
              <w:pStyle w:val="TableTextBullet"/>
              <w:tabs>
                <w:tab w:val="clear" w:pos="288"/>
              </w:tabs>
            </w:pPr>
            <w:r>
              <w:t>Prompts the user to modify another unit.</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5568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78" name="Lin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0"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KR1&#10;R24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rPr>
                <w:i/>
              </w:rPr>
            </w:pPr>
            <w:r>
              <w:rPr>
                <w:rFonts w:cs="Arial"/>
                <w:vanish/>
              </w:rPr>
              <w:t xml:space="preserve">BR_26.15 </w:t>
            </w:r>
            <w:r>
              <w:t>The target unit automatically inherits original unit data, which the user may not edit:</w:t>
            </w:r>
            <w:r>
              <w:rPr>
                <w:i/>
              </w:rPr>
              <w:t xml:space="preserve"> </w:t>
            </w:r>
          </w:p>
          <w:p w:rsidR="002A21AE" w:rsidRDefault="002A21AE">
            <w:pPr>
              <w:pStyle w:val="NotesTextBullet"/>
            </w:pPr>
            <w:r>
              <w:t>Unit ABO/Rh (from login)</w:t>
            </w:r>
          </w:p>
          <w:p w:rsidR="002A21AE" w:rsidRDefault="002A21AE">
            <w:pPr>
              <w:pStyle w:val="NotesTextBullet"/>
            </w:pPr>
            <w:r>
              <w:t>ABO/Rh confirmation testing information (when performed)</w:t>
            </w:r>
          </w:p>
          <w:p w:rsidR="002A21AE" w:rsidRDefault="002A21AE">
            <w:pPr>
              <w:pStyle w:val="NotesTextBullet"/>
            </w:pPr>
            <w:r>
              <w:t>Unit ID</w:t>
            </w:r>
          </w:p>
          <w:p w:rsidR="002A21AE" w:rsidRDefault="002A21AE">
            <w:pPr>
              <w:pStyle w:val="NotesTextBullet"/>
            </w:pPr>
            <w:r>
              <w:t>Unit Volume (exception: when a unit is volume reduced, the target unit does not inherit the original unit</w:t>
            </w:r>
            <w:r w:rsidR="00FA7E65">
              <w:t>’</w:t>
            </w:r>
            <w:r>
              <w:t>s volume. The user must enter the target unit</w:t>
            </w:r>
            <w:r w:rsidR="00FA7E65">
              <w:t>’</w:t>
            </w:r>
            <w:r>
              <w:t>s volume.)</w:t>
            </w:r>
          </w:p>
          <w:p w:rsidR="002A21AE" w:rsidRDefault="002A21AE">
            <w:pPr>
              <w:pStyle w:val="NotesTextBullet"/>
            </w:pPr>
            <w:r>
              <w:t>Donation type</w:t>
            </w:r>
          </w:p>
          <w:p w:rsidR="002A21AE" w:rsidRDefault="002A21AE">
            <w:pPr>
              <w:pStyle w:val="NotesTextBullet"/>
            </w:pPr>
            <w:r>
              <w:t>Disease marker testing information, when autologous.</w:t>
            </w:r>
          </w:p>
          <w:p w:rsidR="002A21AE" w:rsidRDefault="002A21AE">
            <w:pPr>
              <w:pStyle w:val="NotesTextBullet"/>
            </w:pPr>
            <w:r>
              <w:t>Restricted for patient name, ID.</w:t>
            </w:r>
          </w:p>
          <w:p w:rsidR="002A21AE" w:rsidRDefault="002A21AE">
            <w:pPr>
              <w:pStyle w:val="NotesTextBullet"/>
            </w:pPr>
            <w:r>
              <w:t>Current status</w:t>
            </w:r>
          </w:p>
          <w:p w:rsidR="002A21AE" w:rsidRDefault="002A21AE">
            <w:pPr>
              <w:pStyle w:val="NotesTextBullet"/>
            </w:pPr>
            <w:r>
              <w:t>Biohazard Indicator</w:t>
            </w:r>
          </w:p>
          <w:p w:rsidR="002A21AE" w:rsidRDefault="002A21AE">
            <w:pPr>
              <w:pStyle w:val="NotesTextBullet"/>
            </w:pPr>
            <w:r>
              <w:t>Quarantine Indicator</w:t>
            </w:r>
          </w:p>
          <w:p w:rsidR="002A21AE" w:rsidRDefault="002A21AE">
            <w:pPr>
              <w:pStyle w:val="NotesTextBullet"/>
            </w:pPr>
            <w:r>
              <w:t>Division</w:t>
            </w:r>
          </w:p>
          <w:p w:rsidR="002A21AE" w:rsidRDefault="002A21AE">
            <w:pPr>
              <w:pStyle w:val="NotesTextBullet"/>
            </w:pPr>
            <w:r>
              <w:t>Additional unit testing (CMV, Sickle Cell, antigen typings)</w:t>
            </w:r>
          </w:p>
        </w:tc>
      </w:tr>
      <w:tr w:rsidR="002A21AE">
        <w:tblPrEx>
          <w:tblCellMar>
            <w:top w:w="0" w:type="dxa"/>
            <w:bottom w:w="0" w:type="dxa"/>
          </w:tblCellMar>
        </w:tblPrEx>
        <w:tc>
          <w:tcPr>
            <w:tcW w:w="3240" w:type="dxa"/>
          </w:tcPr>
          <w:p w:rsidR="002A21AE" w:rsidRDefault="002A21AE">
            <w:pPr>
              <w:pStyle w:val="TableTextNumbers"/>
            </w:pPr>
            <w:r>
              <w:t xml:space="preserve">Repeat Steps 3–14 to modify another unit or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rsidR="002A21AE" w:rsidRDefault="002A21AE">
            <w:pPr>
              <w:pStyle w:val="TableText"/>
            </w:pPr>
          </w:p>
        </w:tc>
      </w:tr>
    </w:tbl>
    <w:p w:rsidR="001B4885" w:rsidRDefault="001B4885" w:rsidP="001B4885">
      <w:pPr>
        <w:pStyle w:val="Caption"/>
      </w:pPr>
      <w:bookmarkStart w:id="324" w:name="_Toc94349322"/>
      <w:bookmarkStart w:id="325" w:name="_Ref126649536"/>
      <w:r>
        <w:lastRenderedPageBreak/>
        <w:t xml:space="preserve">Figure </w:t>
      </w:r>
      <w:r w:rsidR="00C17F7C">
        <w:fldChar w:fldCharType="begin"/>
      </w:r>
      <w:r w:rsidR="00C17F7C">
        <w:instrText xml:space="preserve"> SEQ Figure \* ARABIC </w:instrText>
      </w:r>
      <w:r w:rsidR="00C17F7C">
        <w:fldChar w:fldCharType="separate"/>
      </w:r>
      <w:r w:rsidR="005F38BC">
        <w:rPr>
          <w:noProof/>
        </w:rPr>
        <w:t>84</w:t>
      </w:r>
      <w:r w:rsidR="00C17F7C">
        <w:fldChar w:fldCharType="end"/>
      </w:r>
      <w:bookmarkEnd w:id="325"/>
      <w:r>
        <w:t>: Modify Unit(s)</w:t>
      </w:r>
    </w:p>
    <w:p w:rsidR="001B4885" w:rsidRDefault="00634BFC" w:rsidP="00AB1E83">
      <w:pPr>
        <w:pStyle w:val="BodyText"/>
      </w:pPr>
      <w:r>
        <w:rPr>
          <w:noProof/>
        </w:rPr>
        <w:drawing>
          <wp:inline distT="0" distB="0" distL="0" distR="0">
            <wp:extent cx="3543300" cy="46291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543300" cy="4629150"/>
                    </a:xfrm>
                    <a:prstGeom prst="rect">
                      <a:avLst/>
                    </a:prstGeom>
                    <a:noFill/>
                    <a:ln>
                      <a:noFill/>
                    </a:ln>
                  </pic:spPr>
                </pic:pic>
              </a:graphicData>
            </a:graphic>
          </wp:inline>
        </w:drawing>
      </w:r>
    </w:p>
    <w:p w:rsidR="00443BD5" w:rsidRDefault="00443BD5" w:rsidP="00443BD5">
      <w:pPr>
        <w:pStyle w:val="Caption"/>
      </w:pPr>
      <w:bookmarkStart w:id="326" w:name="_Ref126650409"/>
      <w:r>
        <w:lastRenderedPageBreak/>
        <w:t xml:space="preserve">Figure </w:t>
      </w:r>
      <w:r w:rsidR="00C17F7C">
        <w:fldChar w:fldCharType="begin"/>
      </w:r>
      <w:r w:rsidR="00C17F7C">
        <w:instrText xml:space="preserve"> SEQ Figure \* ARABIC </w:instrText>
      </w:r>
      <w:r w:rsidR="00C17F7C">
        <w:fldChar w:fldCharType="separate"/>
      </w:r>
      <w:r w:rsidR="005F38BC">
        <w:rPr>
          <w:noProof/>
        </w:rPr>
        <w:t>85</w:t>
      </w:r>
      <w:r w:rsidR="00C17F7C">
        <w:fldChar w:fldCharType="end"/>
      </w:r>
      <w:bookmarkEnd w:id="326"/>
      <w:r>
        <w:t>: Split/Divide Unit</w:t>
      </w:r>
    </w:p>
    <w:p w:rsidR="00443BD5" w:rsidRDefault="00634BFC" w:rsidP="00443BD5">
      <w:pPr>
        <w:pStyle w:val="BodyText"/>
      </w:pPr>
      <w:r>
        <w:rPr>
          <w:noProof/>
        </w:rPr>
        <w:drawing>
          <wp:inline distT="0" distB="0" distL="0" distR="0">
            <wp:extent cx="5486400" cy="4772025"/>
            <wp:effectExtent l="0" t="0" r="0"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486400" cy="4772025"/>
                    </a:xfrm>
                    <a:prstGeom prst="rect">
                      <a:avLst/>
                    </a:prstGeom>
                    <a:noFill/>
                    <a:ln>
                      <a:noFill/>
                    </a:ln>
                  </pic:spPr>
                </pic:pic>
              </a:graphicData>
            </a:graphic>
          </wp:inline>
        </w:drawing>
      </w:r>
    </w:p>
    <w:p w:rsidR="00051E30" w:rsidRDefault="00051E30" w:rsidP="00051E30">
      <w:pPr>
        <w:pStyle w:val="Caption"/>
      </w:pPr>
      <w:bookmarkStart w:id="327" w:name="_Ref126650852"/>
      <w:r>
        <w:lastRenderedPageBreak/>
        <w:t xml:space="preserve">Figure </w:t>
      </w:r>
      <w:r w:rsidR="00C17F7C">
        <w:fldChar w:fldCharType="begin"/>
      </w:r>
      <w:r w:rsidR="00C17F7C">
        <w:instrText xml:space="preserve"> SEQ Figure \* ARABIC </w:instrText>
      </w:r>
      <w:r w:rsidR="00C17F7C">
        <w:fldChar w:fldCharType="separate"/>
      </w:r>
      <w:r w:rsidR="005F38BC">
        <w:rPr>
          <w:noProof/>
        </w:rPr>
        <w:t>86</w:t>
      </w:r>
      <w:r w:rsidR="00C17F7C">
        <w:fldChar w:fldCharType="end"/>
      </w:r>
      <w:bookmarkEnd w:id="327"/>
      <w:r>
        <w:t>: Verify Printed Label</w:t>
      </w:r>
    </w:p>
    <w:p w:rsidR="00051E30" w:rsidRDefault="00634BFC" w:rsidP="00443BD5">
      <w:pPr>
        <w:pStyle w:val="BodyText"/>
      </w:pPr>
      <w:r>
        <w:rPr>
          <w:noProof/>
        </w:rPr>
        <w:drawing>
          <wp:inline distT="0" distB="0" distL="0" distR="0">
            <wp:extent cx="5829300" cy="33909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829300" cy="3390900"/>
                    </a:xfrm>
                    <a:prstGeom prst="rect">
                      <a:avLst/>
                    </a:prstGeom>
                    <a:noFill/>
                    <a:ln>
                      <a:noFill/>
                    </a:ln>
                  </pic:spPr>
                </pic:pic>
              </a:graphicData>
            </a:graphic>
          </wp:inline>
        </w:drawing>
      </w:r>
    </w:p>
    <w:p w:rsidR="002A21AE" w:rsidRDefault="00263B24">
      <w:pPr>
        <w:pStyle w:val="Heading4"/>
      </w:pPr>
      <w:r w:rsidRPr="00896F17">
        <w:rPr>
          <w:rStyle w:val="BullhornChar"/>
        </w:rPr>
        <w:t></w:t>
      </w:r>
      <w:r>
        <w:rPr>
          <w:rFonts w:ascii="Webdings" w:hAnsi="Webdings"/>
        </w:rPr>
        <w:t></w:t>
      </w:r>
      <w:r>
        <w:t>A</w:t>
      </w:r>
      <w:r w:rsidR="002A21AE">
        <w:t>lerts</w:t>
      </w:r>
      <w:bookmarkEnd w:id="324"/>
    </w:p>
    <w:p w:rsidR="002A21AE" w:rsidRDefault="002A21AE">
      <w:pPr>
        <w:pStyle w:val="Caption"/>
      </w:pPr>
      <w:bookmarkStart w:id="328" w:name="_Toc97523617"/>
      <w:bookmarkStart w:id="329" w:name="_Toc97527587"/>
      <w:bookmarkStart w:id="330" w:name="_Ref126485060"/>
      <w:r>
        <w:t xml:space="preserve">Table </w:t>
      </w:r>
      <w:r>
        <w:fldChar w:fldCharType="begin"/>
      </w:r>
      <w:r>
        <w:instrText xml:space="preserve"> SEQ Table \* ARABIC </w:instrText>
      </w:r>
      <w:r>
        <w:fldChar w:fldCharType="separate"/>
      </w:r>
      <w:r w:rsidR="005F38BC">
        <w:rPr>
          <w:noProof/>
        </w:rPr>
        <w:t>5</w:t>
      </w:r>
      <w:r>
        <w:fldChar w:fldCharType="end"/>
      </w:r>
      <w:bookmarkEnd w:id="330"/>
      <w:r>
        <w:t>: Alerts That May Occur in Modify Units</w:t>
      </w:r>
      <w:bookmarkEnd w:id="328"/>
      <w:bookmarkEnd w:id="329"/>
      <w:r>
        <w:fldChar w:fldCharType="begin"/>
      </w:r>
      <w:r>
        <w:instrText xml:space="preserve"> XE </w:instrText>
      </w:r>
      <w:r w:rsidR="00FA7E65">
        <w:instrText>“</w:instrText>
      </w:r>
      <w:r>
        <w:instrText>Tables:Alerts That May Occur in Modify Units</w:instrText>
      </w:r>
      <w:r w:rsidR="00FA7E65">
        <w:instrText>”</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
        <w:gridCol w:w="8580"/>
      </w:tblGrid>
      <w:tr w:rsidR="002A21AE">
        <w:trPr>
          <w:tblHeader/>
        </w:trPr>
        <w:tc>
          <w:tcPr>
            <w:tcW w:w="780" w:type="dxa"/>
            <w:shd w:val="clear" w:color="auto" w:fill="B3B3B3"/>
          </w:tcPr>
          <w:p w:rsidR="002A21AE" w:rsidRDefault="002A21AE">
            <w:pPr>
              <w:pStyle w:val="TableText"/>
              <w:rPr>
                <w:b/>
              </w:rPr>
            </w:pPr>
            <w:r>
              <w:rPr>
                <w:b/>
              </w:rPr>
              <w:t>Step</w:t>
            </w:r>
          </w:p>
        </w:tc>
        <w:tc>
          <w:tcPr>
            <w:tcW w:w="8580" w:type="dxa"/>
            <w:shd w:val="clear" w:color="auto" w:fill="B3B3B3"/>
          </w:tcPr>
          <w:p w:rsidR="002A21AE" w:rsidRDefault="002A21AE">
            <w:pPr>
              <w:pStyle w:val="TableText"/>
              <w:rPr>
                <w:b/>
              </w:rPr>
            </w:pPr>
            <w:r>
              <w:rPr>
                <w:b/>
              </w:rPr>
              <w:t>Alerts</w:t>
            </w:r>
          </w:p>
        </w:tc>
      </w:tr>
      <w:tr w:rsidR="002A21AE">
        <w:tc>
          <w:tcPr>
            <w:tcW w:w="780" w:type="dxa"/>
          </w:tcPr>
          <w:p w:rsidR="002A21AE" w:rsidRDefault="002A21AE">
            <w:pPr>
              <w:pStyle w:val="TableText"/>
            </w:pPr>
            <w:r>
              <w:t>6</w:t>
            </w:r>
          </w:p>
        </w:tc>
        <w:tc>
          <w:tcPr>
            <w:tcW w:w="8580" w:type="dxa"/>
          </w:tcPr>
          <w:p w:rsidR="002A21AE" w:rsidRDefault="002A21AE">
            <w:pPr>
              <w:pStyle w:val="TableText"/>
            </w:pPr>
            <w:r w:rsidRPr="007F5FC3">
              <w:rPr>
                <w:rFonts w:cs="Arial"/>
                <w:vanish/>
                <w:color w:val="0000FF"/>
              </w:rPr>
              <w:t>BR_26.08</w:t>
            </w:r>
            <w:r>
              <w:rPr>
                <w:rFonts w:cs="Arial"/>
                <w:vanish/>
              </w:rPr>
              <w:t xml:space="preserve"> </w:t>
            </w:r>
            <w:r>
              <w:t xml:space="preserve">When the unit modification date and time entered are earlier than the date and time the original unit was received in inventory, VBECS warns the user and </w:t>
            </w:r>
            <w:r w:rsidR="008F096C">
              <w:t xml:space="preserve">allows </w:t>
            </w:r>
            <w:r>
              <w:t xml:space="preserve">him to reenter the modification date and time. </w:t>
            </w:r>
          </w:p>
        </w:tc>
      </w:tr>
      <w:tr w:rsidR="002A21AE">
        <w:tc>
          <w:tcPr>
            <w:tcW w:w="780" w:type="dxa"/>
          </w:tcPr>
          <w:p w:rsidR="002A21AE" w:rsidRDefault="002A21AE">
            <w:pPr>
              <w:pStyle w:val="TableText"/>
            </w:pPr>
            <w:r>
              <w:t>6</w:t>
            </w:r>
          </w:p>
        </w:tc>
        <w:tc>
          <w:tcPr>
            <w:tcW w:w="8580" w:type="dxa"/>
          </w:tcPr>
          <w:p w:rsidR="002A21AE" w:rsidRDefault="002A21AE">
            <w:pPr>
              <w:pStyle w:val="TableText"/>
            </w:pPr>
            <w:r w:rsidRPr="002D7202">
              <w:rPr>
                <w:rFonts w:cs="Arial"/>
                <w:vanish/>
                <w:color w:val="0000FF"/>
                <w:szCs w:val="18"/>
              </w:rPr>
              <w:t>BR_26.03</w:t>
            </w:r>
            <w:r w:rsidR="00CE3961" w:rsidRPr="00CE3961">
              <w:rPr>
                <w:vanish/>
                <w:szCs w:val="18"/>
              </w:rPr>
              <w:t>,</w:t>
            </w:r>
            <w:r w:rsidRPr="00CE3961">
              <w:rPr>
                <w:vanish/>
                <w:szCs w:val="18"/>
              </w:rPr>
              <w:t xml:space="preserve"> </w:t>
            </w:r>
            <w:r>
              <w:rPr>
                <w:vanish/>
                <w:szCs w:val="18"/>
              </w:rPr>
              <w:t xml:space="preserve">BR_26.44 </w:t>
            </w:r>
            <w:r>
              <w:t xml:space="preserve">VBECS compares the original unit’s expiration date and time to those of the modification to determine whether the selected unit was expired at the time of modification. When the user is a Blood Bank Technologist and the unit selected for modification expired, VBECS </w:t>
            </w:r>
            <w:r w:rsidR="007313EB">
              <w:t xml:space="preserve">emits an audible alert, </w:t>
            </w:r>
            <w:r>
              <w:t>displays an error message, clears the selected unit, and allows the user to select another unit for modification.</w:t>
            </w:r>
          </w:p>
          <w:p w:rsidR="002A21AE" w:rsidRDefault="002A21AE">
            <w:pPr>
              <w:pStyle w:val="TableText"/>
            </w:pPr>
          </w:p>
          <w:p w:rsidR="002A21AE" w:rsidRDefault="002A21AE">
            <w:pPr>
              <w:pStyle w:val="TableTextBullet1"/>
              <w:numPr>
                <w:ilvl w:val="0"/>
                <w:numId w:val="0"/>
              </w:numPr>
            </w:pPr>
            <w:r w:rsidRPr="00EC7489">
              <w:rPr>
                <w:rFonts w:ascii="Wingdings 3" w:hAnsi="Wingdings 3" w:cs="Wingdings"/>
              </w:rPr>
              <w:t></w:t>
            </w:r>
            <w:r w:rsidRPr="00EC7489">
              <w:rPr>
                <w:rFonts w:ascii="Wingdings 3" w:hAnsi="Wingdings 3" w:cs="Wingdings"/>
              </w:rPr>
              <w:t></w:t>
            </w:r>
            <w:r>
              <w:t xml:space="preserve"> When the user is an Enhanced Technologist and the unit selected for modification is expired, VBECS emits an audible alert, notifies the user, and asks him to verify to continue, or cancel to correct the entry data. </w:t>
            </w:r>
            <w:r w:rsidR="00692DD1">
              <w:rPr>
                <w:b/>
              </w:rPr>
              <w:t>Override</w:t>
            </w:r>
            <w:r w:rsidR="00692DD1">
              <w:t xml:space="preserve"> </w:t>
            </w:r>
            <w:r>
              <w:t xml:space="preserve">requires a comment and VBECS captures details for inclusion in an Exception Report (exception type: expires unit modified). </w:t>
            </w:r>
            <w:r>
              <w:rPr>
                <w:b/>
              </w:rPr>
              <w:t>Cancel</w:t>
            </w:r>
            <w:r>
              <w:t xml:space="preserve"> clears the selected unit and allows the user to select another unit for modification.</w:t>
            </w:r>
          </w:p>
        </w:tc>
      </w:tr>
      <w:tr w:rsidR="002A21AE">
        <w:tc>
          <w:tcPr>
            <w:tcW w:w="780" w:type="dxa"/>
          </w:tcPr>
          <w:p w:rsidR="002A21AE" w:rsidRDefault="002A21AE">
            <w:pPr>
              <w:pStyle w:val="TableText"/>
            </w:pPr>
            <w:r>
              <w:t>6</w:t>
            </w:r>
          </w:p>
        </w:tc>
        <w:tc>
          <w:tcPr>
            <w:tcW w:w="8580" w:type="dxa"/>
          </w:tcPr>
          <w:p w:rsidR="002A21AE" w:rsidRDefault="002A21AE">
            <w:pPr>
              <w:pStyle w:val="TableText"/>
            </w:pPr>
            <w:r w:rsidRPr="00317A8A">
              <w:rPr>
                <w:rFonts w:cs="Arial"/>
                <w:vanish/>
                <w:color w:val="0000FF"/>
              </w:rPr>
              <w:t>BR_26.07</w:t>
            </w:r>
            <w:r>
              <w:rPr>
                <w:rFonts w:cs="Arial"/>
                <w:vanish/>
              </w:rPr>
              <w:t xml:space="preserve"> </w:t>
            </w:r>
            <w:r>
              <w:t>When ABO/Rh confirmation testing is required but not performed, VBECS notifies the user that testing must be completed before issuing a target unit. The user may continue with the modification.</w:t>
            </w:r>
          </w:p>
        </w:tc>
      </w:tr>
      <w:tr w:rsidR="002A21AE">
        <w:tc>
          <w:tcPr>
            <w:tcW w:w="780" w:type="dxa"/>
          </w:tcPr>
          <w:p w:rsidR="002A21AE" w:rsidRDefault="002A21AE">
            <w:pPr>
              <w:pStyle w:val="TableText"/>
            </w:pPr>
            <w:r>
              <w:t>6</w:t>
            </w:r>
          </w:p>
        </w:tc>
        <w:tc>
          <w:tcPr>
            <w:tcW w:w="8580" w:type="dxa"/>
          </w:tcPr>
          <w:p w:rsidR="00A36571" w:rsidRDefault="00A36571" w:rsidP="00A36571">
            <w:pPr>
              <w:pStyle w:val="TableText"/>
            </w:pPr>
            <w:r w:rsidRPr="004A4EC2">
              <w:rPr>
                <w:rFonts w:cs="Arial"/>
                <w:vanish/>
                <w:color w:val="0000FF"/>
              </w:rPr>
              <w:t>BR_26.05</w:t>
            </w:r>
            <w:r>
              <w:rPr>
                <w:rFonts w:cs="Arial"/>
                <w:vanish/>
              </w:rPr>
              <w:t xml:space="preserve"> </w:t>
            </w:r>
            <w:r>
              <w:t>When a unit has an indicator of “quarantined,” VBECS notifies the user that it must be released before processing may continue, clears the selected unit, and allows the user to select another unit.</w:t>
            </w:r>
          </w:p>
          <w:p w:rsidR="00A36571" w:rsidRDefault="00A36571" w:rsidP="00A36571">
            <w:pPr>
              <w:pStyle w:val="TableText"/>
            </w:pPr>
          </w:p>
          <w:p w:rsidR="002A21AE" w:rsidRDefault="00A36571" w:rsidP="00A36571">
            <w:pPr>
              <w:pStyle w:val="TableText"/>
            </w:pPr>
            <w:r w:rsidRPr="004A4EC2">
              <w:rPr>
                <w:rFonts w:cs="Arial"/>
                <w:vanish/>
                <w:color w:val="0000FF"/>
              </w:rPr>
              <w:t>BR_26.06</w:t>
            </w:r>
            <w:r>
              <w:rPr>
                <w:rFonts w:cs="Arial"/>
                <w:vanish/>
              </w:rPr>
              <w:t xml:space="preserve"> </w:t>
            </w:r>
            <w:r w:rsidRPr="00EC7489">
              <w:rPr>
                <w:rFonts w:ascii="Wingdings 3" w:hAnsi="Wingdings 3" w:cs="Wingdings"/>
              </w:rPr>
              <w:t></w:t>
            </w:r>
            <w:r w:rsidRPr="00EC7489">
              <w:rPr>
                <w:rFonts w:ascii="Wingdings 3" w:hAnsi="Wingdings 3" w:cs="Wingdings"/>
              </w:rPr>
              <w:t></w:t>
            </w:r>
            <w:r>
              <w:t xml:space="preserve"> When the user is an Enhanced Technologist and a unit has an indicator of “quarantined,” VBECS notifies the user that it must be released before processing may continue and asks whether the user wishes to release the unit. </w:t>
            </w:r>
            <w:r>
              <w:rPr>
                <w:b/>
              </w:rPr>
              <w:t>Cancel</w:t>
            </w:r>
            <w:r>
              <w:t xml:space="preserve"> clears the selected unit and allows the user to select another unit. </w:t>
            </w:r>
            <w:r>
              <w:rPr>
                <w:b/>
              </w:rPr>
              <w:t>Override</w:t>
            </w:r>
            <w:r>
              <w:t xml:space="preserve"> releases the unit through Discard or Quarantine.</w:t>
            </w:r>
          </w:p>
        </w:tc>
      </w:tr>
      <w:tr w:rsidR="002A21AE">
        <w:tc>
          <w:tcPr>
            <w:tcW w:w="780" w:type="dxa"/>
          </w:tcPr>
          <w:p w:rsidR="002A21AE" w:rsidRDefault="002A21AE">
            <w:pPr>
              <w:pStyle w:val="TableText"/>
            </w:pPr>
            <w:r>
              <w:t>6</w:t>
            </w:r>
          </w:p>
        </w:tc>
        <w:tc>
          <w:tcPr>
            <w:tcW w:w="8580" w:type="dxa"/>
          </w:tcPr>
          <w:p w:rsidR="002A21AE" w:rsidRDefault="002A21AE">
            <w:pPr>
              <w:pStyle w:val="TableText"/>
            </w:pPr>
            <w:r w:rsidRPr="00150E0F">
              <w:rPr>
                <w:rFonts w:cs="Arial"/>
                <w:vanish/>
                <w:color w:val="0000FF"/>
              </w:rPr>
              <w:t>BR_26.42</w:t>
            </w:r>
            <w:r>
              <w:rPr>
                <w:rFonts w:cs="Arial"/>
                <w:vanish/>
              </w:rPr>
              <w:t xml:space="preserve"> </w:t>
            </w:r>
            <w:r>
              <w:t xml:space="preserve">When the selected unit has a positive biohazard Indicator, VBECS emits an audible alert, warns the user, and asks whether the user wishes to continue with the modification. </w:t>
            </w:r>
            <w:r w:rsidR="00692DD1">
              <w:rPr>
                <w:b/>
              </w:rPr>
              <w:t>Cancel</w:t>
            </w:r>
            <w:r w:rsidR="00692DD1">
              <w:t xml:space="preserve"> </w:t>
            </w:r>
            <w:r>
              <w:t xml:space="preserve">clears the unit and the user may select another unit. </w:t>
            </w:r>
            <w:r w:rsidR="00692DD1">
              <w:rPr>
                <w:b/>
              </w:rPr>
              <w:t>Override</w:t>
            </w:r>
            <w:r w:rsidR="00692DD1">
              <w:t xml:space="preserve"> </w:t>
            </w:r>
            <w:r>
              <w:t xml:space="preserve">requires a comment and VBECS captures details for inclusion in an Exception Report (exception type: biohazardous unit modified). </w:t>
            </w:r>
          </w:p>
        </w:tc>
      </w:tr>
      <w:tr w:rsidR="002A21AE">
        <w:tc>
          <w:tcPr>
            <w:tcW w:w="780" w:type="dxa"/>
          </w:tcPr>
          <w:p w:rsidR="002A21AE" w:rsidRDefault="007B681E">
            <w:pPr>
              <w:pStyle w:val="TableText"/>
            </w:pPr>
            <w:r>
              <w:lastRenderedPageBreak/>
              <w:t>8</w:t>
            </w:r>
          </w:p>
        </w:tc>
        <w:tc>
          <w:tcPr>
            <w:tcW w:w="8580" w:type="dxa"/>
          </w:tcPr>
          <w:p w:rsidR="002A21AE" w:rsidRDefault="002A21AE">
            <w:pPr>
              <w:pStyle w:val="TableText"/>
            </w:pPr>
            <w:r>
              <w:rPr>
                <w:rFonts w:cs="Arial"/>
                <w:vanish/>
              </w:rPr>
              <w:t xml:space="preserve">BR_26.46 </w:t>
            </w:r>
            <w:r>
              <w:t xml:space="preserve">When a supply item is expired, VBECS emits an audible alert, warns the user, and asks whether the user still wishes to use the item. </w:t>
            </w:r>
            <w:r>
              <w:rPr>
                <w:b/>
              </w:rPr>
              <w:t>Yes</w:t>
            </w:r>
            <w:r>
              <w:t xml:space="preserve"> requires a comment and VBECS captures details for inclusion in an Exception Report (exception type: expires supply used in unit modification). </w:t>
            </w:r>
            <w:r>
              <w:rPr>
                <w:b/>
              </w:rPr>
              <w:t>No</w:t>
            </w:r>
            <w:r>
              <w:t xml:space="preserve"> requires the user to select another supply lot number.</w:t>
            </w:r>
          </w:p>
        </w:tc>
      </w:tr>
      <w:tr w:rsidR="002A21AE">
        <w:tc>
          <w:tcPr>
            <w:tcW w:w="780" w:type="dxa"/>
          </w:tcPr>
          <w:p w:rsidR="002A21AE" w:rsidRDefault="002A21AE">
            <w:pPr>
              <w:pStyle w:val="TableText"/>
            </w:pPr>
            <w:r>
              <w:t>10</w:t>
            </w:r>
          </w:p>
        </w:tc>
        <w:tc>
          <w:tcPr>
            <w:tcW w:w="8580" w:type="dxa"/>
          </w:tcPr>
          <w:p w:rsidR="002A21AE" w:rsidRDefault="002A21AE">
            <w:pPr>
              <w:pStyle w:val="TableText"/>
            </w:pPr>
            <w:r w:rsidRPr="003354C6">
              <w:rPr>
                <w:rFonts w:cs="Arial"/>
                <w:vanish/>
                <w:color w:val="0000FF"/>
              </w:rPr>
              <w:t>BR_26.28</w:t>
            </w:r>
            <w:r>
              <w:rPr>
                <w:rFonts w:cs="Arial"/>
                <w:vanish/>
              </w:rPr>
              <w:t xml:space="preserve"> </w:t>
            </w:r>
            <w:r>
              <w:t xml:space="preserve">When the user </w:t>
            </w:r>
            <w:r w:rsidR="005C01E3">
              <w:t>extends</w:t>
            </w:r>
            <w:r>
              <w:t xml:space="preserve"> the </w:t>
            </w:r>
            <w:r w:rsidR="0003608A">
              <w:t>system-recommended</w:t>
            </w:r>
            <w:r>
              <w:t xml:space="preserve"> expiration date and time, VBECS warns the user, asks him to reenter the unit expiration date, and </w:t>
            </w:r>
            <w:r w:rsidR="00C877D1">
              <w:t>redisplays</w:t>
            </w:r>
            <w:r w:rsidR="00811354">
              <w:t xml:space="preserve"> </w:t>
            </w:r>
            <w:r>
              <w:t xml:space="preserve">the </w:t>
            </w:r>
            <w:r w:rsidR="00C877D1">
              <w:t xml:space="preserve">original </w:t>
            </w:r>
            <w:r>
              <w:t>entry. The user may enter another expiration date and time for the target unit.</w:t>
            </w:r>
          </w:p>
          <w:p w:rsidR="002A21AE" w:rsidRDefault="002A21AE">
            <w:pPr>
              <w:pStyle w:val="TableText"/>
            </w:pPr>
          </w:p>
          <w:p w:rsidR="002A21AE" w:rsidRDefault="002A21AE">
            <w:pPr>
              <w:pStyle w:val="TableText"/>
            </w:pPr>
            <w:r w:rsidRPr="003354C6">
              <w:rPr>
                <w:rFonts w:cs="Arial"/>
                <w:vanish/>
                <w:color w:val="0000FF"/>
              </w:rPr>
              <w:t>BR_26.21</w:t>
            </w:r>
            <w:r>
              <w:rPr>
                <w:rFonts w:cs="Arial"/>
                <w:vanish/>
              </w:rPr>
              <w:t xml:space="preserve"> </w:t>
            </w:r>
            <w:r w:rsidRPr="00EC7489">
              <w:rPr>
                <w:rFonts w:ascii="Wingdings 3" w:hAnsi="Wingdings 3" w:cs="Wingdings"/>
              </w:rPr>
              <w:t></w:t>
            </w:r>
            <w:r w:rsidRPr="00EC7489">
              <w:rPr>
                <w:rFonts w:ascii="Wingdings 3" w:hAnsi="Wingdings 3" w:cs="Wingdings"/>
              </w:rPr>
              <w:t></w:t>
            </w:r>
            <w:r>
              <w:t xml:space="preserve"> When an Enhanced Technologist extends the target unit expiration date and time past the system-recommended expiration date and time, VBECS emits an audible alert, warns the user, and asks whether he wishes to continue.</w:t>
            </w:r>
            <w:r w:rsidR="00323872">
              <w:t xml:space="preserve"> </w:t>
            </w:r>
            <w:r w:rsidR="00323872" w:rsidRPr="00323872">
              <w:rPr>
                <w:b/>
              </w:rPr>
              <w:t>Cancel</w:t>
            </w:r>
            <w:r w:rsidR="00323872">
              <w:t xml:space="preserve"> restores the expiration</w:t>
            </w:r>
            <w:r w:rsidR="00E00D0E">
              <w:t xml:space="preserve"> date</w:t>
            </w:r>
            <w:r w:rsidR="00323872">
              <w:t xml:space="preserve">. </w:t>
            </w:r>
            <w:r w:rsidR="00323872" w:rsidRPr="00323872">
              <w:rPr>
                <w:b/>
              </w:rPr>
              <w:t>Override</w:t>
            </w:r>
            <w:r w:rsidR="00323872">
              <w:t xml:space="preserve"> allows the user to</w:t>
            </w:r>
            <w:r w:rsidR="00AA6C54">
              <w:t xml:space="preserve"> </w:t>
            </w:r>
            <w:r w:rsidR="00323872">
              <w:t>continue</w:t>
            </w:r>
            <w:r>
              <w:t xml:space="preserve"> with this date</w:t>
            </w:r>
            <w:r w:rsidR="00323872">
              <w:t>,</w:t>
            </w:r>
            <w:r>
              <w:t xml:space="preserve"> requires a comment</w:t>
            </w:r>
            <w:r w:rsidR="00323872">
              <w:t>,</w:t>
            </w:r>
            <w:r>
              <w:t xml:space="preserve"> and captures details for inclusion in an Exception Report (exception type: target product outdate extended).</w:t>
            </w:r>
          </w:p>
        </w:tc>
      </w:tr>
    </w:tbl>
    <w:p w:rsidR="002A21AE" w:rsidRDefault="002A21AE">
      <w:pPr>
        <w:pStyle w:val="Heading3"/>
      </w:pPr>
      <w:bookmarkStart w:id="331" w:name="_Toc94349323"/>
      <w:bookmarkStart w:id="332" w:name="_Toc459900115"/>
      <w:bookmarkEnd w:id="321"/>
      <w:r>
        <w:t>Modify Units: Split a Unit</w:t>
      </w:r>
      <w:bookmarkEnd w:id="332"/>
      <w:r w:rsidRPr="007716F7">
        <w:rPr>
          <w:vanish/>
        </w:rPr>
        <w:fldChar w:fldCharType="begin"/>
      </w:r>
      <w:r w:rsidRPr="007716F7">
        <w:rPr>
          <w:vanish/>
        </w:rPr>
        <w:instrText xml:space="preserve"> XE </w:instrText>
      </w:r>
      <w:r w:rsidR="00FA7E65" w:rsidRPr="007716F7">
        <w:rPr>
          <w:vanish/>
        </w:rPr>
        <w:instrText>“</w:instrText>
      </w:r>
      <w:r w:rsidRPr="007716F7">
        <w:rPr>
          <w:vanish/>
        </w:rPr>
        <w:instrText>Modify Units\: Split a Unit</w:instrText>
      </w:r>
      <w:r w:rsidR="00FA7E65" w:rsidRPr="007716F7">
        <w:rPr>
          <w:vanish/>
        </w:rPr>
        <w:instrText>”</w:instrText>
      </w:r>
      <w:r w:rsidRPr="007716F7">
        <w:rPr>
          <w:vanish/>
        </w:rPr>
        <w:instrText xml:space="preserve"> </w:instrText>
      </w:r>
      <w:r w:rsidRPr="007716F7">
        <w:rPr>
          <w:vanish/>
        </w:rPr>
        <w:fldChar w:fldCharType="end"/>
      </w:r>
      <w:r w:rsidRPr="007716F7">
        <w:rPr>
          <w:vanish/>
        </w:rPr>
        <w:t xml:space="preserve"> UC_25</w:t>
      </w:r>
      <w:bookmarkEnd w:id="331"/>
    </w:p>
    <w:p w:rsidR="002A21AE" w:rsidRDefault="002A21AE" w:rsidP="00FA7E65">
      <w:pPr>
        <w:pStyle w:val="BodyText"/>
      </w:pPr>
      <w:bookmarkStart w:id="333" w:name="_Toc77662537"/>
      <w:r>
        <w:t xml:space="preserve">The user selects the unit to be split (divided) for transfusion. </w:t>
      </w:r>
    </w:p>
    <w:p w:rsidR="002A21AE" w:rsidRDefault="002A21AE">
      <w:pPr>
        <w:pStyle w:val="Heading4"/>
      </w:pPr>
      <w:bookmarkStart w:id="334" w:name="_Toc94349324"/>
      <w:r>
        <w:t>Assumptions</w:t>
      </w:r>
      <w:bookmarkEnd w:id="334"/>
    </w:p>
    <w:p w:rsidR="002A21AE" w:rsidRDefault="002A21AE">
      <w:pPr>
        <w:pStyle w:val="ListBullet"/>
      </w:pPr>
      <w:r>
        <w:t>See Modify Units.</w:t>
      </w:r>
    </w:p>
    <w:p w:rsidR="002A21AE" w:rsidRDefault="002A21AE">
      <w:pPr>
        <w:pStyle w:val="Heading4"/>
      </w:pPr>
      <w:bookmarkStart w:id="335" w:name="_Toc94349325"/>
      <w:r>
        <w:t>Outcome</w:t>
      </w:r>
      <w:bookmarkEnd w:id="335"/>
    </w:p>
    <w:p w:rsidR="002A21AE" w:rsidRDefault="002A21AE">
      <w:pPr>
        <w:pStyle w:val="ListBullet"/>
      </w:pPr>
      <w:r>
        <w:t>See Modify Units.</w:t>
      </w:r>
    </w:p>
    <w:p w:rsidR="002A21AE" w:rsidRDefault="002A21AE">
      <w:pPr>
        <w:pStyle w:val="Heading4"/>
      </w:pPr>
      <w:bookmarkStart w:id="336" w:name="_Toc94349326"/>
      <w:r>
        <w:t>Limitations and Restrictions</w:t>
      </w:r>
      <w:bookmarkEnd w:id="336"/>
    </w:p>
    <w:p w:rsidR="002A21AE" w:rsidRDefault="002A21AE">
      <w:pPr>
        <w:pStyle w:val="ListBullet"/>
      </w:pPr>
      <w:r>
        <w:rPr>
          <w:rFonts w:ascii="Arial" w:hAnsi="Arial" w:cs="Arial"/>
          <w:vanish/>
          <w:spacing w:val="0"/>
          <w:sz w:val="18"/>
        </w:rPr>
        <w:t xml:space="preserve">BR_25.21 </w:t>
      </w:r>
      <w:r>
        <w:t xml:space="preserve">A </w:t>
      </w:r>
      <w:r w:rsidR="004248F5">
        <w:t xml:space="preserve">unit </w:t>
      </w:r>
      <w:r>
        <w:t xml:space="preserve">previously split </w:t>
      </w:r>
      <w:r w:rsidR="004248F5">
        <w:t xml:space="preserve">in VBECS </w:t>
      </w:r>
      <w:r>
        <w:t xml:space="preserve">cannot be split again. A </w:t>
      </w:r>
      <w:r w:rsidR="004248F5">
        <w:t xml:space="preserve">unit </w:t>
      </w:r>
      <w:r>
        <w:t xml:space="preserve">pooled </w:t>
      </w:r>
      <w:r w:rsidR="004248F5">
        <w:t xml:space="preserve">in VBECS </w:t>
      </w:r>
      <w:r>
        <w:t>may not be split.</w:t>
      </w:r>
    </w:p>
    <w:p w:rsidR="002A21AE" w:rsidRDefault="002A21AE">
      <w:pPr>
        <w:pStyle w:val="ListBullet"/>
      </w:pPr>
      <w:r>
        <w:t xml:space="preserve">This option </w:t>
      </w:r>
      <w:r w:rsidR="00EF6F2A">
        <w:t xml:space="preserve">appends alphabetical </w:t>
      </w:r>
      <w:r>
        <w:t xml:space="preserve">characters to the Codabar unit ID of split units created from original units. This prevents scanning the unit ID barcode with the split indicator. </w:t>
      </w:r>
    </w:p>
    <w:p w:rsidR="002A21AE" w:rsidRDefault="002A21AE">
      <w:pPr>
        <w:pStyle w:val="ListBullet"/>
      </w:pPr>
      <w:r>
        <w:t xml:space="preserve">By ISBT 128 convention, split units created from an ISBT 128 original unit will have identical unit ID and five-digit product codes. </w:t>
      </w:r>
    </w:p>
    <w:p w:rsidR="002A21AE" w:rsidRDefault="002A21AE">
      <w:pPr>
        <w:pStyle w:val="Heading4"/>
      </w:pPr>
      <w:bookmarkStart w:id="337" w:name="_Toc94349327"/>
      <w:r>
        <w:t>Additional Information</w:t>
      </w:r>
      <w:bookmarkEnd w:id="337"/>
    </w:p>
    <w:p w:rsidR="002A21AE" w:rsidRDefault="002A21AE">
      <w:pPr>
        <w:pStyle w:val="ListBullet"/>
      </w:pPr>
      <w:r>
        <w:rPr>
          <w:rFonts w:ascii="Arial" w:hAnsi="Arial" w:cs="Arial"/>
          <w:vanish/>
          <w:spacing w:val="0"/>
          <w:sz w:val="18"/>
        </w:rPr>
        <w:t xml:space="preserve">BR_25.17 </w:t>
      </w:r>
      <w:r>
        <w:t xml:space="preserve">The user may select blood units from the product types indicated in </w:t>
      </w:r>
      <w:r w:rsidR="00543DAF">
        <w:fldChar w:fldCharType="begin"/>
      </w:r>
      <w:r w:rsidR="00543DAF">
        <w:instrText xml:space="preserve"> REF _Ref170004931 \h </w:instrText>
      </w:r>
      <w:r w:rsidR="00543DAF">
        <w:fldChar w:fldCharType="separate"/>
      </w:r>
      <w:r w:rsidR="005F38BC">
        <w:t xml:space="preserve">Appendix </w:t>
      </w:r>
      <w:r w:rsidR="005F38BC">
        <w:rPr>
          <w:noProof/>
        </w:rPr>
        <w:t>B</w:t>
      </w:r>
      <w:r w:rsidR="00543DAF">
        <w:fldChar w:fldCharType="end"/>
      </w:r>
      <w:r>
        <w:t xml:space="preserve">: </w:t>
      </w:r>
      <w:r w:rsidR="00771DBD">
        <w:fldChar w:fldCharType="begin"/>
      </w:r>
      <w:r w:rsidR="00771DBD">
        <w:instrText xml:space="preserve"> REF _Ref126485880 \h </w:instrText>
      </w:r>
      <w:r w:rsidR="00771DBD">
        <w:fldChar w:fldCharType="separate"/>
      </w:r>
      <w:r w:rsidR="005F38BC">
        <w:t xml:space="preserve">Table </w:t>
      </w:r>
      <w:r w:rsidR="005F38BC">
        <w:rPr>
          <w:noProof/>
        </w:rPr>
        <w:t>22</w:t>
      </w:r>
      <w:r w:rsidR="005F38BC">
        <w:t xml:space="preserve">: </w:t>
      </w:r>
      <w:r w:rsidR="005F38BC">
        <w:rPr>
          <w:vanish/>
        </w:rPr>
        <w:t xml:space="preserve">TT_26.02A </w:t>
      </w:r>
      <w:r w:rsidR="005F38BC">
        <w:t>Allowable Product Modifications by Original Product Type</w:t>
      </w:r>
      <w:r w:rsidR="00771DBD">
        <w:fldChar w:fldCharType="end"/>
      </w:r>
      <w:r>
        <w:t xml:space="preserve"> for splitting.</w:t>
      </w:r>
    </w:p>
    <w:p w:rsidR="00A03B5F" w:rsidRDefault="00A03B5F" w:rsidP="00A03B5F">
      <w:pPr>
        <w:pStyle w:val="ListBullet"/>
      </w:pPr>
      <w:r>
        <w:t>To reverse other modifications, remove the “modified” status from each unit through Remove Final Status.</w:t>
      </w:r>
    </w:p>
    <w:p w:rsidR="002A21AE" w:rsidRDefault="002A21AE">
      <w:pPr>
        <w:pStyle w:val="Heading4"/>
      </w:pPr>
      <w:bookmarkStart w:id="338" w:name="_Toc94349328"/>
      <w:r>
        <w:t>User Roles with Access to This Option</w:t>
      </w:r>
      <w:bookmarkEnd w:id="338"/>
    </w:p>
    <w:p w:rsidR="00700CAA" w:rsidRDefault="00700CAA" w:rsidP="00700CAA">
      <w:pPr>
        <w:pStyle w:val="Roles"/>
        <w:rPr>
          <w:snapToGrid w:val="0"/>
        </w:rPr>
      </w:pPr>
      <w:r>
        <w:t>All users</w:t>
      </w:r>
    </w:p>
    <w:bookmarkEnd w:id="333"/>
    <w:p w:rsidR="002A21AE" w:rsidRDefault="002A21AE">
      <w:pPr>
        <w:pStyle w:val="Heading4"/>
      </w:pPr>
      <w:r w:rsidRPr="00FA2D4C">
        <w:t>Modify Units: Split a Unit</w:t>
      </w:r>
    </w:p>
    <w:p w:rsidR="002A21AE" w:rsidRDefault="002A21AE" w:rsidP="00FA7E65">
      <w:pPr>
        <w:pStyle w:val="BodyText"/>
      </w:pPr>
      <w:r>
        <w:t>The user selects the unit to be split for transfusion. VBECS automatically applies directed and autologous restrictions to aliquots created. The user may or may not maintain patient assignments (usually, these units are crossmatched and available for the patient before the split is made). This section lists only rules unique to the division of a blood unit.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pPr>
              <w:pStyle w:val="TableTextNumbers"/>
            </w:pPr>
            <w:r>
              <w:t xml:space="preserve">Select </w:t>
            </w:r>
            <w:r>
              <w:rPr>
                <w:b/>
              </w:rPr>
              <w:t>Blood Units</w:t>
            </w:r>
            <w:r>
              <w:t xml:space="preserve"> from the main menu. </w:t>
            </w:r>
          </w:p>
          <w:p w:rsidR="002A21AE" w:rsidRDefault="002A21AE">
            <w:pPr>
              <w:pStyle w:val="TableTextNumbersContinued"/>
            </w:pPr>
          </w:p>
          <w:p w:rsidR="002A21AE" w:rsidRDefault="002A21AE">
            <w:pPr>
              <w:pStyle w:val="TableTextNumbersContinued"/>
            </w:pPr>
            <w:r>
              <w:lastRenderedPageBreak/>
              <w:t xml:space="preserve">Select </w:t>
            </w:r>
            <w:r>
              <w:rPr>
                <w:b/>
              </w:rPr>
              <w:t>Modify Units</w:t>
            </w:r>
            <w:r>
              <w:t>.</w:t>
            </w:r>
          </w:p>
        </w:tc>
        <w:tc>
          <w:tcPr>
            <w:tcW w:w="6120" w:type="dxa"/>
          </w:tcPr>
          <w:p w:rsidR="002A21AE" w:rsidRDefault="002A21AE">
            <w:pPr>
              <w:pStyle w:val="TableTextBullet"/>
            </w:pPr>
            <w:r>
              <w:lastRenderedPageBreak/>
              <w:t>Displays options for processing blood units.</w:t>
            </w:r>
          </w:p>
          <w:p w:rsidR="002A21AE" w:rsidRDefault="002A21AE">
            <w:pPr>
              <w:pStyle w:val="TableTextBullet"/>
            </w:pPr>
            <w:r>
              <w:t>Displays valid modification types for selection.</w:t>
            </w:r>
          </w:p>
        </w:tc>
      </w:tr>
      <w:tr w:rsidR="002A21AE">
        <w:tblPrEx>
          <w:tblCellMar>
            <w:top w:w="0" w:type="dxa"/>
            <w:bottom w:w="0" w:type="dxa"/>
          </w:tblCellMar>
        </w:tblPrEx>
        <w:tc>
          <w:tcPr>
            <w:tcW w:w="3240" w:type="dxa"/>
          </w:tcPr>
          <w:p w:rsidR="002A21AE" w:rsidRDefault="002A21AE">
            <w:pPr>
              <w:pStyle w:val="TableTextNumbers"/>
            </w:pPr>
            <w:r>
              <w:lastRenderedPageBreak/>
              <w:t xml:space="preserve">Click the </w:t>
            </w:r>
            <w:r>
              <w:rPr>
                <w:b/>
              </w:rPr>
              <w:t xml:space="preserve">Split/Divide </w:t>
            </w:r>
            <w:r w:rsidRPr="00BF2E41">
              <w:t>radio button</w:t>
            </w:r>
            <w:r>
              <w:t>.</w:t>
            </w:r>
          </w:p>
          <w:p w:rsidR="002A21AE" w:rsidRDefault="002A21AE">
            <w:pPr>
              <w:pStyle w:val="TableTextNumbersContinued"/>
            </w:pPr>
          </w:p>
          <w:p w:rsidR="002A21AE" w:rsidRDefault="002A21AE">
            <w:pPr>
              <w:pStyle w:val="TableTextNumbersContinued"/>
            </w:pPr>
            <w:r>
              <w:t xml:space="preserve">Click </w:t>
            </w:r>
            <w:r>
              <w:rPr>
                <w:b/>
              </w:rPr>
              <w:t>OK</w:t>
            </w:r>
            <w:r>
              <w:t>.</w:t>
            </w:r>
          </w:p>
        </w:tc>
        <w:tc>
          <w:tcPr>
            <w:tcW w:w="6120" w:type="dxa"/>
          </w:tcPr>
          <w:p w:rsidR="002A21AE" w:rsidRDefault="002A21AE">
            <w:pPr>
              <w:pStyle w:val="TableTextBullet"/>
              <w:tabs>
                <w:tab w:val="num" w:pos="360"/>
              </w:tabs>
            </w:pPr>
            <w:r>
              <w:t>Allows the user to search for a unit.</w:t>
            </w:r>
          </w:p>
        </w:tc>
      </w:tr>
      <w:tr w:rsidR="002A21AE">
        <w:tblPrEx>
          <w:tblCellMar>
            <w:top w:w="0" w:type="dxa"/>
            <w:bottom w:w="0" w:type="dxa"/>
          </w:tblCellMar>
        </w:tblPrEx>
        <w:tc>
          <w:tcPr>
            <w:tcW w:w="3240" w:type="dxa"/>
          </w:tcPr>
          <w:p w:rsidR="002A21AE" w:rsidRDefault="002A21AE">
            <w:pPr>
              <w:pStyle w:val="TableTextNumbers"/>
            </w:pPr>
            <w:r>
              <w:t xml:space="preserve">Select a unit and click </w:t>
            </w:r>
            <w:r>
              <w:rPr>
                <w:b/>
              </w:rPr>
              <w:t>OK</w:t>
            </w:r>
            <w:r>
              <w:t>.</w:t>
            </w:r>
          </w:p>
          <w:p w:rsidR="002A21AE" w:rsidRDefault="002A21AE">
            <w:pPr>
              <w:pStyle w:val="TableTextNumbersContinued"/>
            </w:pPr>
          </w:p>
          <w:p w:rsidR="002A21AE" w:rsidRDefault="002A21AE">
            <w:pPr>
              <w:pStyle w:val="TableTextNumbersContinued"/>
            </w:pPr>
            <w:r>
              <w:t xml:space="preserve">Click </w:t>
            </w:r>
            <w:r>
              <w:rPr>
                <w:b/>
              </w:rPr>
              <w:t>Select</w:t>
            </w:r>
            <w:r w:rsidR="00462E2C" w:rsidRPr="00462E2C">
              <w:t xml:space="preserve"> to confirm the unit selected.</w:t>
            </w:r>
          </w:p>
        </w:tc>
        <w:tc>
          <w:tcPr>
            <w:tcW w:w="6120" w:type="dxa"/>
          </w:tcPr>
          <w:p w:rsidR="002A21AE" w:rsidRDefault="002A21AE">
            <w:pPr>
              <w:pStyle w:val="TableTextBullet"/>
              <w:tabs>
                <w:tab w:val="num" w:pos="360"/>
              </w:tabs>
            </w:pPr>
            <w:r>
              <w:t>Displays data for the original and target units.</w:t>
            </w:r>
          </w:p>
        </w:tc>
      </w:tr>
      <w:tr w:rsidR="002A21AE">
        <w:tblPrEx>
          <w:tblCellMar>
            <w:top w:w="0" w:type="dxa"/>
            <w:bottom w:w="0" w:type="dxa"/>
          </w:tblCellMar>
        </w:tblPrEx>
        <w:tc>
          <w:tcPr>
            <w:tcW w:w="3240" w:type="dxa"/>
          </w:tcPr>
          <w:p w:rsidR="002A21AE" w:rsidRDefault="002A21AE">
            <w:pPr>
              <w:pStyle w:val="TableTextNumbers"/>
            </w:pPr>
            <w:r>
              <w:t>Edit the number of adult splits to be created, if required</w:t>
            </w:r>
            <w:r w:rsidR="004C6777">
              <w:t xml:space="preserve"> (</w:t>
            </w:r>
            <w:r w:rsidR="004C6777">
              <w:fldChar w:fldCharType="begin"/>
            </w:r>
            <w:r w:rsidR="004C6777">
              <w:instrText xml:space="preserve"> REF _Ref126650409 \h </w:instrText>
            </w:r>
            <w:r w:rsidR="004C6777">
              <w:fldChar w:fldCharType="separate"/>
            </w:r>
            <w:r w:rsidR="005F38BC">
              <w:t xml:space="preserve">Figure </w:t>
            </w:r>
            <w:r w:rsidR="005F38BC">
              <w:rPr>
                <w:noProof/>
              </w:rPr>
              <w:t>85</w:t>
            </w:r>
            <w:r w:rsidR="004C6777">
              <w:fldChar w:fldCharType="end"/>
            </w:r>
            <w:r w:rsidR="004C6777">
              <w:t>)</w:t>
            </w:r>
            <w:r>
              <w:t>.</w:t>
            </w:r>
          </w:p>
          <w:p w:rsidR="002A21AE" w:rsidRDefault="002A21AE">
            <w:pPr>
              <w:pStyle w:val="TableTextNumbersContinued"/>
            </w:pPr>
          </w:p>
          <w:p w:rsidR="002A21AE" w:rsidRDefault="002A21AE">
            <w:pPr>
              <w:pStyle w:val="TableTextNumbersContinued"/>
            </w:pPr>
            <w:r>
              <w:t xml:space="preserve">Click </w:t>
            </w:r>
            <w:r>
              <w:rPr>
                <w:b/>
              </w:rPr>
              <w:t>Split*</w:t>
            </w:r>
            <w:r>
              <w:t xml:space="preserve"> to verify the number of splits to be created and add the appropriate number of target unit tabs.</w:t>
            </w:r>
          </w:p>
          <w:p w:rsidR="002A21AE" w:rsidRDefault="002A21AE">
            <w:pPr>
              <w:pStyle w:val="TableTextNumbers"/>
              <w:numPr>
                <w:ilvl w:val="0"/>
                <w:numId w:val="0"/>
              </w:numPr>
            </w:pPr>
          </w:p>
        </w:tc>
        <w:tc>
          <w:tcPr>
            <w:tcW w:w="6120" w:type="dxa"/>
          </w:tcPr>
          <w:p w:rsidR="002A21AE" w:rsidRDefault="002A21AE">
            <w:pPr>
              <w:pStyle w:val="TableTextBullet"/>
              <w:tabs>
                <w:tab w:val="num" w:pos="360"/>
              </w:tabs>
            </w:pPr>
            <w:r>
              <w:t xml:space="preserve">Displays the number of splits to be created (default: 2) for verification. </w:t>
            </w:r>
          </w:p>
          <w:p w:rsidR="002A21AE" w:rsidRDefault="002A21AE">
            <w:pPr>
              <w:pStyle w:val="TableTextBullet"/>
              <w:tabs>
                <w:tab w:val="num" w:pos="360"/>
              </w:tabs>
            </w:pPr>
            <w:r>
              <w:t>Requires entry of the number of splits to be created.</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5977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77" name="Line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5"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3HFFQ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EyL&#10;ccU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rsidP="001132DE">
            <w:pPr>
              <w:pStyle w:val="NotesText"/>
            </w:pPr>
            <w:r>
              <w:rPr>
                <w:rFonts w:cs="Arial"/>
                <w:vanish/>
                <w:szCs w:val="18"/>
              </w:rPr>
              <w:t>BR_25.01</w:t>
            </w:r>
            <w:r w:rsidR="00CE3961">
              <w:rPr>
                <w:rFonts w:cs="Arial"/>
                <w:vanish/>
                <w:szCs w:val="18"/>
              </w:rPr>
              <w:t>,</w:t>
            </w:r>
            <w:r>
              <w:rPr>
                <w:rFonts w:cs="Arial"/>
                <w:vanish/>
                <w:szCs w:val="18"/>
              </w:rPr>
              <w:t xml:space="preserve"> </w:t>
            </w:r>
            <w:r>
              <w:rPr>
                <w:vanish/>
                <w:szCs w:val="18"/>
              </w:rPr>
              <w:t xml:space="preserve">BR_25.16 </w:t>
            </w:r>
            <w:r>
              <w:t xml:space="preserve">When Adult Split is selected, the user must indicate the number of split units to be created. The user may split a unit into 2 to 26 subunits until the volume of the original container is consumed. </w:t>
            </w:r>
          </w:p>
        </w:tc>
      </w:tr>
      <w:tr w:rsidR="002A21AE">
        <w:tblPrEx>
          <w:tblCellMar>
            <w:top w:w="0" w:type="dxa"/>
            <w:bottom w:w="0" w:type="dxa"/>
          </w:tblCellMar>
        </w:tblPrEx>
        <w:tc>
          <w:tcPr>
            <w:tcW w:w="3240" w:type="dxa"/>
          </w:tcPr>
          <w:p w:rsidR="002A21AE" w:rsidRDefault="002A21AE">
            <w:pPr>
              <w:pStyle w:val="TableTextNumbers"/>
            </w:pPr>
            <w:r>
              <w:t>Select or confirm the desired target component type.</w:t>
            </w:r>
          </w:p>
          <w:p w:rsidR="002A21AE" w:rsidRDefault="002A21AE">
            <w:pPr>
              <w:pStyle w:val="TableTextNumbersContinued"/>
            </w:pPr>
          </w:p>
          <w:p w:rsidR="002A21AE" w:rsidRDefault="002A21AE">
            <w:pPr>
              <w:pStyle w:val="TableTextNumbersContinued"/>
            </w:pPr>
            <w:r>
              <w:t xml:space="preserve">For a Sterile Connection Device modification method, click the </w:t>
            </w:r>
            <w:r>
              <w:rPr>
                <w:b/>
              </w:rPr>
              <w:t>Weld Complete</w:t>
            </w:r>
            <w:r>
              <w:t xml:space="preserve"> or</w:t>
            </w:r>
            <w:r>
              <w:rPr>
                <w:b/>
              </w:rPr>
              <w:t xml:space="preserve"> Weld Incomplete </w:t>
            </w:r>
            <w:r w:rsidRPr="00BF2E41">
              <w:t>radio button</w:t>
            </w:r>
            <w:r>
              <w:rPr>
                <w:b/>
              </w:rPr>
              <w:t xml:space="preserve"> </w:t>
            </w:r>
            <w:r>
              <w:t>to indicate the condition of the weld.</w:t>
            </w:r>
          </w:p>
          <w:p w:rsidR="000E6E10" w:rsidRDefault="000E6E10">
            <w:pPr>
              <w:pStyle w:val="TableTextNumbersContinued"/>
            </w:pPr>
          </w:p>
          <w:p w:rsidR="000E6E10" w:rsidRDefault="00F437F8">
            <w:pPr>
              <w:pStyle w:val="TableTextNumbersContinued"/>
            </w:pPr>
            <w:r>
              <w:t xml:space="preserve">Click the </w:t>
            </w:r>
            <w:r w:rsidRPr="007B7DEC">
              <w:rPr>
                <w:b/>
              </w:rPr>
              <w:t>Container</w:t>
            </w:r>
            <w:r>
              <w:t xml:space="preserve">, </w:t>
            </w:r>
            <w:r w:rsidRPr="00764A64">
              <w:rPr>
                <w:b/>
              </w:rPr>
              <w:t>Supplies</w:t>
            </w:r>
            <w:r w:rsidRPr="007B7DEC">
              <w:t>,</w:t>
            </w:r>
            <w:r w:rsidR="0023261D">
              <w:t xml:space="preserve"> </w:t>
            </w:r>
            <w:r w:rsidRPr="00764A64">
              <w:rPr>
                <w:b/>
              </w:rPr>
              <w:t>Equipment</w:t>
            </w:r>
            <w:r w:rsidRPr="007B7DEC">
              <w:t>, or</w:t>
            </w:r>
            <w:r>
              <w:rPr>
                <w:b/>
              </w:rPr>
              <w:t xml:space="preserve"> SCD Wafer</w:t>
            </w:r>
            <w:r w:rsidRPr="00764A64">
              <w:rPr>
                <w:b/>
              </w:rPr>
              <w:t xml:space="preserve"> </w:t>
            </w:r>
            <w:r w:rsidRPr="00CC3C89">
              <w:t>tab</w:t>
            </w:r>
            <w:r w:rsidR="000E6E10" w:rsidRPr="00CC3C89">
              <w:t xml:space="preserve"> </w:t>
            </w:r>
            <w:r w:rsidR="000E6E10">
              <w:t>and enter another supply and/or equipment lot or ID number.</w:t>
            </w:r>
          </w:p>
          <w:p w:rsidR="002A21AE" w:rsidRDefault="002A21AE">
            <w:pPr>
              <w:pStyle w:val="TableTextNumbers"/>
              <w:numPr>
                <w:ilvl w:val="0"/>
                <w:numId w:val="0"/>
              </w:numPr>
            </w:pPr>
          </w:p>
        </w:tc>
        <w:tc>
          <w:tcPr>
            <w:tcW w:w="6120" w:type="dxa"/>
          </w:tcPr>
          <w:p w:rsidR="002A21AE" w:rsidRDefault="002A21AE">
            <w:pPr>
              <w:pStyle w:val="TableTextBullet"/>
              <w:tabs>
                <w:tab w:val="num" w:pos="360"/>
              </w:tabs>
            </w:pPr>
            <w:r>
              <w:t>Allows the user to enter lot and ID numbers or select multiple items from the supply and equipment lists.</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6080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76" name="Line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6"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SHFQ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Fr/&#10;pIc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rPr>
                <w:color w:val="000000"/>
              </w:rPr>
            </w:pPr>
            <w:r>
              <w:rPr>
                <w:rFonts w:cs="Arial"/>
                <w:vanish/>
              </w:rPr>
              <w:t xml:space="preserve">BR_25.04 </w:t>
            </w:r>
            <w:r>
              <w:rPr>
                <w:color w:val="000000"/>
              </w:rPr>
              <w:t>When multiple target units are created, the user must associate a container lot number with each unit created. “Original container” may serve as the lot number for one of the aliquots created.</w:t>
            </w:r>
          </w:p>
          <w:p w:rsidR="002A21AE" w:rsidRDefault="002A21AE">
            <w:pPr>
              <w:pStyle w:val="NotesText"/>
            </w:pPr>
          </w:p>
          <w:p w:rsidR="002A21AE" w:rsidRDefault="002A21AE">
            <w:pPr>
              <w:pStyle w:val="NotesText"/>
            </w:pPr>
            <w:r>
              <w:t xml:space="preserve">The original blood collection facility must keep a record of the original container lot numbers so that, when a lot number is recalled, it is known which patient was exposed to it. </w:t>
            </w:r>
          </w:p>
          <w:p w:rsidR="002A21AE" w:rsidRDefault="002A21AE">
            <w:pPr>
              <w:pStyle w:val="NotesText"/>
            </w:pPr>
          </w:p>
          <w:p w:rsidR="002A21AE" w:rsidRDefault="002A21AE">
            <w:pPr>
              <w:pStyle w:val="NotesText"/>
            </w:pPr>
            <w:r>
              <w:rPr>
                <w:rFonts w:cs="Arial"/>
                <w:vanish/>
              </w:rPr>
              <w:t xml:space="preserve">BR_25.18 </w:t>
            </w:r>
            <w:r>
              <w:t>The expiration date and time are the same as the original unit for each split unit created using an SCD or a closed method. This applies to all types of splits.</w:t>
            </w:r>
          </w:p>
        </w:tc>
      </w:tr>
      <w:tr w:rsidR="002A21AE">
        <w:tblPrEx>
          <w:tblCellMar>
            <w:top w:w="0" w:type="dxa"/>
            <w:bottom w:w="0" w:type="dxa"/>
          </w:tblCellMar>
        </w:tblPrEx>
        <w:tc>
          <w:tcPr>
            <w:tcW w:w="3240" w:type="dxa"/>
          </w:tcPr>
          <w:p w:rsidR="002A21AE" w:rsidRDefault="002A21AE">
            <w:pPr>
              <w:pStyle w:val="TableTextNumbers"/>
            </w:pPr>
            <w:r>
              <w:t>Accept or edit the displayed expiration date.</w:t>
            </w:r>
          </w:p>
        </w:tc>
        <w:tc>
          <w:tcPr>
            <w:tcW w:w="6120" w:type="dxa"/>
          </w:tcPr>
          <w:p w:rsidR="002A21AE" w:rsidRDefault="002A21AE">
            <w:pPr>
              <w:pStyle w:val="TableTextBullet"/>
              <w:tabs>
                <w:tab w:val="num" w:pos="360"/>
              </w:tabs>
            </w:pPr>
            <w:r>
              <w:t>Displays the expiration date.</w:t>
            </w:r>
          </w:p>
          <w:p w:rsidR="002A21AE" w:rsidRDefault="002A21AE">
            <w:pPr>
              <w:pStyle w:val="TableTextBullet"/>
              <w:tabs>
                <w:tab w:val="num" w:pos="360"/>
              </w:tabs>
            </w:pPr>
            <w:r>
              <w:t xml:space="preserve">Calculates and displays the volume of each split unit. </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6182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75" name="Line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7"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C8TFQIAAC0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K1k&#10;LxM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BR_25.19 </w:t>
            </w:r>
            <w:r>
              <w:t xml:space="preserve">The expiration date and time </w:t>
            </w:r>
            <w:r w:rsidR="00145AD0">
              <w:t xml:space="preserve">for each split created </w:t>
            </w:r>
            <w:r>
              <w:t xml:space="preserve">are 24 hours from the date and time </w:t>
            </w:r>
            <w:r w:rsidR="00145AD0">
              <w:t>of modification (</w:t>
            </w:r>
            <w:r>
              <w:t>using an open method</w:t>
            </w:r>
            <w:r w:rsidR="00145AD0">
              <w:t>)</w:t>
            </w:r>
            <w:r>
              <w:t>.</w:t>
            </w:r>
          </w:p>
          <w:p w:rsidR="002A21AE" w:rsidRDefault="002A21AE">
            <w:pPr>
              <w:pStyle w:val="TableText"/>
              <w:rPr>
                <w:b/>
                <w:bCs/>
                <w:szCs w:val="18"/>
              </w:rPr>
            </w:pPr>
          </w:p>
          <w:p w:rsidR="002A21AE" w:rsidRDefault="002A21AE">
            <w:pPr>
              <w:pStyle w:val="NotesText"/>
            </w:pPr>
            <w:r>
              <w:rPr>
                <w:rFonts w:cs="Arial"/>
                <w:vanish/>
              </w:rPr>
              <w:t xml:space="preserve">BR_25.05 </w:t>
            </w:r>
            <w:r>
              <w:t xml:space="preserve">The user may edit the default volumes, which must not equal “0” (zero) or be greater than 2,000 mL. VBECS divides the volume </w:t>
            </w:r>
            <w:r w:rsidR="00876568">
              <w:t xml:space="preserve">of the original unit </w:t>
            </w:r>
            <w:r>
              <w:t>evenly among the splits and adds the remainder to the first split.</w:t>
            </w:r>
          </w:p>
        </w:tc>
      </w:tr>
      <w:tr w:rsidR="002A21AE">
        <w:tblPrEx>
          <w:tblCellMar>
            <w:top w:w="0" w:type="dxa"/>
            <w:bottom w:w="0" w:type="dxa"/>
          </w:tblCellMar>
        </w:tblPrEx>
        <w:tc>
          <w:tcPr>
            <w:tcW w:w="3240" w:type="dxa"/>
          </w:tcPr>
          <w:p w:rsidR="002A21AE" w:rsidRDefault="002A21AE">
            <w:pPr>
              <w:pStyle w:val="TableTextNumbers"/>
            </w:pPr>
            <w:r>
              <w:t>Accept or edit the displayed unit volumes.</w:t>
            </w:r>
          </w:p>
        </w:tc>
        <w:tc>
          <w:tcPr>
            <w:tcW w:w="6120" w:type="dxa"/>
          </w:tcPr>
          <w:p w:rsidR="002A21AE" w:rsidRDefault="002A21AE">
            <w:pPr>
              <w:pStyle w:val="TableTextBullet"/>
              <w:tabs>
                <w:tab w:val="num" w:pos="360"/>
              </w:tabs>
            </w:pPr>
            <w:r>
              <w:t>Displays the original and target unit data for review.</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6284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74" name="Line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8"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OalFQ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OwY&#10;5qU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t>The user may not edit original unit data.</w:t>
            </w:r>
          </w:p>
          <w:p w:rsidR="002A21AE" w:rsidRDefault="002A21AE">
            <w:pPr>
              <w:pStyle w:val="NotesText"/>
            </w:pPr>
          </w:p>
          <w:p w:rsidR="002A21AE" w:rsidRDefault="002A21AE">
            <w:pPr>
              <w:pStyle w:val="NotesText"/>
            </w:pPr>
            <w:r>
              <w:rPr>
                <w:rFonts w:cs="Arial"/>
                <w:vanish/>
              </w:rPr>
              <w:t xml:space="preserve">BR_25.11 </w:t>
            </w:r>
            <w:r>
              <w:t>The product code of target units created is the same as that of the original unit.</w:t>
            </w:r>
          </w:p>
          <w:p w:rsidR="002A21AE" w:rsidRDefault="002A21AE">
            <w:pPr>
              <w:pStyle w:val="NotesText"/>
            </w:pPr>
          </w:p>
          <w:p w:rsidR="002A21AE" w:rsidRDefault="002A21AE">
            <w:pPr>
              <w:pStyle w:val="NotesText"/>
            </w:pPr>
            <w:r>
              <w:rPr>
                <w:rFonts w:cs="Arial"/>
                <w:vanish/>
              </w:rPr>
              <w:t xml:space="preserve">BR_25.12 </w:t>
            </w:r>
            <w:r>
              <w:t>Target units inherit the original unit data, except for volume: volume is assigned based on the conditions of modification.</w:t>
            </w:r>
          </w:p>
        </w:tc>
      </w:tr>
      <w:tr w:rsidR="002A21AE">
        <w:tblPrEx>
          <w:tblCellMar>
            <w:top w:w="0" w:type="dxa"/>
            <w:bottom w:w="0" w:type="dxa"/>
          </w:tblCellMar>
        </w:tblPrEx>
        <w:tc>
          <w:tcPr>
            <w:tcW w:w="3240" w:type="dxa"/>
          </w:tcPr>
          <w:p w:rsidR="002A21AE" w:rsidRDefault="002A21AE">
            <w:pPr>
              <w:pStyle w:val="TableTextNumbers"/>
            </w:pPr>
            <w:r>
              <w:lastRenderedPageBreak/>
              <w:t>Review the displayed data for the target units and confirm the modification type.</w:t>
            </w:r>
          </w:p>
        </w:tc>
        <w:tc>
          <w:tcPr>
            <w:tcW w:w="6120" w:type="dxa"/>
          </w:tcPr>
          <w:p w:rsidR="002A21AE" w:rsidRDefault="002A21AE" w:rsidP="000C3495">
            <w:pPr>
              <w:pStyle w:val="TableTextBullet"/>
            </w:pPr>
            <w:r>
              <w:t>Displays the target unit’s ID number.</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6694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73" name="Lin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2"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wfAFQIAAC0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MiD&#10;B8A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BR_25.06 </w:t>
            </w:r>
            <w:r>
              <w:t xml:space="preserve">VBECS assigns the unit ID of the target units based on the labeling of the original unit: </w:t>
            </w:r>
          </w:p>
          <w:p w:rsidR="002A21AE" w:rsidRDefault="002A21AE">
            <w:pPr>
              <w:pStyle w:val="NotesTextBullet"/>
            </w:pPr>
            <w:r>
              <w:t>Codabar: the ID number comprises the original unit ID number and a suffix (A–Z) for the 2 to 26 target units, beginning with A. The five-digit product code remains the same.</w:t>
            </w:r>
          </w:p>
          <w:p w:rsidR="002A21AE" w:rsidRDefault="002A21AE">
            <w:pPr>
              <w:pStyle w:val="NotesTextBullet"/>
            </w:pPr>
            <w:r>
              <w:rPr>
                <w:rFonts w:cs="Arial"/>
                <w:vanish/>
              </w:rPr>
              <w:t>BR</w:t>
            </w:r>
            <w:r>
              <w:rPr>
                <w:rStyle w:val="NotesTextBullet1Char"/>
                <w:rFonts w:cs="Arial"/>
                <w:vanish/>
                <w:color w:val="auto"/>
              </w:rPr>
              <w:t xml:space="preserve">_25.07 </w:t>
            </w:r>
            <w:r>
              <w:rPr>
                <w:rStyle w:val="NotesTextBullet1Char"/>
              </w:rPr>
              <w:t xml:space="preserve">ISBT 128: the unit ID, five-digit product description code, and sixth-character donation code remain the same. Characters 7 and 8 of the ISBT 128 product code barcode reflect the aliquot level: when a previously undivided unit is split, character 7 of the unique eight-digit ISBT 128 product code is incremented alphabetically in uppercase letters, resulting in characters 7 and 8: A0, B0, C0, </w:t>
            </w:r>
            <w:r w:rsidR="00A10483">
              <w:rPr>
                <w:rStyle w:val="NotesTextBullet1Char"/>
              </w:rPr>
              <w:t>D0 …</w:t>
            </w:r>
            <w:r>
              <w:rPr>
                <w:rStyle w:val="NotesTextBullet1Char"/>
              </w:rPr>
              <w:t xml:space="preserve"> Z0. </w:t>
            </w:r>
          </w:p>
        </w:tc>
      </w:tr>
      <w:tr w:rsidR="002A21AE">
        <w:tblPrEx>
          <w:tblCellMar>
            <w:top w:w="0" w:type="dxa"/>
            <w:bottom w:w="0" w:type="dxa"/>
          </w:tblCellMar>
        </w:tblPrEx>
        <w:tc>
          <w:tcPr>
            <w:tcW w:w="3240" w:type="dxa"/>
          </w:tcPr>
          <w:p w:rsidR="002A21AE" w:rsidRDefault="002A21AE">
            <w:pPr>
              <w:pStyle w:val="TableTextNumbers"/>
            </w:pPr>
            <w:r>
              <w:t xml:space="preserve">Click </w:t>
            </w:r>
            <w:r>
              <w:rPr>
                <w:b/>
              </w:rPr>
              <w:t>OK</w:t>
            </w:r>
            <w:r>
              <w:t xml:space="preserve"> to save.</w:t>
            </w:r>
          </w:p>
          <w:p w:rsidR="00913F95" w:rsidRDefault="00913F95" w:rsidP="00913F95">
            <w:pPr>
              <w:pStyle w:val="TableTextNumbersContinued"/>
            </w:pPr>
          </w:p>
          <w:p w:rsidR="00913F95" w:rsidRDefault="00913F95" w:rsidP="00913F95">
            <w:pPr>
              <w:pStyle w:val="TableTextNumbersContinued"/>
            </w:pPr>
            <w:r>
              <w:t xml:space="preserve">Click </w:t>
            </w:r>
            <w:r w:rsidRPr="00A77D1F">
              <w:rPr>
                <w:b/>
              </w:rPr>
              <w:t>Yes</w:t>
            </w:r>
            <w:r>
              <w:t xml:space="preserve"> to verify the label.</w:t>
            </w:r>
          </w:p>
        </w:tc>
        <w:tc>
          <w:tcPr>
            <w:tcW w:w="6120" w:type="dxa"/>
          </w:tcPr>
          <w:p w:rsidR="000C3495" w:rsidRDefault="000C3495" w:rsidP="000C3495">
            <w:pPr>
              <w:pStyle w:val="TableTextBullet"/>
              <w:tabs>
                <w:tab w:val="num" w:pos="360"/>
              </w:tabs>
            </w:pPr>
            <w:r>
              <w:t xml:space="preserve">Prompts the user to save the data, including patient assignment and restriction information, if any. </w:t>
            </w:r>
          </w:p>
          <w:p w:rsidR="002A21AE" w:rsidRDefault="002A21AE">
            <w:pPr>
              <w:pStyle w:val="TableTextBullet"/>
            </w:pPr>
            <w:r>
              <w:t>Saves aliquots created from the modified unit.</w:t>
            </w:r>
          </w:p>
          <w:p w:rsidR="00913F95" w:rsidRDefault="00EE2911" w:rsidP="00913F95">
            <w:pPr>
              <w:pStyle w:val="TableTextBullet"/>
              <w:tabs>
                <w:tab w:val="clear" w:pos="288"/>
              </w:tabs>
            </w:pPr>
            <w:r>
              <w:t>Records the unit ID of the target unit on the record of the original unit.</w:t>
            </w:r>
          </w:p>
          <w:p w:rsidR="00E92B60" w:rsidRDefault="00E92B60" w:rsidP="00E92B60">
            <w:pPr>
              <w:pStyle w:val="TableTextBullet"/>
              <w:tabs>
                <w:tab w:val="clear" w:pos="288"/>
              </w:tabs>
            </w:pPr>
            <w:r>
              <w:t>Saves only the technologist name and the date and time the label was verified. When the user indicates that a new label applied fails to complete the verification process, releases the assignment, quarantines the unit, and captures details for inclusion in an Exception Report (exception type: target product label failed checks).</w:t>
            </w:r>
          </w:p>
        </w:tc>
      </w:tr>
      <w:tr w:rsidR="002A21AE">
        <w:tblPrEx>
          <w:tblCellMar>
            <w:top w:w="0" w:type="dxa"/>
            <w:bottom w:w="0" w:type="dxa"/>
          </w:tblCellMar>
        </w:tblPrEx>
        <w:tc>
          <w:tcPr>
            <w:tcW w:w="3240" w:type="dxa"/>
            <w:tcBorders>
              <w:bottom w:val="single" w:sz="4" w:space="0" w:color="auto"/>
            </w:tcBorders>
          </w:tcPr>
          <w:p w:rsidR="000C3495" w:rsidRDefault="000C3495">
            <w:pPr>
              <w:pStyle w:val="TableTextNumbers"/>
            </w:pPr>
            <w:r>
              <w:t xml:space="preserve">Click </w:t>
            </w:r>
            <w:r w:rsidR="00913F95">
              <w:rPr>
                <w:b/>
              </w:rPr>
              <w:t>Yes</w:t>
            </w:r>
            <w:r>
              <w:t xml:space="preserve"> to save.</w:t>
            </w:r>
          </w:p>
          <w:p w:rsidR="000C3495" w:rsidRDefault="000C3495" w:rsidP="000C3495">
            <w:pPr>
              <w:pStyle w:val="TableTextNumbersContinued"/>
            </w:pPr>
          </w:p>
          <w:p w:rsidR="002A21AE" w:rsidRDefault="002A21AE" w:rsidP="000C3495">
            <w:pPr>
              <w:pStyle w:val="TableTextNumbersContinued"/>
            </w:pPr>
            <w:r>
              <w:t>Repeat Steps 2–9 to split additional units, or return to Step 1 to use a different modification method on a</w:t>
            </w:r>
            <w:r w:rsidR="00C43733">
              <w:t>nother</w:t>
            </w:r>
            <w:r>
              <w:t xml:space="preserve"> unit.</w:t>
            </w:r>
          </w:p>
        </w:tc>
        <w:tc>
          <w:tcPr>
            <w:tcW w:w="6120" w:type="dxa"/>
            <w:tcBorders>
              <w:bottom w:val="single" w:sz="4" w:space="0" w:color="auto"/>
            </w:tcBorders>
          </w:tcPr>
          <w:p w:rsidR="002A21AE" w:rsidRDefault="002A21AE">
            <w:pPr>
              <w:pStyle w:val="TableTextBullet"/>
            </w:pPr>
            <w:r>
              <w:t>Prompts the user to split or modify another unit.</w:t>
            </w:r>
          </w:p>
        </w:tc>
      </w:tr>
      <w:tr w:rsidR="002A21AE">
        <w:tblPrEx>
          <w:tblCellMar>
            <w:top w:w="0" w:type="dxa"/>
            <w:bottom w:w="0" w:type="dxa"/>
          </w:tblCellMar>
        </w:tblPrEx>
        <w:tc>
          <w:tcPr>
            <w:tcW w:w="3240" w:type="dxa"/>
            <w:tcBorders>
              <w:bottom w:val="single" w:sz="4" w:space="0" w:color="auto"/>
            </w:tcBorders>
          </w:tcPr>
          <w:p w:rsidR="002A21AE" w:rsidRDefault="002A21AE">
            <w:pPr>
              <w:pStyle w:val="TableTextNumbers"/>
            </w:pPr>
            <w:r>
              <w:t xml:space="preserve">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bottom w:val="single" w:sz="4" w:space="0" w:color="auto"/>
            </w:tcBorders>
          </w:tcPr>
          <w:p w:rsidR="002A21AE" w:rsidRDefault="002A21AE">
            <w:pPr>
              <w:pStyle w:val="TableText"/>
            </w:pPr>
          </w:p>
        </w:tc>
      </w:tr>
    </w:tbl>
    <w:p w:rsidR="009F1B54" w:rsidRDefault="009F1B54">
      <w:pPr>
        <w:pStyle w:val="Heading3"/>
      </w:pPr>
      <w:bookmarkStart w:id="339" w:name="_Toc94349343"/>
    </w:p>
    <w:p w:rsidR="002A21AE" w:rsidRDefault="009F1B54">
      <w:pPr>
        <w:pStyle w:val="Heading3"/>
      </w:pPr>
      <w:r>
        <w:br w:type="page"/>
      </w:r>
      <w:bookmarkStart w:id="340" w:name="_Toc459900116"/>
      <w:r w:rsidR="002A21AE">
        <w:lastRenderedPageBreak/>
        <w:t>Modify Units: Pool Units</w:t>
      </w:r>
      <w:bookmarkEnd w:id="340"/>
      <w:r w:rsidR="002A21AE" w:rsidRPr="007716F7">
        <w:rPr>
          <w:vanish/>
        </w:rPr>
        <w:fldChar w:fldCharType="begin"/>
      </w:r>
      <w:r w:rsidR="002A21AE" w:rsidRPr="007716F7">
        <w:rPr>
          <w:vanish/>
        </w:rPr>
        <w:instrText xml:space="preserve"> XE </w:instrText>
      </w:r>
      <w:r w:rsidR="00FA7E65" w:rsidRPr="007716F7">
        <w:rPr>
          <w:vanish/>
        </w:rPr>
        <w:instrText>“</w:instrText>
      </w:r>
      <w:r w:rsidR="002A21AE" w:rsidRPr="007716F7">
        <w:rPr>
          <w:vanish/>
        </w:rPr>
        <w:instrText>Modify Units\: Pool Units</w:instrText>
      </w:r>
      <w:r w:rsidR="00FA7E65" w:rsidRPr="007716F7">
        <w:rPr>
          <w:vanish/>
        </w:rPr>
        <w:instrText>”</w:instrText>
      </w:r>
      <w:r w:rsidR="002A21AE" w:rsidRPr="007716F7">
        <w:rPr>
          <w:vanish/>
        </w:rPr>
        <w:instrText xml:space="preserve"> </w:instrText>
      </w:r>
      <w:r w:rsidR="002A21AE" w:rsidRPr="007716F7">
        <w:rPr>
          <w:vanish/>
        </w:rPr>
        <w:fldChar w:fldCharType="end"/>
      </w:r>
      <w:r w:rsidR="002A21AE" w:rsidRPr="007716F7">
        <w:rPr>
          <w:vanish/>
        </w:rPr>
        <w:t xml:space="preserve"> UC_24</w:t>
      </w:r>
      <w:bookmarkEnd w:id="339"/>
    </w:p>
    <w:p w:rsidR="002A21AE" w:rsidRDefault="002A21AE" w:rsidP="00FA7E65">
      <w:pPr>
        <w:pStyle w:val="BodyText"/>
      </w:pPr>
      <w:bookmarkStart w:id="341" w:name="_Toc78292638"/>
      <w:r>
        <w:t xml:space="preserve">The user selects units to be pooled. </w:t>
      </w:r>
    </w:p>
    <w:p w:rsidR="002A21AE" w:rsidRDefault="002A21AE">
      <w:pPr>
        <w:pStyle w:val="Heading4"/>
      </w:pPr>
      <w:bookmarkStart w:id="342" w:name="_Toc94349344"/>
      <w:r>
        <w:t>Assumptions</w:t>
      </w:r>
      <w:bookmarkEnd w:id="342"/>
    </w:p>
    <w:p w:rsidR="002A21AE" w:rsidRDefault="002A21AE">
      <w:pPr>
        <w:pStyle w:val="ListBullet"/>
      </w:pPr>
      <w:r>
        <w:t>See Modify Units.</w:t>
      </w:r>
    </w:p>
    <w:p w:rsidR="002A21AE" w:rsidRDefault="002A21AE">
      <w:pPr>
        <w:pStyle w:val="Heading4"/>
      </w:pPr>
      <w:bookmarkStart w:id="343" w:name="_Toc94349345"/>
      <w:r>
        <w:t>Outcome</w:t>
      </w:r>
      <w:bookmarkEnd w:id="343"/>
    </w:p>
    <w:p w:rsidR="002A21AE" w:rsidRDefault="002A21AE">
      <w:pPr>
        <w:pStyle w:val="ListBullet"/>
      </w:pPr>
      <w:r>
        <w:t>See Modify Units.</w:t>
      </w:r>
    </w:p>
    <w:p w:rsidR="002A21AE" w:rsidRDefault="002A21AE">
      <w:pPr>
        <w:pStyle w:val="Heading4"/>
      </w:pPr>
      <w:bookmarkStart w:id="344" w:name="_Toc94349346"/>
      <w:r>
        <w:t>Limitations and Restrictions</w:t>
      </w:r>
      <w:bookmarkEnd w:id="344"/>
      <w:r w:rsidR="0004660C">
        <w:t xml:space="preserve"> </w:t>
      </w:r>
      <w:r w:rsidR="0004660C" w:rsidRPr="002546AC">
        <w:rPr>
          <w:rFonts w:ascii="Arial Bold" w:hAnsi="Arial Bold"/>
          <w:b w:val="0"/>
          <w:vanish/>
        </w:rPr>
        <w:t>DR 4474 removed third bullet</w:t>
      </w:r>
    </w:p>
    <w:p w:rsidR="00E11C56" w:rsidRDefault="00E11C56">
      <w:pPr>
        <w:pStyle w:val="ListBullet"/>
      </w:pPr>
      <w:r>
        <w:t>VBECS allows modification of units only in limited, assigned, crossmatched, and available statuses.</w:t>
      </w:r>
    </w:p>
    <w:p w:rsidR="00971928" w:rsidRDefault="00D47D4A" w:rsidP="0004660C">
      <w:pPr>
        <w:pStyle w:val="ListBullet"/>
      </w:pPr>
      <w:r w:rsidRPr="00D47D4A">
        <w:t>When a</w:t>
      </w:r>
      <w:r>
        <w:t xml:space="preserve"> user adds a</w:t>
      </w:r>
      <w:r w:rsidRPr="00D47D4A">
        <w:t xml:space="preserve"> biohazardous unit to a pool, </w:t>
      </w:r>
      <w:r>
        <w:t xml:space="preserve">VBECS does not </w:t>
      </w:r>
      <w:r w:rsidR="0074247E">
        <w:t>designate</w:t>
      </w:r>
      <w:r>
        <w:t xml:space="preserve"> </w:t>
      </w:r>
      <w:r w:rsidR="002B51D0">
        <w:t xml:space="preserve">the </w:t>
      </w:r>
      <w:r w:rsidRPr="00D47D4A">
        <w:t xml:space="preserve">pool </w:t>
      </w:r>
      <w:r w:rsidR="0074247E">
        <w:t>as</w:t>
      </w:r>
      <w:r w:rsidRPr="00D47D4A">
        <w:t xml:space="preserve"> biohazardous</w:t>
      </w:r>
      <w:r w:rsidR="00785616">
        <w:t xml:space="preserve"> on the Blood Transfusion Record Form (BTRF) or Caution Tag</w:t>
      </w:r>
      <w:r w:rsidRPr="00D47D4A">
        <w:t>.</w:t>
      </w:r>
    </w:p>
    <w:p w:rsidR="002A21AE" w:rsidRDefault="002A21AE">
      <w:pPr>
        <w:pStyle w:val="Heading4"/>
      </w:pPr>
      <w:bookmarkStart w:id="345" w:name="_Toc94349347"/>
      <w:r>
        <w:t>Additional Information</w:t>
      </w:r>
      <w:bookmarkEnd w:id="345"/>
    </w:p>
    <w:p w:rsidR="002A21AE" w:rsidRDefault="002A21AE">
      <w:pPr>
        <w:pStyle w:val="ListBullet"/>
      </w:pPr>
      <w:r w:rsidRPr="009D4EED">
        <w:rPr>
          <w:vanish/>
        </w:rPr>
        <w:t>BR_24.16</w:t>
      </w:r>
      <w:r>
        <w:rPr>
          <w:rFonts w:ascii="Arial" w:hAnsi="Arial" w:cs="Arial"/>
          <w:vanish/>
          <w:spacing w:val="0"/>
          <w:sz w:val="18"/>
        </w:rPr>
        <w:t xml:space="preserve"> </w:t>
      </w:r>
      <w:r>
        <w:t xml:space="preserve">When autologous or directed units are pooled, the “restricted for” patient must be the same for all units. VBECS assigns the same donation type and applies the “restricted for” patient data to the pool. </w:t>
      </w:r>
    </w:p>
    <w:p w:rsidR="00A03B5F" w:rsidRDefault="00A03B5F" w:rsidP="00A03B5F">
      <w:pPr>
        <w:pStyle w:val="ListBullet"/>
      </w:pPr>
      <w:r>
        <w:t>To reverse the pooling of units:</w:t>
      </w:r>
    </w:p>
    <w:p w:rsidR="00EB1E75" w:rsidRDefault="00A03B5F" w:rsidP="00EB1E75">
      <w:pPr>
        <w:pStyle w:val="ListBullet2"/>
      </w:pPr>
      <w:r>
        <w:t xml:space="preserve">Inactivate the target </w:t>
      </w:r>
      <w:r w:rsidRPr="00234222">
        <w:t>through</w:t>
      </w:r>
      <w:r>
        <w:t xml:space="preserve"> Edit Unit Information. </w:t>
      </w:r>
    </w:p>
    <w:p w:rsidR="00A03B5F" w:rsidRDefault="00A03B5F" w:rsidP="00EB1E75">
      <w:pPr>
        <w:pStyle w:val="ListBullet2"/>
      </w:pPr>
      <w:r>
        <w:t>Remove the “modified” status from each unit in the pool through Remove Final Status.</w:t>
      </w:r>
    </w:p>
    <w:p w:rsidR="00A03B5F" w:rsidRDefault="00A03B5F" w:rsidP="00A03B5F">
      <w:pPr>
        <w:pStyle w:val="ListBullet"/>
      </w:pPr>
      <w:r>
        <w:t>To edit the number of units in an existing pool, use Add/Remove Units from a Pool.</w:t>
      </w:r>
    </w:p>
    <w:p w:rsidR="002A21AE" w:rsidRDefault="002A21AE">
      <w:pPr>
        <w:pStyle w:val="Heading4"/>
      </w:pPr>
      <w:bookmarkStart w:id="346" w:name="_Toc94349348"/>
      <w:r>
        <w:t>User Roles with Access to This Option</w:t>
      </w:r>
      <w:bookmarkEnd w:id="346"/>
    </w:p>
    <w:bookmarkEnd w:id="341"/>
    <w:p w:rsidR="001A3179" w:rsidRDefault="001A3179" w:rsidP="001A3179">
      <w:pPr>
        <w:pStyle w:val="Roles"/>
        <w:rPr>
          <w:snapToGrid w:val="0"/>
        </w:rPr>
      </w:pPr>
      <w:r>
        <w:t>All users</w:t>
      </w:r>
    </w:p>
    <w:p w:rsidR="002A21AE" w:rsidRDefault="002A21AE">
      <w:pPr>
        <w:pStyle w:val="Heading4"/>
      </w:pPr>
      <w:r>
        <w:t>Modify Units: Pool Units</w:t>
      </w:r>
    </w:p>
    <w:p w:rsidR="002A21AE" w:rsidRDefault="002A21AE" w:rsidP="00FA7E65">
      <w:pPr>
        <w:pStyle w:val="BodyText"/>
      </w:pPr>
      <w:r>
        <w:t xml:space="preserve">When the pooling is in process or almost complete, the user records it in VBECS. Data entry may also be completed retrospectively. The user pools units and enters the ID and product code of the original unit and the IDs and product codes for each unit added to the pool. </w:t>
      </w:r>
    </w:p>
    <w:p w:rsidR="002A21AE" w:rsidRDefault="002A21AE" w:rsidP="00FA7E65">
      <w:pPr>
        <w:pStyle w:val="BodyText"/>
      </w:pPr>
      <w:r>
        <w:t xml:space="preserve">VBECS records the date and time the units are pooled, uses the date and time to calculate a new expiration date for the pool, and assigns a unit ID and ABO/Rh, as defined by system rules. When an original unit in a pool was previously assigned to a patient, VBECS asks the user whether the entire pool is to be assigned to that patient. VBECS automatically assigns autologous and directed patient restriction data from an individual unit to the pool. VBECS determines the volume of the pool based on the sum of the volumes of the units in the pool. </w:t>
      </w:r>
    </w:p>
    <w:p w:rsidR="002A21AE" w:rsidRDefault="002A21AE" w:rsidP="00FA7E65">
      <w:pPr>
        <w:pStyle w:val="BodyText"/>
      </w:pPr>
      <w:r>
        <w:t xml:space="preserve">The new, </w:t>
      </w:r>
      <w:r>
        <w:rPr>
          <w:iCs/>
        </w:rPr>
        <w:t>pooled</w:t>
      </w:r>
      <w:r>
        <w:t xml:space="preserve"> unit needs a full set of unit properties, some of which were defined by the original units’ properties. VBECS assigns new properties such as volume, date and time created, container lot number, and expiration date to the target.</w:t>
      </w:r>
    </w:p>
    <w:p w:rsidR="002A21AE" w:rsidRDefault="002A21AE" w:rsidP="00FA7E65">
      <w:pPr>
        <w:pStyle w:val="BodyText"/>
      </w:pPr>
      <w:r>
        <w:t xml:space="preserve">VBECS uses system rules to check pertinent blood bank requirements associated with pooling and displays appropriate target unit information for review. The user reviews and edits the information, as needed, and completes the transaction. VBECS updates internal records, including the collection of workload and unit statuses, for each unit involved. </w:t>
      </w:r>
    </w:p>
    <w:p w:rsidR="002A21AE" w:rsidRDefault="002A21AE" w:rsidP="00FA7E65">
      <w:pPr>
        <w:pStyle w:val="BodyText"/>
      </w:pPr>
      <w:r>
        <w:t>The user may now assign the units or print the BTRF and Caution Tag, and notify appropriate personnel that the ordered units are ready for issue.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tblHeader/>
        </w:trPr>
        <w:tc>
          <w:tcPr>
            <w:tcW w:w="3240" w:type="dxa"/>
            <w:shd w:val="pct30" w:color="auto" w:fill="FFFFFF"/>
            <w:vAlign w:val="bottom"/>
          </w:tcPr>
          <w:p w:rsidR="002A21AE" w:rsidRDefault="002A21AE">
            <w:pPr>
              <w:pStyle w:val="TableText"/>
              <w:rPr>
                <w:b/>
              </w:rPr>
            </w:pPr>
            <w:r>
              <w:rPr>
                <w:b/>
              </w:rPr>
              <w:lastRenderedPageBreak/>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rsidP="007B7DEC">
            <w:pPr>
              <w:pStyle w:val="TableTextNumbers"/>
            </w:pPr>
            <w:r>
              <w:t xml:space="preserve">Select </w:t>
            </w:r>
            <w:r>
              <w:rPr>
                <w:b/>
              </w:rPr>
              <w:t>Blood Units</w:t>
            </w:r>
            <w:r>
              <w:t xml:space="preserve"> from the main menu. </w:t>
            </w:r>
          </w:p>
          <w:p w:rsidR="002A21AE" w:rsidRDefault="002A21AE">
            <w:pPr>
              <w:pStyle w:val="TableTextNumbersContinued"/>
            </w:pPr>
          </w:p>
          <w:p w:rsidR="002A21AE" w:rsidRDefault="002A21AE">
            <w:pPr>
              <w:pStyle w:val="TableTextNumbersContinued"/>
            </w:pPr>
            <w:r>
              <w:t xml:space="preserve">Select </w:t>
            </w:r>
            <w:r>
              <w:rPr>
                <w:b/>
              </w:rPr>
              <w:t>Modify Units</w:t>
            </w:r>
            <w:r>
              <w:t>.</w:t>
            </w:r>
          </w:p>
        </w:tc>
        <w:tc>
          <w:tcPr>
            <w:tcW w:w="6120" w:type="dxa"/>
          </w:tcPr>
          <w:p w:rsidR="002A21AE" w:rsidRDefault="002A21AE">
            <w:pPr>
              <w:pStyle w:val="TableTextBullet"/>
            </w:pPr>
            <w:r>
              <w:t>Displays options for processing blood units.</w:t>
            </w:r>
          </w:p>
          <w:p w:rsidR="002A21AE" w:rsidRDefault="002A21AE">
            <w:pPr>
              <w:pStyle w:val="TableTextBullet"/>
              <w:tabs>
                <w:tab w:val="clear" w:pos="288"/>
              </w:tabs>
            </w:pPr>
            <w:r>
              <w:t xml:space="preserve">Displays valid modification types for selection. </w:t>
            </w:r>
          </w:p>
          <w:p w:rsidR="008807BD" w:rsidRDefault="008807BD" w:rsidP="008807BD">
            <w:pPr>
              <w:pStyle w:val="TableText"/>
              <w:rPr>
                <w:b/>
                <w:bCs/>
                <w:szCs w:val="18"/>
              </w:rPr>
            </w:pPr>
          </w:p>
          <w:p w:rsidR="008807BD" w:rsidRDefault="00634BFC" w:rsidP="008807BD">
            <w:pPr>
              <w:pStyle w:val="TableText"/>
              <w:rPr>
                <w:b/>
                <w:bCs/>
                <w:szCs w:val="18"/>
              </w:rPr>
            </w:pPr>
            <w:r>
              <w:rPr>
                <w:b/>
                <w:bCs/>
                <w:noProof/>
              </w:rPr>
              <mc:AlternateContent>
                <mc:Choice Requires="wps">
                  <w:drawing>
                    <wp:anchor distT="0" distB="0" distL="114300" distR="114300" simplePos="0" relativeHeight="25178265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72" name="Line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4" o:spid="_x0000_s1026" style="position:absolute;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JKCFgIAAC4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CX&#10;vJKCFgIAAC4EAAAOAAAAAAAAAAAAAAAAAC4CAABkcnMvZTJvRG9jLnhtbFBLAQItABQABgAIAAAA&#10;IQAXTzAS2wAAAAgBAAAPAAAAAAAAAAAAAAAAAHAEAABkcnMvZG93bnJldi54bWxQSwUGAAAAAAQA&#10;BADzAAAAeAUAAAAA&#10;" strokeweight="1.5pt"/>
                  </w:pict>
                </mc:Fallback>
              </mc:AlternateContent>
            </w:r>
            <w:r w:rsidR="008807BD">
              <w:rPr>
                <w:b/>
                <w:bCs/>
                <w:szCs w:val="18"/>
              </w:rPr>
              <w:t>NOTES</w:t>
            </w:r>
          </w:p>
          <w:p w:rsidR="008807BD" w:rsidRDefault="008807BD" w:rsidP="008807BD">
            <w:pPr>
              <w:pStyle w:val="NotesText"/>
            </w:pPr>
          </w:p>
          <w:p w:rsidR="008807BD" w:rsidRDefault="008807BD" w:rsidP="008807BD">
            <w:pPr>
              <w:pStyle w:val="NotesText"/>
            </w:pPr>
            <w:r w:rsidRPr="008807BD">
              <w:t xml:space="preserve">The </w:t>
            </w:r>
            <w:r w:rsidRPr="00EC7489">
              <w:rPr>
                <w:rFonts w:ascii="Wingdings 3" w:hAnsi="Wingdings 3" w:cs="Wingdings"/>
              </w:rPr>
              <w:t></w:t>
            </w:r>
            <w:r w:rsidRPr="00EC7489">
              <w:rPr>
                <w:rFonts w:ascii="Wingdings 3" w:hAnsi="Wingdings 3" w:cs="Wingdings"/>
              </w:rPr>
              <w:t></w:t>
            </w:r>
            <w:r>
              <w:t xml:space="preserve"> Enhanced Technologist </w:t>
            </w:r>
            <w:r w:rsidR="00915BD8">
              <w:t>or</w:t>
            </w:r>
            <w:r>
              <w:t xml:space="preserve"> above is authorized to modify expired blood products.</w:t>
            </w:r>
          </w:p>
        </w:tc>
      </w:tr>
      <w:tr w:rsidR="002A21AE">
        <w:tblPrEx>
          <w:tblCellMar>
            <w:top w:w="0" w:type="dxa"/>
            <w:bottom w:w="0" w:type="dxa"/>
          </w:tblCellMar>
        </w:tblPrEx>
        <w:tc>
          <w:tcPr>
            <w:tcW w:w="3240" w:type="dxa"/>
          </w:tcPr>
          <w:p w:rsidR="002A21AE" w:rsidRDefault="002A21AE">
            <w:pPr>
              <w:pStyle w:val="TableTextNumbers"/>
            </w:pPr>
            <w:r>
              <w:t xml:space="preserve">Click the </w:t>
            </w:r>
            <w:r>
              <w:rPr>
                <w:b/>
              </w:rPr>
              <w:t xml:space="preserve">Pool </w:t>
            </w:r>
            <w:r>
              <w:t>or</w:t>
            </w:r>
            <w:r>
              <w:rPr>
                <w:b/>
              </w:rPr>
              <w:t xml:space="preserve"> Thaw/Pool Cryo </w:t>
            </w:r>
            <w:r w:rsidRPr="00BF2E41">
              <w:t>radio button</w:t>
            </w:r>
            <w:r>
              <w:t>.</w:t>
            </w:r>
          </w:p>
          <w:p w:rsidR="002A21AE" w:rsidRDefault="002A21AE">
            <w:pPr>
              <w:pStyle w:val="TableTextNumbersContinued"/>
            </w:pPr>
          </w:p>
          <w:p w:rsidR="002A21AE" w:rsidRDefault="002A21AE">
            <w:pPr>
              <w:pStyle w:val="TableTextNumbersContinued"/>
            </w:pPr>
            <w:r>
              <w:t xml:space="preserve">Click </w:t>
            </w:r>
            <w:r>
              <w:rPr>
                <w:b/>
              </w:rPr>
              <w:t>OK</w:t>
            </w:r>
            <w:r>
              <w:t>.</w:t>
            </w:r>
          </w:p>
        </w:tc>
        <w:tc>
          <w:tcPr>
            <w:tcW w:w="6120" w:type="dxa"/>
          </w:tcPr>
          <w:p w:rsidR="002A21AE" w:rsidRDefault="002A21AE">
            <w:pPr>
              <w:pStyle w:val="TableTextBullet"/>
            </w:pPr>
            <w:r>
              <w:t>Allows the user to search for a unit.</w:t>
            </w:r>
          </w:p>
        </w:tc>
      </w:tr>
      <w:tr w:rsidR="002A21AE">
        <w:tblPrEx>
          <w:tblCellMar>
            <w:top w:w="0" w:type="dxa"/>
            <w:bottom w:w="0" w:type="dxa"/>
          </w:tblCellMar>
        </w:tblPrEx>
        <w:tc>
          <w:tcPr>
            <w:tcW w:w="3240" w:type="dxa"/>
          </w:tcPr>
          <w:p w:rsidR="00DD68ED" w:rsidRDefault="002A21AE" w:rsidP="00054FA6">
            <w:pPr>
              <w:pStyle w:val="TableTextNumbers"/>
            </w:pPr>
            <w:r>
              <w:t xml:space="preserve">Scan, enter, or select the ID and product code </w:t>
            </w:r>
            <w:r w:rsidR="00DD68ED">
              <w:t xml:space="preserve">of the most restricted </w:t>
            </w:r>
            <w:r w:rsidR="00054FA6">
              <w:t>(e.g., biohazardous, autologous, directed)</w:t>
            </w:r>
            <w:r>
              <w:t xml:space="preserve"> unit to be pooled.</w:t>
            </w:r>
          </w:p>
        </w:tc>
        <w:tc>
          <w:tcPr>
            <w:tcW w:w="6120" w:type="dxa"/>
          </w:tcPr>
          <w:p w:rsidR="002A21AE" w:rsidRDefault="002A21AE">
            <w:pPr>
              <w:pStyle w:val="TableTextBullet"/>
            </w:pPr>
            <w:r>
              <w:t>Displays current data for the selected unit.</w:t>
            </w:r>
          </w:p>
          <w:p w:rsidR="002A21AE" w:rsidRDefault="002A21AE">
            <w:pPr>
              <w:pStyle w:val="TableText"/>
              <w:rPr>
                <w:b/>
                <w:bCs/>
                <w:szCs w:val="18"/>
              </w:rPr>
            </w:pPr>
          </w:p>
          <w:p w:rsidR="002A21AE" w:rsidRDefault="00634BFC">
            <w:pPr>
              <w:pStyle w:val="TableText"/>
              <w:rPr>
                <w:b/>
                <w:bCs/>
                <w:szCs w:val="18"/>
              </w:rPr>
            </w:pPr>
            <w:r>
              <w:rPr>
                <w:b/>
                <w:bCs/>
                <w:noProof/>
              </w:rPr>
              <mc:AlternateContent>
                <mc:Choice Requires="wps">
                  <w:drawing>
                    <wp:anchor distT="0" distB="0" distL="114300" distR="114300" simplePos="0" relativeHeight="25166387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71" name="Line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9"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kHFA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" strokeweight="1.5pt"/>
                  </w:pict>
                </mc:Fallback>
              </mc:AlternateContent>
            </w:r>
            <w:r w:rsidR="002A21AE">
              <w:rPr>
                <w:b/>
                <w:bCs/>
                <w:szCs w:val="18"/>
              </w:rPr>
              <w:t>NOTES</w:t>
            </w:r>
          </w:p>
          <w:p w:rsidR="002A21AE" w:rsidRDefault="002A21AE">
            <w:pPr>
              <w:pStyle w:val="NotesText"/>
            </w:pPr>
          </w:p>
          <w:p w:rsidR="00054FA6" w:rsidRDefault="00054FA6">
            <w:pPr>
              <w:pStyle w:val="NotesText"/>
            </w:pPr>
            <w:r>
              <w:t>VBECS applies the restriction of the first unit selected to the pool.</w:t>
            </w:r>
          </w:p>
          <w:p w:rsidR="00054FA6" w:rsidRDefault="00054FA6">
            <w:pPr>
              <w:pStyle w:val="NotesText"/>
            </w:pPr>
          </w:p>
          <w:p w:rsidR="002A21AE" w:rsidRDefault="00C51C45">
            <w:pPr>
              <w:pStyle w:val="NotesText"/>
            </w:pPr>
            <w:r w:rsidRPr="00896F17">
              <w:rPr>
                <w:rStyle w:val="BullhornChar"/>
              </w:rPr>
              <w:t></w:t>
            </w:r>
            <w:r w:rsidR="005A3214">
              <w:t xml:space="preserve"> </w:t>
            </w:r>
            <w:r w:rsidR="002A21AE" w:rsidRPr="00613DA8">
              <w:rPr>
                <w:rFonts w:cs="Arial"/>
                <w:vanish/>
                <w:color w:val="0000FF"/>
              </w:rPr>
              <w:t>BR_24.02</w:t>
            </w:r>
            <w:r w:rsidR="002A21AE">
              <w:rPr>
                <w:rFonts w:cs="Arial"/>
                <w:vanish/>
              </w:rPr>
              <w:t xml:space="preserve"> </w:t>
            </w:r>
            <w:r w:rsidR="002A21AE">
              <w:t>B</w:t>
            </w:r>
            <w:r w:rsidR="002A21AE">
              <w:rPr>
                <w:color w:val="000000"/>
                <w:szCs w:val="18"/>
              </w:rPr>
              <w:t>ased on the product code, VBECS determines the component class of each selected unit to verify that the component class of the selected unit matches that of the first unit selected for the pool (only units from the same component class may be pooled). When the</w:t>
            </w:r>
            <w:r w:rsidR="00CE58C1">
              <w:rPr>
                <w:color w:val="000000"/>
                <w:szCs w:val="18"/>
              </w:rPr>
              <w:t>y</w:t>
            </w:r>
            <w:r w:rsidR="002A21AE">
              <w:rPr>
                <w:color w:val="000000"/>
                <w:szCs w:val="18"/>
              </w:rPr>
              <w:t xml:space="preserve"> do not match, VBECS warns the user and clears the entry. The user may enter another unit.</w:t>
            </w:r>
          </w:p>
          <w:p w:rsidR="002A21AE" w:rsidRDefault="002A21AE">
            <w:pPr>
              <w:pStyle w:val="NotesText"/>
            </w:pPr>
          </w:p>
          <w:p w:rsidR="002A21AE" w:rsidRDefault="002A21AE">
            <w:pPr>
              <w:pStyle w:val="NotesText"/>
            </w:pPr>
            <w:r>
              <w:rPr>
                <w:rFonts w:cs="Arial"/>
                <w:vanish/>
              </w:rPr>
              <w:t>BR_24.06</w:t>
            </w:r>
            <w:r>
              <w:rPr>
                <w:rFonts w:cs="Arial"/>
                <w:vanish/>
                <w:szCs w:val="18"/>
              </w:rPr>
              <w:t xml:space="preserve"> </w:t>
            </w:r>
            <w:r>
              <w:rPr>
                <w:color w:val="000000"/>
                <w:szCs w:val="18"/>
              </w:rPr>
              <w:t>VBECS automatically “thaws” frozen components when the user selects Thaw/Pool.</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Enter the ID and product code of a</w:t>
            </w:r>
            <w:r w:rsidR="0071381D">
              <w:t>nother</w:t>
            </w:r>
            <w:r>
              <w:t xml:space="preserve"> unit </w:t>
            </w:r>
            <w:r w:rsidR="0071381D">
              <w:t xml:space="preserve">of the same donation type </w:t>
            </w:r>
            <w:r>
              <w:t xml:space="preserve">for inclusion in the pool. </w:t>
            </w:r>
          </w:p>
        </w:tc>
        <w:tc>
          <w:tcPr>
            <w:tcW w:w="6120" w:type="dxa"/>
            <w:tcBorders>
              <w:top w:val="single" w:sz="4" w:space="0" w:color="auto"/>
              <w:left w:val="single" w:sz="4" w:space="0" w:color="auto"/>
              <w:bottom w:val="single" w:sz="4" w:space="0" w:color="auto"/>
              <w:right w:val="single" w:sz="4" w:space="0" w:color="auto"/>
            </w:tcBorders>
          </w:tcPr>
          <w:p w:rsidR="002A21AE" w:rsidRDefault="00CE58C1">
            <w:pPr>
              <w:pStyle w:val="TableTextBullet"/>
              <w:tabs>
                <w:tab w:val="num" w:pos="360"/>
              </w:tabs>
            </w:pPr>
            <w:r>
              <w:t xml:space="preserve">May warn </w:t>
            </w:r>
            <w:r w:rsidR="002A21AE">
              <w:t>the user and asks whether to release the unit from “restricted for patient.”</w:t>
            </w:r>
          </w:p>
          <w:p w:rsidR="002A21AE" w:rsidRDefault="002A21AE">
            <w:pPr>
              <w:pStyle w:val="TableText"/>
            </w:pPr>
          </w:p>
          <w:p w:rsidR="002A21AE" w:rsidRDefault="00634BFC">
            <w:pPr>
              <w:pStyle w:val="TableText"/>
              <w:rPr>
                <w:b/>
                <w:bCs/>
              </w:rPr>
            </w:pPr>
            <w:r>
              <w:rPr>
                <w:b/>
                <w:bCs/>
                <w:noProof/>
              </w:rPr>
              <mc:AlternateContent>
                <mc:Choice Requires="wps">
                  <w:drawing>
                    <wp:anchor distT="0" distB="0" distL="114300" distR="114300" simplePos="0" relativeHeight="25166796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70" name="Lin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7"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3gHFQ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PIf&#10;eAcVAgAALQQAAA4AAAAAAAAAAAAAAAAALgIAAGRycy9lMm9Eb2MueG1sUEsBAi0AFAAGAAgAAAAh&#10;ABdPMBLbAAAACAEAAA8AAAAAAAAAAAAAAAAAbwQAAGRycy9kb3ducmV2LnhtbFBLBQYAAAAABAAE&#10;APMAAAB3BQAAAAA=&#10;" strokeweight="1.5pt"/>
                  </w:pict>
                </mc:Fallback>
              </mc:AlternateContent>
            </w:r>
            <w:r w:rsidR="002A21AE">
              <w:rPr>
                <w:b/>
                <w:bCs/>
              </w:rPr>
              <w:t>NOTES</w:t>
            </w:r>
          </w:p>
          <w:p w:rsidR="002A21AE" w:rsidRDefault="002A21AE">
            <w:pPr>
              <w:pStyle w:val="NotesText"/>
            </w:pPr>
          </w:p>
          <w:p w:rsidR="002A21AE" w:rsidRDefault="002A21AE">
            <w:pPr>
              <w:pStyle w:val="NotesText"/>
            </w:pPr>
            <w:r>
              <w:t xml:space="preserve">When the donation type of a unit selected for inclusion in a pool is restricted, the user may release the directed unit to the general blood supply, if indicated, and complete the pooling process. </w:t>
            </w:r>
          </w:p>
          <w:p w:rsidR="002A21AE" w:rsidRDefault="002A21AE">
            <w:pPr>
              <w:pStyle w:val="NotesText"/>
            </w:pPr>
          </w:p>
          <w:p w:rsidR="002A21AE" w:rsidRDefault="002A21AE" w:rsidP="00F2448A">
            <w:pPr>
              <w:pStyle w:val="NotesText"/>
              <w:rPr>
                <w:color w:val="000000"/>
                <w:szCs w:val="18"/>
              </w:rPr>
            </w:pPr>
            <w:r w:rsidRPr="00896F17">
              <w:rPr>
                <w:rStyle w:val="BullhornChar"/>
              </w:rPr>
              <w:t></w:t>
            </w:r>
            <w:r>
              <w:rPr>
                <w:color w:val="000000"/>
                <w:szCs w:val="18"/>
              </w:rPr>
              <w:t xml:space="preserve"> </w:t>
            </w:r>
            <w:r w:rsidRPr="00490EE6">
              <w:rPr>
                <w:rFonts w:cs="Arial"/>
                <w:vanish/>
                <w:color w:val="0000FF"/>
              </w:rPr>
              <w:t>BR_24.17</w:t>
            </w:r>
            <w:r>
              <w:rPr>
                <w:rFonts w:cs="Arial"/>
                <w:vanish/>
                <w:szCs w:val="18"/>
              </w:rPr>
              <w:t xml:space="preserve"> </w:t>
            </w:r>
            <w:r>
              <w:rPr>
                <w:color w:val="000000"/>
                <w:szCs w:val="18"/>
              </w:rPr>
              <w:t>When a user selects an autologous unit for inclusion in a pool originally intended to be allogeneic or directed based on previously selected units, VBECS warns the user and clears the screen. The user may select another unit.</w:t>
            </w:r>
          </w:p>
          <w:p w:rsidR="00A33872" w:rsidRDefault="00A33872" w:rsidP="00A33872">
            <w:pPr>
              <w:pStyle w:val="NotesText"/>
              <w:rPr>
                <w:szCs w:val="18"/>
              </w:rPr>
            </w:pPr>
          </w:p>
          <w:p w:rsidR="00A33872" w:rsidRDefault="00A33872" w:rsidP="00A33872">
            <w:pPr>
              <w:pStyle w:val="NotesText"/>
            </w:pPr>
            <w:r>
              <w:rPr>
                <w:rFonts w:cs="Arial"/>
                <w:vanish/>
              </w:rPr>
              <w:t xml:space="preserve">BR_24.11 </w:t>
            </w:r>
            <w:r>
              <w:rPr>
                <w:iCs/>
              </w:rPr>
              <w:t>When the first unit entered in a pool is labeled in Codabar, VBECS determines</w:t>
            </w:r>
            <w:r>
              <w:t xml:space="preserve"> the unit ID of the pool created from Codabar units using the five-character station identifier, two-number year, and sequential number of the pool event at the division, and displays it for acceptance or edit. The user may enter an alphanumeric combination of six to 13 characters, for example, a station number of 55555, year 2002, and pool number 0520, so the VBECS-determined unit ID number is 5555502520.</w:t>
            </w:r>
          </w:p>
          <w:p w:rsidR="00A33872" w:rsidRDefault="00A33872" w:rsidP="00A33872">
            <w:pPr>
              <w:pStyle w:val="NotesText"/>
            </w:pPr>
          </w:p>
          <w:p w:rsidR="00A33872" w:rsidRPr="009439F8" w:rsidRDefault="00A33872" w:rsidP="00A33872">
            <w:pPr>
              <w:pStyle w:val="NotesText"/>
              <w:rPr>
                <w:color w:val="000000"/>
                <w:szCs w:val="18"/>
              </w:rPr>
            </w:pPr>
            <w:r w:rsidRPr="001051D0">
              <w:rPr>
                <w:rFonts w:cs="Arial"/>
                <w:vanish/>
              </w:rPr>
              <w:t>BR_24.12</w:t>
            </w:r>
            <w:r>
              <w:rPr>
                <w:rFonts w:cs="Arial"/>
                <w:vanish/>
                <w:szCs w:val="18"/>
              </w:rPr>
              <w:t xml:space="preserve"> </w:t>
            </w:r>
            <w:r w:rsidR="00CD6052" w:rsidRPr="00CD6052">
              <w:rPr>
                <w:iCs/>
                <w:szCs w:val="18"/>
              </w:rPr>
              <w:t>When the first unit entered for a pool is labeled in ISBT 128, VBECS determines the unit ID of the pool created from ISBT-labeled units using the country and ICCBBA-assigned facility code (division preparing the pool), two-number year, and six-number sequential number of the pool event at the division, and displays it for acceptance only.</w:t>
            </w:r>
            <w:r w:rsidR="009439F8">
              <w:rPr>
                <w:iCs/>
                <w:vanish/>
                <w:szCs w:val="18"/>
              </w:rPr>
              <w:t xml:space="preserve"> DR 3668</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lastRenderedPageBreak/>
              <w:t xml:space="preserve">Click </w:t>
            </w:r>
            <w:r>
              <w:rPr>
                <w:b/>
                <w:bCs/>
              </w:rPr>
              <w:t>Yes</w:t>
            </w:r>
            <w:r>
              <w:t xml:space="preserve"> to release the unit from its “restricted for patient” status.</w:t>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Bullet"/>
              <w:tabs>
                <w:tab w:val="num" w:pos="360"/>
              </w:tabs>
            </w:pPr>
            <w:r>
              <w:t xml:space="preserve">Allows the user to release the directed unit and move it to inventory. </w:t>
            </w:r>
          </w:p>
          <w:p w:rsidR="002A21AE" w:rsidRDefault="002A21AE">
            <w:pPr>
              <w:pStyle w:val="TableText"/>
            </w:pPr>
          </w:p>
          <w:p w:rsidR="002A21AE" w:rsidRDefault="00634BFC">
            <w:pPr>
              <w:pStyle w:val="TableText"/>
              <w:rPr>
                <w:b/>
                <w:bCs/>
              </w:rPr>
            </w:pPr>
            <w:r>
              <w:rPr>
                <w:b/>
                <w:bCs/>
                <w:noProof/>
              </w:rPr>
              <mc:AlternateContent>
                <mc:Choice Requires="wps">
                  <w:drawing>
                    <wp:anchor distT="0" distB="0" distL="114300" distR="114300" simplePos="0" relativeHeight="25166489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69" name="Line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0"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KQMFgIAAC0EAAAOAAAAZHJzL2Uyb0RvYy54bWysU8GO2jAQvVfqP1i+QxI2Sy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A3&#10;hKQMFgIAAC0EAAAOAAAAAAAAAAAAAAAAAC4CAABkcnMvZTJvRG9jLnhtbFBLAQItABQABgAIAAAA&#10;IQAXTzAS2wAAAAgBAAAPAAAAAAAAAAAAAAAAAHAEAABkcnMvZG93bnJldi54bWxQSwUGAAAAAAQA&#10;BADzAAAAeAUAAAAA&#10;" strokeweight="1.5pt"/>
                  </w:pict>
                </mc:Fallback>
              </mc:AlternateContent>
            </w:r>
            <w:r w:rsidR="002A21AE">
              <w:rPr>
                <w:b/>
                <w:bCs/>
              </w:rPr>
              <w:t>NOTES</w:t>
            </w:r>
          </w:p>
          <w:p w:rsidR="002A21AE" w:rsidRDefault="002A21AE">
            <w:pPr>
              <w:pStyle w:val="NotesText"/>
            </w:pPr>
          </w:p>
          <w:p w:rsidR="002A21AE" w:rsidRDefault="002A21AE">
            <w:pPr>
              <w:pStyle w:val="NotesText"/>
            </w:pPr>
            <w:r>
              <w:t>When needed, VBECS allows the user to select Free Directed Unit For Crossover.</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Accept the previously selected unit and repeat Step 4 to select another unit to add to the pool.</w:t>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Bullet"/>
              <w:tabs>
                <w:tab w:val="num" w:pos="360"/>
              </w:tabs>
              <w:rPr>
                <w:color w:val="000000"/>
                <w:szCs w:val="20"/>
              </w:rPr>
            </w:pPr>
            <w:r>
              <w:rPr>
                <w:color w:val="000000"/>
                <w:szCs w:val="20"/>
              </w:rPr>
              <w:t>Displays all data for all original units.</w:t>
            </w:r>
          </w:p>
          <w:p w:rsidR="002A21AE" w:rsidRDefault="002A21AE">
            <w:pPr>
              <w:pStyle w:val="TableText"/>
            </w:pPr>
          </w:p>
          <w:p w:rsidR="002A21AE" w:rsidRDefault="00634BFC">
            <w:pPr>
              <w:pStyle w:val="TableText"/>
              <w:rPr>
                <w:b/>
                <w:bCs/>
              </w:rPr>
            </w:pPr>
            <w:r>
              <w:rPr>
                <w:b/>
                <w:bCs/>
                <w:noProof/>
              </w:rPr>
              <mc:AlternateContent>
                <mc:Choice Requires="wps">
                  <w:drawing>
                    <wp:anchor distT="0" distB="0" distL="114300" distR="114300" simplePos="0" relativeHeight="25166592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68" name="Line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1"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Dn&#10;cDOKFgIAAC0EAAAOAAAAAAAAAAAAAAAAAC4CAABkcnMvZTJvRG9jLnhtbFBLAQItABQABgAIAAAA&#10;IQAXTzAS2wAAAAgBAAAPAAAAAAAAAAAAAAAAAHAEAABkcnMvZG93bnJldi54bWxQSwUGAAAAAAQA&#10;BADzAAAAeAUAAAAA&#10;" strokeweight="1.5pt"/>
                  </w:pict>
                </mc:Fallback>
              </mc:AlternateContent>
            </w:r>
            <w:r w:rsidR="002A21AE">
              <w:rPr>
                <w:b/>
                <w:bCs/>
              </w:rPr>
              <w:t>NOTES</w:t>
            </w:r>
          </w:p>
          <w:p w:rsidR="002A21AE" w:rsidRDefault="002A21AE">
            <w:pPr>
              <w:pStyle w:val="NotesText"/>
            </w:pPr>
          </w:p>
          <w:p w:rsidR="002A21AE" w:rsidRDefault="002A21AE">
            <w:pPr>
              <w:pStyle w:val="NotesText"/>
            </w:pPr>
            <w:r>
              <w:rPr>
                <w:rFonts w:cs="Arial"/>
                <w:vanish/>
              </w:rPr>
              <w:t>BR_24.03</w:t>
            </w:r>
            <w:r>
              <w:rPr>
                <w:rFonts w:cs="Arial"/>
                <w:vanish/>
                <w:szCs w:val="18"/>
              </w:rPr>
              <w:t xml:space="preserve"> </w:t>
            </w:r>
            <w:r>
              <w:rPr>
                <w:szCs w:val="18"/>
              </w:rPr>
              <w:t>VBECS tallies the number of units pooled. The user may not edit this number. VBECS calculates the pooled unit’s cost and passes that amount to the patient billing system in U.S. currency.</w:t>
            </w:r>
          </w:p>
          <w:p w:rsidR="002A21AE" w:rsidRDefault="002A21AE">
            <w:pPr>
              <w:pStyle w:val="NotesText"/>
            </w:pPr>
          </w:p>
          <w:p w:rsidR="002A21AE" w:rsidRDefault="002A21AE">
            <w:pPr>
              <w:pStyle w:val="NotesText"/>
            </w:pPr>
            <w:r w:rsidRPr="00D31A97">
              <w:rPr>
                <w:rFonts w:cs="Arial"/>
                <w:vanish/>
              </w:rPr>
              <w:t>BR_24.05</w:t>
            </w:r>
            <w:r>
              <w:rPr>
                <w:rFonts w:cs="Arial"/>
                <w:vanish/>
              </w:rPr>
              <w:t xml:space="preserve"> </w:t>
            </w:r>
            <w:r>
              <w:rPr>
                <w:szCs w:val="18"/>
              </w:rPr>
              <w:t xml:space="preserve">VBECS does not allow a unit to be entered twice in a pool. A split unit </w:t>
            </w:r>
            <w:r w:rsidR="00D31A97">
              <w:rPr>
                <w:szCs w:val="18"/>
              </w:rPr>
              <w:t xml:space="preserve">created in VBECS </w:t>
            </w:r>
            <w:r>
              <w:rPr>
                <w:szCs w:val="18"/>
              </w:rPr>
              <w:t>may not be pooled.</w:t>
            </w:r>
            <w:r w:rsidR="00D31A97">
              <w:rPr>
                <w:szCs w:val="18"/>
              </w:rPr>
              <w:t xml:space="preserve"> A </w:t>
            </w:r>
            <w:r w:rsidR="008B6D25">
              <w:rPr>
                <w:szCs w:val="18"/>
              </w:rPr>
              <w:t>unit</w:t>
            </w:r>
            <w:r w:rsidR="00D31A97">
              <w:rPr>
                <w:szCs w:val="18"/>
              </w:rPr>
              <w:t xml:space="preserve"> that has a division code (7</w:t>
            </w:r>
            <w:r w:rsidR="00D31A97" w:rsidRPr="00D31A97">
              <w:rPr>
                <w:szCs w:val="18"/>
                <w:vertAlign w:val="superscript"/>
              </w:rPr>
              <w:t>th</w:t>
            </w:r>
            <w:r w:rsidR="00D31A97">
              <w:rPr>
                <w:szCs w:val="18"/>
              </w:rPr>
              <w:t>/8</w:t>
            </w:r>
            <w:r w:rsidR="00D31A97" w:rsidRPr="00D31A97">
              <w:rPr>
                <w:szCs w:val="18"/>
                <w:vertAlign w:val="superscript"/>
              </w:rPr>
              <w:t>th</w:t>
            </w:r>
            <w:r w:rsidR="00D31A97">
              <w:rPr>
                <w:szCs w:val="18"/>
              </w:rPr>
              <w:t xml:space="preserve"> characters in the ISBT Product code) present upon receipt in incoming shipment may be pooled.</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Accept the displayed units’ data for the pool.</w:t>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Bullet"/>
              <w:tabs>
                <w:tab w:val="num" w:pos="360"/>
              </w:tabs>
            </w:pPr>
            <w:r>
              <w:t>Displays target component types for the modification, conditions selected, and the original unit product type, and allows the user to select a single modification type.</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 xml:space="preserve">Select or confirm the desired target component type. </w:t>
            </w:r>
          </w:p>
          <w:p w:rsidR="00CE58C1" w:rsidRDefault="00CE58C1" w:rsidP="00CE58C1">
            <w:pPr>
              <w:pStyle w:val="TableTextNumbersContinued"/>
            </w:pPr>
          </w:p>
          <w:p w:rsidR="002A21AE" w:rsidRDefault="00CE58C1" w:rsidP="00CE58C1">
            <w:pPr>
              <w:pStyle w:val="TableTextNumbersContinued"/>
            </w:pPr>
            <w:r>
              <w:t>Click the</w:t>
            </w:r>
            <w:r w:rsidR="007B7DEC">
              <w:t xml:space="preserve"> </w:t>
            </w:r>
            <w:r w:rsidR="007B7DEC" w:rsidRPr="007B7DEC">
              <w:rPr>
                <w:b/>
              </w:rPr>
              <w:t>Container</w:t>
            </w:r>
            <w:r w:rsidR="007B7DEC">
              <w:t>,</w:t>
            </w:r>
            <w:r>
              <w:t xml:space="preserve"> </w:t>
            </w:r>
            <w:r w:rsidRPr="00764A64">
              <w:rPr>
                <w:b/>
              </w:rPr>
              <w:t>Supplies</w:t>
            </w:r>
            <w:r w:rsidR="007B7DEC" w:rsidRPr="007B7DEC">
              <w:t>,</w:t>
            </w:r>
            <w:r w:rsidR="0023261D">
              <w:t xml:space="preserve"> </w:t>
            </w:r>
            <w:r w:rsidRPr="00764A64">
              <w:rPr>
                <w:b/>
              </w:rPr>
              <w:t>Equipment</w:t>
            </w:r>
            <w:r w:rsidR="007B7DEC" w:rsidRPr="007B7DEC">
              <w:t>, or</w:t>
            </w:r>
            <w:r w:rsidR="007B7DEC">
              <w:rPr>
                <w:b/>
              </w:rPr>
              <w:t xml:space="preserve"> SCD Wafer</w:t>
            </w:r>
            <w:r w:rsidRPr="00764A64">
              <w:rPr>
                <w:b/>
              </w:rPr>
              <w:t xml:space="preserve"> </w:t>
            </w:r>
            <w:r w:rsidRPr="00CC3C89">
              <w:t xml:space="preserve">tab </w:t>
            </w:r>
            <w:r>
              <w:t>and enter another supply and/or equipment lot or ID number.</w:t>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Bullet"/>
              <w:tabs>
                <w:tab w:val="num" w:pos="360"/>
              </w:tabs>
              <w:rPr>
                <w:color w:val="000000"/>
                <w:szCs w:val="20"/>
              </w:rPr>
            </w:pPr>
            <w:r>
              <w:rPr>
                <w:color w:val="000000"/>
                <w:szCs w:val="20"/>
              </w:rPr>
              <w:t>Verifies that an active target component was selected. Requires activation, as needed.</w:t>
            </w:r>
          </w:p>
          <w:p w:rsidR="002A21AE" w:rsidRDefault="002A21AE">
            <w:pPr>
              <w:pStyle w:val="TableTextBullet"/>
              <w:tabs>
                <w:tab w:val="num" w:pos="360"/>
              </w:tabs>
            </w:pPr>
            <w:r>
              <w:t>Allows the user to enter lot and ID numbers (with auto-completion) or select multiple items from the supply and equipment lists.</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Accept the displayed</w:t>
            </w:r>
            <w:r w:rsidR="00AA6C54">
              <w:t xml:space="preserve"> </w:t>
            </w:r>
            <w:r w:rsidR="00CE58C1">
              <w:t xml:space="preserve">expiration date </w:t>
            </w:r>
            <w:r>
              <w:t xml:space="preserve">or edit </w:t>
            </w:r>
            <w:r w:rsidR="00CE58C1">
              <w:t>it</w:t>
            </w:r>
            <w:r>
              <w:t>.</w:t>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Bullet"/>
              <w:tabs>
                <w:tab w:val="num" w:pos="360"/>
              </w:tabs>
              <w:rPr>
                <w:color w:val="000000"/>
                <w:szCs w:val="20"/>
              </w:rPr>
            </w:pPr>
            <w:r>
              <w:rPr>
                <w:color w:val="000000"/>
                <w:szCs w:val="20"/>
              </w:rPr>
              <w:t>Calculates and displays the expiration date of the pooled unit based on rules specific to the participant blood product.</w:t>
            </w:r>
          </w:p>
          <w:p w:rsidR="002A21AE" w:rsidRDefault="002A21AE">
            <w:pPr>
              <w:pStyle w:val="TableTextBullet"/>
              <w:tabs>
                <w:tab w:val="num" w:pos="360"/>
              </w:tabs>
              <w:rPr>
                <w:color w:val="000000"/>
                <w:szCs w:val="20"/>
              </w:rPr>
            </w:pPr>
            <w:r>
              <w:rPr>
                <w:color w:val="000000"/>
                <w:szCs w:val="20"/>
              </w:rPr>
              <w:t>Verifies the validity of the expiration date and warns the user, when indicated.</w:t>
            </w:r>
          </w:p>
          <w:p w:rsidR="002A21AE" w:rsidRDefault="002A21AE">
            <w:pPr>
              <w:pStyle w:val="TableText"/>
            </w:pPr>
          </w:p>
          <w:p w:rsidR="002A21AE" w:rsidRDefault="00634BFC">
            <w:pPr>
              <w:pStyle w:val="TableText"/>
              <w:rPr>
                <w:b/>
                <w:bCs/>
              </w:rPr>
            </w:pPr>
            <w:r>
              <w:rPr>
                <w:b/>
                <w:bCs/>
                <w:noProof/>
              </w:rPr>
              <mc:AlternateContent>
                <mc:Choice Requires="wps">
                  <w:drawing>
                    <wp:anchor distT="0" distB="0" distL="114300" distR="114300" simplePos="0" relativeHeight="25166899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67" name="Lin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8"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nVFQ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FiG&#10;GdUVAgAALQQAAA4AAAAAAAAAAAAAAAAALgIAAGRycy9lMm9Eb2MueG1sUEsBAi0AFAAGAAgAAAAh&#10;ABdPMBLbAAAACAEAAA8AAAAAAAAAAAAAAAAAbwQAAGRycy9kb3ducmV2LnhtbFBLBQYAAAAABAAE&#10;APMAAAB3BQAAAAA=&#10;" strokeweight="1.5pt"/>
                  </w:pict>
                </mc:Fallback>
              </mc:AlternateContent>
            </w:r>
            <w:r w:rsidR="002A21AE">
              <w:rPr>
                <w:b/>
                <w:bCs/>
              </w:rPr>
              <w:t>NOTES</w:t>
            </w:r>
          </w:p>
          <w:p w:rsidR="002A21AE" w:rsidRDefault="002A21AE">
            <w:pPr>
              <w:pStyle w:val="NotesText"/>
            </w:pPr>
          </w:p>
          <w:p w:rsidR="002A21AE" w:rsidRDefault="002A21AE">
            <w:pPr>
              <w:pStyle w:val="NotesText"/>
              <w:rPr>
                <w:szCs w:val="18"/>
              </w:rPr>
            </w:pPr>
            <w:r>
              <w:rPr>
                <w:rFonts w:cs="Arial"/>
                <w:vanish/>
              </w:rPr>
              <w:t xml:space="preserve">BR_24.10 </w:t>
            </w:r>
            <w:r>
              <w:rPr>
                <w:szCs w:val="18"/>
              </w:rPr>
              <w:t>When using the “Thaw/Pool” option to prepare a pool from frozen components, the units are sim</w:t>
            </w:r>
            <w:r w:rsidR="006E3236">
              <w:rPr>
                <w:szCs w:val="18"/>
              </w:rPr>
              <w:t>ultaneously thawed and pooled.</w:t>
            </w:r>
          </w:p>
          <w:p w:rsidR="002A21AE" w:rsidRDefault="002A21AE">
            <w:pPr>
              <w:pStyle w:val="NotesText"/>
              <w:rPr>
                <w:szCs w:val="18"/>
              </w:rPr>
            </w:pPr>
          </w:p>
          <w:p w:rsidR="002A21AE" w:rsidRDefault="002A21AE">
            <w:pPr>
              <w:pStyle w:val="NotesText"/>
            </w:pPr>
            <w:r>
              <w:rPr>
                <w:rFonts w:cs="Arial"/>
                <w:vanish/>
              </w:rPr>
              <w:t xml:space="preserve">BR_24.13 </w:t>
            </w:r>
            <w:r>
              <w:t>VBECS calculates an expiration date for the pool based on the product type, the date and time created, and the expiration dates and times of each pool participant. When one or more participants in the pool have an expiration date that is earlier than the calculated expiration date, VBECS uses the earlier date as the default expiration date for the pool.</w:t>
            </w:r>
          </w:p>
          <w:p w:rsidR="002A21AE" w:rsidRDefault="002A21AE">
            <w:pPr>
              <w:pStyle w:val="NotesText"/>
            </w:pPr>
          </w:p>
          <w:p w:rsidR="002A21AE" w:rsidRDefault="002A21AE">
            <w:pPr>
              <w:pStyle w:val="NotesText"/>
            </w:pPr>
            <w:r w:rsidRPr="00896F17">
              <w:rPr>
                <w:rStyle w:val="BullhornChar"/>
              </w:rPr>
              <w:t></w:t>
            </w:r>
            <w:r>
              <w:rPr>
                <w:color w:val="000000"/>
                <w:szCs w:val="18"/>
              </w:rPr>
              <w:t xml:space="preserve"> </w:t>
            </w:r>
            <w:r>
              <w:rPr>
                <w:rFonts w:cs="Arial"/>
                <w:vanish/>
              </w:rPr>
              <w:t>BR_24.07</w:t>
            </w:r>
            <w:r>
              <w:rPr>
                <w:rFonts w:cs="Arial"/>
                <w:vanish/>
                <w:szCs w:val="18"/>
              </w:rPr>
              <w:t xml:space="preserve"> </w:t>
            </w:r>
            <w:r>
              <w:rPr>
                <w:szCs w:val="18"/>
              </w:rPr>
              <w:t xml:space="preserve">For each unit in the pool that was previously assigned or crossmatched to a patient, VBECS warns the user and asks whether he wishes to assign the entire pool to that patient. </w:t>
            </w:r>
            <w:r>
              <w:rPr>
                <w:b/>
                <w:bCs/>
                <w:szCs w:val="18"/>
              </w:rPr>
              <w:t>Yes</w:t>
            </w:r>
            <w:r>
              <w:rPr>
                <w:szCs w:val="18"/>
              </w:rPr>
              <w:t xml:space="preserve"> applies the patient-assigned data to the pool. </w:t>
            </w:r>
            <w:r>
              <w:rPr>
                <w:b/>
                <w:bCs/>
                <w:szCs w:val="18"/>
              </w:rPr>
              <w:t>No</w:t>
            </w:r>
            <w:r>
              <w:rPr>
                <w:szCs w:val="18"/>
              </w:rPr>
              <w:t xml:space="preserve"> releases the unit from the patient.</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CE58C1">
            <w:pPr>
              <w:pStyle w:val="TableTextNumbers"/>
            </w:pPr>
            <w:r>
              <w:t xml:space="preserve">Click </w:t>
            </w:r>
            <w:r w:rsidRPr="00CE58C1">
              <w:rPr>
                <w:b/>
              </w:rPr>
              <w:t>OK</w:t>
            </w:r>
            <w:r>
              <w:t xml:space="preserve"> to </w:t>
            </w:r>
            <w:r w:rsidR="00913F95">
              <w:t>save</w:t>
            </w:r>
            <w:r w:rsidR="002A21AE">
              <w:t>.</w:t>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Bullet"/>
              <w:tabs>
                <w:tab w:val="clear" w:pos="288"/>
              </w:tabs>
            </w:pPr>
            <w:r>
              <w:t>Calculates the volume, total number of participants, ID, and ABO/Rh for the pool. Applies CMV negative status to the pool, when indicated.</w:t>
            </w:r>
          </w:p>
          <w:p w:rsidR="00CE58C1" w:rsidRDefault="00CE58C1" w:rsidP="00CE58C1">
            <w:pPr>
              <w:pStyle w:val="TableTextBullet"/>
              <w:tabs>
                <w:tab w:val="num" w:pos="360"/>
              </w:tabs>
              <w:rPr>
                <w:color w:val="000000"/>
                <w:szCs w:val="20"/>
              </w:rPr>
            </w:pPr>
            <w:r>
              <w:rPr>
                <w:color w:val="000000"/>
                <w:szCs w:val="20"/>
              </w:rPr>
              <w:t>Determines whether any pool participants were previously assigned to a patient and queries the user to maintain the association, when indicated.</w:t>
            </w:r>
          </w:p>
          <w:p w:rsidR="002A21AE" w:rsidRDefault="002A21AE">
            <w:pPr>
              <w:pStyle w:val="TableText"/>
            </w:pPr>
          </w:p>
          <w:p w:rsidR="002A21AE" w:rsidRDefault="00634BFC">
            <w:pPr>
              <w:pStyle w:val="TableText"/>
              <w:rPr>
                <w:b/>
                <w:bCs/>
              </w:rPr>
            </w:pPr>
            <w:r>
              <w:rPr>
                <w:b/>
                <w:bCs/>
                <w:noProof/>
              </w:rPr>
              <mc:AlternateContent>
                <mc:Choice Requires="wps">
                  <w:drawing>
                    <wp:anchor distT="0" distB="0" distL="114300" distR="114300" simplePos="0" relativeHeight="25167001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66" name="Line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o5TFQIAAC0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Ihy&#10;jlMVAgAALQQAAA4AAAAAAAAAAAAAAAAALgIAAGRycy9lMm9Eb2MueG1sUEsBAi0AFAAGAAgAAAAh&#10;ABdPMBLbAAAACAEAAA8AAAAAAAAAAAAAAAAAbwQAAGRycy9kb3ducmV2LnhtbFBLBQYAAAAABAAE&#10;APMAAAB3BQAAAAA=&#10;" strokeweight="1.5pt"/>
                  </w:pict>
                </mc:Fallback>
              </mc:AlternateContent>
            </w:r>
            <w:r w:rsidR="002A21AE">
              <w:rPr>
                <w:b/>
                <w:bCs/>
              </w:rPr>
              <w:t>NOTES</w:t>
            </w:r>
          </w:p>
          <w:p w:rsidR="002A21AE" w:rsidRDefault="002A21AE">
            <w:pPr>
              <w:pStyle w:val="NotesText"/>
            </w:pPr>
          </w:p>
          <w:p w:rsidR="002A21AE" w:rsidRDefault="002A21AE">
            <w:pPr>
              <w:pStyle w:val="NotesText"/>
            </w:pPr>
            <w:r>
              <w:rPr>
                <w:rFonts w:cs="Arial"/>
                <w:vanish/>
              </w:rPr>
              <w:t xml:space="preserve">BR_24.09 </w:t>
            </w:r>
            <w:r>
              <w:rPr>
                <w:szCs w:val="18"/>
              </w:rPr>
              <w:t>When the ABO/Rh of each unit in a pool is identical, VBECS assigns that ABO/Rh to the pool. When the ABO and/or Rh of the units in a pool are not identical, VBECS assigns “</w:t>
            </w:r>
            <w:r w:rsidR="00A33872">
              <w:rPr>
                <w:szCs w:val="18"/>
              </w:rPr>
              <w:t>mixed</w:t>
            </w:r>
            <w:r>
              <w:rPr>
                <w:szCs w:val="18"/>
              </w:rPr>
              <w:t>” as the ABO and/or Rh group and type.</w:t>
            </w:r>
          </w:p>
          <w:p w:rsidR="002A21AE" w:rsidRDefault="002A21AE">
            <w:pPr>
              <w:pStyle w:val="NotesText"/>
            </w:pPr>
          </w:p>
          <w:p w:rsidR="002A21AE" w:rsidRDefault="002A21AE">
            <w:pPr>
              <w:pStyle w:val="NotesText"/>
              <w:rPr>
                <w:szCs w:val="18"/>
              </w:rPr>
            </w:pPr>
            <w:r>
              <w:rPr>
                <w:rFonts w:cs="Arial"/>
                <w:vanish/>
              </w:rPr>
              <w:t xml:space="preserve">BR_24.08 </w:t>
            </w:r>
            <w:r>
              <w:rPr>
                <w:szCs w:val="18"/>
              </w:rPr>
              <w:t>VBECS determines the volume of the pooled unit based on the sum of the individual volumes of the original units included in the pool and displays that as the default. The user may edit this volume (1–2,000 mL).</w:t>
            </w:r>
          </w:p>
          <w:p w:rsidR="002A21AE" w:rsidRDefault="002A21AE">
            <w:pPr>
              <w:pStyle w:val="NotesText"/>
              <w:rPr>
                <w:szCs w:val="18"/>
              </w:rPr>
            </w:pPr>
          </w:p>
          <w:p w:rsidR="004248F5" w:rsidRPr="004248F5" w:rsidRDefault="002A21AE" w:rsidP="004248F5">
            <w:pPr>
              <w:pStyle w:val="NotesText"/>
            </w:pPr>
            <w:r>
              <w:rPr>
                <w:rFonts w:cs="Arial"/>
                <w:vanish/>
              </w:rPr>
              <w:t>BR_24.19</w:t>
            </w:r>
            <w:r w:rsidR="004248F5">
              <w:rPr>
                <w:rFonts w:cs="Arial"/>
                <w:vanish/>
              </w:rPr>
              <w:t xml:space="preserve"> BR_24.20</w:t>
            </w:r>
            <w:r>
              <w:rPr>
                <w:vanish/>
              </w:rPr>
              <w:t xml:space="preserve"> </w:t>
            </w:r>
            <w:r>
              <w:t>VBECS labels the pool as CMV negative</w:t>
            </w:r>
            <w:r w:rsidR="004248F5">
              <w:t xml:space="preserve">, Irradiated, or Leukocyte </w:t>
            </w:r>
            <w:r w:rsidR="008B6D25">
              <w:t>reduced</w:t>
            </w:r>
            <w:r>
              <w:t xml:space="preserve"> only when all participant units are CMV negative</w:t>
            </w:r>
            <w:r w:rsidR="004248F5">
              <w:t>, Irradiated, or Leukocyte reduced</w:t>
            </w:r>
            <w:r>
              <w:t>. There is no override.</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913F95" w:rsidRDefault="00913F95" w:rsidP="00913F95">
            <w:pPr>
              <w:pStyle w:val="TableTextNumbers"/>
            </w:pPr>
            <w:r>
              <w:lastRenderedPageBreak/>
              <w:t xml:space="preserve">Click </w:t>
            </w:r>
            <w:r w:rsidRPr="00A77D1F">
              <w:rPr>
                <w:b/>
              </w:rPr>
              <w:t>Yes</w:t>
            </w:r>
            <w:r>
              <w:t xml:space="preserve"> to verify the label.</w:t>
            </w:r>
          </w:p>
          <w:p w:rsidR="00913F95" w:rsidRDefault="00913F95" w:rsidP="00913F95">
            <w:pPr>
              <w:pStyle w:val="TableTextNumbersContinued"/>
            </w:pPr>
          </w:p>
          <w:p w:rsidR="002A21AE" w:rsidRDefault="00913F95" w:rsidP="00913F95">
            <w:pPr>
              <w:pStyle w:val="TableTextNumbersContinued"/>
            </w:pPr>
            <w:r>
              <w:t xml:space="preserve">Click </w:t>
            </w:r>
            <w:r w:rsidRPr="00913F95">
              <w:rPr>
                <w:b/>
              </w:rPr>
              <w:t>OK</w:t>
            </w:r>
            <w:r>
              <w:t xml:space="preserve"> to save</w:t>
            </w:r>
            <w:r w:rsidR="002A21AE">
              <w:t>.</w:t>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Bullet"/>
            </w:pPr>
            <w:r>
              <w:t>Saves the new pooled unit.</w:t>
            </w:r>
          </w:p>
          <w:p w:rsidR="002A21AE" w:rsidRDefault="002A21AE">
            <w:pPr>
              <w:pStyle w:val="TableTextBullet"/>
            </w:pPr>
            <w:r>
              <w:t>Updates the status of each participant unit to “modified.”</w:t>
            </w:r>
          </w:p>
          <w:p w:rsidR="002A21AE" w:rsidRDefault="00EE2911" w:rsidP="00EE2911">
            <w:pPr>
              <w:pStyle w:val="TableTextBullet"/>
              <w:tabs>
                <w:tab w:val="clear" w:pos="288"/>
              </w:tabs>
            </w:pPr>
            <w:r>
              <w:t>Records the unit ID of the target unit on the record of the original unit.</w:t>
            </w:r>
          </w:p>
          <w:p w:rsidR="002A21AE" w:rsidRDefault="002A21AE">
            <w:pPr>
              <w:pStyle w:val="TableTextBullet"/>
            </w:pPr>
            <w:r>
              <w:t>Prompts the user to modify another unit.</w:t>
            </w:r>
          </w:p>
          <w:p w:rsidR="00E92B60" w:rsidRDefault="00E92B60" w:rsidP="00E92B60">
            <w:pPr>
              <w:pStyle w:val="TableTextBullet"/>
              <w:tabs>
                <w:tab w:val="clear" w:pos="288"/>
              </w:tabs>
            </w:pPr>
            <w:r>
              <w:t>Saves only the technologist name and the date and time the label was verified. When the user indicates that a new label applied fails to complete the verification process, releases the assignment, quarantines the unit, and captures details for inclusion in an Exception Report (exception type: target product label failed checks).</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 xml:space="preserve">Repeat Steps </w:t>
            </w:r>
            <w:r w:rsidR="006E5C1E">
              <w:t>2</w:t>
            </w:r>
            <w:r>
              <w:t>–11 to modify another unit</w:t>
            </w:r>
            <w:r w:rsidR="00576D72">
              <w:t>,</w:t>
            </w:r>
            <w:r>
              <w:t xml:space="preserve"> or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
            </w:pPr>
          </w:p>
        </w:tc>
      </w:tr>
    </w:tbl>
    <w:p w:rsidR="009F1B54" w:rsidRDefault="009F1B54">
      <w:pPr>
        <w:pStyle w:val="Heading3"/>
      </w:pPr>
      <w:bookmarkStart w:id="347" w:name="_Toc94349350"/>
    </w:p>
    <w:p w:rsidR="002A21AE" w:rsidRDefault="009F1B54">
      <w:pPr>
        <w:pStyle w:val="Heading3"/>
      </w:pPr>
      <w:r>
        <w:br w:type="page"/>
      </w:r>
      <w:bookmarkStart w:id="348" w:name="_Toc459900117"/>
      <w:r w:rsidR="003E28C1">
        <w:lastRenderedPageBreak/>
        <w:t xml:space="preserve">Add and/or </w:t>
      </w:r>
      <w:r w:rsidR="002A21AE">
        <w:t>Remove Units from a Pool</w:t>
      </w:r>
      <w:bookmarkEnd w:id="348"/>
      <w:r w:rsidR="002A21AE" w:rsidRPr="007716F7">
        <w:rPr>
          <w:vanish/>
        </w:rPr>
        <w:fldChar w:fldCharType="begin"/>
      </w:r>
      <w:r w:rsidR="002A21AE" w:rsidRPr="007716F7">
        <w:rPr>
          <w:vanish/>
        </w:rPr>
        <w:instrText xml:space="preserve"> XE </w:instrText>
      </w:r>
      <w:r w:rsidR="00FA7E65" w:rsidRPr="007716F7">
        <w:rPr>
          <w:vanish/>
        </w:rPr>
        <w:instrText>“</w:instrText>
      </w:r>
      <w:r w:rsidR="002A21AE" w:rsidRPr="007716F7">
        <w:rPr>
          <w:vanish/>
        </w:rPr>
        <w:instrText>Add/Remove Units from a Pool</w:instrText>
      </w:r>
      <w:r w:rsidR="00FA7E65" w:rsidRPr="007716F7">
        <w:rPr>
          <w:vanish/>
        </w:rPr>
        <w:instrText>”</w:instrText>
      </w:r>
      <w:r w:rsidR="002A21AE" w:rsidRPr="007716F7">
        <w:rPr>
          <w:vanish/>
        </w:rPr>
        <w:instrText xml:space="preserve"> </w:instrText>
      </w:r>
      <w:r w:rsidR="002A21AE" w:rsidRPr="007716F7">
        <w:rPr>
          <w:vanish/>
        </w:rPr>
        <w:fldChar w:fldCharType="end"/>
      </w:r>
      <w:r w:rsidR="002A21AE" w:rsidRPr="007716F7">
        <w:rPr>
          <w:vanish/>
        </w:rPr>
        <w:t xml:space="preserve"> UC_26</w:t>
      </w:r>
      <w:bookmarkEnd w:id="347"/>
    </w:p>
    <w:p w:rsidR="002A21AE" w:rsidRDefault="002A21AE" w:rsidP="00FA7E65">
      <w:pPr>
        <w:pStyle w:val="BodyText"/>
      </w:pPr>
      <w:r>
        <w:t xml:space="preserve">The user selects a pooled unit to add and/or remove some of the participants. </w:t>
      </w:r>
    </w:p>
    <w:p w:rsidR="002A21AE" w:rsidRDefault="002A21AE">
      <w:pPr>
        <w:pStyle w:val="Heading4"/>
      </w:pPr>
      <w:bookmarkStart w:id="349" w:name="_Toc94349351"/>
      <w:r>
        <w:t>Assumptions</w:t>
      </w:r>
      <w:bookmarkEnd w:id="349"/>
    </w:p>
    <w:p w:rsidR="002A21AE" w:rsidRDefault="002A21AE">
      <w:pPr>
        <w:pStyle w:val="ListBullet"/>
      </w:pPr>
      <w:r>
        <w:t>See Modify Units.</w:t>
      </w:r>
    </w:p>
    <w:p w:rsidR="002A21AE" w:rsidRDefault="002A21AE">
      <w:pPr>
        <w:pStyle w:val="Heading4"/>
      </w:pPr>
      <w:bookmarkStart w:id="350" w:name="_Toc94349352"/>
      <w:r>
        <w:t>Outcome</w:t>
      </w:r>
      <w:bookmarkEnd w:id="350"/>
    </w:p>
    <w:p w:rsidR="002A21AE" w:rsidRDefault="002A21AE">
      <w:pPr>
        <w:pStyle w:val="ListBullet"/>
      </w:pPr>
      <w:r>
        <w:t>See Modify Units.</w:t>
      </w:r>
    </w:p>
    <w:p w:rsidR="002A21AE" w:rsidRDefault="002A21AE">
      <w:pPr>
        <w:pStyle w:val="Heading4"/>
      </w:pPr>
      <w:bookmarkStart w:id="351" w:name="_Toc94349353"/>
      <w:r>
        <w:t>Limitations and Restrictions</w:t>
      </w:r>
      <w:bookmarkEnd w:id="351"/>
    </w:p>
    <w:p w:rsidR="002A21AE" w:rsidRDefault="002A21AE">
      <w:pPr>
        <w:pStyle w:val="ListBullet"/>
      </w:pPr>
      <w:r>
        <w:t>See Modify Units.</w:t>
      </w:r>
    </w:p>
    <w:p w:rsidR="002A21AE" w:rsidRDefault="002A21AE">
      <w:pPr>
        <w:pStyle w:val="Heading4"/>
      </w:pPr>
      <w:bookmarkStart w:id="352" w:name="_Toc94349354"/>
      <w:r>
        <w:t>Additional Information</w:t>
      </w:r>
      <w:bookmarkEnd w:id="352"/>
    </w:p>
    <w:p w:rsidR="002A21AE" w:rsidRDefault="002A21AE">
      <w:pPr>
        <w:pStyle w:val="ListBullet"/>
      </w:pPr>
      <w:r>
        <w:t>Units must be in “available” status for data to be inactivated regardless of historic patient associations.</w:t>
      </w:r>
    </w:p>
    <w:p w:rsidR="004C51FE" w:rsidRDefault="004C51FE" w:rsidP="004C51FE">
      <w:pPr>
        <w:pStyle w:val="ListBullet"/>
      </w:pPr>
      <w:r>
        <w:t>To edit the number of units in an existing pool, use Add/Remove Units from a Pool.</w:t>
      </w:r>
    </w:p>
    <w:p w:rsidR="002A21AE" w:rsidRDefault="002A21AE">
      <w:pPr>
        <w:pStyle w:val="Heading4"/>
      </w:pPr>
      <w:bookmarkStart w:id="353" w:name="_Toc94349355"/>
      <w:r>
        <w:t>User Roles with Access to This Option</w:t>
      </w:r>
      <w:bookmarkEnd w:id="353"/>
    </w:p>
    <w:p w:rsidR="005663D0" w:rsidRDefault="005663D0" w:rsidP="001A3179">
      <w:pPr>
        <w:pStyle w:val="Roles"/>
        <w:rPr>
          <w:rFonts w:ascii="Wingdings 3" w:hAnsi="Wingdings 3" w:cs="Wingdings"/>
        </w:rPr>
      </w:pPr>
      <w:r w:rsidRPr="00EC7489">
        <w:rPr>
          <w:rFonts w:ascii="Wingdings 3" w:hAnsi="Wingdings 3" w:cs="Wingdings"/>
        </w:rPr>
        <w:t></w:t>
      </w:r>
      <w:r w:rsidRPr="00EC7489">
        <w:rPr>
          <w:rFonts w:ascii="Wingdings 3" w:hAnsi="Wingdings 3" w:cs="Wingdings"/>
        </w:rPr>
        <w:t></w:t>
      </w:r>
      <w:r>
        <w:t xml:space="preserve"> Enhanced Technologist (add/remove prior to patient associations) </w:t>
      </w:r>
    </w:p>
    <w:p w:rsidR="002A21AE" w:rsidRDefault="001A3179" w:rsidP="001A3179">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Traditional Supervisor</w:t>
      </w:r>
      <w:r w:rsidR="005663D0">
        <w:t xml:space="preserve"> (add/remove with patient associations)</w:t>
      </w:r>
    </w:p>
    <w:p w:rsidR="002A21AE" w:rsidRDefault="002A21AE">
      <w:pPr>
        <w:pStyle w:val="Heading4"/>
        <w:rPr>
          <w:rFonts w:ascii="Times New Roman" w:hAnsi="Times New Roman"/>
          <w:bCs/>
          <w:i/>
          <w:iCs/>
          <w:sz w:val="24"/>
        </w:rPr>
      </w:pPr>
      <w:bookmarkStart w:id="354" w:name="_Toc94349356"/>
      <w:bookmarkStart w:id="355" w:name="OLE_LINK24"/>
      <w:r>
        <w:t>Add/Remove Units from a Pool</w:t>
      </w:r>
      <w:bookmarkEnd w:id="354"/>
      <w:bookmarkEnd w:id="355"/>
    </w:p>
    <w:p w:rsidR="002A21AE" w:rsidRDefault="002A21AE" w:rsidP="00FA7E65">
      <w:pPr>
        <w:pStyle w:val="BodyText"/>
      </w:pPr>
      <w:r>
        <w:t>The user adds or deletes units to or from a pool.</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08"/>
      </w:tblGrid>
      <w:tr w:rsidR="002A21AE">
        <w:tblPrEx>
          <w:tblCellMar>
            <w:top w:w="0" w:type="dxa"/>
            <w:bottom w:w="0" w:type="dxa"/>
          </w:tblCellMar>
        </w:tblPrEx>
        <w:trPr>
          <w:tblHeader/>
        </w:trPr>
        <w:tc>
          <w:tcPr>
            <w:tcW w:w="3240" w:type="dxa"/>
            <w:tcBorders>
              <w:top w:val="single" w:sz="4" w:space="0" w:color="auto"/>
              <w:left w:val="single" w:sz="4" w:space="0" w:color="auto"/>
              <w:bottom w:val="single" w:sz="4" w:space="0" w:color="auto"/>
              <w:right w:val="single" w:sz="4" w:space="0" w:color="auto"/>
            </w:tcBorders>
            <w:shd w:val="clear" w:color="auto" w:fill="C0C0C0"/>
            <w:vAlign w:val="bottom"/>
          </w:tcPr>
          <w:p w:rsidR="002A21AE" w:rsidRDefault="002A21AE">
            <w:pPr>
              <w:pStyle w:val="TableText"/>
              <w:rPr>
                <w:b/>
              </w:rPr>
            </w:pPr>
            <w:r>
              <w:rPr>
                <w:b/>
              </w:rPr>
              <w:t>User Action</w:t>
            </w:r>
          </w:p>
        </w:tc>
        <w:tc>
          <w:tcPr>
            <w:tcW w:w="6108" w:type="dxa"/>
            <w:tcBorders>
              <w:top w:val="single" w:sz="4" w:space="0" w:color="auto"/>
              <w:left w:val="single" w:sz="4" w:space="0" w:color="auto"/>
              <w:bottom w:val="single" w:sz="4" w:space="0" w:color="auto"/>
              <w:right w:val="single" w:sz="4" w:space="0" w:color="auto"/>
            </w:tcBorders>
            <w:shd w:val="clear" w:color="auto" w:fill="C0C0C0"/>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pPr>
              <w:pStyle w:val="TableTextNumbers"/>
            </w:pPr>
            <w:r>
              <w:t xml:space="preserve">Select </w:t>
            </w:r>
            <w:r>
              <w:rPr>
                <w:b/>
              </w:rPr>
              <w:t>Blood Units</w:t>
            </w:r>
            <w:r>
              <w:t xml:space="preserve"> from the main menu. </w:t>
            </w:r>
          </w:p>
          <w:p w:rsidR="002A21AE" w:rsidRDefault="002A21AE">
            <w:pPr>
              <w:pStyle w:val="TableTextNumbersContinued"/>
            </w:pPr>
          </w:p>
          <w:p w:rsidR="002A21AE" w:rsidRDefault="002A21AE">
            <w:pPr>
              <w:pStyle w:val="TableTextNumbersContinued"/>
            </w:pPr>
            <w:r>
              <w:t xml:space="preserve">Select </w:t>
            </w:r>
            <w:r>
              <w:rPr>
                <w:b/>
              </w:rPr>
              <w:t>Modify Units</w:t>
            </w:r>
            <w:r>
              <w:t>.</w:t>
            </w:r>
          </w:p>
        </w:tc>
        <w:tc>
          <w:tcPr>
            <w:tcW w:w="6108" w:type="dxa"/>
          </w:tcPr>
          <w:p w:rsidR="002A21AE" w:rsidRDefault="002A21AE">
            <w:pPr>
              <w:pStyle w:val="TableTextBullet"/>
            </w:pPr>
            <w:r>
              <w:t>Displays options for processing blood units.</w:t>
            </w:r>
          </w:p>
          <w:p w:rsidR="002A21AE" w:rsidRDefault="002A21AE">
            <w:pPr>
              <w:pStyle w:val="TableTextBullet"/>
            </w:pPr>
            <w:r>
              <w:t>Displays valid modification types and allows the user to select an option.</w:t>
            </w:r>
          </w:p>
        </w:tc>
      </w:tr>
      <w:tr w:rsidR="002A21AE">
        <w:tblPrEx>
          <w:tblCellMar>
            <w:top w:w="0" w:type="dxa"/>
            <w:bottom w:w="0" w:type="dxa"/>
          </w:tblCellMar>
        </w:tblPrEx>
        <w:tc>
          <w:tcPr>
            <w:tcW w:w="3240" w:type="dxa"/>
          </w:tcPr>
          <w:p w:rsidR="002A21AE" w:rsidRDefault="002A21AE">
            <w:pPr>
              <w:pStyle w:val="TableTextNumbers"/>
            </w:pPr>
            <w:r>
              <w:t xml:space="preserve">Click the </w:t>
            </w:r>
            <w:r>
              <w:rPr>
                <w:b/>
              </w:rPr>
              <w:t xml:space="preserve">Add/Remove Units from a Pool </w:t>
            </w:r>
            <w:r w:rsidRPr="00BF2E41">
              <w:t>radio button</w:t>
            </w:r>
            <w:r>
              <w:t>.</w:t>
            </w:r>
          </w:p>
          <w:p w:rsidR="002A21AE" w:rsidRDefault="002A21AE">
            <w:pPr>
              <w:pStyle w:val="TableTextNumbersContinued"/>
            </w:pPr>
          </w:p>
          <w:p w:rsidR="002A21AE" w:rsidRDefault="002A21AE">
            <w:pPr>
              <w:pStyle w:val="TableTextNumbersContinued"/>
            </w:pPr>
            <w:r>
              <w:t xml:space="preserve">Click </w:t>
            </w:r>
            <w:r>
              <w:rPr>
                <w:b/>
              </w:rPr>
              <w:t>OK</w:t>
            </w:r>
            <w:r>
              <w:t>.</w:t>
            </w:r>
          </w:p>
        </w:tc>
        <w:tc>
          <w:tcPr>
            <w:tcW w:w="6108" w:type="dxa"/>
          </w:tcPr>
          <w:p w:rsidR="002A21AE" w:rsidRDefault="002A21AE">
            <w:pPr>
              <w:pStyle w:val="TableTextBullet"/>
              <w:tabs>
                <w:tab w:val="num" w:pos="360"/>
              </w:tabs>
            </w:pPr>
            <w:r>
              <w:t>Allows the user to search for a pooled unit.</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Scan, enter, or select the ID and product code for a pooled unit.</w:t>
            </w:r>
          </w:p>
        </w:tc>
        <w:tc>
          <w:tcPr>
            <w:tcW w:w="6108" w:type="dxa"/>
            <w:tcBorders>
              <w:top w:val="single" w:sz="4" w:space="0" w:color="auto"/>
              <w:left w:val="single" w:sz="4" w:space="0" w:color="auto"/>
              <w:bottom w:val="single" w:sz="4" w:space="0" w:color="auto"/>
              <w:right w:val="single" w:sz="4" w:space="0" w:color="auto"/>
            </w:tcBorders>
          </w:tcPr>
          <w:p w:rsidR="002A21AE" w:rsidRDefault="002A21AE">
            <w:pPr>
              <w:pStyle w:val="TableTextBullet"/>
              <w:tabs>
                <w:tab w:val="clear" w:pos="288"/>
                <w:tab w:val="num" w:pos="360"/>
              </w:tabs>
            </w:pPr>
            <w:r>
              <w:t>Displays current data for the selected unit.</w:t>
            </w:r>
          </w:p>
          <w:p w:rsidR="002A21AE" w:rsidRDefault="002A21AE">
            <w:pPr>
              <w:pStyle w:val="TableText"/>
            </w:pPr>
          </w:p>
          <w:p w:rsidR="002A21AE" w:rsidRDefault="00634BFC">
            <w:pPr>
              <w:pStyle w:val="TableText"/>
              <w:rPr>
                <w:b/>
                <w:bCs/>
              </w:rPr>
            </w:pPr>
            <w:r>
              <w:rPr>
                <w:b/>
                <w:bCs/>
                <w:noProof/>
              </w:rPr>
              <mc:AlternateContent>
                <mc:Choice Requires="wps">
                  <w:drawing>
                    <wp:anchor distT="0" distB="0" distL="114300" distR="114300" simplePos="0" relativeHeight="25167104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65" name="Line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0"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vfGFQIAAC0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ELS&#10;98YVAgAALQQAAA4AAAAAAAAAAAAAAAAALgIAAGRycy9lMm9Eb2MueG1sUEsBAi0AFAAGAAgAAAAh&#10;ABdPMBLbAAAACAEAAA8AAAAAAAAAAAAAAAAAbwQAAGRycy9kb3ducmV2LnhtbFBLBQYAAAAABAAE&#10;APMAAAB3BQAAAAA=&#10;" strokeweight="1.5pt"/>
                  </w:pict>
                </mc:Fallback>
              </mc:AlternateContent>
            </w:r>
            <w:r w:rsidR="002A21AE">
              <w:rPr>
                <w:b/>
                <w:bCs/>
              </w:rPr>
              <w:t>NOTES</w:t>
            </w:r>
          </w:p>
          <w:p w:rsidR="002A21AE" w:rsidRDefault="002A21AE">
            <w:pPr>
              <w:pStyle w:val="NotesText"/>
            </w:pPr>
          </w:p>
          <w:p w:rsidR="002A21AE" w:rsidRDefault="002A21AE">
            <w:pPr>
              <w:pStyle w:val="NotesText"/>
            </w:pPr>
            <w:r>
              <w:rPr>
                <w:rFonts w:cs="Arial"/>
                <w:vanish/>
              </w:rPr>
              <w:t xml:space="preserve">BR_24.21 </w:t>
            </w:r>
            <w:r>
              <w:t>The user must select a unit that was previously pooled within the user’s division.</w:t>
            </w:r>
          </w:p>
          <w:p w:rsidR="002A21AE" w:rsidRDefault="002A21AE">
            <w:pPr>
              <w:pStyle w:val="NotesText"/>
            </w:pPr>
          </w:p>
          <w:p w:rsidR="002A21AE" w:rsidRDefault="002A21AE">
            <w:pPr>
              <w:pStyle w:val="NotesText"/>
            </w:pPr>
            <w:r>
              <w:rPr>
                <w:rFonts w:cs="Arial"/>
                <w:vanish/>
              </w:rPr>
              <w:t xml:space="preserve">BR_24.30 </w:t>
            </w:r>
            <w:r>
              <w:t>The user may edit a pooled unit only once.</w:t>
            </w:r>
          </w:p>
          <w:p w:rsidR="002A21AE" w:rsidRDefault="002A21AE">
            <w:pPr>
              <w:pStyle w:val="NotesText"/>
            </w:pPr>
          </w:p>
          <w:p w:rsidR="002A21AE" w:rsidRDefault="00D51EEA">
            <w:pPr>
              <w:pStyle w:val="NotesText"/>
            </w:pPr>
            <w:r w:rsidRPr="00896F17">
              <w:rPr>
                <w:rStyle w:val="BullhornChar"/>
              </w:rPr>
              <w:t></w:t>
            </w:r>
            <w:r>
              <w:rPr>
                <w:color w:val="000000"/>
                <w:szCs w:val="18"/>
              </w:rPr>
              <w:t xml:space="preserve"> </w:t>
            </w:r>
            <w:r>
              <w:rPr>
                <w:rFonts w:cs="Arial"/>
                <w:vanish/>
              </w:rPr>
              <w:t xml:space="preserve">BR_70.06 </w:t>
            </w:r>
            <w:r>
              <w:t xml:space="preserve">VBECS does not list units (for selection) with a final status. When a user enters a unit with a final status, VBECS </w:t>
            </w:r>
            <w:r w:rsidR="007826D2">
              <w:t>alerts</w:t>
            </w:r>
            <w:r>
              <w:t xml:space="preserve"> the user and clears the screen. The user may select another unit.</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Review the existing pooled unit data.</w:t>
            </w:r>
          </w:p>
          <w:p w:rsidR="002A21AE" w:rsidRDefault="002A21AE">
            <w:pPr>
              <w:pStyle w:val="TableTextNumbersContinued"/>
            </w:pPr>
          </w:p>
          <w:p w:rsidR="002A21AE" w:rsidRDefault="00A31A8A">
            <w:pPr>
              <w:pStyle w:val="TableTextNumbersContinued"/>
            </w:pPr>
            <w:r>
              <w:t>Select one or more units to add to the pool</w:t>
            </w:r>
            <w:r w:rsidR="002A21AE">
              <w:t>.</w:t>
            </w:r>
          </w:p>
          <w:p w:rsidR="00A31A8A" w:rsidRDefault="00A31A8A">
            <w:pPr>
              <w:pStyle w:val="TableTextNumbersContinued"/>
            </w:pPr>
          </w:p>
          <w:p w:rsidR="002A21AE" w:rsidRDefault="00A31A8A">
            <w:pPr>
              <w:pStyle w:val="TableTextNumbersContinued"/>
            </w:pPr>
            <w:r>
              <w:lastRenderedPageBreak/>
              <w:t>Clear one or more check boxes to remove units from the pool.</w:t>
            </w:r>
          </w:p>
        </w:tc>
        <w:tc>
          <w:tcPr>
            <w:tcW w:w="6108" w:type="dxa"/>
            <w:tcBorders>
              <w:top w:val="single" w:sz="4" w:space="0" w:color="auto"/>
              <w:left w:val="single" w:sz="4" w:space="0" w:color="auto"/>
              <w:bottom w:val="single" w:sz="4" w:space="0" w:color="auto"/>
              <w:right w:val="single" w:sz="4" w:space="0" w:color="auto"/>
            </w:tcBorders>
          </w:tcPr>
          <w:p w:rsidR="002A21AE" w:rsidRDefault="002A21AE">
            <w:pPr>
              <w:pStyle w:val="TableTextBullet"/>
              <w:tabs>
                <w:tab w:val="num" w:pos="360"/>
              </w:tabs>
            </w:pPr>
            <w:r>
              <w:lastRenderedPageBreak/>
              <w:t>Allows the user to select one or more units to add to or remove from the pool.</w:t>
            </w:r>
          </w:p>
          <w:p w:rsidR="002A21AE" w:rsidRDefault="002A21AE">
            <w:pPr>
              <w:pStyle w:val="TableText"/>
            </w:pPr>
          </w:p>
          <w:p w:rsidR="002A21AE" w:rsidRDefault="00634BFC">
            <w:pPr>
              <w:pStyle w:val="TableText"/>
              <w:rPr>
                <w:b/>
                <w:bCs/>
              </w:rPr>
            </w:pPr>
            <w:r>
              <w:rPr>
                <w:b/>
                <w:bCs/>
                <w:noProof/>
              </w:rPr>
              <mc:AlternateContent>
                <mc:Choice Requires="wps">
                  <w:drawing>
                    <wp:anchor distT="0" distB="0" distL="114300" distR="114300" simplePos="0" relativeHeight="25167206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64" name="Line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1"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CS&#10;JmBAFgIAAC0EAAAOAAAAAAAAAAAAAAAAAC4CAABkcnMvZTJvRG9jLnhtbFBLAQItABQABgAIAAAA&#10;IQAXTzAS2wAAAAgBAAAPAAAAAAAAAAAAAAAAAHAEAABkcnMvZG93bnJldi54bWxQSwUGAAAAAAQA&#10;BADzAAAAeAUAAAAA&#10;" strokeweight="1.5pt"/>
                  </w:pict>
                </mc:Fallback>
              </mc:AlternateContent>
            </w:r>
            <w:r w:rsidR="002A21AE">
              <w:rPr>
                <w:b/>
                <w:bCs/>
              </w:rPr>
              <w:t>NOTES</w:t>
            </w:r>
          </w:p>
          <w:p w:rsidR="002A21AE" w:rsidRDefault="002A21AE">
            <w:pPr>
              <w:pStyle w:val="NotesText"/>
            </w:pPr>
          </w:p>
          <w:p w:rsidR="002A21AE" w:rsidRDefault="002A21AE">
            <w:pPr>
              <w:pStyle w:val="NotesText"/>
            </w:pPr>
            <w:r>
              <w:rPr>
                <w:rFonts w:cs="Arial"/>
                <w:vanish/>
              </w:rPr>
              <w:t xml:space="preserve">BR_24.27 </w:t>
            </w:r>
            <w:r>
              <w:t>The user may not remove all of the original units.</w:t>
            </w:r>
          </w:p>
          <w:p w:rsidR="002A21AE" w:rsidRDefault="002A21AE">
            <w:pPr>
              <w:pStyle w:val="NotesText"/>
            </w:pPr>
          </w:p>
          <w:p w:rsidR="002A21AE" w:rsidRDefault="002A21AE">
            <w:pPr>
              <w:pStyle w:val="NotesText"/>
            </w:pPr>
            <w:r w:rsidRPr="009522A6">
              <w:rPr>
                <w:rFonts w:cs="Arial"/>
                <w:vanish/>
                <w:color w:val="0000FF"/>
              </w:rPr>
              <w:t>BR_24.28</w:t>
            </w:r>
            <w:r>
              <w:rPr>
                <w:rFonts w:cs="Arial"/>
                <w:vanish/>
              </w:rPr>
              <w:t xml:space="preserve"> </w:t>
            </w:r>
            <w:r>
              <w:t>The user may add only units with the same product and donation types as those of the previously pooled unit.</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lastRenderedPageBreak/>
              <w:t>Confirm to add the selected units to or remove them from the pool</w:t>
            </w:r>
            <w:r w:rsidR="007A0867">
              <w:t xml:space="preserve"> (</w:t>
            </w:r>
            <w:r w:rsidR="007A0867">
              <w:fldChar w:fldCharType="begin"/>
            </w:r>
            <w:r w:rsidR="007A0867">
              <w:instrText xml:space="preserve"> REF _Ref126651551 \h </w:instrText>
            </w:r>
            <w:r w:rsidR="007A0867">
              <w:fldChar w:fldCharType="separate"/>
            </w:r>
            <w:r w:rsidR="005F38BC">
              <w:t xml:space="preserve">Figure </w:t>
            </w:r>
            <w:r w:rsidR="005F38BC">
              <w:rPr>
                <w:noProof/>
              </w:rPr>
              <w:t>87</w:t>
            </w:r>
            <w:r w:rsidR="007A0867">
              <w:fldChar w:fldCharType="end"/>
            </w:r>
            <w:r w:rsidR="007A0867">
              <w:t>)</w:t>
            </w:r>
            <w:r>
              <w:t>.</w:t>
            </w:r>
          </w:p>
        </w:tc>
        <w:tc>
          <w:tcPr>
            <w:tcW w:w="6108" w:type="dxa"/>
            <w:tcBorders>
              <w:top w:val="single" w:sz="4" w:space="0" w:color="auto"/>
              <w:left w:val="single" w:sz="4" w:space="0" w:color="auto"/>
              <w:bottom w:val="single" w:sz="4" w:space="0" w:color="auto"/>
              <w:right w:val="single" w:sz="4" w:space="0" w:color="auto"/>
            </w:tcBorders>
          </w:tcPr>
          <w:p w:rsidR="002A21AE" w:rsidRDefault="002A21AE">
            <w:pPr>
              <w:pStyle w:val="TableTextBullet"/>
              <w:tabs>
                <w:tab w:val="num" w:pos="360"/>
              </w:tabs>
            </w:pPr>
            <w:r>
              <w:t xml:space="preserve">Displays the updated pooled unit data. </w:t>
            </w:r>
          </w:p>
          <w:p w:rsidR="002A21AE" w:rsidRDefault="002A21AE">
            <w:pPr>
              <w:pStyle w:val="TableTextBullet"/>
              <w:tabs>
                <w:tab w:val="num" w:pos="360"/>
              </w:tabs>
            </w:pPr>
            <w:r>
              <w:t xml:space="preserve">Requires the user to confirm to continue. </w:t>
            </w:r>
          </w:p>
          <w:p w:rsidR="002A21AE" w:rsidRDefault="002A21AE">
            <w:pPr>
              <w:pStyle w:val="TableTextBullet"/>
              <w:tabs>
                <w:tab w:val="num" w:pos="360"/>
              </w:tabs>
            </w:pPr>
            <w:r>
              <w:t xml:space="preserve">Requires a comment. </w:t>
            </w:r>
          </w:p>
          <w:p w:rsidR="002A21AE" w:rsidRDefault="002A21AE">
            <w:pPr>
              <w:pStyle w:val="TableText"/>
            </w:pPr>
          </w:p>
          <w:p w:rsidR="002A21AE" w:rsidRDefault="00634BFC">
            <w:pPr>
              <w:pStyle w:val="TableText"/>
              <w:rPr>
                <w:b/>
                <w:bCs/>
              </w:rPr>
            </w:pPr>
            <w:r>
              <w:rPr>
                <w:b/>
                <w:bCs/>
                <w:noProof/>
              </w:rPr>
              <mc:AlternateContent>
                <mc:Choice Requires="wps">
                  <w:drawing>
                    <wp:anchor distT="0" distB="0" distL="114300" distR="114300" simplePos="0" relativeHeight="25167308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63" name="Line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2"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5E0FQIAAC0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O3j&#10;kTQVAgAALQQAAA4AAAAAAAAAAAAAAAAALgIAAGRycy9lMm9Eb2MueG1sUEsBAi0AFAAGAAgAAAAh&#10;ABdPMBLbAAAACAEAAA8AAAAAAAAAAAAAAAAAbwQAAGRycy9kb3ducmV2LnhtbFBLBQYAAAAABAAE&#10;APMAAAB3BQAAAAA=&#10;" strokeweight="1.5pt"/>
                  </w:pict>
                </mc:Fallback>
              </mc:AlternateContent>
            </w:r>
            <w:r w:rsidR="002A21AE">
              <w:rPr>
                <w:b/>
                <w:bCs/>
              </w:rPr>
              <w:t>NOTES</w:t>
            </w:r>
          </w:p>
          <w:p w:rsidR="002A21AE" w:rsidRDefault="002A21AE">
            <w:pPr>
              <w:pStyle w:val="NotesText"/>
            </w:pPr>
          </w:p>
          <w:p w:rsidR="00552811" w:rsidRPr="00552811" w:rsidRDefault="002A21AE" w:rsidP="00552811">
            <w:pPr>
              <w:pStyle w:val="NotesText"/>
              <w:rPr>
                <w:rFonts w:cs="Arial"/>
                <w:vanish/>
              </w:rPr>
            </w:pPr>
            <w:r w:rsidRPr="00552811">
              <w:rPr>
                <w:rFonts w:cs="Arial"/>
                <w:vanish/>
              </w:rPr>
              <w:t xml:space="preserve">BR_24.15 </w:t>
            </w:r>
            <w:r w:rsidRPr="00552811">
              <w:rPr>
                <w:rFonts w:cs="Arial"/>
              </w:rPr>
              <w:t xml:space="preserve">All units in a pool must be of the same </w:t>
            </w:r>
            <w:r w:rsidR="00552811" w:rsidRPr="00552811">
              <w:rPr>
                <w:rFonts w:cs="Arial"/>
              </w:rPr>
              <w:t>restriction</w:t>
            </w:r>
            <w:r w:rsidRPr="00552811">
              <w:rPr>
                <w:rFonts w:cs="Arial"/>
              </w:rPr>
              <w:t xml:space="preserve"> type (allogeneic, autologous, directed). </w:t>
            </w:r>
            <w:r w:rsidR="00552811" w:rsidRPr="00552811">
              <w:rPr>
                <w:rFonts w:cs="Arial"/>
              </w:rPr>
              <w:t>The specific donation type within the restriction type of the first unit selected for the pool is assigned to the target.</w:t>
            </w:r>
          </w:p>
          <w:p w:rsidR="002A21AE" w:rsidRDefault="002A21AE">
            <w:pPr>
              <w:pStyle w:val="NotesText"/>
            </w:pPr>
          </w:p>
          <w:p w:rsidR="002A21AE" w:rsidRDefault="002A21AE">
            <w:pPr>
              <w:pStyle w:val="NotesText"/>
            </w:pPr>
            <w:r>
              <w:rPr>
                <w:rFonts w:cs="Arial"/>
                <w:vanish/>
              </w:rPr>
              <w:t xml:space="preserve">BR_24.24 </w:t>
            </w:r>
            <w:r>
              <w:t>For each individual unit removed from a pool, VBECS compares the unit</w:t>
            </w:r>
            <w:r w:rsidR="00FA7E65">
              <w:t>’</w:t>
            </w:r>
            <w:r>
              <w:t>s original expiration date and time with the current date and time to determine the status to be assigned to units that are no longer part of the pool.</w:t>
            </w:r>
          </w:p>
          <w:p w:rsidR="002A21AE" w:rsidRDefault="002A21AE">
            <w:pPr>
              <w:pStyle w:val="NotesText"/>
            </w:pPr>
          </w:p>
          <w:p w:rsidR="002A21AE" w:rsidRDefault="002A21AE">
            <w:pPr>
              <w:pStyle w:val="NotesText"/>
            </w:pPr>
            <w:r>
              <w:t>When the unit</w:t>
            </w:r>
            <w:r w:rsidR="00FA7E65">
              <w:t>’</w:t>
            </w:r>
            <w:r>
              <w:t>s original expiration date and time is in the future, VBECS assigns units removed from the pool a status of “available.” When the unit</w:t>
            </w:r>
            <w:r w:rsidR="00FA7E65">
              <w:t>’</w:t>
            </w:r>
            <w:r>
              <w:t>s original expiration date and time is in the past, VBECS assigns units removed from the pool a status of “</w:t>
            </w:r>
            <w:r w:rsidR="0061366C">
              <w:t>available</w:t>
            </w:r>
            <w:r>
              <w:t>.”</w:t>
            </w:r>
          </w:p>
          <w:p w:rsidR="002A21AE" w:rsidRDefault="002A21AE">
            <w:pPr>
              <w:pStyle w:val="NotesText"/>
            </w:pPr>
          </w:p>
          <w:p w:rsidR="002A21AE" w:rsidRDefault="002A21AE">
            <w:pPr>
              <w:pStyle w:val="NotesText"/>
            </w:pPr>
            <w:r w:rsidRPr="001051D0">
              <w:rPr>
                <w:rFonts w:cs="Arial"/>
                <w:vanish/>
                <w:color w:val="0000FF"/>
              </w:rPr>
              <w:t>BR_24.25</w:t>
            </w:r>
            <w:r>
              <w:rPr>
                <w:rFonts w:cs="Arial"/>
                <w:vanish/>
              </w:rPr>
              <w:t xml:space="preserve"> </w:t>
            </w:r>
            <w:r w:rsidR="00263B24" w:rsidRPr="00896F17">
              <w:rPr>
                <w:rStyle w:val="BullhornChar"/>
              </w:rPr>
              <w:t></w:t>
            </w:r>
            <w:r w:rsidR="00263B24">
              <w:rPr>
                <w:rFonts w:ascii="Webdings" w:hAnsi="Webdings"/>
              </w:rPr>
              <w:t></w:t>
            </w:r>
            <w:r w:rsidR="00263B24">
              <w:t>W</w:t>
            </w:r>
            <w:r>
              <w:t xml:space="preserve">hen </w:t>
            </w:r>
            <w:r w:rsidR="008553F6">
              <w:t xml:space="preserve">the user adds a unit to a pool and </w:t>
            </w:r>
            <w:r>
              <w:t xml:space="preserve">the </w:t>
            </w:r>
            <w:r w:rsidR="00991A9A">
              <w:t>unit expires before</w:t>
            </w:r>
            <w:r>
              <w:t xml:space="preserve"> the pool</w:t>
            </w:r>
            <w:r w:rsidR="00991A9A">
              <w:t xml:space="preserve"> expires</w:t>
            </w:r>
            <w:r>
              <w:t xml:space="preserve">, VBECS emits an audible alert, warns the user, and asks the user to continue or cancel. </w:t>
            </w:r>
            <w:r w:rsidR="00C26BE6">
              <w:rPr>
                <w:b/>
                <w:bCs/>
              </w:rPr>
              <w:t xml:space="preserve">Override </w:t>
            </w:r>
            <w:r>
              <w:t xml:space="preserve">requires a comment and VBECS captures details for inclusion in an Exception Report (exception type: expired unit modified). </w:t>
            </w:r>
            <w:r>
              <w:rPr>
                <w:b/>
                <w:bCs/>
              </w:rPr>
              <w:t>Cancel</w:t>
            </w:r>
            <w:r>
              <w:t xml:space="preserve"> clears the selected unit data and allows the user to select another unit to modify.</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Review the entered data and save the updated pool record.</w:t>
            </w:r>
          </w:p>
        </w:tc>
        <w:tc>
          <w:tcPr>
            <w:tcW w:w="6108" w:type="dxa"/>
            <w:tcBorders>
              <w:top w:val="single" w:sz="4" w:space="0" w:color="auto"/>
              <w:left w:val="single" w:sz="4" w:space="0" w:color="auto"/>
              <w:bottom w:val="single" w:sz="4" w:space="0" w:color="auto"/>
              <w:right w:val="single" w:sz="4" w:space="0" w:color="auto"/>
            </w:tcBorders>
          </w:tcPr>
          <w:p w:rsidR="002A21AE" w:rsidRDefault="002A21AE" w:rsidP="000C5C2A">
            <w:pPr>
              <w:pStyle w:val="TableTextBullet"/>
            </w:pPr>
            <w:r>
              <w:t xml:space="preserve">Saves the modified pooled unit. Updates the status of each added unit to “modified.” Updates the status of each removed unit. </w:t>
            </w:r>
            <w:r w:rsidR="000C5C2A">
              <w:t>Records the unit ID of the target unit on the record of the original unit.</w:t>
            </w:r>
            <w:r>
              <w:t xml:space="preserve"> </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 xml:space="preserve">Repeat Steps 1–6 to modify another unit or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08" w:type="dxa"/>
            <w:tcBorders>
              <w:top w:val="single" w:sz="4" w:space="0" w:color="auto"/>
              <w:left w:val="single" w:sz="4" w:space="0" w:color="auto"/>
              <w:bottom w:val="single" w:sz="4" w:space="0" w:color="auto"/>
              <w:right w:val="single" w:sz="4" w:space="0" w:color="auto"/>
            </w:tcBorders>
          </w:tcPr>
          <w:p w:rsidR="002A21AE" w:rsidRDefault="004547D5">
            <w:pPr>
              <w:pStyle w:val="TableTextBullet"/>
              <w:tabs>
                <w:tab w:val="num" w:pos="360"/>
              </w:tabs>
              <w:rPr>
                <w:color w:val="000000"/>
                <w:szCs w:val="20"/>
              </w:rPr>
            </w:pPr>
            <w:r>
              <w:rPr>
                <w:color w:val="000000"/>
                <w:szCs w:val="20"/>
              </w:rPr>
              <w:t>Allows the user</w:t>
            </w:r>
            <w:r w:rsidR="002A21AE">
              <w:rPr>
                <w:color w:val="000000"/>
                <w:szCs w:val="20"/>
              </w:rPr>
              <w:t xml:space="preserve"> to modify</w:t>
            </w:r>
            <w:r>
              <w:rPr>
                <w:color w:val="000000"/>
                <w:szCs w:val="20"/>
              </w:rPr>
              <w:t xml:space="preserve"> another unit</w:t>
            </w:r>
            <w:r w:rsidR="002A21AE">
              <w:rPr>
                <w:color w:val="000000"/>
                <w:szCs w:val="20"/>
              </w:rPr>
              <w:t>.</w:t>
            </w:r>
          </w:p>
        </w:tc>
      </w:tr>
    </w:tbl>
    <w:p w:rsidR="002A21AE" w:rsidRDefault="002A21AE">
      <w:pPr>
        <w:pStyle w:val="BodyText"/>
      </w:pPr>
    </w:p>
    <w:p w:rsidR="007A0867" w:rsidRDefault="007A0867" w:rsidP="007A0867">
      <w:pPr>
        <w:pStyle w:val="Caption"/>
      </w:pPr>
      <w:bookmarkStart w:id="356" w:name="_Ref126651551"/>
      <w:r>
        <w:lastRenderedPageBreak/>
        <w:t xml:space="preserve">Figure </w:t>
      </w:r>
      <w:r w:rsidR="00C17F7C">
        <w:fldChar w:fldCharType="begin"/>
      </w:r>
      <w:r w:rsidR="00C17F7C">
        <w:instrText xml:space="preserve"> SEQ Figure \* ARABIC </w:instrText>
      </w:r>
      <w:r w:rsidR="00C17F7C">
        <w:fldChar w:fldCharType="separate"/>
      </w:r>
      <w:r w:rsidR="005F38BC">
        <w:rPr>
          <w:noProof/>
        </w:rPr>
        <w:t>87</w:t>
      </w:r>
      <w:r w:rsidR="00C17F7C">
        <w:fldChar w:fldCharType="end"/>
      </w:r>
      <w:bookmarkEnd w:id="356"/>
      <w:r>
        <w:t>: Add/Remove Units from Pool</w:t>
      </w:r>
    </w:p>
    <w:p w:rsidR="002A21AE" w:rsidRDefault="00634BFC" w:rsidP="007A0867">
      <w:pPr>
        <w:pStyle w:val="BodyText"/>
      </w:pPr>
      <w:r>
        <w:rPr>
          <w:noProof/>
        </w:rPr>
        <w:drawing>
          <wp:inline distT="0" distB="0" distL="0" distR="0">
            <wp:extent cx="5943600" cy="5133975"/>
            <wp:effectExtent l="0" t="0" r="0"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943600" cy="5133975"/>
                    </a:xfrm>
                    <a:prstGeom prst="rect">
                      <a:avLst/>
                    </a:prstGeom>
                    <a:noFill/>
                    <a:ln>
                      <a:noFill/>
                    </a:ln>
                  </pic:spPr>
                </pic:pic>
              </a:graphicData>
            </a:graphic>
          </wp:inline>
        </w:drawing>
      </w:r>
    </w:p>
    <w:p w:rsidR="002A21AE" w:rsidRDefault="009F1B54">
      <w:pPr>
        <w:pStyle w:val="Heading2"/>
      </w:pPr>
      <w:r>
        <w:br w:type="page"/>
      </w:r>
      <w:bookmarkStart w:id="357" w:name="_Toc459900118"/>
      <w:r w:rsidR="002A21AE">
        <w:lastRenderedPageBreak/>
        <w:t>Maintain Unit Records</w:t>
      </w:r>
      <w:bookmarkEnd w:id="320"/>
      <w:bookmarkEnd w:id="357"/>
      <w:r w:rsidR="002A21AE">
        <w:fldChar w:fldCharType="begin"/>
      </w:r>
      <w:r w:rsidR="002A21AE">
        <w:instrText xml:space="preserve"> XE </w:instrText>
      </w:r>
      <w:r w:rsidR="00FA7E65">
        <w:instrText>“</w:instrText>
      </w:r>
      <w:r w:rsidR="002A21AE">
        <w:instrText>Maintain Unit Records</w:instrText>
      </w:r>
      <w:r w:rsidR="00FA7E65">
        <w:instrText>”</w:instrText>
      </w:r>
      <w:r w:rsidR="002A21AE">
        <w:instrText xml:space="preserve"> </w:instrText>
      </w:r>
      <w:r w:rsidR="002A21AE">
        <w:fldChar w:fldCharType="end"/>
      </w:r>
    </w:p>
    <w:p w:rsidR="002A21AE" w:rsidRDefault="002A21AE">
      <w:pPr>
        <w:pStyle w:val="Heading3"/>
        <w:jc w:val="both"/>
      </w:pPr>
      <w:bookmarkStart w:id="358" w:name="_Toc459900119"/>
      <w:r>
        <w:t>Edit Unit Information</w:t>
      </w:r>
      <w:bookmarkEnd w:id="358"/>
      <w:r w:rsidRPr="007716F7">
        <w:rPr>
          <w:vanish/>
        </w:rPr>
        <w:fldChar w:fldCharType="begin"/>
      </w:r>
      <w:r w:rsidRPr="007716F7">
        <w:rPr>
          <w:vanish/>
        </w:rPr>
        <w:instrText xml:space="preserve"> XE </w:instrText>
      </w:r>
      <w:r w:rsidR="00FA7E65" w:rsidRPr="007716F7">
        <w:rPr>
          <w:vanish/>
        </w:rPr>
        <w:instrText>“</w:instrText>
      </w:r>
      <w:r w:rsidRPr="007716F7">
        <w:rPr>
          <w:vanish/>
        </w:rPr>
        <w:instrText>Edit Unit Information</w:instrText>
      </w:r>
      <w:r w:rsidR="00FA7E65" w:rsidRPr="007716F7">
        <w:rPr>
          <w:vanish/>
        </w:rPr>
        <w:instrText>”</w:instrText>
      </w:r>
      <w:r w:rsidRPr="007716F7">
        <w:rPr>
          <w:vanish/>
        </w:rPr>
        <w:instrText xml:space="preserve"> </w:instrText>
      </w:r>
      <w:r w:rsidRPr="007716F7">
        <w:rPr>
          <w:vanish/>
        </w:rPr>
        <w:fldChar w:fldCharType="end"/>
      </w:r>
      <w:r w:rsidRPr="007716F7">
        <w:rPr>
          <w:vanish/>
        </w:rPr>
        <w:t xml:space="preserve"> UC_70</w:t>
      </w:r>
    </w:p>
    <w:p w:rsidR="002A21AE" w:rsidRDefault="002A21AE" w:rsidP="00FA7E65">
      <w:pPr>
        <w:pStyle w:val="BodyText"/>
      </w:pPr>
      <w:r>
        <w:t>The user may inactivate unit tests, correct a data entry error from login, and add information about the unit that was not recorded during login.</w:t>
      </w:r>
    </w:p>
    <w:p w:rsidR="002A21AE" w:rsidRDefault="002A21AE">
      <w:pPr>
        <w:pStyle w:val="Heading4"/>
      </w:pPr>
      <w:r>
        <w:t xml:space="preserve">Assumptions </w:t>
      </w:r>
    </w:p>
    <w:p w:rsidR="002A21AE" w:rsidRDefault="002A21AE">
      <w:pPr>
        <w:pStyle w:val="ListBullet"/>
      </w:pPr>
      <w:r>
        <w:t>The user is logged into the division that contains the unit record.</w:t>
      </w:r>
    </w:p>
    <w:p w:rsidR="002A21AE" w:rsidRDefault="002A21AE">
      <w:pPr>
        <w:pStyle w:val="ListBullet"/>
      </w:pPr>
      <w:r>
        <w:t xml:space="preserve">The connection to </w:t>
      </w:r>
      <w:r w:rsidR="00CA0045" w:rsidRPr="00CA0045">
        <w:rPr>
          <w:bCs/>
        </w:rPr>
        <w:t>VistA</w:t>
      </w:r>
      <w:r>
        <w:t xml:space="preserve"> is active.</w:t>
      </w:r>
    </w:p>
    <w:p w:rsidR="002A21AE" w:rsidRDefault="002A21AE">
      <w:pPr>
        <w:pStyle w:val="Heading4"/>
      </w:pPr>
      <w:r>
        <w:t xml:space="preserve">Outcome </w:t>
      </w:r>
    </w:p>
    <w:p w:rsidR="002A21AE" w:rsidRDefault="002A21AE">
      <w:pPr>
        <w:pStyle w:val="ListBullet"/>
      </w:pPr>
      <w:r>
        <w:t>The unit’s new or changed information was saved with its record.</w:t>
      </w:r>
    </w:p>
    <w:p w:rsidR="002A21AE" w:rsidRDefault="002A21AE">
      <w:pPr>
        <w:pStyle w:val="Heading4"/>
      </w:pPr>
      <w:r>
        <w:t>Limitations and Restrictions</w:t>
      </w:r>
    </w:p>
    <w:p w:rsidR="002A21AE" w:rsidRDefault="002A21AE">
      <w:pPr>
        <w:pStyle w:val="ListBullet"/>
      </w:pPr>
      <w:r>
        <w:t xml:space="preserve">The user may correct a limited amount of unit information. </w:t>
      </w:r>
    </w:p>
    <w:p w:rsidR="009129BC" w:rsidRDefault="009129BC">
      <w:pPr>
        <w:pStyle w:val="ListBullet"/>
      </w:pPr>
      <w:r>
        <w:t>VBECS does not limit the discarded plasma</w:t>
      </w:r>
      <w:r w:rsidR="0031442B">
        <w:t xml:space="preserve"> volume.</w:t>
      </w:r>
    </w:p>
    <w:p w:rsidR="002A21AE" w:rsidRDefault="006F51AC" w:rsidP="006F51AC">
      <w:pPr>
        <w:pStyle w:val="ListBullet"/>
      </w:pPr>
      <w:r>
        <w:rPr>
          <w:rFonts w:eastAsia="Arial Unicode MS"/>
        </w:rPr>
        <w:t>If errors are found in the unit</w:t>
      </w:r>
      <w:r w:rsidR="00D20331">
        <w:rPr>
          <w:rFonts w:eastAsia="Arial Unicode MS"/>
        </w:rPr>
        <w:t>’s</w:t>
      </w:r>
      <w:r>
        <w:rPr>
          <w:rFonts w:eastAsia="Arial Unicode MS"/>
        </w:rPr>
        <w:t xml:space="preserve"> product code</w:t>
      </w:r>
      <w:r w:rsidR="002A21AE">
        <w:t xml:space="preserve">, division </w:t>
      </w:r>
      <w:r>
        <w:t xml:space="preserve">or </w:t>
      </w:r>
      <w:r w:rsidR="002A21AE">
        <w:t xml:space="preserve">blood type at login, </w:t>
      </w:r>
      <w:r>
        <w:rPr>
          <w:rFonts w:eastAsia="Arial Unicode MS"/>
        </w:rPr>
        <w:t>supplier, or donation type, the user must inactivate the unit and reenter it correctly</w:t>
      </w:r>
      <w:r w:rsidR="002A21AE">
        <w:t>.</w:t>
      </w:r>
    </w:p>
    <w:p w:rsidR="002A21AE" w:rsidRDefault="002A21AE">
      <w:pPr>
        <w:pStyle w:val="ListBullet"/>
      </w:pPr>
      <w:r>
        <w:t xml:space="preserve">When a unit does not have a patient association, editable fields are available to an </w:t>
      </w:r>
      <w:r w:rsidR="008C4A72" w:rsidRPr="00EC7489">
        <w:rPr>
          <w:rFonts w:ascii="Wingdings 3" w:hAnsi="Wingdings 3" w:cs="Wingdings"/>
        </w:rPr>
        <w:t></w:t>
      </w:r>
      <w:r w:rsidR="008C4A72" w:rsidRPr="00EC7489">
        <w:rPr>
          <w:rFonts w:ascii="Wingdings 3" w:hAnsi="Wingdings 3" w:cs="Wingdings"/>
        </w:rPr>
        <w:t></w:t>
      </w:r>
      <w:r w:rsidR="008C4A72" w:rsidRPr="00AA7C58">
        <w:t xml:space="preserve"> </w:t>
      </w:r>
      <w:r>
        <w:t>Enhanced Technologist.</w:t>
      </w:r>
    </w:p>
    <w:p w:rsidR="002A21AE" w:rsidRDefault="002A21AE">
      <w:pPr>
        <w:pStyle w:val="ListBullet"/>
      </w:pPr>
      <w:r>
        <w:t>ABO/Rh confirmation and antigen type testing cannot be inactivated when the unit is in a final unit status.</w:t>
      </w:r>
    </w:p>
    <w:p w:rsidR="001970AB" w:rsidRPr="004F0095" w:rsidRDefault="001970AB">
      <w:pPr>
        <w:pStyle w:val="ListBullet"/>
        <w:rPr>
          <w:vanish/>
        </w:rPr>
      </w:pPr>
      <w:r>
        <w:t xml:space="preserve">A user can change the restricted to patient associated with a split unit when it is not assigned to the patient. </w:t>
      </w:r>
      <w:r w:rsidRPr="004F0095">
        <w:rPr>
          <w:vanish/>
        </w:rPr>
        <w:t>DR 2218</w:t>
      </w:r>
    </w:p>
    <w:p w:rsidR="002A21AE" w:rsidRDefault="002A21AE">
      <w:pPr>
        <w:pStyle w:val="Heading4"/>
      </w:pPr>
      <w:r>
        <w:t>Additional Information</w:t>
      </w:r>
      <w:r>
        <w:rPr>
          <w:rFonts w:ascii="Times New Roman" w:hAnsi="Times New Roman"/>
          <w:i/>
          <w:sz w:val="24"/>
        </w:rPr>
        <w:t xml:space="preserve"> </w:t>
      </w:r>
    </w:p>
    <w:p w:rsidR="002A21AE" w:rsidRDefault="002A21AE">
      <w:pPr>
        <w:pStyle w:val="ListBullet"/>
      </w:pPr>
      <w:r>
        <w:t>Units must be in “available” status to have information inactivated regardless of historic patient associations.</w:t>
      </w:r>
    </w:p>
    <w:p w:rsidR="002A21AE" w:rsidRDefault="002A21AE">
      <w:pPr>
        <w:pStyle w:val="ListBullet"/>
      </w:pPr>
      <w:r>
        <w:t>VBECS does not add corrected unit tests to the Pending Task List (PTL): the user simply repeats the unit test.</w:t>
      </w:r>
    </w:p>
    <w:p w:rsidR="002A21AE" w:rsidRDefault="002A21AE">
      <w:pPr>
        <w:pStyle w:val="ListBullet"/>
      </w:pPr>
      <w:r>
        <w:t>Crossmatches are considered a patient test and are inactivated in Invalidate Test Results.</w:t>
      </w:r>
    </w:p>
    <w:p w:rsidR="002A21AE" w:rsidRDefault="002A21AE">
      <w:pPr>
        <w:pStyle w:val="Heading4"/>
        <w:rPr>
          <w:b w:val="0"/>
        </w:rPr>
      </w:pPr>
      <w:r>
        <w:t>User Roles with Access to This Option</w:t>
      </w:r>
      <w:r>
        <w:rPr>
          <w:b w:val="0"/>
        </w:rPr>
        <w:t xml:space="preserve"> </w:t>
      </w:r>
    </w:p>
    <w:p w:rsidR="00DF36B1" w:rsidRDefault="00DF36B1" w:rsidP="00DF36B1">
      <w:pPr>
        <w:pStyle w:val="Roles"/>
        <w:rPr>
          <w:snapToGrid w:val="0"/>
        </w:rPr>
      </w:pPr>
      <w:r w:rsidRPr="00EC7489">
        <w:rPr>
          <w:rFonts w:ascii="Wingdings 3" w:hAnsi="Wingdings 3" w:cs="Wingdings"/>
        </w:rPr>
        <w:t></w:t>
      </w:r>
      <w:r w:rsidRPr="00EC7489">
        <w:rPr>
          <w:rFonts w:ascii="Wingdings 3" w:hAnsi="Wingdings 3" w:cs="Wingdings"/>
        </w:rPr>
        <w:t></w:t>
      </w:r>
      <w:r>
        <w:t xml:space="preserve"> Enhanced Technologist</w:t>
      </w:r>
      <w:r w:rsidR="002329E3">
        <w:t xml:space="preserve"> </w:t>
      </w:r>
      <w:r w:rsidR="002329E3" w:rsidRPr="002329E3">
        <w:rPr>
          <w:vanish/>
        </w:rPr>
        <w:t>DR 3,012</w:t>
      </w:r>
    </w:p>
    <w:p w:rsidR="002A21AE" w:rsidRDefault="002A21AE">
      <w:pPr>
        <w:pStyle w:val="Heading4"/>
      </w:pPr>
      <w:r>
        <w:t>Edit Unit Information</w:t>
      </w:r>
    </w:p>
    <w:p w:rsidR="002A21AE" w:rsidRDefault="002A21AE" w:rsidP="00FA7E65">
      <w:pPr>
        <w:pStyle w:val="BodyText"/>
      </w:pPr>
      <w:r>
        <w:t>The user records additional unit information normally recorded during incoming shipment (login), i.e., CMV negative, sickle cell negative, and antigen typing provided by the supplier.</w:t>
      </w:r>
    </w:p>
    <w:p w:rsidR="00DA53D3" w:rsidRPr="00DA53D3" w:rsidRDefault="00DA53D3" w:rsidP="00A87DA2">
      <w:pPr>
        <w:pStyle w:val="Caution"/>
      </w:pPr>
      <w:r>
        <w:t xml:space="preserve">To inactivate a unit, </w:t>
      </w:r>
      <w:r w:rsidR="00A87DA2">
        <w:t xml:space="preserve">remove the final status, return the unit from issue, and </w:t>
      </w:r>
      <w:r>
        <w:t>r</w:t>
      </w:r>
      <w:r w:rsidRPr="00DA53D3">
        <w:t xml:space="preserve">elease </w:t>
      </w:r>
      <w:r>
        <w:t>i</w:t>
      </w:r>
      <w:r w:rsidRPr="00DA53D3">
        <w:t xml:space="preserve">t from </w:t>
      </w:r>
      <w:r w:rsidR="00A87DA2">
        <w:t>previous assignment</w:t>
      </w:r>
      <w:r w:rsidRPr="00DA53D3">
        <w:t>.</w:t>
      </w:r>
      <w:r w:rsidR="00A87DA2">
        <w:t xml:space="preserve"> No changes may be made to units in a final status.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pPr>
              <w:pStyle w:val="TableTextNumbers"/>
            </w:pPr>
            <w:r>
              <w:t xml:space="preserve">Select </w:t>
            </w:r>
            <w:r>
              <w:rPr>
                <w:b/>
              </w:rPr>
              <w:t>Blood Units</w:t>
            </w:r>
            <w:r>
              <w:t xml:space="preserve"> from the main menu. </w:t>
            </w:r>
          </w:p>
          <w:p w:rsidR="002A21AE" w:rsidRDefault="002A21AE">
            <w:pPr>
              <w:pStyle w:val="TableTextNumbersContinued"/>
            </w:pPr>
          </w:p>
          <w:p w:rsidR="002A21AE" w:rsidRDefault="002A21AE">
            <w:pPr>
              <w:pStyle w:val="TableTextNumbersContinued"/>
            </w:pPr>
            <w:r>
              <w:t xml:space="preserve">Select </w:t>
            </w:r>
            <w:r>
              <w:rPr>
                <w:b/>
              </w:rPr>
              <w:t>Edit Unit Information</w:t>
            </w:r>
            <w:r>
              <w:t>.</w:t>
            </w:r>
          </w:p>
        </w:tc>
        <w:tc>
          <w:tcPr>
            <w:tcW w:w="6120" w:type="dxa"/>
          </w:tcPr>
          <w:p w:rsidR="002A21AE" w:rsidRDefault="002A21AE">
            <w:pPr>
              <w:pStyle w:val="TableTextBullet"/>
            </w:pPr>
            <w:r>
              <w:t>Displays options for processing blood units.</w:t>
            </w:r>
          </w:p>
          <w:p w:rsidR="002A21AE" w:rsidRDefault="002A21AE">
            <w:pPr>
              <w:pStyle w:val="TableTextBullet"/>
            </w:pPr>
            <w:r>
              <w:t>Displays options for selecting and editing a unit.</w:t>
            </w:r>
          </w:p>
        </w:tc>
      </w:tr>
      <w:tr w:rsidR="002A21AE">
        <w:tblPrEx>
          <w:tblCellMar>
            <w:top w:w="0" w:type="dxa"/>
            <w:bottom w:w="0" w:type="dxa"/>
          </w:tblCellMar>
        </w:tblPrEx>
        <w:tc>
          <w:tcPr>
            <w:tcW w:w="3240" w:type="dxa"/>
          </w:tcPr>
          <w:p w:rsidR="002A21AE" w:rsidRDefault="002A21AE">
            <w:pPr>
              <w:pStyle w:val="TableTextNumbers"/>
            </w:pPr>
            <w:r>
              <w:t xml:space="preserve">Scan or enter a unit ID and product code. May cancel and </w:t>
            </w:r>
            <w:r>
              <w:lastRenderedPageBreak/>
              <w:t>select a different unit.</w:t>
            </w:r>
          </w:p>
          <w:p w:rsidR="00B100F7" w:rsidRDefault="00B100F7" w:rsidP="00B100F7">
            <w:pPr>
              <w:pStyle w:val="TableTextNumbersContinued"/>
            </w:pPr>
          </w:p>
          <w:p w:rsidR="00B100F7" w:rsidRDefault="00B100F7" w:rsidP="00B100F7">
            <w:pPr>
              <w:pStyle w:val="TableTextNumbersContinued"/>
            </w:pPr>
            <w:r>
              <w:t xml:space="preserve">When the unit entered is in a final status, click </w:t>
            </w:r>
            <w:r w:rsidRPr="005B5E25">
              <w:rPr>
                <w:b/>
              </w:rPr>
              <w:t>Clear</w:t>
            </w:r>
            <w:r>
              <w:t xml:space="preserve"> to clear the </w:t>
            </w:r>
            <w:r w:rsidR="005B5E25">
              <w:t xml:space="preserve">Unit ID and Product </w:t>
            </w:r>
            <w:r>
              <w:t>field</w:t>
            </w:r>
            <w:r w:rsidR="005B5E25">
              <w:t>s</w:t>
            </w:r>
            <w:r>
              <w:t xml:space="preserve"> and enter </w:t>
            </w:r>
            <w:r w:rsidR="005B5E25">
              <w:t>another unit.</w:t>
            </w:r>
          </w:p>
        </w:tc>
        <w:tc>
          <w:tcPr>
            <w:tcW w:w="6120" w:type="dxa"/>
          </w:tcPr>
          <w:p w:rsidR="002A21AE" w:rsidRDefault="002A21AE">
            <w:pPr>
              <w:pStyle w:val="TableTextBullet"/>
            </w:pPr>
            <w:r>
              <w:lastRenderedPageBreak/>
              <w:t xml:space="preserve">Allows the user to scan or enter a unit ID and product code or select a </w:t>
            </w:r>
            <w:r>
              <w:lastRenderedPageBreak/>
              <w:t>unit.</w:t>
            </w:r>
          </w:p>
          <w:p w:rsidR="002A21AE" w:rsidRDefault="002A21AE">
            <w:pPr>
              <w:pStyle w:val="TableTextBullet"/>
            </w:pPr>
            <w:r>
              <w:t>Displays the editable unit information based on the user‘s security level.</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4953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62" name="Lin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1"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Dc&#10;Ki/4FgIAAC0EAAAOAAAAAAAAAAAAAAAAAC4CAABkcnMvZTJvRG9jLnhtbFBLAQItABQABgAIAAAA&#10;IQAXTzAS2wAAAAgBAAAPAAAAAAAAAAAAAAAAAHAEAABkcnMvZG93bnJldi54bWxQSwUGAAAAAAQA&#10;BADzAAAAeAUAAAAA&#10;" strokeweight="1.5pt"/>
                  </w:pict>
                </mc:Fallback>
              </mc:AlternateContent>
            </w:r>
            <w:r w:rsidR="002A21AE">
              <w:rPr>
                <w:b/>
                <w:bCs/>
                <w:szCs w:val="18"/>
              </w:rPr>
              <w:t>NOTES</w:t>
            </w:r>
          </w:p>
          <w:p w:rsidR="002A21AE" w:rsidRDefault="002A21AE">
            <w:pPr>
              <w:pStyle w:val="NotesText"/>
            </w:pPr>
          </w:p>
          <w:p w:rsidR="002A21AE" w:rsidRDefault="002A21AE">
            <w:pPr>
              <w:pStyle w:val="NotesText"/>
              <w:rPr>
                <w:rFonts w:cs="Arial"/>
              </w:rPr>
            </w:pPr>
            <w:r>
              <w:t>VBECS does not allow selection of a unit when</w:t>
            </w:r>
            <w:r>
              <w:rPr>
                <w:rFonts w:cs="Arial"/>
              </w:rPr>
              <w:t xml:space="preserve"> </w:t>
            </w:r>
            <w:r>
              <w:t>it:</w:t>
            </w:r>
          </w:p>
          <w:p w:rsidR="002A21AE" w:rsidRDefault="002A21AE">
            <w:pPr>
              <w:pStyle w:val="NotesTextBullet"/>
            </w:pPr>
            <w:r>
              <w:rPr>
                <w:rFonts w:cs="Arial"/>
                <w:vanish/>
              </w:rPr>
              <w:t xml:space="preserve">BR_70.03 </w:t>
            </w:r>
            <w:r>
              <w:t>Is currently assigned to a patient.</w:t>
            </w:r>
          </w:p>
          <w:p w:rsidR="002A21AE" w:rsidRDefault="002A21AE">
            <w:pPr>
              <w:pStyle w:val="NotesTextBullet"/>
            </w:pPr>
            <w:r>
              <w:rPr>
                <w:rFonts w:cs="Arial"/>
                <w:vanish/>
              </w:rPr>
              <w:t xml:space="preserve">BR_70.06 </w:t>
            </w:r>
            <w:r>
              <w:t>Has a final unit status.</w:t>
            </w:r>
          </w:p>
          <w:p w:rsidR="002A21AE" w:rsidRDefault="002A21AE">
            <w:pPr>
              <w:pStyle w:val="NotesTextBullet"/>
              <w:rPr>
                <w:rFonts w:cs="Arial"/>
              </w:rPr>
            </w:pPr>
            <w:r>
              <w:rPr>
                <w:rFonts w:cs="Arial"/>
                <w:vanish/>
              </w:rPr>
              <w:t xml:space="preserve">BR_70.07 </w:t>
            </w:r>
            <w:r>
              <w:t>Has a previous patient assignment record and the user is a Lead</w:t>
            </w:r>
            <w:r w:rsidR="00DF36B1">
              <w:t xml:space="preserve"> or </w:t>
            </w:r>
            <w:r w:rsidR="00BF0467">
              <w:t>Enhanced</w:t>
            </w:r>
            <w:r>
              <w:t xml:space="preserve"> Technologist.</w:t>
            </w:r>
            <w:r w:rsidR="002329E3">
              <w:t xml:space="preserve"> </w:t>
            </w:r>
            <w:r w:rsidR="002329E3" w:rsidRPr="002329E3">
              <w:rPr>
                <w:vanish/>
              </w:rPr>
              <w:t>DR 3,012</w:t>
            </w:r>
          </w:p>
          <w:p w:rsidR="002A21AE" w:rsidRDefault="002A21AE">
            <w:pPr>
              <w:pStyle w:val="NotesText"/>
            </w:pPr>
          </w:p>
          <w:p w:rsidR="002A21AE" w:rsidRDefault="002A21AE">
            <w:pPr>
              <w:pStyle w:val="NotesText"/>
              <w:rPr>
                <w:rFonts w:cs="Arial"/>
              </w:rPr>
            </w:pPr>
            <w:r>
              <w:t>There is no override. VBECS clears the screen and allows the user to select a new unit.</w:t>
            </w:r>
          </w:p>
        </w:tc>
      </w:tr>
      <w:tr w:rsidR="002A21AE">
        <w:tblPrEx>
          <w:tblCellMar>
            <w:top w:w="0" w:type="dxa"/>
            <w:bottom w:w="0" w:type="dxa"/>
          </w:tblCellMar>
        </w:tblPrEx>
        <w:tc>
          <w:tcPr>
            <w:tcW w:w="3240" w:type="dxa"/>
          </w:tcPr>
          <w:p w:rsidR="00152B83" w:rsidRDefault="002A21AE">
            <w:pPr>
              <w:pStyle w:val="TableTextNumbers"/>
            </w:pPr>
            <w:r>
              <w:lastRenderedPageBreak/>
              <w:t>Review and enter or edit the data</w:t>
            </w:r>
            <w:r w:rsidR="000A3D88">
              <w:t xml:space="preserve"> (</w:t>
            </w:r>
            <w:r w:rsidR="000A3D88">
              <w:fldChar w:fldCharType="begin"/>
            </w:r>
            <w:r w:rsidR="000A3D88">
              <w:instrText xml:space="preserve"> REF _Ref126651737 \h </w:instrText>
            </w:r>
            <w:r w:rsidR="000A3D88">
              <w:fldChar w:fldCharType="separate"/>
            </w:r>
            <w:r w:rsidR="005F38BC">
              <w:t xml:space="preserve">Figure </w:t>
            </w:r>
            <w:r w:rsidR="005F38BC">
              <w:rPr>
                <w:noProof/>
              </w:rPr>
              <w:t>88</w:t>
            </w:r>
            <w:r w:rsidR="000A3D88">
              <w:fldChar w:fldCharType="end"/>
            </w:r>
            <w:r w:rsidR="000A3D88">
              <w:t>)</w:t>
            </w:r>
            <w:r>
              <w:t xml:space="preserve">, </w:t>
            </w:r>
          </w:p>
          <w:p w:rsidR="00152B83" w:rsidRDefault="00152B83" w:rsidP="00152B83">
            <w:pPr>
              <w:pStyle w:val="TableTextNumbersContinued"/>
            </w:pPr>
          </w:p>
          <w:p w:rsidR="002A21AE" w:rsidRDefault="002A21AE" w:rsidP="00152B83">
            <w:pPr>
              <w:pStyle w:val="TableTextNumbersContinued"/>
            </w:pPr>
            <w:r>
              <w:t>or</w:t>
            </w:r>
          </w:p>
          <w:p w:rsidR="002A21AE" w:rsidRDefault="002A21AE" w:rsidP="00152B83">
            <w:pPr>
              <w:pStyle w:val="TableTextNumbersContinued"/>
            </w:pPr>
          </w:p>
          <w:p w:rsidR="002A21AE" w:rsidRDefault="009B557A">
            <w:pPr>
              <w:pStyle w:val="TableTextNumbersContinued"/>
            </w:pPr>
            <w:r>
              <w:t>Go to Inactivate</w:t>
            </w:r>
            <w:r w:rsidR="002A21AE">
              <w:t xml:space="preserve"> a Unit.</w:t>
            </w:r>
          </w:p>
        </w:tc>
        <w:tc>
          <w:tcPr>
            <w:tcW w:w="6120" w:type="dxa"/>
          </w:tcPr>
          <w:p w:rsidR="002A21AE" w:rsidRDefault="002A21AE">
            <w:pPr>
              <w:pStyle w:val="TableTextBullet"/>
            </w:pPr>
            <w:r>
              <w:t xml:space="preserve">Displays tabs to select and edit: </w:t>
            </w:r>
          </w:p>
          <w:p w:rsidR="002A21AE" w:rsidRDefault="002A21AE">
            <w:pPr>
              <w:pStyle w:val="TableTextBullet1"/>
            </w:pPr>
            <w:r>
              <w:t xml:space="preserve">Unit information </w:t>
            </w:r>
          </w:p>
          <w:p w:rsidR="002A21AE" w:rsidRDefault="002A21AE">
            <w:pPr>
              <w:pStyle w:val="TableTextBullet1"/>
            </w:pPr>
            <w:r>
              <w:t xml:space="preserve">Unit ABO/Rh confirmation </w:t>
            </w:r>
          </w:p>
          <w:p w:rsidR="002A21AE" w:rsidRDefault="002A21AE">
            <w:pPr>
              <w:pStyle w:val="TableTextBullet1"/>
            </w:pPr>
            <w:r>
              <w:t xml:space="preserve">Antigen typing </w:t>
            </w:r>
          </w:p>
          <w:p w:rsidR="002A21AE" w:rsidRDefault="002A21AE">
            <w:pPr>
              <w:pStyle w:val="TableTextBullet"/>
            </w:pPr>
            <w:r>
              <w:t xml:space="preserve">Displays fields to add or inactivate unit information and an option to inactivate a unit based on the condition of the unit and the user’s security </w:t>
            </w:r>
            <w:r w:rsidR="00082F78">
              <w:t>level</w:t>
            </w:r>
            <w:r>
              <w:t>.</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4646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61" name="Line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8"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5UfFQIAAC0EAAAOAAAAZHJzL2Uyb0RvYy54bWysU8GO2yAQvVfqPyDuie2sN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BOv&#10;lR8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BR_70.20 </w:t>
            </w:r>
            <w:r>
              <w:t>The user may add data to a field with no previous entry.</w:t>
            </w:r>
          </w:p>
          <w:p w:rsidR="002A21AE" w:rsidRDefault="002A21AE">
            <w:pPr>
              <w:pStyle w:val="NotesText"/>
            </w:pPr>
          </w:p>
          <w:p w:rsidR="00EB5D2F" w:rsidRPr="00EB5D2F" w:rsidRDefault="00EB5D2F">
            <w:pPr>
              <w:pStyle w:val="NotesText"/>
              <w:rPr>
                <w:rFonts w:cs="Arial"/>
              </w:rPr>
            </w:pPr>
            <w:r w:rsidRPr="00EB5D2F">
              <w:rPr>
                <w:rFonts w:cs="Arial"/>
              </w:rPr>
              <w:t>Users may edit unit volume, add special testing and RBC antigens, mark a unit biohazardous, and change the patient restriction.</w:t>
            </w:r>
            <w:r>
              <w:rPr>
                <w:rFonts w:cs="Arial"/>
                <w:vanish/>
              </w:rPr>
              <w:t xml:space="preserve"> Task 1320</w:t>
            </w:r>
          </w:p>
          <w:p w:rsidR="00EB5D2F" w:rsidRPr="00EB5D2F" w:rsidRDefault="00EB5D2F">
            <w:pPr>
              <w:pStyle w:val="NotesText"/>
              <w:rPr>
                <w:rFonts w:cs="Arial"/>
              </w:rPr>
            </w:pPr>
          </w:p>
          <w:p w:rsidR="002A21AE" w:rsidRDefault="002A21AE">
            <w:pPr>
              <w:pStyle w:val="NotesText"/>
            </w:pPr>
            <w:r>
              <w:rPr>
                <w:rFonts w:cs="Arial"/>
                <w:vanish/>
              </w:rPr>
              <w:t xml:space="preserve">BR_1.53 </w:t>
            </w:r>
            <w:r w:rsidR="00C153F2">
              <w:t>When a blood product code in the RED BLOOD CELLS, WHOLE BLOOD, or APHERESIS RED BLOOD CELLS ICCBBA component class is entered, VBECS enables data entry of sickle cell negative and antigen typing. The CMV negative data entry option is always enabled.</w:t>
            </w:r>
          </w:p>
          <w:p w:rsidR="002A21AE" w:rsidRDefault="002A21AE">
            <w:pPr>
              <w:pStyle w:val="NotesText"/>
            </w:pPr>
          </w:p>
          <w:p w:rsidR="002A21AE" w:rsidRDefault="002A21AE">
            <w:pPr>
              <w:pStyle w:val="NotesText"/>
            </w:pPr>
            <w:r>
              <w:rPr>
                <w:rFonts w:cs="Arial"/>
                <w:vanish/>
              </w:rPr>
              <w:t xml:space="preserve">BR_1.45 </w:t>
            </w:r>
            <w:r>
              <w:t xml:space="preserve">An antigen type may be positive or negative for any antigen listed as a VBECS corresponding antigen in </w:t>
            </w:r>
            <w:r w:rsidR="00543DAF">
              <w:fldChar w:fldCharType="begin"/>
            </w:r>
            <w:r w:rsidR="00543DAF">
              <w:instrText xml:space="preserve"> REF _Ref170004931 \h </w:instrText>
            </w:r>
            <w:r w:rsidR="00543DAF">
              <w:fldChar w:fldCharType="separate"/>
            </w:r>
            <w:r w:rsidR="005F38BC">
              <w:t xml:space="preserve">Appendix </w:t>
            </w:r>
            <w:r w:rsidR="005F38BC">
              <w:rPr>
                <w:noProof/>
              </w:rPr>
              <w:t>B</w:t>
            </w:r>
            <w:r w:rsidR="00543DAF">
              <w:fldChar w:fldCharType="end"/>
            </w:r>
            <w:r>
              <w:t xml:space="preserve">: </w:t>
            </w:r>
            <w:r w:rsidR="00771DBD">
              <w:fldChar w:fldCharType="begin"/>
            </w:r>
            <w:r w:rsidR="00771DBD">
              <w:instrText xml:space="preserve"> REF _Ref126484449 \h </w:instrText>
            </w:r>
            <w:r w:rsidR="00771DBD">
              <w:fldChar w:fldCharType="separate"/>
            </w:r>
            <w:r w:rsidR="005F38BC">
              <w:t xml:space="preserve">Table </w:t>
            </w:r>
            <w:r w:rsidR="005F38BC">
              <w:rPr>
                <w:noProof/>
              </w:rPr>
              <w:t>14</w:t>
            </w:r>
            <w:r w:rsidR="005F38BC">
              <w:t xml:space="preserve">: </w:t>
            </w:r>
            <w:r w:rsidR="005F38BC">
              <w:rPr>
                <w:vanish/>
              </w:rPr>
              <w:t xml:space="preserve">TT_23.01A </w:t>
            </w:r>
            <w:r w:rsidR="005F38BC">
              <w:t>Antibody and Antigen Table: Irregular Antibodies</w:t>
            </w:r>
            <w:r w:rsidR="00771DBD">
              <w:fldChar w:fldCharType="end"/>
            </w:r>
            <w:r>
              <w:t>. An antigen may not be positive and negative for the same unit.</w:t>
            </w:r>
          </w:p>
          <w:p w:rsidR="002A21AE" w:rsidRDefault="002A21AE">
            <w:pPr>
              <w:pStyle w:val="NotesText"/>
              <w:rPr>
                <w:rFonts w:cs="Arial"/>
              </w:rPr>
            </w:pPr>
          </w:p>
          <w:p w:rsidR="002A21AE" w:rsidRDefault="002A21AE">
            <w:pPr>
              <w:pStyle w:val="NotesText"/>
              <w:rPr>
                <w:rFonts w:cs="Arial"/>
              </w:rPr>
            </w:pPr>
            <w:r>
              <w:rPr>
                <w:rFonts w:cs="Arial"/>
                <w:vanish/>
              </w:rPr>
              <w:t xml:space="preserve">BR_70.01 </w:t>
            </w:r>
            <w:r>
              <w:t>Only unit antigen type results originally entered through Incoming Shipment are available for invalidation. The user must invalidate unit antigen type results originally entered through Unit Antigen Typing by selecting Inactivate Unit Testing.</w:t>
            </w:r>
          </w:p>
          <w:p w:rsidR="002A21AE" w:rsidRDefault="002A21AE">
            <w:pPr>
              <w:pStyle w:val="NotesText"/>
            </w:pPr>
          </w:p>
          <w:p w:rsidR="002A21AE" w:rsidRDefault="004E0E40">
            <w:pPr>
              <w:pStyle w:val="NotesText"/>
            </w:pPr>
            <w:r>
              <w:rPr>
                <w:rFonts w:cs="Arial"/>
                <w:vanish/>
              </w:rPr>
              <w:t>BR_41.12</w:t>
            </w:r>
            <w:r w:rsidRPr="004E0E40">
              <w:rPr>
                <w:rFonts w:cs="Arial"/>
                <w:vanish/>
                <w:szCs w:val="18"/>
              </w:rPr>
              <w:t xml:space="preserve"> </w:t>
            </w:r>
            <w:r w:rsidR="00A33DDA">
              <w:t xml:space="preserve">VBECS compares the antigen typing interpretation a user enters to previously assigned antigen typings for the same antigen (as assigned during Incoming Shipment, Edit Unit Information, or previous testing). When the previous interpretation was not “inconclusive” and the current interpretation does not match the previously identified antigen type, VBECS warns the user and quarantines the </w:t>
            </w:r>
            <w:r w:rsidR="00A10483">
              <w:t>unit. The</w:t>
            </w:r>
            <w:r w:rsidR="002A21AE">
              <w:t xml:space="preserve"> user may edit the discarded plasma volume only for units with previously reduced volume</w:t>
            </w:r>
            <w:r w:rsidR="0007268D">
              <w:t>.</w:t>
            </w:r>
          </w:p>
          <w:p w:rsidR="002A21AE" w:rsidRDefault="002A21AE">
            <w:pPr>
              <w:pStyle w:val="NotesText"/>
            </w:pPr>
          </w:p>
          <w:p w:rsidR="002A21AE" w:rsidRDefault="002A21AE">
            <w:pPr>
              <w:pStyle w:val="NotesText"/>
              <w:rPr>
                <w:rFonts w:cs="Arial"/>
              </w:rPr>
            </w:pPr>
            <w:r>
              <w:rPr>
                <w:rFonts w:cs="Arial"/>
                <w:vanish/>
              </w:rPr>
              <w:t xml:space="preserve">BR_70.14 </w:t>
            </w:r>
            <w:r>
              <w:t xml:space="preserve">VBECS restricts the editing of disease marker testing to autologous units. </w:t>
            </w:r>
          </w:p>
          <w:p w:rsidR="002A21AE" w:rsidRDefault="002A21AE">
            <w:pPr>
              <w:pStyle w:val="NotesText"/>
              <w:rPr>
                <w:rFonts w:cs="Arial"/>
              </w:rPr>
            </w:pPr>
          </w:p>
          <w:p w:rsidR="002A21AE" w:rsidRDefault="002A21AE">
            <w:pPr>
              <w:pStyle w:val="NotesText"/>
            </w:pPr>
            <w:r>
              <w:rPr>
                <w:rFonts w:cs="Arial"/>
                <w:vanish/>
              </w:rPr>
              <w:lastRenderedPageBreak/>
              <w:t xml:space="preserve">BR_70.16 </w:t>
            </w:r>
            <w:r>
              <w:t>When the user changes the disease marker testing to “POS” or “NFT</w:t>
            </w:r>
            <w:r w:rsidR="002326F7">
              <w:t xml:space="preserve"> (not fully tested)</w:t>
            </w:r>
            <w:r>
              <w:t>,” VBECS enables the biohazard indicator.</w:t>
            </w:r>
          </w:p>
          <w:p w:rsidR="002A21AE" w:rsidRDefault="002A21AE">
            <w:pPr>
              <w:pStyle w:val="NotesText"/>
            </w:pPr>
          </w:p>
          <w:p w:rsidR="002A21AE" w:rsidRDefault="002A21AE">
            <w:pPr>
              <w:pStyle w:val="NotesText"/>
            </w:pPr>
            <w:r>
              <w:rPr>
                <w:rFonts w:cs="Arial"/>
                <w:vanish/>
              </w:rPr>
              <w:t xml:space="preserve">BR_12.13 </w:t>
            </w:r>
            <w:r>
              <w:t>The user may not clear the biohazard indicator for a unit when:</w:t>
            </w:r>
          </w:p>
          <w:p w:rsidR="002A21AE" w:rsidRDefault="002A21AE">
            <w:pPr>
              <w:pStyle w:val="NotesTextBullet"/>
            </w:pPr>
            <w:r>
              <w:t>The disease marker testing is POS or NFT,</w:t>
            </w:r>
          </w:p>
          <w:p w:rsidR="002A21AE" w:rsidRDefault="002A21AE">
            <w:pPr>
              <w:pStyle w:val="NotesTextBullet"/>
            </w:pPr>
            <w:r>
              <w:t xml:space="preserve">The ISBT 128 Donation Type codes are </w:t>
            </w:r>
            <w:r w:rsidR="00FA7E65">
              <w:t>“</w:t>
            </w:r>
            <w:r>
              <w:t>X, For Autologous Use Only, Biohazardous</w:t>
            </w:r>
            <w:r w:rsidR="00FA7E65">
              <w:t>”</w:t>
            </w:r>
            <w:r>
              <w:t xml:space="preserve"> or </w:t>
            </w:r>
            <w:r w:rsidR="00FA7E65">
              <w:t>“</w:t>
            </w:r>
            <w:r>
              <w:t>3, For Directed Donor Use Only, Biohazardous,</w:t>
            </w:r>
            <w:r w:rsidR="00FA7E65">
              <w:t>”</w:t>
            </w:r>
            <w:r>
              <w:t xml:space="preserve"> or</w:t>
            </w:r>
          </w:p>
          <w:p w:rsidR="002A21AE" w:rsidRDefault="002A21AE">
            <w:pPr>
              <w:pStyle w:val="NotesTextBullet"/>
            </w:pPr>
            <w:r>
              <w:t>The unit is quarantined.</w:t>
            </w:r>
          </w:p>
          <w:p w:rsidR="002A21AE" w:rsidRDefault="002A21AE">
            <w:pPr>
              <w:pStyle w:val="NotesText"/>
              <w:ind w:left="0"/>
              <w:rPr>
                <w:rFonts w:cs="Arial"/>
              </w:rPr>
            </w:pPr>
          </w:p>
          <w:p w:rsidR="002A21AE" w:rsidRDefault="002A21AE">
            <w:pPr>
              <w:pStyle w:val="NotesText"/>
              <w:rPr>
                <w:rFonts w:cs="Arial"/>
              </w:rPr>
            </w:pPr>
            <w:r>
              <w:rPr>
                <w:rFonts w:cs="Arial"/>
                <w:vanish/>
              </w:rPr>
              <w:t xml:space="preserve">BR_70.02 </w:t>
            </w:r>
            <w:r>
              <w:t>When editing the “restricted for” patient name for a unit, the user may change the name of a restricted patient but may not save the transaction without a new patient name for the restriction.</w:t>
            </w:r>
          </w:p>
          <w:p w:rsidR="002A21AE" w:rsidRDefault="002A21AE">
            <w:pPr>
              <w:pStyle w:val="NotesText"/>
              <w:rPr>
                <w:rFonts w:cs="Arial"/>
              </w:rPr>
            </w:pPr>
          </w:p>
          <w:p w:rsidR="002A21AE" w:rsidRDefault="002A21AE">
            <w:pPr>
              <w:pStyle w:val="NotesText"/>
            </w:pPr>
            <w:r>
              <w:rPr>
                <w:rFonts w:cs="Arial"/>
                <w:vanish/>
              </w:rPr>
              <w:t xml:space="preserve">BR_70.10 </w:t>
            </w:r>
            <w:r>
              <w:t xml:space="preserve">When the user restricts a unit to a patient, the patient ID is the primary identifier of the intended recipient. When VBECS searches the </w:t>
            </w:r>
            <w:r w:rsidR="00CA0045" w:rsidRPr="00CA0045">
              <w:rPr>
                <w:bCs/>
              </w:rPr>
              <w:t>VistA</w:t>
            </w:r>
            <w:r>
              <w:t xml:space="preserve"> PATIENT File (#2) and finds a match, it populates the VBECS database with the selected patient name. When the intended recipient is not in the </w:t>
            </w:r>
            <w:r w:rsidR="00CA0045" w:rsidRPr="00CA0045">
              <w:rPr>
                <w:bCs/>
              </w:rPr>
              <w:t>VistA</w:t>
            </w:r>
            <w:r>
              <w:t xml:space="preserve"> database, VBECS </w:t>
            </w:r>
            <w:r w:rsidR="009E40D9">
              <w:t>warns</w:t>
            </w:r>
            <w:r>
              <w:t xml:space="preserve"> the user</w:t>
            </w:r>
            <w:r w:rsidR="009E40D9">
              <w:t>, clears the screen, and does not allow the unit to be further processed</w:t>
            </w:r>
            <w:r>
              <w:t xml:space="preserve">. </w:t>
            </w:r>
          </w:p>
          <w:p w:rsidR="002A21AE" w:rsidRDefault="002A21AE">
            <w:pPr>
              <w:pStyle w:val="NotesText"/>
            </w:pPr>
          </w:p>
          <w:p w:rsidR="002A21AE" w:rsidRDefault="002A21AE">
            <w:pPr>
              <w:pStyle w:val="NotesText"/>
            </w:pPr>
            <w:r>
              <w:rPr>
                <w:rFonts w:cs="Arial"/>
                <w:vanish/>
              </w:rPr>
              <w:t xml:space="preserve">BR_70.08 </w:t>
            </w:r>
            <w:r w:rsidRPr="00EC7489">
              <w:rPr>
                <w:rFonts w:ascii="Wingdings 3" w:hAnsi="Wingdings 3" w:cs="Wingdings"/>
              </w:rPr>
              <w:t></w:t>
            </w:r>
            <w:r w:rsidRPr="00EC7489">
              <w:rPr>
                <w:rFonts w:ascii="Wingdings 3" w:hAnsi="Wingdings 3" w:cs="Wingdings"/>
              </w:rPr>
              <w:t></w:t>
            </w:r>
            <w:r>
              <w:t xml:space="preserve"> The Enhanced Technologist may edit items associated with a unit and add the new data to the unit. VBECS displays only the latest entry for these fields to the Enhanced Technologist before the unit has any patient associations.</w:t>
            </w:r>
          </w:p>
          <w:p w:rsidR="002A21AE" w:rsidRPr="00EC7489" w:rsidRDefault="002A21AE">
            <w:pPr>
              <w:pStyle w:val="NotesText"/>
              <w:rPr>
                <w:rFonts w:ascii="Wingdings 3" w:hAnsi="Wingdings 3" w:cs="Wingdings"/>
              </w:rPr>
            </w:pPr>
          </w:p>
          <w:p w:rsidR="002A21AE" w:rsidRDefault="002A21AE">
            <w:pPr>
              <w:pStyle w:val="NotesText"/>
              <w:rPr>
                <w:rFonts w:ascii="Times New Roman" w:hAnsi="Times New Roman"/>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The Traditional Supervisor may edit items associated with a unit and add the new data when the unit has a history of patient associations.</w:t>
            </w:r>
          </w:p>
        </w:tc>
      </w:tr>
      <w:tr w:rsidR="002A21AE">
        <w:tblPrEx>
          <w:tblCellMar>
            <w:top w:w="0" w:type="dxa"/>
            <w:bottom w:w="0" w:type="dxa"/>
          </w:tblCellMar>
        </w:tblPrEx>
        <w:tc>
          <w:tcPr>
            <w:tcW w:w="3240" w:type="dxa"/>
          </w:tcPr>
          <w:p w:rsidR="002A21AE" w:rsidRDefault="002A21AE">
            <w:pPr>
              <w:pStyle w:val="TableTextNumbers"/>
            </w:pPr>
            <w:r>
              <w:lastRenderedPageBreak/>
              <w:t>Select a test for inactivation</w:t>
            </w:r>
            <w:r w:rsidR="000A3D88">
              <w:t xml:space="preserve"> (</w:t>
            </w:r>
            <w:r w:rsidR="000A3D88">
              <w:fldChar w:fldCharType="begin"/>
            </w:r>
            <w:r w:rsidR="000A3D88">
              <w:instrText xml:space="preserve"> REF _Ref126651913 \h </w:instrText>
            </w:r>
            <w:r w:rsidR="000A3D88">
              <w:fldChar w:fldCharType="separate"/>
            </w:r>
            <w:r w:rsidR="005F38BC">
              <w:t xml:space="preserve">Figure </w:t>
            </w:r>
            <w:r w:rsidR="005F38BC">
              <w:rPr>
                <w:noProof/>
              </w:rPr>
              <w:t>89</w:t>
            </w:r>
            <w:r w:rsidR="000A3D88">
              <w:fldChar w:fldCharType="end"/>
            </w:r>
            <w:r w:rsidR="000A3D88">
              <w:t>)</w:t>
            </w:r>
            <w:r>
              <w:t>.</w:t>
            </w:r>
          </w:p>
        </w:tc>
        <w:tc>
          <w:tcPr>
            <w:tcW w:w="6120" w:type="dxa"/>
          </w:tcPr>
          <w:p w:rsidR="002A21AE" w:rsidRDefault="002A21AE">
            <w:pPr>
              <w:pStyle w:val="TableTextBullet"/>
              <w:tabs>
                <w:tab w:val="num" w:pos="360"/>
              </w:tabs>
            </w:pPr>
            <w:r>
              <w:t>Displays the previously recorded results for the selected test.</w:t>
            </w:r>
          </w:p>
          <w:p w:rsidR="002A21AE" w:rsidRDefault="002A21AE">
            <w:pPr>
              <w:pStyle w:val="TableTextBullet"/>
              <w:tabs>
                <w:tab w:val="num" w:pos="360"/>
              </w:tabs>
            </w:pPr>
            <w:r>
              <w:t>Requires a comment to process the inactivation.</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4748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60" name="Lin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9"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MNb&#10;Apk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BR_94.06 </w:t>
            </w:r>
            <w:r>
              <w:t>The user may view, not edit, previously entered serologic results and interpretations.</w:t>
            </w:r>
          </w:p>
          <w:p w:rsidR="002A21AE" w:rsidRDefault="002A21AE">
            <w:pPr>
              <w:pStyle w:val="NotesText"/>
              <w:rPr>
                <w:rFonts w:cs="Arial"/>
              </w:rPr>
            </w:pPr>
          </w:p>
          <w:p w:rsidR="002A21AE" w:rsidRDefault="002A21AE">
            <w:pPr>
              <w:pStyle w:val="NotesText"/>
              <w:rPr>
                <w:rFonts w:cs="Arial"/>
              </w:rPr>
            </w:pPr>
            <w:r>
              <w:rPr>
                <w:rFonts w:cs="Arial"/>
                <w:vanish/>
              </w:rPr>
              <w:t xml:space="preserve">BR_70.04 </w:t>
            </w:r>
            <w:r>
              <w:t xml:space="preserve">When the user selects the unit antigen typing test, VBECS displays antigen typing reagent types and interpretations </w:t>
            </w:r>
            <w:r w:rsidR="00765FF5">
              <w:t>available for invalidation at the user’s division. Inherited testing is not available for invalidation</w:t>
            </w:r>
            <w:r>
              <w:t>.</w:t>
            </w:r>
          </w:p>
          <w:p w:rsidR="002A21AE" w:rsidRDefault="002A21AE">
            <w:pPr>
              <w:pStyle w:val="NotesText"/>
              <w:rPr>
                <w:rFonts w:cs="Arial"/>
              </w:rPr>
            </w:pPr>
          </w:p>
          <w:p w:rsidR="00C868B9" w:rsidRDefault="002A21AE" w:rsidP="00C868B9">
            <w:pPr>
              <w:pStyle w:val="NotesText"/>
            </w:pPr>
            <w:r>
              <w:rPr>
                <w:rFonts w:cs="Arial"/>
                <w:vanish/>
              </w:rPr>
              <w:t xml:space="preserve">BR_70.05 </w:t>
            </w:r>
            <w:r>
              <w:t xml:space="preserve">When the user selects the ABO/Rh confirmation test, VBECS displays the unit confirmation test </w:t>
            </w:r>
            <w:r w:rsidR="004C1CD0">
              <w:t xml:space="preserve">interpretations available for invalidation at the user’s division. </w:t>
            </w:r>
          </w:p>
          <w:p w:rsidR="002A21AE" w:rsidRDefault="002A21AE">
            <w:pPr>
              <w:pStyle w:val="NotesText"/>
            </w:pPr>
          </w:p>
          <w:p w:rsidR="002A21AE" w:rsidRDefault="002A21AE">
            <w:pPr>
              <w:pStyle w:val="NotesText"/>
              <w:rPr>
                <w:rFonts w:cs="Arial"/>
              </w:rPr>
            </w:pPr>
            <w:r>
              <w:rPr>
                <w:rFonts w:cs="Arial"/>
                <w:vanish/>
              </w:rPr>
              <w:t xml:space="preserve">BR_70.21 </w:t>
            </w:r>
            <w:r>
              <w:t>When a selected unit has current valid tests or XMs, VBECS warns the user and does not allow him to inactivate the unit. There is no override.</w:t>
            </w:r>
          </w:p>
        </w:tc>
      </w:tr>
      <w:tr w:rsidR="002A21AE">
        <w:tblPrEx>
          <w:tblCellMar>
            <w:top w:w="0" w:type="dxa"/>
            <w:bottom w:w="0" w:type="dxa"/>
          </w:tblCellMar>
        </w:tblPrEx>
        <w:tc>
          <w:tcPr>
            <w:tcW w:w="3240" w:type="dxa"/>
          </w:tcPr>
          <w:p w:rsidR="002A21AE" w:rsidRDefault="002A21AE">
            <w:pPr>
              <w:pStyle w:val="TableTextNumbers"/>
            </w:pPr>
            <w:r>
              <w:t xml:space="preserve">Verify the test to be inactivated and enter a comment. </w:t>
            </w:r>
          </w:p>
          <w:p w:rsidR="002A21AE" w:rsidRDefault="002A21AE">
            <w:pPr>
              <w:pStyle w:val="TableTextNumbersContinued"/>
            </w:pPr>
          </w:p>
          <w:p w:rsidR="002A21AE" w:rsidRDefault="002A21AE">
            <w:pPr>
              <w:pStyle w:val="TableTextNumbersContinued"/>
            </w:pPr>
            <w:r>
              <w:t xml:space="preserve">Click </w:t>
            </w:r>
            <w:r>
              <w:rPr>
                <w:b/>
              </w:rPr>
              <w:t>OK</w:t>
            </w:r>
            <w:r>
              <w:t xml:space="preserve"> to confirm and exit.</w:t>
            </w:r>
          </w:p>
        </w:tc>
        <w:tc>
          <w:tcPr>
            <w:tcW w:w="6120" w:type="dxa"/>
          </w:tcPr>
          <w:p w:rsidR="002A21AE" w:rsidRDefault="002A21AE">
            <w:pPr>
              <w:pStyle w:val="TableTextBullet"/>
              <w:tabs>
                <w:tab w:val="num" w:pos="360"/>
              </w:tabs>
            </w:pPr>
            <w:r>
              <w:t>Displays “Test Result Invalidated” in the unit record for the selected test.</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4851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59" name="Lin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0"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EHTFQIAAC0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DHw&#10;QdM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BR_70.25 </w:t>
            </w:r>
            <w:r>
              <w:t xml:space="preserve">When the last ABO/Rh confirmation testing is invalidated, VBECS returns the unit to a limited status and requires an ABO/Rh confirmation test according to the component class </w:t>
            </w:r>
            <w:r>
              <w:lastRenderedPageBreak/>
              <w:t>setting in Component Classes.</w:t>
            </w:r>
          </w:p>
          <w:p w:rsidR="002A21AE" w:rsidRDefault="002A21AE">
            <w:pPr>
              <w:pStyle w:val="TableText"/>
            </w:pPr>
          </w:p>
          <w:p w:rsidR="002A21AE" w:rsidRDefault="002A21AE">
            <w:pPr>
              <w:pStyle w:val="NotesText"/>
            </w:pPr>
            <w:r>
              <w:t>When a unit that requires ABO/Rh confirmation testing no longer has a valid test result in VBECS due to invalidation of previous unit tests, VBECS treats the unit as though no ABO/Rh confirmation testing was performed.</w:t>
            </w:r>
          </w:p>
          <w:p w:rsidR="002A21AE" w:rsidRDefault="002A21AE">
            <w:pPr>
              <w:pStyle w:val="NotesText"/>
            </w:pPr>
          </w:p>
          <w:p w:rsidR="002A21AE" w:rsidRDefault="002A21AE">
            <w:pPr>
              <w:pStyle w:val="NotesText"/>
            </w:pPr>
            <w:r>
              <w:rPr>
                <w:vanish/>
                <w:szCs w:val="18"/>
              </w:rPr>
              <w:t>BR_94.04</w:t>
            </w:r>
            <w:r w:rsidR="00CE3961">
              <w:rPr>
                <w:vanish/>
                <w:szCs w:val="18"/>
              </w:rPr>
              <w:t>,</w:t>
            </w:r>
            <w:r>
              <w:rPr>
                <w:vanish/>
                <w:szCs w:val="18"/>
              </w:rPr>
              <w:t xml:space="preserve"> BR_70.09 </w:t>
            </w:r>
            <w:r>
              <w:t>VBECS flags invalidated test results as “Test Result Invalidated” and captures details for inclusion in an Exception Report.</w:t>
            </w:r>
          </w:p>
          <w:p w:rsidR="002A21AE" w:rsidRDefault="002A21AE">
            <w:pPr>
              <w:pStyle w:val="NotesText"/>
              <w:ind w:left="0"/>
            </w:pPr>
          </w:p>
          <w:p w:rsidR="002A21AE" w:rsidRDefault="002A21AE">
            <w:pPr>
              <w:pStyle w:val="NotesText"/>
            </w:pPr>
            <w:r>
              <w:rPr>
                <w:rFonts w:cs="Arial"/>
                <w:vanish/>
              </w:rPr>
              <w:t xml:space="preserve">BR_70.12 </w:t>
            </w:r>
            <w:r>
              <w:t>VBECS does not inactivate workload associated with the invalidated test.</w:t>
            </w:r>
          </w:p>
          <w:p w:rsidR="002A21AE" w:rsidRDefault="002A21AE">
            <w:pPr>
              <w:pStyle w:val="TableText"/>
              <w:rPr>
                <w:rFonts w:cs="Arial"/>
              </w:rPr>
            </w:pPr>
          </w:p>
          <w:p w:rsidR="002A21AE" w:rsidRDefault="002A21AE">
            <w:pPr>
              <w:pStyle w:val="NotesText"/>
              <w:rPr>
                <w:rFonts w:cs="Arial"/>
              </w:rPr>
            </w:pPr>
            <w:r>
              <w:rPr>
                <w:rFonts w:cs="Arial"/>
              </w:rPr>
              <w:t>Replacement results are entered according to local policy.</w:t>
            </w:r>
          </w:p>
        </w:tc>
      </w:tr>
      <w:tr w:rsidR="002A21AE">
        <w:tblPrEx>
          <w:tblCellMar>
            <w:top w:w="0" w:type="dxa"/>
            <w:bottom w:w="0" w:type="dxa"/>
          </w:tblCellMar>
        </w:tblPrEx>
        <w:tc>
          <w:tcPr>
            <w:tcW w:w="3240" w:type="dxa"/>
          </w:tcPr>
          <w:p w:rsidR="002A21AE" w:rsidRDefault="002A21AE">
            <w:pPr>
              <w:pStyle w:val="TableTextNumbers"/>
            </w:pPr>
            <w:r>
              <w:lastRenderedPageBreak/>
              <w:t>Return to Step 1 to edit another unit.</w:t>
            </w:r>
          </w:p>
        </w:tc>
        <w:tc>
          <w:tcPr>
            <w:tcW w:w="6120" w:type="dxa"/>
          </w:tcPr>
          <w:p w:rsidR="002A21AE" w:rsidRDefault="002A21AE" w:rsidP="00B100F7">
            <w:pPr>
              <w:pStyle w:val="TableText"/>
            </w:pPr>
          </w:p>
        </w:tc>
      </w:tr>
      <w:tr w:rsidR="002A21AE">
        <w:tblPrEx>
          <w:tblCellMar>
            <w:top w:w="0" w:type="dxa"/>
            <w:bottom w:w="0" w:type="dxa"/>
          </w:tblCellMar>
        </w:tblPrEx>
        <w:tc>
          <w:tcPr>
            <w:tcW w:w="3240" w:type="dxa"/>
          </w:tcPr>
          <w:p w:rsidR="002A21AE" w:rsidRDefault="002A21AE">
            <w:pPr>
              <w:pStyle w:val="TableTextNumbers"/>
            </w:pPr>
            <w:r>
              <w:t xml:space="preserve">Click </w:t>
            </w:r>
            <w:r>
              <w:rPr>
                <w:b/>
              </w:rPr>
              <w:t>OK</w:t>
            </w:r>
            <w:r>
              <w:t xml:space="preserve"> to save.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rsidR="002A21AE" w:rsidRDefault="002A21AE">
            <w:pPr>
              <w:pStyle w:val="TableTextBullet"/>
              <w:tabs>
                <w:tab w:val="num" w:pos="360"/>
              </w:tabs>
            </w:pPr>
            <w:r>
              <w:t>Updates and saves the data.</w:t>
            </w:r>
          </w:p>
        </w:tc>
      </w:tr>
    </w:tbl>
    <w:p w:rsidR="000A3D88" w:rsidRDefault="000A3D88" w:rsidP="000A3D88">
      <w:pPr>
        <w:pStyle w:val="Caption"/>
      </w:pPr>
      <w:bookmarkStart w:id="359" w:name="_Toc94349313"/>
      <w:bookmarkStart w:id="360" w:name="_Ref126651737"/>
      <w:r>
        <w:t xml:space="preserve">Figure </w:t>
      </w:r>
      <w:r w:rsidR="00C17F7C">
        <w:fldChar w:fldCharType="begin"/>
      </w:r>
      <w:r w:rsidR="00C17F7C">
        <w:instrText xml:space="preserve"> SEQ Figure \* ARABIC </w:instrText>
      </w:r>
      <w:r w:rsidR="00C17F7C">
        <w:fldChar w:fldCharType="separate"/>
      </w:r>
      <w:r w:rsidR="005F38BC">
        <w:rPr>
          <w:noProof/>
        </w:rPr>
        <w:t>88</w:t>
      </w:r>
      <w:r w:rsidR="00C17F7C">
        <w:fldChar w:fldCharType="end"/>
      </w:r>
      <w:bookmarkEnd w:id="360"/>
      <w:r>
        <w:t>: Edit Unit Information</w:t>
      </w:r>
    </w:p>
    <w:p w:rsidR="000A3D88" w:rsidRDefault="00634BFC" w:rsidP="000A3D88">
      <w:pPr>
        <w:pStyle w:val="BodyText"/>
      </w:pPr>
      <w:r>
        <w:rPr>
          <w:noProof/>
        </w:rPr>
        <w:drawing>
          <wp:inline distT="0" distB="0" distL="0" distR="0">
            <wp:extent cx="5943600" cy="386715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943600" cy="3867150"/>
                    </a:xfrm>
                    <a:prstGeom prst="rect">
                      <a:avLst/>
                    </a:prstGeom>
                    <a:noFill/>
                    <a:ln>
                      <a:noFill/>
                    </a:ln>
                  </pic:spPr>
                </pic:pic>
              </a:graphicData>
            </a:graphic>
          </wp:inline>
        </w:drawing>
      </w:r>
    </w:p>
    <w:p w:rsidR="000A3D88" w:rsidRDefault="000A3D88" w:rsidP="000A3D88">
      <w:pPr>
        <w:pStyle w:val="Caption"/>
      </w:pPr>
      <w:bookmarkStart w:id="361" w:name="_Ref126651913"/>
      <w:r>
        <w:lastRenderedPageBreak/>
        <w:t xml:space="preserve">Figure </w:t>
      </w:r>
      <w:r w:rsidR="00C17F7C">
        <w:fldChar w:fldCharType="begin"/>
      </w:r>
      <w:r w:rsidR="00C17F7C">
        <w:instrText xml:space="preserve"> SEQ Figure \* ARABIC </w:instrText>
      </w:r>
      <w:r w:rsidR="00C17F7C">
        <w:fldChar w:fldCharType="separate"/>
      </w:r>
      <w:r w:rsidR="005F38BC">
        <w:rPr>
          <w:noProof/>
        </w:rPr>
        <w:t>89</w:t>
      </w:r>
      <w:r w:rsidR="00C17F7C">
        <w:fldChar w:fldCharType="end"/>
      </w:r>
      <w:bookmarkEnd w:id="361"/>
      <w:r>
        <w:t>: Edit Unit Information Invalidate Test</w:t>
      </w:r>
    </w:p>
    <w:p w:rsidR="000A3D88" w:rsidRDefault="00634BFC" w:rsidP="000A3D88">
      <w:pPr>
        <w:pStyle w:val="BodyText"/>
      </w:pPr>
      <w:r>
        <w:rPr>
          <w:noProof/>
        </w:rPr>
        <w:drawing>
          <wp:inline distT="0" distB="0" distL="0" distR="0">
            <wp:extent cx="5943600" cy="386715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943600" cy="3867150"/>
                    </a:xfrm>
                    <a:prstGeom prst="rect">
                      <a:avLst/>
                    </a:prstGeom>
                    <a:noFill/>
                    <a:ln>
                      <a:noFill/>
                    </a:ln>
                  </pic:spPr>
                </pic:pic>
              </a:graphicData>
            </a:graphic>
          </wp:inline>
        </w:drawing>
      </w:r>
    </w:p>
    <w:p w:rsidR="002A21AE" w:rsidRDefault="002A21AE">
      <w:pPr>
        <w:pStyle w:val="Heading4"/>
      </w:pPr>
      <w:r>
        <w:t>Inactivate a Unit</w:t>
      </w:r>
      <w:bookmarkEnd w:id="359"/>
      <w:r>
        <w:fldChar w:fldCharType="begin"/>
      </w:r>
      <w:r>
        <w:instrText xml:space="preserve"> XE </w:instrText>
      </w:r>
      <w:r w:rsidR="00FA7E65">
        <w:instrText>“</w:instrText>
      </w:r>
      <w:r>
        <w:instrText>Inactivate a Unit</w:instrText>
      </w:r>
      <w:r w:rsidR="00FA7E65">
        <w:instrText>”</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326F7">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326F7" w:rsidRDefault="002326F7" w:rsidP="00FA7E65">
            <w:pPr>
              <w:pStyle w:val="TableTextNumbers"/>
            </w:pPr>
            <w:r>
              <w:t xml:space="preserve">Select </w:t>
            </w:r>
            <w:r w:rsidRPr="00D64EFA">
              <w:rPr>
                <w:b/>
              </w:rPr>
              <w:t>Blood Units</w:t>
            </w:r>
            <w:r>
              <w:t xml:space="preserve"> from the main menu. </w:t>
            </w:r>
          </w:p>
          <w:p w:rsidR="002326F7" w:rsidRDefault="002326F7" w:rsidP="002326F7">
            <w:pPr>
              <w:pStyle w:val="TableTextNumbersContinued"/>
            </w:pPr>
          </w:p>
          <w:p w:rsidR="002326F7" w:rsidRDefault="002326F7" w:rsidP="002326F7">
            <w:pPr>
              <w:pStyle w:val="TableTextNumbersContinued"/>
            </w:pPr>
            <w:r>
              <w:t xml:space="preserve">Select </w:t>
            </w:r>
            <w:r w:rsidRPr="00D64EFA">
              <w:rPr>
                <w:b/>
              </w:rPr>
              <w:t>Edit Unit Information</w:t>
            </w:r>
            <w:r>
              <w:t>.</w:t>
            </w:r>
          </w:p>
        </w:tc>
        <w:tc>
          <w:tcPr>
            <w:tcW w:w="6120" w:type="dxa"/>
            <w:tcBorders>
              <w:top w:val="single" w:sz="4" w:space="0" w:color="auto"/>
              <w:left w:val="single" w:sz="4" w:space="0" w:color="auto"/>
              <w:bottom w:val="single" w:sz="4" w:space="0" w:color="auto"/>
              <w:right w:val="single" w:sz="4" w:space="0" w:color="auto"/>
            </w:tcBorders>
          </w:tcPr>
          <w:p w:rsidR="002326F7" w:rsidRDefault="002326F7" w:rsidP="00FA7E65">
            <w:pPr>
              <w:pStyle w:val="TableTextBullet"/>
            </w:pPr>
            <w:r>
              <w:t>Displays options for processing blood units.</w:t>
            </w:r>
          </w:p>
          <w:p w:rsidR="002326F7" w:rsidRDefault="002326F7" w:rsidP="00FA7E65">
            <w:pPr>
              <w:pStyle w:val="TableTextBullet"/>
            </w:pPr>
            <w:r>
              <w:t>Displays options for selecting and editing a unit.</w:t>
            </w:r>
          </w:p>
        </w:tc>
      </w:tr>
      <w:tr w:rsidR="002326F7">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326F7" w:rsidRDefault="002326F7" w:rsidP="00FA7E65">
            <w:pPr>
              <w:pStyle w:val="TableTextNumbers"/>
            </w:pPr>
            <w:r>
              <w:t>Scan or enter a unit ID and product code. May cancel and select a different unit.</w:t>
            </w:r>
          </w:p>
        </w:tc>
        <w:tc>
          <w:tcPr>
            <w:tcW w:w="6120" w:type="dxa"/>
            <w:tcBorders>
              <w:top w:val="single" w:sz="4" w:space="0" w:color="auto"/>
              <w:left w:val="single" w:sz="4" w:space="0" w:color="auto"/>
              <w:bottom w:val="single" w:sz="4" w:space="0" w:color="auto"/>
              <w:right w:val="single" w:sz="4" w:space="0" w:color="auto"/>
            </w:tcBorders>
          </w:tcPr>
          <w:p w:rsidR="002326F7" w:rsidRDefault="002326F7" w:rsidP="00FA7E65">
            <w:pPr>
              <w:pStyle w:val="TableTextBullet"/>
            </w:pPr>
            <w:r>
              <w:t>Allows the user to scan or enter a unit ID and product code or select a unit.</w:t>
            </w:r>
          </w:p>
          <w:p w:rsidR="002326F7" w:rsidRDefault="002326F7" w:rsidP="00FA7E65">
            <w:pPr>
              <w:pStyle w:val="TableTextBullet"/>
            </w:pPr>
            <w:r>
              <w:t>Displays the editable unit information based on the user‘s security level.</w:t>
            </w:r>
          </w:p>
          <w:p w:rsidR="00732AEE" w:rsidRDefault="00732AEE" w:rsidP="00732AEE">
            <w:pPr>
              <w:pStyle w:val="TableText"/>
            </w:pPr>
          </w:p>
          <w:p w:rsidR="00732AEE" w:rsidRDefault="00634BFC" w:rsidP="00732AEE">
            <w:pPr>
              <w:pStyle w:val="TableText"/>
              <w:rPr>
                <w:b/>
                <w:bCs/>
                <w:szCs w:val="18"/>
              </w:rPr>
            </w:pPr>
            <w:r>
              <w:rPr>
                <w:b/>
                <w:bCs/>
                <w:noProof/>
              </w:rPr>
              <mc:AlternateContent>
                <mc:Choice Requires="wps">
                  <w:drawing>
                    <wp:anchor distT="0" distB="0" distL="114300" distR="114300" simplePos="0" relativeHeight="25176320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58" name="Line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3" o:spid="_x0000_s1026" style="position:absolute;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vHAFQIAAC4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O+q&#10;8cAVAgAALgQAAA4AAAAAAAAAAAAAAAAALgIAAGRycy9lMm9Eb2MueG1sUEsBAi0AFAAGAAgAAAAh&#10;ABdPMBLbAAAACAEAAA8AAAAAAAAAAAAAAAAAbwQAAGRycy9kb3ducmV2LnhtbFBLBQYAAAAABAAE&#10;APMAAAB3BQAAAAA=&#10;" strokeweight="1.5pt"/>
                  </w:pict>
                </mc:Fallback>
              </mc:AlternateContent>
            </w:r>
            <w:r w:rsidR="00732AEE">
              <w:rPr>
                <w:b/>
                <w:bCs/>
                <w:szCs w:val="18"/>
              </w:rPr>
              <w:t>NOTES</w:t>
            </w:r>
          </w:p>
          <w:p w:rsidR="00732AEE" w:rsidRDefault="00732AEE" w:rsidP="00732AEE">
            <w:pPr>
              <w:pStyle w:val="NotesText"/>
            </w:pPr>
          </w:p>
          <w:p w:rsidR="002326F7" w:rsidRPr="002326F7" w:rsidRDefault="002326F7" w:rsidP="00732AEE">
            <w:pPr>
              <w:pStyle w:val="NotesText"/>
            </w:pPr>
            <w:r>
              <w:t>VBECS does not allow selection of a unit when</w:t>
            </w:r>
            <w:r w:rsidRPr="002326F7">
              <w:t xml:space="preserve"> </w:t>
            </w:r>
            <w:r>
              <w:t>it:</w:t>
            </w:r>
          </w:p>
          <w:p w:rsidR="002326F7" w:rsidRDefault="002326F7" w:rsidP="00732AEE">
            <w:pPr>
              <w:pStyle w:val="NotesTextBullet"/>
            </w:pPr>
            <w:r w:rsidRPr="00B6138E">
              <w:rPr>
                <w:vanish/>
                <w:szCs w:val="18"/>
              </w:rPr>
              <w:t xml:space="preserve">BR_70.03 </w:t>
            </w:r>
            <w:r>
              <w:t>Is currently assigned to a patient.</w:t>
            </w:r>
          </w:p>
          <w:p w:rsidR="002326F7" w:rsidRDefault="002326F7" w:rsidP="00732AEE">
            <w:pPr>
              <w:pStyle w:val="NotesTextBullet"/>
            </w:pPr>
            <w:r w:rsidRPr="00B6138E">
              <w:rPr>
                <w:vanish/>
                <w:szCs w:val="18"/>
              </w:rPr>
              <w:t xml:space="preserve">BR_70.06 </w:t>
            </w:r>
            <w:r>
              <w:t>Has a final unit status.</w:t>
            </w:r>
          </w:p>
          <w:p w:rsidR="002326F7" w:rsidRPr="002326F7" w:rsidRDefault="002326F7" w:rsidP="00732AEE">
            <w:pPr>
              <w:pStyle w:val="NotesTextBullet"/>
            </w:pPr>
            <w:r w:rsidRPr="00B6138E">
              <w:rPr>
                <w:vanish/>
                <w:szCs w:val="18"/>
              </w:rPr>
              <w:t xml:space="preserve">BR_70.07 </w:t>
            </w:r>
            <w:r w:rsidR="00BF0467">
              <w:t>Has a previous patient assignmen</w:t>
            </w:r>
            <w:r w:rsidR="00DF36B1">
              <w:t>t record and the user is a Lead</w:t>
            </w:r>
            <w:r w:rsidR="00BF0467">
              <w:t xml:space="preserve"> </w:t>
            </w:r>
            <w:r w:rsidR="00DF36B1">
              <w:t xml:space="preserve">or </w:t>
            </w:r>
            <w:r w:rsidR="00BF0467">
              <w:t>Enhanced Technologist.</w:t>
            </w:r>
            <w:r w:rsidR="002329E3">
              <w:t xml:space="preserve"> </w:t>
            </w:r>
            <w:r w:rsidR="002329E3" w:rsidRPr="002329E3">
              <w:rPr>
                <w:vanish/>
              </w:rPr>
              <w:t>DR 3,012</w:t>
            </w:r>
          </w:p>
          <w:p w:rsidR="002326F7" w:rsidRDefault="002326F7" w:rsidP="00732AEE">
            <w:pPr>
              <w:pStyle w:val="NotesText"/>
            </w:pPr>
          </w:p>
          <w:p w:rsidR="002326F7" w:rsidRPr="002326F7" w:rsidRDefault="002326F7" w:rsidP="00732AEE">
            <w:pPr>
              <w:pStyle w:val="NotesText"/>
            </w:pPr>
            <w:r>
              <w:t>There is no override. VBECS clears the screen and allows the user to select a new unit.</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 xml:space="preserve">Click </w:t>
            </w:r>
            <w:r>
              <w:rPr>
                <w:b/>
              </w:rPr>
              <w:t xml:space="preserve">Inactivate Unit, </w:t>
            </w:r>
            <w:r>
              <w:t>as desired.</w:t>
            </w:r>
          </w:p>
        </w:tc>
        <w:tc>
          <w:tcPr>
            <w:tcW w:w="6120" w:type="dxa"/>
            <w:tcBorders>
              <w:top w:val="single" w:sz="4" w:space="0" w:color="auto"/>
              <w:left w:val="single" w:sz="4" w:space="0" w:color="auto"/>
              <w:bottom w:val="single" w:sz="4" w:space="0" w:color="auto"/>
              <w:right w:val="single" w:sz="4" w:space="0" w:color="auto"/>
            </w:tcBorders>
          </w:tcPr>
          <w:p w:rsidR="00D64EFA" w:rsidRDefault="00D64EFA">
            <w:pPr>
              <w:pStyle w:val="TableTextBullet"/>
            </w:pPr>
            <w:r>
              <w:t>Displays fields to add or inactivate unit information and an option to inactivate a unit, based on the condition of the unit and the user’s security level.</w:t>
            </w:r>
          </w:p>
          <w:p w:rsidR="002A21AE" w:rsidRDefault="002A21AE">
            <w:pPr>
              <w:pStyle w:val="TableTextBullet"/>
            </w:pPr>
            <w:r>
              <w:t>Displays unit data.</w:t>
            </w:r>
          </w:p>
          <w:p w:rsidR="002A21AE" w:rsidRDefault="002A21AE">
            <w:pPr>
              <w:pStyle w:val="TableTextBullet"/>
            </w:pPr>
            <w:r>
              <w:t>Requires a comment to process the unit inactivation.</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5056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57" name="Lin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2"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ZpFQIAAC0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AJ9&#10;Vmk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BR_12.03 </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When the Traditional Supervisor attempts to </w:t>
            </w:r>
            <w:r w:rsidR="00932948">
              <w:t>inactivate</w:t>
            </w:r>
            <w:r>
              <w:t xml:space="preserve"> a unit’s record, VBECS warns the user.</w:t>
            </w:r>
          </w:p>
          <w:p w:rsidR="002326F7" w:rsidRDefault="002326F7">
            <w:pPr>
              <w:pStyle w:val="NotesText"/>
              <w:rPr>
                <w:rFonts w:cs="Arial"/>
              </w:rPr>
            </w:pPr>
          </w:p>
          <w:p w:rsidR="003E636E" w:rsidRDefault="003E636E">
            <w:pPr>
              <w:pStyle w:val="NotesText"/>
              <w:rPr>
                <w:rFonts w:cs="Arial"/>
                <w:vanish/>
              </w:rPr>
            </w:pPr>
          </w:p>
          <w:p w:rsidR="002A21AE" w:rsidRDefault="00A74496">
            <w:pPr>
              <w:pStyle w:val="NotesText"/>
            </w:pPr>
            <w:r w:rsidRPr="00A74496">
              <w:rPr>
                <w:rFonts w:cs="Arial"/>
                <w:vanish/>
                <w:szCs w:val="18"/>
              </w:rPr>
              <w:t xml:space="preserve">BR_12.05 </w:t>
            </w:r>
            <w:r w:rsidR="00CE16C3" w:rsidRPr="00200B6D">
              <w:t>An inactiv</w:t>
            </w:r>
            <w:r w:rsidR="00234375" w:rsidRPr="00200B6D">
              <w:t>at</w:t>
            </w:r>
            <w:r w:rsidR="00CE16C3" w:rsidRPr="00200B6D">
              <w:t>e</w:t>
            </w:r>
            <w:r w:rsidR="00234375" w:rsidRPr="00200B6D">
              <w:t>d</w:t>
            </w:r>
            <w:r w:rsidRPr="00200B6D">
              <w:t xml:space="preserve"> unit is no</w:t>
            </w:r>
            <w:r w:rsidR="00CE16C3" w:rsidRPr="00200B6D">
              <w:t>t</w:t>
            </w:r>
            <w:r w:rsidRPr="00200B6D">
              <w:t xml:space="preserve"> </w:t>
            </w:r>
            <w:r>
              <w:t xml:space="preserve">accessible. The record </w:t>
            </w:r>
            <w:r w:rsidR="000A6572">
              <w:t>is available</w:t>
            </w:r>
            <w:r w:rsidR="00660511">
              <w:t xml:space="preserve"> in</w:t>
            </w:r>
            <w:r>
              <w:t xml:space="preserve"> the </w:t>
            </w:r>
            <w:r w:rsidR="00CE16C3">
              <w:t>A</w:t>
            </w:r>
            <w:r>
              <w:t xml:space="preserve">udit </w:t>
            </w:r>
            <w:r w:rsidR="00234375">
              <w:t xml:space="preserve">Trail </w:t>
            </w:r>
            <w:r w:rsidR="003E636E">
              <w:t xml:space="preserve">and Unit History </w:t>
            </w:r>
            <w:r w:rsidR="00CE16C3">
              <w:t>R</w:t>
            </w:r>
            <w:r>
              <w:t>eport</w:t>
            </w:r>
            <w:r w:rsidR="003E636E">
              <w:t>s</w:t>
            </w:r>
            <w:r>
              <w:t xml:space="preserve"> and </w:t>
            </w:r>
            <w:r w:rsidR="00660511">
              <w:t>in</w:t>
            </w:r>
            <w:r>
              <w:t xml:space="preserve"> division statistical and informational </w:t>
            </w:r>
            <w:r w:rsidR="00A10483">
              <w:t>reports. When</w:t>
            </w:r>
            <w:r w:rsidR="002A21AE">
              <w:t xml:space="preserve"> VBECS inactivates a unit, it also inactivates costs previously associated with that unit.</w:t>
            </w:r>
          </w:p>
          <w:p w:rsidR="002A21AE" w:rsidRDefault="002A21AE">
            <w:pPr>
              <w:pStyle w:val="NotesText"/>
            </w:pPr>
          </w:p>
          <w:p w:rsidR="002A21AE" w:rsidRDefault="002A21AE">
            <w:pPr>
              <w:pStyle w:val="NotesText"/>
            </w:pPr>
            <w:r>
              <w:rPr>
                <w:rFonts w:cs="Arial"/>
                <w:vanish/>
              </w:rPr>
              <w:t xml:space="preserve">BR_70.11 </w:t>
            </w:r>
            <w:r>
              <w:t xml:space="preserve">The user may </w:t>
            </w:r>
            <w:r w:rsidR="002326F7">
              <w:rPr>
                <w:rFonts w:cs="Arial"/>
                <w:szCs w:val="18"/>
              </w:rPr>
              <w:t>i</w:t>
            </w:r>
            <w:r>
              <w:rPr>
                <w:rFonts w:cs="Arial"/>
                <w:szCs w:val="18"/>
              </w:rPr>
              <w:t>nactivate the</w:t>
            </w:r>
            <w:r>
              <w:t xml:space="preserve"> unit with prior but no current patient associations. VBECS requires a comment to explain the inactivation. </w:t>
            </w:r>
          </w:p>
          <w:p w:rsidR="002326F7" w:rsidRDefault="002326F7">
            <w:pPr>
              <w:pStyle w:val="NotesText"/>
            </w:pPr>
          </w:p>
          <w:p w:rsidR="002326F7" w:rsidRDefault="002326F7" w:rsidP="002326F7">
            <w:pPr>
              <w:pStyle w:val="NotesText"/>
            </w:pPr>
            <w:r>
              <w:t>Unit inactivation appears on the Audit Trail Report.</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lastRenderedPageBreak/>
              <w:t>Enter a comment.</w:t>
            </w:r>
          </w:p>
          <w:p w:rsidR="002A21AE" w:rsidRDefault="002A21AE">
            <w:pPr>
              <w:pStyle w:val="TableTextNumbersContinued"/>
            </w:pPr>
          </w:p>
          <w:p w:rsidR="002A21AE" w:rsidRDefault="002A21AE">
            <w:pPr>
              <w:pStyle w:val="TableTextNumbersContinued"/>
            </w:pPr>
            <w:r>
              <w:t xml:space="preserve">Click </w:t>
            </w:r>
            <w:r>
              <w:rPr>
                <w:b/>
              </w:rPr>
              <w:t>OK</w:t>
            </w:r>
            <w:r>
              <w:t xml:space="preserve"> to save. </w:t>
            </w:r>
            <w:r w:rsidR="00F41673">
              <w:rPr>
                <w:vanish/>
                <w:color w:val="FFFFFF"/>
                <w:szCs w:val="18"/>
              </w:rPr>
              <w:fldChar w:fldCharType="begin"/>
            </w:r>
            <w:r w:rsidR="00F41673">
              <w:rPr>
                <w:vanish/>
                <w:color w:val="FFFFFF"/>
                <w:szCs w:val="18"/>
              </w:rPr>
              <w:instrText xml:space="preserve"> LISTNUM \l 1 \s 0 </w:instrText>
            </w:r>
            <w:r w:rsidR="00F41673">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Bullet"/>
            </w:pPr>
            <w:r>
              <w:t>Marks the selected unit record “inactive.”</w:t>
            </w:r>
          </w:p>
          <w:p w:rsidR="002A21AE" w:rsidRPr="00AE73C3" w:rsidRDefault="002A21AE" w:rsidP="00AE73C3">
            <w:pPr>
              <w:pStyle w:val="TableTextBullet"/>
            </w:pPr>
            <w:r>
              <w:t>Saves the record.</w:t>
            </w:r>
            <w:r w:rsidR="004840A0">
              <w:t xml:space="preserve"> </w:t>
            </w:r>
          </w:p>
        </w:tc>
      </w:tr>
    </w:tbl>
    <w:p w:rsidR="002A21AE" w:rsidRDefault="002A21AE">
      <w:pPr>
        <w:pStyle w:val="Heading3"/>
      </w:pPr>
      <w:bookmarkStart w:id="362" w:name="_Toc459900120"/>
      <w:r>
        <w:t>Edit Financial Data</w:t>
      </w:r>
      <w:bookmarkEnd w:id="362"/>
      <w:r w:rsidRPr="007716F7">
        <w:rPr>
          <w:vanish/>
        </w:rPr>
        <w:fldChar w:fldCharType="begin"/>
      </w:r>
      <w:r w:rsidRPr="007716F7">
        <w:rPr>
          <w:vanish/>
        </w:rPr>
        <w:instrText xml:space="preserve"> XE </w:instrText>
      </w:r>
      <w:r w:rsidR="00FA7E65" w:rsidRPr="007716F7">
        <w:rPr>
          <w:vanish/>
        </w:rPr>
        <w:instrText>“</w:instrText>
      </w:r>
      <w:r w:rsidRPr="007716F7">
        <w:rPr>
          <w:vanish/>
        </w:rPr>
        <w:instrText>Edit Financial Data</w:instrText>
      </w:r>
      <w:r w:rsidR="00FA7E65" w:rsidRPr="007716F7">
        <w:rPr>
          <w:vanish/>
        </w:rPr>
        <w:instrText>”</w:instrText>
      </w:r>
      <w:r w:rsidRPr="007716F7">
        <w:rPr>
          <w:vanish/>
        </w:rPr>
        <w:instrText xml:space="preserve"> </w:instrText>
      </w:r>
      <w:r w:rsidRPr="007716F7">
        <w:rPr>
          <w:vanish/>
        </w:rPr>
        <w:fldChar w:fldCharType="end"/>
      </w:r>
      <w:r w:rsidRPr="007716F7">
        <w:rPr>
          <w:vanish/>
        </w:rPr>
        <w:t xml:space="preserve"> UC_14</w:t>
      </w:r>
    </w:p>
    <w:p w:rsidR="002A21AE" w:rsidRDefault="002A21AE" w:rsidP="00FA7E65">
      <w:pPr>
        <w:pStyle w:val="BodyText"/>
      </w:pPr>
      <w:r>
        <w:t>The user enters and/or edits charges associated with a unit after it is logged into inventory.</w:t>
      </w:r>
    </w:p>
    <w:p w:rsidR="002A21AE" w:rsidRDefault="002A21AE">
      <w:pPr>
        <w:pStyle w:val="Heading4"/>
      </w:pPr>
      <w:r>
        <w:t>Assumptions</w:t>
      </w:r>
      <w:r>
        <w:rPr>
          <w:b w:val="0"/>
        </w:rPr>
        <w:t xml:space="preserve"> </w:t>
      </w:r>
    </w:p>
    <w:p w:rsidR="002A21AE" w:rsidRDefault="002A21AE">
      <w:pPr>
        <w:pStyle w:val="ListBullet"/>
      </w:pPr>
      <w:r>
        <w:t>The user is logged into the division containing the unit to be edited.</w:t>
      </w:r>
    </w:p>
    <w:p w:rsidR="002A21AE" w:rsidRDefault="002A21AE">
      <w:pPr>
        <w:pStyle w:val="Heading4"/>
      </w:pPr>
      <w:r>
        <w:t>Outcome</w:t>
      </w:r>
    </w:p>
    <w:p w:rsidR="002A21AE" w:rsidRDefault="002A21AE">
      <w:pPr>
        <w:pStyle w:val="ListBullet"/>
      </w:pPr>
      <w:r>
        <w:t>Unit billing information was changed.</w:t>
      </w:r>
    </w:p>
    <w:p w:rsidR="002A21AE" w:rsidRDefault="002A21AE">
      <w:pPr>
        <w:pStyle w:val="Heading4"/>
        <w:rPr>
          <w:b w:val="0"/>
        </w:rPr>
      </w:pPr>
      <w:r>
        <w:t>Limitations and Restrictions</w:t>
      </w:r>
      <w:r>
        <w:rPr>
          <w:b w:val="0"/>
        </w:rPr>
        <w:t xml:space="preserve"> </w:t>
      </w:r>
    </w:p>
    <w:p w:rsidR="002A21AE" w:rsidRDefault="00D4567F">
      <w:pPr>
        <w:pStyle w:val="ListBullet"/>
      </w:pPr>
      <w:r>
        <w:t>When a Technologist enters a unit ID and product code for a unit that is not in final status, VBECS does not enable the Special Test Cost field. An Enhanced Technologist or higher access can change the Special Test Cost field in the Edit Financial Data option.</w:t>
      </w:r>
      <w:r w:rsidR="00F8698E">
        <w:t xml:space="preserve"> </w:t>
      </w:r>
      <w:r w:rsidR="00F8698E" w:rsidRPr="00F8698E">
        <w:rPr>
          <w:vanish/>
        </w:rPr>
        <w:t>DR 5012</w:t>
      </w:r>
    </w:p>
    <w:p w:rsidR="002A21AE" w:rsidRDefault="002A21AE">
      <w:pPr>
        <w:pStyle w:val="Heading4"/>
      </w:pPr>
      <w:r>
        <w:t xml:space="preserve">Additional Information </w:t>
      </w:r>
    </w:p>
    <w:p w:rsidR="002A21AE" w:rsidRDefault="002A21AE">
      <w:pPr>
        <w:pStyle w:val="ListBullet"/>
      </w:pPr>
      <w:r>
        <w:t>None</w:t>
      </w:r>
    </w:p>
    <w:p w:rsidR="002A21AE" w:rsidRDefault="002A21AE">
      <w:pPr>
        <w:pStyle w:val="Heading4"/>
        <w:rPr>
          <w:b w:val="0"/>
        </w:rPr>
      </w:pPr>
      <w:r>
        <w:t>User Roles with Access to This Option</w:t>
      </w:r>
      <w:r>
        <w:rPr>
          <w:b w:val="0"/>
        </w:rPr>
        <w:t xml:space="preserve"> </w:t>
      </w:r>
    </w:p>
    <w:p w:rsidR="00E01A40" w:rsidRDefault="00E01A40" w:rsidP="00E01A40">
      <w:pPr>
        <w:pStyle w:val="Roles"/>
        <w:rPr>
          <w:snapToGrid w:val="0"/>
        </w:rPr>
      </w:pPr>
      <w:r>
        <w:t>All users</w:t>
      </w:r>
      <w:r>
        <w:rPr>
          <w:snapToGrid w:val="0"/>
        </w:rPr>
        <w:t xml:space="preserve"> </w:t>
      </w:r>
    </w:p>
    <w:p w:rsidR="002A21AE" w:rsidRDefault="00F8698E">
      <w:pPr>
        <w:pStyle w:val="Heading4"/>
      </w:pPr>
      <w:r>
        <w:br w:type="page"/>
      </w:r>
      <w:r w:rsidR="002A21AE">
        <w:lastRenderedPageBreak/>
        <w:t>Edit Financial Data</w:t>
      </w:r>
    </w:p>
    <w:p w:rsidR="002A21AE" w:rsidRDefault="002A21AE" w:rsidP="00FA7E65">
      <w:pPr>
        <w:pStyle w:val="BodyText"/>
      </w:pPr>
      <w:r>
        <w:t xml:space="preserve">The user adds and/or edits a unit charge. The user confirms the unit selection, enters the dollar amount of the charge, and reviews and accepts the charge entered.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pPr>
              <w:pStyle w:val="TableTextNumbers"/>
            </w:pPr>
            <w:r>
              <w:t xml:space="preserve">Select </w:t>
            </w:r>
            <w:r>
              <w:rPr>
                <w:b/>
              </w:rPr>
              <w:t>Blood Units</w:t>
            </w:r>
            <w:r>
              <w:t xml:space="preserve"> from the main menu. </w:t>
            </w:r>
          </w:p>
          <w:p w:rsidR="002A21AE" w:rsidRDefault="002A21AE">
            <w:pPr>
              <w:pStyle w:val="TableTextNumbersContinued"/>
            </w:pPr>
          </w:p>
          <w:p w:rsidR="002A21AE" w:rsidRDefault="002A21AE">
            <w:pPr>
              <w:pStyle w:val="TableTextNumbersContinued"/>
            </w:pPr>
            <w:r>
              <w:t xml:space="preserve">Select </w:t>
            </w:r>
            <w:r>
              <w:rPr>
                <w:b/>
                <w:bCs/>
              </w:rPr>
              <w:t>Edit Financial Data</w:t>
            </w:r>
            <w:r>
              <w:t>.</w:t>
            </w:r>
          </w:p>
        </w:tc>
        <w:tc>
          <w:tcPr>
            <w:tcW w:w="6120" w:type="dxa"/>
          </w:tcPr>
          <w:p w:rsidR="002A21AE" w:rsidRDefault="002A21AE">
            <w:pPr>
              <w:pStyle w:val="TableTextBullet"/>
            </w:pPr>
            <w:r>
              <w:t>Displays options for processing blood units.</w:t>
            </w:r>
          </w:p>
          <w:p w:rsidR="002A21AE" w:rsidRDefault="002A21AE">
            <w:pPr>
              <w:pStyle w:val="TableTextBullet"/>
            </w:pPr>
            <w:r>
              <w:t>Displays fields for selecting a unit and editing its financial data.</w:t>
            </w:r>
          </w:p>
        </w:tc>
      </w:tr>
      <w:tr w:rsidR="002A21AE">
        <w:tblPrEx>
          <w:tblCellMar>
            <w:top w:w="0" w:type="dxa"/>
            <w:bottom w:w="0" w:type="dxa"/>
          </w:tblCellMar>
        </w:tblPrEx>
        <w:trPr>
          <w:tblHeader/>
        </w:trPr>
        <w:tc>
          <w:tcPr>
            <w:tcW w:w="3240" w:type="dxa"/>
          </w:tcPr>
          <w:p w:rsidR="002A21AE" w:rsidRDefault="002A21AE">
            <w:pPr>
              <w:pStyle w:val="TableTextNumbers"/>
            </w:pPr>
            <w:r>
              <w:t xml:space="preserve">Scan or enter a unit ID or product code, or click the </w:t>
            </w:r>
            <w:r w:rsidR="00A6373D">
              <w:rPr>
                <w:b/>
              </w:rPr>
              <w:t>find</w:t>
            </w:r>
            <w:r>
              <w:rPr>
                <w:b/>
              </w:rPr>
              <w:t xml:space="preserve"> </w:t>
            </w:r>
            <w:r w:rsidRPr="00D1100E">
              <w:t>button</w:t>
            </w:r>
            <w:r>
              <w:t xml:space="preserve"> to select a unit from the drop-down list.</w:t>
            </w:r>
          </w:p>
        </w:tc>
        <w:tc>
          <w:tcPr>
            <w:tcW w:w="6120" w:type="dxa"/>
          </w:tcPr>
          <w:p w:rsidR="002A21AE" w:rsidRDefault="002A21AE">
            <w:pPr>
              <w:pStyle w:val="TableTextBullet"/>
            </w:pPr>
            <w:r>
              <w:t>Displays unit data.</w:t>
            </w:r>
          </w:p>
        </w:tc>
      </w:tr>
      <w:tr w:rsidR="002A21AE">
        <w:tblPrEx>
          <w:tblCellMar>
            <w:top w:w="0" w:type="dxa"/>
            <w:bottom w:w="0" w:type="dxa"/>
          </w:tblCellMar>
        </w:tblPrEx>
        <w:tc>
          <w:tcPr>
            <w:tcW w:w="3240" w:type="dxa"/>
          </w:tcPr>
          <w:p w:rsidR="002A21AE" w:rsidRDefault="002A21AE">
            <w:pPr>
              <w:pStyle w:val="TableTextNumbers"/>
            </w:pPr>
            <w:r>
              <w:t>Edit the Base Cost, Special Test Cost, and/or Return Credit fields</w:t>
            </w:r>
            <w:r w:rsidR="009A7383">
              <w:t xml:space="preserve"> (</w:t>
            </w:r>
            <w:r w:rsidR="009A7383">
              <w:fldChar w:fldCharType="begin"/>
            </w:r>
            <w:r w:rsidR="009A7383">
              <w:instrText xml:space="preserve"> REF _Ref126652778 \h </w:instrText>
            </w:r>
            <w:r w:rsidR="009A7383">
              <w:fldChar w:fldCharType="separate"/>
            </w:r>
            <w:r w:rsidR="005F38BC">
              <w:t xml:space="preserve">Figure </w:t>
            </w:r>
            <w:r w:rsidR="005F38BC">
              <w:rPr>
                <w:noProof/>
              </w:rPr>
              <w:t>90</w:t>
            </w:r>
            <w:r w:rsidR="009A7383">
              <w:fldChar w:fldCharType="end"/>
            </w:r>
            <w:r w:rsidR="009A7383">
              <w:t>)</w:t>
            </w:r>
            <w:r>
              <w:t>.</w:t>
            </w:r>
          </w:p>
        </w:tc>
        <w:tc>
          <w:tcPr>
            <w:tcW w:w="6120" w:type="dxa"/>
          </w:tcPr>
          <w:p w:rsidR="002A21AE" w:rsidRDefault="002A21AE">
            <w:pPr>
              <w:pStyle w:val="TableTextBullet"/>
            </w:pPr>
            <w:r>
              <w:t>Allows the user to edit the fields in the Financial Information area.</w:t>
            </w:r>
          </w:p>
          <w:p w:rsidR="002A21AE" w:rsidRDefault="002A21AE">
            <w:pPr>
              <w:pStyle w:val="TableTextBullet"/>
            </w:pPr>
            <w:r>
              <w:t>Displays the edited data.</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0310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56"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NApFQ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OIc&#10;0Ck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sidRPr="00EC7489">
              <w:rPr>
                <w:rFonts w:ascii="Wingdings 3" w:hAnsi="Wingdings 3" w:cs="Wingdings"/>
              </w:rPr>
              <w:t></w:t>
            </w:r>
            <w:r w:rsidRPr="00EC7489">
              <w:rPr>
                <w:rFonts w:ascii="Wingdings 3" w:hAnsi="Wingdings 3" w:cs="Wingdings"/>
              </w:rPr>
              <w:t></w:t>
            </w:r>
            <w:r>
              <w:t xml:space="preserve"> The Enhanced Technologist may edit existing amounts.</w:t>
            </w:r>
          </w:p>
          <w:p w:rsidR="002A21AE" w:rsidRDefault="002A21AE">
            <w:pPr>
              <w:pStyle w:val="NotesText"/>
            </w:pPr>
          </w:p>
          <w:p w:rsidR="002A21AE" w:rsidRDefault="002A21AE">
            <w:pPr>
              <w:pStyle w:val="NotesText"/>
            </w:pPr>
            <w:r>
              <w:rPr>
                <w:rFonts w:cs="Arial"/>
                <w:vanish/>
              </w:rPr>
              <w:t xml:space="preserve">BR_1.46 </w:t>
            </w:r>
            <w:r>
              <w:t xml:space="preserve">VBECS allows the user to enter a single special typing cost (the sum of charges from $1.00 to $999.00, other than the base unit cost, added to a unit by the shipper) to associate with a unit. </w:t>
            </w:r>
          </w:p>
          <w:p w:rsidR="002A21AE" w:rsidRDefault="002A21AE">
            <w:pPr>
              <w:pStyle w:val="NotesText"/>
            </w:pPr>
          </w:p>
          <w:p w:rsidR="002A21AE" w:rsidRDefault="002A21AE">
            <w:pPr>
              <w:pStyle w:val="NotesText"/>
            </w:pPr>
            <w:r>
              <w:t>When no special typing costs are entered through Incoming Shipment, a user may enter them in this option until the unit is in a final status.</w:t>
            </w:r>
          </w:p>
          <w:p w:rsidR="002A21AE" w:rsidRDefault="002A21AE">
            <w:pPr>
              <w:pStyle w:val="NotesText"/>
            </w:pPr>
          </w:p>
          <w:p w:rsidR="002A21AE" w:rsidRDefault="002A21AE">
            <w:pPr>
              <w:pStyle w:val="NotesText"/>
            </w:pPr>
            <w:r>
              <w:rPr>
                <w:rFonts w:cs="Arial"/>
                <w:vanish/>
              </w:rPr>
              <w:t xml:space="preserve">BR_14.02 </w:t>
            </w:r>
            <w:r w:rsidRPr="00EC7489">
              <w:rPr>
                <w:rFonts w:ascii="Wingdings 3" w:hAnsi="Wingdings 3" w:cs="Wingdings"/>
              </w:rPr>
              <w:t></w:t>
            </w:r>
            <w:r w:rsidRPr="00EC7489">
              <w:rPr>
                <w:rFonts w:ascii="Wingdings 3" w:hAnsi="Wingdings 3" w:cs="Wingdings"/>
              </w:rPr>
              <w:t></w:t>
            </w:r>
            <w:r>
              <w:t xml:space="preserve"> The Enhanced Technologist may edit a previously entered unit cost (unit base cost, return credit or special testing cost).</w:t>
            </w:r>
          </w:p>
          <w:p w:rsidR="002A21AE" w:rsidRDefault="002A21AE">
            <w:pPr>
              <w:pStyle w:val="NotesText"/>
            </w:pPr>
          </w:p>
          <w:p w:rsidR="002A21AE" w:rsidRDefault="002A21AE">
            <w:pPr>
              <w:pStyle w:val="NotesText"/>
            </w:pPr>
            <w:r>
              <w:rPr>
                <w:rFonts w:cs="Arial"/>
                <w:vanish/>
              </w:rPr>
              <w:t xml:space="preserve">BR_14.01 </w:t>
            </w:r>
            <w:r>
              <w:t>VBECS displays a return credit in U.S. currency (defined by the return credit percentage multiplied by the base unit cost for the blood product type in Blood Products). A user may enter a return credit amount only when VBECS assigned the return credit percentage through Outgoing Shipment or Discard or Quarantine. Otherwise, VBECS disables the Return Credit field.</w:t>
            </w:r>
          </w:p>
        </w:tc>
      </w:tr>
      <w:tr w:rsidR="002A21AE">
        <w:tblPrEx>
          <w:tblCellMar>
            <w:top w:w="0" w:type="dxa"/>
            <w:bottom w:w="0" w:type="dxa"/>
          </w:tblCellMar>
        </w:tblPrEx>
        <w:tc>
          <w:tcPr>
            <w:tcW w:w="3240" w:type="dxa"/>
          </w:tcPr>
          <w:p w:rsidR="002A21AE" w:rsidRDefault="002A21AE">
            <w:pPr>
              <w:pStyle w:val="TableTextNumbers"/>
            </w:pPr>
            <w:r>
              <w:t xml:space="preserve">Review the data, click </w:t>
            </w:r>
            <w:r>
              <w:rPr>
                <w:b/>
              </w:rPr>
              <w:t xml:space="preserve">OK </w:t>
            </w:r>
            <w:r>
              <w:t xml:space="preserve">to save, and click </w:t>
            </w:r>
            <w:r>
              <w:rPr>
                <w:b/>
              </w:rPr>
              <w:t>OK</w:t>
            </w:r>
            <w:r>
              <w:t xml:space="preserve"> again to confirm the save.</w:t>
            </w:r>
          </w:p>
        </w:tc>
        <w:tc>
          <w:tcPr>
            <w:tcW w:w="6120" w:type="dxa"/>
          </w:tcPr>
          <w:p w:rsidR="002A21AE" w:rsidRDefault="002A21AE">
            <w:pPr>
              <w:pStyle w:val="TableTextBullet"/>
            </w:pPr>
            <w:r>
              <w:t>Requests confirmation to update the database.</w:t>
            </w:r>
          </w:p>
          <w:p w:rsidR="002A21AE" w:rsidRDefault="002A21AE">
            <w:pPr>
              <w:pStyle w:val="TableTextBullet"/>
            </w:pPr>
            <w:r>
              <w:t>Saves and updates the unit record.</w:t>
            </w:r>
          </w:p>
        </w:tc>
      </w:tr>
      <w:tr w:rsidR="002A21AE">
        <w:tblPrEx>
          <w:tblCellMar>
            <w:top w:w="0" w:type="dxa"/>
            <w:bottom w:w="0" w:type="dxa"/>
          </w:tblCellMar>
        </w:tblPrEx>
        <w:tc>
          <w:tcPr>
            <w:tcW w:w="3240" w:type="dxa"/>
          </w:tcPr>
          <w:p w:rsidR="002A21AE" w:rsidRDefault="002A21AE">
            <w:pPr>
              <w:pStyle w:val="TableTextNumbers"/>
            </w:pPr>
            <w:r>
              <w:t>Repeat Steps 2–4, as needed, to update additional unit financial data.</w:t>
            </w:r>
          </w:p>
        </w:tc>
        <w:tc>
          <w:tcPr>
            <w:tcW w:w="6120" w:type="dxa"/>
          </w:tcPr>
          <w:p w:rsidR="002A21AE" w:rsidRDefault="002A21AE">
            <w:pPr>
              <w:pStyle w:val="TableText"/>
            </w:pPr>
          </w:p>
        </w:tc>
      </w:tr>
      <w:tr w:rsidR="002A21AE">
        <w:tblPrEx>
          <w:tblCellMar>
            <w:top w:w="0" w:type="dxa"/>
            <w:bottom w:w="0" w:type="dxa"/>
          </w:tblCellMar>
        </w:tblPrEx>
        <w:tc>
          <w:tcPr>
            <w:tcW w:w="3240" w:type="dxa"/>
          </w:tcPr>
          <w:p w:rsidR="002A21AE" w:rsidRDefault="002A21AE">
            <w:pPr>
              <w:pStyle w:val="TableTextNumbers"/>
            </w:pPr>
            <w:r>
              <w:t xml:space="preserve">Click </w:t>
            </w:r>
            <w:r>
              <w:rPr>
                <w:b/>
              </w:rPr>
              <w:t>Cancel</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rsidR="002A21AE" w:rsidRDefault="002A21AE">
            <w:pPr>
              <w:pStyle w:val="TableText"/>
            </w:pPr>
          </w:p>
        </w:tc>
      </w:tr>
    </w:tbl>
    <w:p w:rsidR="009A7383" w:rsidRDefault="009A7383" w:rsidP="009A7383">
      <w:pPr>
        <w:pStyle w:val="Caption"/>
      </w:pPr>
      <w:bookmarkStart w:id="363" w:name="_Toc63680364"/>
      <w:bookmarkStart w:id="364" w:name="_Ref126652778"/>
      <w:r>
        <w:lastRenderedPageBreak/>
        <w:t xml:space="preserve">Figure </w:t>
      </w:r>
      <w:r w:rsidR="00C17F7C">
        <w:fldChar w:fldCharType="begin"/>
      </w:r>
      <w:r w:rsidR="00C17F7C">
        <w:instrText xml:space="preserve"> SEQ Figure \* ARABIC </w:instrText>
      </w:r>
      <w:r w:rsidR="00C17F7C">
        <w:fldChar w:fldCharType="separate"/>
      </w:r>
      <w:r w:rsidR="005F38BC">
        <w:rPr>
          <w:noProof/>
        </w:rPr>
        <w:t>90</w:t>
      </w:r>
      <w:r w:rsidR="00C17F7C">
        <w:fldChar w:fldCharType="end"/>
      </w:r>
      <w:bookmarkEnd w:id="364"/>
      <w:r>
        <w:t>: Edit Unit Financial Data</w:t>
      </w:r>
    </w:p>
    <w:p w:rsidR="009A7383" w:rsidRDefault="00634BFC" w:rsidP="009A7383">
      <w:pPr>
        <w:pStyle w:val="BodyText"/>
      </w:pPr>
      <w:r>
        <w:rPr>
          <w:noProof/>
        </w:rPr>
        <w:drawing>
          <wp:inline distT="0" distB="0" distL="0" distR="0">
            <wp:extent cx="5524500" cy="3876675"/>
            <wp:effectExtent l="0" t="0" r="0"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524500" cy="3876675"/>
                    </a:xfrm>
                    <a:prstGeom prst="rect">
                      <a:avLst/>
                    </a:prstGeom>
                    <a:noFill/>
                    <a:ln>
                      <a:noFill/>
                    </a:ln>
                  </pic:spPr>
                </pic:pic>
              </a:graphicData>
            </a:graphic>
          </wp:inline>
        </w:drawing>
      </w:r>
    </w:p>
    <w:p w:rsidR="002A21AE" w:rsidRDefault="002A21AE">
      <w:pPr>
        <w:pStyle w:val="Heading3"/>
      </w:pPr>
      <w:bookmarkStart w:id="365" w:name="_Toc459900121"/>
      <w:r>
        <w:t>Free Directed Unit For Crossover</w:t>
      </w:r>
      <w:bookmarkEnd w:id="365"/>
      <w:r w:rsidRPr="007716F7">
        <w:rPr>
          <w:vanish/>
        </w:rPr>
        <w:fldChar w:fldCharType="begin"/>
      </w:r>
      <w:r w:rsidRPr="007716F7">
        <w:rPr>
          <w:vanish/>
        </w:rPr>
        <w:instrText xml:space="preserve"> XE </w:instrText>
      </w:r>
      <w:r w:rsidR="00FA7E65" w:rsidRPr="007716F7">
        <w:rPr>
          <w:vanish/>
        </w:rPr>
        <w:instrText>“</w:instrText>
      </w:r>
      <w:r w:rsidRPr="007716F7">
        <w:rPr>
          <w:vanish/>
        </w:rPr>
        <w:instrText>Free Directed Unit For Crossover</w:instrText>
      </w:r>
      <w:r w:rsidR="00FA7E65" w:rsidRPr="007716F7">
        <w:rPr>
          <w:vanish/>
        </w:rPr>
        <w:instrText>”</w:instrText>
      </w:r>
      <w:r w:rsidRPr="007716F7">
        <w:rPr>
          <w:vanish/>
        </w:rPr>
        <w:instrText xml:space="preserve"> </w:instrText>
      </w:r>
      <w:r w:rsidRPr="007716F7">
        <w:rPr>
          <w:vanish/>
        </w:rPr>
        <w:fldChar w:fldCharType="end"/>
      </w:r>
      <w:r w:rsidRPr="007716F7">
        <w:rPr>
          <w:vanish/>
        </w:rPr>
        <w:t xml:space="preserve"> UC_71</w:t>
      </w:r>
    </w:p>
    <w:p w:rsidR="002A21AE" w:rsidRDefault="002A21AE" w:rsidP="00FA7E65">
      <w:pPr>
        <w:pStyle w:val="BodyText"/>
      </w:pPr>
      <w:r>
        <w:t xml:space="preserve">The user removes a patient restriction </w:t>
      </w:r>
      <w:r w:rsidR="00757A26">
        <w:t>from</w:t>
      </w:r>
      <w:r>
        <w:t xml:space="preserve"> a directed unit that is eligible for crossover, making that unit available for any patient, according to system rules. </w:t>
      </w:r>
    </w:p>
    <w:p w:rsidR="002A21AE" w:rsidRDefault="002A21AE">
      <w:pPr>
        <w:pStyle w:val="Heading4"/>
      </w:pPr>
      <w:r>
        <w:t>Assumptions</w:t>
      </w:r>
      <w:r>
        <w:rPr>
          <w:b w:val="0"/>
        </w:rPr>
        <w:t xml:space="preserve"> </w:t>
      </w:r>
    </w:p>
    <w:p w:rsidR="00852AC1" w:rsidRDefault="00852AC1">
      <w:pPr>
        <w:pStyle w:val="ListBullet"/>
      </w:pPr>
      <w:r>
        <w:t>The division is “full service.”</w:t>
      </w:r>
    </w:p>
    <w:p w:rsidR="002A21AE" w:rsidRDefault="002A21AE">
      <w:pPr>
        <w:pStyle w:val="ListBullet"/>
      </w:pPr>
      <w:r>
        <w:t>The unit and the user are in a blood bank in the same division.</w:t>
      </w:r>
    </w:p>
    <w:p w:rsidR="002A21AE" w:rsidRDefault="002A21AE">
      <w:pPr>
        <w:pStyle w:val="ListBullet"/>
      </w:pPr>
      <w:r>
        <w:t>The unit is restricted for a patient.</w:t>
      </w:r>
    </w:p>
    <w:p w:rsidR="002A21AE" w:rsidRDefault="002A21AE">
      <w:pPr>
        <w:pStyle w:val="ListBullet"/>
      </w:pPr>
      <w:r>
        <w:t xml:space="preserve">The unit is not autologous. </w:t>
      </w:r>
    </w:p>
    <w:p w:rsidR="002A21AE" w:rsidRDefault="002A21AE">
      <w:pPr>
        <w:pStyle w:val="ListBullet"/>
      </w:pPr>
      <w:r>
        <w:t>The unit is not in a final status.</w:t>
      </w:r>
    </w:p>
    <w:p w:rsidR="002A21AE" w:rsidRDefault="002A21AE">
      <w:pPr>
        <w:pStyle w:val="Heading4"/>
      </w:pPr>
      <w:r>
        <w:t xml:space="preserve">Outcome </w:t>
      </w:r>
    </w:p>
    <w:p w:rsidR="002A21AE" w:rsidRDefault="002A21AE">
      <w:pPr>
        <w:pStyle w:val="ListBullet"/>
      </w:pPr>
      <w:r>
        <w:t>The unit has no restrictions.</w:t>
      </w:r>
    </w:p>
    <w:p w:rsidR="002A21AE" w:rsidRDefault="002A21AE">
      <w:pPr>
        <w:pStyle w:val="ListBullet"/>
      </w:pPr>
      <w:r>
        <w:t>VBECS documents the restriction and its removal in the unit record.</w:t>
      </w:r>
    </w:p>
    <w:p w:rsidR="002A21AE" w:rsidRDefault="007A4F14">
      <w:pPr>
        <w:pStyle w:val="Heading4"/>
      </w:pPr>
      <w:r>
        <w:br w:type="page"/>
      </w:r>
      <w:r w:rsidR="002A21AE">
        <w:lastRenderedPageBreak/>
        <w:t>Limitations and Restrictions</w:t>
      </w:r>
      <w:r w:rsidR="002A21AE">
        <w:rPr>
          <w:b w:val="0"/>
        </w:rPr>
        <w:t xml:space="preserve"> </w:t>
      </w:r>
    </w:p>
    <w:p w:rsidR="002A21AE" w:rsidRDefault="002A21AE">
      <w:pPr>
        <w:pStyle w:val="ListBullet"/>
      </w:pPr>
      <w:r>
        <w:t xml:space="preserve">The unit must not be in a final status to release the restriction. </w:t>
      </w:r>
    </w:p>
    <w:p w:rsidR="002A21AE" w:rsidRDefault="002A21AE">
      <w:pPr>
        <w:pStyle w:val="ListBullet"/>
      </w:pPr>
      <w:r>
        <w:t>This option does not allow the removal of patient restrictions for most of the ISBT donation types that are eligible for crossover</w:t>
      </w:r>
      <w:r w:rsidR="00651291">
        <w:t>.</w:t>
      </w:r>
    </w:p>
    <w:p w:rsidR="002A21AE" w:rsidRDefault="002A21AE">
      <w:pPr>
        <w:pStyle w:val="ListBullet"/>
      </w:pPr>
      <w:r>
        <w:t>This option cannot process multiple directed units simultaneously.</w:t>
      </w:r>
    </w:p>
    <w:p w:rsidR="002A21AE" w:rsidRDefault="002A21AE">
      <w:pPr>
        <w:pStyle w:val="Heading4"/>
      </w:pPr>
      <w:r>
        <w:t xml:space="preserve">Additional Information </w:t>
      </w:r>
    </w:p>
    <w:p w:rsidR="00852AC1" w:rsidRPr="00852AC1" w:rsidRDefault="00852AC1" w:rsidP="00852AC1">
      <w:pPr>
        <w:pStyle w:val="ListBullet"/>
      </w:pPr>
      <w:r w:rsidRPr="00852AC1">
        <w:rPr>
          <w:snapToGrid w:val="0"/>
          <w:vanish/>
        </w:rPr>
        <w:t>BR_41.32</w:t>
      </w:r>
      <w:r>
        <w:rPr>
          <w:snapToGrid w:val="0"/>
        </w:rPr>
        <w:t xml:space="preserve">This option is disabled for transfusion-only facilities. </w:t>
      </w:r>
    </w:p>
    <w:p w:rsidR="002A21AE" w:rsidRDefault="002A21AE">
      <w:pPr>
        <w:pStyle w:val="Heading4"/>
        <w:rPr>
          <w:b w:val="0"/>
        </w:rPr>
      </w:pPr>
      <w:r>
        <w:t>User Roles with Access to This Option</w:t>
      </w:r>
      <w:r>
        <w:rPr>
          <w:b w:val="0"/>
        </w:rPr>
        <w:t xml:space="preserve"> </w:t>
      </w:r>
    </w:p>
    <w:p w:rsidR="002A21AE" w:rsidRDefault="00CD2BE3">
      <w:pPr>
        <w:pStyle w:val="Roles"/>
        <w:rPr>
          <w:snapToGrid w:val="0"/>
        </w:rPr>
      </w:pPr>
      <w:r w:rsidRPr="00EC7489">
        <w:rPr>
          <w:rFonts w:ascii="Wingdings 3" w:hAnsi="Wingdings 3" w:cs="Wingdings"/>
        </w:rPr>
        <w:t></w:t>
      </w:r>
      <w:r w:rsidRPr="00EC7489">
        <w:rPr>
          <w:rFonts w:ascii="Wingdings 3" w:hAnsi="Wingdings 3" w:cs="Wingdings"/>
        </w:rPr>
        <w:t></w:t>
      </w:r>
      <w:r>
        <w:t xml:space="preserve"> Enhanced Technologist</w:t>
      </w:r>
    </w:p>
    <w:p w:rsidR="002A21AE" w:rsidRDefault="002A21AE">
      <w:pPr>
        <w:pStyle w:val="Heading4"/>
      </w:pPr>
      <w:r>
        <w:t>Free Directed Unit For Crossover</w:t>
      </w:r>
    </w:p>
    <w:p w:rsidR="002A21AE" w:rsidRDefault="002A21AE" w:rsidP="00FA7E65">
      <w:pPr>
        <w:pStyle w:val="BodyText"/>
      </w:pPr>
      <w:r>
        <w:t>The user releases the restriction on a directed donor unit to make the unit available in general inventory.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pPr>
              <w:pStyle w:val="TableTextNumbers"/>
            </w:pPr>
            <w:r>
              <w:t xml:space="preserve">Select </w:t>
            </w:r>
            <w:r>
              <w:rPr>
                <w:b/>
              </w:rPr>
              <w:t xml:space="preserve">Blood Units </w:t>
            </w:r>
            <w:r>
              <w:t>from the main menu.</w:t>
            </w:r>
          </w:p>
          <w:p w:rsidR="002A21AE" w:rsidRDefault="002A21AE">
            <w:pPr>
              <w:pStyle w:val="TableTextNumbersContinued"/>
            </w:pPr>
          </w:p>
          <w:p w:rsidR="002A21AE" w:rsidRDefault="002A21AE">
            <w:pPr>
              <w:pStyle w:val="TableTextNumbersContinued"/>
            </w:pPr>
            <w:r>
              <w:t xml:space="preserve">Select </w:t>
            </w:r>
            <w:r>
              <w:rPr>
                <w:b/>
              </w:rPr>
              <w:t xml:space="preserve">Free Directed Unit </w:t>
            </w:r>
            <w:r w:rsidR="008251CD">
              <w:rPr>
                <w:b/>
              </w:rPr>
              <w:t>F</w:t>
            </w:r>
            <w:r>
              <w:rPr>
                <w:b/>
              </w:rPr>
              <w:t>or Crossover</w:t>
            </w:r>
            <w:r>
              <w:t>.</w:t>
            </w:r>
          </w:p>
        </w:tc>
        <w:tc>
          <w:tcPr>
            <w:tcW w:w="6120" w:type="dxa"/>
          </w:tcPr>
          <w:p w:rsidR="002A21AE" w:rsidRDefault="002A21AE">
            <w:pPr>
              <w:pStyle w:val="TableTextBullet"/>
            </w:pPr>
            <w:r>
              <w:t>Displays options for processing units.</w:t>
            </w:r>
          </w:p>
          <w:p w:rsidR="002A21AE" w:rsidRDefault="002A21AE">
            <w:pPr>
              <w:pStyle w:val="TableTextBullet"/>
            </w:pPr>
            <w:r>
              <w:t>Prompts the user to scan or enter the unit ID and product code.</w:t>
            </w:r>
          </w:p>
        </w:tc>
      </w:tr>
      <w:tr w:rsidR="002A21AE">
        <w:tblPrEx>
          <w:tblCellMar>
            <w:top w:w="0" w:type="dxa"/>
            <w:bottom w:w="0" w:type="dxa"/>
          </w:tblCellMar>
        </w:tblPrEx>
        <w:tc>
          <w:tcPr>
            <w:tcW w:w="3240" w:type="dxa"/>
          </w:tcPr>
          <w:p w:rsidR="002A21AE" w:rsidRDefault="002A21AE">
            <w:pPr>
              <w:pStyle w:val="TableTextNumbers"/>
            </w:pPr>
            <w:r>
              <w:t>Scan or enter the unit ID and product code for each unit.</w:t>
            </w:r>
          </w:p>
        </w:tc>
        <w:tc>
          <w:tcPr>
            <w:tcW w:w="6120" w:type="dxa"/>
          </w:tcPr>
          <w:p w:rsidR="002A21AE" w:rsidRDefault="002A21AE">
            <w:pPr>
              <w:pStyle w:val="TableTextBullet"/>
            </w:pPr>
            <w:r>
              <w:t>Displays the unit information.</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0345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55"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4" o:spid="_x0000_s1026"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lgoFA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t>When a user adds a directed unit to an undirected pool, VBECS queries the user regarding releasing the unit’s restriction.</w:t>
            </w:r>
          </w:p>
          <w:p w:rsidR="002A21AE" w:rsidRDefault="002A21AE">
            <w:pPr>
              <w:pStyle w:val="NotesText"/>
            </w:pPr>
          </w:p>
          <w:p w:rsidR="002A21AE" w:rsidRDefault="002A21AE">
            <w:pPr>
              <w:pStyle w:val="NotesText"/>
            </w:pPr>
            <w:r w:rsidRPr="00896F17">
              <w:rPr>
                <w:rStyle w:val="BullhornChar"/>
              </w:rPr>
              <w:t></w:t>
            </w:r>
            <w:r>
              <w:t xml:space="preserve"> </w:t>
            </w:r>
            <w:r>
              <w:rPr>
                <w:rFonts w:cs="Arial"/>
                <w:vanish/>
              </w:rPr>
              <w:t xml:space="preserve">BR_71.01 </w:t>
            </w:r>
            <w:r>
              <w:t xml:space="preserve">The unit must have a donation type of only Volunteer Directed, Eligible for Crossover. If not, VBECS warns that the unit has an invalid donation type and is in a final status.” </w:t>
            </w:r>
          </w:p>
          <w:p w:rsidR="002A21AE" w:rsidRDefault="002A21AE">
            <w:pPr>
              <w:pStyle w:val="NotesText"/>
            </w:pPr>
          </w:p>
          <w:p w:rsidR="002A21AE" w:rsidRDefault="002A21AE">
            <w:pPr>
              <w:pStyle w:val="NotesText"/>
            </w:pPr>
            <w:r w:rsidRPr="00896F17">
              <w:rPr>
                <w:rStyle w:val="BullhornChar"/>
              </w:rPr>
              <w:t></w:t>
            </w:r>
            <w:r>
              <w:rPr>
                <w:vanish/>
                <w:szCs w:val="18"/>
              </w:rPr>
              <w:t>BR_71.03</w:t>
            </w:r>
            <w:r>
              <w:t xml:space="preserve"> The unit must not be assigned to a patient to release the restriction. VBECS warns that the unit is currently assigned and that he must release the assignment before continuing.</w:t>
            </w:r>
          </w:p>
        </w:tc>
      </w:tr>
      <w:tr w:rsidR="002A21AE">
        <w:tblPrEx>
          <w:tblCellMar>
            <w:top w:w="0" w:type="dxa"/>
            <w:bottom w:w="0" w:type="dxa"/>
          </w:tblCellMar>
        </w:tblPrEx>
        <w:tc>
          <w:tcPr>
            <w:tcW w:w="3240" w:type="dxa"/>
          </w:tcPr>
          <w:p w:rsidR="002A21AE" w:rsidRDefault="002A21AE">
            <w:pPr>
              <w:pStyle w:val="TableTextNumbers"/>
            </w:pPr>
            <w:r>
              <w:t>Enter a date and time and possibly a different user, or accept the defaults</w:t>
            </w:r>
            <w:r w:rsidR="000860BB">
              <w:t xml:space="preserve"> (</w:t>
            </w:r>
            <w:r w:rsidR="000860BB">
              <w:fldChar w:fldCharType="begin"/>
            </w:r>
            <w:r w:rsidR="000860BB">
              <w:instrText xml:space="preserve"> REF _Ref126653339 \h </w:instrText>
            </w:r>
            <w:r w:rsidR="000860BB">
              <w:fldChar w:fldCharType="separate"/>
            </w:r>
            <w:r w:rsidR="005F38BC">
              <w:t xml:space="preserve">Figure </w:t>
            </w:r>
            <w:r w:rsidR="005F38BC">
              <w:rPr>
                <w:noProof/>
              </w:rPr>
              <w:t>91</w:t>
            </w:r>
            <w:r w:rsidR="000860BB">
              <w:fldChar w:fldCharType="end"/>
            </w:r>
            <w:r w:rsidR="000860BB">
              <w:t>)</w:t>
            </w:r>
            <w:r>
              <w:t>.</w:t>
            </w:r>
          </w:p>
          <w:p w:rsidR="002A21AE" w:rsidRDefault="002A21AE">
            <w:pPr>
              <w:pStyle w:val="TableTextNumbersContinued"/>
            </w:pPr>
          </w:p>
          <w:p w:rsidR="002A21AE" w:rsidRDefault="002A21AE">
            <w:pPr>
              <w:pStyle w:val="TableTextNumbersContinued"/>
            </w:pPr>
            <w:r>
              <w:t>Enter the required comment.</w:t>
            </w:r>
          </w:p>
        </w:tc>
        <w:tc>
          <w:tcPr>
            <w:tcW w:w="6120" w:type="dxa"/>
          </w:tcPr>
          <w:p w:rsidR="002A21AE" w:rsidRDefault="002A21AE">
            <w:pPr>
              <w:pStyle w:val="TableTextBullet"/>
            </w:pPr>
            <w:r>
              <w:t>Displays the unit information.</w:t>
            </w:r>
          </w:p>
          <w:p w:rsidR="002A21AE" w:rsidRDefault="002A21AE">
            <w:pPr>
              <w:pStyle w:val="TableTextBullet"/>
            </w:pPr>
            <w:r>
              <w:rPr>
                <w:vanish/>
                <w:szCs w:val="18"/>
              </w:rPr>
              <w:t xml:space="preserve">BR_71.04 </w:t>
            </w:r>
            <w:r w:rsidR="00263B24" w:rsidRPr="00896F17">
              <w:rPr>
                <w:rStyle w:val="BullhornChar"/>
              </w:rPr>
              <w:t></w:t>
            </w:r>
            <w:r w:rsidR="00263B24">
              <w:rPr>
                <w:rFonts w:ascii="Webdings" w:hAnsi="Webdings"/>
              </w:rPr>
              <w:t></w:t>
            </w:r>
            <w:r>
              <w:t xml:space="preserve">Emits an audible alert, requires a comment, and captures details for inclusion in an Exception Report (exception type: released patient restriction). </w:t>
            </w:r>
          </w:p>
        </w:tc>
      </w:tr>
      <w:tr w:rsidR="00F9533F">
        <w:tblPrEx>
          <w:tblCellMar>
            <w:top w:w="0" w:type="dxa"/>
            <w:bottom w:w="0" w:type="dxa"/>
          </w:tblCellMar>
        </w:tblPrEx>
        <w:tc>
          <w:tcPr>
            <w:tcW w:w="3240" w:type="dxa"/>
          </w:tcPr>
          <w:p w:rsidR="00F9533F" w:rsidRDefault="00F9533F" w:rsidP="00FA7E65">
            <w:pPr>
              <w:pStyle w:val="TableTextNumbers"/>
            </w:pPr>
            <w:r>
              <w:t xml:space="preserve">Click </w:t>
            </w:r>
            <w:r>
              <w:rPr>
                <w:b/>
              </w:rPr>
              <w:t>OK</w:t>
            </w:r>
            <w:r>
              <w:t xml:space="preserve"> to process the unit and add it to available inventory.</w:t>
            </w:r>
          </w:p>
        </w:tc>
        <w:tc>
          <w:tcPr>
            <w:tcW w:w="6120" w:type="dxa"/>
          </w:tcPr>
          <w:p w:rsidR="00F9533F" w:rsidRDefault="00F9533F" w:rsidP="00FA7E65">
            <w:pPr>
              <w:pStyle w:val="TableTextBullet"/>
            </w:pPr>
            <w:r>
              <w:t xml:space="preserve">Displays the return time, the editable (past date and time) field (default: current date and time), and the list of users for selection. </w:t>
            </w:r>
          </w:p>
          <w:p w:rsidR="00F9533F" w:rsidRDefault="00F9533F" w:rsidP="00F9533F">
            <w:pPr>
              <w:pStyle w:val="TableTextBullet"/>
            </w:pPr>
            <w:r>
              <w:t xml:space="preserve">Saves the information to the database. </w:t>
            </w:r>
          </w:p>
          <w:p w:rsidR="00F9533F" w:rsidRDefault="00F9533F" w:rsidP="00F9533F">
            <w:pPr>
              <w:pStyle w:val="TableTextBullet"/>
            </w:pPr>
            <w:r>
              <w:t>Changes the donation type of the unit to “Voluntary Allogeneic” and removes the restriction associated with the unit.</w:t>
            </w:r>
          </w:p>
        </w:tc>
      </w:tr>
      <w:tr w:rsidR="002A21AE">
        <w:tblPrEx>
          <w:tblCellMar>
            <w:top w:w="0" w:type="dxa"/>
            <w:bottom w:w="0" w:type="dxa"/>
          </w:tblCellMar>
        </w:tblPrEx>
        <w:tc>
          <w:tcPr>
            <w:tcW w:w="3240" w:type="dxa"/>
          </w:tcPr>
          <w:p w:rsidR="002A21AE" w:rsidRDefault="008251CD" w:rsidP="00F9533F">
            <w:pPr>
              <w:pStyle w:val="TableTextNumbers"/>
            </w:pPr>
            <w:r>
              <w:t xml:space="preserve">Click </w:t>
            </w:r>
            <w:r w:rsidRPr="008251CD">
              <w:rPr>
                <w:b/>
              </w:rPr>
              <w:t>Yes</w:t>
            </w:r>
            <w:r>
              <w:t xml:space="preserve"> to confirm</w:t>
            </w:r>
            <w:r w:rsidR="00F9533F">
              <w:t xml:space="preserve"> the save</w:t>
            </w:r>
            <w:r w:rsidR="002A21AE">
              <w:t xml:space="preserve">. </w:t>
            </w:r>
            <w:r w:rsidR="002A21AE">
              <w:rPr>
                <w:rStyle w:val="TableTextNumbersChar"/>
                <w:vanish/>
                <w:color w:val="FFFFFF"/>
                <w:szCs w:val="18"/>
              </w:rPr>
              <w:fldChar w:fldCharType="begin"/>
            </w:r>
            <w:r w:rsidR="002A21AE">
              <w:rPr>
                <w:rStyle w:val="TableTextNumbersChar"/>
                <w:vanish/>
                <w:color w:val="FFFFFF"/>
                <w:szCs w:val="18"/>
              </w:rPr>
              <w:instrText xml:space="preserve"> LISTNUM \l 1 \s 0 </w:instrText>
            </w:r>
            <w:r w:rsidR="002A21AE">
              <w:rPr>
                <w:rStyle w:val="TableTextNumbersChar"/>
                <w:vanish/>
                <w:color w:val="FFFFFF"/>
                <w:szCs w:val="18"/>
              </w:rPr>
              <w:fldChar w:fldCharType="end"/>
            </w:r>
          </w:p>
        </w:tc>
        <w:tc>
          <w:tcPr>
            <w:tcW w:w="6120" w:type="dxa"/>
          </w:tcPr>
          <w:p w:rsidR="002A21AE" w:rsidRDefault="002A21AE" w:rsidP="00771DBD">
            <w:pPr>
              <w:pStyle w:val="TableText"/>
            </w:pPr>
          </w:p>
        </w:tc>
      </w:tr>
    </w:tbl>
    <w:p w:rsidR="000860BB" w:rsidRDefault="000860BB" w:rsidP="000860BB">
      <w:pPr>
        <w:pStyle w:val="Caption"/>
      </w:pPr>
      <w:bookmarkStart w:id="366" w:name="_Ref126653339"/>
      <w:r>
        <w:lastRenderedPageBreak/>
        <w:t xml:space="preserve">Figure </w:t>
      </w:r>
      <w:r w:rsidR="00C17F7C">
        <w:fldChar w:fldCharType="begin"/>
      </w:r>
      <w:r w:rsidR="00C17F7C">
        <w:instrText xml:space="preserve"> SEQ Figure \* ARABIC </w:instrText>
      </w:r>
      <w:r w:rsidR="00C17F7C">
        <w:fldChar w:fldCharType="separate"/>
      </w:r>
      <w:r w:rsidR="005F38BC">
        <w:rPr>
          <w:noProof/>
        </w:rPr>
        <w:t>91</w:t>
      </w:r>
      <w:r w:rsidR="00C17F7C">
        <w:fldChar w:fldCharType="end"/>
      </w:r>
      <w:bookmarkEnd w:id="366"/>
      <w:r>
        <w:t>: Free Directed Unit For Crossover</w:t>
      </w:r>
    </w:p>
    <w:p w:rsidR="000860BB" w:rsidRDefault="00634BFC" w:rsidP="000860BB">
      <w:pPr>
        <w:pStyle w:val="BodyText"/>
      </w:pPr>
      <w:r>
        <w:rPr>
          <w:noProof/>
        </w:rPr>
        <w:drawing>
          <wp:inline distT="0" distB="0" distL="0" distR="0">
            <wp:extent cx="5715000" cy="3800475"/>
            <wp:effectExtent l="0" t="0" r="0"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15000" cy="3800475"/>
                    </a:xfrm>
                    <a:prstGeom prst="rect">
                      <a:avLst/>
                    </a:prstGeom>
                    <a:noFill/>
                    <a:ln>
                      <a:noFill/>
                    </a:ln>
                  </pic:spPr>
                </pic:pic>
              </a:graphicData>
            </a:graphic>
          </wp:inline>
        </w:drawing>
      </w:r>
    </w:p>
    <w:p w:rsidR="002A21AE" w:rsidRDefault="002A21AE">
      <w:pPr>
        <w:pStyle w:val="Heading3"/>
      </w:pPr>
      <w:bookmarkStart w:id="367" w:name="_Toc459900122"/>
      <w:r>
        <w:t>Discard or Quarantine</w:t>
      </w:r>
      <w:bookmarkEnd w:id="367"/>
      <w:r w:rsidRPr="007716F7">
        <w:rPr>
          <w:vanish/>
        </w:rPr>
        <w:fldChar w:fldCharType="begin"/>
      </w:r>
      <w:r w:rsidRPr="007716F7">
        <w:rPr>
          <w:vanish/>
        </w:rPr>
        <w:instrText xml:space="preserve"> XE </w:instrText>
      </w:r>
      <w:r w:rsidR="00FA7E65" w:rsidRPr="007716F7">
        <w:rPr>
          <w:vanish/>
        </w:rPr>
        <w:instrText>“</w:instrText>
      </w:r>
      <w:r w:rsidRPr="007716F7">
        <w:rPr>
          <w:vanish/>
        </w:rPr>
        <w:instrText>Discard or Quarantine</w:instrText>
      </w:r>
      <w:r w:rsidR="00FA7E65" w:rsidRPr="007716F7">
        <w:rPr>
          <w:vanish/>
        </w:rPr>
        <w:instrText>”</w:instrText>
      </w:r>
      <w:r w:rsidRPr="007716F7">
        <w:rPr>
          <w:vanish/>
        </w:rPr>
        <w:instrText xml:space="preserve"> </w:instrText>
      </w:r>
      <w:r w:rsidRPr="007716F7">
        <w:rPr>
          <w:vanish/>
        </w:rPr>
        <w:fldChar w:fldCharType="end"/>
      </w:r>
      <w:r w:rsidRPr="007716F7">
        <w:rPr>
          <w:vanish/>
        </w:rPr>
        <w:t xml:space="preserve"> UC_27</w:t>
      </w:r>
    </w:p>
    <w:p w:rsidR="002A21AE" w:rsidRDefault="002A21AE" w:rsidP="00FA7E65">
      <w:pPr>
        <w:pStyle w:val="BodyText"/>
      </w:pPr>
      <w:r>
        <w:t>The user discards, quarantines, or releases from quarantine one or more units of blood.</w:t>
      </w:r>
    </w:p>
    <w:p w:rsidR="002A21AE" w:rsidRDefault="002A21AE">
      <w:pPr>
        <w:pStyle w:val="Heading4"/>
      </w:pPr>
      <w:r>
        <w:t>Assumptions</w:t>
      </w:r>
      <w:r>
        <w:rPr>
          <w:b w:val="0"/>
        </w:rPr>
        <w:t xml:space="preserve"> </w:t>
      </w:r>
    </w:p>
    <w:p w:rsidR="002A21AE" w:rsidRDefault="002A21AE">
      <w:pPr>
        <w:pStyle w:val="ListBullet"/>
      </w:pPr>
      <w:r>
        <w:t>The unit of blood is in the same division as the user.</w:t>
      </w:r>
    </w:p>
    <w:p w:rsidR="002A21AE" w:rsidRDefault="002A21AE">
      <w:pPr>
        <w:pStyle w:val="Heading4"/>
      </w:pPr>
      <w:r>
        <w:t xml:space="preserve">Outcome </w:t>
      </w:r>
    </w:p>
    <w:p w:rsidR="002A21AE" w:rsidRDefault="00AE3CC7">
      <w:pPr>
        <w:pStyle w:val="ListBullet"/>
      </w:pPr>
      <w:r>
        <w:rPr>
          <w:noProof/>
        </w:rPr>
        <w:t>Discarded</w:t>
      </w:r>
      <w:r w:rsidR="002A21AE">
        <w:t xml:space="preserve"> units are not available.</w:t>
      </w:r>
    </w:p>
    <w:p w:rsidR="002A21AE" w:rsidRDefault="002A21AE">
      <w:pPr>
        <w:pStyle w:val="ListBullet"/>
      </w:pPr>
      <w:r>
        <w:t>Quarantined units are available for limited processing, not for patient assignment.</w:t>
      </w:r>
    </w:p>
    <w:p w:rsidR="002A21AE" w:rsidRDefault="002A21AE">
      <w:pPr>
        <w:pStyle w:val="ListBullet"/>
      </w:pPr>
      <w:r>
        <w:t>Units release</w:t>
      </w:r>
      <w:r>
        <w:rPr>
          <w:noProof/>
        </w:rPr>
        <w:t>d from quarantine are available.</w:t>
      </w:r>
    </w:p>
    <w:p w:rsidR="002A21AE" w:rsidRDefault="002A21AE">
      <w:pPr>
        <w:pStyle w:val="Heading4"/>
        <w:rPr>
          <w:b w:val="0"/>
        </w:rPr>
      </w:pPr>
      <w:r>
        <w:t>Limitations and Restrictions</w:t>
      </w:r>
      <w:r>
        <w:rPr>
          <w:b w:val="0"/>
        </w:rPr>
        <w:t xml:space="preserve"> </w:t>
      </w:r>
    </w:p>
    <w:p w:rsidR="002A21AE" w:rsidRDefault="00581FC8" w:rsidP="00581FC8">
      <w:pPr>
        <w:pStyle w:val="ListBullet"/>
      </w:pPr>
      <w:r>
        <w:t xml:space="preserve">When a user retroactively updates a unit status through this option, the Unit History Report displays the updated information, but does not display the date the change was made. </w:t>
      </w:r>
    </w:p>
    <w:p w:rsidR="002A21AE" w:rsidRDefault="002A21AE">
      <w:pPr>
        <w:pStyle w:val="Heading4"/>
        <w:rPr>
          <w:b w:val="0"/>
        </w:rPr>
      </w:pPr>
      <w:r>
        <w:t>Additional Information</w:t>
      </w:r>
      <w:r>
        <w:rPr>
          <w:b w:val="0"/>
        </w:rPr>
        <w:t xml:space="preserve"> </w:t>
      </w:r>
    </w:p>
    <w:p w:rsidR="002A21AE" w:rsidRDefault="002A21AE">
      <w:pPr>
        <w:pStyle w:val="ListBullet"/>
      </w:pPr>
      <w:r>
        <w:t xml:space="preserve">None </w:t>
      </w:r>
    </w:p>
    <w:p w:rsidR="002A21AE" w:rsidRDefault="002A21AE">
      <w:pPr>
        <w:pStyle w:val="Heading4"/>
        <w:rPr>
          <w:snapToGrid w:val="0"/>
        </w:rPr>
      </w:pPr>
      <w:r>
        <w:rPr>
          <w:snapToGrid w:val="0"/>
        </w:rPr>
        <w:t>User Roles with Access to This Option</w:t>
      </w:r>
    </w:p>
    <w:p w:rsidR="00FC61FD" w:rsidRDefault="00FC61FD" w:rsidP="00FC61FD">
      <w:pPr>
        <w:pStyle w:val="Roles"/>
        <w:rPr>
          <w:snapToGrid w:val="0"/>
        </w:rPr>
      </w:pPr>
      <w:r>
        <w:rPr>
          <w:snapToGrid w:val="0"/>
        </w:rPr>
        <w:t>All users</w:t>
      </w:r>
    </w:p>
    <w:p w:rsidR="008442AA" w:rsidRDefault="008442AA" w:rsidP="008442AA">
      <w:pPr>
        <w:pStyle w:val="Roles"/>
        <w:rPr>
          <w:rFonts w:ascii="Wingdings 3" w:hAnsi="Wingdings 3" w:cs="Wingdings"/>
        </w:rPr>
      </w:pPr>
      <w:r w:rsidRPr="00EC7489">
        <w:rPr>
          <w:rFonts w:ascii="Wingdings 3" w:hAnsi="Wingdings 3" w:cs="Wingdings"/>
        </w:rPr>
        <w:t></w:t>
      </w:r>
      <w:r w:rsidRPr="00EC7489">
        <w:rPr>
          <w:rFonts w:ascii="Wingdings 3" w:hAnsi="Wingdings 3" w:cs="Wingdings"/>
        </w:rPr>
        <w:t></w:t>
      </w:r>
      <w:r>
        <w:t xml:space="preserve"> Enhanced Technologist (release blood products from quarantine)</w:t>
      </w:r>
      <w:r>
        <w:rPr>
          <w:vanish/>
        </w:rPr>
        <w:t>BR_27.17</w:t>
      </w:r>
      <w:r>
        <w:t xml:space="preserve"> </w:t>
      </w:r>
    </w:p>
    <w:p w:rsidR="002A21AE" w:rsidRDefault="002A21AE">
      <w:pPr>
        <w:pStyle w:val="Heading4"/>
      </w:pPr>
      <w:r>
        <w:lastRenderedPageBreak/>
        <w:t>Discard or Quarantine</w:t>
      </w:r>
    </w:p>
    <w:p w:rsidR="002A21AE" w:rsidRDefault="002A21AE" w:rsidP="00FA7E65">
      <w:pPr>
        <w:pStyle w:val="BodyText"/>
      </w:pPr>
      <w:r>
        <w:t xml:space="preserve">The user changes the status (discard, quarantine, release from quarantine) of one or more units of blood. The user must indicate the ID and product code of the units to be updated. VBECS also allows batch data entry to process all units from an invoice. </w:t>
      </w:r>
    </w:p>
    <w:p w:rsidR="002A21AE" w:rsidRDefault="002A21AE" w:rsidP="00FA7E65">
      <w:pPr>
        <w:pStyle w:val="BodyText"/>
      </w:pPr>
      <w:r>
        <w:t xml:space="preserve">A quarantined unit has limited availability for continued processing. Under certain circumstances, VBECS assigns quarantine status automatically; otherwise, the user determines and enters the status. The user must </w:t>
      </w:r>
      <w:r w:rsidR="00D923F9">
        <w:t>specify</w:t>
      </w:r>
      <w:r>
        <w:t xml:space="preserve"> whether a discarded unit is for credit or for waste, which determines whether or not a return credit is assigned to the selected unit.</w:t>
      </w:r>
    </w:p>
    <w:p w:rsidR="007F12F1" w:rsidRDefault="007F12F1" w:rsidP="007F12F1">
      <w:pPr>
        <w:pStyle w:val="Heading4"/>
      </w:pPr>
      <w:r>
        <w:t>Discard or Quarantine Individual Units</w:t>
      </w:r>
      <w:r>
        <w:fldChar w:fldCharType="begin"/>
      </w:r>
      <w:r>
        <w:instrText xml:space="preserve"> XE "</w:instrText>
      </w:r>
      <w:r w:rsidRPr="00561E3F">
        <w:instrText>Discard or Quarantine Individual Units</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pPr>
              <w:pStyle w:val="TableTextNumbers"/>
            </w:pPr>
            <w:r>
              <w:t xml:space="preserve">Select </w:t>
            </w:r>
            <w:r>
              <w:rPr>
                <w:b/>
              </w:rPr>
              <w:t>Blood Units</w:t>
            </w:r>
            <w:r>
              <w:t xml:space="preserve"> from the main menu.</w:t>
            </w:r>
          </w:p>
          <w:p w:rsidR="002A21AE" w:rsidRDefault="002A21AE">
            <w:pPr>
              <w:pStyle w:val="TableTextNumbersContinued"/>
            </w:pPr>
          </w:p>
          <w:p w:rsidR="002A21AE" w:rsidRDefault="002A21AE">
            <w:pPr>
              <w:pStyle w:val="TableTextNumbersContinued"/>
            </w:pPr>
            <w:r>
              <w:t xml:space="preserve">Select </w:t>
            </w:r>
            <w:r>
              <w:rPr>
                <w:b/>
              </w:rPr>
              <w:t>Discard or Quarantine</w:t>
            </w:r>
            <w:r>
              <w:t>.</w:t>
            </w:r>
          </w:p>
        </w:tc>
        <w:tc>
          <w:tcPr>
            <w:tcW w:w="6120" w:type="dxa"/>
          </w:tcPr>
          <w:p w:rsidR="002A21AE" w:rsidRDefault="002A21AE">
            <w:pPr>
              <w:pStyle w:val="TableTextBullet"/>
            </w:pPr>
            <w:r>
              <w:t>Displays options for processing blood units.</w:t>
            </w:r>
          </w:p>
          <w:p w:rsidR="002A21AE" w:rsidRDefault="002A21AE">
            <w:pPr>
              <w:pStyle w:val="TableTextBullet"/>
            </w:pPr>
            <w:r>
              <w:t>Displays fields for entering unit information.</w:t>
            </w:r>
          </w:p>
          <w:p w:rsidR="002A21AE" w:rsidRDefault="002A21AE">
            <w:pPr>
              <w:pStyle w:val="TableTextBullet"/>
            </w:pPr>
            <w:r>
              <w:t xml:space="preserve">Allows </w:t>
            </w:r>
            <w:r w:rsidR="00CE0AAB">
              <w:t xml:space="preserve">the user to </w:t>
            </w:r>
            <w:r>
              <w:t>discard or quarantine</w:t>
            </w:r>
            <w:r w:rsidR="00CE0AAB">
              <w:t xml:space="preserve"> individual units</w:t>
            </w:r>
            <w:r>
              <w:t>.</w:t>
            </w:r>
          </w:p>
        </w:tc>
      </w:tr>
      <w:tr w:rsidR="002A21AE">
        <w:tblPrEx>
          <w:tblCellMar>
            <w:top w:w="0" w:type="dxa"/>
            <w:bottom w:w="0" w:type="dxa"/>
          </w:tblCellMar>
        </w:tblPrEx>
        <w:tc>
          <w:tcPr>
            <w:tcW w:w="3240" w:type="dxa"/>
          </w:tcPr>
          <w:p w:rsidR="002A21AE" w:rsidRDefault="002A21AE">
            <w:pPr>
              <w:pStyle w:val="TableTextNumbers"/>
            </w:pPr>
            <w:r>
              <w:t>Enter an ID and product code</w:t>
            </w:r>
            <w:r w:rsidR="009535FF">
              <w:t xml:space="preserve"> for a blood unit</w:t>
            </w:r>
            <w:r>
              <w:t>.</w:t>
            </w:r>
          </w:p>
        </w:tc>
        <w:tc>
          <w:tcPr>
            <w:tcW w:w="6120" w:type="dxa"/>
          </w:tcPr>
          <w:p w:rsidR="002A21AE" w:rsidRDefault="002A21AE">
            <w:pPr>
              <w:pStyle w:val="TableTextBullet"/>
            </w:pPr>
            <w:r>
              <w:t xml:space="preserve">When a unit is appropriate for processing, displays unit information, including the current status. </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0412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54"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YIaFgIAAC0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AP&#10;pYIaFgIAAC0EAAAOAAAAAAAAAAAAAAAAAC4CAABkcnMvZTJvRG9jLnhtbFBLAQItABQABgAIAAAA&#10;IQAXTzAS2wAAAAgBAAAPAAAAAAAAAAAAAAAAAHAEAABkcnMvZG93bnJldi54bWxQSwUGAAAAAAQA&#10;BADzAAAAeAU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t>The user may deselect units prior to editing.</w:t>
            </w:r>
          </w:p>
        </w:tc>
      </w:tr>
      <w:tr w:rsidR="009535FF">
        <w:tblPrEx>
          <w:tblCellMar>
            <w:top w:w="0" w:type="dxa"/>
            <w:bottom w:w="0" w:type="dxa"/>
          </w:tblCellMar>
        </w:tblPrEx>
        <w:tc>
          <w:tcPr>
            <w:tcW w:w="3240" w:type="dxa"/>
          </w:tcPr>
          <w:p w:rsidR="009535FF" w:rsidRDefault="009535FF">
            <w:pPr>
              <w:pStyle w:val="TableTextNumbers"/>
            </w:pPr>
            <w:r>
              <w:t xml:space="preserve">Click </w:t>
            </w:r>
            <w:r w:rsidRPr="009535FF">
              <w:rPr>
                <w:b/>
              </w:rPr>
              <w:t>Select</w:t>
            </w:r>
            <w:r>
              <w:t xml:space="preserve"> to add the selected unit to the worklist, or click </w:t>
            </w:r>
            <w:r w:rsidRPr="009535FF">
              <w:rPr>
                <w:b/>
              </w:rPr>
              <w:t>Clear</w:t>
            </w:r>
            <w:r>
              <w:t xml:space="preserve"> to select another unit.</w:t>
            </w:r>
          </w:p>
        </w:tc>
        <w:tc>
          <w:tcPr>
            <w:tcW w:w="6120" w:type="dxa"/>
          </w:tcPr>
          <w:p w:rsidR="009535FF" w:rsidRDefault="00CE0AAB">
            <w:pPr>
              <w:pStyle w:val="TableTextBullet"/>
            </w:pPr>
            <w:r>
              <w:t>Adds the unit to a temporary list of selected units.</w:t>
            </w:r>
          </w:p>
        </w:tc>
      </w:tr>
      <w:tr w:rsidR="002A21AE">
        <w:tblPrEx>
          <w:tblCellMar>
            <w:top w:w="0" w:type="dxa"/>
            <w:bottom w:w="0" w:type="dxa"/>
          </w:tblCellMar>
        </w:tblPrEx>
        <w:tc>
          <w:tcPr>
            <w:tcW w:w="3240" w:type="dxa"/>
          </w:tcPr>
          <w:p w:rsidR="002A21AE" w:rsidRDefault="002A21AE">
            <w:pPr>
              <w:pStyle w:val="TableTextNumbers"/>
            </w:pPr>
            <w:r>
              <w:t>Repeat Step 3, as needed, to process multiple blood units as a single batch.</w:t>
            </w:r>
          </w:p>
          <w:p w:rsidR="009535FF" w:rsidRDefault="009535FF" w:rsidP="009535FF">
            <w:pPr>
              <w:pStyle w:val="TableTextNumbersContinued"/>
            </w:pPr>
          </w:p>
          <w:p w:rsidR="009535FF" w:rsidRDefault="009535FF" w:rsidP="009535FF">
            <w:pPr>
              <w:pStyle w:val="TableTextNumbersContinued"/>
            </w:pPr>
            <w:r>
              <w:t xml:space="preserve">Click </w:t>
            </w:r>
            <w:r w:rsidRPr="009535FF">
              <w:rPr>
                <w:b/>
              </w:rPr>
              <w:t>OK</w:t>
            </w:r>
            <w:r>
              <w:t xml:space="preserve"> to continue.</w:t>
            </w:r>
          </w:p>
        </w:tc>
        <w:tc>
          <w:tcPr>
            <w:tcW w:w="6120" w:type="dxa"/>
          </w:tcPr>
          <w:p w:rsidR="002A21AE" w:rsidRDefault="002A21AE">
            <w:pPr>
              <w:pStyle w:val="TableTextBullet"/>
            </w:pPr>
            <w:r>
              <w:t>Displays selected units.</w:t>
            </w:r>
          </w:p>
        </w:tc>
      </w:tr>
      <w:tr w:rsidR="002A21AE">
        <w:tblPrEx>
          <w:tblCellMar>
            <w:top w:w="0" w:type="dxa"/>
            <w:bottom w:w="0" w:type="dxa"/>
          </w:tblCellMar>
        </w:tblPrEx>
        <w:tc>
          <w:tcPr>
            <w:tcW w:w="3240" w:type="dxa"/>
          </w:tcPr>
          <w:p w:rsidR="002A21AE" w:rsidRDefault="009535FF">
            <w:pPr>
              <w:pStyle w:val="TableTextNumbers"/>
            </w:pPr>
            <w:r>
              <w:t xml:space="preserve">In the Activity area, click the </w:t>
            </w:r>
            <w:r w:rsidRPr="009535FF">
              <w:rPr>
                <w:b/>
              </w:rPr>
              <w:t>Discard</w:t>
            </w:r>
            <w:r>
              <w:t xml:space="preserve">, </w:t>
            </w:r>
            <w:r w:rsidRPr="009535FF">
              <w:rPr>
                <w:b/>
              </w:rPr>
              <w:t>Quarantine</w:t>
            </w:r>
            <w:r>
              <w:t xml:space="preserve">, or </w:t>
            </w:r>
            <w:r w:rsidRPr="009535FF">
              <w:rPr>
                <w:b/>
              </w:rPr>
              <w:t xml:space="preserve">Release from Quarantine </w:t>
            </w:r>
            <w:r w:rsidRPr="00BF2E41">
              <w:t>radio button</w:t>
            </w:r>
            <w:r w:rsidR="00550732">
              <w:rPr>
                <w:b/>
              </w:rPr>
              <w:t xml:space="preserve"> </w:t>
            </w:r>
            <w:r w:rsidR="00550732" w:rsidRPr="00550732">
              <w:t>(</w:t>
            </w:r>
            <w:r w:rsidR="00C40441">
              <w:fldChar w:fldCharType="begin"/>
            </w:r>
            <w:r w:rsidR="00C40441">
              <w:instrText xml:space="preserve"> REF _Ref126653702 \h </w:instrText>
            </w:r>
            <w:r w:rsidR="00C40441">
              <w:fldChar w:fldCharType="separate"/>
            </w:r>
            <w:r w:rsidR="005F38BC">
              <w:t xml:space="preserve">Figure </w:t>
            </w:r>
            <w:r w:rsidR="005F38BC">
              <w:rPr>
                <w:noProof/>
              </w:rPr>
              <w:t>92</w:t>
            </w:r>
            <w:r w:rsidR="00C40441">
              <w:fldChar w:fldCharType="end"/>
            </w:r>
            <w:r w:rsidR="00550732" w:rsidRPr="00550732">
              <w:t>)</w:t>
            </w:r>
            <w:r>
              <w:t>.</w:t>
            </w:r>
            <w:r w:rsidR="002A21AE">
              <w:t xml:space="preserve"> </w:t>
            </w:r>
          </w:p>
        </w:tc>
        <w:tc>
          <w:tcPr>
            <w:tcW w:w="6120" w:type="dxa"/>
          </w:tcPr>
          <w:p w:rsidR="002A21AE" w:rsidRDefault="00634BFC">
            <w:pPr>
              <w:pStyle w:val="TableText"/>
              <w:rPr>
                <w:b/>
                <w:bCs/>
                <w:szCs w:val="18"/>
              </w:rPr>
            </w:pPr>
            <w:r>
              <w:rPr>
                <w:b/>
                <w:bCs/>
                <w:noProof/>
              </w:rPr>
              <mc:AlternateContent>
                <mc:Choice Requires="wps">
                  <w:drawing>
                    <wp:anchor distT="0" distB="0" distL="114300" distR="114300" simplePos="0" relativeHeight="25150515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53"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HNuFQ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HBg&#10;c24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4356BF">
            <w:pPr>
              <w:pStyle w:val="NotesText"/>
            </w:pPr>
            <w:r w:rsidRPr="00EC7489">
              <w:rPr>
                <w:rFonts w:ascii="Wingdings 3" w:hAnsi="Wingdings 3" w:cs="Wingdings"/>
              </w:rPr>
              <w:t></w:t>
            </w:r>
            <w:r w:rsidRPr="00EC7489">
              <w:rPr>
                <w:rFonts w:ascii="Wingdings 3" w:hAnsi="Wingdings 3" w:cs="Wingdings"/>
              </w:rPr>
              <w:t></w:t>
            </w:r>
            <w:r w:rsidRPr="004356BF">
              <w:t xml:space="preserve"> The Enhanced Technologist may release a unit from quarantine.</w:t>
            </w:r>
          </w:p>
        </w:tc>
      </w:tr>
      <w:tr w:rsidR="002A21AE">
        <w:tblPrEx>
          <w:tblCellMar>
            <w:top w:w="0" w:type="dxa"/>
            <w:bottom w:w="0" w:type="dxa"/>
          </w:tblCellMar>
        </w:tblPrEx>
        <w:tc>
          <w:tcPr>
            <w:tcW w:w="3240" w:type="dxa"/>
          </w:tcPr>
          <w:p w:rsidR="002A21AE" w:rsidRDefault="009535FF">
            <w:pPr>
              <w:pStyle w:val="TableTextNumbers"/>
            </w:pPr>
            <w:r>
              <w:t xml:space="preserve">Select or enter a comment in the Comment </w:t>
            </w:r>
            <w:r w:rsidR="00A41AE1">
              <w:t>field</w:t>
            </w:r>
            <w:r>
              <w:t xml:space="preserve"> to explain the change in status, when indicated</w:t>
            </w:r>
            <w:r w:rsidR="002A21AE">
              <w:t>.</w:t>
            </w:r>
            <w:r>
              <w:t xml:space="preserve"> Enter details, as needed.</w:t>
            </w:r>
          </w:p>
        </w:tc>
        <w:tc>
          <w:tcPr>
            <w:tcW w:w="6120" w:type="dxa"/>
          </w:tcPr>
          <w:p w:rsidR="002A21AE" w:rsidRDefault="002A21AE">
            <w:pPr>
              <w:pStyle w:val="TableTextBullet"/>
            </w:pPr>
            <w:r>
              <w:t>Displays entered data.</w:t>
            </w:r>
          </w:p>
          <w:p w:rsidR="004356BF" w:rsidRDefault="004356BF" w:rsidP="004356BF">
            <w:pPr>
              <w:pStyle w:val="TableText"/>
            </w:pPr>
          </w:p>
          <w:p w:rsidR="004356BF" w:rsidRDefault="00634BFC" w:rsidP="004356BF">
            <w:pPr>
              <w:pStyle w:val="TableText"/>
              <w:rPr>
                <w:b/>
                <w:bCs/>
                <w:szCs w:val="18"/>
              </w:rPr>
            </w:pPr>
            <w:r>
              <w:rPr>
                <w:b/>
                <w:bCs/>
                <w:noProof/>
              </w:rPr>
              <mc:AlternateContent>
                <mc:Choice Requires="wps">
                  <w:drawing>
                    <wp:anchor distT="0" distB="0" distL="114300" distR="114300" simplePos="0" relativeHeight="25171200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52" name="Line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9"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M/vFQIAAC4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DGw&#10;z+8VAgAALgQAAA4AAAAAAAAAAAAAAAAALgIAAGRycy9lMm9Eb2MueG1sUEsBAi0AFAAGAAgAAAAh&#10;ABdPMBLbAAAACAEAAA8AAAAAAAAAAAAAAAAAbwQAAGRycy9kb3ducmV2LnhtbFBLBQYAAAAABAAE&#10;APMAAAB3BQAAAAA=&#10;" strokeweight="1.5pt"/>
                  </w:pict>
                </mc:Fallback>
              </mc:AlternateContent>
            </w:r>
            <w:r w:rsidR="004356BF">
              <w:rPr>
                <w:b/>
                <w:bCs/>
                <w:szCs w:val="18"/>
              </w:rPr>
              <w:t>NOTES</w:t>
            </w:r>
          </w:p>
          <w:p w:rsidR="004356BF" w:rsidRDefault="004356BF" w:rsidP="004356BF">
            <w:pPr>
              <w:pStyle w:val="NotesText"/>
            </w:pPr>
          </w:p>
          <w:p w:rsidR="004356BF" w:rsidRDefault="004356BF" w:rsidP="004356BF">
            <w:pPr>
              <w:pStyle w:val="NotesText"/>
            </w:pPr>
            <w:r>
              <w:rPr>
                <w:rFonts w:cs="Arial"/>
                <w:vanish/>
              </w:rPr>
              <w:t xml:space="preserve">BR_27.04 </w:t>
            </w:r>
            <w:r>
              <w:t>When a status of “Discard” is assigned to a unit, the user must enter a comment.</w:t>
            </w:r>
          </w:p>
          <w:p w:rsidR="004356BF" w:rsidRDefault="004356BF" w:rsidP="004356BF">
            <w:pPr>
              <w:pStyle w:val="NotesText"/>
            </w:pPr>
          </w:p>
          <w:p w:rsidR="004356BF" w:rsidRDefault="0097326A" w:rsidP="004356BF">
            <w:pPr>
              <w:pStyle w:val="NotesText"/>
            </w:pPr>
            <w:r w:rsidRPr="00896F17">
              <w:rPr>
                <w:rStyle w:val="BullhornChar"/>
              </w:rPr>
              <w:t></w:t>
            </w:r>
            <w:r>
              <w:rPr>
                <w:rFonts w:ascii="Webdings" w:hAnsi="Webdings"/>
              </w:rPr>
              <w:t></w:t>
            </w:r>
            <w:r w:rsidR="004356BF">
              <w:rPr>
                <w:vanish/>
                <w:szCs w:val="18"/>
              </w:rPr>
              <w:t>BR_27.08</w:t>
            </w:r>
            <w:r w:rsidR="00CE3961">
              <w:rPr>
                <w:vanish/>
                <w:szCs w:val="18"/>
              </w:rPr>
              <w:t>,</w:t>
            </w:r>
            <w:r w:rsidR="004356BF">
              <w:rPr>
                <w:vanish/>
                <w:szCs w:val="18"/>
              </w:rPr>
              <w:t xml:space="preserve"> BR_27.02</w:t>
            </w:r>
            <w:r w:rsidR="00263B24">
              <w:t>W</w:t>
            </w:r>
            <w:r w:rsidR="004356BF">
              <w:t>hen a blood unit is assigned an in</w:t>
            </w:r>
            <w:r w:rsidR="004356BF">
              <w:rPr>
                <w:noProof/>
              </w:rPr>
              <w:t>dicator of “quarantined,” VBECS emits an audible alert, requires a comment, and captures</w:t>
            </w:r>
            <w:r w:rsidR="00AE3CC7">
              <w:rPr>
                <w:noProof/>
              </w:rPr>
              <w:t xml:space="preserve"> details</w:t>
            </w:r>
            <w:r w:rsidR="004356BF">
              <w:t xml:space="preserve"> for inclusion in an Exception Report (exception type: Quarantine, Discard or Release from Quarantine, depending on the user action).</w:t>
            </w:r>
          </w:p>
          <w:p w:rsidR="004356BF" w:rsidRDefault="004356BF" w:rsidP="004356BF">
            <w:pPr>
              <w:pStyle w:val="NotesText"/>
            </w:pPr>
            <w:r>
              <w:rPr>
                <w:rFonts w:cs="Arial"/>
                <w:vanish/>
              </w:rPr>
              <w:t xml:space="preserve">BR_27.11 </w:t>
            </w:r>
            <w:r w:rsidR="00263B24" w:rsidRPr="00896F17">
              <w:rPr>
                <w:rStyle w:val="BullhornChar"/>
              </w:rPr>
              <w:t></w:t>
            </w:r>
            <w:r w:rsidR="00263B24">
              <w:rPr>
                <w:rFonts w:ascii="Webdings" w:hAnsi="Webdings"/>
              </w:rPr>
              <w:t></w:t>
            </w:r>
            <w:r w:rsidR="00263B24">
              <w:t>W</w:t>
            </w:r>
            <w:r>
              <w:t xml:space="preserve">hen a unit is released from quarantine, a new status must be assigned. VBECS assigns the previous status as the default status. When the unit expiration date is in the past, VBECS </w:t>
            </w:r>
            <w:r>
              <w:rPr>
                <w:noProof/>
              </w:rPr>
              <w:t xml:space="preserve">emits an audible alert, warns the user, and asks whether </w:t>
            </w:r>
            <w:r w:rsidR="00782487">
              <w:rPr>
                <w:noProof/>
              </w:rPr>
              <w:t>he</w:t>
            </w:r>
            <w:r>
              <w:rPr>
                <w:noProof/>
              </w:rPr>
              <w:t xml:space="preserve"> wishes to </w:t>
            </w:r>
            <w:r w:rsidR="00AE3CC7">
              <w:rPr>
                <w:noProof/>
              </w:rPr>
              <w:t>continue</w:t>
            </w:r>
            <w:r>
              <w:t>.</w:t>
            </w:r>
          </w:p>
          <w:p w:rsidR="004356BF" w:rsidRDefault="004356BF" w:rsidP="004356BF">
            <w:pPr>
              <w:pStyle w:val="NotesText"/>
              <w:rPr>
                <w:b/>
              </w:rPr>
            </w:pPr>
          </w:p>
          <w:p w:rsidR="004356BF" w:rsidRDefault="004356BF" w:rsidP="004356BF">
            <w:pPr>
              <w:pStyle w:val="NotesText"/>
            </w:pPr>
            <w:r>
              <w:rPr>
                <w:b/>
              </w:rPr>
              <w:t>Yes</w:t>
            </w:r>
            <w:r>
              <w:t xml:space="preserve"> accepts the default status, requires a comment, and captures details for inclusion in an Exception Report (exception type: expired unit released from quarantine). </w:t>
            </w:r>
            <w:r>
              <w:rPr>
                <w:b/>
              </w:rPr>
              <w:t>No</w:t>
            </w:r>
            <w:r>
              <w:t xml:space="preserve"> stops the </w:t>
            </w:r>
            <w:r>
              <w:lastRenderedPageBreak/>
              <w:t>process; the unit remains marked as quarantined.</w:t>
            </w:r>
          </w:p>
          <w:p w:rsidR="004356BF" w:rsidRDefault="004356BF" w:rsidP="004356BF">
            <w:pPr>
              <w:pStyle w:val="NotesText"/>
            </w:pPr>
          </w:p>
          <w:p w:rsidR="004356BF" w:rsidRDefault="004356BF" w:rsidP="004356BF">
            <w:pPr>
              <w:pStyle w:val="NotesText"/>
            </w:pPr>
            <w:r>
              <w:rPr>
                <w:rFonts w:cs="Arial"/>
                <w:vanish/>
              </w:rPr>
              <w:t xml:space="preserve">BR_27.05 </w:t>
            </w:r>
            <w:r>
              <w:t>When the user assigns a status of “Discard,” he must indicate whether the discard is waste or credit.</w:t>
            </w:r>
          </w:p>
          <w:p w:rsidR="004356BF" w:rsidRDefault="004356BF" w:rsidP="004356BF">
            <w:pPr>
              <w:pStyle w:val="NotesText"/>
            </w:pPr>
          </w:p>
          <w:p w:rsidR="004356BF" w:rsidRDefault="004356BF" w:rsidP="004356BF">
            <w:pPr>
              <w:pStyle w:val="NotesText"/>
            </w:pPr>
            <w:r>
              <w:rPr>
                <w:rFonts w:cs="Arial"/>
                <w:vanish/>
              </w:rPr>
              <w:t xml:space="preserve">BR_27.06 </w:t>
            </w:r>
            <w:r>
              <w:t>When VBECS processes a unit as a discard that is waste, it does not apply a return credit to the discarded unit. (There is no refund of monies from the blood shipper.)</w:t>
            </w:r>
          </w:p>
          <w:p w:rsidR="004356BF" w:rsidRDefault="004356BF" w:rsidP="004356BF">
            <w:pPr>
              <w:pStyle w:val="NotesText"/>
            </w:pPr>
          </w:p>
          <w:p w:rsidR="004356BF" w:rsidRDefault="004356BF" w:rsidP="004356BF">
            <w:pPr>
              <w:pStyle w:val="NotesText"/>
            </w:pPr>
            <w:r>
              <w:rPr>
                <w:rFonts w:cs="Arial"/>
                <w:vanish/>
              </w:rPr>
              <w:t xml:space="preserve">BR_27.07 </w:t>
            </w:r>
            <w:r>
              <w:t>When VBECS saves a unit as “discard for credit,” it applies a default return credit. A user may edit the default return credit applied to the unit before updating the database.</w:t>
            </w:r>
          </w:p>
          <w:p w:rsidR="004356BF" w:rsidRDefault="004356BF" w:rsidP="004356BF">
            <w:pPr>
              <w:pStyle w:val="NotesText"/>
            </w:pPr>
          </w:p>
          <w:p w:rsidR="004356BF" w:rsidRDefault="004356BF" w:rsidP="004356BF">
            <w:pPr>
              <w:pStyle w:val="NotesText"/>
            </w:pPr>
            <w:r>
              <w:rPr>
                <w:rFonts w:cs="Arial"/>
                <w:vanish/>
              </w:rPr>
              <w:t xml:space="preserve">BR_27.15 </w:t>
            </w:r>
            <w:r>
              <w:t xml:space="preserve">When a unit </w:t>
            </w:r>
            <w:r w:rsidR="00621E98">
              <w:t>has had a quarantine indicator</w:t>
            </w:r>
            <w:r>
              <w:t xml:space="preserve"> assigned, VBECS releases </w:t>
            </w:r>
            <w:r w:rsidR="00621E98">
              <w:t xml:space="preserve">any </w:t>
            </w:r>
            <w:r>
              <w:t>patient assignments. Patient restrictions associa</w:t>
            </w:r>
            <w:r w:rsidR="00621E98">
              <w:t>ted with the unit remain intact.</w:t>
            </w:r>
          </w:p>
          <w:p w:rsidR="004356BF" w:rsidRDefault="004356BF" w:rsidP="004356BF">
            <w:pPr>
              <w:pStyle w:val="NotesText"/>
            </w:pPr>
          </w:p>
          <w:p w:rsidR="004356BF" w:rsidRDefault="004356BF" w:rsidP="00782487">
            <w:pPr>
              <w:pStyle w:val="NotesText"/>
            </w:pPr>
            <w:r>
              <w:rPr>
                <w:rFonts w:cs="Arial"/>
                <w:vanish/>
              </w:rPr>
              <w:t xml:space="preserve">BR_27.16 </w:t>
            </w:r>
            <w:r>
              <w:t>When a user attempts to release a unit from quarantine and the unit was quarantined because of a data conflict, VBECS checks the inconsistency before allowing the unit to be released. VBECS warns the user. There is no override. The user must invalidate the incorrect information or test to resolve the data conflict.</w:t>
            </w:r>
          </w:p>
        </w:tc>
      </w:tr>
      <w:tr w:rsidR="002A21AE">
        <w:tblPrEx>
          <w:tblCellMar>
            <w:top w:w="0" w:type="dxa"/>
            <w:bottom w:w="0" w:type="dxa"/>
          </w:tblCellMar>
        </w:tblPrEx>
        <w:tc>
          <w:tcPr>
            <w:tcW w:w="3240" w:type="dxa"/>
          </w:tcPr>
          <w:p w:rsidR="002A21AE" w:rsidRDefault="004724C0">
            <w:pPr>
              <w:pStyle w:val="TableTextNumbers"/>
            </w:pPr>
            <w:r>
              <w:lastRenderedPageBreak/>
              <w:t>E</w:t>
            </w:r>
            <w:r w:rsidR="00A41AE1">
              <w:t>nter</w:t>
            </w:r>
            <w:r w:rsidR="002A21AE">
              <w:t xml:space="preserve"> the date and time of the status update. </w:t>
            </w:r>
          </w:p>
          <w:p w:rsidR="009535FF" w:rsidRDefault="009535FF" w:rsidP="009535FF">
            <w:pPr>
              <w:pStyle w:val="TableTextNumbersContinued"/>
            </w:pPr>
          </w:p>
          <w:p w:rsidR="009535FF" w:rsidRDefault="009535FF" w:rsidP="009535FF">
            <w:pPr>
              <w:pStyle w:val="TableTextNumbersContinued"/>
            </w:pPr>
            <w:r>
              <w:t xml:space="preserve">Click the </w:t>
            </w:r>
            <w:r w:rsidRPr="009535FF">
              <w:rPr>
                <w:b/>
              </w:rPr>
              <w:t>Waste</w:t>
            </w:r>
            <w:r>
              <w:t xml:space="preserve"> or </w:t>
            </w:r>
            <w:r w:rsidRPr="009535FF">
              <w:rPr>
                <w:b/>
              </w:rPr>
              <w:t xml:space="preserve">Credit </w:t>
            </w:r>
            <w:r w:rsidRPr="00BF2E41">
              <w:t>radio button</w:t>
            </w:r>
            <w:r>
              <w:t>.</w:t>
            </w:r>
          </w:p>
        </w:tc>
        <w:tc>
          <w:tcPr>
            <w:tcW w:w="6120" w:type="dxa"/>
          </w:tcPr>
          <w:p w:rsidR="002A21AE" w:rsidRDefault="009D6D56">
            <w:pPr>
              <w:pStyle w:val="TableTextBullet"/>
            </w:pPr>
            <w:r>
              <w:rPr>
                <w:vanish/>
              </w:rPr>
              <w:t xml:space="preserve">DR 3241 </w:t>
            </w:r>
            <w:r>
              <w:t>VBECS defaults the date and time of the status update to the date and time the user opened the Discard or Quarantine option</w:t>
            </w:r>
          </w:p>
          <w:p w:rsidR="002A21AE" w:rsidRDefault="002A21AE">
            <w:pPr>
              <w:pStyle w:val="TableTextBullet"/>
            </w:pPr>
            <w:r>
              <w:t>Displays entered data.</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0617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51"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04eFQ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DRP&#10;Th4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t>The default date and time are the current date and time.</w:t>
            </w:r>
          </w:p>
          <w:p w:rsidR="002A21AE" w:rsidRDefault="002A21AE">
            <w:pPr>
              <w:pStyle w:val="NotesText"/>
            </w:pPr>
          </w:p>
          <w:p w:rsidR="002A21AE" w:rsidRDefault="002A21AE">
            <w:pPr>
              <w:pStyle w:val="NotesText"/>
            </w:pPr>
            <w:r>
              <w:rPr>
                <w:rFonts w:cs="Arial"/>
                <w:vanish/>
              </w:rPr>
              <w:t xml:space="preserve">BR_27.14 </w:t>
            </w:r>
            <w:r>
              <w:t>When the user updates the status of a unit and enters a date or time in the past, VBECS compares the retrospective date and time with the last record update for the unit. VBECS allows the user to update a unit record with a date and time between the last record update and the current date and time.</w:t>
            </w:r>
            <w:bookmarkStart w:id="368" w:name="one2511"/>
            <w:bookmarkEnd w:id="368"/>
          </w:p>
          <w:p w:rsidR="002A21AE" w:rsidRDefault="002A21AE">
            <w:pPr>
              <w:pStyle w:val="NotesText"/>
            </w:pPr>
          </w:p>
          <w:p w:rsidR="002A21AE" w:rsidRDefault="00263B24">
            <w:pPr>
              <w:pStyle w:val="NotesText"/>
            </w:pPr>
            <w:r w:rsidRPr="00896F17">
              <w:rPr>
                <w:rStyle w:val="BullhornChar"/>
              </w:rPr>
              <w:t></w:t>
            </w:r>
            <w:r w:rsidR="002A21AE" w:rsidRPr="00EC7489">
              <w:rPr>
                <w:rFonts w:ascii="Wingdings 3" w:hAnsi="Wingdings 3" w:cs="Wingdings"/>
              </w:rPr>
              <w:t></w:t>
            </w:r>
            <w:r w:rsidR="002A21AE" w:rsidRPr="00EC7489">
              <w:rPr>
                <w:rFonts w:ascii="Wingdings 3" w:hAnsi="Wingdings 3" w:cs="Wingdings"/>
              </w:rPr>
              <w:t></w:t>
            </w:r>
            <w:r w:rsidR="002A21AE">
              <w:t xml:space="preserve"> When the user attempts to update a unit record prior to the last record update, VBECS emits an audible alert, warns the Enhanced Technologist, and instructs him to check the date and time entered. There is no override.</w:t>
            </w:r>
          </w:p>
          <w:p w:rsidR="002A21AE" w:rsidRDefault="002A21AE">
            <w:pPr>
              <w:pStyle w:val="NotesText"/>
            </w:pPr>
          </w:p>
          <w:p w:rsidR="002A21AE" w:rsidRDefault="005C768D">
            <w:pPr>
              <w:pStyle w:val="Notes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sidR="002A21AE">
              <w:t xml:space="preserve">When the user is a Lead Technologist, VBECS also requires a comment and asks whether the user wishes to continue. </w:t>
            </w:r>
            <w:r w:rsidR="002A21AE">
              <w:rPr>
                <w:b/>
              </w:rPr>
              <w:t>Yes</w:t>
            </w:r>
            <w:r w:rsidR="002A21AE">
              <w:t xml:space="preserve"> accepts the date and time entered, requires a comment, and captures details for inclusion in an Exception Report (exception type: retrospective update prior to last record update). </w:t>
            </w:r>
            <w:r w:rsidR="002A21AE">
              <w:rPr>
                <w:b/>
              </w:rPr>
              <w:t>No</w:t>
            </w:r>
            <w:r w:rsidR="002A21AE">
              <w:t xml:space="preserve"> allows the user to correct the entry.</w:t>
            </w:r>
          </w:p>
        </w:tc>
      </w:tr>
      <w:tr w:rsidR="002A21AE">
        <w:tblPrEx>
          <w:tblCellMar>
            <w:top w:w="0" w:type="dxa"/>
            <w:bottom w:w="0" w:type="dxa"/>
          </w:tblCellMar>
        </w:tblPrEx>
        <w:tc>
          <w:tcPr>
            <w:tcW w:w="3240" w:type="dxa"/>
          </w:tcPr>
          <w:p w:rsidR="002A21AE" w:rsidRDefault="002A21AE" w:rsidP="00A41AE1">
            <w:pPr>
              <w:pStyle w:val="TableTextNumbers"/>
            </w:pPr>
            <w:r>
              <w:t xml:space="preserve">Review the unit status update information and </w:t>
            </w:r>
            <w:r w:rsidR="009535FF">
              <w:t>c</w:t>
            </w:r>
            <w:r>
              <w:t xml:space="preserve">lick </w:t>
            </w:r>
            <w:r w:rsidR="005122E2">
              <w:rPr>
                <w:b/>
              </w:rPr>
              <w:t>Save</w:t>
            </w:r>
            <w:r w:rsidR="005122E2" w:rsidRPr="009535FF">
              <w:t xml:space="preserve"> </w:t>
            </w:r>
            <w:r w:rsidR="009535FF" w:rsidRPr="009535FF">
              <w:t>to save</w:t>
            </w:r>
            <w:r>
              <w:t>.</w:t>
            </w:r>
          </w:p>
        </w:tc>
        <w:tc>
          <w:tcPr>
            <w:tcW w:w="6120" w:type="dxa"/>
          </w:tcPr>
          <w:p w:rsidR="002A21AE" w:rsidRDefault="002A21AE">
            <w:pPr>
              <w:pStyle w:val="TableTextBullet"/>
            </w:pPr>
            <w:r>
              <w:t xml:space="preserve">Evaluates the unit’s current status to determine whether it is eligible for the selected function. </w:t>
            </w:r>
          </w:p>
          <w:p w:rsidR="002A21AE" w:rsidRDefault="002A21AE">
            <w:pPr>
              <w:pStyle w:val="TableTextBullet"/>
            </w:pPr>
            <w:r>
              <w:t>Displays appropriate error messages when the unit cannot be processed.</w:t>
            </w:r>
          </w:p>
          <w:p w:rsidR="002A21AE" w:rsidRDefault="002A21AE">
            <w:pPr>
              <w:pStyle w:val="TableTextBullet"/>
            </w:pPr>
            <w:r>
              <w:t>Prompts the user to confirm the save.</w:t>
            </w:r>
          </w:p>
        </w:tc>
      </w:tr>
      <w:tr w:rsidR="002A21AE">
        <w:tblPrEx>
          <w:tblCellMar>
            <w:top w:w="0" w:type="dxa"/>
            <w:bottom w:w="0" w:type="dxa"/>
          </w:tblCellMar>
        </w:tblPrEx>
        <w:tc>
          <w:tcPr>
            <w:tcW w:w="3240" w:type="dxa"/>
          </w:tcPr>
          <w:p w:rsidR="002A21AE" w:rsidRDefault="009535FF">
            <w:pPr>
              <w:pStyle w:val="TableTextNumbers"/>
            </w:pPr>
            <w:r>
              <w:t xml:space="preserve">Click </w:t>
            </w:r>
            <w:r w:rsidRPr="009535FF">
              <w:rPr>
                <w:b/>
              </w:rPr>
              <w:t>Yes</w:t>
            </w:r>
            <w:r>
              <w:t xml:space="preserve"> to c</w:t>
            </w:r>
            <w:r w:rsidR="002A21AE">
              <w:t>onfirm the save.</w:t>
            </w:r>
            <w:r>
              <w:rPr>
                <w:vanish/>
                <w:color w:val="FFFFFF"/>
                <w:szCs w:val="18"/>
              </w:rPr>
              <w:t xml:space="preserve"> </w:t>
            </w:r>
            <w:r w:rsidRPr="009D2C1A">
              <w:rPr>
                <w:vanish/>
                <w:szCs w:val="18"/>
              </w:rPr>
              <w:fldChar w:fldCharType="begin"/>
            </w:r>
            <w:r w:rsidRPr="009D2C1A">
              <w:rPr>
                <w:vanish/>
                <w:szCs w:val="18"/>
              </w:rPr>
              <w:instrText xml:space="preserve"> LISTNUM \l 1 \s 0 </w:instrText>
            </w:r>
            <w:r w:rsidRPr="009D2C1A">
              <w:rPr>
                <w:vanish/>
                <w:szCs w:val="18"/>
              </w:rPr>
              <w:fldChar w:fldCharType="end"/>
            </w:r>
          </w:p>
        </w:tc>
        <w:tc>
          <w:tcPr>
            <w:tcW w:w="6120" w:type="dxa"/>
          </w:tcPr>
          <w:p w:rsidR="002A21AE" w:rsidRDefault="002A21AE">
            <w:pPr>
              <w:pStyle w:val="TableTextBullet"/>
            </w:pPr>
            <w:r>
              <w:t>Saves the data.</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0720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50"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E5tEwIAAC0EAAAOAAAAZHJzL2Uyb0RvYy54bWysU8GO2jAQvVfqP1i+QxI2UI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BR_27.01 </w:t>
            </w:r>
            <w:r>
              <w:t xml:space="preserve">During batch data entry of “Discard,” “Quarantine,” and “Release </w:t>
            </w:r>
            <w:r>
              <w:lastRenderedPageBreak/>
              <w:t>from Quarantine,” VBECS saves transaction details, including user-entered comments, to each blood unit included in the batch.</w:t>
            </w:r>
          </w:p>
        </w:tc>
      </w:tr>
    </w:tbl>
    <w:p w:rsidR="00550732" w:rsidRDefault="00550732" w:rsidP="00550732">
      <w:pPr>
        <w:pStyle w:val="Caption"/>
      </w:pPr>
      <w:bookmarkStart w:id="369" w:name="_Select_Units"/>
      <w:bookmarkStart w:id="370" w:name="_Ref126653702"/>
      <w:bookmarkEnd w:id="369"/>
      <w:r>
        <w:lastRenderedPageBreak/>
        <w:t xml:space="preserve">Figure </w:t>
      </w:r>
      <w:r w:rsidR="00C17F7C">
        <w:fldChar w:fldCharType="begin"/>
      </w:r>
      <w:r w:rsidR="00C17F7C">
        <w:instrText xml:space="preserve"> SEQ Figure \* ARABIC </w:instrText>
      </w:r>
      <w:r w:rsidR="00C17F7C">
        <w:fldChar w:fldCharType="separate"/>
      </w:r>
      <w:r w:rsidR="005F38BC">
        <w:rPr>
          <w:noProof/>
        </w:rPr>
        <w:t>92</w:t>
      </w:r>
      <w:r w:rsidR="00C17F7C">
        <w:fldChar w:fldCharType="end"/>
      </w:r>
      <w:bookmarkEnd w:id="370"/>
      <w:r>
        <w:t>: Discard or Quarantine Units</w:t>
      </w:r>
    </w:p>
    <w:p w:rsidR="00550732" w:rsidRDefault="00634BFC" w:rsidP="00550732">
      <w:pPr>
        <w:pStyle w:val="BodyText"/>
      </w:pPr>
      <w:r>
        <w:rPr>
          <w:noProof/>
        </w:rPr>
        <w:drawing>
          <wp:inline distT="0" distB="0" distL="0" distR="0">
            <wp:extent cx="5124450" cy="41910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124450" cy="4191000"/>
                    </a:xfrm>
                    <a:prstGeom prst="rect">
                      <a:avLst/>
                    </a:prstGeom>
                    <a:noFill/>
                    <a:ln>
                      <a:noFill/>
                    </a:ln>
                  </pic:spPr>
                </pic:pic>
              </a:graphicData>
            </a:graphic>
          </wp:inline>
        </w:drawing>
      </w:r>
    </w:p>
    <w:p w:rsidR="002A21AE" w:rsidRDefault="00375257" w:rsidP="00E653FE">
      <w:pPr>
        <w:pStyle w:val="Heading4"/>
      </w:pPr>
      <w:r>
        <w:br w:type="page"/>
      </w:r>
      <w:r w:rsidR="00E653FE">
        <w:lastRenderedPageBreak/>
        <w:t>Discard or Quarantine Units by Invoice</w:t>
      </w:r>
      <w:r w:rsidR="00561EA7">
        <w:fldChar w:fldCharType="begin"/>
      </w:r>
      <w:r w:rsidR="00561EA7">
        <w:instrText xml:space="preserve"> XE "</w:instrText>
      </w:r>
      <w:r w:rsidR="00561EA7" w:rsidRPr="008B7F3F">
        <w:instrText>Discard or Quarantine Units by Invoice</w:instrText>
      </w:r>
      <w:r w:rsidR="00561EA7">
        <w:instrText xml:space="preserve">" </w:instrText>
      </w:r>
      <w:r w:rsidR="00561EA7">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9535FF">
        <w:tblPrEx>
          <w:tblCellMar>
            <w:top w:w="0" w:type="dxa"/>
            <w:bottom w:w="0" w:type="dxa"/>
          </w:tblCellMar>
        </w:tblPrEx>
        <w:trPr>
          <w:cantSplit/>
          <w:tblHeader/>
        </w:trPr>
        <w:tc>
          <w:tcPr>
            <w:tcW w:w="3240" w:type="dxa"/>
            <w:shd w:val="pct30" w:color="auto" w:fill="FFFFFF"/>
            <w:vAlign w:val="bottom"/>
          </w:tcPr>
          <w:p w:rsidR="009535FF" w:rsidRDefault="009535FF" w:rsidP="004356BF">
            <w:pPr>
              <w:pStyle w:val="TableText"/>
              <w:rPr>
                <w:b/>
              </w:rPr>
            </w:pPr>
            <w:r>
              <w:rPr>
                <w:b/>
              </w:rPr>
              <w:t>User Action</w:t>
            </w:r>
          </w:p>
        </w:tc>
        <w:tc>
          <w:tcPr>
            <w:tcW w:w="6120" w:type="dxa"/>
            <w:shd w:val="pct30" w:color="auto" w:fill="FFFFFF"/>
            <w:vAlign w:val="bottom"/>
          </w:tcPr>
          <w:p w:rsidR="009535FF" w:rsidRDefault="009535FF" w:rsidP="004356BF">
            <w:pPr>
              <w:pStyle w:val="TableText"/>
              <w:rPr>
                <w:b/>
              </w:rPr>
            </w:pPr>
            <w:r>
              <w:rPr>
                <w:b/>
              </w:rPr>
              <w:t>VBECS</w:t>
            </w:r>
          </w:p>
        </w:tc>
      </w:tr>
      <w:tr w:rsidR="009535FF">
        <w:tblPrEx>
          <w:tblCellMar>
            <w:top w:w="0" w:type="dxa"/>
            <w:bottom w:w="0" w:type="dxa"/>
          </w:tblCellMar>
        </w:tblPrEx>
        <w:tc>
          <w:tcPr>
            <w:tcW w:w="3240" w:type="dxa"/>
          </w:tcPr>
          <w:p w:rsidR="009535FF" w:rsidRDefault="009535FF" w:rsidP="006E12D3">
            <w:pPr>
              <w:pStyle w:val="TableTextNumbers"/>
            </w:pPr>
            <w:r>
              <w:t xml:space="preserve">Select </w:t>
            </w:r>
            <w:r>
              <w:rPr>
                <w:b/>
              </w:rPr>
              <w:t>Shipments</w:t>
            </w:r>
            <w:r>
              <w:t xml:space="preserve"> from the main menu.</w:t>
            </w:r>
          </w:p>
          <w:p w:rsidR="009535FF" w:rsidRDefault="009535FF" w:rsidP="004356BF">
            <w:pPr>
              <w:pStyle w:val="TableTextNumbersContinued"/>
            </w:pPr>
          </w:p>
          <w:p w:rsidR="009535FF" w:rsidRDefault="009535FF" w:rsidP="004356BF">
            <w:pPr>
              <w:pStyle w:val="TableTextNumbersContinued"/>
            </w:pPr>
            <w:r>
              <w:t xml:space="preserve">Select </w:t>
            </w:r>
            <w:r>
              <w:rPr>
                <w:b/>
              </w:rPr>
              <w:t>Discard or Quarantine</w:t>
            </w:r>
            <w:r>
              <w:t>.</w:t>
            </w:r>
          </w:p>
          <w:p w:rsidR="009535FF" w:rsidRDefault="009535FF" w:rsidP="004356BF">
            <w:pPr>
              <w:pStyle w:val="TableTextNumbersContinued"/>
            </w:pPr>
          </w:p>
          <w:p w:rsidR="009535FF" w:rsidRDefault="009535FF" w:rsidP="004356BF">
            <w:pPr>
              <w:pStyle w:val="TableTextNumbersContinued"/>
            </w:pPr>
            <w:r>
              <w:t xml:space="preserve">Select an invoice and click </w:t>
            </w:r>
            <w:r>
              <w:rPr>
                <w:b/>
              </w:rPr>
              <w:t>OK</w:t>
            </w:r>
            <w:r>
              <w:t>.</w:t>
            </w:r>
          </w:p>
        </w:tc>
        <w:tc>
          <w:tcPr>
            <w:tcW w:w="6120" w:type="dxa"/>
          </w:tcPr>
          <w:p w:rsidR="009535FF" w:rsidRDefault="009535FF" w:rsidP="004356BF">
            <w:pPr>
              <w:pStyle w:val="TableTextBullet"/>
            </w:pPr>
            <w:r>
              <w:t>Displays options for processing blood product shipments.</w:t>
            </w:r>
          </w:p>
          <w:p w:rsidR="009535FF" w:rsidRDefault="009535FF" w:rsidP="004356BF">
            <w:pPr>
              <w:pStyle w:val="TableTextBullet"/>
            </w:pPr>
            <w:r>
              <w:t>Displays fields for entering shipment information.</w:t>
            </w:r>
          </w:p>
          <w:p w:rsidR="009535FF" w:rsidRDefault="009535FF" w:rsidP="004356BF">
            <w:pPr>
              <w:pStyle w:val="TableTextBullet"/>
            </w:pPr>
            <w:r>
              <w:t xml:space="preserve">Allows </w:t>
            </w:r>
            <w:r w:rsidR="00E00A07">
              <w:t>the user to discard</w:t>
            </w:r>
            <w:r>
              <w:t xml:space="preserve"> or quarantine</w:t>
            </w:r>
            <w:r w:rsidR="00E00A07">
              <w:t xml:space="preserve"> units</w:t>
            </w:r>
            <w:r>
              <w:t xml:space="preserve"> by invoice.</w:t>
            </w:r>
          </w:p>
        </w:tc>
      </w:tr>
      <w:tr w:rsidR="009535FF">
        <w:tblPrEx>
          <w:tblCellMar>
            <w:top w:w="0" w:type="dxa"/>
            <w:bottom w:w="0" w:type="dxa"/>
          </w:tblCellMar>
        </w:tblPrEx>
        <w:tc>
          <w:tcPr>
            <w:tcW w:w="3240" w:type="dxa"/>
          </w:tcPr>
          <w:p w:rsidR="009535FF" w:rsidRDefault="006E12D3" w:rsidP="004356BF">
            <w:pPr>
              <w:pStyle w:val="TableTextNumbers"/>
            </w:pPr>
            <w:r>
              <w:t xml:space="preserve">Click </w:t>
            </w:r>
            <w:r w:rsidR="00E00A07">
              <w:t xml:space="preserve">(clear) </w:t>
            </w:r>
            <w:r>
              <w:t>one or more check boxes to remove units from the invoice.</w:t>
            </w:r>
          </w:p>
          <w:p w:rsidR="006E12D3" w:rsidRDefault="006E12D3" w:rsidP="006E12D3">
            <w:pPr>
              <w:pStyle w:val="TableTextNumbersContinued"/>
            </w:pPr>
          </w:p>
          <w:p w:rsidR="006E12D3" w:rsidRDefault="006E12D3" w:rsidP="006E12D3">
            <w:pPr>
              <w:pStyle w:val="TableTextNumbersContinued"/>
            </w:pPr>
            <w:r>
              <w:t xml:space="preserve">Click </w:t>
            </w:r>
            <w:r w:rsidRPr="006E12D3">
              <w:rPr>
                <w:b/>
              </w:rPr>
              <w:t>OK</w:t>
            </w:r>
            <w:r>
              <w:t>.</w:t>
            </w:r>
          </w:p>
        </w:tc>
        <w:tc>
          <w:tcPr>
            <w:tcW w:w="6120" w:type="dxa"/>
          </w:tcPr>
          <w:p w:rsidR="003E1884" w:rsidRDefault="00EC1460" w:rsidP="003E1884">
            <w:pPr>
              <w:pStyle w:val="TableTextBullet"/>
            </w:pPr>
            <w:r>
              <w:t>Allows the user to select individual units.</w:t>
            </w:r>
          </w:p>
          <w:p w:rsidR="00EC1460" w:rsidRDefault="00EC1460" w:rsidP="003E1884">
            <w:pPr>
              <w:pStyle w:val="TableTextBullet"/>
            </w:pPr>
            <w:r>
              <w:t>Displays unit information, including the current status included in the invoice.</w:t>
            </w:r>
          </w:p>
          <w:p w:rsidR="00EC1460" w:rsidRDefault="00EC1460" w:rsidP="003E1884">
            <w:pPr>
              <w:pStyle w:val="TableTextBullet"/>
            </w:pPr>
            <w:r>
              <w:t>Allows the user to deselect units from the batch prior to editing.</w:t>
            </w:r>
          </w:p>
          <w:p w:rsidR="003E1884" w:rsidRDefault="003E1884" w:rsidP="004356BF">
            <w:pPr>
              <w:pStyle w:val="TableText"/>
              <w:rPr>
                <w:b/>
                <w:bCs/>
                <w:szCs w:val="18"/>
              </w:rPr>
            </w:pPr>
          </w:p>
          <w:p w:rsidR="009535FF" w:rsidRDefault="00634BFC" w:rsidP="004356BF">
            <w:pPr>
              <w:pStyle w:val="TableText"/>
              <w:rPr>
                <w:b/>
                <w:bCs/>
                <w:szCs w:val="18"/>
              </w:rPr>
            </w:pPr>
            <w:r>
              <w:rPr>
                <w:b/>
                <w:bCs/>
                <w:noProof/>
              </w:rPr>
              <mc:AlternateContent>
                <mc:Choice Requires="wps">
                  <w:drawing>
                    <wp:anchor distT="0" distB="0" distL="114300" distR="114300" simplePos="0" relativeHeight="25171097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49" name="Line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3"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uSBFQIAAC4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GAC&#10;5IEVAgAALgQAAA4AAAAAAAAAAAAAAAAALgIAAGRycy9lMm9Eb2MueG1sUEsBAi0AFAAGAAgAAAAh&#10;ABdPMBLbAAAACAEAAA8AAAAAAAAAAAAAAAAAbwQAAGRycy9kb3ducmV2LnhtbFBLBQYAAAAABAAE&#10;APMAAAB3BQAAAAA=&#10;" strokeweight="1.5pt"/>
                  </w:pict>
                </mc:Fallback>
              </mc:AlternateContent>
            </w:r>
            <w:r w:rsidR="009535FF">
              <w:rPr>
                <w:b/>
                <w:bCs/>
                <w:szCs w:val="18"/>
              </w:rPr>
              <w:t>NOTES</w:t>
            </w:r>
          </w:p>
          <w:p w:rsidR="009535FF" w:rsidRPr="00BE1A93" w:rsidRDefault="009535FF" w:rsidP="00BE1A93">
            <w:pPr>
              <w:pStyle w:val="NotesText"/>
            </w:pPr>
          </w:p>
          <w:p w:rsidR="009535FF" w:rsidRDefault="00D1603E" w:rsidP="00BE1A93">
            <w:pPr>
              <w:pStyle w:val="NotesText"/>
            </w:pPr>
            <w:r w:rsidRPr="00D1603E">
              <w:rPr>
                <w:vanish/>
                <w:szCs w:val="18"/>
              </w:rPr>
              <w:t xml:space="preserve">BR_27.09 </w:t>
            </w:r>
            <w:r w:rsidR="00BE1A93" w:rsidRPr="00BE1A93">
              <w:t>For batch processing, the user may select incoming shipment invoic</w:t>
            </w:r>
            <w:r w:rsidR="00BE1A93">
              <w:t>es from t</w:t>
            </w:r>
            <w:r w:rsidR="00BE1A93" w:rsidRPr="00BE1A93">
              <w:t>h</w:t>
            </w:r>
            <w:r w:rsidR="00BE1A93">
              <w:t>e</w:t>
            </w:r>
            <w:r w:rsidR="00BE1A93" w:rsidRPr="00BE1A93">
              <w:t xml:space="preserve"> previous five days processed in the same division as the user.</w:t>
            </w:r>
          </w:p>
          <w:p w:rsidR="00D1603E" w:rsidRDefault="00D1603E" w:rsidP="00BE1A93">
            <w:pPr>
              <w:pStyle w:val="NotesText"/>
            </w:pPr>
          </w:p>
          <w:p w:rsidR="00D1603E" w:rsidRDefault="00D1603E" w:rsidP="00BE1A93">
            <w:pPr>
              <w:pStyle w:val="NotesText"/>
            </w:pPr>
            <w:r w:rsidRPr="00D1603E">
              <w:rPr>
                <w:vanish/>
                <w:szCs w:val="18"/>
              </w:rPr>
              <w:t xml:space="preserve">BR_27.12 </w:t>
            </w:r>
            <w:r>
              <w:t>Only incoming shipment invoices processed within the user’s division may be accessed for batch processing.</w:t>
            </w:r>
          </w:p>
        </w:tc>
      </w:tr>
      <w:tr w:rsidR="009544D4">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9544D4" w:rsidRDefault="009544D4" w:rsidP="00F90585">
            <w:pPr>
              <w:pStyle w:val="TableTextNumbers"/>
            </w:pPr>
            <w:r>
              <w:t xml:space="preserve">In the Activity area, click the </w:t>
            </w:r>
            <w:r w:rsidRPr="009544D4">
              <w:rPr>
                <w:b/>
              </w:rPr>
              <w:t>Discard</w:t>
            </w:r>
            <w:r>
              <w:t xml:space="preserve">, </w:t>
            </w:r>
            <w:r w:rsidRPr="009544D4">
              <w:rPr>
                <w:b/>
              </w:rPr>
              <w:t>Quarantine</w:t>
            </w:r>
            <w:r>
              <w:t xml:space="preserve">, or </w:t>
            </w:r>
            <w:r w:rsidRPr="009544D4">
              <w:rPr>
                <w:b/>
              </w:rPr>
              <w:t xml:space="preserve">Release from Quarantine </w:t>
            </w:r>
            <w:r w:rsidRPr="00BF2E41">
              <w:t>radio button</w:t>
            </w:r>
            <w:r>
              <w:t xml:space="preserve">. </w:t>
            </w:r>
          </w:p>
        </w:tc>
        <w:tc>
          <w:tcPr>
            <w:tcW w:w="6120" w:type="dxa"/>
            <w:tcBorders>
              <w:top w:val="single" w:sz="4" w:space="0" w:color="auto"/>
              <w:left w:val="single" w:sz="4" w:space="0" w:color="auto"/>
              <w:bottom w:val="single" w:sz="4" w:space="0" w:color="auto"/>
              <w:right w:val="single" w:sz="4" w:space="0" w:color="auto"/>
            </w:tcBorders>
          </w:tcPr>
          <w:p w:rsidR="00BE1A93" w:rsidRDefault="00BE1A93" w:rsidP="00BE1A93">
            <w:pPr>
              <w:pStyle w:val="TableText"/>
              <w:rPr>
                <w:b/>
                <w:bCs/>
                <w:szCs w:val="18"/>
              </w:rPr>
            </w:pPr>
          </w:p>
          <w:p w:rsidR="00BE1A93" w:rsidRDefault="00634BFC" w:rsidP="00BE1A93">
            <w:pPr>
              <w:pStyle w:val="TableText"/>
              <w:rPr>
                <w:b/>
                <w:bCs/>
                <w:szCs w:val="18"/>
              </w:rPr>
            </w:pPr>
            <w:r>
              <w:rPr>
                <w:b/>
                <w:bCs/>
                <w:noProof/>
              </w:rPr>
              <mc:AlternateContent>
                <mc:Choice Requires="wps">
                  <w:drawing>
                    <wp:anchor distT="0" distB="0" distL="114300" distR="114300" simplePos="0" relativeHeight="25171302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48" name="Line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4"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CbyFQIAAC4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CiA&#10;JvIVAgAALgQAAA4AAAAAAAAAAAAAAAAALgIAAGRycy9lMm9Eb2MueG1sUEsBAi0AFAAGAAgAAAAh&#10;ABdPMBLbAAAACAEAAA8AAAAAAAAAAAAAAAAAbwQAAGRycy9kb3ducmV2LnhtbFBLBQYAAAAABAAE&#10;APMAAAB3BQAAAAA=&#10;" strokeweight="1.5pt"/>
                  </w:pict>
                </mc:Fallback>
              </mc:AlternateContent>
            </w:r>
            <w:r w:rsidR="00BE1A93">
              <w:rPr>
                <w:b/>
                <w:bCs/>
                <w:szCs w:val="18"/>
              </w:rPr>
              <w:t>NOTES</w:t>
            </w:r>
          </w:p>
          <w:p w:rsidR="00BE1A93" w:rsidRDefault="00BE1A93" w:rsidP="00467E7D">
            <w:pPr>
              <w:pStyle w:val="NotesText"/>
            </w:pPr>
          </w:p>
          <w:p w:rsidR="009544D4" w:rsidRDefault="00BE1A93" w:rsidP="00467E7D">
            <w:pPr>
              <w:pStyle w:val="NotesText"/>
            </w:pPr>
            <w:r w:rsidRPr="00EC7489">
              <w:rPr>
                <w:rFonts w:ascii="Wingdings 3" w:hAnsi="Wingdings 3" w:cs="Wingdings"/>
              </w:rPr>
              <w:t></w:t>
            </w:r>
            <w:r w:rsidRPr="00EC7489">
              <w:rPr>
                <w:rFonts w:ascii="Wingdings 3" w:hAnsi="Wingdings 3" w:cs="Wingdings"/>
              </w:rPr>
              <w:t></w:t>
            </w:r>
            <w:r>
              <w:t xml:space="preserve"> The</w:t>
            </w:r>
            <w:r w:rsidR="009544D4" w:rsidRPr="004356BF">
              <w:t xml:space="preserve"> Enhanced Technologist may release a unit from quarantine.</w:t>
            </w:r>
          </w:p>
        </w:tc>
      </w:tr>
      <w:tr w:rsidR="007E6BE0">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7E6BE0" w:rsidRDefault="007E6BE0" w:rsidP="00F90585">
            <w:pPr>
              <w:pStyle w:val="TableTextNumbers"/>
            </w:pPr>
            <w:r>
              <w:t>Select or enter a comment in the Comment field to explain the change in status, when indicated. Enter details, as needed.</w:t>
            </w:r>
          </w:p>
        </w:tc>
        <w:tc>
          <w:tcPr>
            <w:tcW w:w="6120" w:type="dxa"/>
            <w:tcBorders>
              <w:top w:val="single" w:sz="4" w:space="0" w:color="auto"/>
              <w:left w:val="single" w:sz="4" w:space="0" w:color="auto"/>
              <w:bottom w:val="single" w:sz="4" w:space="0" w:color="auto"/>
              <w:right w:val="single" w:sz="4" w:space="0" w:color="auto"/>
            </w:tcBorders>
          </w:tcPr>
          <w:p w:rsidR="007E6BE0" w:rsidRDefault="007E6BE0" w:rsidP="00F90585">
            <w:pPr>
              <w:pStyle w:val="TableTextBullet"/>
            </w:pPr>
            <w:r>
              <w:t>Displays entered data.</w:t>
            </w:r>
          </w:p>
          <w:p w:rsidR="007E6BE0" w:rsidRDefault="007E6BE0" w:rsidP="00F90585">
            <w:pPr>
              <w:pStyle w:val="TableText"/>
            </w:pPr>
          </w:p>
          <w:p w:rsidR="00D1603E" w:rsidRDefault="00634BFC" w:rsidP="00D1603E">
            <w:pPr>
              <w:pStyle w:val="TableText"/>
              <w:rPr>
                <w:b/>
                <w:bCs/>
                <w:szCs w:val="18"/>
              </w:rPr>
            </w:pPr>
            <w:r>
              <w:rPr>
                <w:b/>
                <w:bCs/>
                <w:noProof/>
              </w:rPr>
              <mc:AlternateContent>
                <mc:Choice Requires="wps">
                  <w:drawing>
                    <wp:anchor distT="0" distB="0" distL="114300" distR="114300" simplePos="0" relativeHeight="25171404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47" name="Line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5"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yIPFgIAAC4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BX&#10;xyIPFgIAAC4EAAAOAAAAAAAAAAAAAAAAAC4CAABkcnMvZTJvRG9jLnhtbFBLAQItABQABgAIAAAA&#10;IQAXTzAS2wAAAAgBAAAPAAAAAAAAAAAAAAAAAHAEAABkcnMvZG93bnJldi54bWxQSwUGAAAAAAQA&#10;BADzAAAAeAUAAAAA&#10;" strokeweight="1.5pt"/>
                  </w:pict>
                </mc:Fallback>
              </mc:AlternateContent>
            </w:r>
            <w:r w:rsidR="00D1603E">
              <w:rPr>
                <w:b/>
                <w:bCs/>
                <w:szCs w:val="18"/>
              </w:rPr>
              <w:t>NOTES</w:t>
            </w:r>
          </w:p>
          <w:p w:rsidR="00D1603E" w:rsidRDefault="00D1603E" w:rsidP="00D1603E">
            <w:pPr>
              <w:pStyle w:val="NotesText"/>
            </w:pPr>
          </w:p>
          <w:p w:rsidR="007E6BE0" w:rsidRDefault="007E6BE0" w:rsidP="00D1603E">
            <w:pPr>
              <w:pStyle w:val="NotesText"/>
            </w:pPr>
            <w:r w:rsidRPr="00D1603E">
              <w:rPr>
                <w:vanish/>
                <w:szCs w:val="18"/>
              </w:rPr>
              <w:t xml:space="preserve">BR_27.04 </w:t>
            </w:r>
            <w:r>
              <w:t>When a status of “Discard” is assigned to a unit, the user must enter a comment.</w:t>
            </w:r>
          </w:p>
          <w:p w:rsidR="007E6BE0" w:rsidRDefault="007E6BE0" w:rsidP="00D1603E">
            <w:pPr>
              <w:pStyle w:val="NotesText"/>
            </w:pPr>
          </w:p>
          <w:p w:rsidR="007E6BE0" w:rsidRDefault="007E6BE0" w:rsidP="00D1603E">
            <w:pPr>
              <w:pStyle w:val="NotesText"/>
            </w:pPr>
            <w:r w:rsidRPr="00D1603E">
              <w:rPr>
                <w:vanish/>
                <w:szCs w:val="18"/>
              </w:rPr>
              <w:t>BR_27.08</w:t>
            </w:r>
            <w:r w:rsidR="00CE3961">
              <w:rPr>
                <w:vanish/>
                <w:szCs w:val="18"/>
              </w:rPr>
              <w:t xml:space="preserve">, </w:t>
            </w:r>
            <w:r w:rsidRPr="00D1603E">
              <w:rPr>
                <w:vanish/>
                <w:szCs w:val="18"/>
              </w:rPr>
              <w:t>BR_27.02</w:t>
            </w:r>
            <w:r w:rsidR="00263B24" w:rsidRPr="00263B24">
              <w:t>W</w:t>
            </w:r>
            <w:r w:rsidRPr="00263B24">
              <w:t>h</w:t>
            </w:r>
            <w:r>
              <w:t>en a blood unit is assigned an indicator of “quarantined,” VBECS emits an audible alert, requires a comment, and captures details for inclusion in an Exception Report (exception type: Quarantine, Discard or Release from Quarantine, depending on the user action).</w:t>
            </w:r>
          </w:p>
          <w:p w:rsidR="00D1603E" w:rsidRDefault="00D1603E" w:rsidP="00D1603E">
            <w:pPr>
              <w:pStyle w:val="NotesText"/>
            </w:pPr>
          </w:p>
          <w:p w:rsidR="007E6BE0" w:rsidRDefault="007E6BE0" w:rsidP="00D1603E">
            <w:pPr>
              <w:pStyle w:val="NotesText"/>
            </w:pPr>
            <w:r w:rsidRPr="00D1603E">
              <w:rPr>
                <w:vanish/>
                <w:szCs w:val="18"/>
              </w:rPr>
              <w:t>BR_27.11</w:t>
            </w:r>
            <w:r w:rsidR="00263B24" w:rsidRPr="00896F17">
              <w:rPr>
                <w:rStyle w:val="BullhornChar"/>
              </w:rPr>
              <w:t></w:t>
            </w:r>
            <w:r w:rsidR="00263B24">
              <w:rPr>
                <w:rFonts w:ascii="Webdings" w:hAnsi="Webdings"/>
              </w:rPr>
              <w:t></w:t>
            </w:r>
            <w:r w:rsidR="00263B24" w:rsidRPr="00263B24">
              <w:t>Wh</w:t>
            </w:r>
            <w:r w:rsidR="00263B24">
              <w:t>en</w:t>
            </w:r>
            <w:r>
              <w:t xml:space="preserve"> a unit is released from quarantine, a new status must be assigned. VBECS assigns the previous status as the default status. When the unit expiration date is in the past, VBECS emits an audible alert, warns the user, and asks whether he wishes to continue.</w:t>
            </w:r>
          </w:p>
          <w:p w:rsidR="007E6BE0" w:rsidRPr="007E6BE0" w:rsidRDefault="007E6BE0" w:rsidP="00D1603E">
            <w:pPr>
              <w:pStyle w:val="NotesText"/>
            </w:pPr>
          </w:p>
          <w:p w:rsidR="007E6BE0" w:rsidRDefault="007E6BE0" w:rsidP="00D1603E">
            <w:pPr>
              <w:pStyle w:val="NotesText"/>
            </w:pPr>
            <w:r w:rsidRPr="00D1603E">
              <w:rPr>
                <w:b/>
              </w:rPr>
              <w:t>Yes</w:t>
            </w:r>
            <w:r>
              <w:t xml:space="preserve"> accepts the default status, requires a comment, and captures details for inclusion in an Exception Report (exception type: expired unit released from quarantine). </w:t>
            </w:r>
            <w:r w:rsidRPr="00D1603E">
              <w:rPr>
                <w:b/>
              </w:rPr>
              <w:t>No</w:t>
            </w:r>
            <w:r>
              <w:t xml:space="preserve"> stops the process; the unit remains marked as quarantined.</w:t>
            </w:r>
          </w:p>
          <w:p w:rsidR="007E6BE0" w:rsidRDefault="007E6BE0" w:rsidP="00D1603E">
            <w:pPr>
              <w:pStyle w:val="NotesText"/>
            </w:pPr>
          </w:p>
          <w:p w:rsidR="007E6BE0" w:rsidRDefault="007E6BE0" w:rsidP="00D1603E">
            <w:pPr>
              <w:pStyle w:val="NotesText"/>
            </w:pPr>
            <w:r w:rsidRPr="00D1603E">
              <w:rPr>
                <w:vanish/>
                <w:szCs w:val="18"/>
              </w:rPr>
              <w:t xml:space="preserve">BR_27.05 </w:t>
            </w:r>
            <w:r>
              <w:t>When the user assigns a status of “Discard,” he must indicate whether the discard is waste or credit.</w:t>
            </w:r>
          </w:p>
          <w:p w:rsidR="007E6BE0" w:rsidRDefault="007E6BE0" w:rsidP="00D1603E">
            <w:pPr>
              <w:pStyle w:val="NotesText"/>
            </w:pPr>
          </w:p>
          <w:p w:rsidR="007E6BE0" w:rsidRDefault="007E6BE0" w:rsidP="00D1603E">
            <w:pPr>
              <w:pStyle w:val="NotesText"/>
            </w:pPr>
            <w:r w:rsidRPr="00D1603E">
              <w:rPr>
                <w:vanish/>
                <w:szCs w:val="18"/>
              </w:rPr>
              <w:t xml:space="preserve">BR_27.06 </w:t>
            </w:r>
            <w:r>
              <w:t>When VBECS processes a unit as a discard that is waste, it does not apply a return credit is not applied to the discarded unit. (There is no refund of monies from the blood shipper.)</w:t>
            </w:r>
          </w:p>
          <w:p w:rsidR="007E6BE0" w:rsidRDefault="007E6BE0" w:rsidP="00D1603E">
            <w:pPr>
              <w:pStyle w:val="NotesText"/>
            </w:pPr>
          </w:p>
          <w:p w:rsidR="007E6BE0" w:rsidRDefault="007E6BE0" w:rsidP="00D1603E">
            <w:pPr>
              <w:pStyle w:val="NotesText"/>
            </w:pPr>
            <w:r w:rsidRPr="00D1603E">
              <w:rPr>
                <w:vanish/>
                <w:szCs w:val="18"/>
              </w:rPr>
              <w:lastRenderedPageBreak/>
              <w:t xml:space="preserve">BR_27.07 </w:t>
            </w:r>
            <w:r>
              <w:t>When VBECS saves a unit as “discard for credit,” it applies a default return credit. A user may edit the default return credit applied to the unit before updating the database.</w:t>
            </w:r>
          </w:p>
          <w:p w:rsidR="007E6BE0" w:rsidRDefault="007E6BE0" w:rsidP="00D1603E">
            <w:pPr>
              <w:pStyle w:val="NotesText"/>
            </w:pPr>
          </w:p>
          <w:p w:rsidR="007E6BE0" w:rsidRDefault="007E6BE0" w:rsidP="00D1603E">
            <w:pPr>
              <w:pStyle w:val="NotesText"/>
            </w:pPr>
            <w:r w:rsidRPr="00D1603E">
              <w:rPr>
                <w:vanish/>
                <w:szCs w:val="18"/>
              </w:rPr>
              <w:t xml:space="preserve">BR_27.15 </w:t>
            </w:r>
            <w:r w:rsidR="00DC63E8">
              <w:t>When a unit has had a quarantine indicator assigned, VBECS releases any patient assignments. Patient restrictions associated with the unit remain intact.</w:t>
            </w:r>
          </w:p>
          <w:p w:rsidR="007E6BE0" w:rsidRDefault="007E6BE0" w:rsidP="00D1603E">
            <w:pPr>
              <w:pStyle w:val="NotesText"/>
            </w:pPr>
          </w:p>
          <w:p w:rsidR="007E6BE0" w:rsidRDefault="007E6BE0" w:rsidP="00D1603E">
            <w:pPr>
              <w:pStyle w:val="NotesText"/>
            </w:pPr>
            <w:r w:rsidRPr="00D1603E">
              <w:rPr>
                <w:vanish/>
                <w:szCs w:val="18"/>
              </w:rPr>
              <w:t xml:space="preserve">BR_27.16 </w:t>
            </w:r>
            <w:r>
              <w:t>When a user attempts to release a unit from quarantine and the unit was quarantined because of a data conflict, VBECS checks the inconsistency before allowing the unit to be released. VBECS warns the user. There is no override. The user must invalidate the incorrect information or test to resolve the data conflict.</w:t>
            </w:r>
          </w:p>
        </w:tc>
      </w:tr>
      <w:tr w:rsidR="007E6BE0">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7E6BE0" w:rsidRDefault="004724C0" w:rsidP="00F90585">
            <w:pPr>
              <w:pStyle w:val="TableTextNumbers"/>
            </w:pPr>
            <w:r>
              <w:lastRenderedPageBreak/>
              <w:t>E</w:t>
            </w:r>
            <w:r w:rsidR="007E6BE0">
              <w:t xml:space="preserve">nter the date and time of the status update. </w:t>
            </w:r>
          </w:p>
          <w:p w:rsidR="007E6BE0" w:rsidRDefault="007E6BE0" w:rsidP="00E00A07">
            <w:pPr>
              <w:pStyle w:val="TableTextNumbersContinued"/>
            </w:pPr>
          </w:p>
          <w:p w:rsidR="007E6BE0" w:rsidRDefault="007E6BE0" w:rsidP="00E00A07">
            <w:pPr>
              <w:pStyle w:val="TableTextNumbersContinued"/>
            </w:pPr>
            <w:r>
              <w:t xml:space="preserve">Click the </w:t>
            </w:r>
            <w:r w:rsidRPr="00E00A07">
              <w:rPr>
                <w:b/>
              </w:rPr>
              <w:t>Waste</w:t>
            </w:r>
            <w:r>
              <w:t xml:space="preserve"> or </w:t>
            </w:r>
            <w:r w:rsidRPr="00E00A07">
              <w:rPr>
                <w:b/>
              </w:rPr>
              <w:t xml:space="preserve">Credit </w:t>
            </w:r>
            <w:r w:rsidRPr="00BF2E41">
              <w:t>radio button</w:t>
            </w:r>
            <w:r>
              <w:t>.</w:t>
            </w:r>
          </w:p>
        </w:tc>
        <w:tc>
          <w:tcPr>
            <w:tcW w:w="6120" w:type="dxa"/>
            <w:tcBorders>
              <w:top w:val="single" w:sz="4" w:space="0" w:color="auto"/>
              <w:left w:val="single" w:sz="4" w:space="0" w:color="auto"/>
              <w:bottom w:val="single" w:sz="4" w:space="0" w:color="auto"/>
              <w:right w:val="single" w:sz="4" w:space="0" w:color="auto"/>
            </w:tcBorders>
          </w:tcPr>
          <w:p w:rsidR="00E831C2" w:rsidRDefault="00E831C2" w:rsidP="00F90585">
            <w:pPr>
              <w:pStyle w:val="TableTextBullet"/>
            </w:pPr>
            <w:r>
              <w:rPr>
                <w:vanish/>
              </w:rPr>
              <w:t xml:space="preserve">DR 3241 </w:t>
            </w:r>
            <w:r>
              <w:t xml:space="preserve">VBECS defaults the date and time of the status update to the date and time the user opened the Discard or Quarantine option </w:t>
            </w:r>
          </w:p>
          <w:p w:rsidR="007E6BE0" w:rsidRDefault="007E6BE0" w:rsidP="00F90585">
            <w:pPr>
              <w:pStyle w:val="TableTextBullet"/>
            </w:pPr>
            <w:r>
              <w:t>Displays entered data.</w:t>
            </w:r>
          </w:p>
          <w:p w:rsidR="00596172" w:rsidRDefault="00596172" w:rsidP="00596172">
            <w:pPr>
              <w:pStyle w:val="TableText"/>
            </w:pPr>
          </w:p>
          <w:p w:rsidR="00596172" w:rsidRDefault="00634BFC" w:rsidP="00596172">
            <w:pPr>
              <w:pStyle w:val="TableText"/>
              <w:rPr>
                <w:b/>
                <w:bCs/>
                <w:szCs w:val="18"/>
              </w:rPr>
            </w:pPr>
            <w:r>
              <w:rPr>
                <w:b/>
                <w:bCs/>
                <w:noProof/>
              </w:rPr>
              <mc:AlternateContent>
                <mc:Choice Requires="wps">
                  <w:drawing>
                    <wp:anchor distT="0" distB="0" distL="114300" distR="114300" simplePos="0" relativeHeight="25171507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46" name="Line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6"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837FgIAAC4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Bw&#10;U837FgIAAC4EAAAOAAAAAAAAAAAAAAAAAC4CAABkcnMvZTJvRG9jLnhtbFBLAQItABQABgAIAAAA&#10;IQAXTzAS2wAAAAgBAAAPAAAAAAAAAAAAAAAAAHAEAABkcnMvZG93bnJldi54bWxQSwUGAAAAAAQA&#10;BADzAAAAeAUAAAAA&#10;" strokeweight="1.5pt"/>
                  </w:pict>
                </mc:Fallback>
              </mc:AlternateContent>
            </w:r>
            <w:r w:rsidR="00596172">
              <w:rPr>
                <w:b/>
                <w:bCs/>
                <w:szCs w:val="18"/>
              </w:rPr>
              <w:t>NOTES</w:t>
            </w:r>
          </w:p>
          <w:p w:rsidR="00596172" w:rsidRDefault="00596172" w:rsidP="00596172">
            <w:pPr>
              <w:pStyle w:val="NotesText"/>
            </w:pPr>
          </w:p>
          <w:p w:rsidR="007E6BE0" w:rsidRDefault="007E6BE0" w:rsidP="00596172">
            <w:pPr>
              <w:pStyle w:val="NotesText"/>
            </w:pPr>
            <w:r>
              <w:t>The default date and time are the current date and time.</w:t>
            </w:r>
          </w:p>
          <w:p w:rsidR="007E6BE0" w:rsidRDefault="007E6BE0" w:rsidP="00596172">
            <w:pPr>
              <w:pStyle w:val="NotesText"/>
            </w:pPr>
          </w:p>
          <w:p w:rsidR="007E6BE0" w:rsidRDefault="007E6BE0" w:rsidP="00596172">
            <w:pPr>
              <w:pStyle w:val="NotesText"/>
            </w:pPr>
            <w:r w:rsidRPr="00596172">
              <w:rPr>
                <w:vanish/>
                <w:szCs w:val="18"/>
              </w:rPr>
              <w:t xml:space="preserve">BR_27.14 </w:t>
            </w:r>
            <w:r>
              <w:t>When the user updates the status of a unit and enters a date or time in the past, VBECS compares the retrospective date and time with the last record update for the unit. VBECS allows the user to update a unit record with a date and time between the last record update and the current date and time.</w:t>
            </w:r>
            <w:bookmarkStart w:id="371" w:name="two2511"/>
            <w:bookmarkEnd w:id="371"/>
          </w:p>
          <w:p w:rsidR="007E6BE0" w:rsidRDefault="007E6BE0" w:rsidP="00596172">
            <w:pPr>
              <w:pStyle w:val="NotesText"/>
            </w:pPr>
          </w:p>
          <w:p w:rsidR="007E6BE0" w:rsidRDefault="00263B24" w:rsidP="00596172">
            <w:pPr>
              <w:pStyle w:val="NotesText"/>
            </w:pPr>
            <w:r w:rsidRPr="00896F17">
              <w:rPr>
                <w:rStyle w:val="BullhornChar"/>
              </w:rPr>
              <w:t></w:t>
            </w:r>
            <w:r w:rsidR="00596172" w:rsidRPr="00EC7489">
              <w:rPr>
                <w:rFonts w:ascii="Wingdings 3" w:hAnsi="Wingdings 3" w:cs="Wingdings"/>
              </w:rPr>
              <w:t></w:t>
            </w:r>
            <w:r w:rsidR="00596172" w:rsidRPr="00EC7489">
              <w:rPr>
                <w:rFonts w:ascii="Wingdings 3" w:hAnsi="Wingdings 3" w:cs="Wingdings"/>
              </w:rPr>
              <w:t></w:t>
            </w:r>
            <w:r w:rsidR="00596172">
              <w:t xml:space="preserve"> When</w:t>
            </w:r>
            <w:r w:rsidR="007E6BE0">
              <w:t xml:space="preserve"> the user attempts to update a unit record prior to the last record update, VBECS emits an audible alert, warns the Enhanced Technologist, and instructs him to check the date and time entered. There is no override.</w:t>
            </w:r>
          </w:p>
          <w:p w:rsidR="007E6BE0" w:rsidRDefault="007E6BE0" w:rsidP="00596172">
            <w:pPr>
              <w:pStyle w:val="NotesText"/>
            </w:pPr>
          </w:p>
          <w:p w:rsidR="007E6BE0" w:rsidRDefault="005C768D" w:rsidP="00596172">
            <w:pPr>
              <w:pStyle w:val="Notes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sidR="007E6BE0">
              <w:t xml:space="preserve">When the user is a Lead Technologist, VBECS also requires a comment and asks whether the user wishes to continue. </w:t>
            </w:r>
            <w:r w:rsidR="007E6BE0" w:rsidRPr="00596172">
              <w:rPr>
                <w:b/>
              </w:rPr>
              <w:t>Yes</w:t>
            </w:r>
            <w:r w:rsidR="007E6BE0">
              <w:t xml:space="preserve"> accepts the date and time entered, requires a comment, and captures details for inclusion in an Exception Report (exception type: retrospective update prior to last record update). </w:t>
            </w:r>
            <w:r w:rsidR="007E6BE0" w:rsidRPr="00596172">
              <w:rPr>
                <w:b/>
              </w:rPr>
              <w:t>No</w:t>
            </w:r>
            <w:r w:rsidR="007E6BE0">
              <w:t xml:space="preserve"> allows the user to correct the entry.</w:t>
            </w:r>
          </w:p>
        </w:tc>
      </w:tr>
      <w:tr w:rsidR="007E6BE0">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7E6BE0" w:rsidRDefault="007E6BE0" w:rsidP="00F90585">
            <w:pPr>
              <w:pStyle w:val="TableTextNumbers"/>
            </w:pPr>
            <w:r>
              <w:t xml:space="preserve">Review the unit status update information and click </w:t>
            </w:r>
            <w:r w:rsidR="005122E2">
              <w:rPr>
                <w:b/>
              </w:rPr>
              <w:t>Save</w:t>
            </w:r>
            <w:r w:rsidR="005122E2" w:rsidRPr="009535FF">
              <w:t xml:space="preserve"> </w:t>
            </w:r>
            <w:r w:rsidRPr="009535FF">
              <w:t>to save</w:t>
            </w:r>
            <w:r>
              <w:t>.</w:t>
            </w:r>
          </w:p>
        </w:tc>
        <w:tc>
          <w:tcPr>
            <w:tcW w:w="6120" w:type="dxa"/>
            <w:tcBorders>
              <w:top w:val="single" w:sz="4" w:space="0" w:color="auto"/>
              <w:left w:val="single" w:sz="4" w:space="0" w:color="auto"/>
              <w:bottom w:val="single" w:sz="4" w:space="0" w:color="auto"/>
              <w:right w:val="single" w:sz="4" w:space="0" w:color="auto"/>
            </w:tcBorders>
          </w:tcPr>
          <w:p w:rsidR="007E6BE0" w:rsidRDefault="007E6BE0" w:rsidP="00F90585">
            <w:pPr>
              <w:pStyle w:val="TableTextBullet"/>
            </w:pPr>
            <w:r>
              <w:t xml:space="preserve">Evaluates the unit’s current status to determine whether it is eligible for the selected function. </w:t>
            </w:r>
          </w:p>
          <w:p w:rsidR="007E6BE0" w:rsidRDefault="007E6BE0" w:rsidP="00F90585">
            <w:pPr>
              <w:pStyle w:val="TableTextBullet"/>
            </w:pPr>
            <w:r>
              <w:t>Displays appropriate error messages when the unit cannot be processed.</w:t>
            </w:r>
          </w:p>
          <w:p w:rsidR="007E6BE0" w:rsidRDefault="007E6BE0" w:rsidP="00F90585">
            <w:pPr>
              <w:pStyle w:val="TableTextBullet"/>
            </w:pPr>
            <w:r>
              <w:t>Prompts the user to confirm the save.</w:t>
            </w:r>
          </w:p>
        </w:tc>
      </w:tr>
      <w:tr w:rsidR="007E6BE0">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7E6BE0" w:rsidRDefault="007E6BE0" w:rsidP="00F90585">
            <w:pPr>
              <w:pStyle w:val="TableTextNumbers"/>
            </w:pPr>
            <w:r>
              <w:t xml:space="preserve">Click </w:t>
            </w:r>
            <w:r w:rsidRPr="00E00A07">
              <w:rPr>
                <w:b/>
              </w:rPr>
              <w:t>Yes</w:t>
            </w:r>
            <w:r>
              <w:t xml:space="preserve"> to confirm the save.</w:t>
            </w:r>
            <w:r w:rsidRPr="007E6BE0">
              <w:t xml:space="preserve"> </w:t>
            </w:r>
            <w:r w:rsidRPr="009D2C1A">
              <w:rPr>
                <w:vanish/>
                <w:szCs w:val="18"/>
              </w:rPr>
              <w:fldChar w:fldCharType="begin"/>
            </w:r>
            <w:r w:rsidRPr="009D2C1A">
              <w:rPr>
                <w:vanish/>
                <w:szCs w:val="18"/>
              </w:rPr>
              <w:instrText xml:space="preserve"> LISTNUM \l 1 \s 0 </w:instrText>
            </w:r>
            <w:r w:rsidRPr="009D2C1A">
              <w:rPr>
                <w:vanish/>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rsidR="007E6BE0" w:rsidRDefault="007E6BE0" w:rsidP="00F90585">
            <w:pPr>
              <w:pStyle w:val="TableTextBullet"/>
            </w:pPr>
            <w:r>
              <w:t>Saves the data.</w:t>
            </w:r>
          </w:p>
          <w:p w:rsidR="00596172" w:rsidRDefault="00596172" w:rsidP="00596172">
            <w:pPr>
              <w:pStyle w:val="TableText"/>
            </w:pPr>
          </w:p>
          <w:p w:rsidR="00596172" w:rsidRDefault="00634BFC" w:rsidP="00596172">
            <w:pPr>
              <w:pStyle w:val="TableText"/>
              <w:rPr>
                <w:b/>
                <w:bCs/>
                <w:szCs w:val="18"/>
              </w:rPr>
            </w:pPr>
            <w:r>
              <w:rPr>
                <w:b/>
                <w:bCs/>
                <w:noProof/>
              </w:rPr>
              <mc:AlternateContent>
                <mc:Choice Requires="wps">
                  <w:drawing>
                    <wp:anchor distT="0" distB="0" distL="114300" distR="114300" simplePos="0" relativeHeight="25171609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45" name="Line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7"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nhuFgIAAC4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CV&#10;7nhuFgIAAC4EAAAOAAAAAAAAAAAAAAAAAC4CAABkcnMvZTJvRG9jLnhtbFBLAQItABQABgAIAAAA&#10;IQAXTzAS2wAAAAgBAAAPAAAAAAAAAAAAAAAAAHAEAABkcnMvZG93bnJldi54bWxQSwUGAAAAAAQA&#10;BADzAAAAeAUAAAAA&#10;" strokeweight="1.5pt"/>
                  </w:pict>
                </mc:Fallback>
              </mc:AlternateContent>
            </w:r>
            <w:r w:rsidR="00596172">
              <w:rPr>
                <w:b/>
                <w:bCs/>
                <w:szCs w:val="18"/>
              </w:rPr>
              <w:t>NOTES</w:t>
            </w:r>
          </w:p>
          <w:p w:rsidR="00596172" w:rsidRDefault="00596172" w:rsidP="00596172">
            <w:pPr>
              <w:pStyle w:val="NotesText"/>
            </w:pPr>
          </w:p>
          <w:p w:rsidR="007E6BE0" w:rsidRDefault="007E6BE0" w:rsidP="00596172">
            <w:pPr>
              <w:pStyle w:val="NotesText"/>
            </w:pPr>
            <w:r w:rsidRPr="00596172">
              <w:rPr>
                <w:vanish/>
                <w:szCs w:val="18"/>
              </w:rPr>
              <w:t xml:space="preserve">BR_27.01 </w:t>
            </w:r>
            <w:r>
              <w:t>During batch data entry of “Discard,” “Quarantine,” and “Release from Quarantine,” VBECS saves transaction details, including user-entered comments, to each blood unit included in the batch.</w:t>
            </w:r>
          </w:p>
        </w:tc>
      </w:tr>
    </w:tbl>
    <w:p w:rsidR="009544D4" w:rsidRDefault="009544D4" w:rsidP="00DD75E5">
      <w:pPr>
        <w:pStyle w:val="BodyText"/>
      </w:pPr>
    </w:p>
    <w:p w:rsidR="002A21AE" w:rsidRDefault="00C909C1">
      <w:pPr>
        <w:pStyle w:val="Heading2"/>
      </w:pPr>
      <w:bookmarkStart w:id="372" w:name="_Select_Units_1"/>
      <w:bookmarkEnd w:id="372"/>
      <w:r>
        <w:br w:type="page"/>
      </w:r>
      <w:bookmarkStart w:id="373" w:name="_Toc459900123"/>
      <w:r w:rsidR="002A21AE">
        <w:lastRenderedPageBreak/>
        <w:t>Select Units</w:t>
      </w:r>
      <w:bookmarkEnd w:id="373"/>
      <w:r w:rsidR="002A21AE" w:rsidRPr="007716F7">
        <w:rPr>
          <w:vanish/>
        </w:rPr>
        <w:fldChar w:fldCharType="begin"/>
      </w:r>
      <w:r w:rsidR="002A21AE" w:rsidRPr="007716F7">
        <w:rPr>
          <w:vanish/>
        </w:rPr>
        <w:instrText xml:space="preserve"> XE </w:instrText>
      </w:r>
      <w:r w:rsidR="00FA7E65" w:rsidRPr="007716F7">
        <w:rPr>
          <w:vanish/>
        </w:rPr>
        <w:instrText>“</w:instrText>
      </w:r>
      <w:r w:rsidR="002A21AE" w:rsidRPr="007716F7">
        <w:rPr>
          <w:vanish/>
        </w:rPr>
        <w:instrText>Select Units</w:instrText>
      </w:r>
      <w:r w:rsidR="00FA7E65" w:rsidRPr="007716F7">
        <w:rPr>
          <w:vanish/>
        </w:rPr>
        <w:instrText>”</w:instrText>
      </w:r>
      <w:r w:rsidR="002A21AE" w:rsidRPr="007716F7">
        <w:rPr>
          <w:vanish/>
        </w:rPr>
        <w:instrText xml:space="preserve"> </w:instrText>
      </w:r>
      <w:r w:rsidR="002A21AE" w:rsidRPr="007716F7">
        <w:rPr>
          <w:vanish/>
        </w:rPr>
        <w:fldChar w:fldCharType="end"/>
      </w:r>
      <w:r w:rsidR="002A21AE" w:rsidRPr="007716F7">
        <w:rPr>
          <w:vanish/>
        </w:rPr>
        <w:t xml:space="preserve"> UC_03</w:t>
      </w:r>
    </w:p>
    <w:p w:rsidR="002A21AE" w:rsidRDefault="002A21AE" w:rsidP="00FA7E65">
      <w:pPr>
        <w:pStyle w:val="BodyText"/>
      </w:pPr>
      <w:bookmarkStart w:id="374" w:name="_Toc77662463"/>
      <w:r>
        <w:t xml:space="preserve">A user selects a patient component order and assigns one or more products to a patient for possible transfusion. </w:t>
      </w:r>
    </w:p>
    <w:p w:rsidR="002A21AE" w:rsidRDefault="002A21AE">
      <w:pPr>
        <w:pStyle w:val="Heading4"/>
      </w:pPr>
      <w:r>
        <w:t>Assumptions</w:t>
      </w:r>
    </w:p>
    <w:p w:rsidR="002A21AE" w:rsidRDefault="002A21AE">
      <w:pPr>
        <w:pStyle w:val="ListBullet"/>
      </w:pPr>
      <w:r>
        <w:t xml:space="preserve">An appropriate current order was accepted through Accept Orders: Accept an Order. </w:t>
      </w:r>
    </w:p>
    <w:p w:rsidR="002A21AE" w:rsidRDefault="002A21AE">
      <w:pPr>
        <w:pStyle w:val="ListBullet"/>
      </w:pPr>
      <w:r>
        <w:rPr>
          <w:rFonts w:cs="Arial"/>
        </w:rPr>
        <w:t xml:space="preserve">The </w:t>
      </w:r>
      <w:r>
        <w:t>division</w:t>
      </w:r>
      <w:r>
        <w:rPr>
          <w:rFonts w:cs="Arial"/>
        </w:rPr>
        <w:t xml:space="preserve"> </w:t>
      </w:r>
      <w:r>
        <w:t xml:space="preserve">may or may not allow electronic crossmatch (eXM). </w:t>
      </w:r>
    </w:p>
    <w:p w:rsidR="002A21AE" w:rsidRDefault="002A21AE">
      <w:pPr>
        <w:pStyle w:val="ListBullet"/>
      </w:pPr>
      <w:r>
        <w:t>When a division is “transfusion only,” eXM is not available. The user must enter a serologic crossmatch (XM) interpretation.</w:t>
      </w:r>
    </w:p>
    <w:p w:rsidR="002A21AE" w:rsidRDefault="002A21AE">
      <w:pPr>
        <w:pStyle w:val="Heading4"/>
      </w:pPr>
      <w:r>
        <w:t>Outcome</w:t>
      </w:r>
    </w:p>
    <w:p w:rsidR="002A21AE" w:rsidRDefault="002A21AE">
      <w:pPr>
        <w:pStyle w:val="ListBullet"/>
      </w:pPr>
      <w:r>
        <w:t>The status of the unit and the associated component order task status are updated.</w:t>
      </w:r>
    </w:p>
    <w:p w:rsidR="002A21AE" w:rsidRDefault="002A21AE">
      <w:pPr>
        <w:pStyle w:val="ListBullet"/>
      </w:pPr>
      <w:r>
        <w:t>VBECS indicates that units are available for issue when units do not require XM or other additional testing.</w:t>
      </w:r>
    </w:p>
    <w:p w:rsidR="002A21AE" w:rsidRDefault="002A21AE">
      <w:pPr>
        <w:pStyle w:val="ListBullet"/>
      </w:pPr>
      <w:r>
        <w:t>VBECS allows the user to print a Blood Transfusion Record Form (BTRF) and a Caution Tag for available blood products.</w:t>
      </w:r>
    </w:p>
    <w:p w:rsidR="002B7882" w:rsidRDefault="002A21AE" w:rsidP="00B01176">
      <w:pPr>
        <w:pStyle w:val="ListBullet"/>
      </w:pPr>
      <w:r>
        <w:t>When serologic XM is required, VBECS automatically adds units to the XM data entry grid when Patient Testing: Record a Crossmatch is accessed.</w:t>
      </w:r>
    </w:p>
    <w:p w:rsidR="00B01176" w:rsidRDefault="00B01176" w:rsidP="00B01176">
      <w:pPr>
        <w:pStyle w:val="ListBullet"/>
      </w:pPr>
      <w:r>
        <w:t xml:space="preserve">When eXM is enabled for the facility, the patient is eligible for eXM in accordance with system rules (see </w:t>
      </w:r>
      <w:r>
        <w:fldChar w:fldCharType="begin"/>
      </w:r>
      <w:r>
        <w:instrText xml:space="preserve"> REF _Ref317762597 \h </w:instrText>
      </w:r>
      <w:r>
        <w:fldChar w:fldCharType="separate"/>
      </w:r>
      <w:r w:rsidR="005F38BC">
        <w:t xml:space="preserve">Table </w:t>
      </w:r>
      <w:r w:rsidR="005F38BC">
        <w:rPr>
          <w:noProof/>
        </w:rPr>
        <w:t>24</w:t>
      </w:r>
      <w:r w:rsidR="005F38BC">
        <w:t xml:space="preserve">: </w:t>
      </w:r>
      <w:r w:rsidR="005F38BC">
        <w:rPr>
          <w:vanish/>
        </w:rPr>
        <w:t xml:space="preserve">TT_3.05 </w:t>
      </w:r>
      <w:r w:rsidR="005F38BC">
        <w:t>Rules for Electronic and Serologic Crossmatch</w:t>
      </w:r>
      <w:r>
        <w:fldChar w:fldCharType="end"/>
      </w:r>
      <w:r>
        <w:t>), and the user selects a unit, VBECS assigns the unit to the patient without further testing.</w:t>
      </w:r>
    </w:p>
    <w:p w:rsidR="002A21AE" w:rsidRDefault="002A21AE">
      <w:pPr>
        <w:pStyle w:val="Heading4"/>
      </w:pPr>
      <w:r>
        <w:t>Limitations and Restrictions</w:t>
      </w:r>
    </w:p>
    <w:p w:rsidR="002A21AE" w:rsidRPr="007A44E4" w:rsidRDefault="00320DAE">
      <w:pPr>
        <w:pStyle w:val="ListBullet"/>
        <w:rPr>
          <w:spacing w:val="0"/>
        </w:rPr>
      </w:pPr>
      <w:r>
        <w:rPr>
          <w:vanish/>
          <w:spacing w:val="0"/>
        </w:rPr>
        <w:t>Task 1,126</w:t>
      </w:r>
      <w:r>
        <w:rPr>
          <w:spacing w:val="0"/>
        </w:rPr>
        <w:t>When a u</w:t>
      </w:r>
      <w:r w:rsidRPr="00320DAE">
        <w:rPr>
          <w:spacing w:val="0"/>
        </w:rPr>
        <w:t>ser check</w:t>
      </w:r>
      <w:r>
        <w:rPr>
          <w:spacing w:val="0"/>
        </w:rPr>
        <w:t>s</w:t>
      </w:r>
      <w:r w:rsidRPr="00320DAE">
        <w:rPr>
          <w:spacing w:val="0"/>
        </w:rPr>
        <w:t xml:space="preserve"> the </w:t>
      </w:r>
      <w:r>
        <w:rPr>
          <w:spacing w:val="0"/>
        </w:rPr>
        <w:t>“</w:t>
      </w:r>
      <w:r w:rsidRPr="00320DAE">
        <w:rPr>
          <w:spacing w:val="0"/>
        </w:rPr>
        <w:t xml:space="preserve">D </w:t>
      </w:r>
      <w:r>
        <w:rPr>
          <w:spacing w:val="0"/>
        </w:rPr>
        <w:t>P</w:t>
      </w:r>
      <w:r w:rsidRPr="00320DAE">
        <w:rPr>
          <w:spacing w:val="0"/>
        </w:rPr>
        <w:t>os</w:t>
      </w:r>
      <w:r>
        <w:rPr>
          <w:spacing w:val="0"/>
        </w:rPr>
        <w:t>”</w:t>
      </w:r>
      <w:r w:rsidRPr="00320DAE">
        <w:rPr>
          <w:spacing w:val="0"/>
        </w:rPr>
        <w:t xml:space="preserve"> or </w:t>
      </w:r>
      <w:r>
        <w:rPr>
          <w:spacing w:val="0"/>
        </w:rPr>
        <w:t>“</w:t>
      </w:r>
      <w:r w:rsidRPr="00320DAE">
        <w:rPr>
          <w:spacing w:val="0"/>
        </w:rPr>
        <w:t xml:space="preserve">D </w:t>
      </w:r>
      <w:r>
        <w:rPr>
          <w:spacing w:val="0"/>
        </w:rPr>
        <w:t>N</w:t>
      </w:r>
      <w:r w:rsidRPr="00320DAE">
        <w:rPr>
          <w:spacing w:val="0"/>
        </w:rPr>
        <w:t>eg</w:t>
      </w:r>
      <w:r>
        <w:rPr>
          <w:spacing w:val="0"/>
        </w:rPr>
        <w:t>”</w:t>
      </w:r>
      <w:r w:rsidRPr="00320DAE">
        <w:rPr>
          <w:spacing w:val="0"/>
        </w:rPr>
        <w:t xml:space="preserve"> check box to modify a search for blood</w:t>
      </w:r>
      <w:r>
        <w:rPr>
          <w:spacing w:val="0"/>
        </w:rPr>
        <w:t>, VBECS returns no units, regardless of the availability of units</w:t>
      </w:r>
      <w:r w:rsidRPr="00320DAE">
        <w:rPr>
          <w:spacing w:val="0"/>
        </w:rPr>
        <w:t xml:space="preserve">. </w:t>
      </w:r>
    </w:p>
    <w:p w:rsidR="004E75A5" w:rsidRDefault="004E75A5" w:rsidP="004E75A5">
      <w:pPr>
        <w:pStyle w:val="ListBullet"/>
      </w:pPr>
      <w:r w:rsidRPr="002338BC">
        <w:rPr>
          <w:vanish/>
        </w:rPr>
        <w:t xml:space="preserve">DR 2,578 </w:t>
      </w:r>
      <w:r>
        <w:t>VBECS does not allow a user to select a pool of mixed ABO/Rh units for a patient. Instead, the user must select random units for the patient and pool the mixed ABO/Rh units to allow</w:t>
      </w:r>
      <w:r w:rsidRPr="00971928">
        <w:t xml:space="preserve"> issue</w:t>
      </w:r>
      <w:r>
        <w:t>.</w:t>
      </w:r>
    </w:p>
    <w:p w:rsidR="004E4368" w:rsidRDefault="004E4368" w:rsidP="004E75A5">
      <w:pPr>
        <w:pStyle w:val="ListBullet"/>
      </w:pPr>
      <w:r>
        <w:rPr>
          <w:vanish/>
        </w:rPr>
        <w:t>DR 2,808</w:t>
      </w:r>
      <w:r w:rsidRPr="004E4368">
        <w:t>VBECS displays a</w:t>
      </w:r>
      <w:r w:rsidR="000E6B9F">
        <w:t xml:space="preserve"> compo</w:t>
      </w:r>
      <w:r>
        <w:t>n</w:t>
      </w:r>
      <w:r w:rsidR="000E6B9F">
        <w:t>ent</w:t>
      </w:r>
      <w:r w:rsidRPr="004E4368">
        <w:t xml:space="preserve"> order </w:t>
      </w:r>
      <w:r>
        <w:t xml:space="preserve">as </w:t>
      </w:r>
      <w:r w:rsidR="002316B0">
        <w:t xml:space="preserve">“filled” </w:t>
      </w:r>
      <w:r w:rsidRPr="004E4368">
        <w:t xml:space="preserve">when the number of units </w:t>
      </w:r>
      <w:r w:rsidR="002316B0">
        <w:t>transfused</w:t>
      </w:r>
      <w:r w:rsidR="002316B0" w:rsidRPr="004E4368">
        <w:t xml:space="preserve"> </w:t>
      </w:r>
      <w:r w:rsidRPr="004E4368">
        <w:t>and the number of units ordered are the same.</w:t>
      </w:r>
      <w:r>
        <w:t xml:space="preserve"> CPRS displays a</w:t>
      </w:r>
      <w:r w:rsidR="000E6B9F">
        <w:t xml:space="preserve"> component </w:t>
      </w:r>
      <w:r>
        <w:t xml:space="preserve">order as </w:t>
      </w:r>
      <w:r w:rsidR="00505F89">
        <w:t>“</w:t>
      </w:r>
      <w:r>
        <w:t>completed</w:t>
      </w:r>
      <w:r w:rsidR="00505F89">
        <w:t>”</w:t>
      </w:r>
      <w:r>
        <w:t xml:space="preserve"> when the number of units </w:t>
      </w:r>
      <w:r w:rsidR="002316B0">
        <w:t xml:space="preserve">ready for issue </w:t>
      </w:r>
      <w:r>
        <w:t xml:space="preserve">and the number of units ordered are the same. Therefore, CPRS displays the order as </w:t>
      </w:r>
      <w:r w:rsidR="00505F89">
        <w:t>“</w:t>
      </w:r>
      <w:r>
        <w:t>completed</w:t>
      </w:r>
      <w:r w:rsidR="00505F89">
        <w:t>”</w:t>
      </w:r>
      <w:r>
        <w:t xml:space="preserve"> before VBECS </w:t>
      </w:r>
      <w:r w:rsidR="002316B0">
        <w:t>displays the order as “filled</w:t>
      </w:r>
      <w:r>
        <w:t>.</w:t>
      </w:r>
      <w:r w:rsidR="002316B0">
        <w:t>”</w:t>
      </w:r>
    </w:p>
    <w:p w:rsidR="002027D9" w:rsidRDefault="002027D9" w:rsidP="002027D9">
      <w:pPr>
        <w:pStyle w:val="ListBullet"/>
      </w:pPr>
      <w:r w:rsidRPr="00633316">
        <w:t xml:space="preserve">Changing a patient's antigen negative requirement or antibody identified after a unit is crossmatched does not provide an alert at Issue Unit regarding the type of crossmatch </w:t>
      </w:r>
      <w:r>
        <w:t xml:space="preserve">(electronic or serologic) </w:t>
      </w:r>
      <w:r w:rsidRPr="00633316">
        <w:t xml:space="preserve">performed on </w:t>
      </w:r>
      <w:r>
        <w:t xml:space="preserve">a </w:t>
      </w:r>
      <w:r w:rsidRPr="00633316">
        <w:t>unit</w:t>
      </w:r>
      <w:r>
        <w:t xml:space="preserve"> available for issue</w:t>
      </w:r>
      <w:r w:rsidRPr="00633316">
        <w:t>.</w:t>
      </w:r>
    </w:p>
    <w:p w:rsidR="002A21AE" w:rsidRDefault="002A21AE">
      <w:pPr>
        <w:pStyle w:val="Heading4"/>
      </w:pPr>
      <w:r>
        <w:t>Additional Information</w:t>
      </w:r>
    </w:p>
    <w:p w:rsidR="002A21AE" w:rsidRDefault="002A21AE">
      <w:pPr>
        <w:pStyle w:val="ListBullet"/>
      </w:pPr>
      <w:r w:rsidRPr="00B00DEF">
        <w:rPr>
          <w:rFonts w:cs="Arial"/>
          <w:vanish/>
        </w:rPr>
        <w:t>BR_3.03</w:t>
      </w:r>
      <w:r>
        <w:rPr>
          <w:rFonts w:ascii="Arial" w:hAnsi="Arial" w:cs="Arial"/>
          <w:vanish/>
          <w:spacing w:val="0"/>
          <w:sz w:val="18"/>
        </w:rPr>
        <w:t xml:space="preserve"> </w:t>
      </w:r>
      <w:r>
        <w:t>Active component orders and the user must be in the same division.</w:t>
      </w:r>
    </w:p>
    <w:p w:rsidR="00B00DEF" w:rsidRDefault="00B00DEF" w:rsidP="00B00DEF">
      <w:pPr>
        <w:pStyle w:val="ListBullet"/>
      </w:pPr>
      <w:r>
        <w:rPr>
          <w:rFonts w:cs="Arial"/>
          <w:vanish/>
        </w:rPr>
        <w:t xml:space="preserve">BR_5.03 </w:t>
      </w:r>
      <w:r>
        <w:t xml:space="preserve">The user may select only active units and those not in an inactive or final status. </w:t>
      </w:r>
    </w:p>
    <w:p w:rsidR="002A21AE" w:rsidRDefault="002A21AE">
      <w:pPr>
        <w:pStyle w:val="ListBullet"/>
      </w:pPr>
      <w:r>
        <w:t xml:space="preserve">Multiple users may select units associated with a component order. </w:t>
      </w:r>
    </w:p>
    <w:p w:rsidR="002A21AE" w:rsidRDefault="002A21AE">
      <w:pPr>
        <w:pStyle w:val="ListBullet"/>
      </w:pPr>
      <w:r>
        <w:t>When a user selects a patient order, VBECS searches for available autologous and directed units regardless of the unit’s current division within a multidivisional database, displays the unit information, and allows the user to assign the unit when it is in the user’s division.</w:t>
      </w:r>
    </w:p>
    <w:p w:rsidR="002A21AE" w:rsidRDefault="002A21AE">
      <w:pPr>
        <w:pStyle w:val="ListBullet"/>
      </w:pPr>
      <w:r>
        <w:t>A user may select units for only one ordered component class at a time.</w:t>
      </w:r>
    </w:p>
    <w:p w:rsidR="002A21AE" w:rsidRDefault="002A21AE">
      <w:pPr>
        <w:pStyle w:val="ListBullet"/>
      </w:pPr>
      <w:r>
        <w:t xml:space="preserve">An existing specimen and/or order remains available to select additional units until its expiration date. </w:t>
      </w:r>
    </w:p>
    <w:p w:rsidR="002A21AE" w:rsidRDefault="002A21AE">
      <w:pPr>
        <w:pStyle w:val="ListBullet"/>
      </w:pPr>
      <w:r>
        <w:t>The selection of blood units does not complete an order.</w:t>
      </w:r>
    </w:p>
    <w:p w:rsidR="002A21AE" w:rsidRDefault="002A21AE">
      <w:pPr>
        <w:pStyle w:val="ListBullet"/>
      </w:pPr>
      <w:r>
        <w:lastRenderedPageBreak/>
        <w:t xml:space="preserve">A user must accept or cancel each component task in its entirety. </w:t>
      </w:r>
    </w:p>
    <w:p w:rsidR="002A21AE" w:rsidRDefault="002A21AE">
      <w:pPr>
        <w:pStyle w:val="ListBullet"/>
      </w:pPr>
      <w:r>
        <w:rPr>
          <w:rFonts w:ascii="Arial" w:hAnsi="Arial" w:cs="Arial"/>
          <w:vanish/>
          <w:spacing w:val="0"/>
          <w:sz w:val="18"/>
        </w:rPr>
        <w:t xml:space="preserve">BR_3.38 </w:t>
      </w:r>
      <w:r>
        <w:t xml:space="preserve">The user reserves autologous and directed units and all units processed in a “transfusion-only” facility, regardless of donation type, for a specific patient. VBECS displays this information to all divisions in a multidivisional database and accommodates immediate selection of the unit for the patient when the user is in the same division. </w:t>
      </w:r>
    </w:p>
    <w:p w:rsidR="002A21AE" w:rsidRDefault="002A21AE">
      <w:pPr>
        <w:pStyle w:val="ListBullet"/>
      </w:pPr>
      <w:r>
        <w:rPr>
          <w:rFonts w:ascii="Arial" w:hAnsi="Arial" w:cs="Arial"/>
          <w:vanish/>
          <w:spacing w:val="0"/>
          <w:sz w:val="18"/>
        </w:rPr>
        <w:t xml:space="preserve">BR_3.42 </w:t>
      </w:r>
      <w:r>
        <w:t>When VBECS compares a patient’s current and previous ABO/Rh results, it does not evaluate previously recorded ABO/Rh results marked “Test Result Invalidated.”</w:t>
      </w:r>
    </w:p>
    <w:p w:rsidR="002A21AE" w:rsidRDefault="002A21AE">
      <w:pPr>
        <w:pStyle w:val="ListBullet"/>
      </w:pPr>
      <w:r>
        <w:t xml:space="preserve">An ABO/Rh confirmation test interpretation must match the unit ABO/Rh at login and when repeat confirmation tests are not invalidated. A user may not select a unit for a patient based on ABO/Rh at login. The unit must have a satisfactory confirmation result before VBECS considers it available for selection. </w:t>
      </w:r>
    </w:p>
    <w:p w:rsidR="00CB1C51" w:rsidRDefault="002A21AE" w:rsidP="00CB1C51">
      <w:pPr>
        <w:pStyle w:val="ListBullet"/>
      </w:pPr>
      <w:r>
        <w:rPr>
          <w:rFonts w:ascii="Arial" w:hAnsi="Arial" w:cs="Arial"/>
          <w:vanish/>
          <w:spacing w:val="0"/>
          <w:sz w:val="18"/>
        </w:rPr>
        <w:t xml:space="preserve">BR_3.53 </w:t>
      </w:r>
      <w:r w:rsidR="00174BD8" w:rsidRPr="004C06CE">
        <w:t>When a</w:t>
      </w:r>
      <w:r w:rsidR="00174BD8">
        <w:t xml:space="preserve"> user accepts a</w:t>
      </w:r>
      <w:r w:rsidR="00174BD8" w:rsidRPr="004C06CE">
        <w:t>n order without a specimen</w:t>
      </w:r>
      <w:r w:rsidR="00223221">
        <w:t>, he may associate the specimen when he selects</w:t>
      </w:r>
      <w:r w:rsidR="00174BD8">
        <w:t xml:space="preserve"> units for XM</w:t>
      </w:r>
      <w:r w:rsidR="00223221">
        <w:t>.</w:t>
      </w:r>
    </w:p>
    <w:p w:rsidR="00CE0A76" w:rsidRDefault="00CE0A76" w:rsidP="00CB1C51">
      <w:pPr>
        <w:pStyle w:val="ListBullet"/>
      </w:pPr>
      <w:r>
        <w:t xml:space="preserve">ABO/Rh confirmation testing is not required for </w:t>
      </w:r>
      <w:r w:rsidR="000C206C">
        <w:t>components</w:t>
      </w:r>
      <w:r>
        <w:t xml:space="preserve"> in the OTHER component class</w:t>
      </w:r>
      <w:r w:rsidR="000C206C" w:rsidRPr="000C206C">
        <w:t xml:space="preserve"> </w:t>
      </w:r>
      <w:r w:rsidR="000C206C">
        <w:t>that do not traditionally contain red blood cells</w:t>
      </w:r>
      <w:r>
        <w:t xml:space="preserve">. A user may request a XM for these components </w:t>
      </w:r>
      <w:r w:rsidR="000C206C">
        <w:t>in accordance with</w:t>
      </w:r>
      <w:r>
        <w:t xml:space="preserve"> local policy.</w:t>
      </w:r>
    </w:p>
    <w:p w:rsidR="002A21AE" w:rsidRDefault="002A21AE" w:rsidP="00174BD8">
      <w:pPr>
        <w:pStyle w:val="Heading4"/>
        <w:tabs>
          <w:tab w:val="left" w:pos="5490"/>
        </w:tabs>
      </w:pPr>
      <w:r>
        <w:t>User Roles with Access to This Option</w:t>
      </w:r>
      <w:r w:rsidR="00174BD8">
        <w:tab/>
      </w:r>
    </w:p>
    <w:p w:rsidR="005C42D0" w:rsidRDefault="005C42D0" w:rsidP="005C42D0">
      <w:pPr>
        <w:pStyle w:val="Roles"/>
        <w:rPr>
          <w:snapToGrid w:val="0"/>
        </w:rPr>
      </w:pPr>
      <w:r>
        <w:t xml:space="preserve">All users </w:t>
      </w:r>
    </w:p>
    <w:bookmarkEnd w:id="374"/>
    <w:p w:rsidR="002A21AE" w:rsidRDefault="00634BFC">
      <w:pPr>
        <w:pStyle w:val="Heading4"/>
      </w:pPr>
      <w:r>
        <w:rPr>
          <w:noProof/>
        </w:rPr>
        <w:drawing>
          <wp:inline distT="0" distB="0" distL="0" distR="0">
            <wp:extent cx="152400" cy="1524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A21AE">
        <w:t xml:space="preserve"> Select Units</w:t>
      </w:r>
    </w:p>
    <w:p w:rsidR="008A248A" w:rsidRDefault="002A21AE" w:rsidP="00FA7E65">
      <w:pPr>
        <w:pStyle w:val="BodyText"/>
      </w:pPr>
      <w:r>
        <w:t>A user selects a patient’s component order and assigns one or more products to a patient. The user may then enter individual units or select units from a list of selectable, potentially compatible units for each component order.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pPr>
              <w:pStyle w:val="TableTextNumbers"/>
              <w:rPr>
                <w:b/>
              </w:rPr>
            </w:pPr>
            <w:r>
              <w:t xml:space="preserve">Select </w:t>
            </w:r>
            <w:r w:rsidR="00505F89">
              <w:t xml:space="preserve"> </w:t>
            </w:r>
            <w:r>
              <w:rPr>
                <w:b/>
              </w:rPr>
              <w:t>Patients</w:t>
            </w:r>
            <w:r>
              <w:t xml:space="preserve"> from the main menu and select </w:t>
            </w:r>
            <w:r w:rsidR="00505F89">
              <w:t xml:space="preserve"> </w:t>
            </w:r>
            <w:r>
              <w:rPr>
                <w:b/>
              </w:rPr>
              <w:t>Patient Testing</w:t>
            </w:r>
            <w:r>
              <w:t>, or</w:t>
            </w:r>
          </w:p>
          <w:p w:rsidR="002A21AE" w:rsidRDefault="002A21AE">
            <w:pPr>
              <w:pStyle w:val="TableTextNumbersContinued"/>
            </w:pPr>
          </w:p>
          <w:p w:rsidR="002A21AE" w:rsidRDefault="00922AD8">
            <w:pPr>
              <w:pStyle w:val="TableTextNumbersContinued"/>
            </w:pPr>
            <w:r>
              <w:t xml:space="preserve">Select </w:t>
            </w:r>
            <w:r w:rsidRPr="005E0472">
              <w:rPr>
                <w:b/>
              </w:rPr>
              <w:t>Blood</w:t>
            </w:r>
            <w:r w:rsidR="002A21AE" w:rsidRPr="005E0472">
              <w:rPr>
                <w:b/>
              </w:rPr>
              <w:t xml:space="preserve"> Units</w:t>
            </w:r>
            <w:r w:rsidR="002A21AE">
              <w:t xml:space="preserve"> from the main menu and select </w:t>
            </w:r>
            <w:r w:rsidR="00505F89">
              <w:t xml:space="preserve"> </w:t>
            </w:r>
            <w:r w:rsidR="002A21AE">
              <w:rPr>
                <w:b/>
              </w:rPr>
              <w:t>Select Units</w:t>
            </w:r>
            <w:r w:rsidR="002A21AE">
              <w:t>.</w:t>
            </w:r>
          </w:p>
        </w:tc>
        <w:tc>
          <w:tcPr>
            <w:tcW w:w="6120" w:type="dxa"/>
          </w:tcPr>
          <w:p w:rsidR="002A21AE" w:rsidRDefault="002A21AE">
            <w:pPr>
              <w:pStyle w:val="TableTextBullet"/>
            </w:pPr>
            <w:r>
              <w:t>Displays options for processing patient-related functions.</w:t>
            </w:r>
          </w:p>
          <w:p w:rsidR="002A21AE" w:rsidRDefault="002A21AE">
            <w:pPr>
              <w:pStyle w:val="TableTextBullet"/>
            </w:pPr>
            <w:r>
              <w:t>Displays the Pending Task List (PTL) and PTL search parameters in the Diagnostic Tests tab or in the Component Orders tab.</w:t>
            </w:r>
          </w:p>
        </w:tc>
      </w:tr>
      <w:tr w:rsidR="002A21AE">
        <w:tblPrEx>
          <w:tblCellMar>
            <w:top w:w="0" w:type="dxa"/>
            <w:bottom w:w="0" w:type="dxa"/>
          </w:tblCellMar>
        </w:tblPrEx>
        <w:tc>
          <w:tcPr>
            <w:tcW w:w="3240" w:type="dxa"/>
          </w:tcPr>
          <w:p w:rsidR="002A21AE" w:rsidRDefault="002A21AE">
            <w:pPr>
              <w:pStyle w:val="TableTextNumbers"/>
            </w:pPr>
            <w:r>
              <w:t>Enter or select PTL search parameters, if appropriate</w:t>
            </w:r>
            <w:r w:rsidR="004728E4">
              <w:t xml:space="preserve"> (</w:t>
            </w:r>
            <w:r w:rsidR="0071094D">
              <w:fldChar w:fldCharType="begin"/>
            </w:r>
            <w:r w:rsidR="0071094D">
              <w:instrText xml:space="preserve"> REF _Ref126724671 \h </w:instrText>
            </w:r>
            <w:r w:rsidR="0071094D">
              <w:fldChar w:fldCharType="separate"/>
            </w:r>
            <w:r w:rsidR="005F38BC">
              <w:t xml:space="preserve">Figure </w:t>
            </w:r>
            <w:r w:rsidR="005F38BC">
              <w:rPr>
                <w:noProof/>
              </w:rPr>
              <w:t>93</w:t>
            </w:r>
            <w:r w:rsidR="0071094D">
              <w:fldChar w:fldCharType="end"/>
            </w:r>
            <w:r w:rsidR="004728E4">
              <w:t>)</w:t>
            </w:r>
            <w:r>
              <w:t xml:space="preserve">. </w:t>
            </w:r>
          </w:p>
          <w:p w:rsidR="002A21AE" w:rsidRDefault="002A21AE">
            <w:pPr>
              <w:pStyle w:val="TableTextNumbersContinued"/>
            </w:pPr>
          </w:p>
          <w:p w:rsidR="002A21AE" w:rsidRDefault="002A21AE">
            <w:pPr>
              <w:pStyle w:val="TableTextNumbersContinued"/>
            </w:pPr>
            <w:r>
              <w:t xml:space="preserve">Click the check boxes in the PTL to select </w:t>
            </w:r>
            <w:r w:rsidR="00810E0A">
              <w:t>one to four</w:t>
            </w:r>
            <w:r>
              <w:t xml:space="preserve"> component orders. </w:t>
            </w:r>
          </w:p>
          <w:p w:rsidR="002A21AE" w:rsidRDefault="002A21AE">
            <w:pPr>
              <w:pStyle w:val="TableTextNumbersContinued"/>
            </w:pPr>
          </w:p>
          <w:p w:rsidR="002A21AE" w:rsidRDefault="002A21AE">
            <w:pPr>
              <w:pStyle w:val="TableTextNumbersContinued"/>
            </w:pPr>
            <w:r>
              <w:t xml:space="preserve">Click </w:t>
            </w:r>
            <w:r>
              <w:rPr>
                <w:b/>
              </w:rPr>
              <w:t>OK</w:t>
            </w:r>
            <w:r>
              <w:t xml:space="preserve"> to continue</w:t>
            </w:r>
            <w:r w:rsidR="008C6185">
              <w:t xml:space="preserve"> (</w:t>
            </w:r>
            <w:r w:rsidR="0071094D">
              <w:fldChar w:fldCharType="begin"/>
            </w:r>
            <w:r w:rsidR="0071094D">
              <w:instrText xml:space="preserve"> REF _Ref126724700 \h </w:instrText>
            </w:r>
            <w:r w:rsidR="0071094D">
              <w:fldChar w:fldCharType="separate"/>
            </w:r>
            <w:r w:rsidR="005F38BC">
              <w:t xml:space="preserve">Figure </w:t>
            </w:r>
            <w:r w:rsidR="005F38BC">
              <w:rPr>
                <w:noProof/>
              </w:rPr>
              <w:t>94</w:t>
            </w:r>
            <w:r w:rsidR="0071094D">
              <w:fldChar w:fldCharType="end"/>
            </w:r>
            <w:r w:rsidR="008C6185">
              <w:t>)</w:t>
            </w:r>
            <w:r>
              <w:t>.</w:t>
            </w:r>
          </w:p>
        </w:tc>
        <w:tc>
          <w:tcPr>
            <w:tcW w:w="6120" w:type="dxa"/>
          </w:tcPr>
          <w:p w:rsidR="002A21AE" w:rsidRDefault="002A21AE">
            <w:pPr>
              <w:pStyle w:val="TableTextBullet"/>
            </w:pPr>
            <w:r>
              <w:t>Displays information for each component order.</w:t>
            </w:r>
          </w:p>
          <w:p w:rsidR="002A21AE" w:rsidRDefault="002A21AE">
            <w:pPr>
              <w:pStyle w:val="TableTextBullet"/>
            </w:pPr>
            <w:r>
              <w:t>When the selected order class is RED BLOOD CELLS and the division enabled eXM, evaluates the patient for eXM unit processing.</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1472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44" name="Lin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8"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70YFQIAAC0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Lrb&#10;vRg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sidRPr="00896F17">
              <w:rPr>
                <w:rStyle w:val="BullhornChar"/>
              </w:rPr>
              <w:t></w:t>
            </w:r>
            <w:r w:rsidRPr="00C51C45">
              <w:rPr>
                <w:rFonts w:ascii="Webdings" w:hAnsi="Webdings"/>
                <w:szCs w:val="22"/>
              </w:rPr>
              <w:t></w:t>
            </w:r>
            <w:r>
              <w:rPr>
                <w:rFonts w:cs="Arial"/>
                <w:szCs w:val="22"/>
              </w:rPr>
              <w:t xml:space="preserve">See </w:t>
            </w:r>
            <w:r w:rsidR="00590097">
              <w:rPr>
                <w:rFonts w:cs="Arial"/>
                <w:szCs w:val="22"/>
              </w:rPr>
              <w:fldChar w:fldCharType="begin"/>
            </w:r>
            <w:r w:rsidR="00590097">
              <w:rPr>
                <w:rFonts w:cs="Arial"/>
                <w:szCs w:val="22"/>
              </w:rPr>
              <w:instrText xml:space="preserve"> REF _Ref126486057 \h </w:instrText>
            </w:r>
            <w:r w:rsidR="00290CD1" w:rsidRPr="00590097">
              <w:rPr>
                <w:rFonts w:cs="Arial"/>
                <w:szCs w:val="22"/>
              </w:rPr>
            </w:r>
            <w:r w:rsidR="00590097">
              <w:rPr>
                <w:rFonts w:cs="Arial"/>
                <w:szCs w:val="22"/>
              </w:rPr>
              <w:fldChar w:fldCharType="separate"/>
            </w:r>
            <w:r w:rsidR="005F38BC">
              <w:t xml:space="preserve">Table </w:t>
            </w:r>
            <w:r w:rsidR="005F38BC">
              <w:rPr>
                <w:noProof/>
              </w:rPr>
              <w:t>6</w:t>
            </w:r>
            <w:r w:rsidR="00590097">
              <w:rPr>
                <w:rFonts w:cs="Arial"/>
                <w:szCs w:val="22"/>
              </w:rPr>
              <w:fldChar w:fldCharType="end"/>
            </w:r>
            <w:r>
              <w:rPr>
                <w:rFonts w:cs="Arial"/>
                <w:szCs w:val="22"/>
              </w:rPr>
              <w:t xml:space="preserve"> for alerts that may occur during this option.</w:t>
            </w:r>
          </w:p>
        </w:tc>
      </w:tr>
      <w:tr w:rsidR="004D6F51">
        <w:tblPrEx>
          <w:tblCellMar>
            <w:top w:w="0" w:type="dxa"/>
            <w:bottom w:w="0" w:type="dxa"/>
          </w:tblCellMar>
        </w:tblPrEx>
        <w:trPr>
          <w:hidden/>
        </w:trPr>
        <w:tc>
          <w:tcPr>
            <w:tcW w:w="3240" w:type="dxa"/>
          </w:tcPr>
          <w:p w:rsidR="004D6F51" w:rsidRDefault="00EB00A3" w:rsidP="0020776C">
            <w:pPr>
              <w:pStyle w:val="TableTextNumbers"/>
            </w:pPr>
            <w:r w:rsidRPr="00EB00A3">
              <w:rPr>
                <w:vanish/>
              </w:rPr>
              <w:t>DR 4414</w:t>
            </w:r>
            <w:r w:rsidRPr="00EB00A3">
              <w:rPr>
                <w:b/>
                <w:vanish/>
              </w:rPr>
              <w:t xml:space="preserve"> </w:t>
            </w:r>
            <w:r w:rsidR="00234D60" w:rsidRPr="00234D60">
              <w:rPr>
                <w:b/>
                <w:sz w:val="20"/>
              </w:rPr>
              <w:t>Steps 3 through 8 are optional. If a specimen is already associated with the order, skip to Step 9.</w:t>
            </w:r>
            <w:r w:rsidR="00234D60">
              <w:rPr>
                <w:sz w:val="20"/>
              </w:rPr>
              <w:t xml:space="preserve"> </w:t>
            </w:r>
            <w:r w:rsidR="004D6F51">
              <w:t xml:space="preserve">To associate a specimen with an emergency-issued unit requiring </w:t>
            </w:r>
            <w:r w:rsidR="00F92484">
              <w:t>XM</w:t>
            </w:r>
            <w:r w:rsidR="004D6F51">
              <w:t>, select (highlight) an issued unit in the Order Group tree view in the left pane</w:t>
            </w:r>
            <w:r w:rsidR="009F0D10">
              <w:t xml:space="preserve"> (</w:t>
            </w:r>
            <w:r w:rsidR="005C5BD9">
              <w:fldChar w:fldCharType="begin"/>
            </w:r>
            <w:r w:rsidR="005C5BD9">
              <w:instrText xml:space="preserve"> REF _Ref169515158 \h </w:instrText>
            </w:r>
            <w:r w:rsidR="00234D60">
              <w:instrText xml:space="preserve"> \* MERGEFORMAT </w:instrText>
            </w:r>
            <w:r w:rsidR="005C5BD9">
              <w:fldChar w:fldCharType="separate"/>
            </w:r>
            <w:r w:rsidR="005F38BC">
              <w:t xml:space="preserve">Figure </w:t>
            </w:r>
            <w:r w:rsidR="005F38BC">
              <w:rPr>
                <w:noProof/>
              </w:rPr>
              <w:t>95</w:t>
            </w:r>
            <w:r w:rsidR="005C5BD9">
              <w:fldChar w:fldCharType="end"/>
            </w:r>
            <w:r w:rsidR="009F0D10">
              <w:t>)</w:t>
            </w:r>
            <w:r w:rsidR="004D6F51">
              <w:t>.</w:t>
            </w:r>
          </w:p>
        </w:tc>
        <w:tc>
          <w:tcPr>
            <w:tcW w:w="6120" w:type="dxa"/>
          </w:tcPr>
          <w:p w:rsidR="004D6F51" w:rsidRDefault="004D6F51" w:rsidP="0020776C">
            <w:pPr>
              <w:pStyle w:val="TableTextBullet"/>
            </w:pPr>
            <w:r>
              <w:t>Enables the Associate Specimen check box.</w:t>
            </w:r>
          </w:p>
          <w:p w:rsidR="00F92484" w:rsidRDefault="00F92484" w:rsidP="00F92484">
            <w:pPr>
              <w:pStyle w:val="TableText"/>
            </w:pPr>
          </w:p>
          <w:p w:rsidR="00F92484" w:rsidRDefault="00634BFC" w:rsidP="00F92484">
            <w:pPr>
              <w:pStyle w:val="TableText"/>
              <w:rPr>
                <w:b/>
                <w:bCs/>
                <w:szCs w:val="18"/>
              </w:rPr>
            </w:pPr>
            <w:r>
              <w:rPr>
                <w:b/>
                <w:bCs/>
                <w:noProof/>
              </w:rPr>
              <mc:AlternateContent>
                <mc:Choice Requires="wps">
                  <w:drawing>
                    <wp:anchor distT="0" distB="0" distL="114300" distR="114300" simplePos="0" relativeHeight="25178470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43" name="Line 1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6" o:spid="_x0000_s1026" style="position:absolute;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nAQFQIAAC4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Dva&#10;cBAVAgAALgQAAA4AAAAAAAAAAAAAAAAALgIAAGRycy9lMm9Eb2MueG1sUEsBAi0AFAAGAAgAAAAh&#10;ABdPMBLbAAAACAEAAA8AAAAAAAAAAAAAAAAAbwQAAGRycy9kb3ducmV2LnhtbFBLBQYAAAAABAAE&#10;APMAAAB3BQAAAAA=&#10;" strokeweight="1.5pt"/>
                  </w:pict>
                </mc:Fallback>
              </mc:AlternateContent>
            </w:r>
            <w:r w:rsidR="00F92484">
              <w:rPr>
                <w:b/>
                <w:bCs/>
                <w:szCs w:val="18"/>
              </w:rPr>
              <w:t>NOTES</w:t>
            </w:r>
          </w:p>
          <w:p w:rsidR="00F92484" w:rsidRDefault="00F92484" w:rsidP="00F92484">
            <w:pPr>
              <w:pStyle w:val="NotesText"/>
            </w:pPr>
          </w:p>
          <w:p w:rsidR="00F92484" w:rsidRDefault="00F92484" w:rsidP="00F92484">
            <w:pPr>
              <w:pStyle w:val="NotesText"/>
            </w:pPr>
            <w:r>
              <w:rPr>
                <w:rFonts w:cs="Arial"/>
                <w:szCs w:val="22"/>
              </w:rPr>
              <w:t>If eXM is enabled, complete the TAS prior to associating the specimen UID with the emergency-issued units.</w:t>
            </w:r>
          </w:p>
        </w:tc>
      </w:tr>
      <w:tr w:rsidR="004D6F51">
        <w:tblPrEx>
          <w:tblCellMar>
            <w:top w:w="0" w:type="dxa"/>
            <w:bottom w:w="0" w:type="dxa"/>
          </w:tblCellMar>
        </w:tblPrEx>
        <w:tc>
          <w:tcPr>
            <w:tcW w:w="3240" w:type="dxa"/>
          </w:tcPr>
          <w:p w:rsidR="004D6F51" w:rsidRPr="001235FC" w:rsidRDefault="004D6F51" w:rsidP="0020776C">
            <w:pPr>
              <w:pStyle w:val="TableTextNumbers"/>
            </w:pPr>
            <w:r>
              <w:t xml:space="preserve">Click the </w:t>
            </w:r>
            <w:r>
              <w:rPr>
                <w:b/>
              </w:rPr>
              <w:t xml:space="preserve">Associate </w:t>
            </w:r>
            <w:r w:rsidR="00F92484">
              <w:rPr>
                <w:b/>
              </w:rPr>
              <w:t xml:space="preserve">with </w:t>
            </w:r>
            <w:r>
              <w:rPr>
                <w:b/>
              </w:rPr>
              <w:t xml:space="preserve">Specimen </w:t>
            </w:r>
            <w:r w:rsidRPr="00D1100E">
              <w:t>check box</w:t>
            </w:r>
            <w:r>
              <w:rPr>
                <w:b/>
              </w:rPr>
              <w:t>.</w:t>
            </w:r>
          </w:p>
          <w:p w:rsidR="004D6F51" w:rsidRDefault="004D6F51" w:rsidP="0020776C">
            <w:pPr>
              <w:pStyle w:val="TableTextNumbers"/>
              <w:numPr>
                <w:ilvl w:val="0"/>
                <w:numId w:val="0"/>
              </w:numPr>
              <w:ind w:left="288" w:hanging="288"/>
              <w:rPr>
                <w:b/>
              </w:rPr>
            </w:pPr>
          </w:p>
          <w:p w:rsidR="004D6F51" w:rsidRDefault="004D6F51" w:rsidP="0020776C">
            <w:pPr>
              <w:pStyle w:val="TableTextNumbersContinued"/>
            </w:pPr>
            <w:r>
              <w:lastRenderedPageBreak/>
              <w:t xml:space="preserve">Click the </w:t>
            </w:r>
            <w:r w:rsidR="00A6373D">
              <w:rPr>
                <w:b/>
              </w:rPr>
              <w:t>find</w:t>
            </w:r>
            <w:r w:rsidRPr="001235FC">
              <w:rPr>
                <w:b/>
              </w:rPr>
              <w:t xml:space="preserve"> </w:t>
            </w:r>
            <w:r w:rsidRPr="00D1100E">
              <w:t>button</w:t>
            </w:r>
            <w:r>
              <w:t xml:space="preserve"> to select</w:t>
            </w:r>
            <w:r w:rsidR="00F92484">
              <w:t xml:space="preserve"> a specimen</w:t>
            </w:r>
            <w:r>
              <w:t xml:space="preserve"> UID</w:t>
            </w:r>
            <w:r w:rsidR="009F0D10">
              <w:t xml:space="preserve"> (</w:t>
            </w:r>
            <w:r w:rsidR="005C5BD9">
              <w:fldChar w:fldCharType="begin"/>
            </w:r>
            <w:r w:rsidR="005C5BD9">
              <w:instrText xml:space="preserve"> REF _Ref169515158 \h </w:instrText>
            </w:r>
            <w:r w:rsidR="005C5BD9">
              <w:fldChar w:fldCharType="separate"/>
            </w:r>
            <w:r w:rsidR="005F38BC">
              <w:t xml:space="preserve">Figure </w:t>
            </w:r>
            <w:r w:rsidR="005F38BC">
              <w:rPr>
                <w:noProof/>
              </w:rPr>
              <w:t>95</w:t>
            </w:r>
            <w:r w:rsidR="005C5BD9">
              <w:fldChar w:fldCharType="end"/>
            </w:r>
            <w:r w:rsidR="009F0D10">
              <w:t>)</w:t>
            </w:r>
            <w:r>
              <w:t>.</w:t>
            </w:r>
          </w:p>
        </w:tc>
        <w:tc>
          <w:tcPr>
            <w:tcW w:w="6120" w:type="dxa"/>
          </w:tcPr>
          <w:p w:rsidR="004D6F51" w:rsidRDefault="004D6F51" w:rsidP="0020776C">
            <w:pPr>
              <w:pStyle w:val="TableTextBullet"/>
            </w:pPr>
            <w:r>
              <w:lastRenderedPageBreak/>
              <w:t xml:space="preserve">Opens the </w:t>
            </w:r>
            <w:r w:rsidR="00F92484">
              <w:t>Select Patient Specimen window.</w:t>
            </w:r>
          </w:p>
        </w:tc>
      </w:tr>
      <w:tr w:rsidR="004D6F51">
        <w:tblPrEx>
          <w:tblCellMar>
            <w:top w:w="0" w:type="dxa"/>
            <w:bottom w:w="0" w:type="dxa"/>
          </w:tblCellMar>
        </w:tblPrEx>
        <w:tc>
          <w:tcPr>
            <w:tcW w:w="3240" w:type="dxa"/>
          </w:tcPr>
          <w:p w:rsidR="004D6F51" w:rsidRDefault="004D6F51" w:rsidP="0020776C">
            <w:pPr>
              <w:pStyle w:val="TableTextNumbers"/>
            </w:pPr>
            <w:r>
              <w:lastRenderedPageBreak/>
              <w:t xml:space="preserve">Scan or enter the correct specimen UID and click </w:t>
            </w:r>
            <w:r>
              <w:rPr>
                <w:b/>
              </w:rPr>
              <w:t>Search</w:t>
            </w:r>
            <w:r>
              <w:t>.</w:t>
            </w:r>
          </w:p>
        </w:tc>
        <w:tc>
          <w:tcPr>
            <w:tcW w:w="6120" w:type="dxa"/>
          </w:tcPr>
          <w:p w:rsidR="004D6F51" w:rsidRDefault="004D6F51" w:rsidP="0020776C">
            <w:pPr>
              <w:pStyle w:val="TableTextBullet"/>
            </w:pPr>
            <w:r>
              <w:t xml:space="preserve">Displays </w:t>
            </w:r>
            <w:r w:rsidR="00F92484">
              <w:t xml:space="preserve">the </w:t>
            </w:r>
            <w:r w:rsidR="00C3266A">
              <w:t>s</w:t>
            </w:r>
            <w:r w:rsidR="00F92484">
              <w:t xml:space="preserve">elected </w:t>
            </w:r>
            <w:r w:rsidR="00C3266A">
              <w:t>patient s</w:t>
            </w:r>
            <w:r w:rsidR="00F92484">
              <w:t xml:space="preserve">pecimen </w:t>
            </w:r>
            <w:r w:rsidR="00C3266A">
              <w:t>information</w:t>
            </w:r>
            <w:r w:rsidR="00F92484">
              <w:t>.</w:t>
            </w:r>
          </w:p>
        </w:tc>
      </w:tr>
      <w:tr w:rsidR="004D6F51">
        <w:tblPrEx>
          <w:tblCellMar>
            <w:top w:w="0" w:type="dxa"/>
            <w:bottom w:w="0" w:type="dxa"/>
          </w:tblCellMar>
        </w:tblPrEx>
        <w:tc>
          <w:tcPr>
            <w:tcW w:w="3240" w:type="dxa"/>
          </w:tcPr>
          <w:p w:rsidR="004D6F51" w:rsidRDefault="004D6F51" w:rsidP="0020776C">
            <w:pPr>
              <w:pStyle w:val="TableTextNumbers"/>
            </w:pPr>
            <w:r>
              <w:t xml:space="preserve">Click </w:t>
            </w:r>
            <w:r w:rsidRPr="005457F3">
              <w:rPr>
                <w:b/>
              </w:rPr>
              <w:t>OK</w:t>
            </w:r>
            <w:r>
              <w:t>.</w:t>
            </w:r>
          </w:p>
        </w:tc>
        <w:tc>
          <w:tcPr>
            <w:tcW w:w="6120" w:type="dxa"/>
          </w:tcPr>
          <w:p w:rsidR="004D6F51" w:rsidRDefault="004D6F51" w:rsidP="0020776C">
            <w:pPr>
              <w:pStyle w:val="TableTextBullet"/>
            </w:pPr>
            <w:r>
              <w:t>Saves the specimen information and returns the user to the Select Units window.</w:t>
            </w:r>
          </w:p>
          <w:p w:rsidR="004D6F51" w:rsidRDefault="004D6F51" w:rsidP="0020776C">
            <w:pPr>
              <w:pStyle w:val="TableTextBullet"/>
            </w:pPr>
            <w:r>
              <w:t>Displays the associat</w:t>
            </w:r>
            <w:r w:rsidR="008D0654">
              <w:t>ed specimen UID in the Specimen</w:t>
            </w:r>
            <w:r>
              <w:t xml:space="preserve"> UID field.</w:t>
            </w:r>
          </w:p>
        </w:tc>
      </w:tr>
      <w:tr w:rsidR="004D6F51">
        <w:tblPrEx>
          <w:tblCellMar>
            <w:top w:w="0" w:type="dxa"/>
            <w:bottom w:w="0" w:type="dxa"/>
          </w:tblCellMar>
        </w:tblPrEx>
        <w:tc>
          <w:tcPr>
            <w:tcW w:w="3240" w:type="dxa"/>
          </w:tcPr>
          <w:p w:rsidR="004D6F51" w:rsidRDefault="004D6F51" w:rsidP="0020776C">
            <w:pPr>
              <w:pStyle w:val="TableTextNumbers"/>
            </w:pPr>
            <w:r>
              <w:t xml:space="preserve">Repeat Steps 3–6 to associate the sample with other emergency-issued units, or click </w:t>
            </w:r>
            <w:r>
              <w:rPr>
                <w:b/>
              </w:rPr>
              <w:t>OK</w:t>
            </w:r>
            <w:r>
              <w:t xml:space="preserve"> to save.</w:t>
            </w:r>
          </w:p>
        </w:tc>
        <w:tc>
          <w:tcPr>
            <w:tcW w:w="6120" w:type="dxa"/>
          </w:tcPr>
          <w:p w:rsidR="004D6F51" w:rsidRDefault="008D0654" w:rsidP="0020776C">
            <w:pPr>
              <w:pStyle w:val="TableTextBullet"/>
            </w:pPr>
            <w:r>
              <w:t>When the user clicks OK, d</w:t>
            </w:r>
            <w:r w:rsidR="004D6F51">
              <w:t>isplays a message asking the user if he wishes to complete serologic crossmatch.</w:t>
            </w:r>
          </w:p>
        </w:tc>
      </w:tr>
      <w:tr w:rsidR="004D6F51">
        <w:tblPrEx>
          <w:tblCellMar>
            <w:top w:w="0" w:type="dxa"/>
            <w:bottom w:w="0" w:type="dxa"/>
          </w:tblCellMar>
        </w:tblPrEx>
        <w:tc>
          <w:tcPr>
            <w:tcW w:w="3240" w:type="dxa"/>
          </w:tcPr>
          <w:p w:rsidR="004D6F51" w:rsidRDefault="004D6F51" w:rsidP="0020776C">
            <w:pPr>
              <w:pStyle w:val="TableTextNumbers"/>
            </w:pPr>
            <w:r>
              <w:t xml:space="preserve">Click </w:t>
            </w:r>
            <w:r>
              <w:rPr>
                <w:b/>
              </w:rPr>
              <w:t>Yes</w:t>
            </w:r>
            <w:r>
              <w:t xml:space="preserve"> to complete the serologic crossmatch.</w:t>
            </w:r>
          </w:p>
          <w:p w:rsidR="004D6F51" w:rsidRDefault="004D6F51" w:rsidP="0020776C">
            <w:pPr>
              <w:pStyle w:val="TableTextNumbers"/>
              <w:numPr>
                <w:ilvl w:val="0"/>
                <w:numId w:val="0"/>
              </w:numPr>
              <w:ind w:left="288" w:hanging="288"/>
            </w:pPr>
          </w:p>
          <w:p w:rsidR="004D6F51" w:rsidRPr="005457F3" w:rsidRDefault="004D6F51" w:rsidP="0020776C">
            <w:pPr>
              <w:pStyle w:val="TableTextNumbersContinued"/>
            </w:pPr>
            <w:r>
              <w:t xml:space="preserve">Click </w:t>
            </w:r>
            <w:r>
              <w:rPr>
                <w:b/>
              </w:rPr>
              <w:t>No</w:t>
            </w:r>
            <w:r>
              <w:t xml:space="preserve"> to return to the VBECS desktop.</w:t>
            </w:r>
          </w:p>
        </w:tc>
        <w:tc>
          <w:tcPr>
            <w:tcW w:w="6120" w:type="dxa"/>
          </w:tcPr>
          <w:p w:rsidR="004D6F51" w:rsidRDefault="009B4224" w:rsidP="0020776C">
            <w:pPr>
              <w:pStyle w:val="TableTextBullet"/>
            </w:pPr>
            <w:r>
              <w:t>Allows the user to enter results in the Serologic Crossmatch (XM) cells in the patient testing grid.</w:t>
            </w:r>
          </w:p>
        </w:tc>
      </w:tr>
      <w:tr w:rsidR="002A21AE">
        <w:tblPrEx>
          <w:tblCellMar>
            <w:top w:w="0" w:type="dxa"/>
            <w:bottom w:w="0" w:type="dxa"/>
          </w:tblCellMar>
        </w:tblPrEx>
        <w:tc>
          <w:tcPr>
            <w:tcW w:w="3240" w:type="dxa"/>
          </w:tcPr>
          <w:p w:rsidR="00772C9B" w:rsidRDefault="002A21AE" w:rsidP="008D18B9">
            <w:pPr>
              <w:pStyle w:val="TableTextNumbers"/>
            </w:pPr>
            <w:r>
              <w:t xml:space="preserve">Click </w:t>
            </w:r>
            <w:r>
              <w:rPr>
                <w:b/>
              </w:rPr>
              <w:t>Add Units</w:t>
            </w:r>
            <w:r>
              <w:t xml:space="preserve"> to add units to the component orders selected.</w:t>
            </w:r>
          </w:p>
        </w:tc>
        <w:tc>
          <w:tcPr>
            <w:tcW w:w="6120" w:type="dxa"/>
          </w:tcPr>
          <w:p w:rsidR="002A21AE" w:rsidRDefault="002A21AE">
            <w:pPr>
              <w:pStyle w:val="TableTextBullet"/>
            </w:pPr>
            <w:r>
              <w:t>Searches the database and displays available restricted autologous and directed units that the user must select before selecting allogeneic units of the same ICCBBA component class.</w:t>
            </w:r>
          </w:p>
          <w:p w:rsidR="002A21AE" w:rsidRDefault="002A21AE">
            <w:pPr>
              <w:pStyle w:val="TableTextBullet"/>
            </w:pPr>
            <w:r>
              <w:t>Displays the unit ID, product type, unit ABO/Rh, unit expiration date, specimen UID, if applicable, of units assigned to the patient in the division’s blood bank on a different specimen or order. The user may release and reassign the units to the current order.</w:t>
            </w:r>
          </w:p>
          <w:p w:rsidR="008D18B9" w:rsidRDefault="008D18B9">
            <w:pPr>
              <w:pStyle w:val="TableTextBullet"/>
            </w:pPr>
            <w:r>
              <w:t>When eXM was configured for the facility, displays the eXM status (eligible or not eligible) for the patient.</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1574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42" name="Line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9"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rhMFQIAAC0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LAq&#10;uEw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896F17">
            <w:pPr>
              <w:pStyle w:val="NotesText"/>
            </w:pPr>
            <w:r w:rsidRPr="00896F17">
              <w:rPr>
                <w:rStyle w:val="BullhornChar"/>
              </w:rPr>
              <w:t></w:t>
            </w:r>
            <w:r w:rsidRPr="00C51C45">
              <w:rPr>
                <w:rFonts w:ascii="Webdings" w:hAnsi="Webdings"/>
                <w:szCs w:val="22"/>
              </w:rPr>
              <w:t></w:t>
            </w:r>
            <w:r>
              <w:rPr>
                <w:rFonts w:cs="Arial"/>
                <w:szCs w:val="22"/>
              </w:rPr>
              <w:t>See</w:t>
            </w:r>
            <w:r w:rsidR="002A21AE">
              <w:rPr>
                <w:rFonts w:cs="Arial"/>
                <w:szCs w:val="22"/>
              </w:rPr>
              <w:t xml:space="preserve"> </w:t>
            </w:r>
            <w:r w:rsidR="00590097">
              <w:rPr>
                <w:rFonts w:cs="Arial"/>
                <w:szCs w:val="22"/>
              </w:rPr>
              <w:fldChar w:fldCharType="begin"/>
            </w:r>
            <w:r w:rsidR="00590097">
              <w:rPr>
                <w:rFonts w:cs="Arial"/>
                <w:szCs w:val="22"/>
              </w:rPr>
              <w:instrText xml:space="preserve"> REF _Ref126486057 \h </w:instrText>
            </w:r>
            <w:r w:rsidR="00290CD1" w:rsidRPr="00590097">
              <w:rPr>
                <w:rFonts w:cs="Arial"/>
                <w:szCs w:val="22"/>
              </w:rPr>
            </w:r>
            <w:r w:rsidR="00590097">
              <w:rPr>
                <w:rFonts w:cs="Arial"/>
                <w:szCs w:val="22"/>
              </w:rPr>
              <w:fldChar w:fldCharType="separate"/>
            </w:r>
            <w:r w:rsidR="005F38BC">
              <w:t xml:space="preserve">Table </w:t>
            </w:r>
            <w:r w:rsidR="005F38BC">
              <w:rPr>
                <w:noProof/>
              </w:rPr>
              <w:t>6</w:t>
            </w:r>
            <w:r w:rsidR="00590097">
              <w:rPr>
                <w:rFonts w:cs="Arial"/>
                <w:szCs w:val="22"/>
              </w:rPr>
              <w:fldChar w:fldCharType="end"/>
            </w:r>
            <w:r w:rsidR="006E22F3">
              <w:rPr>
                <w:rFonts w:cs="Arial"/>
                <w:szCs w:val="22"/>
              </w:rPr>
              <w:t xml:space="preserve"> f</w:t>
            </w:r>
            <w:r w:rsidR="002A21AE">
              <w:rPr>
                <w:rFonts w:cs="Arial"/>
                <w:szCs w:val="22"/>
              </w:rPr>
              <w:t>or alerts that may occur during this option.</w:t>
            </w:r>
          </w:p>
          <w:p w:rsidR="002A21AE" w:rsidRDefault="002A21AE">
            <w:pPr>
              <w:pStyle w:val="NotesText"/>
            </w:pPr>
          </w:p>
          <w:p w:rsidR="007A3EAF" w:rsidRPr="007A3EAF" w:rsidRDefault="007A3EAF">
            <w:pPr>
              <w:pStyle w:val="NotesText"/>
            </w:pPr>
            <w:r>
              <w:t xml:space="preserve">Units that are selectable with an override do not appear on the list of available units and must be scanned or entered by the user. </w:t>
            </w:r>
            <w:r>
              <w:rPr>
                <w:vanish/>
              </w:rPr>
              <w:t>DR 2819</w:t>
            </w:r>
          </w:p>
          <w:p w:rsidR="007A3EAF" w:rsidRDefault="007A3EAF">
            <w:pPr>
              <w:pStyle w:val="NotesText"/>
            </w:pPr>
          </w:p>
          <w:p w:rsidR="002A21AE" w:rsidRDefault="002A21AE">
            <w:pPr>
              <w:pStyle w:val="NotesText"/>
            </w:pPr>
            <w:r w:rsidRPr="00166C27">
              <w:rPr>
                <w:rFonts w:cs="Arial"/>
                <w:vanish/>
              </w:rPr>
              <w:t xml:space="preserve">BR_3.05 </w:t>
            </w:r>
            <w:r w:rsidRPr="00166C27">
              <w:t>When</w:t>
            </w:r>
            <w:r>
              <w:t xml:space="preserve"> no valid ABO exists for the patient, the user may select components, including autologous units: </w:t>
            </w:r>
          </w:p>
          <w:p w:rsidR="002A21AE" w:rsidRDefault="002A21AE">
            <w:pPr>
              <w:pStyle w:val="NotesTextBullet"/>
            </w:pPr>
            <w:r>
              <w:t xml:space="preserve">For RBC or WB order: </w:t>
            </w:r>
          </w:p>
          <w:p w:rsidR="002A21AE" w:rsidRDefault="002A21AE">
            <w:pPr>
              <w:pStyle w:val="NotesTextBullet1"/>
            </w:pPr>
            <w:r>
              <w:t>Group O, Rh positive or O Rh negative RBC</w:t>
            </w:r>
          </w:p>
          <w:p w:rsidR="002A21AE" w:rsidRDefault="002A21AE">
            <w:pPr>
              <w:pStyle w:val="NotesTextBullet1"/>
            </w:pPr>
            <w:r>
              <w:t>WHOLE BLOOD is not selectable</w:t>
            </w:r>
          </w:p>
          <w:p w:rsidR="002A21AE" w:rsidRDefault="002A21AE">
            <w:pPr>
              <w:pStyle w:val="NotesTextBullet"/>
            </w:pPr>
            <w:r>
              <w:t>For FFP order only, group AB, Rh positive or Rh negative</w:t>
            </w:r>
          </w:p>
          <w:p w:rsidR="002A21AE" w:rsidRDefault="002A21AE">
            <w:pPr>
              <w:pStyle w:val="NotesTextBullet"/>
            </w:pPr>
            <w:r>
              <w:t>For PLT</w:t>
            </w:r>
            <w:r w:rsidR="00E31C5D">
              <w:t>,</w:t>
            </w:r>
            <w:r>
              <w:t xml:space="preserve"> CRYO</w:t>
            </w:r>
            <w:r w:rsidR="00E31C5D">
              <w:t>, or OTHER</w:t>
            </w:r>
            <w:r>
              <w:t xml:space="preserve"> order, all available units are selectable.</w:t>
            </w:r>
          </w:p>
        </w:tc>
      </w:tr>
      <w:tr w:rsidR="002A21AE">
        <w:tblPrEx>
          <w:tblCellMar>
            <w:top w:w="0" w:type="dxa"/>
            <w:bottom w:w="0" w:type="dxa"/>
          </w:tblCellMar>
        </w:tblPrEx>
        <w:tc>
          <w:tcPr>
            <w:tcW w:w="3240" w:type="dxa"/>
          </w:tcPr>
          <w:p w:rsidR="00234D60" w:rsidRDefault="002A21AE" w:rsidP="00234D60">
            <w:pPr>
              <w:pStyle w:val="TableTextNumbers"/>
            </w:pPr>
            <w:r>
              <w:t>Scan</w:t>
            </w:r>
            <w:r w:rsidR="00B97587">
              <w:t xml:space="preserve">, </w:t>
            </w:r>
            <w:r w:rsidR="00234D60">
              <w:t>enter</w:t>
            </w:r>
            <w:r>
              <w:t xml:space="preserve"> or </w:t>
            </w:r>
            <w:r w:rsidR="00234D60">
              <w:t xml:space="preserve">select </w:t>
            </w:r>
            <w:r>
              <w:t xml:space="preserve"> </w:t>
            </w:r>
            <w:r w:rsidR="00B97587" w:rsidRPr="00905C47">
              <w:rPr>
                <w:b/>
              </w:rPr>
              <w:t>*</w:t>
            </w:r>
            <w:r>
              <w:t>allogeneic units</w:t>
            </w:r>
            <w:r w:rsidR="00234D60">
              <w:t xml:space="preserve">. Units may be selected from the </w:t>
            </w:r>
            <w:r>
              <w:t xml:space="preserve">Order Group </w:t>
            </w:r>
            <w:r w:rsidR="0006424F">
              <w:t xml:space="preserve">tree view </w:t>
            </w:r>
            <w:r w:rsidR="00D509C6">
              <w:t xml:space="preserve">or </w:t>
            </w:r>
            <w:r w:rsidR="00234D60">
              <w:t>by clicking</w:t>
            </w:r>
            <w:r w:rsidR="00D509C6">
              <w:t xml:space="preserve"> the </w:t>
            </w:r>
            <w:r w:rsidR="00A6373D">
              <w:rPr>
                <w:b/>
              </w:rPr>
              <w:t>find</w:t>
            </w:r>
            <w:r w:rsidR="00D509C6" w:rsidRPr="00D509C6">
              <w:rPr>
                <w:b/>
              </w:rPr>
              <w:t xml:space="preserve"> </w:t>
            </w:r>
            <w:r w:rsidR="00D509C6" w:rsidRPr="00D1100E">
              <w:t>button</w:t>
            </w:r>
            <w:r w:rsidR="0006424F">
              <w:t xml:space="preserve"> for a list of compatible units</w:t>
            </w:r>
            <w:r>
              <w:t>.</w:t>
            </w:r>
          </w:p>
          <w:p w:rsidR="00234D60" w:rsidRDefault="00234D60">
            <w:pPr>
              <w:pStyle w:val="TableTextNumbersContinued"/>
              <w:rPr>
                <w:b/>
              </w:rPr>
            </w:pPr>
          </w:p>
          <w:p w:rsidR="002A21AE" w:rsidRDefault="00234D60">
            <w:pPr>
              <w:pStyle w:val="TableTextNumbersContinued"/>
            </w:pPr>
            <w:r w:rsidRPr="00905C47">
              <w:rPr>
                <w:b/>
              </w:rPr>
              <w:t>*</w:t>
            </w:r>
            <w:r w:rsidR="003A514F">
              <w:t xml:space="preserve"> when typing in a</w:t>
            </w:r>
            <w:r>
              <w:t xml:space="preserve"> unit ID and Product Code, use the tab key or </w:t>
            </w:r>
            <w:r w:rsidR="0006424F">
              <w:t>mouse to leave the field.</w:t>
            </w:r>
          </w:p>
          <w:p w:rsidR="0006424F" w:rsidRDefault="0006424F">
            <w:pPr>
              <w:pStyle w:val="TableTextNumbersContinued"/>
            </w:pPr>
          </w:p>
          <w:p w:rsidR="002A21AE" w:rsidRDefault="002A21AE">
            <w:pPr>
              <w:pStyle w:val="TableTextNumbersContinued"/>
            </w:pPr>
            <w:r>
              <w:t>Enter or select a date in the Selection Date field.</w:t>
            </w:r>
            <w:r w:rsidR="00731BFF">
              <w:t xml:space="preserve"> </w:t>
            </w:r>
            <w:r>
              <w:t>Each unit may have its own selection date and time.</w:t>
            </w:r>
          </w:p>
          <w:p w:rsidR="002A21AE" w:rsidRDefault="002A21AE">
            <w:pPr>
              <w:pStyle w:val="TableTextNumbersContinued"/>
            </w:pPr>
          </w:p>
          <w:p w:rsidR="002A21AE" w:rsidRDefault="002A21AE">
            <w:pPr>
              <w:pStyle w:val="TableTextNumbersContinued"/>
            </w:pPr>
            <w:r>
              <w:lastRenderedPageBreak/>
              <w:t xml:space="preserve">Click </w:t>
            </w:r>
            <w:r>
              <w:rPr>
                <w:b/>
              </w:rPr>
              <w:t>Add Units</w:t>
            </w:r>
            <w:r>
              <w:t xml:space="preserve"> to display the unit selection form.</w:t>
            </w:r>
          </w:p>
          <w:p w:rsidR="00B97587" w:rsidRDefault="00B97587">
            <w:pPr>
              <w:pStyle w:val="TableTextNumbersContinued"/>
            </w:pPr>
          </w:p>
          <w:p w:rsidR="00B97587" w:rsidRDefault="00B97587">
            <w:pPr>
              <w:pStyle w:val="TableTextNumbersContinued"/>
            </w:pPr>
          </w:p>
          <w:p w:rsidR="00B97587" w:rsidRDefault="00EB00A3">
            <w:pPr>
              <w:pStyle w:val="TableTextNumbersContinued"/>
            </w:pPr>
            <w:r w:rsidRPr="00EB00A3">
              <w:rPr>
                <w:vanish/>
              </w:rPr>
              <w:t>DR 4414</w:t>
            </w:r>
          </w:p>
        </w:tc>
        <w:tc>
          <w:tcPr>
            <w:tcW w:w="6120" w:type="dxa"/>
          </w:tcPr>
          <w:p w:rsidR="002A21AE" w:rsidRPr="00710E7E" w:rsidRDefault="002A21AE" w:rsidP="007C4707">
            <w:pPr>
              <w:pStyle w:val="TableTextBullet"/>
            </w:pPr>
            <w:r w:rsidRPr="00710E7E">
              <w:lastRenderedPageBreak/>
              <w:t>Maintains a list of selected units. The user may deselect selected units.</w:t>
            </w:r>
          </w:p>
          <w:p w:rsidR="002A21AE" w:rsidRPr="00710E7E" w:rsidRDefault="002A21AE" w:rsidP="007C4707">
            <w:pPr>
              <w:pStyle w:val="TableTextBullet"/>
            </w:pPr>
            <w:r w:rsidRPr="00710E7E">
              <w:t>Evaluates the selected unit:</w:t>
            </w:r>
          </w:p>
          <w:p w:rsidR="002A21AE" w:rsidRPr="007C4707" w:rsidRDefault="002A21AE" w:rsidP="007C4707">
            <w:pPr>
              <w:pStyle w:val="TableTextBullet1"/>
            </w:pPr>
            <w:r w:rsidRPr="007C4707">
              <w:t>For the ABO/Rh compatibility of each unit and warns the user.</w:t>
            </w:r>
          </w:p>
          <w:p w:rsidR="002A21AE" w:rsidRPr="007C4707" w:rsidRDefault="002A21AE" w:rsidP="007C4707">
            <w:pPr>
              <w:pStyle w:val="TableTextBullet1"/>
            </w:pPr>
            <w:r w:rsidRPr="007C4707">
              <w:t>Against patient Transfusion Requirements (TRs) and warns the user.</w:t>
            </w:r>
          </w:p>
          <w:p w:rsidR="002A21AE" w:rsidRPr="00710E7E" w:rsidRDefault="002A21AE" w:rsidP="007C4707">
            <w:pPr>
              <w:pStyle w:val="TableTextBullet1"/>
            </w:pPr>
            <w:r w:rsidRPr="007C4707">
              <w:t>For uni</w:t>
            </w:r>
            <w:r w:rsidRPr="00710E7E">
              <w:t>t antigen negative compatibility and warns the user.</w:t>
            </w:r>
          </w:p>
          <w:p w:rsidR="002A21AE" w:rsidRPr="00710E7E" w:rsidRDefault="002A21AE" w:rsidP="007C4707">
            <w:pPr>
              <w:pStyle w:val="TableTextBullet"/>
            </w:pPr>
            <w:r w:rsidRPr="00710E7E">
              <w:t>Performs additional checks that include days remaining until the unit’s expiration date, the current status, assignments to other patients, quarantine and biohazard indicators, when applied, and associated special testing.</w:t>
            </w:r>
          </w:p>
          <w:p w:rsidR="002A21AE" w:rsidRPr="00710E7E" w:rsidRDefault="002A21AE">
            <w:pPr>
              <w:pStyle w:val="TableText"/>
              <w:rPr>
                <w:i/>
              </w:rPr>
            </w:pPr>
          </w:p>
          <w:p w:rsidR="002A21AE" w:rsidRPr="00710E7E" w:rsidRDefault="00634BFC">
            <w:pPr>
              <w:pStyle w:val="TableText"/>
              <w:rPr>
                <w:b/>
                <w:bCs/>
                <w:i/>
                <w:szCs w:val="18"/>
              </w:rPr>
            </w:pPr>
            <w:r>
              <w:rPr>
                <w:b/>
                <w:bCs/>
                <w:i/>
                <w:noProof/>
              </w:rPr>
              <mc:AlternateContent>
                <mc:Choice Requires="wps">
                  <w:drawing>
                    <wp:anchor distT="0" distB="0" distL="114300" distR="114300" simplePos="0" relativeHeight="25161676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41" name="Line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0"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KrFQIAAC0EAAAOAAAAZHJzL2Uyb0RvYy54bWysU8GO2jAQvVfqP1i+QxLIUo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H+v&#10;AqsVAgAALQQAAA4AAAAAAAAAAAAAAAAALgIAAGRycy9lMm9Eb2MueG1sUEsBAi0AFAAGAAgAAAAh&#10;ABdPMBLbAAAACAEAAA8AAAAAAAAAAAAAAAAAbwQAAGRycy9kb3ducmV2LnhtbFBLBQYAAAAABAAE&#10;APMAAAB3BQAAAAA=&#10;" strokeweight="1.5pt"/>
                  </w:pict>
                </mc:Fallback>
              </mc:AlternateContent>
            </w:r>
            <w:r w:rsidR="002A21AE" w:rsidRPr="00710E7E">
              <w:rPr>
                <w:b/>
                <w:bCs/>
                <w:i/>
                <w:szCs w:val="18"/>
              </w:rPr>
              <w:t>NOTES</w:t>
            </w:r>
          </w:p>
          <w:p w:rsidR="002A21AE" w:rsidRPr="00710E7E" w:rsidRDefault="002A21AE">
            <w:pPr>
              <w:pStyle w:val="NotesText"/>
              <w:rPr>
                <w:i/>
              </w:rPr>
            </w:pPr>
          </w:p>
          <w:p w:rsidR="002A21AE" w:rsidRPr="00710E7E" w:rsidRDefault="00896F17">
            <w:pPr>
              <w:pStyle w:val="NotesText"/>
              <w:rPr>
                <w:i/>
              </w:rPr>
            </w:pPr>
            <w:r w:rsidRPr="00D612C6">
              <w:rPr>
                <w:rStyle w:val="BullhornChar"/>
              </w:rPr>
              <w:lastRenderedPageBreak/>
              <w:t></w:t>
            </w:r>
            <w:r w:rsidRPr="00710E7E">
              <w:rPr>
                <w:rFonts w:ascii="Webdings" w:hAnsi="Webdings"/>
                <w:i/>
                <w:szCs w:val="22"/>
              </w:rPr>
              <w:t></w:t>
            </w:r>
            <w:r w:rsidRPr="007C4707">
              <w:t>See</w:t>
            </w:r>
            <w:r w:rsidR="002A21AE" w:rsidRPr="007C4707">
              <w:t xml:space="preserve"> </w:t>
            </w:r>
            <w:r w:rsidR="00590097" w:rsidRPr="007C4707">
              <w:fldChar w:fldCharType="begin"/>
            </w:r>
            <w:r w:rsidR="00590097" w:rsidRPr="007C4707">
              <w:instrText xml:space="preserve"> REF _Ref126486057 \h </w:instrText>
            </w:r>
            <w:r w:rsidR="00710E7E" w:rsidRPr="007C4707">
              <w:instrText xml:space="preserve">issue bloo \* MERGEFORMAT </w:instrText>
            </w:r>
            <w:r w:rsidR="00590097" w:rsidRPr="007C4707">
              <w:fldChar w:fldCharType="separate"/>
            </w:r>
            <w:r w:rsidR="005F38BC">
              <w:t>Table 6</w:t>
            </w:r>
            <w:r w:rsidR="00590097" w:rsidRPr="007C4707">
              <w:fldChar w:fldCharType="end"/>
            </w:r>
            <w:r w:rsidR="002A21AE" w:rsidRPr="007C4707">
              <w:t xml:space="preserve"> for alerts that may occur during this option.</w:t>
            </w:r>
          </w:p>
          <w:p w:rsidR="002A21AE" w:rsidRPr="00710E7E" w:rsidRDefault="002A21AE">
            <w:pPr>
              <w:pStyle w:val="NotesText"/>
              <w:rPr>
                <w:i/>
              </w:rPr>
            </w:pPr>
          </w:p>
          <w:p w:rsidR="002A21AE" w:rsidRPr="00710E7E" w:rsidRDefault="00AC6F94">
            <w:pPr>
              <w:pStyle w:val="NotesText"/>
              <w:rPr>
                <w:i/>
              </w:rPr>
            </w:pPr>
            <w:r w:rsidRPr="00710E7E">
              <w:rPr>
                <w:i/>
              </w:rPr>
              <w:t>When the user selects a unit in the tree view, he</w:t>
            </w:r>
            <w:r w:rsidR="002A21AE" w:rsidRPr="00710E7E">
              <w:rPr>
                <w:i/>
              </w:rPr>
              <w:t xml:space="preserve"> may accept or edit the current date and time displayed; the date and time must be in the past. </w:t>
            </w:r>
          </w:p>
          <w:p w:rsidR="002A21AE" w:rsidRPr="00710E7E" w:rsidRDefault="002A21AE">
            <w:pPr>
              <w:pStyle w:val="NotesText"/>
              <w:rPr>
                <w:i/>
              </w:rPr>
            </w:pPr>
          </w:p>
          <w:p w:rsidR="002A21AE" w:rsidRPr="007C4707" w:rsidRDefault="002A21AE">
            <w:pPr>
              <w:pStyle w:val="NotesText"/>
            </w:pPr>
            <w:r w:rsidRPr="007C4707">
              <w:rPr>
                <w:rFonts w:cs="Arial"/>
                <w:vanish/>
                <w:szCs w:val="18"/>
              </w:rPr>
              <w:t>BR_3.25</w:t>
            </w:r>
            <w:r w:rsidR="00CE3961" w:rsidRPr="007C4707">
              <w:rPr>
                <w:rFonts w:cs="Arial"/>
                <w:vanish/>
                <w:szCs w:val="18"/>
              </w:rPr>
              <w:t>,</w:t>
            </w:r>
            <w:r w:rsidRPr="007C4707">
              <w:rPr>
                <w:rFonts w:cs="Arial"/>
                <w:vanish/>
                <w:szCs w:val="18"/>
              </w:rPr>
              <w:t xml:space="preserve"> </w:t>
            </w:r>
            <w:r w:rsidRPr="007C4707">
              <w:rPr>
                <w:vanish/>
                <w:szCs w:val="18"/>
              </w:rPr>
              <w:t xml:space="preserve">BR_16.13 </w:t>
            </w:r>
            <w:r w:rsidRPr="007C4707">
              <w:t>Restricted (autologous or directed) unit selection eligibility criteria:</w:t>
            </w:r>
          </w:p>
          <w:p w:rsidR="002A21AE" w:rsidRPr="007C4707" w:rsidRDefault="002A21AE">
            <w:pPr>
              <w:pStyle w:val="NotesTextBullet"/>
            </w:pPr>
            <w:r w:rsidRPr="007C4707">
              <w:t>Restricted For Patient ID: must match</w:t>
            </w:r>
          </w:p>
          <w:p w:rsidR="002A21AE" w:rsidRPr="007C4707" w:rsidRDefault="002A21AE">
            <w:pPr>
              <w:pStyle w:val="NotesTextBullet"/>
            </w:pPr>
            <w:r w:rsidRPr="007C4707">
              <w:t>Restricted For Patient Name: must match</w:t>
            </w:r>
          </w:p>
          <w:p w:rsidR="002A21AE" w:rsidRPr="007C4707" w:rsidRDefault="002A21AE">
            <w:pPr>
              <w:pStyle w:val="NotesTextBullet"/>
            </w:pPr>
            <w:r w:rsidRPr="007C4707">
              <w:t xml:space="preserve">Unit expiration date must be in the future. </w:t>
            </w:r>
          </w:p>
          <w:p w:rsidR="002A21AE" w:rsidRPr="007C4707" w:rsidRDefault="002A21AE">
            <w:pPr>
              <w:pStyle w:val="NotesTextBullet"/>
            </w:pPr>
            <w:r w:rsidRPr="007C4707">
              <w:t>Component class (transfusion only requires restriction of all units)</w:t>
            </w:r>
          </w:p>
          <w:p w:rsidR="002A21AE" w:rsidRPr="007C4707" w:rsidRDefault="002A21AE">
            <w:pPr>
              <w:pStyle w:val="NotesTextBullet"/>
              <w:numPr>
                <w:ilvl w:val="0"/>
                <w:numId w:val="0"/>
              </w:numPr>
              <w:ind w:left="720"/>
            </w:pPr>
          </w:p>
          <w:p w:rsidR="002A21AE" w:rsidRPr="007C4707" w:rsidRDefault="002A21AE">
            <w:pPr>
              <w:pStyle w:val="NotesText"/>
            </w:pPr>
            <w:r w:rsidRPr="007C4707">
              <w:rPr>
                <w:rFonts w:cs="Arial"/>
                <w:vanish/>
              </w:rPr>
              <w:t xml:space="preserve">BR_3.19 </w:t>
            </w:r>
            <w:r w:rsidRPr="007C4707">
              <w:t>The criteria for selecting or including an individual unit in a pick list include evaluating a unit for:</w:t>
            </w:r>
          </w:p>
          <w:p w:rsidR="002A21AE" w:rsidRPr="007C4707" w:rsidRDefault="002A21AE">
            <w:pPr>
              <w:pStyle w:val="NotesTextBullet"/>
            </w:pPr>
            <w:r w:rsidRPr="007C4707">
              <w:t>Considered substitutable for the order</w:t>
            </w:r>
          </w:p>
          <w:p w:rsidR="002A21AE" w:rsidRPr="007C4707" w:rsidRDefault="002A21AE">
            <w:pPr>
              <w:pStyle w:val="NotesTextBullet"/>
            </w:pPr>
            <w:r w:rsidRPr="007C4707">
              <w:t>Same division as the user</w:t>
            </w:r>
          </w:p>
          <w:p w:rsidR="002A21AE" w:rsidRPr="007C4707" w:rsidRDefault="002A21AE">
            <w:pPr>
              <w:pStyle w:val="NotesTextBullet"/>
            </w:pPr>
            <w:r w:rsidRPr="007C4707">
              <w:t xml:space="preserve">Current location is in the blood bank </w:t>
            </w:r>
          </w:p>
          <w:p w:rsidR="002A21AE" w:rsidRPr="007C4707" w:rsidRDefault="002A21AE">
            <w:pPr>
              <w:pStyle w:val="NotesTextBullet"/>
            </w:pPr>
            <w:r w:rsidRPr="007C4707">
              <w:t>Has no quarantine indicator</w:t>
            </w:r>
          </w:p>
          <w:p w:rsidR="002A21AE" w:rsidRPr="007C4707" w:rsidRDefault="002A21AE">
            <w:pPr>
              <w:pStyle w:val="NotesTextBullet"/>
            </w:pPr>
            <w:r w:rsidRPr="007C4707">
              <w:t>Is not already assigned or crossmatched to the patient</w:t>
            </w:r>
          </w:p>
          <w:p w:rsidR="002A21AE" w:rsidRPr="007C4707" w:rsidRDefault="002A21AE">
            <w:pPr>
              <w:pStyle w:val="NotesTextBullet"/>
            </w:pPr>
            <w:r w:rsidRPr="007C4707">
              <w:t>Is not “restricted” for a different patient</w:t>
            </w:r>
          </w:p>
          <w:p w:rsidR="002A21AE" w:rsidRPr="007C4707" w:rsidRDefault="002A21AE">
            <w:pPr>
              <w:pStyle w:val="NotesTextBullet"/>
            </w:pPr>
            <w:r w:rsidRPr="007C4707">
              <w:t xml:space="preserve">Meets ABO/Rh compatibility requirements specific to the component class </w:t>
            </w:r>
          </w:p>
          <w:p w:rsidR="002A21AE" w:rsidRPr="007C4707" w:rsidRDefault="002A21AE">
            <w:pPr>
              <w:pStyle w:val="NotesTextBullet"/>
            </w:pPr>
            <w:r w:rsidRPr="007C4707">
              <w:t>Future expiration date</w:t>
            </w:r>
          </w:p>
          <w:p w:rsidR="002A21AE" w:rsidRPr="007C4707" w:rsidRDefault="002A21AE">
            <w:pPr>
              <w:pStyle w:val="NotesText"/>
            </w:pPr>
          </w:p>
          <w:p w:rsidR="002A21AE" w:rsidRPr="00710E7E" w:rsidRDefault="002A21AE">
            <w:pPr>
              <w:pStyle w:val="NotesText"/>
              <w:rPr>
                <w:i/>
              </w:rPr>
            </w:pPr>
            <w:r w:rsidRPr="007C4707">
              <w:rPr>
                <w:rFonts w:cs="Arial"/>
                <w:vanish/>
              </w:rPr>
              <w:t xml:space="preserve">BR_3.04 </w:t>
            </w:r>
            <w:r w:rsidR="00332E10">
              <w:t xml:space="preserve">VBECS lists only ABO and </w:t>
            </w:r>
            <w:r w:rsidRPr="007C4707">
              <w:t>Rh compatible units for selection.</w:t>
            </w:r>
            <w:r w:rsidR="00EB00A3">
              <w:t xml:space="preserve"> </w:t>
            </w:r>
            <w:r w:rsidR="00EB00A3" w:rsidRPr="00EB00A3">
              <w:rPr>
                <w:vanish/>
              </w:rPr>
              <w:t>DR 4414</w:t>
            </w:r>
          </w:p>
          <w:p w:rsidR="002A21AE" w:rsidRPr="00710E7E" w:rsidRDefault="002A21AE">
            <w:pPr>
              <w:pStyle w:val="NotesText"/>
              <w:rPr>
                <w:i/>
              </w:rPr>
            </w:pPr>
          </w:p>
          <w:p w:rsidR="002A21AE" w:rsidRPr="007C4707" w:rsidRDefault="002A21AE">
            <w:pPr>
              <w:pStyle w:val="NotesText"/>
            </w:pPr>
            <w:r w:rsidRPr="00166C27">
              <w:rPr>
                <w:rFonts w:cs="Arial"/>
                <w:vanish/>
              </w:rPr>
              <w:t xml:space="preserve">BR_3.11 </w:t>
            </w:r>
            <w:r w:rsidRPr="00166C27">
              <w:t>When ABO/Rh results were not created for the specimen associated with the component order and the order is not designated</w:t>
            </w:r>
            <w:r w:rsidRPr="007C4707">
              <w:t xml:space="preserve"> “emergency issue,” VBECS allows the user to select units using historic records, and notifies the user that ABO/Rh testing must be performed at this division on this patient before any selected units can be issued.</w:t>
            </w:r>
          </w:p>
          <w:p w:rsidR="002A21AE" w:rsidRPr="007C4707" w:rsidRDefault="002A21AE">
            <w:pPr>
              <w:pStyle w:val="NotesText"/>
            </w:pPr>
          </w:p>
          <w:p w:rsidR="002A21AE" w:rsidRPr="00710E7E" w:rsidRDefault="002A21AE">
            <w:pPr>
              <w:pStyle w:val="NotesText"/>
              <w:rPr>
                <w:i/>
              </w:rPr>
            </w:pPr>
            <w:r w:rsidRPr="007C4707">
              <w:rPr>
                <w:rFonts w:cs="Arial"/>
                <w:vanish/>
              </w:rPr>
              <w:t xml:space="preserve">BR_3.55 </w:t>
            </w:r>
            <w:r w:rsidRPr="007C4707">
              <w:t>VBECS displays and allows the user to complete a pending XM associated with a patient order without a final unit status.</w:t>
            </w:r>
          </w:p>
        </w:tc>
      </w:tr>
      <w:tr w:rsidR="002A21AE">
        <w:tblPrEx>
          <w:tblCellMar>
            <w:top w:w="0" w:type="dxa"/>
            <w:bottom w:w="0" w:type="dxa"/>
          </w:tblCellMar>
        </w:tblPrEx>
        <w:tc>
          <w:tcPr>
            <w:tcW w:w="3240" w:type="dxa"/>
          </w:tcPr>
          <w:p w:rsidR="002A21AE" w:rsidRDefault="002A21AE" w:rsidP="001F6038">
            <w:pPr>
              <w:pStyle w:val="TableTextNumbers"/>
            </w:pPr>
            <w:r>
              <w:lastRenderedPageBreak/>
              <w:t xml:space="preserve">Repeat Step </w:t>
            </w:r>
            <w:r w:rsidR="001F6038">
              <w:t>10</w:t>
            </w:r>
            <w:r>
              <w:t xml:space="preserve"> until all units are selected.</w:t>
            </w:r>
            <w:r w:rsidR="00EB00A3">
              <w:t xml:space="preserve"> </w:t>
            </w:r>
            <w:r w:rsidR="00EB00A3" w:rsidRPr="00EB00A3">
              <w:rPr>
                <w:vanish/>
              </w:rPr>
              <w:t>DR 4414</w:t>
            </w:r>
          </w:p>
        </w:tc>
        <w:tc>
          <w:tcPr>
            <w:tcW w:w="6120" w:type="dxa"/>
          </w:tcPr>
          <w:p w:rsidR="002A21AE" w:rsidRDefault="002A21AE">
            <w:pPr>
              <w:pStyle w:val="TableTextBullet"/>
            </w:pPr>
            <w:r>
              <w:t>Requests the user to confirm the list of selected blood units.</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1881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40" name="Line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2"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aLFAIAAC0EAAAOAAAAZHJzL2Uyb0RvYy54bWysU8GO2jAQvVfqP1i+QxLIUo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t>The user may select or deselect additional units.</w:t>
            </w:r>
          </w:p>
        </w:tc>
      </w:tr>
      <w:tr w:rsidR="002A21AE">
        <w:tblPrEx>
          <w:tblCellMar>
            <w:top w:w="0" w:type="dxa"/>
            <w:bottom w:w="0" w:type="dxa"/>
          </w:tblCellMar>
        </w:tblPrEx>
        <w:tc>
          <w:tcPr>
            <w:tcW w:w="3240" w:type="dxa"/>
          </w:tcPr>
          <w:p w:rsidR="002A21AE" w:rsidRDefault="002A21AE">
            <w:pPr>
              <w:pStyle w:val="TableTextNumbers"/>
            </w:pPr>
            <w:r>
              <w:t xml:space="preserve">Click </w:t>
            </w:r>
            <w:r>
              <w:rPr>
                <w:b/>
              </w:rPr>
              <w:t>OK</w:t>
            </w:r>
            <w:r>
              <w:t xml:space="preserve"> to confirm the selection of units.</w:t>
            </w:r>
          </w:p>
        </w:tc>
        <w:tc>
          <w:tcPr>
            <w:tcW w:w="6120" w:type="dxa"/>
          </w:tcPr>
          <w:p w:rsidR="002A21AE" w:rsidRDefault="002A21AE">
            <w:pPr>
              <w:pStyle w:val="TableTextBullet"/>
            </w:pPr>
            <w:r>
              <w:t xml:space="preserve">Determines whether the units are available for issue or whether they require additional modification and/or testing based on the component class. </w:t>
            </w:r>
          </w:p>
          <w:p w:rsidR="002A21AE" w:rsidRDefault="002A21AE">
            <w:pPr>
              <w:pStyle w:val="TableTextBullet"/>
            </w:pPr>
            <w:r>
              <w:t>Updates the database, as appropriate.</w:t>
            </w:r>
          </w:p>
          <w:p w:rsidR="001A3140" w:rsidRDefault="001A3140" w:rsidP="001A3140">
            <w:pPr>
              <w:pStyle w:val="TableTextBullet"/>
            </w:pPr>
            <w:r>
              <w:rPr>
                <w:rFonts w:cs="Arial"/>
                <w:szCs w:val="18"/>
              </w:rPr>
              <w:t>S</w:t>
            </w:r>
            <w:r w:rsidRPr="00CA212C">
              <w:rPr>
                <w:rFonts w:cs="Arial"/>
                <w:szCs w:val="18"/>
              </w:rPr>
              <w:t>ends</w:t>
            </w:r>
            <w:r>
              <w:rPr>
                <w:rFonts w:cs="Arial"/>
                <w:szCs w:val="18"/>
              </w:rPr>
              <w:t xml:space="preserve"> </w:t>
            </w:r>
            <w:r w:rsidRPr="00CA212C">
              <w:rPr>
                <w:rFonts w:cs="Arial"/>
                <w:szCs w:val="18"/>
              </w:rPr>
              <w:t>selected blood unit</w:t>
            </w:r>
            <w:r>
              <w:rPr>
                <w:rFonts w:cs="Arial"/>
                <w:szCs w:val="18"/>
              </w:rPr>
              <w:t>s</w:t>
            </w:r>
            <w:r w:rsidRPr="00CA212C">
              <w:rPr>
                <w:rFonts w:cs="Arial"/>
                <w:szCs w:val="18"/>
              </w:rPr>
              <w:t xml:space="preserve"> with patient details to the BCE COTS system via an HL7 message</w:t>
            </w:r>
            <w:r>
              <w:rPr>
                <w:rFonts w:cs="Arial"/>
                <w:szCs w:val="18"/>
              </w:rPr>
              <w:t>.</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1779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39" name="Line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1"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bnFgIAAC0EAAAOAAAAZHJzL2Uyb0RvYy54bWysU8uu2jAQ3VfqP1jeQxLIpR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BP&#10;+obnFgIAAC0EAAAOAAAAAAAAAAAAAAAAAC4CAABkcnMvZTJvRG9jLnhtbFBLAQItABQABgAIAAAA&#10;IQAXTzAS2wAAAAgBAAAPAAAAAAAAAAAAAAAAAHAEAABkcnMvZG93bnJldi54bWxQSwUGAAAAAAQA&#10;BADzAAAAeAUAAAAA&#10;" strokeweight="1.5pt"/>
                  </w:pict>
                </mc:Fallback>
              </mc:AlternateContent>
            </w:r>
            <w:r w:rsidR="002A21AE">
              <w:rPr>
                <w:b/>
                <w:bCs/>
                <w:szCs w:val="18"/>
              </w:rPr>
              <w:t>NOTES</w:t>
            </w:r>
          </w:p>
          <w:p w:rsidR="002A21AE" w:rsidRPr="00F83540" w:rsidRDefault="00F83540" w:rsidP="00026F72">
            <w:pPr>
              <w:pStyle w:val="NotesText"/>
            </w:pPr>
            <w:r w:rsidRPr="00F83540">
              <w:rPr>
                <w:vanish/>
              </w:rPr>
              <w:t xml:space="preserve">BR_56.31 </w:t>
            </w:r>
            <w:r w:rsidRPr="00F83540">
              <w:t xml:space="preserve">When the </w:t>
            </w:r>
            <w:r>
              <w:t xml:space="preserve">total </w:t>
            </w:r>
            <w:r w:rsidRPr="00F83540">
              <w:t>number of blood units eligible for issue, issued</w:t>
            </w:r>
            <w:r>
              <w:t xml:space="preserve">, </w:t>
            </w:r>
            <w:r w:rsidRPr="00F83540">
              <w:t xml:space="preserve">or transfused </w:t>
            </w:r>
            <w:r>
              <w:t xml:space="preserve">is </w:t>
            </w:r>
            <w:r w:rsidRPr="00F83540">
              <w:t>greater or equal</w:t>
            </w:r>
            <w:r>
              <w:t xml:space="preserve"> to the number of ordered units, VBECS sends and order</w:t>
            </w:r>
            <w:r w:rsidRPr="00F83540">
              <w:t xml:space="preserve"> completion message to CPRS.</w:t>
            </w:r>
          </w:p>
          <w:p w:rsidR="00F83540" w:rsidRDefault="00F83540">
            <w:pPr>
              <w:pStyle w:val="NotesText"/>
            </w:pPr>
          </w:p>
          <w:p w:rsidR="002A21AE" w:rsidRDefault="00896F17">
            <w:pPr>
              <w:pStyle w:val="NotesText"/>
              <w:rPr>
                <w:rFonts w:cs="Arial"/>
                <w:szCs w:val="22"/>
              </w:rPr>
            </w:pPr>
            <w:r w:rsidRPr="00896F17">
              <w:rPr>
                <w:rStyle w:val="BullhornChar"/>
              </w:rPr>
              <w:t></w:t>
            </w:r>
            <w:r w:rsidRPr="00C51C45">
              <w:rPr>
                <w:rFonts w:ascii="Webdings" w:hAnsi="Webdings"/>
                <w:szCs w:val="22"/>
              </w:rPr>
              <w:t></w:t>
            </w:r>
            <w:r>
              <w:rPr>
                <w:rFonts w:cs="Arial"/>
                <w:szCs w:val="22"/>
              </w:rPr>
              <w:t>See</w:t>
            </w:r>
            <w:r w:rsidR="002A21AE">
              <w:rPr>
                <w:rFonts w:cs="Arial"/>
                <w:szCs w:val="22"/>
              </w:rPr>
              <w:t xml:space="preserve"> </w:t>
            </w:r>
            <w:r w:rsidR="00590097">
              <w:rPr>
                <w:rFonts w:cs="Arial"/>
                <w:szCs w:val="22"/>
              </w:rPr>
              <w:fldChar w:fldCharType="begin"/>
            </w:r>
            <w:r w:rsidR="00590097">
              <w:rPr>
                <w:rFonts w:cs="Arial"/>
                <w:szCs w:val="22"/>
              </w:rPr>
              <w:instrText xml:space="preserve"> REF _Ref126486057 \h </w:instrText>
            </w:r>
            <w:r w:rsidR="00290CD1" w:rsidRPr="00590097">
              <w:rPr>
                <w:rFonts w:cs="Arial"/>
                <w:szCs w:val="22"/>
              </w:rPr>
            </w:r>
            <w:r w:rsidR="00590097">
              <w:rPr>
                <w:rFonts w:cs="Arial"/>
                <w:szCs w:val="22"/>
              </w:rPr>
              <w:fldChar w:fldCharType="separate"/>
            </w:r>
            <w:r w:rsidR="005F38BC">
              <w:t xml:space="preserve">Table </w:t>
            </w:r>
            <w:r w:rsidR="005F38BC">
              <w:rPr>
                <w:noProof/>
              </w:rPr>
              <w:t>6</w:t>
            </w:r>
            <w:r w:rsidR="00590097">
              <w:rPr>
                <w:rFonts w:cs="Arial"/>
                <w:szCs w:val="22"/>
              </w:rPr>
              <w:fldChar w:fldCharType="end"/>
            </w:r>
            <w:r w:rsidR="002A21AE">
              <w:rPr>
                <w:rFonts w:cs="Arial"/>
                <w:szCs w:val="22"/>
              </w:rPr>
              <w:t xml:space="preserve"> for alerts that may occur during this option.</w:t>
            </w:r>
          </w:p>
          <w:p w:rsidR="006605B8" w:rsidRDefault="006605B8">
            <w:pPr>
              <w:pStyle w:val="NotesText"/>
              <w:rPr>
                <w:rFonts w:cs="Arial"/>
                <w:szCs w:val="22"/>
              </w:rPr>
            </w:pPr>
          </w:p>
          <w:p w:rsidR="006605B8" w:rsidRDefault="006605B8" w:rsidP="006605B8">
            <w:pPr>
              <w:pStyle w:val="NotesText"/>
            </w:pPr>
            <w:r>
              <w:rPr>
                <w:vanish/>
                <w:szCs w:val="18"/>
              </w:rPr>
              <w:t xml:space="preserve">BR_3.17, BR_3.27 </w:t>
            </w:r>
            <w:r>
              <w:t xml:space="preserve">When eXM is enabled at the division and blood units require XM, VBECS determines whether the patient and units are eligible for eXM. All parameters listed in </w:t>
            </w:r>
            <w:r>
              <w:fldChar w:fldCharType="begin"/>
            </w:r>
            <w:r>
              <w:instrText xml:space="preserve"> REF _Ref170004931 \h </w:instrText>
            </w:r>
            <w:r>
              <w:fldChar w:fldCharType="separate"/>
            </w:r>
            <w:r w:rsidR="005F38BC">
              <w:t xml:space="preserve">Appendix </w:t>
            </w:r>
            <w:r w:rsidR="005F38BC">
              <w:rPr>
                <w:noProof/>
              </w:rPr>
              <w:t>B</w:t>
            </w:r>
            <w:r>
              <w:fldChar w:fldCharType="end"/>
            </w:r>
            <w:r>
              <w:t xml:space="preserve">: </w:t>
            </w:r>
            <w:r>
              <w:fldChar w:fldCharType="begin"/>
            </w:r>
            <w:r>
              <w:instrText xml:space="preserve"> REF _Ref317762597 \h </w:instrText>
            </w:r>
            <w:r>
              <w:fldChar w:fldCharType="separate"/>
            </w:r>
            <w:r w:rsidR="005F38BC">
              <w:t xml:space="preserve">Table </w:t>
            </w:r>
            <w:r w:rsidR="005F38BC">
              <w:rPr>
                <w:noProof/>
              </w:rPr>
              <w:t>24</w:t>
            </w:r>
            <w:r w:rsidR="005F38BC">
              <w:t xml:space="preserve">: </w:t>
            </w:r>
            <w:r w:rsidR="005F38BC">
              <w:rPr>
                <w:vanish/>
              </w:rPr>
              <w:t xml:space="preserve">TT_3.05 </w:t>
            </w:r>
            <w:r w:rsidR="005F38BC">
              <w:t>Rules for Electronic and Serologic Crossmatch</w:t>
            </w:r>
            <w:r>
              <w:fldChar w:fldCharType="end"/>
            </w:r>
            <w:r>
              <w:t xml:space="preserve"> must be met. Units not eligible for eXM must have serologic XM performed. </w:t>
            </w:r>
          </w:p>
          <w:p w:rsidR="006605B8" w:rsidRDefault="006605B8" w:rsidP="006605B8">
            <w:pPr>
              <w:pStyle w:val="NotesText"/>
            </w:pPr>
          </w:p>
          <w:p w:rsidR="002A21AE" w:rsidRDefault="006605B8" w:rsidP="006605B8">
            <w:pPr>
              <w:pStyle w:val="NotesText"/>
            </w:pPr>
            <w:r>
              <w:t>When eXM is not enabled, the user must enter serologic XM results for red blood cell classes or when a user orders an optional XM for OTHER component classes. VBECS does not change the unit status to “crossmatched,” make units available for issue, or allow the Caution Tag or BTRF to be printed until a user enters a valid XM result, unless an emergency-issued unit is being processed.</w:t>
            </w:r>
          </w:p>
        </w:tc>
      </w:tr>
      <w:tr w:rsidR="002A21AE">
        <w:tblPrEx>
          <w:tblCellMar>
            <w:top w:w="0" w:type="dxa"/>
            <w:bottom w:w="0" w:type="dxa"/>
          </w:tblCellMar>
        </w:tblPrEx>
        <w:tc>
          <w:tcPr>
            <w:tcW w:w="3240" w:type="dxa"/>
          </w:tcPr>
          <w:p w:rsidR="002A21AE" w:rsidRDefault="002A21AE">
            <w:pPr>
              <w:pStyle w:val="TableTextNumbers"/>
            </w:pPr>
            <w:r>
              <w:lastRenderedPageBreak/>
              <w:t xml:space="preserve">Select another component order to continue selecting units, or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rsidR="002A21AE" w:rsidRDefault="002A21AE">
            <w:pPr>
              <w:pStyle w:val="TableTextBullet"/>
            </w:pPr>
            <w:r>
              <w:t>Displays orders for the next patient.</w:t>
            </w:r>
          </w:p>
        </w:tc>
      </w:tr>
    </w:tbl>
    <w:p w:rsidR="004728E4" w:rsidRDefault="004728E4" w:rsidP="004728E4">
      <w:pPr>
        <w:pStyle w:val="Caption"/>
      </w:pPr>
      <w:bookmarkStart w:id="375" w:name="_Ref126721456"/>
      <w:bookmarkStart w:id="376" w:name="_Ref126724671"/>
      <w:r>
        <w:t xml:space="preserve">Figure </w:t>
      </w:r>
      <w:r w:rsidR="00C17F7C">
        <w:fldChar w:fldCharType="begin"/>
      </w:r>
      <w:r w:rsidR="00C17F7C">
        <w:instrText xml:space="preserve"> SEQ Figure \* ARABIC </w:instrText>
      </w:r>
      <w:r w:rsidR="00C17F7C">
        <w:fldChar w:fldCharType="separate"/>
      </w:r>
      <w:r w:rsidR="005F38BC">
        <w:rPr>
          <w:noProof/>
        </w:rPr>
        <w:t>93</w:t>
      </w:r>
      <w:r w:rsidR="00C17F7C">
        <w:fldChar w:fldCharType="end"/>
      </w:r>
      <w:bookmarkEnd w:id="376"/>
      <w:r>
        <w:t>: Pending Task List Component Orders</w:t>
      </w:r>
      <w:bookmarkEnd w:id="375"/>
    </w:p>
    <w:p w:rsidR="00120C4C" w:rsidRPr="00120C4C" w:rsidRDefault="00634BFC" w:rsidP="00120C4C">
      <w:pPr>
        <w:pStyle w:val="BodyText"/>
      </w:pPr>
      <w:r>
        <w:rPr>
          <w:noProof/>
        </w:rPr>
        <w:drawing>
          <wp:inline distT="0" distB="0" distL="0" distR="0">
            <wp:extent cx="5934075" cy="2495550"/>
            <wp:effectExtent l="0" t="0" r="952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34075" cy="2495550"/>
                    </a:xfrm>
                    <a:prstGeom prst="rect">
                      <a:avLst/>
                    </a:prstGeom>
                    <a:noFill/>
                    <a:ln>
                      <a:noFill/>
                    </a:ln>
                  </pic:spPr>
                </pic:pic>
              </a:graphicData>
            </a:graphic>
          </wp:inline>
        </w:drawing>
      </w:r>
    </w:p>
    <w:p w:rsidR="008C6185" w:rsidRDefault="008C6185" w:rsidP="008C6185">
      <w:pPr>
        <w:pStyle w:val="Caption"/>
      </w:pPr>
      <w:bookmarkStart w:id="377" w:name="_Ref126721588"/>
      <w:bookmarkStart w:id="378" w:name="_Ref126724700"/>
      <w:r>
        <w:lastRenderedPageBreak/>
        <w:t xml:space="preserve">Figure </w:t>
      </w:r>
      <w:r w:rsidR="00C17F7C">
        <w:fldChar w:fldCharType="begin"/>
      </w:r>
      <w:r w:rsidR="00C17F7C">
        <w:instrText xml:space="preserve"> SEQ Figure \* ARABIC </w:instrText>
      </w:r>
      <w:r w:rsidR="00C17F7C">
        <w:fldChar w:fldCharType="separate"/>
      </w:r>
      <w:r w:rsidR="005F38BC">
        <w:rPr>
          <w:noProof/>
        </w:rPr>
        <w:t>94</w:t>
      </w:r>
      <w:r w:rsidR="00C17F7C">
        <w:fldChar w:fldCharType="end"/>
      </w:r>
      <w:bookmarkEnd w:id="378"/>
      <w:r>
        <w:t>: Select Units for a Patient</w:t>
      </w:r>
      <w:bookmarkEnd w:id="377"/>
    </w:p>
    <w:p w:rsidR="008C6185" w:rsidRDefault="00634BFC" w:rsidP="00DE69E1">
      <w:pPr>
        <w:pStyle w:val="BodyText"/>
      </w:pPr>
      <w:r>
        <w:rPr>
          <w:noProof/>
        </w:rPr>
        <w:drawing>
          <wp:inline distT="0" distB="0" distL="0" distR="0">
            <wp:extent cx="5638800" cy="41148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638800" cy="4114800"/>
                    </a:xfrm>
                    <a:prstGeom prst="rect">
                      <a:avLst/>
                    </a:prstGeom>
                    <a:noFill/>
                    <a:ln>
                      <a:noFill/>
                    </a:ln>
                  </pic:spPr>
                </pic:pic>
              </a:graphicData>
            </a:graphic>
          </wp:inline>
        </w:drawing>
      </w:r>
    </w:p>
    <w:p w:rsidR="009F0D10" w:rsidRDefault="009F0D10" w:rsidP="009F0D10">
      <w:pPr>
        <w:pStyle w:val="Caption"/>
      </w:pPr>
      <w:bookmarkStart w:id="379" w:name="_Ref169515158"/>
      <w:r>
        <w:lastRenderedPageBreak/>
        <w:t xml:space="preserve">Figure </w:t>
      </w:r>
      <w:r>
        <w:fldChar w:fldCharType="begin"/>
      </w:r>
      <w:r>
        <w:instrText xml:space="preserve"> SEQ Figure \* ARABIC </w:instrText>
      </w:r>
      <w:r>
        <w:fldChar w:fldCharType="separate"/>
      </w:r>
      <w:r w:rsidR="005F38BC">
        <w:rPr>
          <w:noProof/>
        </w:rPr>
        <w:t>95</w:t>
      </w:r>
      <w:r>
        <w:fldChar w:fldCharType="end"/>
      </w:r>
      <w:bookmarkEnd w:id="379"/>
      <w:r>
        <w:t xml:space="preserve">: </w:t>
      </w:r>
      <w:r w:rsidR="00EE1017">
        <w:t>Associate a Specimen with an Emergency-Issued Unit</w:t>
      </w:r>
    </w:p>
    <w:p w:rsidR="00F3761C" w:rsidRPr="008C6185" w:rsidRDefault="00634BFC" w:rsidP="00DE69E1">
      <w:pPr>
        <w:pStyle w:val="BodyText"/>
      </w:pPr>
      <w:r>
        <w:rPr>
          <w:noProof/>
        </w:rPr>
        <w:drawing>
          <wp:inline distT="0" distB="0" distL="0" distR="0">
            <wp:extent cx="5943600" cy="4200525"/>
            <wp:effectExtent l="0" t="0" r="0"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943600" cy="4200525"/>
                    </a:xfrm>
                    <a:prstGeom prst="rect">
                      <a:avLst/>
                    </a:prstGeom>
                    <a:noFill/>
                    <a:ln>
                      <a:noFill/>
                    </a:ln>
                  </pic:spPr>
                </pic:pic>
              </a:graphicData>
            </a:graphic>
          </wp:inline>
        </w:drawing>
      </w:r>
    </w:p>
    <w:p w:rsidR="002A21AE" w:rsidRDefault="00263B24">
      <w:pPr>
        <w:pStyle w:val="Heading4"/>
      </w:pPr>
      <w:r w:rsidRPr="00896F17">
        <w:rPr>
          <w:rStyle w:val="BullhornChar"/>
        </w:rPr>
        <w:t></w:t>
      </w:r>
      <w:r>
        <w:rPr>
          <w:rFonts w:ascii="Webdings" w:hAnsi="Webdings"/>
        </w:rPr>
        <w:t></w:t>
      </w:r>
      <w:r w:rsidR="002A21AE">
        <w:t>Alerts</w:t>
      </w:r>
    </w:p>
    <w:p w:rsidR="002A21AE" w:rsidRDefault="002A21AE">
      <w:pPr>
        <w:pStyle w:val="Caption"/>
      </w:pPr>
      <w:bookmarkStart w:id="380" w:name="_Toc97523618"/>
      <w:bookmarkStart w:id="381" w:name="_Toc97527588"/>
      <w:bookmarkStart w:id="382" w:name="_Ref126486057"/>
      <w:r>
        <w:t xml:space="preserve">Table </w:t>
      </w:r>
      <w:r>
        <w:fldChar w:fldCharType="begin"/>
      </w:r>
      <w:r>
        <w:instrText xml:space="preserve"> SEQ Table \* ARABIC </w:instrText>
      </w:r>
      <w:r>
        <w:fldChar w:fldCharType="separate"/>
      </w:r>
      <w:r w:rsidR="005F38BC">
        <w:rPr>
          <w:noProof/>
        </w:rPr>
        <w:t>6</w:t>
      </w:r>
      <w:r>
        <w:fldChar w:fldCharType="end"/>
      </w:r>
      <w:bookmarkEnd w:id="382"/>
      <w:r>
        <w:t>: Alerts That May Occur in Select Units</w:t>
      </w:r>
      <w:bookmarkEnd w:id="380"/>
      <w:bookmarkEnd w:id="381"/>
      <w:r>
        <w:fldChar w:fldCharType="begin"/>
      </w:r>
      <w:r>
        <w:instrText xml:space="preserve"> XE </w:instrText>
      </w:r>
      <w:r w:rsidR="00FA7E65">
        <w:instrText>“</w:instrText>
      </w:r>
      <w:r>
        <w:instrText>Tables:Alerts That May Occur in Select Units</w:instrText>
      </w:r>
      <w:r w:rsidR="00FA7E65">
        <w:instrText>”</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
        <w:gridCol w:w="8580"/>
      </w:tblGrid>
      <w:tr w:rsidR="002A21AE" w:rsidRPr="000921F1">
        <w:trPr>
          <w:tblHeader/>
        </w:trPr>
        <w:tc>
          <w:tcPr>
            <w:tcW w:w="780" w:type="dxa"/>
            <w:shd w:val="clear" w:color="auto" w:fill="B3B3B3"/>
          </w:tcPr>
          <w:p w:rsidR="002A21AE" w:rsidRPr="000921F1" w:rsidRDefault="002A21AE">
            <w:pPr>
              <w:pStyle w:val="TableText"/>
              <w:rPr>
                <w:b/>
              </w:rPr>
            </w:pPr>
            <w:r w:rsidRPr="000921F1">
              <w:rPr>
                <w:b/>
              </w:rPr>
              <w:t>Step</w:t>
            </w:r>
          </w:p>
        </w:tc>
        <w:tc>
          <w:tcPr>
            <w:tcW w:w="8580" w:type="dxa"/>
            <w:shd w:val="clear" w:color="auto" w:fill="B3B3B3"/>
          </w:tcPr>
          <w:p w:rsidR="002A21AE" w:rsidRPr="000921F1" w:rsidRDefault="002A21AE">
            <w:pPr>
              <w:pStyle w:val="TableText"/>
              <w:rPr>
                <w:b/>
              </w:rPr>
            </w:pPr>
            <w:r w:rsidRPr="000921F1">
              <w:rPr>
                <w:b/>
              </w:rPr>
              <w:t>Alerts</w:t>
            </w:r>
          </w:p>
        </w:tc>
      </w:tr>
      <w:tr w:rsidR="002A21AE" w:rsidRPr="000921F1">
        <w:tc>
          <w:tcPr>
            <w:tcW w:w="780" w:type="dxa"/>
          </w:tcPr>
          <w:p w:rsidR="002A21AE" w:rsidRPr="000921F1" w:rsidRDefault="002A21AE">
            <w:pPr>
              <w:pStyle w:val="TableText"/>
            </w:pPr>
            <w:r w:rsidRPr="000921F1">
              <w:t>2</w:t>
            </w:r>
          </w:p>
        </w:tc>
        <w:tc>
          <w:tcPr>
            <w:tcW w:w="8580" w:type="dxa"/>
          </w:tcPr>
          <w:p w:rsidR="002A21AE" w:rsidRPr="000921F1" w:rsidRDefault="002A21AE">
            <w:pPr>
              <w:pStyle w:val="TableText"/>
            </w:pPr>
            <w:r w:rsidRPr="000921F1">
              <w:rPr>
                <w:rFonts w:cs="Arial"/>
                <w:vanish/>
              </w:rPr>
              <w:t xml:space="preserve">BR_16.01 </w:t>
            </w:r>
            <w:r w:rsidRPr="000921F1">
              <w:t xml:space="preserve">VBECS displays </w:t>
            </w:r>
            <w:r w:rsidR="00634BFC">
              <w:rPr>
                <w:noProof/>
              </w:rPr>
              <w:drawing>
                <wp:inline distT="0" distB="0" distL="0" distR="0">
                  <wp:extent cx="152400" cy="152400"/>
                  <wp:effectExtent l="0" t="0" r="0" b="0"/>
                  <wp:docPr id="180" name="Picture 180" descr="small_si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small_si_t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921F1">
              <w:t xml:space="preserve"> and emits an audible alert when there are Special Instructions (SIs) or TRs for the patient.</w:t>
            </w:r>
          </w:p>
        </w:tc>
      </w:tr>
      <w:tr w:rsidR="002A21AE" w:rsidRPr="000921F1">
        <w:tc>
          <w:tcPr>
            <w:tcW w:w="780" w:type="dxa"/>
          </w:tcPr>
          <w:p w:rsidR="002A21AE" w:rsidRPr="000921F1" w:rsidRDefault="002A21AE">
            <w:pPr>
              <w:pStyle w:val="TableText"/>
            </w:pPr>
            <w:r w:rsidRPr="000921F1">
              <w:t>2</w:t>
            </w:r>
          </w:p>
        </w:tc>
        <w:tc>
          <w:tcPr>
            <w:tcW w:w="8580" w:type="dxa"/>
          </w:tcPr>
          <w:p w:rsidR="002A21AE" w:rsidRPr="000921F1" w:rsidRDefault="002A21AE">
            <w:pPr>
              <w:pStyle w:val="TableText"/>
            </w:pPr>
            <w:r w:rsidRPr="000921F1">
              <w:rPr>
                <w:rFonts w:cs="Arial"/>
                <w:vanish/>
              </w:rPr>
              <w:t xml:space="preserve">BR_3.18 </w:t>
            </w:r>
            <w:r w:rsidRPr="000921F1">
              <w:t xml:space="preserve">When the user selects blood units that require XM, and eXM is enabled at the division but the current patient is not eligible for eXMs, VBECS displays a warning that includes the reason for the ineligibility. Selected units must have serologic XM performed. The user may not print the Caution Tag or the BTRF. VBECS does not change the unit status to “crossmatched” until the user enters a valid serologic XM result in Patient Testing: Record a Crossmatch. </w:t>
            </w:r>
          </w:p>
        </w:tc>
      </w:tr>
      <w:tr w:rsidR="00831141" w:rsidRPr="000921F1">
        <w:tc>
          <w:tcPr>
            <w:tcW w:w="780" w:type="dxa"/>
          </w:tcPr>
          <w:p w:rsidR="00831141" w:rsidRPr="000921F1" w:rsidRDefault="00831141">
            <w:pPr>
              <w:pStyle w:val="TableText"/>
            </w:pPr>
            <w:r w:rsidRPr="000921F1">
              <w:t>2</w:t>
            </w:r>
          </w:p>
        </w:tc>
        <w:tc>
          <w:tcPr>
            <w:tcW w:w="8580" w:type="dxa"/>
          </w:tcPr>
          <w:p w:rsidR="00831141" w:rsidRPr="000921F1" w:rsidRDefault="00831141">
            <w:pPr>
              <w:pStyle w:val="TableText"/>
              <w:rPr>
                <w:rFonts w:cs="Arial"/>
                <w:vanish/>
              </w:rPr>
            </w:pPr>
            <w:r w:rsidRPr="000921F1">
              <w:rPr>
                <w:vanish/>
                <w:szCs w:val="18"/>
              </w:rPr>
              <w:t>BR_3.57</w:t>
            </w:r>
            <w:r w:rsidRPr="000921F1">
              <w:t xml:space="preserve"> When the user clicked the Emergency Order check box during specimen acceptance and selects blood units requiring crossmatch, VBECS does not allow the user to perform an electronic or serologic crossmatch.</w:t>
            </w:r>
          </w:p>
        </w:tc>
      </w:tr>
      <w:tr w:rsidR="002A21AE" w:rsidRPr="000921F1">
        <w:tc>
          <w:tcPr>
            <w:tcW w:w="780" w:type="dxa"/>
          </w:tcPr>
          <w:p w:rsidR="002A21AE" w:rsidRPr="000921F1" w:rsidRDefault="0024117A">
            <w:pPr>
              <w:pStyle w:val="TableText"/>
            </w:pPr>
            <w:r>
              <w:t>9</w:t>
            </w:r>
          </w:p>
        </w:tc>
        <w:tc>
          <w:tcPr>
            <w:tcW w:w="8580" w:type="dxa"/>
          </w:tcPr>
          <w:p w:rsidR="002A21AE" w:rsidRPr="000921F1" w:rsidRDefault="002A21AE">
            <w:pPr>
              <w:pStyle w:val="TableText"/>
            </w:pPr>
            <w:r w:rsidRPr="000921F1">
              <w:rPr>
                <w:rFonts w:cs="Arial"/>
                <w:vanish/>
              </w:rPr>
              <w:t xml:space="preserve">BR_3.01 </w:t>
            </w:r>
            <w:r w:rsidRPr="000921F1">
              <w:t>When a current specimen is required for the selected component class based on Component Classes and one does not exist for the patient, the user may not select ABO type-specific blood products. VBECS notifies the user that he is selecting units using the emergency issue compatibility rules.</w:t>
            </w:r>
          </w:p>
        </w:tc>
      </w:tr>
      <w:tr w:rsidR="002A21AE" w:rsidRPr="000921F1">
        <w:tc>
          <w:tcPr>
            <w:tcW w:w="780" w:type="dxa"/>
          </w:tcPr>
          <w:p w:rsidR="002A21AE" w:rsidRPr="000921F1" w:rsidRDefault="0024117A">
            <w:pPr>
              <w:pStyle w:val="TableText"/>
            </w:pPr>
            <w:r>
              <w:t>9</w:t>
            </w:r>
          </w:p>
        </w:tc>
        <w:tc>
          <w:tcPr>
            <w:tcW w:w="8580" w:type="dxa"/>
          </w:tcPr>
          <w:p w:rsidR="002A21AE" w:rsidRPr="000921F1" w:rsidRDefault="002A21AE">
            <w:pPr>
              <w:pStyle w:val="TableText"/>
            </w:pPr>
            <w:r w:rsidRPr="000921F1">
              <w:rPr>
                <w:rFonts w:cs="Arial"/>
                <w:vanish/>
              </w:rPr>
              <w:t xml:space="preserve">BR_3.24 </w:t>
            </w:r>
            <w:r w:rsidRPr="000921F1">
              <w:t>When the patient record is marked as having a previous ABO/Rh discrepancy that was justified, a current specimen is required. The user must select units based on the current specimen ABO/Rh. When the current specimen ABO/Rh was not performed, VBECS warns that the patient had a previous ABO/Rh discrepancy and instructs the user to perform ABO/Rh on the current specimen to continue using normal rules and policies or follow emergency issue rules and policies.</w:t>
            </w:r>
          </w:p>
        </w:tc>
      </w:tr>
      <w:tr w:rsidR="002A21AE" w:rsidRPr="000921F1">
        <w:tc>
          <w:tcPr>
            <w:tcW w:w="780" w:type="dxa"/>
          </w:tcPr>
          <w:p w:rsidR="002A21AE" w:rsidRPr="000921F1" w:rsidRDefault="0024117A">
            <w:pPr>
              <w:pStyle w:val="TableText"/>
            </w:pPr>
            <w:r>
              <w:lastRenderedPageBreak/>
              <w:t>9</w:t>
            </w:r>
          </w:p>
        </w:tc>
        <w:tc>
          <w:tcPr>
            <w:tcW w:w="8580" w:type="dxa"/>
          </w:tcPr>
          <w:p w:rsidR="002A21AE" w:rsidRPr="000921F1" w:rsidRDefault="002A21AE">
            <w:pPr>
              <w:pStyle w:val="TableText"/>
            </w:pPr>
            <w:r w:rsidRPr="000921F1">
              <w:rPr>
                <w:rFonts w:cs="Arial"/>
                <w:vanish/>
              </w:rPr>
              <w:t xml:space="preserve">BR_3.30 </w:t>
            </w:r>
            <w:r w:rsidRPr="000921F1">
              <w:t xml:space="preserve">When there is a current specimen and ABO/Rh testing was performed, VBECS compares the ABO/Rh of the current specimen to the historical ABO/Rh. When there is a discrepancy, the ABO type is inconclusive, and there is no previous justification for the discrepancy on the patient record, VBECS notifies the user that the ABO/Rh on the current specimen does not agree with the historical ABO/Rh and instructs the user to resolve the discrepancy to continue using normal rules and policies, and recommends that the user release previously selected units or follow emergency issue rules and </w:t>
            </w:r>
            <w:r w:rsidR="00F347B1" w:rsidRPr="000921F1">
              <w:t xml:space="preserve">local </w:t>
            </w:r>
            <w:r w:rsidRPr="000921F1">
              <w:t>policies.</w:t>
            </w:r>
          </w:p>
        </w:tc>
      </w:tr>
      <w:tr w:rsidR="002A21AE" w:rsidRPr="000921F1">
        <w:tc>
          <w:tcPr>
            <w:tcW w:w="780" w:type="dxa"/>
          </w:tcPr>
          <w:p w:rsidR="002A21AE" w:rsidRPr="000921F1" w:rsidRDefault="0024117A">
            <w:pPr>
              <w:pStyle w:val="TableText"/>
            </w:pPr>
            <w:r>
              <w:t>9</w:t>
            </w:r>
          </w:p>
        </w:tc>
        <w:tc>
          <w:tcPr>
            <w:tcW w:w="8580" w:type="dxa"/>
          </w:tcPr>
          <w:p w:rsidR="002A21AE" w:rsidRPr="000921F1" w:rsidRDefault="002A21AE" w:rsidP="00CE12EA">
            <w:pPr>
              <w:pStyle w:val="TableText"/>
            </w:pPr>
            <w:r w:rsidRPr="000921F1">
              <w:rPr>
                <w:rFonts w:cs="Arial"/>
                <w:vanish/>
              </w:rPr>
              <w:t xml:space="preserve">BR_3.40 </w:t>
            </w:r>
            <w:r w:rsidRPr="000921F1">
              <w:t>When a repeat ABO/Rh is performed on the patient specimen and the interpretation does not match the original ABO/Rh interpretation</w:t>
            </w:r>
            <w:r w:rsidR="00CE12EA">
              <w:t>.</w:t>
            </w:r>
            <w:r w:rsidRPr="000921F1">
              <w:t xml:space="preserve"> </w:t>
            </w:r>
          </w:p>
        </w:tc>
      </w:tr>
      <w:tr w:rsidR="00E316CA" w:rsidRPr="000921F1">
        <w:tc>
          <w:tcPr>
            <w:tcW w:w="780" w:type="dxa"/>
          </w:tcPr>
          <w:p w:rsidR="00E316CA" w:rsidRPr="000921F1" w:rsidRDefault="0024117A">
            <w:pPr>
              <w:pStyle w:val="TableText"/>
            </w:pPr>
            <w:r>
              <w:t>9</w:t>
            </w:r>
          </w:p>
        </w:tc>
        <w:tc>
          <w:tcPr>
            <w:tcW w:w="8580" w:type="dxa"/>
          </w:tcPr>
          <w:p w:rsidR="00E316CA" w:rsidRPr="000921F1" w:rsidRDefault="00E316CA">
            <w:pPr>
              <w:pStyle w:val="TableText"/>
              <w:rPr>
                <w:rFonts w:cs="Arial"/>
                <w:vanish/>
              </w:rPr>
            </w:pPr>
            <w:r w:rsidRPr="000921F1">
              <w:rPr>
                <w:vanish/>
                <w:szCs w:val="18"/>
              </w:rPr>
              <w:t>BR_3.10</w:t>
            </w:r>
            <w:r w:rsidRPr="000921F1">
              <w:t xml:space="preserve"> When a user selects a blood unit that is evaluated as ABO incompatible (based on comparison of the patient's current ABO/Rh entered by the user with the ABO/Rh on record), VBECS emits an audible alert and warns the user that the unit is not ABO compatible for this patient and that the user may not select the unit. There is no override; VBECS clears the screen and allows the user to select another unit.</w:t>
            </w:r>
          </w:p>
        </w:tc>
      </w:tr>
      <w:tr w:rsidR="002A21AE" w:rsidRPr="000921F1">
        <w:tc>
          <w:tcPr>
            <w:tcW w:w="780" w:type="dxa"/>
          </w:tcPr>
          <w:p w:rsidR="002A21AE" w:rsidRPr="000921F1" w:rsidRDefault="0024117A">
            <w:pPr>
              <w:pStyle w:val="TableText"/>
            </w:pPr>
            <w:r>
              <w:t>10</w:t>
            </w:r>
          </w:p>
        </w:tc>
        <w:tc>
          <w:tcPr>
            <w:tcW w:w="8580" w:type="dxa"/>
          </w:tcPr>
          <w:p w:rsidR="002A21AE" w:rsidRPr="000921F1" w:rsidRDefault="002A21AE">
            <w:pPr>
              <w:pStyle w:val="TableText"/>
            </w:pPr>
            <w:r w:rsidRPr="000921F1">
              <w:rPr>
                <w:rFonts w:cs="Arial"/>
                <w:vanish/>
              </w:rPr>
              <w:t xml:space="preserve">BR_3.34 </w:t>
            </w:r>
            <w:r w:rsidRPr="000921F1">
              <w:t>The user may override the selection of restricted units. VBECS warns that more restricted units were not selected for the patient and asks whether the user wishes to continue. The override requires a comment and captures details for inclusion in an Exception Report (exception type: less restrictive unit issued).</w:t>
            </w:r>
          </w:p>
        </w:tc>
      </w:tr>
      <w:tr w:rsidR="002A21AE" w:rsidRPr="000921F1">
        <w:tc>
          <w:tcPr>
            <w:tcW w:w="780" w:type="dxa"/>
          </w:tcPr>
          <w:p w:rsidR="002A21AE" w:rsidRPr="000921F1" w:rsidRDefault="0024117A">
            <w:pPr>
              <w:pStyle w:val="TableText"/>
            </w:pPr>
            <w:r>
              <w:t>10</w:t>
            </w:r>
          </w:p>
        </w:tc>
        <w:tc>
          <w:tcPr>
            <w:tcW w:w="8580" w:type="dxa"/>
          </w:tcPr>
          <w:p w:rsidR="002A21AE" w:rsidRPr="000921F1" w:rsidRDefault="002A21AE">
            <w:pPr>
              <w:pStyle w:val="TableText"/>
            </w:pPr>
            <w:r w:rsidRPr="000921F1">
              <w:rPr>
                <w:rFonts w:cs="Arial"/>
                <w:vanish/>
              </w:rPr>
              <w:t xml:space="preserve">BR_3.52 </w:t>
            </w:r>
            <w:r w:rsidRPr="000921F1">
              <w:t xml:space="preserve">VBECS warns the user when he selects type-specific </w:t>
            </w:r>
            <w:r w:rsidR="00EA44F9" w:rsidRPr="000921F1">
              <w:t>plasma products</w:t>
            </w:r>
            <w:r w:rsidRPr="000921F1">
              <w:t xml:space="preserve"> that do not require a specimen, according to the division configuration of component classes, for a patient with a history of justified ABO/Rh change.</w:t>
            </w:r>
          </w:p>
        </w:tc>
      </w:tr>
      <w:tr w:rsidR="002A21AE" w:rsidRPr="000921F1">
        <w:tc>
          <w:tcPr>
            <w:tcW w:w="780" w:type="dxa"/>
          </w:tcPr>
          <w:p w:rsidR="002A21AE" w:rsidRPr="000921F1" w:rsidRDefault="0024117A">
            <w:pPr>
              <w:pStyle w:val="TableText"/>
            </w:pPr>
            <w:r>
              <w:t>10</w:t>
            </w:r>
          </w:p>
        </w:tc>
        <w:tc>
          <w:tcPr>
            <w:tcW w:w="8580" w:type="dxa"/>
          </w:tcPr>
          <w:p w:rsidR="002A21AE" w:rsidRPr="000921F1" w:rsidRDefault="002A21AE">
            <w:pPr>
              <w:pStyle w:val="TableText"/>
            </w:pPr>
            <w:r w:rsidRPr="000921F1">
              <w:rPr>
                <w:rFonts w:cs="Arial"/>
                <w:vanish/>
              </w:rPr>
              <w:t xml:space="preserve">BR_3.49 </w:t>
            </w:r>
            <w:r w:rsidRPr="000921F1">
              <w:t>Once a valid XM interpretation is verified and the unit is compatible, VBECS does not allow a user to select that unit (ID and product code) for the same specimen. The user may select the unit for a XM with the same patient</w:t>
            </w:r>
            <w:r w:rsidR="00FA7E65" w:rsidRPr="000921F1">
              <w:t>’</w:t>
            </w:r>
            <w:r w:rsidRPr="000921F1">
              <w:t>s new specimen</w:t>
            </w:r>
            <w:r w:rsidR="00290EF8" w:rsidRPr="000921F1">
              <w:t xml:space="preserve"> after the unit is released from the current assignment</w:t>
            </w:r>
            <w:r w:rsidRPr="000921F1">
              <w:t>. VBECS warns that the unit has a valid current XM with this patient. The user clears the warning and may continue or enter a new unit number for selection.</w:t>
            </w:r>
          </w:p>
        </w:tc>
      </w:tr>
      <w:tr w:rsidR="002A21AE" w:rsidRPr="000921F1">
        <w:tc>
          <w:tcPr>
            <w:tcW w:w="780" w:type="dxa"/>
          </w:tcPr>
          <w:p w:rsidR="002A21AE" w:rsidRPr="000921F1" w:rsidRDefault="0024117A">
            <w:pPr>
              <w:pStyle w:val="TableText"/>
            </w:pPr>
            <w:r>
              <w:t>10</w:t>
            </w:r>
          </w:p>
        </w:tc>
        <w:tc>
          <w:tcPr>
            <w:tcW w:w="8580" w:type="dxa"/>
          </w:tcPr>
          <w:p w:rsidR="002A21AE" w:rsidRPr="000921F1" w:rsidRDefault="002A21AE">
            <w:pPr>
              <w:pStyle w:val="TableText"/>
            </w:pPr>
            <w:r w:rsidRPr="000921F1">
              <w:rPr>
                <w:rFonts w:cs="Arial"/>
                <w:vanish/>
              </w:rPr>
              <w:t xml:space="preserve">BR_3.28 </w:t>
            </w:r>
            <w:r w:rsidRPr="000921F1">
              <w:t>When a selected unit is currently assigned to another patient, VBECS warns the user and asks whether the user wishes to continue to select for this patient.</w:t>
            </w:r>
          </w:p>
          <w:p w:rsidR="002A21AE" w:rsidRPr="000921F1" w:rsidRDefault="002A21AE">
            <w:pPr>
              <w:pStyle w:val="TableText"/>
            </w:pPr>
          </w:p>
          <w:p w:rsidR="002A21AE" w:rsidRPr="000921F1" w:rsidRDefault="002A21AE">
            <w:pPr>
              <w:pStyle w:val="TableText"/>
            </w:pPr>
            <w:r w:rsidRPr="000921F1">
              <w:rPr>
                <w:b/>
                <w:bCs/>
              </w:rPr>
              <w:t>Yes</w:t>
            </w:r>
            <w:r w:rsidRPr="000921F1">
              <w:t xml:space="preserve"> allows the user to continue. </w:t>
            </w:r>
            <w:r w:rsidRPr="000921F1">
              <w:rPr>
                <w:b/>
                <w:bCs/>
              </w:rPr>
              <w:t>No</w:t>
            </w:r>
            <w:r w:rsidRPr="000921F1">
              <w:t xml:space="preserve"> clears the screen and allows the user to select a new unit.</w:t>
            </w:r>
          </w:p>
        </w:tc>
      </w:tr>
      <w:tr w:rsidR="002A21AE" w:rsidRPr="000921F1">
        <w:tc>
          <w:tcPr>
            <w:tcW w:w="780" w:type="dxa"/>
          </w:tcPr>
          <w:p w:rsidR="002A21AE" w:rsidRPr="000921F1" w:rsidRDefault="0024117A">
            <w:pPr>
              <w:pStyle w:val="TableText"/>
            </w:pPr>
            <w:r>
              <w:t>10</w:t>
            </w:r>
          </w:p>
        </w:tc>
        <w:tc>
          <w:tcPr>
            <w:tcW w:w="8580" w:type="dxa"/>
          </w:tcPr>
          <w:p w:rsidR="002A21AE" w:rsidRPr="000921F1" w:rsidRDefault="002A21AE">
            <w:pPr>
              <w:pStyle w:val="TableText"/>
            </w:pPr>
            <w:r w:rsidRPr="000921F1">
              <w:rPr>
                <w:rFonts w:cs="Arial"/>
                <w:vanish/>
              </w:rPr>
              <w:t xml:space="preserve">BR_3.19 </w:t>
            </w:r>
            <w:r w:rsidRPr="000921F1">
              <w:t xml:space="preserve">When a user </w:t>
            </w:r>
            <w:r w:rsidR="0073125C" w:rsidRPr="000921F1">
              <w:t xml:space="preserve">is a Technologist and </w:t>
            </w:r>
            <w:r w:rsidR="00602A93" w:rsidRPr="000921F1">
              <w:t>selects</w:t>
            </w:r>
            <w:r w:rsidRPr="000921F1">
              <w:t xml:space="preserve"> an expired unit, VBECS warns him. There is no override. </w:t>
            </w:r>
          </w:p>
          <w:p w:rsidR="002A21AE" w:rsidRPr="000921F1" w:rsidRDefault="002A21AE">
            <w:pPr>
              <w:pStyle w:val="TableText"/>
            </w:pPr>
          </w:p>
          <w:p w:rsidR="002A21AE" w:rsidRPr="000921F1" w:rsidRDefault="002A21AE">
            <w:pPr>
              <w:pStyle w:val="TableText"/>
            </w:pPr>
            <w:r w:rsidRPr="000921F1">
              <w:rPr>
                <w:rFonts w:ascii="Wingdings 3" w:hAnsi="Wingdings 3" w:cs="Wingdings"/>
              </w:rPr>
              <w:t></w:t>
            </w:r>
            <w:r w:rsidRPr="000921F1">
              <w:rPr>
                <w:rFonts w:ascii="Wingdings 3" w:hAnsi="Wingdings 3" w:cs="Wingdings"/>
              </w:rPr>
              <w:t></w:t>
            </w:r>
            <w:r w:rsidRPr="000921F1">
              <w:t xml:space="preserve"> When the user is an Enhanced Technologist or above, VBECS warns that the unit is expired and asks whether the user wishes to continue to select.</w:t>
            </w:r>
          </w:p>
          <w:p w:rsidR="002A21AE" w:rsidRPr="000921F1" w:rsidRDefault="002A21AE">
            <w:pPr>
              <w:pStyle w:val="TableText"/>
            </w:pPr>
          </w:p>
          <w:p w:rsidR="002A21AE" w:rsidRPr="000921F1" w:rsidRDefault="002A21AE">
            <w:pPr>
              <w:pStyle w:val="TableText"/>
            </w:pPr>
            <w:r w:rsidRPr="000921F1">
              <w:rPr>
                <w:b/>
                <w:bCs/>
              </w:rPr>
              <w:t>No</w:t>
            </w:r>
            <w:r w:rsidRPr="000921F1">
              <w:t xml:space="preserve"> clears the screen. </w:t>
            </w:r>
            <w:r w:rsidRPr="000921F1">
              <w:rPr>
                <w:b/>
                <w:bCs/>
              </w:rPr>
              <w:t>Yes</w:t>
            </w:r>
            <w:r w:rsidRPr="000921F1">
              <w:t xml:space="preserve"> requires a comment and captures details for inclusion in an Exception Report (exception type: expired unit selected).</w:t>
            </w:r>
          </w:p>
        </w:tc>
      </w:tr>
      <w:tr w:rsidR="008852A5" w:rsidRPr="000921F1">
        <w:tc>
          <w:tcPr>
            <w:tcW w:w="780" w:type="dxa"/>
          </w:tcPr>
          <w:p w:rsidR="008852A5" w:rsidRPr="000921F1" w:rsidRDefault="0024117A" w:rsidP="00FF6514">
            <w:pPr>
              <w:pStyle w:val="TableText"/>
            </w:pPr>
            <w:r>
              <w:t>10</w:t>
            </w:r>
          </w:p>
        </w:tc>
        <w:tc>
          <w:tcPr>
            <w:tcW w:w="8580" w:type="dxa"/>
          </w:tcPr>
          <w:p w:rsidR="008852A5" w:rsidRPr="000921F1" w:rsidRDefault="008852A5" w:rsidP="008852A5">
            <w:pPr>
              <w:pStyle w:val="TableTextBullet"/>
              <w:numPr>
                <w:ilvl w:val="0"/>
                <w:numId w:val="0"/>
              </w:numPr>
            </w:pPr>
            <w:r w:rsidRPr="000921F1">
              <w:rPr>
                <w:rFonts w:cs="Arial"/>
                <w:vanish/>
              </w:rPr>
              <w:t xml:space="preserve">BR_3.13 </w:t>
            </w:r>
            <w:r w:rsidRPr="000921F1">
              <w:t>When a unit is selected for a patient</w:t>
            </w:r>
            <w:r w:rsidRPr="000921F1">
              <w:rPr>
                <w:szCs w:val="18"/>
              </w:rPr>
              <w:t xml:space="preserve">, VBECS displays a tool tip stating that the unit may not be selected or removed. </w:t>
            </w:r>
          </w:p>
        </w:tc>
      </w:tr>
      <w:tr w:rsidR="002A21AE" w:rsidRPr="000921F1">
        <w:tc>
          <w:tcPr>
            <w:tcW w:w="780" w:type="dxa"/>
          </w:tcPr>
          <w:p w:rsidR="002A21AE" w:rsidRPr="000921F1" w:rsidRDefault="0024117A">
            <w:pPr>
              <w:pStyle w:val="TableText"/>
            </w:pPr>
            <w:r>
              <w:t>10</w:t>
            </w:r>
          </w:p>
        </w:tc>
        <w:tc>
          <w:tcPr>
            <w:tcW w:w="8580" w:type="dxa"/>
          </w:tcPr>
          <w:p w:rsidR="002A21AE" w:rsidRPr="000921F1" w:rsidRDefault="002A21AE">
            <w:pPr>
              <w:pStyle w:val="TableText"/>
              <w:rPr>
                <w:rStyle w:val="StyleTableTextBlackChar"/>
                <w:color w:val="auto"/>
              </w:rPr>
            </w:pPr>
            <w:r w:rsidRPr="000921F1">
              <w:t>When the user selects a</w:t>
            </w:r>
            <w:r w:rsidRPr="000921F1">
              <w:rPr>
                <w:rStyle w:val="StyleTableTextBlackChar"/>
                <w:color w:val="auto"/>
              </w:rPr>
              <w:t xml:space="preserve"> unit and these conditions exist, VBECS </w:t>
            </w:r>
            <w:r w:rsidR="008852A5" w:rsidRPr="000921F1">
              <w:rPr>
                <w:rStyle w:val="StyleTableTextBlackChar"/>
                <w:color w:val="auto"/>
              </w:rPr>
              <w:t>warns the user.</w:t>
            </w:r>
            <w:r w:rsidRPr="000921F1">
              <w:rPr>
                <w:rStyle w:val="StyleTableTextBlackChar"/>
                <w:color w:val="auto"/>
              </w:rPr>
              <w:t xml:space="preserve"> There is no override</w:t>
            </w:r>
            <w:r w:rsidRPr="000921F1">
              <w:t>. VBECS clears the screen and the user may select another unit</w:t>
            </w:r>
            <w:r w:rsidRPr="000921F1">
              <w:rPr>
                <w:rStyle w:val="StyleTableTextBlackChar"/>
                <w:color w:val="auto"/>
              </w:rPr>
              <w:t>:</w:t>
            </w:r>
          </w:p>
          <w:p w:rsidR="002A21AE" w:rsidRPr="000921F1" w:rsidRDefault="002A21AE">
            <w:pPr>
              <w:pStyle w:val="TableTextBullet"/>
            </w:pPr>
            <w:r w:rsidRPr="000921F1">
              <w:t>For XM for the same patient, VBECS warns that the unit was already selected for the patient.</w:t>
            </w:r>
          </w:p>
          <w:p w:rsidR="002A21AE" w:rsidRPr="000921F1" w:rsidRDefault="002A21AE">
            <w:pPr>
              <w:pStyle w:val="TableTextBullet"/>
            </w:pPr>
            <w:r w:rsidRPr="000921F1">
              <w:rPr>
                <w:rFonts w:cs="Arial"/>
                <w:vanish/>
              </w:rPr>
              <w:t xml:space="preserve">BR_3.33 </w:t>
            </w:r>
            <w:r w:rsidRPr="000921F1">
              <w:t>That is not substitutable for the order, VBECS warns that the selected unit is not valid for order.</w:t>
            </w:r>
          </w:p>
          <w:p w:rsidR="002A21AE" w:rsidRPr="000921F1" w:rsidRDefault="002A21AE">
            <w:pPr>
              <w:pStyle w:val="TableTextBullet"/>
            </w:pPr>
            <w:r w:rsidRPr="000921F1">
              <w:rPr>
                <w:rFonts w:cs="Arial"/>
                <w:vanish/>
              </w:rPr>
              <w:t xml:space="preserve">BR_3.43 </w:t>
            </w:r>
            <w:r w:rsidRPr="000921F1">
              <w:t>That is quarantined, VBECS warns that the unit is quarantined and may not be selected.</w:t>
            </w:r>
          </w:p>
          <w:p w:rsidR="002A21AE" w:rsidRPr="000921F1" w:rsidRDefault="002A21AE">
            <w:pPr>
              <w:pStyle w:val="TableTextBullet"/>
            </w:pPr>
            <w:r w:rsidRPr="000921F1">
              <w:rPr>
                <w:rFonts w:cs="Arial"/>
                <w:vanish/>
              </w:rPr>
              <w:t xml:space="preserve">BR_3.45 </w:t>
            </w:r>
            <w:r w:rsidRPr="000921F1">
              <w:t>That is on a pending outgoing shipment list, VBECS warns that the unit is currently included on a pending outgoing shipment invoice and must be removed from the shipment invoice before it can be selected.</w:t>
            </w:r>
          </w:p>
          <w:p w:rsidR="002A21AE" w:rsidRPr="000921F1" w:rsidRDefault="002A21AE">
            <w:pPr>
              <w:pStyle w:val="TableTextBullet"/>
            </w:pPr>
            <w:r w:rsidRPr="000921F1">
              <w:rPr>
                <w:rFonts w:cs="Arial"/>
                <w:vanish/>
              </w:rPr>
              <w:t xml:space="preserve">BR_3.44 </w:t>
            </w:r>
            <w:r w:rsidRPr="000921F1">
              <w:t>That is not in the blood bank or is issued to another patient, VBECS warns that the unit is not in the blood bank and may not be selected.</w:t>
            </w:r>
          </w:p>
          <w:p w:rsidR="002A21AE" w:rsidRPr="000921F1" w:rsidRDefault="002A21AE">
            <w:pPr>
              <w:pStyle w:val="TableTextBullet"/>
            </w:pPr>
            <w:r w:rsidRPr="000921F1">
              <w:rPr>
                <w:rFonts w:cs="Arial"/>
                <w:vanish/>
              </w:rPr>
              <w:t xml:space="preserve">BR_3.46 </w:t>
            </w:r>
            <w:r w:rsidRPr="000921F1">
              <w:t>That is restricted for a different patient, VBECS warns that the unit is restricted for a different patient and may not be selected.</w:t>
            </w:r>
          </w:p>
          <w:p w:rsidR="002A21AE" w:rsidRPr="000921F1" w:rsidRDefault="002C0830">
            <w:pPr>
              <w:pStyle w:val="TableTextBullet"/>
            </w:pPr>
            <w:r w:rsidRPr="000921F1">
              <w:rPr>
                <w:vanish/>
                <w:szCs w:val="18"/>
              </w:rPr>
              <w:t xml:space="preserve">BR_3.16 </w:t>
            </w:r>
            <w:r w:rsidRPr="000921F1">
              <w:t>T</w:t>
            </w:r>
            <w:r w:rsidR="002A21AE" w:rsidRPr="000921F1">
              <w:t>he confirmation is not performed or is incomplete, VBECS emits an audible alert and warns that the unit ABO/Rh confirmation was not performed or is incomplete and that the unit may not be selected.</w:t>
            </w:r>
          </w:p>
        </w:tc>
      </w:tr>
      <w:tr w:rsidR="002A21AE" w:rsidRPr="000921F1">
        <w:tc>
          <w:tcPr>
            <w:tcW w:w="780" w:type="dxa"/>
          </w:tcPr>
          <w:p w:rsidR="002A21AE" w:rsidRPr="000921F1" w:rsidRDefault="0024117A">
            <w:pPr>
              <w:pStyle w:val="TableText"/>
            </w:pPr>
            <w:r>
              <w:t>10</w:t>
            </w:r>
          </w:p>
        </w:tc>
        <w:tc>
          <w:tcPr>
            <w:tcW w:w="8580" w:type="dxa"/>
          </w:tcPr>
          <w:p w:rsidR="002A21AE" w:rsidRPr="000921F1" w:rsidRDefault="002A21AE">
            <w:pPr>
              <w:pStyle w:val="TableText"/>
            </w:pPr>
            <w:r w:rsidRPr="000921F1">
              <w:rPr>
                <w:rFonts w:cs="Arial"/>
                <w:vanish/>
              </w:rPr>
              <w:t xml:space="preserve">BR_3.23 </w:t>
            </w:r>
            <w:r w:rsidRPr="000921F1">
              <w:t xml:space="preserve">When the selected unit had an incompatible crossmatch result with the current patient in the past, VBECS warns the user. </w:t>
            </w:r>
            <w:r w:rsidR="00141E2B" w:rsidRPr="000921F1">
              <w:t>The user may continue with this unit and proceed with electronic or serologic crossmatch testing.</w:t>
            </w:r>
          </w:p>
        </w:tc>
      </w:tr>
      <w:tr w:rsidR="002A21AE" w:rsidRPr="000921F1">
        <w:tc>
          <w:tcPr>
            <w:tcW w:w="780" w:type="dxa"/>
          </w:tcPr>
          <w:p w:rsidR="002A21AE" w:rsidRPr="000921F1" w:rsidRDefault="0024117A">
            <w:pPr>
              <w:pStyle w:val="TableText"/>
            </w:pPr>
            <w:r>
              <w:t>10</w:t>
            </w:r>
          </w:p>
        </w:tc>
        <w:tc>
          <w:tcPr>
            <w:tcW w:w="8580" w:type="dxa"/>
          </w:tcPr>
          <w:p w:rsidR="002A21AE" w:rsidRPr="000921F1" w:rsidRDefault="002A21AE">
            <w:pPr>
              <w:pStyle w:val="TableText"/>
            </w:pPr>
            <w:r w:rsidRPr="000921F1">
              <w:rPr>
                <w:rFonts w:cs="Arial"/>
                <w:vanish/>
              </w:rPr>
              <w:t xml:space="preserve">BR_3.06 </w:t>
            </w:r>
            <w:r w:rsidRPr="000921F1">
              <w:t>When the user selects an antigen positive (or inconclusive for testing) unit and the patient has the corresponding antigen negative requirement, VBECS warns the user and requires action determined by the user’s security level.</w:t>
            </w:r>
          </w:p>
        </w:tc>
      </w:tr>
      <w:tr w:rsidR="002A21AE" w:rsidRPr="000921F1">
        <w:tc>
          <w:tcPr>
            <w:tcW w:w="780" w:type="dxa"/>
          </w:tcPr>
          <w:p w:rsidR="002A21AE" w:rsidRPr="000921F1" w:rsidRDefault="0024117A">
            <w:pPr>
              <w:pStyle w:val="TableText"/>
            </w:pPr>
            <w:r>
              <w:lastRenderedPageBreak/>
              <w:t>10</w:t>
            </w:r>
          </w:p>
        </w:tc>
        <w:tc>
          <w:tcPr>
            <w:tcW w:w="8580" w:type="dxa"/>
          </w:tcPr>
          <w:p w:rsidR="002A21AE" w:rsidRPr="000921F1" w:rsidRDefault="002A21AE">
            <w:pPr>
              <w:pStyle w:val="TableText"/>
            </w:pPr>
            <w:r w:rsidRPr="000921F1">
              <w:t xml:space="preserve"> </w:t>
            </w:r>
            <w:r w:rsidRPr="000921F1">
              <w:rPr>
                <w:rFonts w:ascii="Wingdings 3" w:hAnsi="Wingdings 3" w:cs="Wingdings"/>
              </w:rPr>
              <w:t></w:t>
            </w:r>
            <w:r w:rsidRPr="000921F1">
              <w:rPr>
                <w:rFonts w:ascii="Wingdings 3" w:hAnsi="Wingdings 3" w:cs="Wingdings"/>
              </w:rPr>
              <w:t></w:t>
            </w:r>
            <w:r w:rsidRPr="000921F1">
              <w:t xml:space="preserve"> When the user is an Enhanced Technologist or below</w:t>
            </w:r>
            <w:r w:rsidRPr="000921F1">
              <w:rPr>
                <w:b/>
              </w:rPr>
              <w:t xml:space="preserve">, </w:t>
            </w:r>
            <w:r w:rsidRPr="000921F1">
              <w:t xml:space="preserve">VBECS emits an audible alert and warns that the patient has a history of an antibody, that the unit does not have a negative test for the corresponding antigen, and that the user </w:t>
            </w:r>
            <w:r w:rsidR="00082F78" w:rsidRPr="000921F1">
              <w:t>does not have the proper security level</w:t>
            </w:r>
            <w:r w:rsidRPr="000921F1">
              <w:t xml:space="preserve"> to select the unit. There is no override.</w:t>
            </w:r>
          </w:p>
        </w:tc>
      </w:tr>
      <w:tr w:rsidR="002A21AE" w:rsidRPr="000921F1">
        <w:tc>
          <w:tcPr>
            <w:tcW w:w="780" w:type="dxa"/>
          </w:tcPr>
          <w:p w:rsidR="002A21AE" w:rsidRPr="000921F1" w:rsidRDefault="0024117A">
            <w:pPr>
              <w:pStyle w:val="TableText"/>
            </w:pPr>
            <w:r>
              <w:t>10</w:t>
            </w:r>
          </w:p>
        </w:tc>
        <w:tc>
          <w:tcPr>
            <w:tcW w:w="8580" w:type="dxa"/>
          </w:tcPr>
          <w:p w:rsidR="002A21AE" w:rsidRPr="000921F1" w:rsidRDefault="002A21AE">
            <w:pPr>
              <w:pStyle w:val="TableText"/>
            </w:pPr>
            <w:r w:rsidRPr="000921F1">
              <w:t xml:space="preserve"> </w:t>
            </w:r>
            <w:r w:rsidRPr="000921F1">
              <w:rPr>
                <w:rFonts w:ascii="Wingdings 3" w:hAnsi="Wingdings 3" w:cs="Wingdings"/>
              </w:rPr>
              <w:t></w:t>
            </w:r>
            <w:r w:rsidRPr="000921F1">
              <w:rPr>
                <w:rFonts w:ascii="Wingdings 3" w:hAnsi="Wingdings 3" w:cs="Wingdings"/>
              </w:rPr>
              <w:t></w:t>
            </w:r>
            <w:r w:rsidRPr="000921F1">
              <w:rPr>
                <w:rFonts w:ascii="Wingdings 3" w:hAnsi="Wingdings 3" w:cs="Wingdings"/>
              </w:rPr>
              <w:t></w:t>
            </w:r>
            <w:r w:rsidRPr="000921F1">
              <w:t xml:space="preserve"> When the user is a Lead Technologist or above, VBECS emits an audible alert, warns that the patient has a history of an antibody and that the unit is positive or inconclusive for the corresponding antigen, and asks whether the user wishes to continue to select the unit. </w:t>
            </w:r>
          </w:p>
          <w:p w:rsidR="002A21AE" w:rsidRPr="000921F1" w:rsidRDefault="002A21AE">
            <w:pPr>
              <w:pStyle w:val="TableText"/>
            </w:pPr>
          </w:p>
          <w:p w:rsidR="002A21AE" w:rsidRPr="000921F1" w:rsidRDefault="002A21AE">
            <w:pPr>
              <w:pStyle w:val="TableText"/>
            </w:pPr>
            <w:r w:rsidRPr="000921F1">
              <w:rPr>
                <w:b/>
              </w:rPr>
              <w:t>No</w:t>
            </w:r>
            <w:r w:rsidRPr="000921F1">
              <w:t xml:space="preserve"> allows the user to continue to select units for the patient. </w:t>
            </w:r>
            <w:r w:rsidRPr="000921F1">
              <w:rPr>
                <w:b/>
                <w:bCs/>
              </w:rPr>
              <w:t>Yes</w:t>
            </w:r>
            <w:r w:rsidRPr="000921F1">
              <w:t xml:space="preserve"> requires a comment and captures details for inclusion in an Exception Report (exception type</w:t>
            </w:r>
            <w:r w:rsidRPr="000921F1">
              <w:rPr>
                <w:rStyle w:val="StyleTableTextBlackChar"/>
                <w:color w:val="auto"/>
              </w:rPr>
              <w:t>: antigen positive units selected).</w:t>
            </w:r>
          </w:p>
        </w:tc>
      </w:tr>
      <w:tr w:rsidR="002A21AE" w:rsidRPr="000921F1">
        <w:tc>
          <w:tcPr>
            <w:tcW w:w="780" w:type="dxa"/>
          </w:tcPr>
          <w:p w:rsidR="002A21AE" w:rsidRPr="000921F1" w:rsidRDefault="0024117A">
            <w:pPr>
              <w:pStyle w:val="TableText"/>
            </w:pPr>
            <w:r>
              <w:t>10</w:t>
            </w:r>
          </w:p>
        </w:tc>
        <w:tc>
          <w:tcPr>
            <w:tcW w:w="8580" w:type="dxa"/>
          </w:tcPr>
          <w:p w:rsidR="002A21AE" w:rsidRPr="000921F1" w:rsidRDefault="002A21AE">
            <w:pPr>
              <w:pStyle w:val="TableText"/>
            </w:pPr>
            <w:r w:rsidRPr="000921F1">
              <w:rPr>
                <w:rFonts w:cs="Arial"/>
                <w:vanish/>
              </w:rPr>
              <w:t xml:space="preserve">BR_3.15 </w:t>
            </w:r>
            <w:r w:rsidRPr="000921F1">
              <w:t>When a unit was not antigen typed for the corresponding antigen, VBECS emits an audible alert, warns that the unit must be typed and found negative to be available for this patient, and asks whether the user wishes to continue to select this unit. The user may continue to select units for the patient.</w:t>
            </w:r>
          </w:p>
          <w:p w:rsidR="002A21AE" w:rsidRPr="000921F1" w:rsidRDefault="002A21AE">
            <w:pPr>
              <w:pStyle w:val="TableText"/>
            </w:pPr>
          </w:p>
          <w:p w:rsidR="002A21AE" w:rsidRPr="000921F1" w:rsidRDefault="002A21AE">
            <w:pPr>
              <w:pStyle w:val="TableText"/>
              <w:rPr>
                <w:rStyle w:val="StyleTableTextBlackChar"/>
                <w:color w:val="auto"/>
              </w:rPr>
            </w:pPr>
            <w:r w:rsidRPr="000921F1">
              <w:rPr>
                <w:b/>
                <w:bCs/>
              </w:rPr>
              <w:t>Yes</w:t>
            </w:r>
            <w:r w:rsidRPr="000921F1">
              <w:t xml:space="preserve"> requires a comment and captures details for inclusion in an Exception Report (exception type</w:t>
            </w:r>
            <w:r w:rsidRPr="000921F1">
              <w:rPr>
                <w:rStyle w:val="StyleTableTextBlackChar"/>
                <w:color w:val="auto"/>
              </w:rPr>
              <w:t>: antigen positive units selected).</w:t>
            </w:r>
          </w:p>
          <w:p w:rsidR="002A21AE" w:rsidRPr="000921F1" w:rsidRDefault="002A21AE">
            <w:pPr>
              <w:pStyle w:val="TableText"/>
            </w:pPr>
          </w:p>
          <w:p w:rsidR="002A21AE" w:rsidRPr="000921F1" w:rsidRDefault="002A21AE">
            <w:pPr>
              <w:pStyle w:val="TableText"/>
              <w:rPr>
                <w:szCs w:val="18"/>
              </w:rPr>
            </w:pPr>
            <w:r w:rsidRPr="000921F1">
              <w:t xml:space="preserve">See </w:t>
            </w:r>
            <w:r w:rsidR="00543DAF" w:rsidRPr="000921F1">
              <w:fldChar w:fldCharType="begin"/>
            </w:r>
            <w:r w:rsidR="00543DAF" w:rsidRPr="000921F1">
              <w:instrText xml:space="preserve"> REF _Ref170004931 \h </w:instrText>
            </w:r>
            <w:r w:rsidR="000921F1">
              <w:instrText xml:space="preserve"> \* MERGEFORMAT </w:instrText>
            </w:r>
            <w:r w:rsidR="00543DAF" w:rsidRPr="000921F1">
              <w:fldChar w:fldCharType="separate"/>
            </w:r>
            <w:r w:rsidR="005F38BC">
              <w:t xml:space="preserve">Appendix </w:t>
            </w:r>
            <w:r w:rsidR="005F38BC">
              <w:rPr>
                <w:noProof/>
              </w:rPr>
              <w:t>B</w:t>
            </w:r>
            <w:r w:rsidR="00543DAF" w:rsidRPr="000921F1">
              <w:fldChar w:fldCharType="end"/>
            </w:r>
            <w:r w:rsidRPr="000921F1">
              <w:t xml:space="preserve">: </w:t>
            </w:r>
            <w:r w:rsidR="00590097" w:rsidRPr="000921F1">
              <w:fldChar w:fldCharType="begin"/>
            </w:r>
            <w:r w:rsidR="00590097" w:rsidRPr="000921F1">
              <w:instrText xml:space="preserve"> REF _Ref126484449 \h </w:instrText>
            </w:r>
            <w:r w:rsidR="000921F1">
              <w:instrText xml:space="preserve"> \* MERGEFORMAT </w:instrText>
            </w:r>
            <w:r w:rsidR="00590097" w:rsidRPr="000921F1">
              <w:fldChar w:fldCharType="separate"/>
            </w:r>
            <w:r w:rsidR="005F38BC">
              <w:t xml:space="preserve">Table </w:t>
            </w:r>
            <w:r w:rsidR="005F38BC">
              <w:rPr>
                <w:noProof/>
              </w:rPr>
              <w:t>14:</w:t>
            </w:r>
            <w:r w:rsidR="005F38BC">
              <w:t xml:space="preserve"> </w:t>
            </w:r>
            <w:r w:rsidR="005F38BC">
              <w:rPr>
                <w:vanish/>
              </w:rPr>
              <w:t xml:space="preserve">TT_23.01A </w:t>
            </w:r>
            <w:r w:rsidR="005F38BC">
              <w:t>Antibody and Antigen Table: Irregular Antibodies</w:t>
            </w:r>
            <w:r w:rsidR="00590097" w:rsidRPr="000921F1">
              <w:fldChar w:fldCharType="end"/>
            </w:r>
            <w:r w:rsidRPr="000921F1">
              <w:t>.</w:t>
            </w:r>
          </w:p>
        </w:tc>
      </w:tr>
      <w:tr w:rsidR="002A21AE" w:rsidRPr="000921F1">
        <w:tc>
          <w:tcPr>
            <w:tcW w:w="780" w:type="dxa"/>
          </w:tcPr>
          <w:p w:rsidR="002A21AE" w:rsidRPr="000921F1" w:rsidRDefault="0024117A">
            <w:pPr>
              <w:pStyle w:val="TableText"/>
            </w:pPr>
            <w:r>
              <w:t>10</w:t>
            </w:r>
          </w:p>
        </w:tc>
        <w:tc>
          <w:tcPr>
            <w:tcW w:w="8580" w:type="dxa"/>
          </w:tcPr>
          <w:p w:rsidR="003B1AEA" w:rsidRPr="00772260" w:rsidRDefault="003B1AEA" w:rsidP="003B1AEA">
            <w:pPr>
              <w:pStyle w:val="TableText"/>
              <w:rPr>
                <w:rFonts w:cs="Arial"/>
                <w:szCs w:val="18"/>
              </w:rPr>
            </w:pPr>
            <w:r w:rsidRPr="00772260">
              <w:rPr>
                <w:rFonts w:cs="Arial"/>
                <w:vanish/>
                <w:szCs w:val="18"/>
              </w:rPr>
              <w:t xml:space="preserve">BR_3.08 </w:t>
            </w:r>
            <w:r w:rsidRPr="00772260">
              <w:rPr>
                <w:rFonts w:cs="Arial"/>
                <w:szCs w:val="18"/>
              </w:rPr>
              <w:t xml:space="preserve">When an Rh negative patient has an active anti-D antibody </w:t>
            </w:r>
            <w:r w:rsidRPr="003B1AEA">
              <w:rPr>
                <w:rFonts w:cs="Arial"/>
                <w:szCs w:val="18"/>
              </w:rPr>
              <w:t>or a D antigen negative requirement set in Special Instructions and Transfusion Requirements,</w:t>
            </w:r>
            <w:r w:rsidRPr="00772260">
              <w:rPr>
                <w:rFonts w:cs="Arial"/>
                <w:szCs w:val="18"/>
              </w:rPr>
              <w:t xml:space="preserve"> VBECS verifies the presence or absence of the corresponding antigen based on the ABO/Rh of the selected blood unit. When a user selects an Rh positive blood unit for a patient with anti-D, VBECS warns the user and requires action based on the user’s security level.</w:t>
            </w:r>
          </w:p>
          <w:p w:rsidR="002A21AE" w:rsidRPr="000921F1" w:rsidRDefault="002A21AE">
            <w:pPr>
              <w:pStyle w:val="TableText"/>
            </w:pPr>
          </w:p>
          <w:p w:rsidR="002A21AE" w:rsidRPr="000921F1" w:rsidRDefault="002A21AE">
            <w:pPr>
              <w:pStyle w:val="TableText"/>
            </w:pPr>
            <w:r w:rsidRPr="000921F1">
              <w:t>The antigen negative requirement for anti-</w:t>
            </w:r>
            <w:r w:rsidR="003B1AEA">
              <w:t>D is D, not AGwD. AGwD is</w:t>
            </w:r>
            <w:r w:rsidRPr="000921F1">
              <w:t xml:space="preserve"> not </w:t>
            </w:r>
            <w:r w:rsidR="003B1AEA">
              <w:t xml:space="preserve">a </w:t>
            </w:r>
            <w:r w:rsidRPr="000921F1">
              <w:t>selectab</w:t>
            </w:r>
            <w:r w:rsidR="003B1AEA">
              <w:t>le antigen negative requirement</w:t>
            </w:r>
            <w:r w:rsidRPr="000921F1">
              <w:t xml:space="preserve"> in Special Instructions &amp; Transfusion Requirements: </w:t>
            </w:r>
            <w:r w:rsidR="003B1AEA">
              <w:t>Antigen Negative RBCs.</w:t>
            </w:r>
            <w:r w:rsidRPr="000921F1">
              <w:t xml:space="preserve"> </w:t>
            </w:r>
          </w:p>
        </w:tc>
      </w:tr>
      <w:tr w:rsidR="002A21AE" w:rsidRPr="000921F1">
        <w:tc>
          <w:tcPr>
            <w:tcW w:w="780" w:type="dxa"/>
          </w:tcPr>
          <w:p w:rsidR="002A21AE" w:rsidRPr="000921F1" w:rsidRDefault="0024117A">
            <w:pPr>
              <w:pStyle w:val="TableText"/>
            </w:pPr>
            <w:r>
              <w:t>10</w:t>
            </w:r>
          </w:p>
        </w:tc>
        <w:tc>
          <w:tcPr>
            <w:tcW w:w="8580" w:type="dxa"/>
          </w:tcPr>
          <w:p w:rsidR="002A21AE" w:rsidRPr="000921F1" w:rsidRDefault="002A21AE">
            <w:pPr>
              <w:pStyle w:val="TableText"/>
            </w:pPr>
            <w:r w:rsidRPr="00DE022E">
              <w:rPr>
                <w:rFonts w:cs="Arial"/>
                <w:vanish/>
              </w:rPr>
              <w:t xml:space="preserve">BR_3.21 </w:t>
            </w:r>
            <w:r w:rsidRPr="00DE022E">
              <w:t>For an Rh negative, u</w:t>
            </w:r>
            <w:r w:rsidR="004F3E1E" w:rsidRPr="00DE022E">
              <w:t>nknown, or inconclusive patient: when</w:t>
            </w:r>
            <w:r w:rsidRPr="00DE022E">
              <w:t xml:space="preserve"> the selection of </w:t>
            </w:r>
            <w:r w:rsidR="000826CF" w:rsidRPr="00DE022E">
              <w:t xml:space="preserve">Rh positive </w:t>
            </w:r>
            <w:r w:rsidR="004F3E1E" w:rsidRPr="00DE022E">
              <w:t xml:space="preserve">or Rh pooled </w:t>
            </w:r>
            <w:r w:rsidR="000826CF" w:rsidRPr="00DE022E">
              <w:t>units from the WHOLE BLOOD, RED BLOOD CELLS, PLATELETS, and OTHER VBECS compo</w:t>
            </w:r>
            <w:r w:rsidR="003B1AEA">
              <w:t>nent classes</w:t>
            </w:r>
            <w:r w:rsidR="004F3E1E" w:rsidRPr="00DE022E">
              <w:t xml:space="preserve"> are individually entered and confi</w:t>
            </w:r>
            <w:r w:rsidR="003B1AEA">
              <w:t>r</w:t>
            </w:r>
            <w:r w:rsidR="004F3E1E" w:rsidRPr="00DE022E">
              <w:t xml:space="preserve">med </w:t>
            </w:r>
            <w:r w:rsidR="003B1AEA">
              <w:t>as required</w:t>
            </w:r>
            <w:r w:rsidRPr="00DE022E">
              <w:t xml:space="preserve">, VBECS emits an audible alert, warns that the patient is Rh negative and the selected unit is Rh positive, instructs the user to check the patient sex and hospital policy before continuing, and asks whether the user wishes </w:t>
            </w:r>
            <w:r w:rsidR="00CE47BA" w:rsidRPr="00DE022E">
              <w:t>to continue to select the unit.</w:t>
            </w:r>
          </w:p>
          <w:p w:rsidR="002A21AE" w:rsidRPr="000921F1" w:rsidRDefault="002A21AE">
            <w:pPr>
              <w:pStyle w:val="TableText"/>
            </w:pPr>
          </w:p>
          <w:p w:rsidR="002A21AE" w:rsidRPr="000921F1" w:rsidRDefault="003B1AEA">
            <w:pPr>
              <w:pStyle w:val="TableText"/>
            </w:pPr>
            <w:r w:rsidRPr="000921F1">
              <w:rPr>
                <w:b/>
              </w:rPr>
              <w:t>No</w:t>
            </w:r>
            <w:r w:rsidRPr="000921F1">
              <w:t xml:space="preserve"> clears the unit data and allows the user to select a different unit. </w:t>
            </w:r>
            <w:r w:rsidRPr="000921F1">
              <w:rPr>
                <w:b/>
              </w:rPr>
              <w:t>Yes</w:t>
            </w:r>
            <w:r w:rsidRPr="000921F1">
              <w:t xml:space="preserve"> requires additional comment </w:t>
            </w:r>
            <w:r w:rsidRPr="003B1AEA">
              <w:t>(unit selection canned comment context)</w:t>
            </w:r>
            <w:r>
              <w:t xml:space="preserve"> </w:t>
            </w:r>
            <w:r w:rsidRPr="000921F1">
              <w:t>and captures details for inclusion in an Exception Report (exception type: Rh positive units selected).</w:t>
            </w:r>
          </w:p>
        </w:tc>
      </w:tr>
      <w:tr w:rsidR="002A21AE" w:rsidRPr="000921F1">
        <w:tc>
          <w:tcPr>
            <w:tcW w:w="780" w:type="dxa"/>
          </w:tcPr>
          <w:p w:rsidR="002A21AE" w:rsidRPr="000921F1" w:rsidRDefault="0024117A">
            <w:pPr>
              <w:pStyle w:val="TableText"/>
            </w:pPr>
            <w:r>
              <w:t>10</w:t>
            </w:r>
          </w:p>
        </w:tc>
        <w:tc>
          <w:tcPr>
            <w:tcW w:w="8580" w:type="dxa"/>
          </w:tcPr>
          <w:p w:rsidR="002A21AE" w:rsidRPr="000921F1" w:rsidRDefault="002A21AE">
            <w:pPr>
              <w:pStyle w:val="TableText"/>
            </w:pPr>
            <w:r w:rsidRPr="000921F1">
              <w:rPr>
                <w:rFonts w:cs="Arial"/>
                <w:vanish/>
              </w:rPr>
              <w:t xml:space="preserve">BR_3.09 </w:t>
            </w:r>
            <w:r w:rsidRPr="000921F1">
              <w:t xml:space="preserve">When a user selects blood units to fill an OTHER component order, VBECS allows him to order an optional XM. When the user requests an optional XM order, he must specify a specimen UID to associate with the XM. When the selection process is complete and eXM is enabled at the site or added to the serologic XM data grid, VBECS evaluates the units for eXM. See </w:t>
            </w:r>
            <w:r w:rsidR="00543DAF" w:rsidRPr="000921F1">
              <w:fldChar w:fldCharType="begin"/>
            </w:r>
            <w:r w:rsidR="00543DAF" w:rsidRPr="000921F1">
              <w:instrText xml:space="preserve"> REF _Ref170004931 \h </w:instrText>
            </w:r>
            <w:r w:rsidR="000921F1">
              <w:instrText xml:space="preserve"> \* MERGEFORMAT </w:instrText>
            </w:r>
            <w:r w:rsidR="00543DAF" w:rsidRPr="000921F1">
              <w:fldChar w:fldCharType="separate"/>
            </w:r>
            <w:r w:rsidR="005F38BC">
              <w:t xml:space="preserve">Appendix </w:t>
            </w:r>
            <w:r w:rsidR="005F38BC">
              <w:rPr>
                <w:noProof/>
              </w:rPr>
              <w:t>B</w:t>
            </w:r>
            <w:r w:rsidR="00543DAF" w:rsidRPr="000921F1">
              <w:fldChar w:fldCharType="end"/>
            </w:r>
            <w:r w:rsidRPr="000921F1">
              <w:t xml:space="preserve">: </w:t>
            </w:r>
            <w:r w:rsidR="00590097" w:rsidRPr="000921F1">
              <w:fldChar w:fldCharType="begin"/>
            </w:r>
            <w:r w:rsidR="00590097" w:rsidRPr="000921F1">
              <w:instrText xml:space="preserve"> REF _Ref126486234 \h </w:instrText>
            </w:r>
            <w:r w:rsidR="000921F1">
              <w:instrText xml:space="preserve"> \* MERGEFORMAT </w:instrText>
            </w:r>
            <w:r w:rsidR="00590097" w:rsidRPr="000921F1">
              <w:fldChar w:fldCharType="separate"/>
            </w:r>
            <w:r w:rsidR="005F38BC">
              <w:t xml:space="preserve">Table </w:t>
            </w:r>
            <w:r w:rsidR="005F38BC">
              <w:rPr>
                <w:noProof/>
              </w:rPr>
              <w:t>21:</w:t>
            </w:r>
            <w:r w:rsidR="005F38BC">
              <w:t xml:space="preserve"> </w:t>
            </w:r>
            <w:r w:rsidR="005F38BC">
              <w:rPr>
                <w:vanish/>
              </w:rPr>
              <w:t xml:space="preserve">TT_3.07 </w:t>
            </w:r>
            <w:r w:rsidR="005F38BC">
              <w:t>Enable Crossmatch Option for OTHER Product Types</w:t>
            </w:r>
            <w:r w:rsidR="00590097" w:rsidRPr="000921F1">
              <w:fldChar w:fldCharType="end"/>
            </w:r>
            <w:r w:rsidRPr="000921F1">
              <w:t>.</w:t>
            </w:r>
          </w:p>
        </w:tc>
      </w:tr>
      <w:tr w:rsidR="002A21AE" w:rsidRPr="000921F1">
        <w:tc>
          <w:tcPr>
            <w:tcW w:w="780" w:type="dxa"/>
          </w:tcPr>
          <w:p w:rsidR="002A21AE" w:rsidRPr="000921F1" w:rsidRDefault="0024117A" w:rsidP="00200B6D">
            <w:pPr>
              <w:pStyle w:val="TableText"/>
            </w:pPr>
            <w:r>
              <w:t>10</w:t>
            </w:r>
          </w:p>
        </w:tc>
        <w:tc>
          <w:tcPr>
            <w:tcW w:w="8580" w:type="dxa"/>
          </w:tcPr>
          <w:p w:rsidR="00200B6D" w:rsidRPr="000921F1" w:rsidRDefault="002A21AE" w:rsidP="00200B6D">
            <w:pPr>
              <w:pStyle w:val="TableText"/>
              <w:rPr>
                <w:rStyle w:val="StyleTableText9ptChar"/>
              </w:rPr>
            </w:pPr>
            <w:r w:rsidRPr="000921F1">
              <w:rPr>
                <w:vanish/>
                <w:szCs w:val="18"/>
              </w:rPr>
              <w:t xml:space="preserve">BR_3.14 </w:t>
            </w:r>
            <w:r w:rsidRPr="000921F1">
              <w:rPr>
                <w:rStyle w:val="StyleTableText9ptChar"/>
              </w:rPr>
              <w:t>When a patient has TRs other than CMV negative</w:t>
            </w:r>
            <w:r w:rsidR="00896015">
              <w:rPr>
                <w:rStyle w:val="StyleTableText9ptChar"/>
              </w:rPr>
              <w:t xml:space="preserve"> or Sickle Cell n</w:t>
            </w:r>
            <w:r w:rsidR="00613E18">
              <w:rPr>
                <w:rStyle w:val="StyleTableText9ptChar"/>
              </w:rPr>
              <w:t>egative</w:t>
            </w:r>
            <w:r w:rsidRPr="000921F1">
              <w:rPr>
                <w:rStyle w:val="StyleTableText9ptChar"/>
              </w:rPr>
              <w:t>, VBECS verifies whether the selected unit satisfies the requirement based on system rules</w:t>
            </w:r>
            <w:r w:rsidR="000360F1" w:rsidRPr="000921F1">
              <w:rPr>
                <w:rStyle w:val="StyleTableText9ptChar"/>
                <w:szCs w:val="18"/>
              </w:rPr>
              <w:t xml:space="preserve"> </w:t>
            </w:r>
            <w:r w:rsidRPr="000921F1">
              <w:rPr>
                <w:rStyle w:val="StyleTableText9ptChar"/>
                <w:szCs w:val="18"/>
              </w:rPr>
              <w:t xml:space="preserve">TT_3.04 </w:t>
            </w:r>
            <w:r w:rsidRPr="000921F1">
              <w:rPr>
                <w:szCs w:val="18"/>
              </w:rPr>
              <w:t>Blood Unit Substitution and the Fulfillment of Transfusion Requirements</w:t>
            </w:r>
            <w:r w:rsidRPr="000921F1">
              <w:rPr>
                <w:rStyle w:val="StyleTableText9ptChar"/>
              </w:rPr>
              <w:t xml:space="preserve">. When the TR is not satisfied, VBECS emits an audible alert, warns that the unit does not satisfy all of the patient’s TRs, and asks whether the user wishes to continue to select the unit. </w:t>
            </w:r>
          </w:p>
          <w:p w:rsidR="00200B6D" w:rsidRPr="000921F1" w:rsidRDefault="00200B6D" w:rsidP="00200B6D">
            <w:pPr>
              <w:pStyle w:val="TableText"/>
              <w:rPr>
                <w:rStyle w:val="StyleTableText9ptChar"/>
              </w:rPr>
            </w:pPr>
          </w:p>
          <w:p w:rsidR="002A21AE" w:rsidRPr="000921F1" w:rsidRDefault="002A21AE" w:rsidP="00200B6D">
            <w:pPr>
              <w:pStyle w:val="TableText"/>
            </w:pPr>
            <w:r w:rsidRPr="000921F1">
              <w:rPr>
                <w:b/>
              </w:rPr>
              <w:t>No</w:t>
            </w:r>
            <w:r w:rsidRPr="000921F1">
              <w:t xml:space="preserve"> clears the screen. </w:t>
            </w:r>
            <w:r w:rsidRPr="000921F1">
              <w:rPr>
                <w:rStyle w:val="StyleTableText9ptChar"/>
                <w:b/>
              </w:rPr>
              <w:t>Yes</w:t>
            </w:r>
            <w:r w:rsidRPr="000921F1">
              <w:rPr>
                <w:rStyle w:val="StyleTableText9ptChar"/>
              </w:rPr>
              <w:t xml:space="preserve"> allows the user to continue without comment. </w:t>
            </w:r>
          </w:p>
        </w:tc>
      </w:tr>
      <w:tr w:rsidR="002A21AE" w:rsidRPr="000921F1">
        <w:tc>
          <w:tcPr>
            <w:tcW w:w="780" w:type="dxa"/>
          </w:tcPr>
          <w:p w:rsidR="002A21AE" w:rsidRPr="000921F1" w:rsidRDefault="0024117A">
            <w:pPr>
              <w:pStyle w:val="TableText"/>
            </w:pPr>
            <w:r>
              <w:t>10</w:t>
            </w:r>
          </w:p>
        </w:tc>
        <w:tc>
          <w:tcPr>
            <w:tcW w:w="8580" w:type="dxa"/>
          </w:tcPr>
          <w:p w:rsidR="002A21AE" w:rsidRPr="000921F1" w:rsidRDefault="002A21AE">
            <w:pPr>
              <w:pStyle w:val="TableText"/>
              <w:rPr>
                <w:szCs w:val="18"/>
              </w:rPr>
            </w:pPr>
            <w:r w:rsidRPr="000921F1">
              <w:rPr>
                <w:rFonts w:cs="Arial"/>
                <w:vanish/>
              </w:rPr>
              <w:t xml:space="preserve">BR_3.32 </w:t>
            </w:r>
            <w:r w:rsidR="00896015">
              <w:rPr>
                <w:szCs w:val="18"/>
              </w:rPr>
              <w:t>When a patient has a TR of CMV n</w:t>
            </w:r>
            <w:r w:rsidRPr="000921F1">
              <w:rPr>
                <w:szCs w:val="18"/>
              </w:rPr>
              <w:t>egative</w:t>
            </w:r>
            <w:r w:rsidR="003B1AEA">
              <w:rPr>
                <w:szCs w:val="18"/>
              </w:rPr>
              <w:t xml:space="preserve"> or Sickle</w:t>
            </w:r>
            <w:r w:rsidR="00896015">
              <w:rPr>
                <w:szCs w:val="18"/>
              </w:rPr>
              <w:t xml:space="preserve"> Cell n</w:t>
            </w:r>
            <w:r w:rsidR="003B1AEA">
              <w:rPr>
                <w:szCs w:val="18"/>
              </w:rPr>
              <w:t>egative</w:t>
            </w:r>
            <w:r w:rsidRPr="000921F1">
              <w:rPr>
                <w:szCs w:val="18"/>
              </w:rPr>
              <w:t>, VBECS verifies the selected unit for compliance. When the selected unit does not fit the criteria, VBECS emits an audible alert and warns the user:</w:t>
            </w:r>
          </w:p>
          <w:p w:rsidR="002A21AE" w:rsidRPr="000921F1" w:rsidRDefault="002A21AE">
            <w:pPr>
              <w:pStyle w:val="TableTextBullet"/>
            </w:pPr>
            <w:r w:rsidRPr="000921F1">
              <w:rPr>
                <w:rFonts w:ascii="Wingdings 3" w:hAnsi="Wingdings 3" w:cs="Wingdings"/>
              </w:rPr>
              <w:t></w:t>
            </w:r>
            <w:r w:rsidRPr="000921F1">
              <w:rPr>
                <w:rFonts w:ascii="Wingdings 3" w:hAnsi="Wingdings 3" w:cs="Wingdings"/>
              </w:rPr>
              <w:t></w:t>
            </w:r>
            <w:r w:rsidRPr="000921F1">
              <w:t xml:space="preserve"> Enhanced Technologist or below: VBECS warns</w:t>
            </w:r>
            <w:r w:rsidR="00896015">
              <w:t xml:space="preserve"> that the patient requires CMV n</w:t>
            </w:r>
            <w:r w:rsidRPr="000921F1">
              <w:t xml:space="preserve">egative </w:t>
            </w:r>
            <w:r w:rsidR="00896015">
              <w:t xml:space="preserve">or Sickle Cell negative </w:t>
            </w:r>
            <w:r w:rsidRPr="000921F1">
              <w:t>blood, that the selected unit is not CMV negative</w:t>
            </w:r>
            <w:r w:rsidR="00896015">
              <w:t xml:space="preserve"> or Sickle Cell negative</w:t>
            </w:r>
            <w:r w:rsidRPr="000921F1">
              <w:t xml:space="preserve">, and that the user </w:t>
            </w:r>
            <w:r w:rsidR="00082F78" w:rsidRPr="000921F1">
              <w:t>does not have the proper security level</w:t>
            </w:r>
            <w:r w:rsidRPr="000921F1">
              <w:t xml:space="preserve"> to select the unit. There is no override. VBECS clears the screen, and the user must select another unit.</w:t>
            </w:r>
          </w:p>
          <w:p w:rsidR="002A21AE" w:rsidRPr="000921F1" w:rsidRDefault="002A21AE">
            <w:pPr>
              <w:pStyle w:val="TableTextBullet"/>
            </w:pPr>
            <w:r w:rsidRPr="000921F1">
              <w:rPr>
                <w:rFonts w:ascii="Wingdings 3" w:hAnsi="Wingdings 3" w:cs="Wingdings"/>
              </w:rPr>
              <w:t></w:t>
            </w:r>
            <w:r w:rsidRPr="000921F1">
              <w:rPr>
                <w:rFonts w:ascii="Wingdings 3" w:hAnsi="Wingdings 3" w:cs="Wingdings"/>
              </w:rPr>
              <w:t></w:t>
            </w:r>
            <w:r w:rsidRPr="000921F1">
              <w:rPr>
                <w:rFonts w:ascii="Wingdings 3" w:hAnsi="Wingdings 3" w:cs="Wingdings"/>
              </w:rPr>
              <w:t></w:t>
            </w:r>
            <w:r w:rsidRPr="000921F1">
              <w:t xml:space="preserve"> Lead Technologist or above: VBECS warns that the patient requires CMV negative </w:t>
            </w:r>
            <w:r w:rsidR="00896015">
              <w:t xml:space="preserve">or Sickle Cell negative </w:t>
            </w:r>
            <w:r w:rsidRPr="000921F1">
              <w:t>blood, that the selected unit is not CMV negative</w:t>
            </w:r>
            <w:r w:rsidR="00896015">
              <w:t xml:space="preserve"> or Sickle Cell negative</w:t>
            </w:r>
            <w:r w:rsidRPr="000921F1">
              <w:t xml:space="preserve">, and asks whether the user wishes to continue to select. </w:t>
            </w:r>
            <w:r w:rsidRPr="000921F1">
              <w:rPr>
                <w:b/>
              </w:rPr>
              <w:t>No</w:t>
            </w:r>
            <w:r w:rsidRPr="000921F1">
              <w:t xml:space="preserve"> clears the screen and the user must select a new blood unit. </w:t>
            </w:r>
            <w:r w:rsidRPr="000921F1">
              <w:rPr>
                <w:b/>
              </w:rPr>
              <w:t>Yes</w:t>
            </w:r>
            <w:r w:rsidRPr="000921F1">
              <w:t xml:space="preserve"> requires a comment and captures details for inclusion in an Exception Report (exception type: Transfusion Requirement incompatible unit selected).</w:t>
            </w:r>
          </w:p>
        </w:tc>
      </w:tr>
      <w:tr w:rsidR="002A21AE" w:rsidRPr="000921F1">
        <w:tc>
          <w:tcPr>
            <w:tcW w:w="780" w:type="dxa"/>
          </w:tcPr>
          <w:p w:rsidR="002A21AE" w:rsidRPr="000921F1" w:rsidRDefault="0024117A">
            <w:pPr>
              <w:pStyle w:val="TableText"/>
            </w:pPr>
            <w:r>
              <w:lastRenderedPageBreak/>
              <w:t>10</w:t>
            </w:r>
          </w:p>
        </w:tc>
        <w:tc>
          <w:tcPr>
            <w:tcW w:w="8580" w:type="dxa"/>
          </w:tcPr>
          <w:p w:rsidR="002A21AE" w:rsidRPr="000921F1" w:rsidRDefault="002A21AE">
            <w:pPr>
              <w:pStyle w:val="TableText"/>
            </w:pPr>
            <w:r w:rsidRPr="000921F1">
              <w:rPr>
                <w:rFonts w:cs="Arial"/>
                <w:vanish/>
              </w:rPr>
              <w:t xml:space="preserve">BR_3.39 </w:t>
            </w:r>
            <w:r w:rsidRPr="000921F1">
              <w:t>When a user selects a unit with a biohazardous indicator for a patient, VBECS emits an audible alert, warns the user, and asks whether the user still wishes to select the unit.</w:t>
            </w:r>
          </w:p>
          <w:p w:rsidR="002A21AE" w:rsidRPr="000921F1" w:rsidRDefault="002A21AE">
            <w:pPr>
              <w:pStyle w:val="NotesText"/>
            </w:pPr>
          </w:p>
          <w:p w:rsidR="002A21AE" w:rsidRPr="000921F1" w:rsidRDefault="002A21AE">
            <w:pPr>
              <w:pStyle w:val="TableText"/>
            </w:pPr>
            <w:r w:rsidRPr="000921F1">
              <w:rPr>
                <w:b/>
              </w:rPr>
              <w:t>No</w:t>
            </w:r>
            <w:r w:rsidRPr="000921F1">
              <w:t xml:space="preserve"> clears the entry and allows the user to select a new unit. </w:t>
            </w:r>
            <w:r w:rsidRPr="000921F1">
              <w:rPr>
                <w:b/>
              </w:rPr>
              <w:t>Yes</w:t>
            </w:r>
            <w:r w:rsidRPr="000921F1">
              <w:t xml:space="preserve"> requires a comment and captures details for inclusion in an Exception Report (exception type: biohazardous unit selected).</w:t>
            </w:r>
          </w:p>
        </w:tc>
      </w:tr>
      <w:tr w:rsidR="002A21AE" w:rsidRPr="000921F1">
        <w:tc>
          <w:tcPr>
            <w:tcW w:w="780" w:type="dxa"/>
          </w:tcPr>
          <w:p w:rsidR="002A21AE" w:rsidRPr="000921F1" w:rsidRDefault="0024117A">
            <w:pPr>
              <w:pStyle w:val="TableText"/>
            </w:pPr>
            <w:r>
              <w:t>10</w:t>
            </w:r>
          </w:p>
        </w:tc>
        <w:tc>
          <w:tcPr>
            <w:tcW w:w="8580" w:type="dxa"/>
          </w:tcPr>
          <w:p w:rsidR="002A21AE" w:rsidRPr="000921F1" w:rsidRDefault="002A21AE">
            <w:pPr>
              <w:pStyle w:val="TableText"/>
            </w:pPr>
            <w:r w:rsidRPr="000921F1">
              <w:rPr>
                <w:rFonts w:cs="Arial"/>
                <w:vanish/>
              </w:rPr>
              <w:t xml:space="preserve">BR_3.12 </w:t>
            </w:r>
            <w:r w:rsidRPr="000921F1">
              <w:rPr>
                <w:szCs w:val="22"/>
              </w:rPr>
              <w:t></w:t>
            </w:r>
            <w:r w:rsidRPr="000921F1">
              <w:t>When the user selects blood components from the frozen product types for a patient, VBECS emits an audible alert and warns that the selected blood unit must be thawed and may require additional processing prior to issue. The unit is not eligible for printing the BTRF or Caution Tag. VBECS updates the blood unit status to “assigned” and the unit is no longer available for issue.</w:t>
            </w:r>
          </w:p>
        </w:tc>
      </w:tr>
      <w:tr w:rsidR="002A21AE" w:rsidRPr="000921F1">
        <w:tc>
          <w:tcPr>
            <w:tcW w:w="780" w:type="dxa"/>
          </w:tcPr>
          <w:p w:rsidR="002A21AE" w:rsidRPr="000921F1" w:rsidRDefault="0024117A">
            <w:pPr>
              <w:pStyle w:val="TableText"/>
            </w:pPr>
            <w:r>
              <w:t>10</w:t>
            </w:r>
          </w:p>
        </w:tc>
        <w:tc>
          <w:tcPr>
            <w:tcW w:w="8580" w:type="dxa"/>
          </w:tcPr>
          <w:p w:rsidR="002A21AE" w:rsidRPr="000921F1" w:rsidRDefault="00B01176" w:rsidP="001710A2">
            <w:pPr>
              <w:pStyle w:val="TableText"/>
            </w:pPr>
            <w:r w:rsidRPr="00B01176">
              <w:rPr>
                <w:vanish/>
              </w:rPr>
              <w:t xml:space="preserve">BR_3.35 </w:t>
            </w:r>
            <w:r w:rsidR="006605B8" w:rsidRPr="000921F1">
              <w:t xml:space="preserve">When a user selects a unit requiring XM, eXM is enabled, and the patient is eligible, the selected unit ABO/Rh must be compatible with the patient ABO/Rh. VBECS displays a message based on </w:t>
            </w:r>
            <w:r w:rsidR="006605B8" w:rsidRPr="000921F1">
              <w:fldChar w:fldCharType="begin"/>
            </w:r>
            <w:r w:rsidR="006605B8" w:rsidRPr="000921F1">
              <w:instrText xml:space="preserve"> REF _Ref170004931 \h </w:instrText>
            </w:r>
            <w:r w:rsidR="006605B8">
              <w:instrText xml:space="preserve"> \* MERGEFORMAT </w:instrText>
            </w:r>
            <w:r w:rsidR="006605B8" w:rsidRPr="000921F1">
              <w:fldChar w:fldCharType="separate"/>
            </w:r>
            <w:r w:rsidR="005F38BC">
              <w:t xml:space="preserve">Appendix </w:t>
            </w:r>
            <w:r w:rsidR="005F38BC">
              <w:rPr>
                <w:noProof/>
              </w:rPr>
              <w:t>B</w:t>
            </w:r>
            <w:r w:rsidR="006605B8" w:rsidRPr="000921F1">
              <w:fldChar w:fldCharType="end"/>
            </w:r>
            <w:r w:rsidR="006605B8" w:rsidRPr="000921F1">
              <w:t>:</w:t>
            </w:r>
            <w:r w:rsidR="001710A2">
              <w:t xml:space="preserve"> </w:t>
            </w:r>
            <w:r w:rsidR="001710A2">
              <w:fldChar w:fldCharType="begin"/>
            </w:r>
            <w:r w:rsidR="001710A2">
              <w:instrText xml:space="preserve"> REF _Ref317762597 \h </w:instrText>
            </w:r>
            <w:r w:rsidR="001710A2">
              <w:fldChar w:fldCharType="separate"/>
            </w:r>
            <w:r w:rsidR="005F38BC">
              <w:t xml:space="preserve">Table </w:t>
            </w:r>
            <w:r w:rsidR="005F38BC">
              <w:rPr>
                <w:noProof/>
              </w:rPr>
              <w:t>24</w:t>
            </w:r>
            <w:r w:rsidR="005F38BC">
              <w:t xml:space="preserve">: </w:t>
            </w:r>
            <w:r w:rsidR="005F38BC">
              <w:rPr>
                <w:vanish/>
              </w:rPr>
              <w:t xml:space="preserve">TT_3.05 </w:t>
            </w:r>
            <w:r w:rsidR="005F38BC">
              <w:t>Rules for Electronic and Serologic Crossmatch</w:t>
            </w:r>
            <w:r w:rsidR="001710A2">
              <w:fldChar w:fldCharType="end"/>
            </w:r>
            <w:r w:rsidR="006605B8" w:rsidRPr="000921F1">
              <w:t>. If the user continues to select that unit in which VBECS requires a serologic XM, VBECS does not allow the Caution Tag or BTRF to be printed, and does not update the unit status to “crossmatched”’ under normal system rules and policies. When the selected unit is available for emergency issue to the patient, VBECS allows the Caution Tag and BTRF to be printed.</w:t>
            </w:r>
          </w:p>
        </w:tc>
      </w:tr>
      <w:tr w:rsidR="002A21AE" w:rsidRPr="000921F1">
        <w:tc>
          <w:tcPr>
            <w:tcW w:w="780" w:type="dxa"/>
          </w:tcPr>
          <w:p w:rsidR="002A21AE" w:rsidRPr="000921F1" w:rsidRDefault="0024117A">
            <w:pPr>
              <w:pStyle w:val="TableText"/>
            </w:pPr>
            <w:r>
              <w:t>12</w:t>
            </w:r>
          </w:p>
        </w:tc>
        <w:tc>
          <w:tcPr>
            <w:tcW w:w="8580" w:type="dxa"/>
          </w:tcPr>
          <w:p w:rsidR="002A21AE" w:rsidRPr="000921F1" w:rsidRDefault="002A21AE">
            <w:pPr>
              <w:pStyle w:val="TableText"/>
            </w:pPr>
            <w:r w:rsidRPr="000921F1">
              <w:rPr>
                <w:rFonts w:cs="Arial"/>
                <w:vanish/>
              </w:rPr>
              <w:t xml:space="preserve">BR_3.29 </w:t>
            </w:r>
            <w:r w:rsidRPr="000921F1">
              <w:t>When eXM is enabled and the patient and selected units are eligible, VBECS notifies the user and asks whether he wishes to continue with eXM.</w:t>
            </w:r>
          </w:p>
          <w:p w:rsidR="002A21AE" w:rsidRPr="000921F1" w:rsidRDefault="002A21AE">
            <w:pPr>
              <w:pStyle w:val="TableText"/>
            </w:pPr>
          </w:p>
          <w:p w:rsidR="002A21AE" w:rsidRPr="000921F1" w:rsidRDefault="002A21AE">
            <w:pPr>
              <w:pStyle w:val="TableText"/>
            </w:pPr>
            <w:r w:rsidRPr="000921F1">
              <w:rPr>
                <w:b/>
              </w:rPr>
              <w:t>Yes</w:t>
            </w:r>
            <w:r w:rsidRPr="000921F1">
              <w:t xml:space="preserve"> assigns a XM result of “Compatible: Electronically Crossmatched.” VBECS updates the database with the XM result, date and time of XM, XM technologist, division, specimen UID, specimen phlebotomist, and specimen expiration date and time. VBECS allows a Caution Tag and BTRF to be printed and the unit is ready for issue and transfusion. VBECS changes the unit status to “crossmatched.”</w:t>
            </w:r>
          </w:p>
          <w:p w:rsidR="002A21AE" w:rsidRPr="000921F1" w:rsidRDefault="002A21AE">
            <w:pPr>
              <w:pStyle w:val="TableText"/>
            </w:pPr>
          </w:p>
          <w:p w:rsidR="002A21AE" w:rsidRPr="000921F1" w:rsidRDefault="002A21AE">
            <w:pPr>
              <w:pStyle w:val="TableText"/>
            </w:pPr>
            <w:r w:rsidRPr="000921F1">
              <w:rPr>
                <w:b/>
              </w:rPr>
              <w:t>No</w:t>
            </w:r>
            <w:r w:rsidRPr="000921F1">
              <w:t xml:space="preserve"> keeps the unit assigned to the patient and available for data entry of serologic XM. VBECS does not allow the Caution Tag or BTRF to be printed and does not change the unit status to “crossmatched.” When a division is “transfusion only,” the unit remains assigned to the patient and is available for the user to enter the serologic XM interpretation, VBECS does not allow the Caution Tag or BTRF to be printed, and the unit is not crossmatched.</w:t>
            </w:r>
          </w:p>
        </w:tc>
      </w:tr>
      <w:tr w:rsidR="002A21AE" w:rsidRPr="000921F1">
        <w:tc>
          <w:tcPr>
            <w:tcW w:w="780" w:type="dxa"/>
          </w:tcPr>
          <w:p w:rsidR="002A21AE" w:rsidRPr="000921F1" w:rsidRDefault="0024117A">
            <w:pPr>
              <w:pStyle w:val="TableText"/>
            </w:pPr>
            <w:r>
              <w:t>12</w:t>
            </w:r>
          </w:p>
        </w:tc>
        <w:tc>
          <w:tcPr>
            <w:tcW w:w="8580" w:type="dxa"/>
          </w:tcPr>
          <w:p w:rsidR="00B77F89" w:rsidRPr="000921F1" w:rsidRDefault="002A21AE" w:rsidP="00B77F89">
            <w:pPr>
              <w:pStyle w:val="TableText"/>
            </w:pPr>
            <w:r w:rsidRPr="000921F1">
              <w:rPr>
                <w:rFonts w:cs="Arial"/>
                <w:vanish/>
              </w:rPr>
              <w:t xml:space="preserve">BR_3.37 </w:t>
            </w:r>
            <w:r w:rsidR="00B77F89" w:rsidRPr="000921F1">
              <w:t>When the user selects a unit requiring XM, the division is defined as “full service,” eXM is enabled, and the patient is not eligible for eXM, VBECS warns the user that the selected units require serologic XM and asks whether he wishes to continue.</w:t>
            </w:r>
          </w:p>
          <w:p w:rsidR="00B77F89" w:rsidRPr="000921F1" w:rsidRDefault="00B77F89" w:rsidP="00B77F89">
            <w:pPr>
              <w:pStyle w:val="TableText"/>
            </w:pPr>
          </w:p>
          <w:p w:rsidR="002A21AE" w:rsidRPr="000921F1" w:rsidRDefault="00B77F89" w:rsidP="00B77F89">
            <w:pPr>
              <w:pStyle w:val="TableText"/>
            </w:pPr>
            <w:r w:rsidRPr="000921F1">
              <w:rPr>
                <w:b/>
              </w:rPr>
              <w:t>Yes</w:t>
            </w:r>
            <w:r w:rsidRPr="000921F1">
              <w:t xml:space="preserve"> adds the units to the XM data entry grid and transfers the user to Patient Testing: Record Patient Test Results to begin the XM process. </w:t>
            </w:r>
            <w:r w:rsidRPr="000921F1">
              <w:rPr>
                <w:b/>
              </w:rPr>
              <w:t>No</w:t>
            </w:r>
            <w:r w:rsidRPr="000921F1">
              <w:t xml:space="preserve"> records that a serologic XM test is needed. The user may not print a Caution Tag or Blood Transfusion Record Form; the unit status does not change to “crossmatched.”</w:t>
            </w:r>
          </w:p>
        </w:tc>
      </w:tr>
    </w:tbl>
    <w:p w:rsidR="002118B0" w:rsidRDefault="002118B0" w:rsidP="00DD75E5">
      <w:pPr>
        <w:pStyle w:val="BodyText"/>
      </w:pPr>
    </w:p>
    <w:p w:rsidR="002A21AE" w:rsidRDefault="002A21AE" w:rsidP="00533A82">
      <w:pPr>
        <w:pStyle w:val="Heading2"/>
      </w:pPr>
      <w:r>
        <w:br w:type="page"/>
      </w:r>
      <w:bookmarkStart w:id="383" w:name="_Toc94349371"/>
      <w:bookmarkStart w:id="384" w:name="_Issue_Blood_Components"/>
      <w:bookmarkStart w:id="385" w:name="_Toc459900124"/>
      <w:bookmarkEnd w:id="384"/>
      <w:r>
        <w:lastRenderedPageBreak/>
        <w:t>Issue Blood Components</w:t>
      </w:r>
      <w:bookmarkEnd w:id="385"/>
      <w:r w:rsidRPr="007716F7">
        <w:fldChar w:fldCharType="begin"/>
      </w:r>
      <w:r w:rsidRPr="007716F7">
        <w:instrText xml:space="preserve"> XE </w:instrText>
      </w:r>
      <w:r w:rsidR="00FA7E65" w:rsidRPr="007716F7">
        <w:instrText>“</w:instrText>
      </w:r>
      <w:r w:rsidRPr="007716F7">
        <w:instrText>Issue Blood Components</w:instrText>
      </w:r>
      <w:r w:rsidR="00FA7E65" w:rsidRPr="007716F7">
        <w:instrText>”</w:instrText>
      </w:r>
      <w:r w:rsidRPr="007716F7">
        <w:instrText xml:space="preserve"> </w:instrText>
      </w:r>
      <w:r w:rsidRPr="007716F7">
        <w:fldChar w:fldCharType="end"/>
      </w:r>
      <w:r w:rsidRPr="007716F7">
        <w:t xml:space="preserve"> </w:t>
      </w:r>
      <w:r w:rsidRPr="00557A54">
        <w:rPr>
          <w:rFonts w:ascii="Arial Bold" w:hAnsi="Arial Bold"/>
          <w:vanish/>
        </w:rPr>
        <w:t>UC_73</w:t>
      </w:r>
      <w:bookmarkEnd w:id="383"/>
      <w:r>
        <w:t xml:space="preserve"> </w:t>
      </w:r>
    </w:p>
    <w:p w:rsidR="002A21AE" w:rsidRDefault="002A21AE" w:rsidP="00FA7E65">
      <w:pPr>
        <w:pStyle w:val="BodyText"/>
      </w:pPr>
      <w:bookmarkStart w:id="386" w:name="_Toc34537111"/>
      <w:bookmarkStart w:id="387" w:name="_Toc34635892"/>
      <w:bookmarkStart w:id="388" w:name="_Toc34720938"/>
      <w:bookmarkStart w:id="389" w:name="_Toc35743728"/>
      <w:bookmarkStart w:id="390" w:name="_Toc42940987"/>
      <w:bookmarkStart w:id="391" w:name="_Toc43285430"/>
      <w:bookmarkStart w:id="392" w:name="_Toc72829288"/>
      <w:r>
        <w:t>The user issues one or more patient-assigned blood units to a transporter for storage in a remote location or for possible transfusion.</w:t>
      </w:r>
      <w:bookmarkStart w:id="393" w:name="warn"/>
      <w:bookmarkEnd w:id="393"/>
    </w:p>
    <w:p w:rsidR="002A21AE" w:rsidRDefault="002A21AE">
      <w:pPr>
        <w:pStyle w:val="Heading4"/>
      </w:pPr>
      <w:bookmarkStart w:id="394" w:name="_Toc94349372"/>
      <w:r>
        <w:t>Assumptions</w:t>
      </w:r>
      <w:bookmarkEnd w:id="394"/>
    </w:p>
    <w:p w:rsidR="00DC673E" w:rsidRDefault="00DC673E">
      <w:pPr>
        <w:pStyle w:val="ListBullet"/>
      </w:pPr>
      <w:r>
        <w:t>The facility has a procedure for the emergency issue of blood products.</w:t>
      </w:r>
    </w:p>
    <w:p w:rsidR="002A21AE" w:rsidRDefault="002A21AE">
      <w:pPr>
        <w:pStyle w:val="ListBullet"/>
      </w:pPr>
      <w:r>
        <w:t>The unit and the user are in the same division.</w:t>
      </w:r>
    </w:p>
    <w:p w:rsidR="002A21AE" w:rsidRDefault="002A21AE">
      <w:pPr>
        <w:pStyle w:val="ListBullet"/>
      </w:pPr>
      <w:r>
        <w:t>The unit is assigned and/or crossmatched for the patient currently selected for issue.</w:t>
      </w:r>
    </w:p>
    <w:p w:rsidR="002A21AE" w:rsidRDefault="00CA0045">
      <w:pPr>
        <w:pStyle w:val="ListBullet"/>
      </w:pPr>
      <w:r w:rsidRPr="00CA0045">
        <w:rPr>
          <w:bCs/>
        </w:rPr>
        <w:t>VistA</w:t>
      </w:r>
      <w:r w:rsidR="002A21AE">
        <w:t xml:space="preserve"> is available for the user to choose a physician and valid hospital locations.</w:t>
      </w:r>
    </w:p>
    <w:p w:rsidR="000C22E7" w:rsidRDefault="000C22E7">
      <w:pPr>
        <w:pStyle w:val="ListBullet"/>
      </w:pPr>
      <w:r>
        <w:t>All issue-to locations must be valid entries in the VistA HOSPITAL LOCATION (#44), including home transfusion.</w:t>
      </w:r>
    </w:p>
    <w:p w:rsidR="002A21AE" w:rsidRDefault="002A21AE">
      <w:pPr>
        <w:pStyle w:val="Heading4"/>
      </w:pPr>
      <w:bookmarkStart w:id="395" w:name="_Toc94349373"/>
      <w:r>
        <w:t>Outcome</w:t>
      </w:r>
      <w:bookmarkEnd w:id="395"/>
    </w:p>
    <w:p w:rsidR="002A21AE" w:rsidRDefault="002A21AE">
      <w:pPr>
        <w:pStyle w:val="ListBullet"/>
      </w:pPr>
      <w:r>
        <w:t>The unit status was updated to “issued.”</w:t>
      </w:r>
    </w:p>
    <w:p w:rsidR="002A21AE" w:rsidRDefault="002A21AE">
      <w:pPr>
        <w:pStyle w:val="ListBullet"/>
      </w:pPr>
      <w:r>
        <w:t>The unit’s current location was updated to the “issue-to” location.</w:t>
      </w:r>
    </w:p>
    <w:p w:rsidR="002A21AE" w:rsidRDefault="002A21AE">
      <w:pPr>
        <w:pStyle w:val="Heading4"/>
      </w:pPr>
      <w:bookmarkStart w:id="396" w:name="_Toc94349374"/>
      <w:r>
        <w:t>Limitations and Restrictions</w:t>
      </w:r>
      <w:bookmarkEnd w:id="396"/>
    </w:p>
    <w:p w:rsidR="00F26B72" w:rsidRDefault="00F26B72">
      <w:pPr>
        <w:pStyle w:val="ListBullet"/>
      </w:pPr>
      <w:r>
        <w:t xml:space="preserve">VBECS does not check </w:t>
      </w:r>
      <w:r w:rsidRPr="00F26B72">
        <w:t xml:space="preserve">for </w:t>
      </w:r>
      <w:r w:rsidR="00654CF2">
        <w:t>restricted</w:t>
      </w:r>
      <w:r w:rsidRPr="00F26B72">
        <w:t xml:space="preserve"> units </w:t>
      </w:r>
      <w:r w:rsidR="006E2907">
        <w:t>(</w:t>
      </w:r>
      <w:r>
        <w:t>not</w:t>
      </w:r>
      <w:r w:rsidRPr="00F26B72">
        <w:t xml:space="preserve"> assigned to the patient</w:t>
      </w:r>
      <w:r w:rsidR="006E2907">
        <w:t>)</w:t>
      </w:r>
      <w:r w:rsidRPr="00F26B72">
        <w:t xml:space="preserve"> received </w:t>
      </w:r>
      <w:r>
        <w:t>between selection and issue.</w:t>
      </w:r>
    </w:p>
    <w:p w:rsidR="00414644" w:rsidRDefault="002A21AE">
      <w:pPr>
        <w:pStyle w:val="ListBullet"/>
      </w:pPr>
      <w:r>
        <w:t xml:space="preserve">All issue-to locations must be valid entries in the </w:t>
      </w:r>
      <w:r w:rsidR="00CA0045" w:rsidRPr="00CA0045">
        <w:rPr>
          <w:bCs/>
        </w:rPr>
        <w:t>VistA</w:t>
      </w:r>
      <w:r>
        <w:t xml:space="preserve"> hospital location file, including home transfusion.</w:t>
      </w:r>
    </w:p>
    <w:p w:rsidR="002A21AE" w:rsidRDefault="009C7B46" w:rsidP="00215DFC">
      <w:pPr>
        <w:pStyle w:val="ListBullet"/>
      </w:pPr>
      <w:r>
        <w:t xml:space="preserve">If VistA link is not available, </w:t>
      </w:r>
      <w:r w:rsidR="00414644">
        <w:t>the user may proceed with the issue process but the current issue-to hospital location is not recorded.</w:t>
      </w:r>
      <w:r w:rsidR="00215DFC">
        <w:t xml:space="preserve"> All of the associated report records display “VistALink Down” in the Issue To location field.</w:t>
      </w:r>
      <w:r>
        <w:t xml:space="preserve"> </w:t>
      </w:r>
      <w:r w:rsidRPr="00215DFC">
        <w:rPr>
          <w:vanish/>
        </w:rPr>
        <w:t>DR 5073</w:t>
      </w:r>
    </w:p>
    <w:p w:rsidR="00A25BC9" w:rsidRDefault="00A25BC9" w:rsidP="00A25BC9">
      <w:pPr>
        <w:pStyle w:val="ListBullet"/>
      </w:pPr>
      <w:r>
        <w:t>ISBT 128 tables include blood product codes labeled as not for manufacturing or transfusion. VBECS does not restrict such products from being entered, issued, or transferred (l</w:t>
      </w:r>
      <w:r w:rsidR="00011036">
        <w:t>ocal policy controls their use)</w:t>
      </w:r>
      <w:r>
        <w:t xml:space="preserve"> </w:t>
      </w:r>
      <w:r w:rsidR="00011036">
        <w:t>and</w:t>
      </w:r>
      <w:r>
        <w:t xml:space="preserve"> does not accommodate blood modification for these products.</w:t>
      </w:r>
    </w:p>
    <w:p w:rsidR="007E1B6B" w:rsidRDefault="007E1B6B" w:rsidP="00A25BC9">
      <w:pPr>
        <w:pStyle w:val="ListBullet"/>
      </w:pPr>
      <w:r>
        <w:t>W</w:t>
      </w:r>
      <w:r w:rsidRPr="007E1B6B">
        <w:t xml:space="preserve">hen a site has configured </w:t>
      </w:r>
      <w:r w:rsidR="009174D5" w:rsidRPr="007E1B6B">
        <w:t>subservient</w:t>
      </w:r>
      <w:r w:rsidRPr="007E1B6B">
        <w:t xml:space="preserve"> VistA ins</w:t>
      </w:r>
      <w:r>
        <w:t xml:space="preserve">titutions to the VBECS division, users </w:t>
      </w:r>
      <w:r w:rsidRPr="007E1B6B">
        <w:t xml:space="preserve">can only issue </w:t>
      </w:r>
      <w:r>
        <w:t xml:space="preserve">units </w:t>
      </w:r>
      <w:r w:rsidRPr="007E1B6B">
        <w:t xml:space="preserve">to locations in the primary VistA. Sites may add locations to VistA to account for the relocations to the </w:t>
      </w:r>
      <w:r w:rsidR="009174D5" w:rsidRPr="007E1B6B">
        <w:t>subservient</w:t>
      </w:r>
      <w:r w:rsidRPr="007E1B6B">
        <w:t xml:space="preserve"> VistA institutions.</w:t>
      </w:r>
      <w:r w:rsidRPr="007E1B6B">
        <w:rPr>
          <w:vanish/>
        </w:rPr>
        <w:t>DR 2,880</w:t>
      </w:r>
    </w:p>
    <w:p w:rsidR="0064308B" w:rsidRDefault="0064308B" w:rsidP="00A25BC9">
      <w:pPr>
        <w:pStyle w:val="ListBullet"/>
      </w:pPr>
      <w:r w:rsidRPr="00C01E45">
        <w:t>BCE information applies ONLY when a BCE COTS product is available for communication and is configured.</w:t>
      </w:r>
    </w:p>
    <w:p w:rsidR="00B65627" w:rsidRDefault="00B65627" w:rsidP="00B65627">
      <w:pPr>
        <w:pStyle w:val="ListBullet"/>
      </w:pPr>
      <w:bookmarkStart w:id="397" w:name="_Toc94349375"/>
      <w:r w:rsidRPr="00633316">
        <w:t>Changing a patient's</w:t>
      </w:r>
      <w:r w:rsidR="00432F57">
        <w:t xml:space="preserve"> transfusion requirements</w:t>
      </w:r>
      <w:r w:rsidRPr="00633316">
        <w:t xml:space="preserve"> </w:t>
      </w:r>
      <w:r w:rsidR="00432F57">
        <w:t xml:space="preserve">(component requirements, </w:t>
      </w:r>
      <w:r w:rsidRPr="00633316">
        <w:t>antigen negative requirement or antibody identified</w:t>
      </w:r>
      <w:r w:rsidR="00432F57">
        <w:t>)</w:t>
      </w:r>
      <w:r w:rsidRPr="00633316">
        <w:t xml:space="preserve"> after a unit is crossmatched does not provide an alert at Issue Unit regarding the type of crossmatch </w:t>
      </w:r>
      <w:r>
        <w:t xml:space="preserve">(electronic or serologic) </w:t>
      </w:r>
      <w:r w:rsidRPr="00633316">
        <w:t xml:space="preserve">performed on </w:t>
      </w:r>
      <w:r>
        <w:t xml:space="preserve">a </w:t>
      </w:r>
      <w:r w:rsidRPr="00633316">
        <w:t>unit</w:t>
      </w:r>
      <w:r>
        <w:t xml:space="preserve"> available for issue</w:t>
      </w:r>
      <w:r w:rsidRPr="00633316">
        <w:t>.</w:t>
      </w:r>
    </w:p>
    <w:p w:rsidR="002A21AE" w:rsidRDefault="002A21AE">
      <w:pPr>
        <w:pStyle w:val="Heading4"/>
      </w:pPr>
      <w:r>
        <w:t>Additional Information</w:t>
      </w:r>
      <w:bookmarkEnd w:id="397"/>
    </w:p>
    <w:p w:rsidR="002A21AE" w:rsidRDefault="00710E7E">
      <w:pPr>
        <w:pStyle w:val="ListBullet"/>
      </w:pPr>
      <w:r>
        <w:t xml:space="preserve">When no VistA order is available, </w:t>
      </w:r>
      <w:r w:rsidR="002A21AE">
        <w:t xml:space="preserve">the user must process the request manually until </w:t>
      </w:r>
      <w:r w:rsidR="00CA0045" w:rsidRPr="00CA0045">
        <w:rPr>
          <w:bCs/>
        </w:rPr>
        <w:t>VistA</w:t>
      </w:r>
      <w:r w:rsidR="002A21AE">
        <w:t xml:space="preserve"> provides them to VBECS. The user must print blank Caution Tags and Blood Transfusion Record Forms (BTRFs) to accommodate this rare occurrence.</w:t>
      </w:r>
      <w:r w:rsidR="00AB4026">
        <w:t xml:space="preserve"> When </w:t>
      </w:r>
      <w:r w:rsidR="00AB4026" w:rsidRPr="00CA0045">
        <w:rPr>
          <w:bCs/>
        </w:rPr>
        <w:t>VistA</w:t>
      </w:r>
      <w:r w:rsidR="00AB4026">
        <w:t xml:space="preserve"> does not provide a pseudonym or associated pseudo-ID for the patient that allows placement of a VistA order, VBECS cannot create a patient order for emergency issue of blood.</w:t>
      </w:r>
    </w:p>
    <w:p w:rsidR="002A21AE" w:rsidRDefault="002A21AE">
      <w:pPr>
        <w:pStyle w:val="ListBullet"/>
      </w:pPr>
      <w:r>
        <w:t xml:space="preserve">“Issue with Medical Director Approval” components must be approved prior to this option and do not require special handling by VBECS. </w:t>
      </w:r>
    </w:p>
    <w:p w:rsidR="002A21AE" w:rsidRDefault="002A21AE">
      <w:pPr>
        <w:pStyle w:val="ListBullet"/>
      </w:pPr>
      <w:r>
        <w:t>Emergency issue processing accommodates the issue of blood to patients without completed specimen testing, as required.</w:t>
      </w:r>
    </w:p>
    <w:p w:rsidR="009605EB" w:rsidRDefault="009605EB">
      <w:pPr>
        <w:pStyle w:val="ListBullet"/>
      </w:pPr>
      <w:r>
        <w:lastRenderedPageBreak/>
        <w:t xml:space="preserve">Sites may enter the lot number of blood administration sets </w:t>
      </w:r>
      <w:r w:rsidR="00A07263">
        <w:t xml:space="preserve">and leukoreducing filters </w:t>
      </w:r>
      <w:r>
        <w:t>when they enter the name of the individual picking up the blood product. VBECS retains this information in the unit history record.</w:t>
      </w:r>
    </w:p>
    <w:p w:rsidR="00D059AF" w:rsidRDefault="00D059AF">
      <w:pPr>
        <w:pStyle w:val="ListBullet"/>
      </w:pPr>
      <w:r>
        <w:t>User must date all signature lines on the BTRF dating of the signatures [i.e., Inspected and issued by, Issued to, First Identifier, Second Identifier, Transfusion Data section completed by, Transfusion Reaction Data section completed by (as needed)].</w:t>
      </w:r>
    </w:p>
    <w:p w:rsidR="002A21AE" w:rsidRDefault="002A21AE">
      <w:pPr>
        <w:pStyle w:val="Heading4"/>
      </w:pPr>
      <w:bookmarkStart w:id="398" w:name="_Toc94349376"/>
      <w:r>
        <w:t>User Roles with Access to This Option</w:t>
      </w:r>
      <w:bookmarkEnd w:id="398"/>
    </w:p>
    <w:p w:rsidR="005C42D0" w:rsidRDefault="005C42D0" w:rsidP="005C42D0">
      <w:pPr>
        <w:pStyle w:val="Roles"/>
        <w:rPr>
          <w:snapToGrid w:val="0"/>
        </w:rPr>
      </w:pPr>
      <w:r>
        <w:t>All users</w:t>
      </w:r>
      <w:r>
        <w:rPr>
          <w:rFonts w:cs="Arial"/>
          <w:szCs w:val="18"/>
        </w:rPr>
        <w:t xml:space="preserve"> </w:t>
      </w:r>
    </w:p>
    <w:p w:rsidR="001F1013" w:rsidRDefault="001F1013" w:rsidP="001F1013">
      <w:pPr>
        <w:pStyle w:val="Caution"/>
      </w:pPr>
      <w:bookmarkStart w:id="399" w:name="_Toc94349377"/>
      <w:bookmarkEnd w:id="386"/>
      <w:bookmarkEnd w:id="387"/>
      <w:bookmarkEnd w:id="388"/>
      <w:bookmarkEnd w:id="389"/>
      <w:bookmarkEnd w:id="390"/>
      <w:bookmarkEnd w:id="391"/>
      <w:bookmarkEnd w:id="392"/>
      <w:r>
        <w:t>To correct issue time and other errors, return the unit from issue and reissue it with the correct information.</w:t>
      </w:r>
    </w:p>
    <w:p w:rsidR="002A21AE" w:rsidRDefault="002A21AE">
      <w:pPr>
        <w:pStyle w:val="Heading4"/>
      </w:pPr>
      <w:r>
        <w:t>Issue Blood Components (Routine)</w:t>
      </w:r>
      <w:bookmarkEnd w:id="399"/>
      <w:r>
        <w:fldChar w:fldCharType="begin"/>
      </w:r>
      <w:r>
        <w:instrText xml:space="preserve"> XE </w:instrText>
      </w:r>
      <w:r w:rsidR="00FA7E65">
        <w:instrText>“</w:instrText>
      </w:r>
      <w:r>
        <w:instrText>Issue Blood Components (Routine)</w:instrText>
      </w:r>
      <w:r w:rsidR="00FA7E65">
        <w:instrText>”</w:instrText>
      </w:r>
      <w:r>
        <w:instrText xml:space="preserve"> </w:instrText>
      </w:r>
      <w:r>
        <w:fldChar w:fldCharType="end"/>
      </w:r>
    </w:p>
    <w:p w:rsidR="002A21AE" w:rsidRDefault="002A21AE" w:rsidP="00FA7E65">
      <w:pPr>
        <w:pStyle w:val="BodyText"/>
      </w:pPr>
      <w:r>
        <w:t xml:space="preserve">The user issues assigned or crossmatched blood to a transporter for patient transfusion at valid inpatient and outpatient hospital locations, and records issue details, including the transporter’s name or identifier.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 xml:space="preserve">Select </w:t>
            </w:r>
            <w:r>
              <w:rPr>
                <w:b/>
              </w:rPr>
              <w:t>Patients</w:t>
            </w:r>
            <w:r>
              <w:t xml:space="preserve"> from the main menu.</w:t>
            </w:r>
          </w:p>
          <w:p w:rsidR="002A21AE" w:rsidRDefault="002A21AE">
            <w:pPr>
              <w:pStyle w:val="TableTextNumbersContinued"/>
            </w:pPr>
          </w:p>
          <w:p w:rsidR="002A21AE" w:rsidRDefault="002A21AE">
            <w:pPr>
              <w:pStyle w:val="TableTextNumbersContinued"/>
            </w:pPr>
            <w:r>
              <w:t xml:space="preserve">Select </w:t>
            </w:r>
            <w:r>
              <w:rPr>
                <w:b/>
              </w:rPr>
              <w:t>Issue Blood Components</w:t>
            </w:r>
            <w:r>
              <w:t>.</w:t>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Bullet"/>
            </w:pPr>
            <w:r>
              <w:t>Displays options for processing patient-related functions.</w:t>
            </w:r>
          </w:p>
          <w:p w:rsidR="002A21AE" w:rsidRDefault="002A21AE">
            <w:pPr>
              <w:pStyle w:val="TableTextBullet"/>
            </w:pPr>
            <w:r>
              <w:t>Displays an option to scan the Caution Tag or enter a patient name or ID.</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8025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38" name="Line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1"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Ap&#10;VTw7FgIAAC0EAAAOAAAAAAAAAAAAAAAAAC4CAABkcnMvZTJvRG9jLnhtbFBLAQItABQABgAIAAAA&#10;IQAXTzAS2wAAAAgBAAAPAAAAAAAAAAAAAAAAAHAEAABkcnMvZG93bnJldi54bWxQSwUGAAAAAAQA&#10;BADzAAAAeAU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BR_73.22 </w:t>
            </w:r>
            <w:r>
              <w:t>The user must verify the correct patient selection</w:t>
            </w:r>
            <w:r w:rsidR="00F3010E">
              <w:t>.</w:t>
            </w:r>
            <w:r>
              <w:t xml:space="preserve"> </w:t>
            </w:r>
          </w:p>
          <w:p w:rsidR="001E0858" w:rsidRDefault="001E0858" w:rsidP="00CA495D">
            <w:pPr>
              <w:pStyle w:val="NotesText"/>
            </w:pPr>
          </w:p>
          <w:p w:rsidR="001E0858" w:rsidRDefault="001E0858" w:rsidP="00CA495D">
            <w:pPr>
              <w:pStyle w:val="NotesText"/>
            </w:pPr>
            <w:r>
              <w:t xml:space="preserve">The </w:t>
            </w:r>
            <w:r w:rsidRPr="00EC7489">
              <w:rPr>
                <w:rFonts w:ascii="Wingdings 3" w:hAnsi="Wingdings 3"/>
              </w:rPr>
              <w:t></w:t>
            </w:r>
            <w:r w:rsidRPr="00EC7489">
              <w:rPr>
                <w:rFonts w:ascii="Wingdings 3" w:hAnsi="Wingdings 3"/>
              </w:rPr>
              <w:t></w:t>
            </w:r>
            <w:r>
              <w:t xml:space="preserve"> Enhanced Technologist </w:t>
            </w:r>
            <w:r w:rsidR="00915BD8">
              <w:t>or</w:t>
            </w:r>
            <w:r>
              <w:t xml:space="preserve"> above is authorized to issue expired blood products.</w:t>
            </w:r>
          </w:p>
          <w:p w:rsidR="001E0858" w:rsidRDefault="001E0858" w:rsidP="00CA495D">
            <w:pPr>
              <w:pStyle w:val="NotesText"/>
            </w:pPr>
          </w:p>
          <w:p w:rsidR="001E0858" w:rsidRPr="001E0858" w:rsidRDefault="001E0858" w:rsidP="00CA495D">
            <w:pPr>
              <w:pStyle w:val="NotesText"/>
              <w:rPr>
                <w:snapToGrid w:val="0"/>
              </w:rPr>
            </w:pPr>
            <w:r>
              <w:t xml:space="preserve">The </w:t>
            </w:r>
            <w:r w:rsidRPr="00EC7489">
              <w:rPr>
                <w:rFonts w:ascii="Wingdings 3" w:hAnsi="Wingdings 3"/>
              </w:rPr>
              <w:t></w:t>
            </w:r>
            <w:r w:rsidRPr="00EC7489">
              <w:rPr>
                <w:rFonts w:ascii="Wingdings 3" w:hAnsi="Wingdings 3"/>
              </w:rPr>
              <w:t></w:t>
            </w:r>
            <w:r w:rsidRPr="00EC7489">
              <w:rPr>
                <w:rFonts w:ascii="Wingdings 3" w:hAnsi="Wingdings 3"/>
              </w:rPr>
              <w:t></w:t>
            </w:r>
            <w:r>
              <w:t xml:space="preserve"> </w:t>
            </w:r>
            <w:r>
              <w:rPr>
                <w:rFonts w:cs="Arial"/>
              </w:rPr>
              <w:t>Lead Technologist</w:t>
            </w:r>
            <w:r>
              <w:rPr>
                <w:snapToGrid w:val="0"/>
              </w:rPr>
              <w:t xml:space="preserve"> </w:t>
            </w:r>
            <w:r w:rsidR="00915BD8">
              <w:rPr>
                <w:snapToGrid w:val="0"/>
              </w:rPr>
              <w:t>or</w:t>
            </w:r>
            <w:r>
              <w:rPr>
                <w:snapToGrid w:val="0"/>
              </w:rPr>
              <w:t xml:space="preserve"> above is authorized to issue antigen positive and untyped red blood cells.</w:t>
            </w:r>
          </w:p>
        </w:tc>
      </w:tr>
      <w:tr w:rsidR="002A21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3240" w:type="dxa"/>
            <w:tcBorders>
              <w:top w:val="single" w:sz="6" w:space="0" w:color="auto"/>
              <w:left w:val="single" w:sz="6" w:space="0" w:color="auto"/>
              <w:bottom w:val="single" w:sz="6" w:space="0" w:color="auto"/>
              <w:right w:val="single" w:sz="6" w:space="0" w:color="auto"/>
            </w:tcBorders>
          </w:tcPr>
          <w:p w:rsidR="002A21AE" w:rsidRDefault="002A21AE">
            <w:pPr>
              <w:pStyle w:val="TableTextNumbers"/>
            </w:pPr>
            <w:r>
              <w:t>Select a patient.</w:t>
            </w:r>
          </w:p>
        </w:tc>
        <w:tc>
          <w:tcPr>
            <w:tcW w:w="6120" w:type="dxa"/>
            <w:tcBorders>
              <w:top w:val="single" w:sz="6" w:space="0" w:color="auto"/>
              <w:left w:val="single" w:sz="6" w:space="0" w:color="auto"/>
              <w:bottom w:val="single" w:sz="6" w:space="0" w:color="auto"/>
              <w:right w:val="single" w:sz="6" w:space="0" w:color="auto"/>
            </w:tcBorders>
          </w:tcPr>
          <w:p w:rsidR="002A21AE" w:rsidRDefault="002A21AE">
            <w:pPr>
              <w:pStyle w:val="TableTextBullet"/>
            </w:pPr>
            <w:r>
              <w:t>Displays patient data, including entries that meet the entered patient criteria, and allows the user to select the correct patient.</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7616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37" name="Lin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6"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pGAFQIAAC0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KU6&#10;kYA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896F17">
            <w:pPr>
              <w:pStyle w:val="TableText"/>
              <w:ind w:left="360"/>
            </w:pPr>
            <w:r w:rsidRPr="00896F17">
              <w:rPr>
                <w:rStyle w:val="BullhornChar"/>
              </w:rPr>
              <w:t></w:t>
            </w:r>
            <w:r w:rsidRPr="00C51C45">
              <w:rPr>
                <w:rFonts w:ascii="Webdings" w:hAnsi="Webdings"/>
                <w:szCs w:val="22"/>
              </w:rPr>
              <w:t></w:t>
            </w:r>
            <w:r>
              <w:rPr>
                <w:rFonts w:cs="Arial"/>
                <w:szCs w:val="22"/>
              </w:rPr>
              <w:t>See</w:t>
            </w:r>
            <w:r w:rsidR="002A21AE">
              <w:t xml:space="preserve"> </w:t>
            </w:r>
            <w:r w:rsidR="00590097">
              <w:fldChar w:fldCharType="begin"/>
            </w:r>
            <w:r w:rsidR="00590097">
              <w:instrText xml:space="preserve"> REF _Ref126486291 \h </w:instrText>
            </w:r>
            <w:r w:rsidR="00590097">
              <w:fldChar w:fldCharType="separate"/>
            </w:r>
            <w:r w:rsidR="005F38BC">
              <w:t xml:space="preserve">Table </w:t>
            </w:r>
            <w:r w:rsidR="005F38BC">
              <w:rPr>
                <w:noProof/>
              </w:rPr>
              <w:t>7</w:t>
            </w:r>
            <w:r w:rsidR="00590097">
              <w:fldChar w:fldCharType="end"/>
            </w:r>
            <w:r w:rsidR="002A21AE">
              <w:t xml:space="preserve"> for alerts that may occur during this option.</w:t>
            </w:r>
          </w:p>
          <w:p w:rsidR="006E1BB2" w:rsidRDefault="006E1BB2">
            <w:pPr>
              <w:pStyle w:val="TableText"/>
              <w:ind w:left="360"/>
            </w:pPr>
          </w:p>
          <w:p w:rsidR="006E1BB2" w:rsidRDefault="006E1BB2" w:rsidP="006E1BB2">
            <w:pPr>
              <w:pStyle w:val="TableText"/>
              <w:ind w:left="720"/>
            </w:pPr>
            <w:r>
              <w:t xml:space="preserve">Not all possible error messages may display when multiple messages may apply to the unit/patient. Correction of any one of the patient/unit problems and </w:t>
            </w:r>
            <w:r w:rsidR="008C7599">
              <w:t xml:space="preserve">subsequent re-attempts </w:t>
            </w:r>
            <w:r>
              <w:t>to issue the unit to the patient will display another of the possible messages until all</w:t>
            </w:r>
            <w:r w:rsidR="008C7599">
              <w:t xml:space="preserve"> errors</w:t>
            </w:r>
            <w:r>
              <w:t xml:space="preserve"> are corrected. </w:t>
            </w:r>
            <w:r w:rsidRPr="006E1BB2">
              <w:rPr>
                <w:vanish/>
              </w:rPr>
              <w:t>DR 4808</w:t>
            </w:r>
          </w:p>
          <w:p w:rsidR="006E1BB2" w:rsidRDefault="006E1BB2" w:rsidP="006E1BB2">
            <w:pPr>
              <w:pStyle w:val="TableText"/>
              <w:ind w:left="720"/>
            </w:pPr>
          </w:p>
        </w:tc>
      </w:tr>
      <w:tr w:rsidR="002A21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3240" w:type="dxa"/>
            <w:tcBorders>
              <w:top w:val="single" w:sz="6" w:space="0" w:color="auto"/>
              <w:left w:val="single" w:sz="6" w:space="0" w:color="auto"/>
              <w:bottom w:val="single" w:sz="6" w:space="0" w:color="auto"/>
              <w:right w:val="single" w:sz="6" w:space="0" w:color="auto"/>
            </w:tcBorders>
          </w:tcPr>
          <w:p w:rsidR="002A21AE" w:rsidRDefault="002A21AE">
            <w:pPr>
              <w:pStyle w:val="TableTextNumbers"/>
            </w:pPr>
            <w:r>
              <w:t xml:space="preserve">Click </w:t>
            </w:r>
            <w:r>
              <w:rPr>
                <w:b/>
              </w:rPr>
              <w:t>OK</w:t>
            </w:r>
            <w:r>
              <w:t xml:space="preserve"> to verify that the correct patient was selected.</w:t>
            </w:r>
          </w:p>
        </w:tc>
        <w:tc>
          <w:tcPr>
            <w:tcW w:w="6120" w:type="dxa"/>
            <w:tcBorders>
              <w:top w:val="single" w:sz="6" w:space="0" w:color="auto"/>
              <w:left w:val="single" w:sz="6" w:space="0" w:color="auto"/>
              <w:bottom w:val="single" w:sz="6" w:space="0" w:color="auto"/>
              <w:right w:val="single" w:sz="6" w:space="0" w:color="auto"/>
            </w:tcBorders>
          </w:tcPr>
          <w:p w:rsidR="002A21AE" w:rsidRDefault="002A21AE" w:rsidP="003B4820">
            <w:pPr>
              <w:pStyle w:val="TableTextBullet"/>
            </w:pPr>
            <w:r>
              <w:t>Displays fields for the user to enter data for the issue transaction.</w:t>
            </w:r>
          </w:p>
        </w:tc>
      </w:tr>
      <w:tr w:rsidR="002A21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3240" w:type="dxa"/>
            <w:tcBorders>
              <w:top w:val="single" w:sz="6" w:space="0" w:color="auto"/>
              <w:left w:val="single" w:sz="6" w:space="0" w:color="auto"/>
              <w:bottom w:val="single" w:sz="6" w:space="0" w:color="auto"/>
              <w:right w:val="single" w:sz="6" w:space="0" w:color="auto"/>
            </w:tcBorders>
          </w:tcPr>
          <w:p w:rsidR="002A21AE" w:rsidRDefault="002A21AE">
            <w:pPr>
              <w:pStyle w:val="TableTextNumbers"/>
            </w:pPr>
            <w:r>
              <w:t xml:space="preserve">Enter the required </w:t>
            </w:r>
            <w:r w:rsidR="003B4820">
              <w:t>data in the transporter name, issue-to location, and date and time fields</w:t>
            </w:r>
            <w:r w:rsidR="00A04663">
              <w:t xml:space="preserve"> </w:t>
            </w:r>
            <w:r w:rsidR="003767D2">
              <w:t>(</w:t>
            </w:r>
            <w:r w:rsidR="003767D2">
              <w:fldChar w:fldCharType="begin"/>
            </w:r>
            <w:r w:rsidR="003767D2">
              <w:instrText xml:space="preserve"> REF _Ref127093318 \h </w:instrText>
            </w:r>
            <w:r w:rsidR="003767D2">
              <w:fldChar w:fldCharType="separate"/>
            </w:r>
            <w:r w:rsidR="005F38BC">
              <w:t xml:space="preserve">Figure </w:t>
            </w:r>
            <w:r w:rsidR="005F38BC">
              <w:rPr>
                <w:noProof/>
              </w:rPr>
              <w:t>96</w:t>
            </w:r>
            <w:r w:rsidR="003767D2">
              <w:fldChar w:fldCharType="end"/>
            </w:r>
            <w:r w:rsidR="003767D2">
              <w:t>)</w:t>
            </w:r>
            <w:r>
              <w:t>.</w:t>
            </w:r>
          </w:p>
          <w:p w:rsidR="003B4820" w:rsidRDefault="003B4820" w:rsidP="003B4820">
            <w:pPr>
              <w:pStyle w:val="TableTextNumbersContinued"/>
            </w:pPr>
          </w:p>
          <w:p w:rsidR="003B4820" w:rsidRPr="003B4820" w:rsidRDefault="003B4820" w:rsidP="003B4820">
            <w:pPr>
              <w:pStyle w:val="TableTextNumbersContinued"/>
            </w:pPr>
            <w:r>
              <w:t xml:space="preserve">Click </w:t>
            </w:r>
            <w:r>
              <w:rPr>
                <w:b/>
              </w:rPr>
              <w:t>OK</w:t>
            </w:r>
            <w:r w:rsidRPr="003B4820">
              <w:t>.</w:t>
            </w:r>
          </w:p>
        </w:tc>
        <w:tc>
          <w:tcPr>
            <w:tcW w:w="6120" w:type="dxa"/>
            <w:tcBorders>
              <w:top w:val="single" w:sz="6" w:space="0" w:color="auto"/>
              <w:left w:val="single" w:sz="6" w:space="0" w:color="auto"/>
              <w:bottom w:val="single" w:sz="6" w:space="0" w:color="auto"/>
              <w:right w:val="single" w:sz="6" w:space="0" w:color="auto"/>
            </w:tcBorders>
          </w:tcPr>
          <w:p w:rsidR="003B4820" w:rsidRDefault="003B4820" w:rsidP="003B4820">
            <w:pPr>
              <w:pStyle w:val="TableText"/>
            </w:pPr>
          </w:p>
          <w:p w:rsidR="003B4820" w:rsidRDefault="00634BFC" w:rsidP="003B4820">
            <w:pPr>
              <w:pStyle w:val="TableText"/>
              <w:rPr>
                <w:b/>
                <w:bCs/>
                <w:szCs w:val="18"/>
              </w:rPr>
            </w:pPr>
            <w:r>
              <w:rPr>
                <w:b/>
                <w:bCs/>
                <w:noProof/>
              </w:rPr>
              <mc:AlternateContent>
                <mc:Choice Requires="wps">
                  <w:drawing>
                    <wp:anchor distT="0" distB="0" distL="114300" distR="114300" simplePos="0" relativeHeight="25177241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36" name="Line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7" o:spid="_x0000_s1026" style="position:absolute;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Bg9FgIAAC4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BB&#10;bBg9FgIAAC4EAAAOAAAAAAAAAAAAAAAAAC4CAABkcnMvZTJvRG9jLnhtbFBLAQItABQABgAIAAAA&#10;IQAXTzAS2wAAAAgBAAAPAAAAAAAAAAAAAAAAAHAEAABkcnMvZG93bnJldi54bWxQSwUGAAAAAAQA&#10;BADzAAAAeAUAAAAA&#10;" strokeweight="1.5pt"/>
                  </w:pict>
                </mc:Fallback>
              </mc:AlternateContent>
            </w:r>
            <w:r w:rsidR="003B4820">
              <w:rPr>
                <w:b/>
                <w:bCs/>
                <w:szCs w:val="18"/>
              </w:rPr>
              <w:t>NOTES</w:t>
            </w:r>
          </w:p>
          <w:p w:rsidR="003B4820" w:rsidRDefault="003B4820" w:rsidP="003B4820">
            <w:pPr>
              <w:pStyle w:val="NotesText"/>
            </w:pPr>
          </w:p>
          <w:p w:rsidR="003B4820" w:rsidRDefault="003B4820" w:rsidP="003B4820">
            <w:pPr>
              <w:pStyle w:val="NotesText"/>
            </w:pPr>
            <w:r>
              <w:rPr>
                <w:rFonts w:cs="Arial"/>
                <w:vanish/>
              </w:rPr>
              <w:t xml:space="preserve">BR_73.01 </w:t>
            </w:r>
            <w:r>
              <w:t>The user may edit the transfusion-ordering clinician, which does not change the blood-ordering clinician.</w:t>
            </w:r>
          </w:p>
          <w:p w:rsidR="003B4820" w:rsidRDefault="003B4820" w:rsidP="003B4820">
            <w:pPr>
              <w:pStyle w:val="NotesText"/>
            </w:pPr>
          </w:p>
          <w:p w:rsidR="003B4820" w:rsidRDefault="003B4820" w:rsidP="003B4820">
            <w:pPr>
              <w:pStyle w:val="NotesText"/>
            </w:pPr>
            <w:r>
              <w:rPr>
                <w:rFonts w:cs="Arial"/>
                <w:vanish/>
              </w:rPr>
              <w:t xml:space="preserve">BR_73.18 </w:t>
            </w:r>
            <w:r>
              <w:t xml:space="preserve">When the user updates the transfusion-ordering-clinician field, </w:t>
            </w:r>
            <w:r>
              <w:lastRenderedPageBreak/>
              <w:t xml:space="preserve">VistALink queries </w:t>
            </w:r>
            <w:r w:rsidRPr="00CA0045">
              <w:rPr>
                <w:bCs/>
              </w:rPr>
              <w:t>VistA</w:t>
            </w:r>
            <w:r>
              <w:t xml:space="preserve"> for valid providers only. The user may narrow the search by entering the provider’s name.</w:t>
            </w:r>
          </w:p>
          <w:p w:rsidR="003B4820" w:rsidRDefault="003B4820" w:rsidP="003B4820">
            <w:pPr>
              <w:pStyle w:val="NotesText"/>
            </w:pPr>
          </w:p>
          <w:p w:rsidR="003B4820" w:rsidRDefault="003B4820" w:rsidP="003B4820">
            <w:pPr>
              <w:pStyle w:val="NotesText"/>
            </w:pPr>
            <w:r>
              <w:rPr>
                <w:rFonts w:cs="Arial"/>
                <w:vanish/>
              </w:rPr>
              <w:t xml:space="preserve">BR_73.08 </w:t>
            </w:r>
            <w:r>
              <w:t>The user may edit the issue date and time (default: current date and time) to allow retrospective data entry; no future issue date or time is allowed. When the issue time is incorrect, the user must undo the issue and reissue the unit with the correct date and time.</w:t>
            </w:r>
          </w:p>
          <w:p w:rsidR="003B4820" w:rsidRDefault="003B4820" w:rsidP="003B4820">
            <w:pPr>
              <w:pStyle w:val="NotesText"/>
            </w:pPr>
          </w:p>
          <w:p w:rsidR="003B4820" w:rsidRDefault="003B4820" w:rsidP="003B4820">
            <w:pPr>
              <w:pStyle w:val="NotesText"/>
            </w:pPr>
            <w:r>
              <w:rPr>
                <w:vanish/>
                <w:szCs w:val="18"/>
              </w:rPr>
              <w:t xml:space="preserve">BR_73.09, BR_30.02 </w:t>
            </w:r>
            <w:r>
              <w:t>A remote storage indicator is optional (default: No).The transporter name field allows free text and does not display a selection list. The issue-to location lists current hospital locations provided by VistALink, including the inpatient or outpatient location indicator (</w:t>
            </w:r>
            <w:r w:rsidRPr="00CA0045">
              <w:rPr>
                <w:bCs/>
              </w:rPr>
              <w:t>VistA</w:t>
            </w:r>
            <w:r>
              <w:t xml:space="preserve"> refers to this as a “patient class”). This is related to billing reimbursement and is not an enabled field in the issue option.</w:t>
            </w:r>
          </w:p>
          <w:p w:rsidR="00102607" w:rsidRDefault="00102607" w:rsidP="003B4820">
            <w:pPr>
              <w:pStyle w:val="NotesText"/>
            </w:pPr>
          </w:p>
          <w:p w:rsidR="00102607" w:rsidRDefault="00102607" w:rsidP="003B4820">
            <w:pPr>
              <w:pStyle w:val="NotesText"/>
            </w:pPr>
            <w:r>
              <w:t xml:space="preserve">A user could return the unit from issue and reissue it with a hospital location when VistALink is up again. </w:t>
            </w:r>
            <w:r w:rsidRPr="00102607">
              <w:rPr>
                <w:vanish/>
              </w:rPr>
              <w:t>DR 5073</w:t>
            </w:r>
          </w:p>
          <w:p w:rsidR="003B4820" w:rsidRDefault="003B4820" w:rsidP="003B4820">
            <w:pPr>
              <w:pStyle w:val="NotesText"/>
              <w:rPr>
                <w:rFonts w:cs="Arial"/>
              </w:rPr>
            </w:pPr>
          </w:p>
          <w:p w:rsidR="003B4820" w:rsidRDefault="003B4820" w:rsidP="003B4820">
            <w:pPr>
              <w:pStyle w:val="NotesText"/>
            </w:pPr>
            <w:r>
              <w:rPr>
                <w:rFonts w:cs="Arial"/>
                <w:vanish/>
              </w:rPr>
              <w:t xml:space="preserve">BR_73.34 </w:t>
            </w:r>
            <w:r>
              <w:t>When a remote storage location indicator is checked, the user may select from a list of previously entered locations or enter a new, free-text location. Each location entered and saved is available for future selection as a remote location.</w:t>
            </w:r>
          </w:p>
        </w:tc>
      </w:tr>
      <w:tr w:rsidR="002A21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3240" w:type="dxa"/>
            <w:tcBorders>
              <w:top w:val="single" w:sz="6" w:space="0" w:color="auto"/>
              <w:left w:val="single" w:sz="6" w:space="0" w:color="auto"/>
              <w:bottom w:val="single" w:sz="6" w:space="0" w:color="auto"/>
              <w:right w:val="single" w:sz="6" w:space="0" w:color="auto"/>
            </w:tcBorders>
          </w:tcPr>
          <w:p w:rsidR="002A21AE" w:rsidRDefault="002A21AE" w:rsidP="003B7F11">
            <w:pPr>
              <w:pStyle w:val="TableTextNumbers"/>
            </w:pPr>
            <w:r>
              <w:lastRenderedPageBreak/>
              <w:t xml:space="preserve">Scan </w:t>
            </w:r>
            <w:r w:rsidR="00323155">
              <w:t xml:space="preserve">the unit ID and product code, </w:t>
            </w:r>
            <w:r>
              <w:t>or click one or more check boxes to select units for issue to the selected patient</w:t>
            </w:r>
            <w:r w:rsidR="003767D2">
              <w:t xml:space="preserve"> (</w:t>
            </w:r>
            <w:r w:rsidR="00AA68B2">
              <w:fldChar w:fldCharType="begin"/>
            </w:r>
            <w:r w:rsidR="00AA68B2">
              <w:instrText xml:space="preserve"> REF _Ref127093568 \h </w:instrText>
            </w:r>
            <w:r w:rsidR="00AA68B2">
              <w:fldChar w:fldCharType="separate"/>
            </w:r>
            <w:r w:rsidR="005F38BC">
              <w:t xml:space="preserve">Figure </w:t>
            </w:r>
            <w:r w:rsidR="005F38BC">
              <w:rPr>
                <w:noProof/>
              </w:rPr>
              <w:t>97</w:t>
            </w:r>
            <w:r w:rsidR="00AA68B2">
              <w:fldChar w:fldCharType="end"/>
            </w:r>
            <w:r w:rsidR="003767D2">
              <w:t>)</w:t>
            </w:r>
            <w:r>
              <w:t>.</w:t>
            </w:r>
          </w:p>
        </w:tc>
        <w:tc>
          <w:tcPr>
            <w:tcW w:w="6120" w:type="dxa"/>
            <w:tcBorders>
              <w:top w:val="single" w:sz="6" w:space="0" w:color="auto"/>
              <w:left w:val="single" w:sz="6" w:space="0" w:color="auto"/>
              <w:bottom w:val="single" w:sz="6" w:space="0" w:color="auto"/>
              <w:right w:val="single" w:sz="6" w:space="0" w:color="auto"/>
            </w:tcBorders>
          </w:tcPr>
          <w:p w:rsidR="005D4DA6" w:rsidRDefault="005D4DA6" w:rsidP="005D4DA6">
            <w:pPr>
              <w:pStyle w:val="TableTextBullet"/>
            </w:pPr>
            <w:r>
              <w:t xml:space="preserve">Displays the option to select units from the Assigned Units or Emergency Issue Units tabs. </w:t>
            </w:r>
          </w:p>
          <w:p w:rsidR="002A21AE" w:rsidRDefault="002A21AE">
            <w:pPr>
              <w:pStyle w:val="TableTextBullet"/>
              <w:tabs>
                <w:tab w:val="num" w:pos="360"/>
              </w:tabs>
            </w:pPr>
            <w:r>
              <w:t xml:space="preserve">Lists the selected units, allows the user to select additional units or deselect units, and prompts the user to indicate that the selections are complete. </w:t>
            </w:r>
          </w:p>
          <w:p w:rsidR="006709A3" w:rsidRDefault="006709A3" w:rsidP="006709A3">
            <w:pPr>
              <w:pStyle w:val="TableTextBullet"/>
              <w:tabs>
                <w:tab w:val="num" w:pos="360"/>
              </w:tabs>
            </w:pPr>
            <w:r>
              <w:t>Allows the user to select the unsatisfactory unit and edit its issue selections.</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7718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35" name="Line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8"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dOiFQ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BPd&#10;06I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896F17">
            <w:pPr>
              <w:pStyle w:val="NotesText"/>
            </w:pPr>
            <w:r w:rsidRPr="00896F17">
              <w:rPr>
                <w:rStyle w:val="BullhornChar"/>
              </w:rPr>
              <w:t></w:t>
            </w:r>
            <w:r w:rsidRPr="00C51C45">
              <w:rPr>
                <w:rFonts w:ascii="Webdings" w:hAnsi="Webdings"/>
                <w:szCs w:val="22"/>
              </w:rPr>
              <w:t></w:t>
            </w:r>
            <w:r>
              <w:rPr>
                <w:rFonts w:cs="Arial"/>
                <w:szCs w:val="22"/>
              </w:rPr>
              <w:t>See</w:t>
            </w:r>
            <w:r>
              <w:t xml:space="preserve"> </w:t>
            </w:r>
            <w:r w:rsidR="00590097">
              <w:fldChar w:fldCharType="begin"/>
            </w:r>
            <w:r w:rsidR="00590097">
              <w:instrText xml:space="preserve"> REF _Ref126486291 \h </w:instrText>
            </w:r>
            <w:r w:rsidR="00590097">
              <w:fldChar w:fldCharType="separate"/>
            </w:r>
            <w:r w:rsidR="005F38BC">
              <w:t xml:space="preserve">Table </w:t>
            </w:r>
            <w:r w:rsidR="005F38BC">
              <w:rPr>
                <w:noProof/>
              </w:rPr>
              <w:t>7</w:t>
            </w:r>
            <w:r w:rsidR="00590097">
              <w:fldChar w:fldCharType="end"/>
            </w:r>
            <w:r w:rsidR="002A21AE">
              <w:t xml:space="preserve"> for alerts that may occur during this option.</w:t>
            </w:r>
          </w:p>
          <w:p w:rsidR="00336F17" w:rsidRDefault="00336F17" w:rsidP="00336F17">
            <w:pPr>
              <w:pStyle w:val="NotesText"/>
            </w:pPr>
          </w:p>
          <w:p w:rsidR="00336F17" w:rsidRPr="003A05F7" w:rsidRDefault="00336F17" w:rsidP="00336F17">
            <w:pPr>
              <w:pStyle w:val="NotesText"/>
              <w:rPr>
                <w:sz w:val="16"/>
                <w:szCs w:val="16"/>
              </w:rPr>
            </w:pPr>
            <w:r w:rsidRPr="003A05F7">
              <w:rPr>
                <w:vanish/>
                <w:sz w:val="16"/>
                <w:szCs w:val="16"/>
              </w:rPr>
              <w:t xml:space="preserve">BR_73.35 </w:t>
            </w:r>
            <w:r w:rsidRPr="003A05F7">
              <w:rPr>
                <w:sz w:val="16"/>
                <w:szCs w:val="16"/>
              </w:rPr>
              <w:t>When the user attempts to issue a unit with an inconclusive crossmatch result, VBECS warns the user that the repeat crossmatch is required before the unit can be issued.</w:t>
            </w:r>
          </w:p>
          <w:p w:rsidR="00336F17" w:rsidRPr="003A05F7" w:rsidRDefault="00336F17" w:rsidP="00336F17">
            <w:pPr>
              <w:pStyle w:val="NotesText"/>
              <w:rPr>
                <w:sz w:val="16"/>
                <w:szCs w:val="16"/>
              </w:rPr>
            </w:pPr>
          </w:p>
          <w:p w:rsidR="00336F17" w:rsidRPr="003A05F7" w:rsidRDefault="00336F17" w:rsidP="00336F17">
            <w:pPr>
              <w:pStyle w:val="NotesText"/>
              <w:rPr>
                <w:sz w:val="16"/>
                <w:szCs w:val="16"/>
              </w:rPr>
            </w:pPr>
            <w:r w:rsidRPr="003A05F7">
              <w:rPr>
                <w:vanish/>
                <w:sz w:val="16"/>
                <w:szCs w:val="16"/>
              </w:rPr>
              <w:t xml:space="preserve">BR_73.13 </w:t>
            </w:r>
            <w:r w:rsidRPr="003A05F7">
              <w:rPr>
                <w:sz w:val="16"/>
                <w:szCs w:val="16"/>
              </w:rPr>
              <w:t>When the user attempts to issue a unit that is not assigned or crossmatched to the patient, VBECS warns the user that the unit is not assigned to the patient and allows the user to enter another unit number.</w:t>
            </w:r>
          </w:p>
          <w:p w:rsidR="00336F17" w:rsidRPr="003A05F7" w:rsidRDefault="00336F17" w:rsidP="00336F17">
            <w:pPr>
              <w:pStyle w:val="NotesText"/>
              <w:rPr>
                <w:sz w:val="16"/>
                <w:szCs w:val="16"/>
              </w:rPr>
            </w:pPr>
          </w:p>
          <w:p w:rsidR="002A21AE" w:rsidRPr="003A05F7" w:rsidRDefault="002A21AE" w:rsidP="00336F17">
            <w:pPr>
              <w:pStyle w:val="NotesText"/>
              <w:rPr>
                <w:sz w:val="16"/>
                <w:szCs w:val="16"/>
              </w:rPr>
            </w:pPr>
            <w:r w:rsidRPr="003A05F7">
              <w:rPr>
                <w:rFonts w:cs="Arial"/>
                <w:vanish/>
                <w:sz w:val="16"/>
                <w:szCs w:val="16"/>
              </w:rPr>
              <w:t xml:space="preserve">BR_73.26 </w:t>
            </w:r>
            <w:r w:rsidRPr="003A05F7">
              <w:rPr>
                <w:sz w:val="16"/>
                <w:szCs w:val="16"/>
              </w:rPr>
              <w:t>When</w:t>
            </w:r>
            <w:r w:rsidR="003E1D32" w:rsidRPr="003A05F7">
              <w:rPr>
                <w:sz w:val="16"/>
                <w:szCs w:val="16"/>
              </w:rPr>
              <w:t xml:space="preserve"> required by</w:t>
            </w:r>
            <w:r w:rsidR="00CF47D5" w:rsidRPr="003A05F7">
              <w:rPr>
                <w:sz w:val="16"/>
                <w:szCs w:val="16"/>
              </w:rPr>
              <w:t xml:space="preserve"> the component</w:t>
            </w:r>
            <w:r w:rsidRPr="003A05F7">
              <w:rPr>
                <w:sz w:val="16"/>
                <w:szCs w:val="16"/>
              </w:rPr>
              <w:t xml:space="preserve">, the unit must have a satisfactory ABO/Rh confirmation result before it is considered available for issue (emergency or routine) and the Caution Tag and BTRF may be generated. </w:t>
            </w:r>
          </w:p>
          <w:p w:rsidR="002A21AE" w:rsidRPr="003A05F7" w:rsidRDefault="002A21AE">
            <w:pPr>
              <w:pStyle w:val="NotesText"/>
              <w:rPr>
                <w:sz w:val="16"/>
                <w:szCs w:val="16"/>
              </w:rPr>
            </w:pPr>
          </w:p>
          <w:p w:rsidR="00AE062E" w:rsidRPr="003A05F7" w:rsidRDefault="002A21AE" w:rsidP="00102A03">
            <w:pPr>
              <w:pStyle w:val="NotesText"/>
              <w:rPr>
                <w:sz w:val="16"/>
                <w:szCs w:val="16"/>
              </w:rPr>
            </w:pPr>
            <w:r w:rsidRPr="003A05F7">
              <w:rPr>
                <w:rFonts w:cs="Arial"/>
                <w:vanish/>
                <w:sz w:val="16"/>
                <w:szCs w:val="16"/>
              </w:rPr>
              <w:t xml:space="preserve">BR_3.42 </w:t>
            </w:r>
            <w:r w:rsidRPr="003A05F7">
              <w:rPr>
                <w:sz w:val="16"/>
                <w:szCs w:val="16"/>
              </w:rPr>
              <w:t>When a current specimen is required, VBECS compares the current and previous ABO/Rh results. It does not evaluate results marked “Test Result Invalidated.”</w:t>
            </w:r>
          </w:p>
          <w:p w:rsidR="00336F17" w:rsidRPr="003A05F7" w:rsidRDefault="00336F17" w:rsidP="00336F17">
            <w:pPr>
              <w:pStyle w:val="NotesText"/>
              <w:rPr>
                <w:sz w:val="16"/>
                <w:szCs w:val="16"/>
              </w:rPr>
            </w:pPr>
          </w:p>
          <w:p w:rsidR="00336F17" w:rsidRPr="003A05F7" w:rsidRDefault="00336F17" w:rsidP="00336F17">
            <w:pPr>
              <w:pStyle w:val="NotesText"/>
              <w:rPr>
                <w:sz w:val="16"/>
                <w:szCs w:val="16"/>
              </w:rPr>
            </w:pPr>
            <w:r w:rsidRPr="003A05F7">
              <w:rPr>
                <w:vanish/>
                <w:sz w:val="16"/>
                <w:szCs w:val="16"/>
              </w:rPr>
              <w:t xml:space="preserve">BR_73.23 </w:t>
            </w:r>
            <w:r w:rsidRPr="003A05F7">
              <w:rPr>
                <w:sz w:val="16"/>
                <w:szCs w:val="16"/>
              </w:rPr>
              <w:t>To issue blood components that require a crossmatch, the TAS must be completed and the unit status must be crossmatched to the patient.</w:t>
            </w:r>
          </w:p>
          <w:p w:rsidR="00AB3D10" w:rsidRPr="003A05F7" w:rsidRDefault="00AB3D10" w:rsidP="00336F17">
            <w:pPr>
              <w:pStyle w:val="NotesText"/>
              <w:rPr>
                <w:sz w:val="16"/>
                <w:szCs w:val="16"/>
              </w:rPr>
            </w:pPr>
          </w:p>
          <w:p w:rsidR="00AB3D10" w:rsidRPr="003A05F7" w:rsidRDefault="00AB3D10" w:rsidP="003A05F7">
            <w:pPr>
              <w:pStyle w:val="NotesText"/>
              <w:rPr>
                <w:sz w:val="16"/>
                <w:szCs w:val="16"/>
              </w:rPr>
            </w:pPr>
            <w:r w:rsidRPr="003A05F7">
              <w:rPr>
                <w:sz w:val="16"/>
                <w:szCs w:val="16"/>
              </w:rPr>
              <w:t xml:space="preserve">Whole blood is not allowed for </w:t>
            </w:r>
            <w:r w:rsidR="008C7599" w:rsidRPr="003A05F7">
              <w:rPr>
                <w:sz w:val="16"/>
                <w:szCs w:val="16"/>
              </w:rPr>
              <w:t xml:space="preserve">the </w:t>
            </w:r>
            <w:r w:rsidR="00FB3CC8" w:rsidRPr="003A05F7">
              <w:rPr>
                <w:sz w:val="16"/>
                <w:szCs w:val="16"/>
              </w:rPr>
              <w:t>emergency issue process. C</w:t>
            </w:r>
            <w:r w:rsidRPr="003A05F7">
              <w:rPr>
                <w:sz w:val="16"/>
                <w:szCs w:val="16"/>
              </w:rPr>
              <w:t xml:space="preserve">ompleted Type and Screen and compatible crossmatch </w:t>
            </w:r>
            <w:r w:rsidR="00FB3CC8" w:rsidRPr="003A05F7">
              <w:rPr>
                <w:sz w:val="16"/>
                <w:szCs w:val="16"/>
              </w:rPr>
              <w:t>tests are</w:t>
            </w:r>
            <w:r w:rsidRPr="003A05F7">
              <w:rPr>
                <w:sz w:val="16"/>
                <w:szCs w:val="16"/>
              </w:rPr>
              <w:t xml:space="preserve"> required for whole blood issuance. </w:t>
            </w:r>
            <w:r w:rsidRPr="003A05F7">
              <w:rPr>
                <w:vanish/>
                <w:sz w:val="16"/>
                <w:szCs w:val="16"/>
              </w:rPr>
              <w:t>DR 4811</w:t>
            </w:r>
            <w:r w:rsidR="003D719C" w:rsidRPr="003A05F7">
              <w:rPr>
                <w:vanish/>
                <w:sz w:val="16"/>
                <w:szCs w:val="16"/>
              </w:rPr>
              <w:t xml:space="preserve"> DR 4854</w:t>
            </w:r>
          </w:p>
        </w:tc>
      </w:tr>
      <w:tr w:rsidR="002A21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3240" w:type="dxa"/>
            <w:tcBorders>
              <w:top w:val="single" w:sz="6" w:space="0" w:color="auto"/>
              <w:left w:val="single" w:sz="6" w:space="0" w:color="auto"/>
              <w:bottom w:val="single" w:sz="6" w:space="0" w:color="auto"/>
              <w:right w:val="single" w:sz="6" w:space="0" w:color="auto"/>
            </w:tcBorders>
          </w:tcPr>
          <w:p w:rsidR="002A21AE" w:rsidRDefault="002A21AE">
            <w:pPr>
              <w:pStyle w:val="TableTextNumbers"/>
            </w:pPr>
            <w:r>
              <w:lastRenderedPageBreak/>
              <w:t xml:space="preserve">Click </w:t>
            </w:r>
            <w:r>
              <w:rPr>
                <w:b/>
              </w:rPr>
              <w:t>OK</w:t>
            </w:r>
            <w:r>
              <w:t xml:space="preserve"> </w:t>
            </w:r>
            <w:r w:rsidR="00A304AE">
              <w:t>to save and complete the unit issue</w:t>
            </w:r>
            <w:r>
              <w:t>.</w:t>
            </w:r>
          </w:p>
        </w:tc>
        <w:tc>
          <w:tcPr>
            <w:tcW w:w="6120" w:type="dxa"/>
            <w:tcBorders>
              <w:top w:val="single" w:sz="6" w:space="0" w:color="auto"/>
              <w:left w:val="single" w:sz="6" w:space="0" w:color="auto"/>
              <w:bottom w:val="single" w:sz="6" w:space="0" w:color="auto"/>
              <w:right w:val="single" w:sz="6" w:space="0" w:color="auto"/>
            </w:tcBorders>
          </w:tcPr>
          <w:p w:rsidR="002A21AE" w:rsidRDefault="002A21AE">
            <w:pPr>
              <w:pStyle w:val="TableTextBullet"/>
              <w:tabs>
                <w:tab w:val="num" w:pos="360"/>
              </w:tabs>
            </w:pPr>
            <w:r>
              <w:t xml:space="preserve">Displays entries for review and editing. </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7820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34" name="Line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9"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UQkFQIAAC0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MMp&#10;RCQ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BR_73.24 </w:t>
            </w:r>
            <w:r>
              <w:t>When the user selects multiple units for a patient and creates a batch for issue, all units in the batch are issued simultaneously to the same location. VBECS assigns the issue information to all units in the batch. The user may not enter different information, including any override comment, for an individual unit in the batch.</w:t>
            </w:r>
          </w:p>
        </w:tc>
      </w:tr>
      <w:tr w:rsidR="002A21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3240" w:type="dxa"/>
            <w:tcBorders>
              <w:top w:val="single" w:sz="6" w:space="0" w:color="auto"/>
              <w:left w:val="single" w:sz="6" w:space="0" w:color="auto"/>
              <w:bottom w:val="single" w:sz="6" w:space="0" w:color="auto"/>
              <w:right w:val="single" w:sz="6" w:space="0" w:color="auto"/>
            </w:tcBorders>
          </w:tcPr>
          <w:p w:rsidR="002A21AE" w:rsidRDefault="002A21AE">
            <w:pPr>
              <w:pStyle w:val="TableTextNumbers"/>
            </w:pPr>
            <w:r>
              <w:t xml:space="preserve">Click </w:t>
            </w:r>
            <w:r>
              <w:rPr>
                <w:b/>
              </w:rPr>
              <w:t>Yes</w:t>
            </w:r>
            <w:r>
              <w:t xml:space="preserve"> when the unit is satisfactory to save, or </w:t>
            </w:r>
            <w:r>
              <w:rPr>
                <w:b/>
              </w:rPr>
              <w:t>No</w:t>
            </w:r>
            <w:r>
              <w:t xml:space="preserve"> when the unit is unsatisfactory.</w:t>
            </w:r>
          </w:p>
          <w:p w:rsidR="002A21AE" w:rsidRDefault="002A21AE">
            <w:pPr>
              <w:pStyle w:val="TableTextNumbers"/>
              <w:numPr>
                <w:ilvl w:val="0"/>
                <w:numId w:val="0"/>
              </w:numPr>
            </w:pPr>
          </w:p>
        </w:tc>
        <w:tc>
          <w:tcPr>
            <w:tcW w:w="6120" w:type="dxa"/>
            <w:tcBorders>
              <w:top w:val="single" w:sz="6" w:space="0" w:color="auto"/>
              <w:left w:val="single" w:sz="6" w:space="0" w:color="auto"/>
              <w:bottom w:val="single" w:sz="6" w:space="0" w:color="auto"/>
              <w:right w:val="single" w:sz="6" w:space="0" w:color="auto"/>
            </w:tcBorders>
          </w:tcPr>
          <w:p w:rsidR="002A21AE" w:rsidRDefault="002A21AE">
            <w:pPr>
              <w:pStyle w:val="TableTextBullet"/>
              <w:tabs>
                <w:tab w:val="num" w:pos="360"/>
              </w:tabs>
            </w:pPr>
            <w:r>
              <w:t>Saves the data.</w:t>
            </w:r>
          </w:p>
          <w:p w:rsidR="002A21AE" w:rsidRDefault="002A21AE" w:rsidP="006709A3">
            <w:pPr>
              <w:pStyle w:val="TableTextBullet"/>
              <w:tabs>
                <w:tab w:val="num" w:pos="360"/>
              </w:tabs>
            </w:pPr>
            <w:r>
              <w:t>Displays the unit inspection indicator (satisfactory or unsatisfactory) listing each selected unit.</w:t>
            </w:r>
          </w:p>
          <w:p w:rsidR="00750533" w:rsidRPr="009F2DE7" w:rsidRDefault="00750533" w:rsidP="00750533">
            <w:pPr>
              <w:pStyle w:val="TableTextBullet"/>
              <w:tabs>
                <w:tab w:val="num" w:pos="360"/>
              </w:tabs>
            </w:pPr>
            <w:r>
              <w:rPr>
                <w:rFonts w:cs="Arial"/>
                <w:szCs w:val="18"/>
              </w:rPr>
              <w:t>S</w:t>
            </w:r>
            <w:r w:rsidRPr="00B1287E">
              <w:rPr>
                <w:rFonts w:cs="Arial"/>
                <w:szCs w:val="18"/>
              </w:rPr>
              <w:t>ends</w:t>
            </w:r>
            <w:r>
              <w:rPr>
                <w:rFonts w:cs="Arial"/>
                <w:szCs w:val="18"/>
              </w:rPr>
              <w:t xml:space="preserve"> updated</w:t>
            </w:r>
            <w:r w:rsidRPr="00B1287E">
              <w:rPr>
                <w:rFonts w:cs="Arial"/>
                <w:szCs w:val="18"/>
              </w:rPr>
              <w:t xml:space="preserve"> patient and blood unit</w:t>
            </w:r>
            <w:r>
              <w:rPr>
                <w:rFonts w:cs="Arial"/>
                <w:szCs w:val="18"/>
              </w:rPr>
              <w:t xml:space="preserve"> information t</w:t>
            </w:r>
            <w:r w:rsidRPr="00B1287E">
              <w:rPr>
                <w:rFonts w:cs="Arial"/>
                <w:szCs w:val="18"/>
              </w:rPr>
              <w:t>o the BCE COTS system via an HL7 message.</w:t>
            </w:r>
          </w:p>
          <w:p w:rsidR="009F2DE7" w:rsidRPr="00B25E96" w:rsidRDefault="009F2DE7" w:rsidP="00750533">
            <w:pPr>
              <w:pStyle w:val="TableTextBullet"/>
              <w:tabs>
                <w:tab w:val="num" w:pos="360"/>
              </w:tabs>
            </w:pPr>
            <w:r w:rsidRPr="00B25E96">
              <w:rPr>
                <w:rFonts w:cs="Arial"/>
                <w:szCs w:val="18"/>
              </w:rPr>
              <w:t xml:space="preserve">Sends updated patient and blood unit information to the BCE COTS system via an HL7 message. The message contains the date time when VBECS creates the message and not the date time the user selects the unit for issue. </w:t>
            </w:r>
            <w:r w:rsidRPr="00B25E96">
              <w:rPr>
                <w:rFonts w:cs="Arial"/>
                <w:vanish/>
                <w:szCs w:val="18"/>
              </w:rPr>
              <w:t>DR 4334</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7923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33" name="Line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0"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sbnFQIAAC0EAAAOAAAAZHJzL2Uyb0RvYy54bWysU8GO2jAQvVfqP1i+QxLIUo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EJy&#10;xuc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896F17">
            <w:pPr>
              <w:pStyle w:val="TableText"/>
              <w:ind w:left="360"/>
            </w:pPr>
            <w:r w:rsidRPr="00896F17">
              <w:rPr>
                <w:rStyle w:val="BullhornChar"/>
              </w:rPr>
              <w:t></w:t>
            </w:r>
            <w:r w:rsidRPr="00C51C45">
              <w:rPr>
                <w:rFonts w:ascii="Webdings" w:hAnsi="Webdings"/>
                <w:szCs w:val="22"/>
              </w:rPr>
              <w:t></w:t>
            </w:r>
            <w:r>
              <w:rPr>
                <w:rFonts w:cs="Arial"/>
                <w:szCs w:val="22"/>
              </w:rPr>
              <w:t>See</w:t>
            </w:r>
            <w:r w:rsidR="002A21AE">
              <w:t xml:space="preserve"> </w:t>
            </w:r>
            <w:r w:rsidR="00590097">
              <w:fldChar w:fldCharType="begin"/>
            </w:r>
            <w:r w:rsidR="00590097">
              <w:instrText xml:space="preserve"> REF _Ref126486291 \h </w:instrText>
            </w:r>
            <w:r w:rsidR="00590097">
              <w:fldChar w:fldCharType="separate"/>
            </w:r>
            <w:r w:rsidR="005F38BC">
              <w:t xml:space="preserve">Table </w:t>
            </w:r>
            <w:r w:rsidR="005F38BC">
              <w:rPr>
                <w:noProof/>
              </w:rPr>
              <w:t>7</w:t>
            </w:r>
            <w:r w:rsidR="00590097">
              <w:fldChar w:fldCharType="end"/>
            </w:r>
            <w:r w:rsidR="002A21AE">
              <w:t xml:space="preserve"> for alerts that may occur during this option.</w:t>
            </w:r>
          </w:p>
          <w:p w:rsidR="009F2DE7" w:rsidRDefault="009F2DE7">
            <w:pPr>
              <w:pStyle w:val="TableText"/>
              <w:ind w:left="360"/>
            </w:pPr>
          </w:p>
          <w:p w:rsidR="009F2DE7" w:rsidRDefault="009F2DE7">
            <w:pPr>
              <w:pStyle w:val="TableText"/>
              <w:ind w:left="360"/>
            </w:pPr>
            <w:r w:rsidRPr="00B25E96">
              <w:t>Sites using BCE COTS must issue blood components in real-time for BCE COTS to be able to perform transfusion verification.</w:t>
            </w:r>
            <w:r>
              <w:t xml:space="preserve"> </w:t>
            </w:r>
          </w:p>
          <w:p w:rsidR="009F2DE7" w:rsidRPr="009F2DE7" w:rsidRDefault="009F2DE7">
            <w:pPr>
              <w:pStyle w:val="TableText"/>
              <w:ind w:left="360"/>
              <w:rPr>
                <w:vanish/>
              </w:rPr>
            </w:pPr>
            <w:r w:rsidRPr="009F2DE7">
              <w:rPr>
                <w:vanish/>
              </w:rPr>
              <w:t>DR 4334</w:t>
            </w:r>
          </w:p>
          <w:p w:rsidR="009F2DE7" w:rsidRDefault="009F2DE7">
            <w:pPr>
              <w:pStyle w:val="TableText"/>
              <w:ind w:left="360"/>
            </w:pPr>
          </w:p>
        </w:tc>
      </w:tr>
      <w:tr w:rsidR="002A21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3240" w:type="dxa"/>
            <w:tcBorders>
              <w:top w:val="single" w:sz="6" w:space="0" w:color="auto"/>
              <w:left w:val="single" w:sz="6" w:space="0" w:color="auto"/>
              <w:bottom w:val="single" w:sz="6" w:space="0" w:color="auto"/>
              <w:right w:val="single" w:sz="6" w:space="0" w:color="auto"/>
            </w:tcBorders>
          </w:tcPr>
          <w:p w:rsidR="002A21AE" w:rsidRDefault="002A21AE">
            <w:pPr>
              <w:pStyle w:val="TableTextNumbersContinued"/>
            </w:pPr>
          </w:p>
          <w:p w:rsidR="002A21AE" w:rsidRDefault="002A21AE">
            <w:pPr>
              <w:pStyle w:val="TableTextNumbers"/>
            </w:pPr>
            <w:r>
              <w:t xml:space="preserve">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top w:val="single" w:sz="6" w:space="0" w:color="auto"/>
              <w:left w:val="single" w:sz="6" w:space="0" w:color="auto"/>
              <w:bottom w:val="single" w:sz="6" w:space="0" w:color="auto"/>
              <w:right w:val="single" w:sz="6" w:space="0" w:color="auto"/>
            </w:tcBorders>
          </w:tcPr>
          <w:p w:rsidR="002A21AE" w:rsidRDefault="002A21AE">
            <w:pPr>
              <w:pStyle w:val="TableText"/>
            </w:pPr>
          </w:p>
        </w:tc>
      </w:tr>
    </w:tbl>
    <w:p w:rsidR="00A04663" w:rsidRDefault="00A04663" w:rsidP="00A04663">
      <w:pPr>
        <w:pStyle w:val="Caption"/>
      </w:pPr>
      <w:bookmarkStart w:id="400" w:name="_Toc94349378"/>
      <w:bookmarkStart w:id="401" w:name="_Ref127093318"/>
      <w:r>
        <w:t xml:space="preserve">Figure </w:t>
      </w:r>
      <w:r w:rsidR="00C17F7C">
        <w:fldChar w:fldCharType="begin"/>
      </w:r>
      <w:r w:rsidR="00C17F7C">
        <w:instrText xml:space="preserve"> SEQ Figure \* ARABIC </w:instrText>
      </w:r>
      <w:r w:rsidR="00C17F7C">
        <w:fldChar w:fldCharType="separate"/>
      </w:r>
      <w:r w:rsidR="005F38BC">
        <w:rPr>
          <w:noProof/>
        </w:rPr>
        <w:t>96</w:t>
      </w:r>
      <w:r w:rsidR="00C17F7C">
        <w:fldChar w:fldCharType="end"/>
      </w:r>
      <w:bookmarkEnd w:id="401"/>
      <w:r>
        <w:t>: Issue Blood Components</w:t>
      </w:r>
      <w:r w:rsidR="005D4DA6">
        <w:t xml:space="preserve"> (1)</w:t>
      </w:r>
    </w:p>
    <w:p w:rsidR="003B4820" w:rsidRDefault="00634BFC" w:rsidP="003B4820">
      <w:pPr>
        <w:pStyle w:val="BodyText"/>
      </w:pPr>
      <w:r>
        <w:rPr>
          <w:noProof/>
        </w:rPr>
        <w:drawing>
          <wp:inline distT="0" distB="0" distL="0" distR="0">
            <wp:extent cx="3724275" cy="2924175"/>
            <wp:effectExtent l="0" t="0" r="9525"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724275" cy="2924175"/>
                    </a:xfrm>
                    <a:prstGeom prst="rect">
                      <a:avLst/>
                    </a:prstGeom>
                    <a:noFill/>
                    <a:ln>
                      <a:noFill/>
                    </a:ln>
                  </pic:spPr>
                </pic:pic>
              </a:graphicData>
            </a:graphic>
          </wp:inline>
        </w:drawing>
      </w:r>
    </w:p>
    <w:p w:rsidR="005D4DA6" w:rsidRDefault="005D4DA6" w:rsidP="005D4DA6">
      <w:pPr>
        <w:pStyle w:val="Caption"/>
      </w:pPr>
      <w:bookmarkStart w:id="402" w:name="_Ref127093568"/>
      <w:r>
        <w:lastRenderedPageBreak/>
        <w:t xml:space="preserve">Figure </w:t>
      </w:r>
      <w:r w:rsidR="00C17F7C">
        <w:fldChar w:fldCharType="begin"/>
      </w:r>
      <w:r w:rsidR="00C17F7C">
        <w:instrText xml:space="preserve"> SEQ Figure \* ARABIC </w:instrText>
      </w:r>
      <w:r w:rsidR="00C17F7C">
        <w:fldChar w:fldCharType="separate"/>
      </w:r>
      <w:r w:rsidR="005F38BC">
        <w:rPr>
          <w:noProof/>
        </w:rPr>
        <w:t>97</w:t>
      </w:r>
      <w:r w:rsidR="00C17F7C">
        <w:fldChar w:fldCharType="end"/>
      </w:r>
      <w:bookmarkEnd w:id="402"/>
      <w:r>
        <w:t>: Issue Blood Components (2)</w:t>
      </w:r>
    </w:p>
    <w:p w:rsidR="005D4DA6" w:rsidRDefault="00634BFC" w:rsidP="003B4820">
      <w:pPr>
        <w:pStyle w:val="BodyText"/>
      </w:pPr>
      <w:r>
        <w:rPr>
          <w:noProof/>
        </w:rPr>
        <w:drawing>
          <wp:inline distT="0" distB="0" distL="0" distR="0">
            <wp:extent cx="5286375" cy="3886200"/>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286375" cy="3886200"/>
                    </a:xfrm>
                    <a:prstGeom prst="rect">
                      <a:avLst/>
                    </a:prstGeom>
                    <a:noFill/>
                    <a:ln>
                      <a:noFill/>
                    </a:ln>
                  </pic:spPr>
                </pic:pic>
              </a:graphicData>
            </a:graphic>
          </wp:inline>
        </w:drawing>
      </w:r>
    </w:p>
    <w:p w:rsidR="002A21AE" w:rsidRDefault="002A21AE">
      <w:pPr>
        <w:pStyle w:val="Heading4"/>
      </w:pPr>
      <w:r>
        <w:t>Issue Blood Components (Emergency)</w:t>
      </w:r>
      <w:bookmarkEnd w:id="400"/>
      <w:r>
        <w:fldChar w:fldCharType="begin"/>
      </w:r>
      <w:r>
        <w:instrText xml:space="preserve"> XE </w:instrText>
      </w:r>
      <w:r w:rsidR="00FA7E65">
        <w:instrText>“</w:instrText>
      </w:r>
      <w:r>
        <w:instrText>Issue Blood Components (Emergency)</w:instrText>
      </w:r>
      <w:r w:rsidR="00FA7E65">
        <w:instrText>”</w:instrText>
      </w:r>
      <w:r>
        <w:instrText xml:space="preserve"> </w:instrText>
      </w:r>
      <w:r>
        <w:fldChar w:fldCharType="end"/>
      </w:r>
    </w:p>
    <w:p w:rsidR="002A21AE" w:rsidRDefault="002A21AE" w:rsidP="00FA7E65">
      <w:pPr>
        <w:pStyle w:val="BodyText"/>
      </w:pPr>
      <w:r>
        <w:t xml:space="preserve">The user issues assigned or crossmatched blood to a transporter for patient transfusion that does not meet routine issue conditions at valid inpatient and outpatient hospital locations, and records issue details, including the transporter’s name or identifier.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 xml:space="preserve">Select </w:t>
            </w:r>
            <w:r>
              <w:rPr>
                <w:b/>
              </w:rPr>
              <w:t>Patients</w:t>
            </w:r>
            <w:r>
              <w:t xml:space="preserve"> from the main menu.</w:t>
            </w:r>
          </w:p>
          <w:p w:rsidR="002A21AE" w:rsidRDefault="002A21AE">
            <w:pPr>
              <w:pStyle w:val="TableTextNumbersContinued"/>
            </w:pPr>
          </w:p>
          <w:p w:rsidR="002A21AE" w:rsidRDefault="002A21AE">
            <w:pPr>
              <w:pStyle w:val="TableTextNumbersContinued"/>
            </w:pPr>
            <w:r>
              <w:t xml:space="preserve">Select </w:t>
            </w:r>
            <w:r>
              <w:rPr>
                <w:b/>
              </w:rPr>
              <w:t>Issue Blood Components</w:t>
            </w:r>
            <w:r>
              <w:t>.</w:t>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Bullet"/>
            </w:pPr>
            <w:r>
              <w:t>Displays options for processing patient-related functions.</w:t>
            </w:r>
          </w:p>
          <w:p w:rsidR="002A21AE" w:rsidRDefault="002A21AE">
            <w:pPr>
              <w:pStyle w:val="TableTextBullet"/>
            </w:pPr>
            <w:r>
              <w:t>Displays an option to scan the Caution Tag or enter a patient name or ID.</w:t>
            </w:r>
          </w:p>
        </w:tc>
      </w:tr>
      <w:tr w:rsidR="002A21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3240" w:type="dxa"/>
            <w:tcBorders>
              <w:top w:val="single" w:sz="6" w:space="0" w:color="auto"/>
              <w:left w:val="single" w:sz="6" w:space="0" w:color="auto"/>
              <w:bottom w:val="single" w:sz="6" w:space="0" w:color="auto"/>
              <w:right w:val="single" w:sz="6" w:space="0" w:color="auto"/>
            </w:tcBorders>
          </w:tcPr>
          <w:p w:rsidR="002A21AE" w:rsidRDefault="002A21AE">
            <w:pPr>
              <w:pStyle w:val="TableTextNumbers"/>
            </w:pPr>
            <w:r>
              <w:t>Select a patient.</w:t>
            </w:r>
          </w:p>
        </w:tc>
        <w:tc>
          <w:tcPr>
            <w:tcW w:w="6120" w:type="dxa"/>
            <w:tcBorders>
              <w:top w:val="single" w:sz="6" w:space="0" w:color="auto"/>
              <w:left w:val="single" w:sz="6" w:space="0" w:color="auto"/>
              <w:bottom w:val="single" w:sz="6" w:space="0" w:color="auto"/>
              <w:right w:val="single" w:sz="6" w:space="0" w:color="auto"/>
            </w:tcBorders>
          </w:tcPr>
          <w:p w:rsidR="002A21AE" w:rsidRDefault="002A21AE">
            <w:pPr>
              <w:pStyle w:val="TableTextBullet"/>
              <w:tabs>
                <w:tab w:val="num" w:pos="360"/>
              </w:tabs>
            </w:pPr>
            <w:r>
              <w:t>Displays patient data, including entries that meet the entered patient criteria, and allows the user to select the correct patient.</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8128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32" name="Line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2"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jLHFAIAAC0EAAAOAAAAZHJzL2Uyb0RvYy54bWysU8GO2jAQvVfqP1i+QxLIUo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" strokeweight="1.5pt"/>
                  </w:pict>
                </mc:Fallback>
              </mc:AlternateContent>
            </w:r>
            <w:r w:rsidR="002A21AE">
              <w:rPr>
                <w:b/>
                <w:bCs/>
                <w:szCs w:val="18"/>
              </w:rPr>
              <w:t>NOTES</w:t>
            </w:r>
          </w:p>
          <w:p w:rsidR="002A21AE" w:rsidRDefault="002A21AE">
            <w:pPr>
              <w:pStyle w:val="NotesText"/>
            </w:pPr>
          </w:p>
          <w:p w:rsidR="002A21AE" w:rsidRDefault="00896F17">
            <w:pPr>
              <w:pStyle w:val="NotesText"/>
            </w:pPr>
            <w:r w:rsidRPr="00896F17">
              <w:rPr>
                <w:rStyle w:val="BullhornChar"/>
              </w:rPr>
              <w:t></w:t>
            </w:r>
            <w:r w:rsidRPr="00C51C45">
              <w:rPr>
                <w:rFonts w:ascii="Webdings" w:hAnsi="Webdings"/>
                <w:szCs w:val="22"/>
              </w:rPr>
              <w:t></w:t>
            </w:r>
            <w:r>
              <w:rPr>
                <w:rFonts w:cs="Arial"/>
                <w:szCs w:val="22"/>
              </w:rPr>
              <w:t>See</w:t>
            </w:r>
            <w:r w:rsidR="002A21AE">
              <w:t xml:space="preserve"> </w:t>
            </w:r>
            <w:r w:rsidR="00741071">
              <w:fldChar w:fldCharType="begin"/>
            </w:r>
            <w:r w:rsidR="00741071">
              <w:instrText xml:space="preserve"> REF _Ref126489326 \h </w:instrText>
            </w:r>
            <w:r w:rsidR="00741071">
              <w:fldChar w:fldCharType="separate"/>
            </w:r>
            <w:r w:rsidR="005F38BC">
              <w:t xml:space="preserve">Table </w:t>
            </w:r>
            <w:r w:rsidR="005F38BC">
              <w:rPr>
                <w:noProof/>
              </w:rPr>
              <w:t>8</w:t>
            </w:r>
            <w:r w:rsidR="00741071">
              <w:fldChar w:fldCharType="end"/>
            </w:r>
            <w:r w:rsidR="002A21AE">
              <w:t xml:space="preserve"> for alerts that may occur during this option.</w:t>
            </w:r>
          </w:p>
        </w:tc>
      </w:tr>
      <w:tr w:rsidR="002A21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3240" w:type="dxa"/>
            <w:tcBorders>
              <w:top w:val="single" w:sz="6" w:space="0" w:color="auto"/>
              <w:left w:val="single" w:sz="6" w:space="0" w:color="auto"/>
              <w:bottom w:val="single" w:sz="6" w:space="0" w:color="auto"/>
              <w:right w:val="single" w:sz="6" w:space="0" w:color="auto"/>
            </w:tcBorders>
          </w:tcPr>
          <w:p w:rsidR="002A21AE" w:rsidRDefault="002A21AE">
            <w:pPr>
              <w:pStyle w:val="TableTextNumbers"/>
            </w:pPr>
            <w:r>
              <w:t xml:space="preserve">Click </w:t>
            </w:r>
            <w:r>
              <w:rPr>
                <w:b/>
              </w:rPr>
              <w:t>OK</w:t>
            </w:r>
            <w:r>
              <w:t xml:space="preserve"> to verify that the correct patient was selected.</w:t>
            </w:r>
          </w:p>
        </w:tc>
        <w:tc>
          <w:tcPr>
            <w:tcW w:w="6120" w:type="dxa"/>
            <w:tcBorders>
              <w:top w:val="single" w:sz="6" w:space="0" w:color="auto"/>
              <w:left w:val="single" w:sz="6" w:space="0" w:color="auto"/>
              <w:bottom w:val="single" w:sz="6" w:space="0" w:color="auto"/>
              <w:right w:val="single" w:sz="6" w:space="0" w:color="auto"/>
            </w:tcBorders>
          </w:tcPr>
          <w:p w:rsidR="002A21AE" w:rsidRDefault="002A21AE">
            <w:pPr>
              <w:pStyle w:val="TableTextBullet"/>
              <w:tabs>
                <w:tab w:val="clear" w:pos="288"/>
              </w:tabs>
            </w:pPr>
            <w:r>
              <w:t>Displays fields for the user to enter the data for the issue transaction.</w:t>
            </w:r>
          </w:p>
        </w:tc>
      </w:tr>
      <w:tr w:rsidR="002A21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65"/>
        </w:trPr>
        <w:tc>
          <w:tcPr>
            <w:tcW w:w="3240" w:type="dxa"/>
            <w:tcBorders>
              <w:top w:val="single" w:sz="6" w:space="0" w:color="auto"/>
              <w:left w:val="single" w:sz="6" w:space="0" w:color="auto"/>
              <w:bottom w:val="single" w:sz="6" w:space="0" w:color="auto"/>
              <w:right w:val="single" w:sz="6" w:space="0" w:color="auto"/>
            </w:tcBorders>
          </w:tcPr>
          <w:p w:rsidR="002A21AE" w:rsidRDefault="002A21AE">
            <w:pPr>
              <w:pStyle w:val="TableTextNumbers"/>
            </w:pPr>
            <w:r>
              <w:t>Enter the required data.</w:t>
            </w:r>
          </w:p>
        </w:tc>
        <w:tc>
          <w:tcPr>
            <w:tcW w:w="6120" w:type="dxa"/>
            <w:tcBorders>
              <w:top w:val="single" w:sz="6" w:space="0" w:color="auto"/>
              <w:left w:val="single" w:sz="6" w:space="0" w:color="auto"/>
              <w:bottom w:val="single" w:sz="6" w:space="0" w:color="auto"/>
              <w:right w:val="single" w:sz="6" w:space="0" w:color="auto"/>
            </w:tcBorders>
          </w:tcPr>
          <w:p w:rsidR="002A21AE" w:rsidRDefault="002A21AE">
            <w:pPr>
              <w:pStyle w:val="TableTextBullet"/>
              <w:tabs>
                <w:tab w:val="num" w:pos="360"/>
              </w:tabs>
            </w:pPr>
            <w:r>
              <w:t>Displays the option to select units from the Assigned Units or Emergency Issue Units tabs.</w:t>
            </w:r>
          </w:p>
        </w:tc>
      </w:tr>
      <w:tr w:rsidR="002A21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3240" w:type="dxa"/>
            <w:tcBorders>
              <w:top w:val="single" w:sz="6" w:space="0" w:color="auto"/>
              <w:left w:val="single" w:sz="6" w:space="0" w:color="auto"/>
              <w:bottom w:val="single" w:sz="6" w:space="0" w:color="auto"/>
              <w:right w:val="single" w:sz="6" w:space="0" w:color="auto"/>
            </w:tcBorders>
          </w:tcPr>
          <w:p w:rsidR="002A21AE" w:rsidRDefault="002A21AE">
            <w:pPr>
              <w:pStyle w:val="TableTextNumbers"/>
            </w:pPr>
            <w:r>
              <w:t xml:space="preserve">Click the </w:t>
            </w:r>
            <w:r>
              <w:rPr>
                <w:b/>
              </w:rPr>
              <w:t>Emergency Issue Units tab</w:t>
            </w:r>
            <w:r>
              <w:t>.</w:t>
            </w:r>
          </w:p>
          <w:p w:rsidR="002A21AE" w:rsidRDefault="002A21AE">
            <w:pPr>
              <w:pStyle w:val="TableTextNumbersContinued"/>
            </w:pPr>
          </w:p>
          <w:p w:rsidR="002A21AE" w:rsidRDefault="002A21AE">
            <w:pPr>
              <w:pStyle w:val="TableTextNumbersContinued"/>
            </w:pPr>
            <w:r>
              <w:lastRenderedPageBreak/>
              <w:t>Scan or click one or more check boxes to select units for issue to the selected patient</w:t>
            </w:r>
            <w:r w:rsidR="00FD6D00">
              <w:t xml:space="preserve"> (</w:t>
            </w:r>
            <w:r w:rsidR="00FD6D00">
              <w:fldChar w:fldCharType="begin"/>
            </w:r>
            <w:r w:rsidR="00FD6D00">
              <w:instrText xml:space="preserve"> REF _Ref127094243 \h </w:instrText>
            </w:r>
            <w:r w:rsidR="00FD6D00">
              <w:fldChar w:fldCharType="separate"/>
            </w:r>
            <w:r w:rsidR="005F38BC">
              <w:t xml:space="preserve">Figure </w:t>
            </w:r>
            <w:r w:rsidR="005F38BC">
              <w:rPr>
                <w:noProof/>
              </w:rPr>
              <w:t>98</w:t>
            </w:r>
            <w:r w:rsidR="00FD6D00">
              <w:fldChar w:fldCharType="end"/>
            </w:r>
            <w:r w:rsidR="00FD6D00">
              <w:t>)</w:t>
            </w:r>
            <w:r>
              <w:t>.</w:t>
            </w:r>
          </w:p>
          <w:p w:rsidR="002A21AE" w:rsidRDefault="002A21AE">
            <w:pPr>
              <w:pStyle w:val="TableTextNumbersContinued"/>
            </w:pPr>
          </w:p>
          <w:p w:rsidR="002A21AE" w:rsidRDefault="002A21AE">
            <w:pPr>
              <w:pStyle w:val="TableTextNumbersContinued"/>
            </w:pPr>
            <w:r>
              <w:t xml:space="preserve">Click </w:t>
            </w:r>
            <w:r>
              <w:rPr>
                <w:b/>
              </w:rPr>
              <w:t>OK</w:t>
            </w:r>
            <w:r>
              <w:t>.</w:t>
            </w:r>
          </w:p>
        </w:tc>
        <w:tc>
          <w:tcPr>
            <w:tcW w:w="6120" w:type="dxa"/>
            <w:tcBorders>
              <w:top w:val="single" w:sz="6" w:space="0" w:color="auto"/>
              <w:left w:val="single" w:sz="6" w:space="0" w:color="auto"/>
              <w:bottom w:val="single" w:sz="6" w:space="0" w:color="auto"/>
              <w:right w:val="single" w:sz="6" w:space="0" w:color="auto"/>
            </w:tcBorders>
          </w:tcPr>
          <w:p w:rsidR="002A21AE" w:rsidRDefault="002A21AE">
            <w:pPr>
              <w:pStyle w:val="TableTextBullet"/>
              <w:tabs>
                <w:tab w:val="num" w:pos="360"/>
              </w:tabs>
            </w:pPr>
            <w:r>
              <w:lastRenderedPageBreak/>
              <w:t>Lists the selected units, allows the user to select additional units or deselect units, and prompts the user to indicate th</w:t>
            </w:r>
            <w:r w:rsidR="006709A3">
              <w:t>at the selections are complete.</w:t>
            </w:r>
          </w:p>
          <w:p w:rsidR="006709A3" w:rsidRDefault="006709A3" w:rsidP="006709A3">
            <w:pPr>
              <w:pStyle w:val="TableTextBullet"/>
              <w:tabs>
                <w:tab w:val="num" w:pos="360"/>
              </w:tabs>
            </w:pPr>
            <w:r>
              <w:lastRenderedPageBreak/>
              <w:t>Allows the user to select the unsatisfactory unit and edit its issue selections.</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8230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31" name="Line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3"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blTFQIAAC0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MDd&#10;uVM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896F17">
            <w:pPr>
              <w:pStyle w:val="TableText"/>
              <w:ind w:left="360"/>
            </w:pPr>
            <w:r w:rsidRPr="00896F17">
              <w:rPr>
                <w:rStyle w:val="BullhornChar"/>
              </w:rPr>
              <w:t></w:t>
            </w:r>
            <w:r w:rsidRPr="00C51C45">
              <w:rPr>
                <w:rFonts w:ascii="Webdings" w:hAnsi="Webdings"/>
                <w:szCs w:val="22"/>
              </w:rPr>
              <w:t></w:t>
            </w:r>
            <w:r>
              <w:rPr>
                <w:rFonts w:cs="Arial"/>
                <w:szCs w:val="22"/>
              </w:rPr>
              <w:t>See</w:t>
            </w:r>
            <w:r w:rsidR="002A21AE">
              <w:t xml:space="preserve"> </w:t>
            </w:r>
            <w:r w:rsidR="00741071">
              <w:fldChar w:fldCharType="begin"/>
            </w:r>
            <w:r w:rsidR="00741071">
              <w:instrText xml:space="preserve"> REF _Ref126489326 \h </w:instrText>
            </w:r>
            <w:r w:rsidR="00741071">
              <w:fldChar w:fldCharType="separate"/>
            </w:r>
            <w:r w:rsidR="005F38BC">
              <w:t xml:space="preserve">Table </w:t>
            </w:r>
            <w:r w:rsidR="005F38BC">
              <w:rPr>
                <w:noProof/>
              </w:rPr>
              <w:t>8</w:t>
            </w:r>
            <w:r w:rsidR="00741071">
              <w:fldChar w:fldCharType="end"/>
            </w:r>
            <w:r w:rsidR="00016901">
              <w:t xml:space="preserve"> </w:t>
            </w:r>
            <w:r w:rsidR="002A21AE">
              <w:t>for alerts that may occur during this option.</w:t>
            </w:r>
          </w:p>
        </w:tc>
      </w:tr>
      <w:tr w:rsidR="002A21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3240" w:type="dxa"/>
            <w:tcBorders>
              <w:top w:val="single" w:sz="6" w:space="0" w:color="auto"/>
              <w:left w:val="single" w:sz="6" w:space="0" w:color="auto"/>
              <w:bottom w:val="single" w:sz="6" w:space="0" w:color="auto"/>
              <w:right w:val="single" w:sz="6" w:space="0" w:color="auto"/>
            </w:tcBorders>
          </w:tcPr>
          <w:p w:rsidR="002A21AE" w:rsidRDefault="002A21AE">
            <w:pPr>
              <w:pStyle w:val="TableTextNumbers"/>
            </w:pPr>
            <w:r>
              <w:lastRenderedPageBreak/>
              <w:t xml:space="preserve">Click </w:t>
            </w:r>
            <w:r>
              <w:rPr>
                <w:b/>
              </w:rPr>
              <w:t>OK</w:t>
            </w:r>
            <w:r>
              <w:t xml:space="preserve"> to accept the entries and complete the unit issue.</w:t>
            </w:r>
          </w:p>
        </w:tc>
        <w:tc>
          <w:tcPr>
            <w:tcW w:w="6120" w:type="dxa"/>
            <w:tcBorders>
              <w:top w:val="single" w:sz="6" w:space="0" w:color="auto"/>
              <w:left w:val="single" w:sz="6" w:space="0" w:color="auto"/>
              <w:bottom w:val="single" w:sz="6" w:space="0" w:color="auto"/>
              <w:right w:val="single" w:sz="6" w:space="0" w:color="auto"/>
            </w:tcBorders>
          </w:tcPr>
          <w:p w:rsidR="002A21AE" w:rsidRDefault="002A21AE">
            <w:pPr>
              <w:pStyle w:val="TableTextBullet"/>
              <w:tabs>
                <w:tab w:val="num" w:pos="360"/>
              </w:tabs>
            </w:pPr>
            <w:r>
              <w:t xml:space="preserve">Displays entries for review and editing. </w:t>
            </w:r>
          </w:p>
        </w:tc>
      </w:tr>
      <w:tr w:rsidR="002A21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3240" w:type="dxa"/>
            <w:tcBorders>
              <w:top w:val="single" w:sz="6" w:space="0" w:color="auto"/>
              <w:left w:val="single" w:sz="6" w:space="0" w:color="auto"/>
              <w:bottom w:val="single" w:sz="6" w:space="0" w:color="auto"/>
              <w:right w:val="single" w:sz="6" w:space="0" w:color="auto"/>
            </w:tcBorders>
          </w:tcPr>
          <w:p w:rsidR="002A21AE" w:rsidRDefault="002A21AE">
            <w:pPr>
              <w:pStyle w:val="TableTextNumbers"/>
            </w:pPr>
            <w:r>
              <w:t xml:space="preserve">Click </w:t>
            </w:r>
            <w:r>
              <w:rPr>
                <w:b/>
              </w:rPr>
              <w:t>Yes</w:t>
            </w:r>
            <w:r>
              <w:t xml:space="preserve"> when the unit is satisfactory or </w:t>
            </w:r>
            <w:r>
              <w:rPr>
                <w:b/>
              </w:rPr>
              <w:t>No</w:t>
            </w:r>
            <w:r>
              <w:t xml:space="preserve"> when the unit is unsatisfactory.</w:t>
            </w:r>
          </w:p>
        </w:tc>
        <w:tc>
          <w:tcPr>
            <w:tcW w:w="6120" w:type="dxa"/>
            <w:tcBorders>
              <w:top w:val="single" w:sz="6" w:space="0" w:color="auto"/>
              <w:left w:val="single" w:sz="6" w:space="0" w:color="auto"/>
              <w:bottom w:val="single" w:sz="6" w:space="0" w:color="auto"/>
              <w:right w:val="single" w:sz="6" w:space="0" w:color="auto"/>
            </w:tcBorders>
          </w:tcPr>
          <w:p w:rsidR="002A21AE" w:rsidRDefault="002A21AE">
            <w:pPr>
              <w:pStyle w:val="TableTextBullet"/>
              <w:tabs>
                <w:tab w:val="num" w:pos="360"/>
              </w:tabs>
            </w:pPr>
            <w:r>
              <w:t>Saves the data.</w:t>
            </w:r>
          </w:p>
          <w:p w:rsidR="002A21AE" w:rsidRDefault="002A21AE">
            <w:pPr>
              <w:pStyle w:val="TableTextBullet"/>
              <w:tabs>
                <w:tab w:val="num" w:pos="360"/>
              </w:tabs>
            </w:pPr>
            <w:r>
              <w:t>Displays the unit inspection indicator (satisfactory or unsatisfactory) listing each selected unit.</w:t>
            </w:r>
          </w:p>
          <w:p w:rsidR="00095D68" w:rsidRDefault="00095D68" w:rsidP="00095D68">
            <w:pPr>
              <w:pStyle w:val="TableTextBullet"/>
              <w:tabs>
                <w:tab w:val="num" w:pos="360"/>
              </w:tabs>
            </w:pPr>
            <w:r>
              <w:rPr>
                <w:rFonts w:cs="Arial"/>
                <w:szCs w:val="18"/>
              </w:rPr>
              <w:t>S</w:t>
            </w:r>
            <w:r w:rsidRPr="00B1287E">
              <w:rPr>
                <w:rFonts w:cs="Arial"/>
                <w:szCs w:val="18"/>
              </w:rPr>
              <w:t>ends</w:t>
            </w:r>
            <w:r>
              <w:rPr>
                <w:rFonts w:cs="Arial"/>
                <w:szCs w:val="18"/>
              </w:rPr>
              <w:t xml:space="preserve"> updated</w:t>
            </w:r>
            <w:r w:rsidRPr="00B1287E">
              <w:rPr>
                <w:rFonts w:cs="Arial"/>
                <w:szCs w:val="18"/>
              </w:rPr>
              <w:t xml:space="preserve"> patient and blood unit</w:t>
            </w:r>
            <w:r>
              <w:rPr>
                <w:rFonts w:cs="Arial"/>
                <w:szCs w:val="18"/>
              </w:rPr>
              <w:t xml:space="preserve"> information t</w:t>
            </w:r>
            <w:r w:rsidRPr="00B1287E">
              <w:rPr>
                <w:rFonts w:cs="Arial"/>
                <w:szCs w:val="18"/>
              </w:rPr>
              <w:t>o the BCE COTS system via an HL7 message.</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8332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30" name="Line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4"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phCFAIAAC0EAAAOAAAAZHJzL2Uyb0RvYy54bWysU8GO2jAQvVfqP1i+QxLIUo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" strokeweight="1.5pt"/>
                  </w:pict>
                </mc:Fallback>
              </mc:AlternateContent>
            </w:r>
            <w:r w:rsidR="002A21AE">
              <w:rPr>
                <w:b/>
                <w:bCs/>
                <w:szCs w:val="18"/>
              </w:rPr>
              <w:t>NOTES</w:t>
            </w:r>
          </w:p>
          <w:p w:rsidR="002A21AE" w:rsidRDefault="002A21AE">
            <w:pPr>
              <w:pStyle w:val="NotesText"/>
            </w:pPr>
          </w:p>
          <w:p w:rsidR="002A21AE" w:rsidRDefault="00896F17">
            <w:pPr>
              <w:pStyle w:val="TableText"/>
              <w:ind w:left="360"/>
            </w:pPr>
            <w:r w:rsidRPr="00896F17">
              <w:rPr>
                <w:rStyle w:val="BullhornChar"/>
              </w:rPr>
              <w:t></w:t>
            </w:r>
            <w:r w:rsidRPr="00C51C45">
              <w:rPr>
                <w:rFonts w:ascii="Webdings" w:hAnsi="Webdings"/>
                <w:szCs w:val="22"/>
              </w:rPr>
              <w:t></w:t>
            </w:r>
            <w:r>
              <w:rPr>
                <w:rFonts w:cs="Arial"/>
                <w:szCs w:val="22"/>
              </w:rPr>
              <w:t>See</w:t>
            </w:r>
            <w:r w:rsidR="002A21AE">
              <w:t xml:space="preserve"> </w:t>
            </w:r>
            <w:r w:rsidR="00741071">
              <w:fldChar w:fldCharType="begin"/>
            </w:r>
            <w:r w:rsidR="00741071">
              <w:instrText xml:space="preserve"> REF _Ref126489326 \h </w:instrText>
            </w:r>
            <w:r w:rsidR="00741071">
              <w:fldChar w:fldCharType="separate"/>
            </w:r>
            <w:r w:rsidR="005F38BC">
              <w:t xml:space="preserve">Table </w:t>
            </w:r>
            <w:r w:rsidR="005F38BC">
              <w:rPr>
                <w:noProof/>
              </w:rPr>
              <w:t>8</w:t>
            </w:r>
            <w:r w:rsidR="00741071">
              <w:fldChar w:fldCharType="end"/>
            </w:r>
            <w:r w:rsidR="002A21AE">
              <w:t xml:space="preserve"> for alerts that may occur during this option.</w:t>
            </w:r>
          </w:p>
        </w:tc>
      </w:tr>
      <w:tr w:rsidR="002A21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3240" w:type="dxa"/>
            <w:tcBorders>
              <w:top w:val="single" w:sz="6" w:space="0" w:color="auto"/>
              <w:left w:val="single" w:sz="6" w:space="0" w:color="auto"/>
              <w:bottom w:val="single" w:sz="6" w:space="0" w:color="auto"/>
              <w:right w:val="single" w:sz="6" w:space="0" w:color="auto"/>
            </w:tcBorders>
          </w:tcPr>
          <w:p w:rsidR="002A21AE" w:rsidRDefault="002A21AE">
            <w:pPr>
              <w:pStyle w:val="TableTextNumbers"/>
            </w:pPr>
            <w:r>
              <w:t xml:space="preserve">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top w:val="single" w:sz="6" w:space="0" w:color="auto"/>
              <w:left w:val="single" w:sz="6" w:space="0" w:color="auto"/>
              <w:bottom w:val="single" w:sz="6" w:space="0" w:color="auto"/>
              <w:right w:val="single" w:sz="6" w:space="0" w:color="auto"/>
            </w:tcBorders>
          </w:tcPr>
          <w:p w:rsidR="002A21AE" w:rsidRDefault="002A21AE">
            <w:pPr>
              <w:pStyle w:val="TableText"/>
            </w:pPr>
          </w:p>
        </w:tc>
      </w:tr>
    </w:tbl>
    <w:p w:rsidR="00FD6D00" w:rsidRDefault="00FD6D00" w:rsidP="00FD6D00">
      <w:pPr>
        <w:pStyle w:val="Caption"/>
      </w:pPr>
      <w:bookmarkStart w:id="403" w:name="_Toc94349379"/>
      <w:bookmarkStart w:id="404" w:name="_Ref127094243"/>
      <w:r>
        <w:t xml:space="preserve">Figure </w:t>
      </w:r>
      <w:r w:rsidR="00C17F7C">
        <w:fldChar w:fldCharType="begin"/>
      </w:r>
      <w:r w:rsidR="00C17F7C">
        <w:instrText xml:space="preserve"> SEQ Figure \* ARABIC </w:instrText>
      </w:r>
      <w:r w:rsidR="00C17F7C">
        <w:fldChar w:fldCharType="separate"/>
      </w:r>
      <w:r w:rsidR="005F38BC">
        <w:rPr>
          <w:noProof/>
        </w:rPr>
        <w:t>98</w:t>
      </w:r>
      <w:r w:rsidR="00C17F7C">
        <w:fldChar w:fldCharType="end"/>
      </w:r>
      <w:bookmarkEnd w:id="404"/>
      <w:r>
        <w:t>: Issue Blood Components Emergency Issue Units Tab</w:t>
      </w:r>
    </w:p>
    <w:p w:rsidR="00FD6D00" w:rsidRDefault="00634BFC" w:rsidP="00FD6D00">
      <w:pPr>
        <w:pStyle w:val="BodyText"/>
      </w:pPr>
      <w:r>
        <w:rPr>
          <w:noProof/>
        </w:rPr>
        <w:drawing>
          <wp:inline distT="0" distB="0" distL="0" distR="0">
            <wp:extent cx="5934075" cy="3981450"/>
            <wp:effectExtent l="0" t="0" r="952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934075" cy="3981450"/>
                    </a:xfrm>
                    <a:prstGeom prst="rect">
                      <a:avLst/>
                    </a:prstGeom>
                    <a:noFill/>
                    <a:ln>
                      <a:noFill/>
                    </a:ln>
                  </pic:spPr>
                </pic:pic>
              </a:graphicData>
            </a:graphic>
          </wp:inline>
        </w:drawing>
      </w:r>
    </w:p>
    <w:p w:rsidR="008803E6" w:rsidRDefault="008803E6" w:rsidP="00FD6D00">
      <w:pPr>
        <w:pStyle w:val="BodyText"/>
      </w:pPr>
    </w:p>
    <w:p w:rsidR="008803E6" w:rsidRDefault="008803E6" w:rsidP="008803E6">
      <w:pPr>
        <w:pStyle w:val="Caption"/>
      </w:pPr>
      <w:r>
        <w:lastRenderedPageBreak/>
        <w:t xml:space="preserve">Figure </w:t>
      </w:r>
      <w:r w:rsidR="00C17F7C">
        <w:fldChar w:fldCharType="begin"/>
      </w:r>
      <w:r w:rsidR="00C17F7C">
        <w:instrText xml:space="preserve"> SEQ Figure \* ARABIC </w:instrText>
      </w:r>
      <w:r w:rsidR="00C17F7C">
        <w:fldChar w:fldCharType="separate"/>
      </w:r>
      <w:r w:rsidR="005F38BC">
        <w:rPr>
          <w:noProof/>
        </w:rPr>
        <w:t>99</w:t>
      </w:r>
      <w:r w:rsidR="00C17F7C">
        <w:fldChar w:fldCharType="end"/>
      </w:r>
      <w:r>
        <w:t>: Emergency Issue</w:t>
      </w:r>
    </w:p>
    <w:p w:rsidR="008803E6" w:rsidRPr="00883DA7" w:rsidRDefault="003F3AC9" w:rsidP="00FD6D00">
      <w:pPr>
        <w:pStyle w:val="BodyText"/>
      </w:pPr>
      <w:r>
        <w:object w:dxaOrig="9612" w:dyaOrig="9268">
          <v:shape id="_x0000_i1028" type="#_x0000_t75" style="width:467.25pt;height:450.75pt" o:ole="">
            <v:imagedata r:id="rId190" o:title=""/>
          </v:shape>
          <o:OLEObject Type="Embed" ProgID="Visio.Drawing.11" ShapeID="_x0000_i1028" DrawAspect="Content" ObjectID="_1538556481" r:id="rId191"/>
        </w:object>
      </w:r>
    </w:p>
    <w:p w:rsidR="002A21AE" w:rsidRDefault="00AC3860">
      <w:pPr>
        <w:pStyle w:val="Heading4"/>
      </w:pPr>
      <w:r>
        <w:rPr>
          <w:rStyle w:val="BullhornChar"/>
        </w:rPr>
        <w:br w:type="page"/>
      </w:r>
      <w:r w:rsidR="00F92F72" w:rsidRPr="00896F17">
        <w:rPr>
          <w:rStyle w:val="BullhornChar"/>
        </w:rPr>
        <w:lastRenderedPageBreak/>
        <w:t></w:t>
      </w:r>
      <w:r w:rsidR="00F92F72">
        <w:rPr>
          <w:rFonts w:ascii="Webdings" w:hAnsi="Webdings"/>
        </w:rPr>
        <w:t></w:t>
      </w:r>
      <w:r w:rsidR="002A21AE">
        <w:t>Alerts</w:t>
      </w:r>
      <w:bookmarkEnd w:id="403"/>
    </w:p>
    <w:p w:rsidR="002A21AE" w:rsidRDefault="002A21AE">
      <w:pPr>
        <w:pStyle w:val="Caption"/>
      </w:pPr>
      <w:bookmarkStart w:id="405" w:name="_Toc97523619"/>
      <w:bookmarkStart w:id="406" w:name="_Toc97527589"/>
      <w:bookmarkStart w:id="407" w:name="_Ref126486291"/>
      <w:r>
        <w:t xml:space="preserve">Table </w:t>
      </w:r>
      <w:r>
        <w:fldChar w:fldCharType="begin"/>
      </w:r>
      <w:r>
        <w:instrText xml:space="preserve"> SEQ Table \* ARABIC </w:instrText>
      </w:r>
      <w:r>
        <w:fldChar w:fldCharType="separate"/>
      </w:r>
      <w:r w:rsidR="005F38BC">
        <w:rPr>
          <w:noProof/>
        </w:rPr>
        <w:t>7</w:t>
      </w:r>
      <w:r>
        <w:fldChar w:fldCharType="end"/>
      </w:r>
      <w:bookmarkEnd w:id="407"/>
      <w:r>
        <w:t>: Alerts That May Occur in Issue Blood Components</w:t>
      </w:r>
      <w:bookmarkEnd w:id="405"/>
      <w:bookmarkEnd w:id="406"/>
      <w:r w:rsidR="007122D4">
        <w:t xml:space="preserve"> (Routine) </w:t>
      </w:r>
      <w:r>
        <w:fldChar w:fldCharType="begin"/>
      </w:r>
      <w:r>
        <w:instrText xml:space="preserve"> XE </w:instrText>
      </w:r>
      <w:r w:rsidR="00FA7E65">
        <w:instrText>“</w:instrText>
      </w:r>
      <w:r>
        <w:instrText>Tables:Alerts That May Occur in Issue Blood Components</w:instrText>
      </w:r>
      <w:r w:rsidR="007122D4">
        <w:instrText xml:space="preserve"> (Routine)</w:instrText>
      </w:r>
      <w:r w:rsidR="00FA7E65">
        <w:instrText>”</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
        <w:gridCol w:w="8580"/>
      </w:tblGrid>
      <w:tr w:rsidR="002A21AE">
        <w:trPr>
          <w:tblHeader/>
        </w:trPr>
        <w:tc>
          <w:tcPr>
            <w:tcW w:w="780" w:type="dxa"/>
            <w:shd w:val="clear" w:color="auto" w:fill="B3B3B3"/>
          </w:tcPr>
          <w:p w:rsidR="002A21AE" w:rsidRDefault="00DB3377">
            <w:pPr>
              <w:pStyle w:val="TableText"/>
              <w:rPr>
                <w:b/>
              </w:rPr>
            </w:pPr>
            <w:r>
              <w:rPr>
                <w:b/>
              </w:rPr>
              <w:t>User Action Step</w:t>
            </w:r>
          </w:p>
        </w:tc>
        <w:tc>
          <w:tcPr>
            <w:tcW w:w="8580" w:type="dxa"/>
            <w:shd w:val="clear" w:color="auto" w:fill="B3B3B3"/>
          </w:tcPr>
          <w:p w:rsidR="002A21AE" w:rsidRDefault="002A21AE">
            <w:pPr>
              <w:pStyle w:val="TableText"/>
              <w:rPr>
                <w:b/>
              </w:rPr>
            </w:pPr>
            <w:r>
              <w:rPr>
                <w:b/>
              </w:rPr>
              <w:t>Alerts</w:t>
            </w:r>
          </w:p>
        </w:tc>
      </w:tr>
      <w:tr w:rsidR="002A21AE">
        <w:tc>
          <w:tcPr>
            <w:tcW w:w="780" w:type="dxa"/>
          </w:tcPr>
          <w:p w:rsidR="002A21AE" w:rsidRDefault="002A21AE">
            <w:pPr>
              <w:pStyle w:val="TableText"/>
            </w:pPr>
            <w:r>
              <w:t>2</w:t>
            </w:r>
          </w:p>
        </w:tc>
        <w:tc>
          <w:tcPr>
            <w:tcW w:w="8580" w:type="dxa"/>
          </w:tcPr>
          <w:p w:rsidR="002A21AE" w:rsidRDefault="002A21AE">
            <w:pPr>
              <w:pStyle w:val="TableText"/>
            </w:pPr>
            <w:r>
              <w:rPr>
                <w:rFonts w:cs="Arial"/>
                <w:vanish/>
                <w:szCs w:val="22"/>
              </w:rPr>
              <w:t xml:space="preserve">BR_16.01 </w:t>
            </w:r>
            <w:r>
              <w:t xml:space="preserve">VBECS displays </w:t>
            </w:r>
            <w:r w:rsidR="00634BFC">
              <w:rPr>
                <w:noProof/>
              </w:rPr>
              <w:drawing>
                <wp:inline distT="0" distB="0" distL="0" distR="0">
                  <wp:extent cx="152400" cy="152400"/>
                  <wp:effectExtent l="0" t="0" r="0" b="0"/>
                  <wp:docPr id="185" name="Picture 185" descr="small_si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small_si_t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and emits an audible alert when there are Special Instructions (SIs) or Transfusion Requirements (TRs) for the patient.</w:t>
            </w:r>
          </w:p>
        </w:tc>
      </w:tr>
      <w:tr w:rsidR="002A21AE">
        <w:tc>
          <w:tcPr>
            <w:tcW w:w="780" w:type="dxa"/>
          </w:tcPr>
          <w:p w:rsidR="002A21AE" w:rsidRDefault="002A21AE">
            <w:pPr>
              <w:pStyle w:val="TableText"/>
            </w:pPr>
            <w:r>
              <w:t>2</w:t>
            </w:r>
          </w:p>
        </w:tc>
        <w:tc>
          <w:tcPr>
            <w:tcW w:w="8580" w:type="dxa"/>
          </w:tcPr>
          <w:p w:rsidR="002A21AE" w:rsidRDefault="002A21AE">
            <w:pPr>
              <w:pStyle w:val="TableText"/>
            </w:pPr>
            <w:r>
              <w:rPr>
                <w:rFonts w:cs="Arial"/>
                <w:vanish/>
              </w:rPr>
              <w:t xml:space="preserve">BR_73.21 </w:t>
            </w:r>
            <w:r>
              <w:t>When no patient is found, VBECS warns the user and does not allow the user to continue.</w:t>
            </w:r>
          </w:p>
        </w:tc>
      </w:tr>
      <w:tr w:rsidR="002A21AE">
        <w:tc>
          <w:tcPr>
            <w:tcW w:w="780" w:type="dxa"/>
          </w:tcPr>
          <w:p w:rsidR="002A21AE" w:rsidRDefault="002A21AE">
            <w:pPr>
              <w:pStyle w:val="TableText"/>
            </w:pPr>
            <w:r>
              <w:t>2</w:t>
            </w:r>
          </w:p>
        </w:tc>
        <w:tc>
          <w:tcPr>
            <w:tcW w:w="8580" w:type="dxa"/>
          </w:tcPr>
          <w:p w:rsidR="002A21AE" w:rsidRDefault="002A21AE">
            <w:pPr>
              <w:pStyle w:val="TableText"/>
            </w:pPr>
            <w:r>
              <w:rPr>
                <w:rFonts w:cs="Arial"/>
                <w:vanish/>
              </w:rPr>
              <w:t xml:space="preserve">BR_73.20 </w:t>
            </w:r>
            <w:r>
              <w:t>When the patient has no</w:t>
            </w:r>
            <w:r>
              <w:rPr>
                <w:i/>
              </w:rPr>
              <w:t xml:space="preserve"> </w:t>
            </w:r>
            <w:r>
              <w:t>components available for issue, VBECS warns the user and does not allow the user to continue.</w:t>
            </w:r>
          </w:p>
        </w:tc>
      </w:tr>
      <w:tr w:rsidR="002A21AE">
        <w:tc>
          <w:tcPr>
            <w:tcW w:w="780" w:type="dxa"/>
          </w:tcPr>
          <w:p w:rsidR="002A21AE" w:rsidRDefault="002A21AE">
            <w:pPr>
              <w:pStyle w:val="TableText"/>
            </w:pPr>
            <w:r>
              <w:t>2</w:t>
            </w:r>
          </w:p>
        </w:tc>
        <w:tc>
          <w:tcPr>
            <w:tcW w:w="8580" w:type="dxa"/>
          </w:tcPr>
          <w:p w:rsidR="00594F36" w:rsidRDefault="002A21AE" w:rsidP="00594F36">
            <w:pPr>
              <w:pStyle w:val="TableText"/>
            </w:pPr>
            <w:r>
              <w:rPr>
                <w:rFonts w:cs="Arial"/>
                <w:vanish/>
              </w:rPr>
              <w:t xml:space="preserve">BR_73.31 </w:t>
            </w:r>
            <w:r w:rsidR="00594F36">
              <w:t>When required testing is incomplete at issue, VBECS emits an audible alert, warns the user, and asks whether to emergency issue the unit in accordance with hospital policy.</w:t>
            </w:r>
          </w:p>
          <w:p w:rsidR="00594F36" w:rsidRDefault="00594F36" w:rsidP="00594F36">
            <w:pPr>
              <w:pStyle w:val="TableText"/>
            </w:pPr>
          </w:p>
          <w:p w:rsidR="002A21AE" w:rsidRDefault="00594F36" w:rsidP="00594F36">
            <w:pPr>
              <w:pStyle w:val="TableText"/>
            </w:pPr>
            <w:r w:rsidRPr="00924702">
              <w:rPr>
                <w:b/>
              </w:rPr>
              <w:t>No</w:t>
            </w:r>
            <w:r>
              <w:t xml:space="preserve"> stops the user from issuing the unit and requires selection of another unit. </w:t>
            </w:r>
            <w:r w:rsidRPr="00924702">
              <w:rPr>
                <w:b/>
              </w:rPr>
              <w:t>Yes</w:t>
            </w:r>
            <w:r>
              <w:t xml:space="preserve"> creates an Exception Report entry for the issue, indicates on the unit record that the unit was issued emergently, and asks whether the user wishes to print the Caution Tags and Blood Transfusion Record Forms.</w:t>
            </w:r>
            <w:r w:rsidRPr="00924702">
              <w:rPr>
                <w:b/>
              </w:rPr>
              <w:t xml:space="preserve"> No</w:t>
            </w:r>
            <w:r>
              <w:t xml:space="preserve"> allows the user to continue with the emergency issue. </w:t>
            </w:r>
            <w:r w:rsidRPr="00924702">
              <w:rPr>
                <w:b/>
              </w:rPr>
              <w:t>Yes</w:t>
            </w:r>
            <w:r>
              <w:t xml:space="preserve"> prints a Caution Tag and/or Blood Transfusion Record Form and proceeds with the issue.</w:t>
            </w:r>
          </w:p>
        </w:tc>
      </w:tr>
      <w:tr w:rsidR="00214B12">
        <w:tc>
          <w:tcPr>
            <w:tcW w:w="780" w:type="dxa"/>
          </w:tcPr>
          <w:p w:rsidR="00214B12" w:rsidRDefault="00214B12">
            <w:pPr>
              <w:pStyle w:val="TableText"/>
            </w:pPr>
            <w:r>
              <w:t>5</w:t>
            </w:r>
          </w:p>
        </w:tc>
        <w:tc>
          <w:tcPr>
            <w:tcW w:w="8580" w:type="dxa"/>
          </w:tcPr>
          <w:p w:rsidR="00214B12" w:rsidRPr="00170A14" w:rsidRDefault="00214B12" w:rsidP="00CE2473">
            <w:pPr>
              <w:pStyle w:val="TableText"/>
              <w:rPr>
                <w:vanish/>
                <w:szCs w:val="18"/>
              </w:rPr>
            </w:pPr>
            <w:r>
              <w:rPr>
                <w:vanish/>
                <w:szCs w:val="18"/>
              </w:rPr>
              <w:t xml:space="preserve">BR_73.17 </w:t>
            </w:r>
            <w:r w:rsidR="003309E7" w:rsidRPr="0065539A">
              <w:rPr>
                <w:szCs w:val="18"/>
              </w:rPr>
              <w:t>When th</w:t>
            </w:r>
            <w:r w:rsidR="003309E7">
              <w:t>e user attempts to</w:t>
            </w:r>
            <w:r>
              <w:t xml:space="preserve"> issue a unit located in a different division</w:t>
            </w:r>
            <w:r w:rsidR="002B0F51">
              <w:t>,</w:t>
            </w:r>
            <w:r w:rsidR="003309E7">
              <w:t xml:space="preserve"> VBECS warms him that the unit</w:t>
            </w:r>
            <w:r>
              <w:t xml:space="preserve"> cannot be issued</w:t>
            </w:r>
            <w:r w:rsidR="003309E7">
              <w:t xml:space="preserve"> and does not allow </w:t>
            </w:r>
            <w:r w:rsidR="002B0F51">
              <w:t>him</w:t>
            </w:r>
            <w:r w:rsidR="003309E7">
              <w:t xml:space="preserve"> to</w:t>
            </w:r>
            <w:r>
              <w:t xml:space="preserve"> continue.</w:t>
            </w:r>
          </w:p>
        </w:tc>
      </w:tr>
      <w:tr w:rsidR="00CE2473">
        <w:tc>
          <w:tcPr>
            <w:tcW w:w="780" w:type="dxa"/>
          </w:tcPr>
          <w:p w:rsidR="00CE2473" w:rsidRDefault="00CE2473">
            <w:pPr>
              <w:pStyle w:val="TableText"/>
            </w:pPr>
            <w:r>
              <w:t>5</w:t>
            </w:r>
          </w:p>
        </w:tc>
        <w:tc>
          <w:tcPr>
            <w:tcW w:w="8580" w:type="dxa"/>
          </w:tcPr>
          <w:p w:rsidR="00CE2473" w:rsidRDefault="00170A14" w:rsidP="00CE2473">
            <w:pPr>
              <w:pStyle w:val="TableText"/>
            </w:pPr>
            <w:r w:rsidRPr="00170A14">
              <w:rPr>
                <w:vanish/>
                <w:szCs w:val="18"/>
              </w:rPr>
              <w:t xml:space="preserve">BR_73.25 </w:t>
            </w:r>
            <w:r w:rsidR="00CE2473">
              <w:t xml:space="preserve">When autologous or directed, or designated or dedicated blood units of the same component class </w:t>
            </w:r>
            <w:r w:rsidR="006C67E5">
              <w:t xml:space="preserve">are </w:t>
            </w:r>
            <w:r w:rsidR="00CE2473">
              <w:t xml:space="preserve">available in the same division as the </w:t>
            </w:r>
            <w:r w:rsidR="00967CF7">
              <w:t>user</w:t>
            </w:r>
            <w:r w:rsidR="00CE2473">
              <w:t xml:space="preserve">, </w:t>
            </w:r>
            <w:r w:rsidR="00967CF7">
              <w:t>VBECS</w:t>
            </w:r>
            <w:r w:rsidR="000014DD">
              <w:t xml:space="preserve"> </w:t>
            </w:r>
            <w:r w:rsidR="00CE2473">
              <w:t>require</w:t>
            </w:r>
            <w:r w:rsidR="00967CF7">
              <w:t>s</w:t>
            </w:r>
            <w:r w:rsidR="00CE2473">
              <w:t xml:space="preserve"> blood units </w:t>
            </w:r>
            <w:r w:rsidR="006C67E5">
              <w:t xml:space="preserve">to </w:t>
            </w:r>
            <w:r w:rsidR="00CE2473">
              <w:t xml:space="preserve">be issued in </w:t>
            </w:r>
            <w:r w:rsidR="00967CF7">
              <w:t>this</w:t>
            </w:r>
            <w:r w:rsidR="00CE2473">
              <w:t xml:space="preserve"> order:</w:t>
            </w:r>
          </w:p>
          <w:p w:rsidR="00EB5BD0" w:rsidRDefault="00CE2473" w:rsidP="002F6D7B">
            <w:pPr>
              <w:pStyle w:val="TableText"/>
              <w:numPr>
                <w:ilvl w:val="0"/>
                <w:numId w:val="14"/>
              </w:numPr>
            </w:pPr>
            <w:r>
              <w:t>Autologous units</w:t>
            </w:r>
          </w:p>
          <w:p w:rsidR="00EB5BD0" w:rsidRDefault="0065539A" w:rsidP="002F6D7B">
            <w:pPr>
              <w:pStyle w:val="TableText"/>
              <w:numPr>
                <w:ilvl w:val="0"/>
                <w:numId w:val="14"/>
              </w:numPr>
            </w:pPr>
            <w:r>
              <w:t>R</w:t>
            </w:r>
            <w:r w:rsidR="00CE2473">
              <w:t xml:space="preserve">estricted units </w:t>
            </w:r>
          </w:p>
          <w:p w:rsidR="00CE2473" w:rsidRDefault="00CE2473" w:rsidP="002F6D7B">
            <w:pPr>
              <w:pStyle w:val="TableText"/>
              <w:numPr>
                <w:ilvl w:val="0"/>
                <w:numId w:val="14"/>
              </w:numPr>
            </w:pPr>
            <w:r>
              <w:t>Voluntary allogeneic units</w:t>
            </w:r>
          </w:p>
          <w:p w:rsidR="00CE2473" w:rsidRDefault="00CE2473" w:rsidP="00CE2473">
            <w:pPr>
              <w:pStyle w:val="TableText"/>
            </w:pPr>
          </w:p>
          <w:p w:rsidR="00CE2473" w:rsidRDefault="00967CF7" w:rsidP="00CE2473">
            <w:pPr>
              <w:pStyle w:val="TableText"/>
              <w:rPr>
                <w:rFonts w:cs="Arial"/>
                <w:vanish/>
              </w:rPr>
            </w:pPr>
            <w:r>
              <w:t>When</w:t>
            </w:r>
            <w:r w:rsidR="00AC5979">
              <w:t xml:space="preserve"> the user attempts to issue a unit out </w:t>
            </w:r>
            <w:r w:rsidR="0065539A">
              <w:t xml:space="preserve">of </w:t>
            </w:r>
            <w:r>
              <w:t xml:space="preserve">order, VBECS warns </w:t>
            </w:r>
            <w:r w:rsidR="009A51A9">
              <w:t>him</w:t>
            </w:r>
            <w:r>
              <w:t xml:space="preserve"> that m</w:t>
            </w:r>
            <w:r w:rsidR="00AC5979">
              <w:t>ore restrictive unit</w:t>
            </w:r>
            <w:r>
              <w:t>s</w:t>
            </w:r>
            <w:r w:rsidR="00AC5979">
              <w:t xml:space="preserve"> </w:t>
            </w:r>
            <w:r>
              <w:t xml:space="preserve">are </w:t>
            </w:r>
            <w:r w:rsidR="00AC5979">
              <w:t>available</w:t>
            </w:r>
            <w:r>
              <w:t xml:space="preserve"> </w:t>
            </w:r>
            <w:r w:rsidR="009A51A9">
              <w:t xml:space="preserve">for issue </w:t>
            </w:r>
            <w:r>
              <w:t>and asks whether he wishes to c</w:t>
            </w:r>
            <w:r w:rsidR="00AC5979">
              <w:t>ontinue</w:t>
            </w:r>
            <w:r>
              <w:t xml:space="preserve">. </w:t>
            </w:r>
            <w:r w:rsidRPr="00967CF7">
              <w:rPr>
                <w:b/>
              </w:rPr>
              <w:t>N</w:t>
            </w:r>
            <w:r w:rsidR="00AC5979" w:rsidRPr="00967CF7">
              <w:rPr>
                <w:b/>
              </w:rPr>
              <w:t>o</w:t>
            </w:r>
            <w:r w:rsidR="00AC5979">
              <w:t xml:space="preserve"> allows the user to enter a</w:t>
            </w:r>
            <w:r>
              <w:t>nother</w:t>
            </w:r>
            <w:r w:rsidR="00AC5979">
              <w:t xml:space="preserve"> unit number. </w:t>
            </w:r>
            <w:r w:rsidR="00AC5979" w:rsidRPr="00967CF7">
              <w:rPr>
                <w:b/>
              </w:rPr>
              <w:t>Yes</w:t>
            </w:r>
            <w:r w:rsidR="00AC5979">
              <w:t xml:space="preserve"> allows the user to continue and captures transaction details for inclusion in an </w:t>
            </w:r>
            <w:r>
              <w:t>E</w:t>
            </w:r>
            <w:r w:rsidR="00AC5979">
              <w:t xml:space="preserve">xception </w:t>
            </w:r>
            <w:r>
              <w:t>R</w:t>
            </w:r>
            <w:r w:rsidR="00AC5979">
              <w:t>eport</w:t>
            </w:r>
            <w:r>
              <w:t xml:space="preserve"> (exception type: less restrictive unit issued).</w:t>
            </w:r>
          </w:p>
        </w:tc>
      </w:tr>
      <w:tr w:rsidR="00214B12">
        <w:tc>
          <w:tcPr>
            <w:tcW w:w="780" w:type="dxa"/>
          </w:tcPr>
          <w:p w:rsidR="00214B12" w:rsidRDefault="00214B12">
            <w:pPr>
              <w:pStyle w:val="TableText"/>
            </w:pPr>
            <w:r>
              <w:t>5</w:t>
            </w:r>
          </w:p>
        </w:tc>
        <w:tc>
          <w:tcPr>
            <w:tcW w:w="8580" w:type="dxa"/>
          </w:tcPr>
          <w:p w:rsidR="00214B12" w:rsidRPr="00214B12" w:rsidRDefault="00214B12">
            <w:pPr>
              <w:pStyle w:val="TableText"/>
              <w:rPr>
                <w:rFonts w:cs="Arial"/>
                <w:vanish/>
                <w:szCs w:val="18"/>
              </w:rPr>
            </w:pPr>
            <w:r w:rsidRPr="00214B12">
              <w:rPr>
                <w:rFonts w:cs="Arial"/>
                <w:vanish/>
                <w:szCs w:val="18"/>
              </w:rPr>
              <w:t xml:space="preserve">BR_73.19 </w:t>
            </w:r>
            <w:r>
              <w:t xml:space="preserve">When a user indicates that the </w:t>
            </w:r>
            <w:r w:rsidR="008E45C7">
              <w:t xml:space="preserve">inspected </w:t>
            </w:r>
            <w:r>
              <w:t xml:space="preserve">unit is unsatisfactory, </w:t>
            </w:r>
            <w:r w:rsidR="00C172A4">
              <w:t>VBECS does</w:t>
            </w:r>
            <w:r>
              <w:t xml:space="preserve"> not allow </w:t>
            </w:r>
            <w:r w:rsidR="00C172A4">
              <w:t xml:space="preserve">the </w:t>
            </w:r>
            <w:r>
              <w:t xml:space="preserve">unit </w:t>
            </w:r>
            <w:r w:rsidR="00C172A4">
              <w:t xml:space="preserve">to be issued, releases it </w:t>
            </w:r>
            <w:r>
              <w:t xml:space="preserve">from assignment, </w:t>
            </w:r>
            <w:r w:rsidR="00C172A4">
              <w:t>and warns the user that the u</w:t>
            </w:r>
            <w:r>
              <w:t xml:space="preserve">nit is unacceptable for transfusion. </w:t>
            </w:r>
            <w:r w:rsidR="00C172A4">
              <w:t>VBECS</w:t>
            </w:r>
            <w:r>
              <w:t xml:space="preserve"> allows </w:t>
            </w:r>
            <w:r w:rsidR="00C172A4">
              <w:t>the user to enter another</w:t>
            </w:r>
            <w:r>
              <w:t xml:space="preserve"> unit number.</w:t>
            </w:r>
          </w:p>
        </w:tc>
      </w:tr>
      <w:tr w:rsidR="002A21AE">
        <w:tc>
          <w:tcPr>
            <w:tcW w:w="780" w:type="dxa"/>
          </w:tcPr>
          <w:p w:rsidR="002A21AE" w:rsidRDefault="002A21AE">
            <w:pPr>
              <w:pStyle w:val="TableText"/>
            </w:pPr>
            <w:r>
              <w:t>5</w:t>
            </w:r>
          </w:p>
        </w:tc>
        <w:tc>
          <w:tcPr>
            <w:tcW w:w="8580" w:type="dxa"/>
          </w:tcPr>
          <w:p w:rsidR="002A21AE" w:rsidRDefault="002A21AE">
            <w:pPr>
              <w:pStyle w:val="TableText"/>
            </w:pPr>
            <w:r>
              <w:rPr>
                <w:rFonts w:cs="Arial"/>
                <w:vanish/>
              </w:rPr>
              <w:t xml:space="preserve">BR_73.27 </w:t>
            </w:r>
            <w:r>
              <w:rPr>
                <w:rFonts w:cs="Arial"/>
              </w:rPr>
              <w:t xml:space="preserve">When the user attempts to select frozen blood components, VBECS </w:t>
            </w:r>
            <w:r>
              <w:t xml:space="preserve">warns the user. Units selected in their frozen state must be thawed before issue. </w:t>
            </w:r>
          </w:p>
        </w:tc>
      </w:tr>
      <w:tr w:rsidR="004C2C6A">
        <w:tc>
          <w:tcPr>
            <w:tcW w:w="780" w:type="dxa"/>
          </w:tcPr>
          <w:p w:rsidR="004C2C6A" w:rsidRDefault="00B11528">
            <w:pPr>
              <w:pStyle w:val="TableText"/>
            </w:pPr>
            <w:r>
              <w:t>5</w:t>
            </w:r>
          </w:p>
        </w:tc>
        <w:tc>
          <w:tcPr>
            <w:tcW w:w="8580" w:type="dxa"/>
          </w:tcPr>
          <w:p w:rsidR="00B11528" w:rsidRPr="00B11528" w:rsidRDefault="00B11528" w:rsidP="00B11528">
            <w:pPr>
              <w:pStyle w:val="TableText"/>
              <w:rPr>
                <w:rFonts w:eastAsia="Calibri"/>
                <w:szCs w:val="18"/>
              </w:rPr>
            </w:pPr>
            <w:r w:rsidRPr="00B11528">
              <w:t xml:space="preserve">When the patient has Component Requirements </w:t>
            </w:r>
            <w:r>
              <w:t xml:space="preserve">(CRs) </w:t>
            </w:r>
            <w:r w:rsidRPr="00B11528">
              <w:t>and Antigen Negative Requirements, the user attempts to issue (including emergency issue) red blood cells that do not satisfy the requirements, and the user is:</w:t>
            </w:r>
          </w:p>
          <w:p w:rsidR="00B11528" w:rsidRPr="00B11528" w:rsidRDefault="00B11528" w:rsidP="00B11528">
            <w:pPr>
              <w:pStyle w:val="TableTextBullet"/>
              <w:numPr>
                <w:ilvl w:val="0"/>
                <w:numId w:val="0"/>
              </w:numPr>
              <w:tabs>
                <w:tab w:val="left" w:pos="720"/>
              </w:tabs>
              <w:rPr>
                <w:sz w:val="20"/>
                <w:szCs w:val="20"/>
              </w:rPr>
            </w:pPr>
            <w:r w:rsidRPr="00B11528">
              <w:rPr>
                <w:rFonts w:ascii="Wingdings 3" w:hAnsi="Wingdings 3"/>
              </w:rPr>
              <w:t></w:t>
            </w:r>
            <w:r w:rsidRPr="00B11528">
              <w:rPr>
                <w:rFonts w:ascii="Wingdings 3" w:hAnsi="Wingdings 3"/>
              </w:rPr>
              <w:t></w:t>
            </w:r>
            <w:r w:rsidRPr="00B11528">
              <w:t xml:space="preserve"> An Enhanced Technologist or below, VBECS emits an audible alert and warns the user that the unit is not selectable and he is not authorized to issue the unit. The unsatisfied requirements are not detailed.</w:t>
            </w:r>
          </w:p>
          <w:p w:rsidR="004C2C6A" w:rsidRDefault="00B11528" w:rsidP="00B11528">
            <w:pPr>
              <w:pStyle w:val="TableText"/>
              <w:rPr>
                <w:rFonts w:cs="Arial"/>
                <w:vanish/>
              </w:rPr>
            </w:pPr>
            <w:r w:rsidRPr="00B11528">
              <w:t>VBECS does not allow an override.</w:t>
            </w:r>
          </w:p>
        </w:tc>
      </w:tr>
      <w:tr w:rsidR="002A21AE">
        <w:tc>
          <w:tcPr>
            <w:tcW w:w="780" w:type="dxa"/>
          </w:tcPr>
          <w:p w:rsidR="002A21AE" w:rsidRDefault="002A21AE">
            <w:pPr>
              <w:pStyle w:val="TableText"/>
            </w:pPr>
            <w:r>
              <w:t>5</w:t>
            </w:r>
          </w:p>
        </w:tc>
        <w:tc>
          <w:tcPr>
            <w:tcW w:w="8580" w:type="dxa"/>
          </w:tcPr>
          <w:p w:rsidR="002104CB" w:rsidRDefault="002A21AE">
            <w:pPr>
              <w:pStyle w:val="TableText"/>
            </w:pPr>
            <w:r>
              <w:rPr>
                <w:rFonts w:cs="Arial"/>
                <w:vanish/>
              </w:rPr>
              <w:t xml:space="preserve">BR_73.28 </w:t>
            </w:r>
            <w:r w:rsidR="004C2C6A">
              <w:t xml:space="preserve">When the patient has </w:t>
            </w:r>
            <w:r w:rsidR="00B11528">
              <w:t>Component Requirements</w:t>
            </w:r>
            <w:r w:rsidR="002104CB" w:rsidRPr="002104CB">
              <w:t xml:space="preserve">, the user attempts to issue (including emergency issue) red blood </w:t>
            </w:r>
            <w:r w:rsidR="004C2C6A">
              <w:t>cells that do not satisfy the requirement</w:t>
            </w:r>
            <w:r w:rsidR="002104CB" w:rsidRPr="002104CB">
              <w:t>,</w:t>
            </w:r>
            <w:r w:rsidR="002104CB">
              <w:t xml:space="preserve"> and the user is:</w:t>
            </w:r>
          </w:p>
          <w:p w:rsidR="006105C7" w:rsidRDefault="00910609" w:rsidP="002104CB">
            <w:pPr>
              <w:pStyle w:val="TableTextBullet"/>
            </w:pPr>
            <w:r w:rsidRPr="00EC7489">
              <w:rPr>
                <w:rFonts w:ascii="Wingdings 3" w:hAnsi="Wingdings 3" w:cs="Wingdings"/>
              </w:rPr>
              <w:t></w:t>
            </w:r>
            <w:r w:rsidRPr="00EC7489">
              <w:rPr>
                <w:rFonts w:ascii="Wingdings 3" w:hAnsi="Wingdings 3" w:cs="Wingdings"/>
              </w:rPr>
              <w:t></w:t>
            </w:r>
            <w:r>
              <w:t xml:space="preserve"> </w:t>
            </w:r>
            <w:r w:rsidR="002104CB">
              <w:t>A</w:t>
            </w:r>
            <w:r w:rsidR="006105C7">
              <w:t xml:space="preserve">n </w:t>
            </w:r>
            <w:r>
              <w:t xml:space="preserve">Enhanced Technologist or below, </w:t>
            </w:r>
            <w:r w:rsidR="00514F60">
              <w:t xml:space="preserve">VBECS emits an audible alert and warns the user that the patient's </w:t>
            </w:r>
            <w:r w:rsidR="004C2C6A">
              <w:t>component</w:t>
            </w:r>
            <w:r w:rsidR="00514F60">
              <w:t xml:space="preserve"> requirement is not satisfied and he is not authorized to issue the unit. VBECS does not allow an override.</w:t>
            </w:r>
          </w:p>
          <w:p w:rsidR="002A21AE" w:rsidRDefault="006105C7" w:rsidP="004C2C6A">
            <w:pPr>
              <w:pStyle w:val="TableTextBulle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sidR="002104CB">
              <w:t>A</w:t>
            </w:r>
            <w:r>
              <w:t xml:space="preserve"> Lead Technologist or above, VBECS emits an audible alert and warns the </w:t>
            </w:r>
            <w:r w:rsidR="00514F60">
              <w:t xml:space="preserve">user that the patient's </w:t>
            </w:r>
            <w:r w:rsidR="004C2C6A">
              <w:t>component</w:t>
            </w:r>
            <w:r w:rsidR="00514F60">
              <w:t xml:space="preserve"> requirement is not satisfied and allows for an ove</w:t>
            </w:r>
            <w:r w:rsidR="00F94F44">
              <w:t>r</w:t>
            </w:r>
            <w:r w:rsidR="00514F60">
              <w:t>ride</w:t>
            </w:r>
            <w:r>
              <w:t>.</w:t>
            </w:r>
            <w:r>
              <w:rPr>
                <w:b/>
              </w:rPr>
              <w:t xml:space="preserve"> </w:t>
            </w:r>
            <w:r w:rsidR="00910609">
              <w:rPr>
                <w:b/>
              </w:rPr>
              <w:t>No</w:t>
            </w:r>
            <w:r w:rsidR="00910609">
              <w:t xml:space="preserve"> clears the screen. </w:t>
            </w:r>
            <w:r w:rsidR="00910609">
              <w:rPr>
                <w:b/>
              </w:rPr>
              <w:t>Yes</w:t>
            </w:r>
            <w:r w:rsidR="00910609">
              <w:t xml:space="preserve"> requires a comment and captures details for inclusion in an Exception Report (exception type: unit issued with unsatisfied TR).</w:t>
            </w:r>
            <w:r w:rsidR="002A21AE">
              <w:t xml:space="preserve"> </w:t>
            </w:r>
          </w:p>
        </w:tc>
      </w:tr>
      <w:tr w:rsidR="002A21AE">
        <w:tc>
          <w:tcPr>
            <w:tcW w:w="780" w:type="dxa"/>
          </w:tcPr>
          <w:p w:rsidR="002A21AE" w:rsidRDefault="002A21AE">
            <w:pPr>
              <w:pStyle w:val="TableText"/>
            </w:pPr>
            <w:r>
              <w:t>5</w:t>
            </w:r>
          </w:p>
        </w:tc>
        <w:tc>
          <w:tcPr>
            <w:tcW w:w="8580" w:type="dxa"/>
          </w:tcPr>
          <w:p w:rsidR="002A21AE" w:rsidRDefault="002A21AE">
            <w:pPr>
              <w:pStyle w:val="TableText"/>
            </w:pPr>
            <w:r>
              <w:rPr>
                <w:rFonts w:cs="Arial"/>
                <w:vanish/>
              </w:rPr>
              <w:t xml:space="preserve">BR_73.15 </w:t>
            </w:r>
            <w:r>
              <w:t xml:space="preserve">When a repeat ABO/Rh performed on the patient specimen does not match the original ABO/Rh interpretation and the unit doesn’t qualify for emergency issue, VBECS warns the user and instructs him to resolve the discrepancy before issuing the unit. There is no override. </w:t>
            </w:r>
            <w:r w:rsidR="00E44A2A">
              <w:t>Units that qualify for emergency issue may continue and VBECS will display a message that the ABO/Rh on the current specimen does not agree with the historic ABO/Rh.</w:t>
            </w:r>
          </w:p>
        </w:tc>
      </w:tr>
      <w:tr w:rsidR="002A21AE">
        <w:tc>
          <w:tcPr>
            <w:tcW w:w="780" w:type="dxa"/>
          </w:tcPr>
          <w:p w:rsidR="002A21AE" w:rsidRDefault="002A21AE">
            <w:pPr>
              <w:pStyle w:val="TableText"/>
            </w:pPr>
            <w:r>
              <w:lastRenderedPageBreak/>
              <w:t>5</w:t>
            </w:r>
          </w:p>
        </w:tc>
        <w:tc>
          <w:tcPr>
            <w:tcW w:w="8580" w:type="dxa"/>
          </w:tcPr>
          <w:p w:rsidR="002A21AE" w:rsidRDefault="002A21AE">
            <w:pPr>
              <w:pStyle w:val="TableText"/>
            </w:pPr>
            <w:r>
              <w:rPr>
                <w:rFonts w:cs="Arial"/>
                <w:vanish/>
              </w:rPr>
              <w:t xml:space="preserve">BR_73.29 </w:t>
            </w:r>
            <w:r>
              <w:t xml:space="preserve">When a unit is issued for a patient with a specimen expiration date more than three days in the future, VBECS changes the expiration date to three days from the date of issue of the unit. </w:t>
            </w:r>
          </w:p>
        </w:tc>
      </w:tr>
      <w:tr w:rsidR="002A21AE">
        <w:tc>
          <w:tcPr>
            <w:tcW w:w="780" w:type="dxa"/>
          </w:tcPr>
          <w:p w:rsidR="002A21AE" w:rsidRDefault="002A21AE">
            <w:pPr>
              <w:pStyle w:val="TableText"/>
            </w:pPr>
            <w:r>
              <w:t>5</w:t>
            </w:r>
          </w:p>
        </w:tc>
        <w:tc>
          <w:tcPr>
            <w:tcW w:w="8580" w:type="dxa"/>
          </w:tcPr>
          <w:p w:rsidR="002A21AE" w:rsidRDefault="002A21AE">
            <w:pPr>
              <w:pStyle w:val="TableText"/>
            </w:pPr>
            <w:r>
              <w:rPr>
                <w:rFonts w:cs="Arial"/>
                <w:vanish/>
              </w:rPr>
              <w:t xml:space="preserve">BR_73.30 </w:t>
            </w:r>
            <w:r>
              <w:t xml:space="preserve">When a unit has a biohazard indicator, VBECS emits an audible alert, warns the user, and asks whether he still wishes to issue the unit. </w:t>
            </w:r>
            <w:r>
              <w:rPr>
                <w:b/>
              </w:rPr>
              <w:t>No</w:t>
            </w:r>
            <w:r>
              <w:t xml:space="preserve"> clears the entry and allows the user to select a new unit. </w:t>
            </w:r>
            <w:r>
              <w:rPr>
                <w:b/>
              </w:rPr>
              <w:t>Yes</w:t>
            </w:r>
            <w:r>
              <w:t xml:space="preserve"> requires a comment and captures details of the transaction for inclusion in an Exception Report (exception type: biohazardous unit issued). </w:t>
            </w:r>
          </w:p>
        </w:tc>
      </w:tr>
      <w:tr w:rsidR="002A21AE">
        <w:tc>
          <w:tcPr>
            <w:tcW w:w="780" w:type="dxa"/>
          </w:tcPr>
          <w:p w:rsidR="002A21AE" w:rsidRDefault="002A21AE">
            <w:pPr>
              <w:pStyle w:val="TableText"/>
            </w:pPr>
            <w:r>
              <w:t>5</w:t>
            </w:r>
          </w:p>
        </w:tc>
        <w:tc>
          <w:tcPr>
            <w:tcW w:w="8580" w:type="dxa"/>
          </w:tcPr>
          <w:p w:rsidR="002A21AE" w:rsidRDefault="002A21AE" w:rsidP="000B2F76">
            <w:pPr>
              <w:pStyle w:val="TableText"/>
            </w:pPr>
            <w:r>
              <w:rPr>
                <w:rFonts w:cs="Arial"/>
                <w:vanish/>
                <w:szCs w:val="22"/>
              </w:rPr>
              <w:t xml:space="preserve">BR_73.16 </w:t>
            </w:r>
            <w:r>
              <w:t xml:space="preserve">For an Rh negative, unknown, or inconclusive </w:t>
            </w:r>
            <w:r w:rsidR="000B2F76">
              <w:t xml:space="preserve">patient: </w:t>
            </w:r>
            <w:r>
              <w:t>the user may ent</w:t>
            </w:r>
            <w:r w:rsidR="005F5509">
              <w:t xml:space="preserve">er and confirm Rh positive or Rh pooled units </w:t>
            </w:r>
            <w:r>
              <w:t xml:space="preserve">from the WHOLE BLOOD, RED BLOOD CELLS, </w:t>
            </w:r>
            <w:r w:rsidR="00831235">
              <w:t xml:space="preserve">PLATELETS, </w:t>
            </w:r>
            <w:r>
              <w:t xml:space="preserve">and </w:t>
            </w:r>
            <w:r w:rsidR="00831235">
              <w:t>OTHER</w:t>
            </w:r>
            <w:r>
              <w:t xml:space="preserve"> </w:t>
            </w:r>
            <w:r w:rsidR="00B25AD0">
              <w:t xml:space="preserve">VBECS </w:t>
            </w:r>
            <w:r>
              <w:t xml:space="preserve">component classes. </w:t>
            </w:r>
            <w:r w:rsidR="000B2F76">
              <w:t xml:space="preserve">When VBECS component classes are individually entered and confirmed by the user, </w:t>
            </w:r>
            <w:r>
              <w:t xml:space="preserve">VBECS emits an audible alert, warns the user, and asks whether he wishes to issue the unit. </w:t>
            </w:r>
            <w:r>
              <w:rPr>
                <w:b/>
              </w:rPr>
              <w:t>No</w:t>
            </w:r>
            <w:r>
              <w:t xml:space="preserve"> clears the unit data and allows the user to select a different unit. </w:t>
            </w:r>
            <w:r>
              <w:rPr>
                <w:b/>
              </w:rPr>
              <w:t>Yes</w:t>
            </w:r>
            <w:r>
              <w:t xml:space="preserve"> requires additional comment and captures details for inclusion in an Exception Report (exception type: antigen positive/untested units issued).</w:t>
            </w:r>
          </w:p>
        </w:tc>
      </w:tr>
      <w:tr w:rsidR="002A21AE">
        <w:tc>
          <w:tcPr>
            <w:tcW w:w="780" w:type="dxa"/>
          </w:tcPr>
          <w:p w:rsidR="002A21AE" w:rsidRDefault="002A21AE">
            <w:pPr>
              <w:pStyle w:val="TableText"/>
            </w:pPr>
            <w:r>
              <w:t>5</w:t>
            </w:r>
          </w:p>
        </w:tc>
        <w:tc>
          <w:tcPr>
            <w:tcW w:w="8580" w:type="dxa"/>
          </w:tcPr>
          <w:p w:rsidR="002A21AE" w:rsidRDefault="002A21AE">
            <w:pPr>
              <w:pStyle w:val="TableText"/>
            </w:pPr>
            <w:r>
              <w:rPr>
                <w:rFonts w:cs="Arial"/>
                <w:vanish/>
              </w:rPr>
              <w:t xml:space="preserve">BR_73.03 </w:t>
            </w:r>
            <w:r>
              <w:t>When a user attempts to issue units assigned and/or crossmatched or that require an ABO/Rh associated with an expired specimen when compared to the issue date and time, V</w:t>
            </w:r>
            <w:r w:rsidR="00D258CC">
              <w:t xml:space="preserve">BECS </w:t>
            </w:r>
            <w:r>
              <w:t>warns the user. There is no override.</w:t>
            </w:r>
          </w:p>
          <w:p w:rsidR="002A21AE" w:rsidRDefault="002A21AE">
            <w:pPr>
              <w:pStyle w:val="TableText"/>
            </w:pPr>
          </w:p>
          <w:p w:rsidR="002A21AE" w:rsidRDefault="002A21AE">
            <w:pPr>
              <w:pStyle w:val="TableText"/>
            </w:pPr>
            <w:r w:rsidRPr="00EC7489">
              <w:rPr>
                <w:rFonts w:ascii="Wingdings 3" w:hAnsi="Wingdings 3" w:cs="Wingdings"/>
              </w:rPr>
              <w:t></w:t>
            </w:r>
            <w:r w:rsidRPr="00EC7489">
              <w:rPr>
                <w:rFonts w:ascii="Wingdings 3" w:hAnsi="Wingdings 3" w:cs="Wingdings"/>
              </w:rPr>
              <w:t></w:t>
            </w:r>
            <w:r>
              <w:t xml:space="preserve"> When the user is an Enhanced Technologist or above, VBECS emits an audible alert, warns the user, and asks whether he wishes to continue to issue. </w:t>
            </w:r>
            <w:r>
              <w:rPr>
                <w:b/>
              </w:rPr>
              <w:t>No</w:t>
            </w:r>
            <w:r>
              <w:t xml:space="preserve"> clears the screen. </w:t>
            </w:r>
            <w:r>
              <w:rPr>
                <w:b/>
              </w:rPr>
              <w:t>Yes</w:t>
            </w:r>
            <w:r>
              <w:t xml:space="preserve"> requires a comment and captures details for inclusion in an Exception Report (exception type: unit issued on expired specimen).</w:t>
            </w:r>
          </w:p>
        </w:tc>
      </w:tr>
      <w:tr w:rsidR="002A21AE">
        <w:tc>
          <w:tcPr>
            <w:tcW w:w="780" w:type="dxa"/>
          </w:tcPr>
          <w:p w:rsidR="002A21AE" w:rsidRDefault="002A21AE">
            <w:pPr>
              <w:pStyle w:val="TableText"/>
            </w:pPr>
            <w:r>
              <w:t>5</w:t>
            </w:r>
          </w:p>
        </w:tc>
        <w:tc>
          <w:tcPr>
            <w:tcW w:w="8580" w:type="dxa"/>
          </w:tcPr>
          <w:p w:rsidR="002A21AE" w:rsidRDefault="002A21AE">
            <w:pPr>
              <w:pStyle w:val="TableText"/>
            </w:pPr>
            <w:r>
              <w:rPr>
                <w:rFonts w:cs="Arial"/>
                <w:vanish/>
              </w:rPr>
              <w:t xml:space="preserve">BR_73.04 </w:t>
            </w:r>
            <w:r>
              <w:t>When the user attempts to issue an expired unit, V</w:t>
            </w:r>
            <w:r w:rsidR="00D258CC">
              <w:t xml:space="preserve">BECS </w:t>
            </w:r>
            <w:r>
              <w:t>warns him. There is no override.</w:t>
            </w:r>
          </w:p>
          <w:p w:rsidR="002A21AE" w:rsidRDefault="002A21AE">
            <w:pPr>
              <w:pStyle w:val="TableText"/>
            </w:pPr>
          </w:p>
          <w:p w:rsidR="002A21AE" w:rsidRDefault="002A21AE">
            <w:pPr>
              <w:pStyle w:val="TableText"/>
            </w:pPr>
            <w:r w:rsidRPr="00EC7489">
              <w:rPr>
                <w:rFonts w:ascii="Wingdings 3" w:hAnsi="Wingdings 3" w:cs="Wingdings"/>
              </w:rPr>
              <w:t></w:t>
            </w:r>
            <w:r w:rsidRPr="00EC7489">
              <w:rPr>
                <w:rFonts w:ascii="Wingdings 3" w:hAnsi="Wingdings 3" w:cs="Wingdings"/>
              </w:rPr>
              <w:t></w:t>
            </w:r>
            <w:r>
              <w:t xml:space="preserve"> When the user is an Enhanced Technologist or above, VBECS emits an audible alert, warns him, and asks whether he wishes to continue to issue. </w:t>
            </w:r>
            <w:r>
              <w:rPr>
                <w:b/>
              </w:rPr>
              <w:t>No</w:t>
            </w:r>
            <w:r>
              <w:t xml:space="preserve"> clears the screen. </w:t>
            </w:r>
            <w:r>
              <w:rPr>
                <w:b/>
              </w:rPr>
              <w:t>Yes</w:t>
            </w:r>
            <w:r>
              <w:t xml:space="preserve"> requires a comment and captures details for inclusion in an Exception Report (exception type: issued expired unit).</w:t>
            </w:r>
          </w:p>
        </w:tc>
      </w:tr>
      <w:tr w:rsidR="002A21AE">
        <w:tc>
          <w:tcPr>
            <w:tcW w:w="780" w:type="dxa"/>
          </w:tcPr>
          <w:p w:rsidR="002A21AE" w:rsidRDefault="002A21AE">
            <w:pPr>
              <w:pStyle w:val="TableText"/>
            </w:pPr>
            <w:r>
              <w:t>5</w:t>
            </w:r>
          </w:p>
        </w:tc>
        <w:tc>
          <w:tcPr>
            <w:tcW w:w="8580" w:type="dxa"/>
          </w:tcPr>
          <w:p w:rsidR="002A21AE" w:rsidRDefault="002A21AE">
            <w:pPr>
              <w:pStyle w:val="TableText"/>
            </w:pPr>
            <w:r>
              <w:rPr>
                <w:rFonts w:cs="Arial"/>
                <w:vanish/>
              </w:rPr>
              <w:t xml:space="preserve">BR_73.14 </w:t>
            </w:r>
            <w:r>
              <w:t>When the user selects units from the WHOLE BLOOD, RED BLOOD CELLS, or APHERESIS RED BLOOD CELLS ICCBBA component classes, VBECS determines when the patient has a calculated or a persistent antigen negative requirement. This does not apply when selecting autologous (ISBT 128 units with an autologous donation type). When the selected unit was antigen typed and is positive for the corresponding antigen or is untested for the antigen, VBECS warns the user and requires action based on his security level.</w:t>
            </w:r>
          </w:p>
          <w:p w:rsidR="002A21AE" w:rsidRDefault="002A21AE">
            <w:pPr>
              <w:pStyle w:val="TableText"/>
            </w:pPr>
          </w:p>
          <w:p w:rsidR="002A21AE" w:rsidRDefault="002A21AE">
            <w:pPr>
              <w:pStyle w:val="TableText"/>
            </w:pPr>
            <w:r w:rsidRPr="00EC7489">
              <w:rPr>
                <w:rFonts w:ascii="Wingdings 3" w:hAnsi="Wingdings 3" w:cs="Wingdings"/>
              </w:rPr>
              <w:t></w:t>
            </w:r>
            <w:r w:rsidRPr="00EC7489">
              <w:rPr>
                <w:rFonts w:ascii="Wingdings 3" w:hAnsi="Wingdings 3" w:cs="Wingdings"/>
              </w:rPr>
              <w:t></w:t>
            </w:r>
            <w:r>
              <w:t xml:space="preserve"> When the user is an Enhanced Technologist or below, V</w:t>
            </w:r>
            <w:r w:rsidR="00D258CC">
              <w:t xml:space="preserve">BECS </w:t>
            </w:r>
            <w:r>
              <w:t xml:space="preserve">warns that he </w:t>
            </w:r>
            <w:r w:rsidR="00082F78">
              <w:t>does not have the proper security level</w:t>
            </w:r>
            <w:r>
              <w:t xml:space="preserve"> to issue the unit. There is no override. </w:t>
            </w:r>
          </w:p>
          <w:p w:rsidR="002A21AE" w:rsidRDefault="002A21AE">
            <w:pPr>
              <w:pStyle w:val="TableText"/>
            </w:pPr>
          </w:p>
          <w:p w:rsidR="002A21AE" w:rsidRDefault="002A21AE">
            <w:pPr>
              <w:pStyle w:val="Table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When the user is a Lead Technologist or above, VBECS emits an audible alert, warns him, and asks whether he wishes to continue to issue. </w:t>
            </w:r>
            <w:r>
              <w:rPr>
                <w:b/>
              </w:rPr>
              <w:t>No</w:t>
            </w:r>
            <w:r>
              <w:t xml:space="preserve"> clears the screen. </w:t>
            </w:r>
            <w:r>
              <w:rPr>
                <w:b/>
              </w:rPr>
              <w:t>Yes</w:t>
            </w:r>
            <w:r>
              <w:t xml:space="preserve"> requires a comment and captures details for inclusion in an Exception Report entry (exception type: antigen-positive/untested units issued).</w:t>
            </w:r>
          </w:p>
        </w:tc>
      </w:tr>
      <w:tr w:rsidR="002A21AE">
        <w:tc>
          <w:tcPr>
            <w:tcW w:w="780" w:type="dxa"/>
          </w:tcPr>
          <w:p w:rsidR="002A21AE" w:rsidRDefault="002A21AE">
            <w:pPr>
              <w:pStyle w:val="TableText"/>
            </w:pPr>
            <w:r>
              <w:t>5</w:t>
            </w:r>
          </w:p>
        </w:tc>
        <w:tc>
          <w:tcPr>
            <w:tcW w:w="8580" w:type="dxa"/>
          </w:tcPr>
          <w:p w:rsidR="002A21AE" w:rsidRDefault="002A21AE" w:rsidP="00E44A2A">
            <w:pPr>
              <w:pStyle w:val="TableText"/>
            </w:pPr>
            <w:r>
              <w:rPr>
                <w:rFonts w:cs="Arial"/>
                <w:vanish/>
              </w:rPr>
              <w:t xml:space="preserve">BR_73.05 </w:t>
            </w:r>
            <w:r>
              <w:t xml:space="preserve">VBECS compares the ABO/Rh of the current specimen </w:t>
            </w:r>
            <w:r w:rsidR="00E44A2A">
              <w:t xml:space="preserve">to the historic ABO/Rh. </w:t>
            </w:r>
            <w:r>
              <w:t xml:space="preserve">When there is a discrepancy, there is no previous justification for the discrepancy on the patient record, as described in Justify ABO/Rh Change, and the unit </w:t>
            </w:r>
            <w:r w:rsidR="00A10483">
              <w:t>does not</w:t>
            </w:r>
            <w:r>
              <w:t xml:space="preserve"> qualify for emergency issue, VBECS warns the user and instructs him to resolve the discrepancy before issuing the unit. There is no override. VBECS exits the option, clears the screen, and returns the user to the point of entry. </w:t>
            </w:r>
            <w:r w:rsidR="00E44A2A">
              <w:t>Units that qualify for emergency issue may continue and VBECS will display a message that the ABO/Rh on the current specimen does not agree with the historic ABO/Rh</w:t>
            </w:r>
            <w:r>
              <w:t>.</w:t>
            </w:r>
          </w:p>
        </w:tc>
      </w:tr>
      <w:tr w:rsidR="002A21AE">
        <w:tc>
          <w:tcPr>
            <w:tcW w:w="780" w:type="dxa"/>
          </w:tcPr>
          <w:p w:rsidR="00E44A2A" w:rsidRDefault="002A21AE">
            <w:pPr>
              <w:pStyle w:val="TableText"/>
            </w:pPr>
            <w:r>
              <w:t>5</w:t>
            </w:r>
          </w:p>
          <w:p w:rsidR="002A21AE" w:rsidRPr="00E44A2A" w:rsidRDefault="002A21AE" w:rsidP="00E44A2A"/>
        </w:tc>
        <w:tc>
          <w:tcPr>
            <w:tcW w:w="8580" w:type="dxa"/>
          </w:tcPr>
          <w:p w:rsidR="002A21AE" w:rsidRDefault="002A21AE">
            <w:pPr>
              <w:pStyle w:val="TableText"/>
            </w:pPr>
            <w:r w:rsidRPr="00ED5745">
              <w:rPr>
                <w:rFonts w:cs="Arial"/>
                <w:vanish/>
                <w:color w:val="0000FF"/>
              </w:rPr>
              <w:t>BR_3.05</w:t>
            </w:r>
            <w:r>
              <w:rPr>
                <w:rFonts w:cs="Arial"/>
                <w:vanish/>
              </w:rPr>
              <w:t xml:space="preserve"> </w:t>
            </w:r>
            <w:r>
              <w:t xml:space="preserve">When no valid ABO exists for the patient, the user may select components, including autologous units: </w:t>
            </w:r>
          </w:p>
          <w:p w:rsidR="002A21AE" w:rsidRDefault="002A21AE">
            <w:pPr>
              <w:pStyle w:val="TableTextBullet"/>
              <w:tabs>
                <w:tab w:val="clear" w:pos="288"/>
              </w:tabs>
            </w:pPr>
            <w:r>
              <w:t xml:space="preserve">For RBC or WB order: </w:t>
            </w:r>
            <w:r w:rsidR="00093181">
              <w:t>group</w:t>
            </w:r>
            <w:r w:rsidR="000014DD">
              <w:t xml:space="preserve"> </w:t>
            </w:r>
            <w:r>
              <w:t>O, Rh positive or O Rh negative RBC. WHOLE BLOOD is not selectable.</w:t>
            </w:r>
          </w:p>
          <w:p w:rsidR="002A21AE" w:rsidRDefault="002A21AE">
            <w:pPr>
              <w:pStyle w:val="TableTextBullet"/>
              <w:tabs>
                <w:tab w:val="clear" w:pos="288"/>
              </w:tabs>
            </w:pPr>
            <w:r>
              <w:t>For FFP order only: group AB, Rh positive or Rh negative.</w:t>
            </w:r>
          </w:p>
          <w:p w:rsidR="002A21AE" w:rsidRDefault="00E31C5D">
            <w:pPr>
              <w:pStyle w:val="TableTextBullet"/>
              <w:tabs>
                <w:tab w:val="clear" w:pos="288"/>
              </w:tabs>
            </w:pPr>
            <w:r>
              <w:t>For PLT, CRYO, or OTHER order, all available units are selectable.</w:t>
            </w:r>
          </w:p>
        </w:tc>
      </w:tr>
      <w:tr w:rsidR="00102A03">
        <w:tc>
          <w:tcPr>
            <w:tcW w:w="780" w:type="dxa"/>
          </w:tcPr>
          <w:p w:rsidR="00102A03" w:rsidRDefault="00102A03">
            <w:pPr>
              <w:pStyle w:val="TableText"/>
            </w:pPr>
            <w:r>
              <w:t>5</w:t>
            </w:r>
          </w:p>
        </w:tc>
        <w:tc>
          <w:tcPr>
            <w:tcW w:w="8580" w:type="dxa"/>
          </w:tcPr>
          <w:p w:rsidR="00102A03" w:rsidRDefault="00102A03" w:rsidP="00102A03">
            <w:pPr>
              <w:pStyle w:val="TableText"/>
              <w:rPr>
                <w:rFonts w:cs="Arial"/>
                <w:vanish/>
                <w:szCs w:val="22"/>
              </w:rPr>
            </w:pPr>
            <w:r w:rsidRPr="00AE062E">
              <w:rPr>
                <w:vanish/>
                <w:szCs w:val="18"/>
              </w:rPr>
              <w:t xml:space="preserve">BR_73.37 </w:t>
            </w:r>
            <w:r>
              <w:t>When the division is “transfusion only” and a blood unit is ABO incompatible at issue based on the interpretation of the current patient specimen’s ABO test, V</w:t>
            </w:r>
            <w:r w:rsidR="00D258CC">
              <w:t xml:space="preserve">BECS </w:t>
            </w:r>
            <w:r>
              <w:t>warns the user that the unit is not ABO compatible for the patient’s current specimen and may not be issued. The user must resolve pending ABO discrepancies before issuing the unit.</w:t>
            </w:r>
          </w:p>
        </w:tc>
      </w:tr>
      <w:tr w:rsidR="002A21AE">
        <w:tc>
          <w:tcPr>
            <w:tcW w:w="780" w:type="dxa"/>
          </w:tcPr>
          <w:p w:rsidR="002A21AE" w:rsidRDefault="002A21AE">
            <w:pPr>
              <w:pStyle w:val="TableText"/>
            </w:pPr>
            <w:r>
              <w:lastRenderedPageBreak/>
              <w:t>7</w:t>
            </w:r>
          </w:p>
        </w:tc>
        <w:tc>
          <w:tcPr>
            <w:tcW w:w="8580" w:type="dxa"/>
          </w:tcPr>
          <w:p w:rsidR="002A21AE" w:rsidRDefault="002A21AE">
            <w:pPr>
              <w:pStyle w:val="TableText"/>
            </w:pPr>
            <w:r>
              <w:rPr>
                <w:rFonts w:cs="Arial"/>
                <w:vanish/>
                <w:szCs w:val="22"/>
              </w:rPr>
              <w:t xml:space="preserve">BR_73.33 </w:t>
            </w:r>
            <w:r w:rsidR="00FE49A2">
              <w:t xml:space="preserve">When the division is “full service” and a blood unit is ABO incompatible at issue based on the system interpretation of the current patient specimen’s ABO test result, VBECS emits an audible </w:t>
            </w:r>
            <w:r w:rsidR="00A10483">
              <w:t>alert, warns that the unit is not ABO compatible with the patient’s current specimen results,</w:t>
            </w:r>
            <w:r w:rsidR="00FE49A2">
              <w:t xml:space="preserve"> and asks whether he wishes to continue. </w:t>
            </w:r>
            <w:r w:rsidR="00FE49A2">
              <w:rPr>
                <w:b/>
              </w:rPr>
              <w:t>No</w:t>
            </w:r>
            <w:r w:rsidR="00FE49A2">
              <w:t xml:space="preserve"> clears the screen and allows the user to select another unit. </w:t>
            </w:r>
            <w:r w:rsidR="00FE49A2">
              <w:rPr>
                <w:b/>
              </w:rPr>
              <w:t>Yes</w:t>
            </w:r>
            <w:r w:rsidR="00FE49A2">
              <w:t xml:space="preserve"> requires a comment and </w:t>
            </w:r>
            <w:r w:rsidR="00FE49A2" w:rsidRPr="00014921">
              <w:t xml:space="preserve">captures details for inclusion in an Exception Report (exception type: </w:t>
            </w:r>
            <w:r w:rsidR="00FE49A2">
              <w:t>ABO discrepant unit issue</w:t>
            </w:r>
            <w:r w:rsidR="00FE49A2" w:rsidRPr="00014921">
              <w:t>).</w:t>
            </w:r>
          </w:p>
        </w:tc>
      </w:tr>
    </w:tbl>
    <w:p w:rsidR="007122D4" w:rsidRDefault="007122D4" w:rsidP="007122D4">
      <w:pPr>
        <w:pStyle w:val="Caption"/>
      </w:pPr>
      <w:bookmarkStart w:id="408" w:name="_Ref126489326"/>
      <w:r>
        <w:t xml:space="preserve">Table </w:t>
      </w:r>
      <w:r>
        <w:fldChar w:fldCharType="begin"/>
      </w:r>
      <w:r>
        <w:instrText xml:space="preserve"> SEQ Table \* ARABIC </w:instrText>
      </w:r>
      <w:r>
        <w:fldChar w:fldCharType="separate"/>
      </w:r>
      <w:r w:rsidR="005F38BC">
        <w:rPr>
          <w:noProof/>
        </w:rPr>
        <w:t>8</w:t>
      </w:r>
      <w:r>
        <w:fldChar w:fldCharType="end"/>
      </w:r>
      <w:bookmarkEnd w:id="408"/>
      <w:r>
        <w:t xml:space="preserve">: Alerts That May Occur in Issue Blood Components (Emergency) </w:t>
      </w:r>
      <w:r>
        <w:fldChar w:fldCharType="begin"/>
      </w:r>
      <w:r>
        <w:instrText xml:space="preserve"> XE “Tables:Alerts That May Occur in Issue Blood Components (Emergency)”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
        <w:gridCol w:w="8580"/>
      </w:tblGrid>
      <w:tr w:rsidR="00263F21">
        <w:trPr>
          <w:tblHeader/>
        </w:trPr>
        <w:tc>
          <w:tcPr>
            <w:tcW w:w="780" w:type="dxa"/>
            <w:shd w:val="clear" w:color="auto" w:fill="B3B3B3"/>
          </w:tcPr>
          <w:p w:rsidR="00263F21" w:rsidRDefault="00DB3377" w:rsidP="00BC3648">
            <w:pPr>
              <w:pStyle w:val="TableText"/>
              <w:rPr>
                <w:b/>
              </w:rPr>
            </w:pPr>
            <w:r>
              <w:rPr>
                <w:b/>
              </w:rPr>
              <w:t>User Action Step</w:t>
            </w:r>
          </w:p>
        </w:tc>
        <w:tc>
          <w:tcPr>
            <w:tcW w:w="8580" w:type="dxa"/>
            <w:shd w:val="clear" w:color="auto" w:fill="B3B3B3"/>
          </w:tcPr>
          <w:p w:rsidR="00263F21" w:rsidRDefault="00263F21" w:rsidP="00BC3648">
            <w:pPr>
              <w:pStyle w:val="TableText"/>
              <w:rPr>
                <w:b/>
              </w:rPr>
            </w:pPr>
            <w:r>
              <w:rPr>
                <w:b/>
              </w:rPr>
              <w:t>Alerts</w:t>
            </w:r>
          </w:p>
        </w:tc>
      </w:tr>
      <w:tr w:rsidR="00263F21">
        <w:tc>
          <w:tcPr>
            <w:tcW w:w="780" w:type="dxa"/>
          </w:tcPr>
          <w:p w:rsidR="00263F21" w:rsidRDefault="00263F21" w:rsidP="00BC3648">
            <w:pPr>
              <w:pStyle w:val="TableText"/>
            </w:pPr>
            <w:r>
              <w:t>2</w:t>
            </w:r>
          </w:p>
        </w:tc>
        <w:tc>
          <w:tcPr>
            <w:tcW w:w="8580" w:type="dxa"/>
          </w:tcPr>
          <w:p w:rsidR="00263F21" w:rsidRDefault="00263F21" w:rsidP="00BC3648">
            <w:pPr>
              <w:pStyle w:val="TableText"/>
            </w:pPr>
            <w:r>
              <w:rPr>
                <w:rFonts w:cs="Arial"/>
                <w:vanish/>
                <w:szCs w:val="22"/>
              </w:rPr>
              <w:t xml:space="preserve">BR_16.01 </w:t>
            </w:r>
            <w:r>
              <w:t xml:space="preserve">VBECS displays </w:t>
            </w:r>
            <w:r w:rsidR="00634BFC">
              <w:rPr>
                <w:noProof/>
              </w:rPr>
              <w:drawing>
                <wp:inline distT="0" distB="0" distL="0" distR="0">
                  <wp:extent cx="152400" cy="152400"/>
                  <wp:effectExtent l="0" t="0" r="0" b="0"/>
                  <wp:docPr id="186" name="Picture 186" descr="small_si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small_si_t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and emits an audible alert when there are Special Instructions (SIs) or Transfusion Requirements (TRs) for the patient.</w:t>
            </w:r>
          </w:p>
        </w:tc>
      </w:tr>
      <w:tr w:rsidR="00263F21">
        <w:tc>
          <w:tcPr>
            <w:tcW w:w="780" w:type="dxa"/>
          </w:tcPr>
          <w:p w:rsidR="00263F21" w:rsidRDefault="00263F21" w:rsidP="00BC3648">
            <w:pPr>
              <w:pStyle w:val="TableText"/>
            </w:pPr>
            <w:r>
              <w:t>2</w:t>
            </w:r>
          </w:p>
        </w:tc>
        <w:tc>
          <w:tcPr>
            <w:tcW w:w="8580" w:type="dxa"/>
          </w:tcPr>
          <w:p w:rsidR="00263F21" w:rsidRDefault="00263F21" w:rsidP="00BC3648">
            <w:pPr>
              <w:pStyle w:val="TableText"/>
            </w:pPr>
            <w:r>
              <w:rPr>
                <w:rFonts w:cs="Arial"/>
                <w:vanish/>
              </w:rPr>
              <w:t xml:space="preserve">BR_73.21 </w:t>
            </w:r>
            <w:r>
              <w:t>When no patient is found, VBECS warns the user and does not allow the user to continue.</w:t>
            </w:r>
          </w:p>
        </w:tc>
      </w:tr>
      <w:tr w:rsidR="00263F21">
        <w:tc>
          <w:tcPr>
            <w:tcW w:w="780" w:type="dxa"/>
          </w:tcPr>
          <w:p w:rsidR="00263F21" w:rsidRDefault="00263F21" w:rsidP="00BC3648">
            <w:pPr>
              <w:pStyle w:val="TableText"/>
            </w:pPr>
            <w:r>
              <w:t>2</w:t>
            </w:r>
          </w:p>
        </w:tc>
        <w:tc>
          <w:tcPr>
            <w:tcW w:w="8580" w:type="dxa"/>
          </w:tcPr>
          <w:p w:rsidR="00263F21" w:rsidRDefault="00263F21" w:rsidP="00BC3648">
            <w:pPr>
              <w:pStyle w:val="TableText"/>
            </w:pPr>
            <w:r>
              <w:rPr>
                <w:rFonts w:cs="Arial"/>
                <w:vanish/>
              </w:rPr>
              <w:t xml:space="preserve">BR_73.20 </w:t>
            </w:r>
            <w:r>
              <w:t>When the patient has no</w:t>
            </w:r>
            <w:r>
              <w:rPr>
                <w:i/>
              </w:rPr>
              <w:t xml:space="preserve"> </w:t>
            </w:r>
            <w:r>
              <w:t>components available for issue, VBECS warns the user and does not allow the user to continue.</w:t>
            </w:r>
          </w:p>
        </w:tc>
      </w:tr>
      <w:tr w:rsidR="00263F21">
        <w:tc>
          <w:tcPr>
            <w:tcW w:w="780" w:type="dxa"/>
          </w:tcPr>
          <w:p w:rsidR="00263F21" w:rsidRDefault="00263F21" w:rsidP="00BC3648">
            <w:pPr>
              <w:pStyle w:val="TableText"/>
            </w:pPr>
            <w:r>
              <w:t>2</w:t>
            </w:r>
          </w:p>
        </w:tc>
        <w:tc>
          <w:tcPr>
            <w:tcW w:w="8580" w:type="dxa"/>
          </w:tcPr>
          <w:p w:rsidR="00263F21" w:rsidRDefault="00263F21" w:rsidP="00BC3648">
            <w:pPr>
              <w:pStyle w:val="TableText"/>
            </w:pPr>
            <w:r>
              <w:rPr>
                <w:rFonts w:cs="Arial"/>
                <w:vanish/>
              </w:rPr>
              <w:t xml:space="preserve">BR_73.31 </w:t>
            </w:r>
            <w:r>
              <w:t>When required testing is incomplete at issue, VBECS emits an audible alert, warns the user, and asks whether to emergency issue the unit in accordance with hospital policy.</w:t>
            </w:r>
          </w:p>
          <w:p w:rsidR="00263F21" w:rsidRDefault="00263F21" w:rsidP="00BC3648">
            <w:pPr>
              <w:pStyle w:val="TableText"/>
            </w:pPr>
          </w:p>
          <w:p w:rsidR="00263F21" w:rsidRDefault="00263F21" w:rsidP="00BC3648">
            <w:pPr>
              <w:pStyle w:val="TableText"/>
            </w:pPr>
            <w:r w:rsidRPr="00924702">
              <w:rPr>
                <w:b/>
              </w:rPr>
              <w:t>No</w:t>
            </w:r>
            <w:r>
              <w:t xml:space="preserve"> stops the user from issuing the unit and requires selection of another unit. </w:t>
            </w:r>
            <w:r w:rsidRPr="00924702">
              <w:rPr>
                <w:b/>
              </w:rPr>
              <w:t>Yes</w:t>
            </w:r>
            <w:r>
              <w:t xml:space="preserve"> creates an Exception Report entry for the issue, indicates on the unit record that the unit was issued emergently, and asks whether the user wishes to print the Caution Tags and Blood Transfusion Record Forms.</w:t>
            </w:r>
            <w:r w:rsidRPr="00924702">
              <w:rPr>
                <w:b/>
              </w:rPr>
              <w:t xml:space="preserve"> No</w:t>
            </w:r>
            <w:r>
              <w:t xml:space="preserve"> allows the user to continue with the emergency issue. </w:t>
            </w:r>
            <w:r w:rsidRPr="00924702">
              <w:rPr>
                <w:b/>
              </w:rPr>
              <w:t>Yes</w:t>
            </w:r>
            <w:r>
              <w:t xml:space="preserve"> prints a Caution Tag and/or Blood Transfusion Record Form and proceeds with the issue.</w:t>
            </w:r>
          </w:p>
        </w:tc>
      </w:tr>
      <w:tr w:rsidR="0065539A">
        <w:tc>
          <w:tcPr>
            <w:tcW w:w="780" w:type="dxa"/>
          </w:tcPr>
          <w:p w:rsidR="0065539A" w:rsidRDefault="0065539A" w:rsidP="00BC3648">
            <w:pPr>
              <w:pStyle w:val="TableText"/>
            </w:pPr>
            <w:r>
              <w:t>5</w:t>
            </w:r>
          </w:p>
        </w:tc>
        <w:tc>
          <w:tcPr>
            <w:tcW w:w="8580" w:type="dxa"/>
          </w:tcPr>
          <w:p w:rsidR="0065539A" w:rsidRPr="00214B12" w:rsidRDefault="0065539A" w:rsidP="00BC3648">
            <w:pPr>
              <w:pStyle w:val="TableText"/>
              <w:rPr>
                <w:rFonts w:cs="Arial"/>
                <w:vanish/>
                <w:szCs w:val="18"/>
              </w:rPr>
            </w:pPr>
            <w:r w:rsidRPr="0065539A">
              <w:rPr>
                <w:vanish/>
                <w:szCs w:val="18"/>
              </w:rPr>
              <w:t xml:space="preserve">BR_73.17 </w:t>
            </w:r>
            <w:r w:rsidRPr="0065539A">
              <w:rPr>
                <w:szCs w:val="18"/>
              </w:rPr>
              <w:t>When the user atte</w:t>
            </w:r>
            <w:r>
              <w:t>mpts to issue a unit located in a different division, VBECS warms him that the unit cannot be issued and does not allow him to continue.</w:t>
            </w:r>
          </w:p>
        </w:tc>
      </w:tr>
      <w:tr w:rsidR="003306DB">
        <w:tc>
          <w:tcPr>
            <w:tcW w:w="780" w:type="dxa"/>
          </w:tcPr>
          <w:p w:rsidR="003306DB" w:rsidRDefault="003306DB" w:rsidP="00BC3648">
            <w:pPr>
              <w:pStyle w:val="TableText"/>
            </w:pPr>
            <w:r>
              <w:t>5</w:t>
            </w:r>
          </w:p>
        </w:tc>
        <w:tc>
          <w:tcPr>
            <w:tcW w:w="8580" w:type="dxa"/>
          </w:tcPr>
          <w:p w:rsidR="003306DB" w:rsidRDefault="003306DB" w:rsidP="00BC3648">
            <w:pPr>
              <w:pStyle w:val="TableText"/>
              <w:rPr>
                <w:rFonts w:cs="Arial"/>
                <w:vanish/>
              </w:rPr>
            </w:pPr>
            <w:r w:rsidRPr="00214B12">
              <w:rPr>
                <w:rFonts w:cs="Arial"/>
                <w:vanish/>
                <w:szCs w:val="18"/>
              </w:rPr>
              <w:t xml:space="preserve">BR_73.19 </w:t>
            </w:r>
            <w:r>
              <w:t>When a user indicates that the inspected unit is unsatisfactory, VBECS does not allow the unit to be issued, releases it from assignment, and warns the user that the unit is unacceptable for transfusion. VBECS allows the user to enter another unit number.</w:t>
            </w:r>
          </w:p>
        </w:tc>
      </w:tr>
      <w:tr w:rsidR="00263F21">
        <w:tc>
          <w:tcPr>
            <w:tcW w:w="780" w:type="dxa"/>
          </w:tcPr>
          <w:p w:rsidR="00263F21" w:rsidRDefault="00263F21" w:rsidP="00BC3648">
            <w:pPr>
              <w:pStyle w:val="TableText"/>
            </w:pPr>
            <w:r>
              <w:t>5</w:t>
            </w:r>
          </w:p>
        </w:tc>
        <w:tc>
          <w:tcPr>
            <w:tcW w:w="8580" w:type="dxa"/>
          </w:tcPr>
          <w:p w:rsidR="00263F21" w:rsidRDefault="00263F21" w:rsidP="00BC3648">
            <w:pPr>
              <w:pStyle w:val="TableText"/>
            </w:pPr>
            <w:r>
              <w:rPr>
                <w:rFonts w:cs="Arial"/>
                <w:vanish/>
              </w:rPr>
              <w:t xml:space="preserve">BR_73.27 </w:t>
            </w:r>
            <w:r>
              <w:rPr>
                <w:rFonts w:cs="Arial"/>
              </w:rPr>
              <w:t xml:space="preserve">When the user attempts to select frozen blood components, VBECS </w:t>
            </w:r>
            <w:r>
              <w:t xml:space="preserve">emits an audible alert and warns the user. Units selected in their frozen state must be thawed before issue. </w:t>
            </w:r>
          </w:p>
        </w:tc>
      </w:tr>
      <w:tr w:rsidR="00B11528">
        <w:tc>
          <w:tcPr>
            <w:tcW w:w="780" w:type="dxa"/>
          </w:tcPr>
          <w:p w:rsidR="00B11528" w:rsidRDefault="00B11528" w:rsidP="00BC3648">
            <w:pPr>
              <w:pStyle w:val="TableText"/>
            </w:pPr>
            <w:r>
              <w:t>5</w:t>
            </w:r>
          </w:p>
        </w:tc>
        <w:tc>
          <w:tcPr>
            <w:tcW w:w="8580" w:type="dxa"/>
          </w:tcPr>
          <w:p w:rsidR="00B11528" w:rsidRPr="00B11528" w:rsidRDefault="00B11528" w:rsidP="00B11528">
            <w:pPr>
              <w:pStyle w:val="TableText"/>
              <w:rPr>
                <w:rFonts w:eastAsia="Calibri"/>
                <w:szCs w:val="18"/>
              </w:rPr>
            </w:pPr>
            <w:r w:rsidRPr="00B11528">
              <w:t>When the patient has Component Requirements and Antigen Negative Requirements, the user attempts to issue (including emergency issue) red blood cells that do not satisfy the requirements, and the user is:</w:t>
            </w:r>
          </w:p>
          <w:p w:rsidR="00B11528" w:rsidRPr="00B11528" w:rsidRDefault="00B11528" w:rsidP="00B11528">
            <w:pPr>
              <w:pStyle w:val="TableTextBullet"/>
              <w:numPr>
                <w:ilvl w:val="0"/>
                <w:numId w:val="0"/>
              </w:numPr>
              <w:tabs>
                <w:tab w:val="left" w:pos="720"/>
              </w:tabs>
              <w:rPr>
                <w:sz w:val="20"/>
                <w:szCs w:val="20"/>
              </w:rPr>
            </w:pPr>
            <w:r w:rsidRPr="00B11528">
              <w:rPr>
                <w:rFonts w:ascii="Wingdings 3" w:hAnsi="Wingdings 3"/>
              </w:rPr>
              <w:t></w:t>
            </w:r>
            <w:r w:rsidRPr="00B11528">
              <w:rPr>
                <w:rFonts w:ascii="Wingdings 3" w:hAnsi="Wingdings 3"/>
              </w:rPr>
              <w:t></w:t>
            </w:r>
            <w:r w:rsidRPr="00B11528">
              <w:t xml:space="preserve"> An Enhanced Technologist or below, VBECS emits an audible alert and warns the user that the unit is not selectable and he is not authorized to issue the unit. The unsatisfied requirements are not detailed.</w:t>
            </w:r>
          </w:p>
          <w:p w:rsidR="00B11528" w:rsidRDefault="00B11528" w:rsidP="00B11528">
            <w:pPr>
              <w:pStyle w:val="TableText"/>
              <w:rPr>
                <w:rFonts w:cs="Arial"/>
                <w:vanish/>
              </w:rPr>
            </w:pPr>
            <w:r w:rsidRPr="00B11528">
              <w:t>VBECS does not allow an override.</w:t>
            </w:r>
          </w:p>
        </w:tc>
      </w:tr>
      <w:tr w:rsidR="00263F21">
        <w:tc>
          <w:tcPr>
            <w:tcW w:w="780" w:type="dxa"/>
          </w:tcPr>
          <w:p w:rsidR="00263F21" w:rsidRDefault="00263F21" w:rsidP="00BC3648">
            <w:pPr>
              <w:pStyle w:val="TableText"/>
            </w:pPr>
            <w:r>
              <w:t>5</w:t>
            </w:r>
          </w:p>
        </w:tc>
        <w:tc>
          <w:tcPr>
            <w:tcW w:w="8580" w:type="dxa"/>
          </w:tcPr>
          <w:p w:rsidR="002104CB" w:rsidRDefault="002104CB" w:rsidP="002104CB">
            <w:pPr>
              <w:pStyle w:val="TableText"/>
            </w:pPr>
            <w:r>
              <w:rPr>
                <w:rFonts w:cs="Arial"/>
                <w:vanish/>
              </w:rPr>
              <w:t xml:space="preserve">BR_73.28 </w:t>
            </w:r>
            <w:r w:rsidR="00B11528">
              <w:t>When the patient has Component Requirements</w:t>
            </w:r>
            <w:r w:rsidRPr="002104CB">
              <w:t>, the user attempts to issue (including emergency issue) red blood cells that do not satisfy the TR,</w:t>
            </w:r>
            <w:r>
              <w:t xml:space="preserve"> and the user is:</w:t>
            </w:r>
          </w:p>
          <w:p w:rsidR="002104CB" w:rsidRDefault="002104CB" w:rsidP="002104CB">
            <w:pPr>
              <w:pStyle w:val="TableTextBullet"/>
            </w:pPr>
            <w:r w:rsidRPr="00EC7489">
              <w:rPr>
                <w:rFonts w:ascii="Wingdings 3" w:hAnsi="Wingdings 3" w:cs="Wingdings"/>
              </w:rPr>
              <w:t></w:t>
            </w:r>
            <w:r w:rsidRPr="00EC7489">
              <w:rPr>
                <w:rFonts w:ascii="Wingdings 3" w:hAnsi="Wingdings 3" w:cs="Wingdings"/>
              </w:rPr>
              <w:t></w:t>
            </w:r>
            <w:r>
              <w:t xml:space="preserve"> An Enhanced Technologist or below, V</w:t>
            </w:r>
            <w:r w:rsidR="00A13E40">
              <w:t xml:space="preserve">BECS </w:t>
            </w:r>
            <w:r>
              <w:t xml:space="preserve">warns the user that he is not authorized to issue untyped red blood cells (for the clinically significant antibodies in the table). VBECS does not allow an override. </w:t>
            </w:r>
          </w:p>
          <w:p w:rsidR="00263F21" w:rsidRDefault="002104CB" w:rsidP="002104CB">
            <w:pPr>
              <w:pStyle w:val="TableTextBulle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 Lead Technologist or above, VBECS emits an audible alert and warns the user.</w:t>
            </w:r>
            <w:r>
              <w:rPr>
                <w:b/>
              </w:rPr>
              <w:t xml:space="preserve"> No</w:t>
            </w:r>
            <w:r>
              <w:t xml:space="preserve"> clears the screen. </w:t>
            </w:r>
            <w:r>
              <w:rPr>
                <w:b/>
              </w:rPr>
              <w:t>Yes</w:t>
            </w:r>
            <w:r>
              <w:t xml:space="preserve"> requires a comment and captures details for inclusion in an Exception Report (exception type: unit issued with unsatisfied TR).</w:t>
            </w:r>
          </w:p>
        </w:tc>
      </w:tr>
      <w:tr w:rsidR="00263F21">
        <w:tc>
          <w:tcPr>
            <w:tcW w:w="780" w:type="dxa"/>
          </w:tcPr>
          <w:p w:rsidR="00263F21" w:rsidRDefault="00263F21" w:rsidP="00BC3648">
            <w:pPr>
              <w:pStyle w:val="TableText"/>
            </w:pPr>
            <w:r>
              <w:t>5</w:t>
            </w:r>
          </w:p>
        </w:tc>
        <w:tc>
          <w:tcPr>
            <w:tcW w:w="8580" w:type="dxa"/>
          </w:tcPr>
          <w:p w:rsidR="00263F21" w:rsidRDefault="00263F21" w:rsidP="00BC3648">
            <w:pPr>
              <w:pStyle w:val="TableText"/>
            </w:pPr>
            <w:r>
              <w:rPr>
                <w:rFonts w:cs="Arial"/>
                <w:vanish/>
              </w:rPr>
              <w:t xml:space="preserve">BR_73.15 </w:t>
            </w:r>
            <w:r>
              <w:t xml:space="preserve">When a repeat ABO/Rh performed on the patient specimen does not match the original ABO/Rh interpretation and the unit </w:t>
            </w:r>
            <w:r w:rsidR="00A10483">
              <w:t>does not</w:t>
            </w:r>
            <w:r>
              <w:t xml:space="preserve"> qualify for emergency issue, VBECS warns the user and instructs him to resolve the discrepancy before issuing the unit. There is no override. Emergency issue may continue for qualifying units.</w:t>
            </w:r>
          </w:p>
        </w:tc>
      </w:tr>
      <w:tr w:rsidR="00263F21">
        <w:tc>
          <w:tcPr>
            <w:tcW w:w="780" w:type="dxa"/>
          </w:tcPr>
          <w:p w:rsidR="00263F21" w:rsidRDefault="00263F21" w:rsidP="00BC3648">
            <w:pPr>
              <w:pStyle w:val="TableText"/>
            </w:pPr>
            <w:r>
              <w:t>5</w:t>
            </w:r>
          </w:p>
        </w:tc>
        <w:tc>
          <w:tcPr>
            <w:tcW w:w="8580" w:type="dxa"/>
          </w:tcPr>
          <w:p w:rsidR="00263F21" w:rsidRDefault="00263F21" w:rsidP="00BC3648">
            <w:pPr>
              <w:pStyle w:val="TableText"/>
            </w:pPr>
            <w:r>
              <w:rPr>
                <w:rFonts w:cs="Arial"/>
                <w:vanish/>
              </w:rPr>
              <w:t xml:space="preserve">BR_73.29 </w:t>
            </w:r>
            <w:r>
              <w:t xml:space="preserve">When a unit is issued for a patient with a specimen expiration date more than three days in the future, VBECS changes the expiration date to three days from the date of issue of the unit. </w:t>
            </w:r>
          </w:p>
        </w:tc>
      </w:tr>
      <w:tr w:rsidR="00263F21">
        <w:tc>
          <w:tcPr>
            <w:tcW w:w="780" w:type="dxa"/>
          </w:tcPr>
          <w:p w:rsidR="00263F21" w:rsidRDefault="00263F21" w:rsidP="00BC3648">
            <w:pPr>
              <w:pStyle w:val="TableText"/>
            </w:pPr>
            <w:r>
              <w:t>5</w:t>
            </w:r>
          </w:p>
        </w:tc>
        <w:tc>
          <w:tcPr>
            <w:tcW w:w="8580" w:type="dxa"/>
          </w:tcPr>
          <w:p w:rsidR="00263F21" w:rsidRDefault="00263F21" w:rsidP="00BC3648">
            <w:pPr>
              <w:pStyle w:val="TableText"/>
            </w:pPr>
            <w:r>
              <w:rPr>
                <w:rFonts w:cs="Arial"/>
                <w:vanish/>
              </w:rPr>
              <w:t xml:space="preserve">BR_73.30 </w:t>
            </w:r>
            <w:r>
              <w:t xml:space="preserve">When a unit has a biohazard indicator, VBECS emits an audible alert, warns the user, and asks whether he still wishes to issue the unit. </w:t>
            </w:r>
            <w:r>
              <w:rPr>
                <w:b/>
              </w:rPr>
              <w:t>No</w:t>
            </w:r>
            <w:r>
              <w:t xml:space="preserve"> clears the entry and allows the user to select a new unit. </w:t>
            </w:r>
            <w:r>
              <w:rPr>
                <w:b/>
              </w:rPr>
              <w:t>Yes</w:t>
            </w:r>
            <w:r>
              <w:t xml:space="preserve"> requires a comment and captures details of the transaction for inclusion in an Exception Report (exception type: biohazardous unit issued). </w:t>
            </w:r>
          </w:p>
        </w:tc>
      </w:tr>
      <w:tr w:rsidR="00263F21">
        <w:tc>
          <w:tcPr>
            <w:tcW w:w="780" w:type="dxa"/>
          </w:tcPr>
          <w:p w:rsidR="00263F21" w:rsidRDefault="00263F21" w:rsidP="00BC3648">
            <w:pPr>
              <w:pStyle w:val="TableText"/>
            </w:pPr>
            <w:r>
              <w:t>5</w:t>
            </w:r>
          </w:p>
        </w:tc>
        <w:tc>
          <w:tcPr>
            <w:tcW w:w="8580" w:type="dxa"/>
          </w:tcPr>
          <w:p w:rsidR="00263F21" w:rsidRDefault="00263F21" w:rsidP="00BC3648">
            <w:pPr>
              <w:pStyle w:val="TableText"/>
            </w:pPr>
            <w:r>
              <w:rPr>
                <w:rFonts w:cs="Arial"/>
                <w:vanish/>
                <w:szCs w:val="22"/>
              </w:rPr>
              <w:t xml:space="preserve">BR_73.16 </w:t>
            </w:r>
            <w:r>
              <w:t xml:space="preserve">For an Rh negative, unknown, or inconclusive patient, the user may enter and confirm Rh positive </w:t>
            </w:r>
            <w:r w:rsidR="00BA5BE4">
              <w:t xml:space="preserve">and </w:t>
            </w:r>
            <w:r w:rsidR="00BA5BE4">
              <w:lastRenderedPageBreak/>
              <w:t xml:space="preserve">Rh pooled </w:t>
            </w:r>
            <w:r>
              <w:t xml:space="preserve">units from the WHOLE BLOOD, RED BLOOD CELLS, PLATELETS, and OTHER VBECS component classes. </w:t>
            </w:r>
            <w:r w:rsidR="001D0217" w:rsidRPr="000921F1">
              <w:t>VBECS emits an audible alert, warns that the patient is Rh negative and the selected unit is Rh positive, instructs the user to check the patient sex and hospital policy before continuing, and asks whether the user wishes to continue to select the unit.</w:t>
            </w:r>
            <w:r>
              <w:t xml:space="preserve"> </w:t>
            </w:r>
            <w:r>
              <w:rPr>
                <w:b/>
              </w:rPr>
              <w:t>No</w:t>
            </w:r>
            <w:r>
              <w:t xml:space="preserve"> clears the unit data and allows the user to select a different unit. </w:t>
            </w:r>
            <w:r>
              <w:rPr>
                <w:b/>
              </w:rPr>
              <w:t>Yes</w:t>
            </w:r>
            <w:r>
              <w:t xml:space="preserve"> requires additional comment and captures details for inclusion in an Exception Report (exception type: antigen positive/untested units issued).</w:t>
            </w:r>
            <w:r w:rsidR="001D0217" w:rsidRPr="001D0217">
              <w:rPr>
                <w:vanish/>
              </w:rPr>
              <w:t xml:space="preserve"> DR 4508</w:t>
            </w:r>
          </w:p>
        </w:tc>
      </w:tr>
      <w:tr w:rsidR="00263F21">
        <w:tc>
          <w:tcPr>
            <w:tcW w:w="780" w:type="dxa"/>
          </w:tcPr>
          <w:p w:rsidR="00263F21" w:rsidRDefault="00263F21" w:rsidP="00BC3648">
            <w:pPr>
              <w:pStyle w:val="TableText"/>
            </w:pPr>
            <w:r>
              <w:lastRenderedPageBreak/>
              <w:t>5</w:t>
            </w:r>
          </w:p>
        </w:tc>
        <w:tc>
          <w:tcPr>
            <w:tcW w:w="8580" w:type="dxa"/>
          </w:tcPr>
          <w:p w:rsidR="00263F21" w:rsidRDefault="00263F21" w:rsidP="00BC3648">
            <w:pPr>
              <w:pStyle w:val="TableText"/>
            </w:pPr>
            <w:r>
              <w:rPr>
                <w:rFonts w:cs="Arial"/>
                <w:vanish/>
              </w:rPr>
              <w:t xml:space="preserve">BR_73.04 </w:t>
            </w:r>
            <w:r>
              <w:t>When the user attempts to issue an expired unit, VBECS emits an audible alert and warns him. There is no override.</w:t>
            </w:r>
          </w:p>
          <w:p w:rsidR="00263F21" w:rsidRDefault="00263F21" w:rsidP="00BC3648">
            <w:pPr>
              <w:pStyle w:val="TableText"/>
            </w:pPr>
          </w:p>
          <w:p w:rsidR="00263F21" w:rsidRDefault="00263F21" w:rsidP="00BC3648">
            <w:pPr>
              <w:pStyle w:val="TableText"/>
            </w:pPr>
            <w:r w:rsidRPr="00EC7489">
              <w:rPr>
                <w:rFonts w:ascii="Wingdings 3" w:hAnsi="Wingdings 3" w:cs="Wingdings"/>
              </w:rPr>
              <w:t></w:t>
            </w:r>
            <w:r w:rsidRPr="00EC7489">
              <w:rPr>
                <w:rFonts w:ascii="Wingdings 3" w:hAnsi="Wingdings 3" w:cs="Wingdings"/>
              </w:rPr>
              <w:t></w:t>
            </w:r>
            <w:r>
              <w:t xml:space="preserve"> When the user is an Enhanced Technologist or above, VBECS emits an audible alert, warns him, and asks whether he wishes to continue to issue. </w:t>
            </w:r>
            <w:r>
              <w:rPr>
                <w:b/>
              </w:rPr>
              <w:t>No</w:t>
            </w:r>
            <w:r>
              <w:t xml:space="preserve"> clears the screen. </w:t>
            </w:r>
            <w:r>
              <w:rPr>
                <w:b/>
              </w:rPr>
              <w:t>Yes</w:t>
            </w:r>
            <w:r>
              <w:t xml:space="preserve"> requires a comment and captures details for inclusion in an Exception Report (exception type: issued expired unit).</w:t>
            </w:r>
          </w:p>
        </w:tc>
      </w:tr>
      <w:tr w:rsidR="00263F21">
        <w:tc>
          <w:tcPr>
            <w:tcW w:w="780" w:type="dxa"/>
          </w:tcPr>
          <w:p w:rsidR="00263F21" w:rsidRDefault="00263F21" w:rsidP="00BC3648">
            <w:pPr>
              <w:pStyle w:val="TableText"/>
            </w:pPr>
            <w:r>
              <w:t>5</w:t>
            </w:r>
          </w:p>
        </w:tc>
        <w:tc>
          <w:tcPr>
            <w:tcW w:w="8580" w:type="dxa"/>
          </w:tcPr>
          <w:p w:rsidR="00263F21" w:rsidRDefault="00263F21" w:rsidP="00BC3648">
            <w:pPr>
              <w:pStyle w:val="TableText"/>
            </w:pPr>
            <w:r>
              <w:rPr>
                <w:rFonts w:cs="Arial"/>
                <w:vanish/>
              </w:rPr>
              <w:t xml:space="preserve">BR_73.14 </w:t>
            </w:r>
            <w:r>
              <w:t>When the user selects units from the WHOLE BLOOD, RED BLOOD CELLS, or APHERESIS RED BLOOD CELLS ICCBBA component classes, VBECS determines when the patient has a calculated or a persistent antigen negative requirement. This does not apply when selecting autologous (ISBT 128 units with an autologous donation type). When the selected unit was antigen typed and is positive for the corresponding antigen or is untested for the antigen, VBECS warns the user and requires action based on his security level.</w:t>
            </w:r>
          </w:p>
          <w:p w:rsidR="00263F21" w:rsidRDefault="00263F21" w:rsidP="00BC3648">
            <w:pPr>
              <w:pStyle w:val="TableText"/>
            </w:pPr>
          </w:p>
          <w:p w:rsidR="00263F21" w:rsidRDefault="00263F21" w:rsidP="00BC3648">
            <w:pPr>
              <w:pStyle w:val="TableText"/>
            </w:pPr>
            <w:r w:rsidRPr="00EC7489">
              <w:rPr>
                <w:rFonts w:ascii="Wingdings 3" w:hAnsi="Wingdings 3" w:cs="Wingdings"/>
              </w:rPr>
              <w:t></w:t>
            </w:r>
            <w:r w:rsidRPr="00EC7489">
              <w:rPr>
                <w:rFonts w:ascii="Wingdings 3" w:hAnsi="Wingdings 3" w:cs="Wingdings"/>
              </w:rPr>
              <w:t></w:t>
            </w:r>
            <w:r>
              <w:t xml:space="preserve"> When the user is an Enhanced Technologist or below, VBECS emits an audible alert and warns that he does not have the proper security level to issue the unit. There is no override. </w:t>
            </w:r>
          </w:p>
          <w:p w:rsidR="00263F21" w:rsidRDefault="00263F21" w:rsidP="00BC3648">
            <w:pPr>
              <w:pStyle w:val="TableText"/>
            </w:pPr>
          </w:p>
          <w:p w:rsidR="00263F21" w:rsidRDefault="00263F21" w:rsidP="00BC3648">
            <w:pPr>
              <w:pStyle w:val="Table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When the user is a Lead Technologist or above, VBECS emits an audible alert, warns him, and asks whether he wishes to continue to issue. </w:t>
            </w:r>
            <w:r>
              <w:rPr>
                <w:b/>
              </w:rPr>
              <w:t>No</w:t>
            </w:r>
            <w:r>
              <w:t xml:space="preserve"> clears the screen. </w:t>
            </w:r>
            <w:r>
              <w:rPr>
                <w:b/>
              </w:rPr>
              <w:t>Yes</w:t>
            </w:r>
            <w:r>
              <w:t xml:space="preserve"> requires a comment and captures details for inclusion in an Exception Report entry (exception type: antigen-positive/untested units issued).</w:t>
            </w:r>
          </w:p>
        </w:tc>
      </w:tr>
      <w:tr w:rsidR="00263F21">
        <w:tc>
          <w:tcPr>
            <w:tcW w:w="780" w:type="dxa"/>
          </w:tcPr>
          <w:p w:rsidR="00263F21" w:rsidRDefault="00263F21" w:rsidP="00BC3648">
            <w:pPr>
              <w:pStyle w:val="TableText"/>
            </w:pPr>
            <w:r>
              <w:t>5</w:t>
            </w:r>
          </w:p>
        </w:tc>
        <w:tc>
          <w:tcPr>
            <w:tcW w:w="8580" w:type="dxa"/>
          </w:tcPr>
          <w:p w:rsidR="00263F21" w:rsidRDefault="00263F21" w:rsidP="00BC3648">
            <w:pPr>
              <w:pStyle w:val="TableText"/>
            </w:pPr>
            <w:r>
              <w:rPr>
                <w:rFonts w:cs="Arial"/>
                <w:vanish/>
              </w:rPr>
              <w:t xml:space="preserve">BR_73.05 </w:t>
            </w:r>
            <w:r>
              <w:t xml:space="preserve">VBECS compares the ABO/Rh of the current specimen to the historic ABO/Rh. When the unit was electronically crossmatched, the current and historic ABO/Rh results must have been recorded in the login user’s division. When there is a discrepancy, there is no previous justification for the discrepancy on the patient record, as described in Justify ABO/Rh Change, and the unit </w:t>
            </w:r>
            <w:r w:rsidR="00A10483">
              <w:t>does not</w:t>
            </w:r>
            <w:r>
              <w:t xml:space="preserve"> qualify for emergency issue, VBECS warns the user and instructs him to resolve the discrepancy before issuing the unit. There is no override. VBECS exits the option, clears the screen, and returns the user to the point of entry. Emergency issue may continue for qualifying units.</w:t>
            </w:r>
          </w:p>
        </w:tc>
      </w:tr>
      <w:tr w:rsidR="00263F21">
        <w:tc>
          <w:tcPr>
            <w:tcW w:w="780" w:type="dxa"/>
          </w:tcPr>
          <w:p w:rsidR="00263F21" w:rsidRDefault="00263F21" w:rsidP="00BC3648">
            <w:pPr>
              <w:pStyle w:val="TableText"/>
            </w:pPr>
            <w:r>
              <w:t>5</w:t>
            </w:r>
          </w:p>
        </w:tc>
        <w:tc>
          <w:tcPr>
            <w:tcW w:w="8580" w:type="dxa"/>
          </w:tcPr>
          <w:p w:rsidR="00263F21" w:rsidRDefault="00263F21" w:rsidP="00BC3648">
            <w:pPr>
              <w:pStyle w:val="TableText"/>
            </w:pPr>
            <w:r w:rsidRPr="00ED5745">
              <w:rPr>
                <w:rFonts w:cs="Arial"/>
                <w:vanish/>
                <w:color w:val="0000FF"/>
              </w:rPr>
              <w:t>BR_3.05</w:t>
            </w:r>
            <w:r>
              <w:rPr>
                <w:rFonts w:cs="Arial"/>
                <w:vanish/>
              </w:rPr>
              <w:t xml:space="preserve"> </w:t>
            </w:r>
            <w:r>
              <w:t xml:space="preserve">When no valid ABO exists for the patient, the user may select components, including autologous units: </w:t>
            </w:r>
          </w:p>
          <w:p w:rsidR="00263F21" w:rsidRDefault="00263F21" w:rsidP="00BC3648">
            <w:pPr>
              <w:pStyle w:val="TableTextBullet"/>
              <w:tabs>
                <w:tab w:val="clear" w:pos="288"/>
              </w:tabs>
            </w:pPr>
            <w:r>
              <w:t xml:space="preserve">For RBC or WB order: </w:t>
            </w:r>
            <w:r w:rsidR="00093181">
              <w:t>group</w:t>
            </w:r>
            <w:r w:rsidR="000014DD">
              <w:t xml:space="preserve"> </w:t>
            </w:r>
            <w:r>
              <w:t>O, Rh positive or O Rh negative RBC. WHOLE BLOOD is not selectable.</w:t>
            </w:r>
          </w:p>
          <w:p w:rsidR="00263F21" w:rsidRDefault="00263F21" w:rsidP="00BC3648">
            <w:pPr>
              <w:pStyle w:val="TableTextBullet"/>
              <w:tabs>
                <w:tab w:val="clear" w:pos="288"/>
              </w:tabs>
            </w:pPr>
            <w:r>
              <w:t>For FFP order only: group AB, Rh positive or Rh negative.</w:t>
            </w:r>
          </w:p>
          <w:p w:rsidR="00263F21" w:rsidRDefault="00263F21" w:rsidP="00BC3648">
            <w:pPr>
              <w:pStyle w:val="TableTextBullet"/>
              <w:tabs>
                <w:tab w:val="clear" w:pos="288"/>
              </w:tabs>
            </w:pPr>
            <w:r>
              <w:t>For PLT, CRYO, or OTHER order, all available units are selectable.</w:t>
            </w:r>
          </w:p>
        </w:tc>
      </w:tr>
      <w:tr w:rsidR="00113B6A">
        <w:tc>
          <w:tcPr>
            <w:tcW w:w="780" w:type="dxa"/>
          </w:tcPr>
          <w:p w:rsidR="00113B6A" w:rsidRDefault="00173BDA" w:rsidP="00303708">
            <w:pPr>
              <w:pStyle w:val="TableText"/>
            </w:pPr>
            <w:r>
              <w:t>5</w:t>
            </w:r>
          </w:p>
        </w:tc>
        <w:tc>
          <w:tcPr>
            <w:tcW w:w="8580" w:type="dxa"/>
          </w:tcPr>
          <w:p w:rsidR="00113B6A" w:rsidRDefault="00113B6A" w:rsidP="00303708">
            <w:pPr>
              <w:pStyle w:val="TableText"/>
            </w:pPr>
            <w:r w:rsidRPr="00DC6BEF">
              <w:rPr>
                <w:rFonts w:cs="Arial"/>
                <w:vanish/>
                <w:color w:val="0000FF"/>
              </w:rPr>
              <w:t>BR_3.12</w:t>
            </w:r>
            <w:r>
              <w:rPr>
                <w:rFonts w:cs="Arial"/>
                <w:vanish/>
              </w:rPr>
              <w:t xml:space="preserve"> </w:t>
            </w:r>
            <w:r>
              <w:rPr>
                <w:szCs w:val="22"/>
              </w:rPr>
              <w:t></w:t>
            </w:r>
            <w:r>
              <w:t>When the user selects blood components from the frozen product types for a patient, VBECS emits an audible alert and warns that the selected blood unit must be thawed and may require additional processing prior to issue. The unit is not eligible for printing the BTRF or Caution Tag. VBECS updates the blood unit status to “assigned” and the unit is no longer available for issue.</w:t>
            </w:r>
          </w:p>
        </w:tc>
      </w:tr>
      <w:tr w:rsidR="00113B6A">
        <w:tc>
          <w:tcPr>
            <w:tcW w:w="780" w:type="dxa"/>
            <w:tcBorders>
              <w:top w:val="single" w:sz="4" w:space="0" w:color="auto"/>
              <w:left w:val="single" w:sz="4" w:space="0" w:color="auto"/>
              <w:bottom w:val="single" w:sz="4" w:space="0" w:color="auto"/>
              <w:right w:val="single" w:sz="4" w:space="0" w:color="auto"/>
            </w:tcBorders>
          </w:tcPr>
          <w:p w:rsidR="00113B6A" w:rsidRDefault="00173BDA" w:rsidP="00303708">
            <w:pPr>
              <w:pStyle w:val="TableText"/>
            </w:pPr>
            <w:r>
              <w:t>5</w:t>
            </w:r>
          </w:p>
        </w:tc>
        <w:tc>
          <w:tcPr>
            <w:tcW w:w="8580" w:type="dxa"/>
            <w:tcBorders>
              <w:top w:val="single" w:sz="4" w:space="0" w:color="auto"/>
              <w:left w:val="single" w:sz="4" w:space="0" w:color="auto"/>
              <w:bottom w:val="single" w:sz="4" w:space="0" w:color="auto"/>
              <w:right w:val="single" w:sz="4" w:space="0" w:color="auto"/>
            </w:tcBorders>
          </w:tcPr>
          <w:p w:rsidR="00113B6A" w:rsidRDefault="00113B6A" w:rsidP="00173BDA">
            <w:pPr>
              <w:pStyle w:val="TableText"/>
            </w:pPr>
            <w:r>
              <w:rPr>
                <w:rFonts w:cs="Arial"/>
                <w:vanish/>
              </w:rPr>
              <w:t xml:space="preserve">BR_43.04 </w:t>
            </w:r>
            <w:r>
              <w:t xml:space="preserve">When a Caution Tag or BTRF is printed for an emergency-issued unit, “Emergency Issue” is included on the form. </w:t>
            </w:r>
          </w:p>
          <w:p w:rsidR="00113B6A" w:rsidRDefault="00113B6A" w:rsidP="00173BDA">
            <w:pPr>
              <w:pStyle w:val="TableText"/>
            </w:pPr>
          </w:p>
          <w:p w:rsidR="00113B6A" w:rsidRDefault="00113B6A" w:rsidP="00173BDA">
            <w:pPr>
              <w:pStyle w:val="TableText"/>
            </w:pPr>
            <w:r>
              <w:t xml:space="preserve">The recipient ABO/Rh prints as “Unk” or “Unknown” during emergency issue when no current specimen results are on file; VBECS may </w:t>
            </w:r>
            <w:r>
              <w:rPr>
                <w:iCs/>
              </w:rPr>
              <w:t>not</w:t>
            </w:r>
            <w:r>
              <w:t xml:space="preserve"> use a historic record blood type (from any source) for the typing printed on the tag/form.</w:t>
            </w:r>
          </w:p>
          <w:p w:rsidR="00113B6A" w:rsidRDefault="00113B6A" w:rsidP="00173BDA">
            <w:pPr>
              <w:pStyle w:val="Table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880"/>
            </w:tblGrid>
            <w:tr w:rsidR="00113B6A">
              <w:trPr>
                <w:tblHeader/>
              </w:trPr>
              <w:tc>
                <w:tcPr>
                  <w:tcW w:w="2880" w:type="dxa"/>
                  <w:shd w:val="clear" w:color="auto" w:fill="B3B3B3"/>
                  <w:vAlign w:val="bottom"/>
                </w:tcPr>
                <w:p w:rsidR="00113B6A" w:rsidRDefault="00113B6A" w:rsidP="00173BDA">
                  <w:pPr>
                    <w:pStyle w:val="TableText"/>
                    <w:rPr>
                      <w:b/>
                    </w:rPr>
                  </w:pPr>
                  <w:r>
                    <w:rPr>
                      <w:b/>
                    </w:rPr>
                    <w:t>Compatibility Interpretation</w:t>
                  </w:r>
                </w:p>
              </w:tc>
              <w:tc>
                <w:tcPr>
                  <w:tcW w:w="2880" w:type="dxa"/>
                  <w:shd w:val="clear" w:color="auto" w:fill="B3B3B3"/>
                  <w:vAlign w:val="bottom"/>
                </w:tcPr>
                <w:p w:rsidR="00113B6A" w:rsidRDefault="00113B6A" w:rsidP="00173BDA">
                  <w:pPr>
                    <w:pStyle w:val="TableText"/>
                    <w:rPr>
                      <w:b/>
                    </w:rPr>
                  </w:pPr>
                  <w:r>
                    <w:rPr>
                      <w:b/>
                    </w:rPr>
                    <w:t>Text on BTRF</w:t>
                  </w:r>
                </w:p>
              </w:tc>
            </w:tr>
            <w:tr w:rsidR="00113B6A">
              <w:tc>
                <w:tcPr>
                  <w:tcW w:w="2880" w:type="dxa"/>
                  <w:vAlign w:val="bottom"/>
                </w:tcPr>
                <w:p w:rsidR="00113B6A" w:rsidRDefault="00113B6A" w:rsidP="00173BDA">
                  <w:pPr>
                    <w:pStyle w:val="TableText"/>
                  </w:pPr>
                  <w:r>
                    <w:t>Crossmatch</w:t>
                  </w:r>
                </w:p>
              </w:tc>
              <w:tc>
                <w:tcPr>
                  <w:tcW w:w="2880" w:type="dxa"/>
                  <w:vAlign w:val="bottom"/>
                </w:tcPr>
                <w:p w:rsidR="00113B6A" w:rsidRDefault="00113B6A" w:rsidP="00173BDA">
                  <w:pPr>
                    <w:pStyle w:val="TableText"/>
                  </w:pPr>
                  <w:r>
                    <w:t>TESTING INCOMPLETE</w:t>
                  </w:r>
                </w:p>
              </w:tc>
            </w:tr>
            <w:tr w:rsidR="00113B6A">
              <w:tc>
                <w:tcPr>
                  <w:tcW w:w="2880" w:type="dxa"/>
                  <w:vAlign w:val="bottom"/>
                </w:tcPr>
                <w:p w:rsidR="00113B6A" w:rsidRDefault="00113B6A" w:rsidP="00173BDA">
                  <w:pPr>
                    <w:pStyle w:val="TableText"/>
                  </w:pPr>
                  <w:r>
                    <w:t>Crossmatch Not Required</w:t>
                  </w:r>
                </w:p>
              </w:tc>
              <w:tc>
                <w:tcPr>
                  <w:tcW w:w="2880" w:type="dxa"/>
                  <w:vAlign w:val="bottom"/>
                </w:tcPr>
                <w:p w:rsidR="00113B6A" w:rsidRDefault="00113B6A" w:rsidP="00173BDA">
                  <w:pPr>
                    <w:pStyle w:val="TableText"/>
                  </w:pPr>
                  <w:r>
                    <w:t>Not Required</w:t>
                  </w:r>
                </w:p>
              </w:tc>
            </w:tr>
          </w:tbl>
          <w:p w:rsidR="00113B6A" w:rsidRDefault="00113B6A" w:rsidP="00173BDA">
            <w:pPr>
              <w:pStyle w:val="TableText"/>
            </w:pPr>
          </w:p>
          <w:p w:rsidR="00113B6A" w:rsidRPr="00113B6A" w:rsidRDefault="00113B6A" w:rsidP="00303708">
            <w:pPr>
              <w:pStyle w:val="TableText"/>
              <w:rPr>
                <w:rFonts w:cs="Arial"/>
                <w:vanish/>
                <w:color w:val="0000FF"/>
              </w:rPr>
            </w:pPr>
            <w:r>
              <w:t>VBECS prints “Emergency Issue” in the TR section of the form.</w:t>
            </w:r>
          </w:p>
        </w:tc>
      </w:tr>
      <w:tr w:rsidR="00173BDA">
        <w:tc>
          <w:tcPr>
            <w:tcW w:w="780" w:type="dxa"/>
            <w:tcBorders>
              <w:top w:val="single" w:sz="4" w:space="0" w:color="auto"/>
              <w:left w:val="single" w:sz="4" w:space="0" w:color="auto"/>
              <w:bottom w:val="single" w:sz="4" w:space="0" w:color="auto"/>
              <w:right w:val="single" w:sz="4" w:space="0" w:color="auto"/>
            </w:tcBorders>
          </w:tcPr>
          <w:p w:rsidR="00173BDA" w:rsidRDefault="00173BDA" w:rsidP="00303708">
            <w:pPr>
              <w:pStyle w:val="TableText"/>
            </w:pPr>
            <w:r>
              <w:t>5</w:t>
            </w:r>
          </w:p>
        </w:tc>
        <w:tc>
          <w:tcPr>
            <w:tcW w:w="8580" w:type="dxa"/>
            <w:tcBorders>
              <w:top w:val="single" w:sz="4" w:space="0" w:color="auto"/>
              <w:left w:val="single" w:sz="4" w:space="0" w:color="auto"/>
              <w:bottom w:val="single" w:sz="4" w:space="0" w:color="auto"/>
              <w:right w:val="single" w:sz="4" w:space="0" w:color="auto"/>
            </w:tcBorders>
          </w:tcPr>
          <w:p w:rsidR="00173BDA" w:rsidRDefault="00173BDA" w:rsidP="00173BDA">
            <w:pPr>
              <w:pStyle w:val="TableText"/>
            </w:pPr>
            <w:r w:rsidRPr="00C82886">
              <w:rPr>
                <w:vanish/>
                <w:szCs w:val="18"/>
              </w:rPr>
              <w:t xml:space="preserve">BR_44.05 </w:t>
            </w:r>
            <w:r>
              <w:t>When blood products are emergency issued (</w:t>
            </w:r>
            <w:r w:rsidR="00C82886">
              <w:t xml:space="preserve">units has an </w:t>
            </w:r>
            <w:r w:rsidR="00CF2D0E">
              <w:t>emergency issue” order indicator</w:t>
            </w:r>
            <w:r w:rsidR="00C82886">
              <w:t xml:space="preserve">, </w:t>
            </w:r>
            <w:r>
              <w:t xml:space="preserve">or the </w:t>
            </w:r>
            <w:r>
              <w:lastRenderedPageBreak/>
              <w:t>testing is incomplete or inconclusive on the current specimen), the remarks section of the Blood Transfusion Record Form</w:t>
            </w:r>
            <w:r w:rsidR="00C82886">
              <w:t xml:space="preserve"> includes</w:t>
            </w:r>
            <w:r>
              <w:t xml:space="preserve"> “This unit is issued for transfusion BEFORE the completion of required compatibility testing. The blood bank staff will continue to test the compatibility of the unit using the current patient specimen. If you are alerted to a unit’s incompatibility by the blood bank, stop the transfusion immediately.”</w:t>
            </w:r>
          </w:p>
          <w:p w:rsidR="00173BDA" w:rsidRDefault="00173BDA" w:rsidP="00C82886">
            <w:pPr>
              <w:pStyle w:val="TableText"/>
            </w:pPr>
          </w:p>
          <w:p w:rsidR="00173BDA" w:rsidRDefault="00C82886" w:rsidP="00C82886">
            <w:pPr>
              <w:pStyle w:val="TableText"/>
              <w:rPr>
                <w:rFonts w:cs="Arial"/>
                <w:vanish/>
              </w:rPr>
            </w:pPr>
            <w:r>
              <w:t>When</w:t>
            </w:r>
            <w:r w:rsidR="00173BDA">
              <w:t xml:space="preserve"> “***” prints for the patient ABO/Rh and crossmatch, </w:t>
            </w:r>
            <w:r w:rsidR="002036D0">
              <w:t>the form includes</w:t>
            </w:r>
            <w:r w:rsidR="00173BDA">
              <w:t xml:space="preserve"> “Specimen testing incomplete at time of issue</w:t>
            </w:r>
            <w:r>
              <w:t>.</w:t>
            </w:r>
            <w:r w:rsidR="00173BDA">
              <w:t>”</w:t>
            </w:r>
          </w:p>
        </w:tc>
      </w:tr>
      <w:tr w:rsidR="00173BDA">
        <w:tc>
          <w:tcPr>
            <w:tcW w:w="780" w:type="dxa"/>
            <w:tcBorders>
              <w:top w:val="single" w:sz="4" w:space="0" w:color="auto"/>
              <w:left w:val="single" w:sz="4" w:space="0" w:color="auto"/>
              <w:bottom w:val="single" w:sz="4" w:space="0" w:color="auto"/>
              <w:right w:val="single" w:sz="4" w:space="0" w:color="auto"/>
            </w:tcBorders>
          </w:tcPr>
          <w:p w:rsidR="00173BDA" w:rsidRDefault="00173BDA" w:rsidP="00303708">
            <w:pPr>
              <w:pStyle w:val="TableText"/>
            </w:pPr>
            <w:r>
              <w:lastRenderedPageBreak/>
              <w:t>5</w:t>
            </w:r>
          </w:p>
        </w:tc>
        <w:tc>
          <w:tcPr>
            <w:tcW w:w="8580" w:type="dxa"/>
            <w:tcBorders>
              <w:top w:val="single" w:sz="4" w:space="0" w:color="auto"/>
              <w:left w:val="single" w:sz="4" w:space="0" w:color="auto"/>
              <w:bottom w:val="single" w:sz="4" w:space="0" w:color="auto"/>
              <w:right w:val="single" w:sz="4" w:space="0" w:color="auto"/>
            </w:tcBorders>
          </w:tcPr>
          <w:p w:rsidR="00173BDA" w:rsidRPr="00173BDA" w:rsidRDefault="00173BDA" w:rsidP="00303708">
            <w:pPr>
              <w:pStyle w:val="TableText"/>
            </w:pPr>
            <w:r w:rsidRPr="00CF2D0E">
              <w:rPr>
                <w:vanish/>
                <w:szCs w:val="18"/>
              </w:rPr>
              <w:t xml:space="preserve">BR_56.29 </w:t>
            </w:r>
            <w:r w:rsidRPr="00173BDA">
              <w:t xml:space="preserve">When a unit was emergency issued and a conflicting test result found that indicates a potential unit incompatibility with the patient, such as a patient ABO/Rh discrepancy, the unit XM is incompatible with the patient, the patient ABS is positive, the patient DAT is positive, or the unit is antigen positive where antigen negative is required on the tested specimen, VBECS warns the user and instructs him to notify the physician of this potential problem immediately, according to hospital policy. VBECS warns the user during the execution of the various tests related to the compatibility of a blood unit and captures details for inclusion in an Exception Report (exception type: unit ER issued, testing problem). </w:t>
            </w:r>
          </w:p>
        </w:tc>
      </w:tr>
      <w:tr w:rsidR="00173BDA">
        <w:tc>
          <w:tcPr>
            <w:tcW w:w="780" w:type="dxa"/>
            <w:tcBorders>
              <w:top w:val="single" w:sz="4" w:space="0" w:color="auto"/>
              <w:left w:val="single" w:sz="4" w:space="0" w:color="auto"/>
              <w:bottom w:val="single" w:sz="4" w:space="0" w:color="auto"/>
              <w:right w:val="single" w:sz="4" w:space="0" w:color="auto"/>
            </w:tcBorders>
          </w:tcPr>
          <w:p w:rsidR="00173BDA" w:rsidRDefault="00173BDA" w:rsidP="00303708">
            <w:pPr>
              <w:pStyle w:val="TableText"/>
            </w:pPr>
            <w:r>
              <w:t>7</w:t>
            </w:r>
          </w:p>
        </w:tc>
        <w:tc>
          <w:tcPr>
            <w:tcW w:w="8580" w:type="dxa"/>
            <w:tcBorders>
              <w:top w:val="single" w:sz="4" w:space="0" w:color="auto"/>
              <w:left w:val="single" w:sz="4" w:space="0" w:color="auto"/>
              <w:bottom w:val="single" w:sz="4" w:space="0" w:color="auto"/>
              <w:right w:val="single" w:sz="4" w:space="0" w:color="auto"/>
            </w:tcBorders>
          </w:tcPr>
          <w:p w:rsidR="00173BDA" w:rsidRDefault="00173BDA" w:rsidP="00303708">
            <w:pPr>
              <w:pStyle w:val="TableText"/>
            </w:pPr>
            <w:r w:rsidRPr="00651291">
              <w:rPr>
                <w:vanish/>
                <w:szCs w:val="18"/>
              </w:rPr>
              <w:t xml:space="preserve">BR_73.33 </w:t>
            </w:r>
            <w:r>
              <w:t xml:space="preserve">When the division is “full service” and a blood unit is ABO incompatible at issue based on the system interpretation of the current patient specimen’s ABO test result, VBECS emits an audible alert and warns that the unit is not ABO compatible with the patient’s current specimen results and asks whether he wishes to continue. </w:t>
            </w:r>
            <w:r w:rsidRPr="00173BDA">
              <w:t>No</w:t>
            </w:r>
            <w:r>
              <w:t xml:space="preserve"> clears the screen and allows the user to select another unit. </w:t>
            </w:r>
            <w:r w:rsidRPr="00173BDA">
              <w:t>Yes</w:t>
            </w:r>
            <w:r>
              <w:t xml:space="preserve"> requires a comment and </w:t>
            </w:r>
            <w:r w:rsidRPr="00014921">
              <w:t xml:space="preserve">captures details for inclusion in an Exception Report (exception type: </w:t>
            </w:r>
            <w:r>
              <w:t>ABO discrepant unit issue</w:t>
            </w:r>
            <w:r w:rsidRPr="00014921">
              <w:t>).</w:t>
            </w:r>
          </w:p>
        </w:tc>
      </w:tr>
    </w:tbl>
    <w:p w:rsidR="007A4F14" w:rsidRDefault="007A4F14">
      <w:pPr>
        <w:pStyle w:val="Heading2"/>
      </w:pPr>
    </w:p>
    <w:p w:rsidR="002A21AE" w:rsidRDefault="007A4F14">
      <w:pPr>
        <w:pStyle w:val="Heading2"/>
      </w:pPr>
      <w:r>
        <w:br w:type="page"/>
      </w:r>
      <w:bookmarkStart w:id="409" w:name="_Toc459900125"/>
      <w:r w:rsidR="002A21AE">
        <w:lastRenderedPageBreak/>
        <w:t>Return Issued Units To Blood Bank</w:t>
      </w:r>
      <w:bookmarkEnd w:id="409"/>
      <w:r w:rsidR="002A21AE" w:rsidRPr="007716F7">
        <w:rPr>
          <w:vanish/>
        </w:rPr>
        <w:fldChar w:fldCharType="begin"/>
      </w:r>
      <w:r w:rsidR="002A21AE" w:rsidRPr="007716F7">
        <w:rPr>
          <w:vanish/>
        </w:rPr>
        <w:instrText xml:space="preserve"> XE </w:instrText>
      </w:r>
      <w:r w:rsidR="00FA7E65" w:rsidRPr="007716F7">
        <w:rPr>
          <w:vanish/>
        </w:rPr>
        <w:instrText>“</w:instrText>
      </w:r>
      <w:r w:rsidR="002A21AE" w:rsidRPr="007716F7">
        <w:rPr>
          <w:vanish/>
        </w:rPr>
        <w:instrText>Return Issued Units To Blood Bank</w:instrText>
      </w:r>
      <w:r w:rsidR="00FA7E65" w:rsidRPr="007716F7">
        <w:rPr>
          <w:vanish/>
        </w:rPr>
        <w:instrText>”</w:instrText>
      </w:r>
      <w:r w:rsidR="002A21AE" w:rsidRPr="007716F7">
        <w:rPr>
          <w:vanish/>
        </w:rPr>
        <w:instrText xml:space="preserve"> </w:instrText>
      </w:r>
      <w:r w:rsidR="002A21AE" w:rsidRPr="007716F7">
        <w:rPr>
          <w:vanish/>
        </w:rPr>
        <w:fldChar w:fldCharType="end"/>
      </w:r>
      <w:r w:rsidR="002A21AE" w:rsidRPr="007716F7">
        <w:rPr>
          <w:vanish/>
        </w:rPr>
        <w:t xml:space="preserve"> UC_59</w:t>
      </w:r>
    </w:p>
    <w:p w:rsidR="002A21AE" w:rsidRDefault="00783596" w:rsidP="00FA7E65">
      <w:pPr>
        <w:pStyle w:val="BodyText"/>
      </w:pPr>
      <w:r>
        <w:t xml:space="preserve">An issued </w:t>
      </w:r>
      <w:r w:rsidR="00A30DD1">
        <w:t xml:space="preserve">unit </w:t>
      </w:r>
      <w:r>
        <w:t>was returned to the blood bank in satisfactory condition after issue to a valid hospital location.</w:t>
      </w:r>
    </w:p>
    <w:p w:rsidR="002A21AE" w:rsidRDefault="002A21AE">
      <w:pPr>
        <w:pStyle w:val="Heading4"/>
      </w:pPr>
      <w:r>
        <w:t>Assumptions</w:t>
      </w:r>
      <w:r>
        <w:rPr>
          <w:b w:val="0"/>
        </w:rPr>
        <w:t xml:space="preserve"> </w:t>
      </w:r>
    </w:p>
    <w:p w:rsidR="002A21AE" w:rsidRDefault="002A21AE">
      <w:pPr>
        <w:pStyle w:val="ListBullet"/>
      </w:pPr>
      <w:r>
        <w:t>The user is logged into the division that contains the unit.</w:t>
      </w:r>
    </w:p>
    <w:p w:rsidR="002A21AE" w:rsidRDefault="002A21AE">
      <w:pPr>
        <w:pStyle w:val="ListBullet"/>
      </w:pPr>
      <w:r>
        <w:t>The blood unit is in the “issued” status.</w:t>
      </w:r>
    </w:p>
    <w:p w:rsidR="002A21AE" w:rsidRDefault="002A21AE">
      <w:pPr>
        <w:pStyle w:val="ListBullet"/>
      </w:pPr>
      <w:r>
        <w:t xml:space="preserve">The connection to </w:t>
      </w:r>
      <w:r w:rsidR="00CA0045" w:rsidRPr="00CA0045">
        <w:rPr>
          <w:bCs/>
        </w:rPr>
        <w:t>VistA</w:t>
      </w:r>
      <w:r>
        <w:t xml:space="preserve"> is active.</w:t>
      </w:r>
    </w:p>
    <w:p w:rsidR="002A21AE" w:rsidRDefault="002A21AE">
      <w:pPr>
        <w:pStyle w:val="Heading4"/>
      </w:pPr>
      <w:r>
        <w:t xml:space="preserve">Outcome </w:t>
      </w:r>
    </w:p>
    <w:p w:rsidR="002A21AE" w:rsidRDefault="002A21AE">
      <w:pPr>
        <w:pStyle w:val="ListBullet"/>
      </w:pPr>
      <w:r>
        <w:t xml:space="preserve">The unit is returned to a hospital location of a blood bank. </w:t>
      </w:r>
    </w:p>
    <w:p w:rsidR="002A21AE" w:rsidRDefault="002A21AE">
      <w:pPr>
        <w:pStyle w:val="ListBullet"/>
      </w:pPr>
      <w:r>
        <w:t>The unit retains its patient assignment at the time of issue when returned in satisfactory condition.</w:t>
      </w:r>
    </w:p>
    <w:p w:rsidR="002A21AE" w:rsidRDefault="002A21AE">
      <w:pPr>
        <w:pStyle w:val="ListBullet"/>
      </w:pPr>
      <w:r>
        <w:t>The user may mark the unit “unsatisfactory” and quarantine the unit to generate an Exception Report, if needed per hospital policy.</w:t>
      </w:r>
    </w:p>
    <w:p w:rsidR="002A21AE" w:rsidRDefault="002A21AE">
      <w:pPr>
        <w:pStyle w:val="Heading4"/>
        <w:rPr>
          <w:b w:val="0"/>
        </w:rPr>
      </w:pPr>
      <w:r>
        <w:t>Limitations and Restrictions</w:t>
      </w:r>
      <w:r>
        <w:rPr>
          <w:b w:val="0"/>
        </w:rPr>
        <w:t xml:space="preserve"> </w:t>
      </w:r>
    </w:p>
    <w:p w:rsidR="002A21AE" w:rsidRDefault="002A21AE">
      <w:pPr>
        <w:pStyle w:val="ListBullet"/>
      </w:pPr>
      <w:r>
        <w:t>None</w:t>
      </w:r>
    </w:p>
    <w:p w:rsidR="002A21AE" w:rsidRDefault="002A21AE">
      <w:pPr>
        <w:pStyle w:val="Heading4"/>
      </w:pPr>
      <w:r>
        <w:t xml:space="preserve">Additional Information </w:t>
      </w:r>
    </w:p>
    <w:p w:rsidR="002A21AE" w:rsidRDefault="002A21AE">
      <w:pPr>
        <w:pStyle w:val="ListBullet"/>
      </w:pPr>
      <w:r>
        <w:t>None</w:t>
      </w:r>
    </w:p>
    <w:p w:rsidR="002A21AE" w:rsidRDefault="002A21AE">
      <w:pPr>
        <w:pStyle w:val="Heading4"/>
        <w:rPr>
          <w:b w:val="0"/>
        </w:rPr>
      </w:pPr>
      <w:r>
        <w:t>User Roles with Access to This Option</w:t>
      </w:r>
      <w:r>
        <w:rPr>
          <w:b w:val="0"/>
        </w:rPr>
        <w:t xml:space="preserve"> </w:t>
      </w:r>
    </w:p>
    <w:p w:rsidR="002A21AE" w:rsidRDefault="00CF29CE">
      <w:pPr>
        <w:pStyle w:val="Roles"/>
        <w:rPr>
          <w:snapToGrid w:val="0"/>
        </w:rPr>
      </w:pPr>
      <w:r>
        <w:rPr>
          <w:snapToGrid w:val="0"/>
        </w:rPr>
        <w:t>All users</w:t>
      </w:r>
    </w:p>
    <w:p w:rsidR="002A21AE" w:rsidRDefault="003E28C1">
      <w:pPr>
        <w:pStyle w:val="Heading4"/>
      </w:pPr>
      <w:r>
        <w:br w:type="page"/>
      </w:r>
      <w:r w:rsidR="002A21AE">
        <w:lastRenderedPageBreak/>
        <w:t>Return Issued Units To Blood Bank</w:t>
      </w:r>
    </w:p>
    <w:p w:rsidR="002A21AE" w:rsidRDefault="00C41CB0" w:rsidP="00FA7E65">
      <w:pPr>
        <w:pStyle w:val="BodyText"/>
      </w:pPr>
      <w:r>
        <w:t xml:space="preserve">An issued </w:t>
      </w:r>
      <w:r w:rsidR="00932948">
        <w:t xml:space="preserve">unit </w:t>
      </w:r>
      <w:r w:rsidR="002A21AE">
        <w:t xml:space="preserve">was returned to the blood bank </w:t>
      </w:r>
      <w:r>
        <w:t xml:space="preserve">in satisfactory condition </w:t>
      </w:r>
      <w:r w:rsidR="002A21AE">
        <w:t xml:space="preserve">after issue to a valid hospital location. The user </w:t>
      </w:r>
      <w:r>
        <w:t xml:space="preserve">updates </w:t>
      </w:r>
      <w:r w:rsidR="008E55B7">
        <w:t xml:space="preserve">VBECS </w:t>
      </w:r>
      <w:r>
        <w:t>to reflect the change in location</w:t>
      </w:r>
      <w:r w:rsidR="002A21AE">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pPr>
              <w:pStyle w:val="TableTextNumbers"/>
            </w:pPr>
            <w:r>
              <w:t xml:space="preserve">Select </w:t>
            </w:r>
            <w:r>
              <w:rPr>
                <w:b/>
              </w:rPr>
              <w:t>Blood Units</w:t>
            </w:r>
            <w:r>
              <w:t xml:space="preserve"> or </w:t>
            </w:r>
            <w:r>
              <w:rPr>
                <w:b/>
              </w:rPr>
              <w:t>Patients</w:t>
            </w:r>
            <w:r>
              <w:t xml:space="preserve"> from the main menu. </w:t>
            </w:r>
          </w:p>
          <w:p w:rsidR="002A21AE" w:rsidRDefault="002A21AE">
            <w:pPr>
              <w:pStyle w:val="TableTextNumbersContinued"/>
            </w:pPr>
          </w:p>
          <w:p w:rsidR="002A21AE" w:rsidRDefault="002A21AE">
            <w:pPr>
              <w:pStyle w:val="TableTextNumbersContinued"/>
            </w:pPr>
            <w:r>
              <w:t xml:space="preserve">Select </w:t>
            </w:r>
            <w:r>
              <w:rPr>
                <w:b/>
              </w:rPr>
              <w:t>Return Issued Units To Blood Bank</w:t>
            </w:r>
            <w:r>
              <w:t>.</w:t>
            </w:r>
          </w:p>
          <w:p w:rsidR="002A21AE" w:rsidRDefault="002A21AE">
            <w:pPr>
              <w:pStyle w:val="TableTextNumbersContinued"/>
            </w:pPr>
          </w:p>
          <w:p w:rsidR="002A21AE" w:rsidRDefault="002A21AE">
            <w:pPr>
              <w:pStyle w:val="TableTextNumbersContinued"/>
            </w:pPr>
          </w:p>
        </w:tc>
        <w:tc>
          <w:tcPr>
            <w:tcW w:w="6120" w:type="dxa"/>
          </w:tcPr>
          <w:p w:rsidR="002A21AE" w:rsidRDefault="002A21AE">
            <w:pPr>
              <w:pStyle w:val="TableTextBullet"/>
            </w:pPr>
            <w:r>
              <w:t>Displays options for processing blood units or for processing patient-related functions.</w:t>
            </w:r>
          </w:p>
          <w:p w:rsidR="002A21AE" w:rsidRDefault="002A21AE">
            <w:pPr>
              <w:pStyle w:val="TableTextBullet"/>
            </w:pPr>
            <w:r>
              <w:t>Displays the return date and time and the name of the user who returned the issued unit.</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1369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29" name="Line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9"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CFgFQIAAC0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FKE&#10;IWA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t>The user may edit the return date and time (default: current date and time) to a past date and time.</w:t>
            </w:r>
          </w:p>
          <w:p w:rsidR="002A21AE" w:rsidRDefault="002A21AE">
            <w:pPr>
              <w:pStyle w:val="NotesText"/>
            </w:pPr>
          </w:p>
          <w:p w:rsidR="002A21AE" w:rsidRDefault="002A21AE">
            <w:pPr>
              <w:pStyle w:val="NotesText"/>
            </w:pPr>
            <w:r>
              <w:rPr>
                <w:rFonts w:cs="Arial"/>
                <w:vanish/>
              </w:rPr>
              <w:t xml:space="preserve">BR_59.01 </w:t>
            </w:r>
            <w:r>
              <w:t>VBECS assigns the same return date and time to all units processed in a batch.</w:t>
            </w:r>
          </w:p>
        </w:tc>
      </w:tr>
      <w:tr w:rsidR="002A21AE">
        <w:tblPrEx>
          <w:tblCellMar>
            <w:top w:w="0" w:type="dxa"/>
            <w:bottom w:w="0" w:type="dxa"/>
          </w:tblCellMar>
        </w:tblPrEx>
        <w:tc>
          <w:tcPr>
            <w:tcW w:w="3240" w:type="dxa"/>
          </w:tcPr>
          <w:p w:rsidR="002A21AE" w:rsidRDefault="002A21AE">
            <w:pPr>
              <w:pStyle w:val="TableTextNumbers"/>
            </w:pPr>
            <w:r>
              <w:t xml:space="preserve">Enter or edit the date and time and/or select a user, or click </w:t>
            </w:r>
            <w:r>
              <w:rPr>
                <w:b/>
              </w:rPr>
              <w:t>OK</w:t>
            </w:r>
            <w:r>
              <w:t xml:space="preserve"> to accept the default data.</w:t>
            </w:r>
          </w:p>
        </w:tc>
        <w:tc>
          <w:tcPr>
            <w:tcW w:w="6120" w:type="dxa"/>
          </w:tcPr>
          <w:p w:rsidR="002A21AE" w:rsidRDefault="002A21AE">
            <w:pPr>
              <w:pStyle w:val="TableText"/>
            </w:pP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 xml:space="preserve">Enter the patient data. </w:t>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Bullet"/>
            </w:pPr>
            <w:r>
              <w:t>Prompts the user to enter the unit ID and product code or enter patient data to retrieve the records for the units issued.</w:t>
            </w:r>
          </w:p>
          <w:p w:rsidR="002A21AE" w:rsidRDefault="002A21AE">
            <w:pPr>
              <w:pStyle w:val="TableTextBullet"/>
              <w:rPr>
                <w:rFonts w:cs="Arial"/>
                <w:szCs w:val="18"/>
              </w:rPr>
            </w:pPr>
            <w:r>
              <w:t>Displays an option to search for or enter a patient or unit based on the original menu option selected.</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Select a patient or unit.</w:t>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Bullet"/>
              <w:rPr>
                <w:rFonts w:cs="Arial"/>
                <w:szCs w:val="18"/>
              </w:rPr>
            </w:pPr>
            <w:r>
              <w:t>Lists the units in “issued” status that are assigned to the patient.</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Select one or more units to return from issue.</w:t>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Bullet"/>
            </w:pPr>
            <w:r>
              <w:t>Displays the units selected for return for review and allows the user to select or deselect additional units.</w:t>
            </w:r>
          </w:p>
        </w:tc>
      </w:tr>
      <w:tr w:rsidR="002A21AE">
        <w:tblPrEx>
          <w:tblCellMar>
            <w:top w:w="0" w:type="dxa"/>
            <w:bottom w:w="0" w:type="dxa"/>
          </w:tblCellMar>
        </w:tblPrEx>
        <w:tc>
          <w:tcPr>
            <w:tcW w:w="3240" w:type="dxa"/>
          </w:tcPr>
          <w:p w:rsidR="00323155" w:rsidRDefault="00323155" w:rsidP="00323155">
            <w:pPr>
              <w:pStyle w:val="TableTextNumbers"/>
            </w:pPr>
            <w:r>
              <w:t>Scan the unit ID and product code, or click one or more check boxes to select units to return from issue.</w:t>
            </w:r>
          </w:p>
        </w:tc>
        <w:tc>
          <w:tcPr>
            <w:tcW w:w="6120" w:type="dxa"/>
          </w:tcPr>
          <w:p w:rsidR="002A21AE" w:rsidRDefault="002A21AE">
            <w:pPr>
              <w:pStyle w:val="TableTextBullet"/>
              <w:rPr>
                <w:rFonts w:cs="Arial"/>
              </w:rPr>
            </w:pPr>
            <w:r>
              <w:t>Displays the data entered and allows the user to enter additional units and indicate that he completed the entry for this transaction.</w:t>
            </w:r>
          </w:p>
          <w:p w:rsidR="002A21AE" w:rsidRDefault="002A21AE">
            <w:pPr>
              <w:pStyle w:val="TableTextBullet"/>
              <w:rPr>
                <w:rFonts w:cs="Arial"/>
              </w:rPr>
            </w:pPr>
            <w:r>
              <w:rPr>
                <w:rFonts w:cs="Arial"/>
              </w:rPr>
              <w:t>Displays data for each unit entered.</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0822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28"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FcqFQIAAC0EAAAOAAAAZHJzL2Uyb0RvYy54bWysU8GO2jAQvVfqP1i+QxI2Sy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FuQ&#10;Vyo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sidRPr="0017641A">
              <w:rPr>
                <w:rFonts w:cs="Arial"/>
                <w:vanish/>
                <w:color w:val="0000FF"/>
              </w:rPr>
              <w:t>BR_59.03</w:t>
            </w:r>
            <w:r>
              <w:rPr>
                <w:rFonts w:cs="Arial"/>
                <w:vanish/>
              </w:rPr>
              <w:t xml:space="preserve"> </w:t>
            </w:r>
            <w:r>
              <w:t>When a selected unit is not in “issued” status, VBECS warns the user, clears the unit field, and allows the user to enter a different unit number.</w:t>
            </w:r>
          </w:p>
          <w:p w:rsidR="002A21AE" w:rsidRDefault="002A21AE">
            <w:pPr>
              <w:pStyle w:val="NotesText"/>
            </w:pPr>
          </w:p>
          <w:p w:rsidR="002A21AE" w:rsidRDefault="002A21AE">
            <w:pPr>
              <w:pStyle w:val="NotesText"/>
            </w:pPr>
            <w:r>
              <w:rPr>
                <w:rFonts w:cs="Arial"/>
                <w:vanish/>
              </w:rPr>
              <w:t xml:space="preserve">BR_59.14 </w:t>
            </w:r>
            <w:r>
              <w:t>VBECS allows the user to select multiple units to create a worklist for simultaneous processing.</w:t>
            </w:r>
          </w:p>
          <w:p w:rsidR="002A21AE" w:rsidRDefault="002A21AE">
            <w:pPr>
              <w:pStyle w:val="NotesText"/>
            </w:pPr>
          </w:p>
          <w:p w:rsidR="002A21AE" w:rsidRDefault="002A21AE">
            <w:pPr>
              <w:pStyle w:val="NotesText"/>
              <w:rPr>
                <w:rFonts w:cs="Arial"/>
              </w:rPr>
            </w:pPr>
            <w:r>
              <w:rPr>
                <w:rFonts w:cs="Arial"/>
                <w:vanish/>
              </w:rPr>
              <w:t xml:space="preserve">BR_59.06 </w:t>
            </w:r>
            <w:r>
              <w:t xml:space="preserve">VBECS requires the user to enter a “returned-from” location (default: “issue-to” location) and allows the user to change this location to a different valid hospital location. To do this, click the </w:t>
            </w:r>
            <w:r w:rsidR="00A6373D">
              <w:rPr>
                <w:b/>
              </w:rPr>
              <w:t>find</w:t>
            </w:r>
            <w:r>
              <w:rPr>
                <w:b/>
              </w:rPr>
              <w:t xml:space="preserve"> </w:t>
            </w:r>
            <w:r w:rsidRPr="00D1100E">
              <w:t>button</w:t>
            </w:r>
            <w:r>
              <w:t xml:space="preserve"> and select a hospital location.</w:t>
            </w:r>
          </w:p>
        </w:tc>
      </w:tr>
      <w:tr w:rsidR="002A21AE">
        <w:tblPrEx>
          <w:tblCellMar>
            <w:top w:w="0" w:type="dxa"/>
            <w:bottom w:w="0" w:type="dxa"/>
          </w:tblCellMar>
        </w:tblPrEx>
        <w:tc>
          <w:tcPr>
            <w:tcW w:w="3240" w:type="dxa"/>
          </w:tcPr>
          <w:p w:rsidR="002A21AE" w:rsidRDefault="00CF47D5">
            <w:pPr>
              <w:pStyle w:val="TableTextNumbers"/>
            </w:pPr>
            <w:r>
              <w:t>Respond to the warnings and messages</w:t>
            </w:r>
            <w:r w:rsidR="009F35E5">
              <w:t xml:space="preserve"> (</w:t>
            </w:r>
            <w:r w:rsidR="009F35E5">
              <w:fldChar w:fldCharType="begin"/>
            </w:r>
            <w:r w:rsidR="009F35E5">
              <w:instrText xml:space="preserve"> REF _Ref127094454 \h </w:instrText>
            </w:r>
            <w:r w:rsidR="009F35E5">
              <w:fldChar w:fldCharType="separate"/>
            </w:r>
            <w:r w:rsidR="005F38BC">
              <w:t xml:space="preserve">Figure </w:t>
            </w:r>
            <w:r w:rsidR="005F38BC">
              <w:rPr>
                <w:noProof/>
              </w:rPr>
              <w:t>100</w:t>
            </w:r>
            <w:r w:rsidR="009F35E5">
              <w:fldChar w:fldCharType="end"/>
            </w:r>
            <w:r w:rsidR="009F35E5">
              <w:t>)</w:t>
            </w:r>
            <w:r w:rsidR="002A21AE">
              <w:t>.</w:t>
            </w:r>
          </w:p>
        </w:tc>
        <w:tc>
          <w:tcPr>
            <w:tcW w:w="6120" w:type="dxa"/>
          </w:tcPr>
          <w:p w:rsidR="002A21AE" w:rsidRDefault="002A21AE">
            <w:pPr>
              <w:pStyle w:val="TableTextBullet"/>
            </w:pPr>
            <w:r>
              <w:t xml:space="preserve">Allows the user to indicate that each unit or batch of units was visually inspected and marked satisfactory or unsatisfactory. </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0924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27"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 o:spid="_x0000_s1026" style="position:absolute;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B+&#10;aZXSFgIAAC0EAAAOAAAAAAAAAAAAAAAAAC4CAABkcnMvZTJvRG9jLnhtbFBLAQItABQABgAIAAAA&#10;IQAXTzAS2wAAAAgBAAAPAAAAAAAAAAAAAAAAAHAEAABkcnMvZG93bnJldi54bWxQSwUGAAAAAAQA&#10;BADzAAAAeAU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sidRPr="00896F17">
              <w:rPr>
                <w:vanish/>
                <w:szCs w:val="18"/>
              </w:rPr>
              <w:t>BR_59.08</w:t>
            </w:r>
            <w:r w:rsidR="00F92F72" w:rsidRPr="00896F17">
              <w:rPr>
                <w:rStyle w:val="BullhornChar"/>
              </w:rPr>
              <w:t></w:t>
            </w:r>
            <w:r w:rsidR="00F92F72">
              <w:rPr>
                <w:rFonts w:ascii="Webdings" w:hAnsi="Webdings"/>
              </w:rPr>
              <w:t></w:t>
            </w:r>
            <w:r w:rsidR="00F92F72" w:rsidRPr="00263B24">
              <w:t>Wh</w:t>
            </w:r>
            <w:r w:rsidR="00F92F72">
              <w:t>en</w:t>
            </w:r>
            <w:r>
              <w:t xml:space="preserve"> the user indicates that the unit is unsatisfactory, VBECS emits an audible alert and quarantines the unit, relocates it to the hospital location of the blood bank, and captures details for inclusion in an Exception Report (exception type: unit unsatisfactory upon return from issue). Upon quarantining the unit, VBECS releases it from assignment and requires a comment regarding the return. </w:t>
            </w:r>
          </w:p>
          <w:p w:rsidR="002A21AE" w:rsidRDefault="002A21AE">
            <w:pPr>
              <w:pStyle w:val="NotesText"/>
            </w:pPr>
          </w:p>
          <w:p w:rsidR="002A21AE" w:rsidRDefault="002A21AE">
            <w:pPr>
              <w:pStyle w:val="NotesText"/>
            </w:pPr>
            <w:r>
              <w:rPr>
                <w:rFonts w:cs="Arial"/>
                <w:vanish/>
              </w:rPr>
              <w:t xml:space="preserve">BR_27.15 </w:t>
            </w:r>
            <w:r w:rsidR="00DC63E8">
              <w:t>When a unit has had a quarantine indicator assigned, VBECS releases any patient assignments. Patient restrictions associated with the unit remain intact.</w:t>
            </w:r>
          </w:p>
          <w:p w:rsidR="00DC63E8" w:rsidRDefault="00DC63E8">
            <w:pPr>
              <w:pStyle w:val="NotesText"/>
            </w:pPr>
          </w:p>
          <w:p w:rsidR="002A21AE" w:rsidRDefault="002A21AE">
            <w:pPr>
              <w:pStyle w:val="NotesText"/>
            </w:pPr>
            <w:r>
              <w:rPr>
                <w:rFonts w:cs="Arial"/>
                <w:vanish/>
              </w:rPr>
              <w:t xml:space="preserve">BR_59.11 </w:t>
            </w:r>
            <w:r>
              <w:t>VBECS places units returned from issue to the blood bank in satisfactory condition in the status they had prior to issue.</w:t>
            </w:r>
          </w:p>
          <w:p w:rsidR="002A21AE" w:rsidRDefault="002A21AE">
            <w:pPr>
              <w:pStyle w:val="NotesText"/>
            </w:pPr>
          </w:p>
          <w:p w:rsidR="002A21AE" w:rsidRDefault="002A21AE">
            <w:pPr>
              <w:pStyle w:val="NotesText"/>
              <w:rPr>
                <w:rFonts w:cs="Arial"/>
              </w:rPr>
            </w:pPr>
            <w:r>
              <w:rPr>
                <w:vanish/>
                <w:szCs w:val="18"/>
              </w:rPr>
              <w:t>BR_59.12</w:t>
            </w:r>
            <w:r w:rsidR="00CE3961">
              <w:rPr>
                <w:vanish/>
                <w:szCs w:val="18"/>
              </w:rPr>
              <w:t>,</w:t>
            </w:r>
            <w:r>
              <w:rPr>
                <w:vanish/>
                <w:szCs w:val="18"/>
              </w:rPr>
              <w:t xml:space="preserve"> BR_59.13 </w:t>
            </w:r>
            <w:r>
              <w:t>When the unit returned and/or the specimen used for assignment or crossmatch is expired, VBECS warns the user.</w:t>
            </w:r>
          </w:p>
        </w:tc>
      </w:tr>
      <w:tr w:rsidR="002A21AE">
        <w:tblPrEx>
          <w:tblCellMar>
            <w:top w:w="0" w:type="dxa"/>
            <w:bottom w:w="0" w:type="dxa"/>
          </w:tblCellMar>
        </w:tblPrEx>
        <w:tc>
          <w:tcPr>
            <w:tcW w:w="3240" w:type="dxa"/>
          </w:tcPr>
          <w:p w:rsidR="002A21AE" w:rsidRDefault="002A21AE">
            <w:pPr>
              <w:pStyle w:val="TableTextNumbers"/>
            </w:pPr>
            <w:r>
              <w:lastRenderedPageBreak/>
              <w:t xml:space="preserve">Click </w:t>
            </w:r>
            <w:r>
              <w:rPr>
                <w:b/>
              </w:rPr>
              <w:t xml:space="preserve">OK </w:t>
            </w:r>
            <w:r>
              <w:t xml:space="preserve">to accept the entries, and complete the unit return. </w:t>
            </w:r>
          </w:p>
          <w:p w:rsidR="002A21AE" w:rsidRDefault="002A21AE">
            <w:pPr>
              <w:pStyle w:val="TableTextNumbersContinued"/>
            </w:pPr>
          </w:p>
          <w:p w:rsidR="002A21AE" w:rsidRDefault="002A21AE">
            <w:pPr>
              <w:pStyle w:val="TableTextNumbersContinued"/>
            </w:pPr>
            <w:r>
              <w:t xml:space="preserve">Exit.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rsidR="001F6288" w:rsidRDefault="002A21AE" w:rsidP="001F6288">
            <w:pPr>
              <w:pStyle w:val="TableTextBullet"/>
            </w:pPr>
            <w:r>
              <w:t>Saves the data.</w:t>
            </w:r>
          </w:p>
          <w:p w:rsidR="001F6288" w:rsidRDefault="001F6288" w:rsidP="001F6288">
            <w:pPr>
              <w:pStyle w:val="TableTextBullet"/>
            </w:pPr>
            <w:r w:rsidRPr="001F6288">
              <w:rPr>
                <w:rFonts w:cs="Arial"/>
                <w:vanish/>
                <w:szCs w:val="18"/>
              </w:rPr>
              <w:t xml:space="preserve">UC_109 </w:t>
            </w:r>
            <w:r w:rsidRPr="001F6288">
              <w:rPr>
                <w:rFonts w:cs="Arial"/>
                <w:szCs w:val="18"/>
              </w:rPr>
              <w:t>Sends update to the BCE COTS system via an HL7 message to remove the unit from the system</w:t>
            </w:r>
            <w:r>
              <w:rPr>
                <w:rFonts w:cs="Arial"/>
                <w:szCs w:val="18"/>
              </w:rPr>
              <w:t>.</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1027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26"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 o:spid="_x0000_s1026" style="position:absolute;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CQFAIAAC0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BR_59.10 </w:t>
            </w:r>
            <w:r>
              <w:t>VBECS returns units to the blood bank location within the division.</w:t>
            </w:r>
          </w:p>
        </w:tc>
      </w:tr>
    </w:tbl>
    <w:p w:rsidR="009F35E5" w:rsidRDefault="009F35E5" w:rsidP="009F35E5">
      <w:pPr>
        <w:pStyle w:val="Caption"/>
      </w:pPr>
      <w:bookmarkStart w:id="410" w:name="_Ref127094454"/>
      <w:r>
        <w:t xml:space="preserve">Figure </w:t>
      </w:r>
      <w:r w:rsidR="00C17F7C">
        <w:fldChar w:fldCharType="begin"/>
      </w:r>
      <w:r w:rsidR="00C17F7C">
        <w:instrText xml:space="preserve"> SEQ Figure \* ARABIC </w:instrText>
      </w:r>
      <w:r w:rsidR="00C17F7C">
        <w:fldChar w:fldCharType="separate"/>
      </w:r>
      <w:r w:rsidR="005F38BC">
        <w:rPr>
          <w:noProof/>
        </w:rPr>
        <w:t>100</w:t>
      </w:r>
      <w:r w:rsidR="00C17F7C">
        <w:fldChar w:fldCharType="end"/>
      </w:r>
      <w:bookmarkEnd w:id="410"/>
      <w:r>
        <w:t>: Return Issued Units</w:t>
      </w:r>
    </w:p>
    <w:p w:rsidR="00857A1A" w:rsidRDefault="00634BFC" w:rsidP="009F35E5">
      <w:pPr>
        <w:pStyle w:val="BodyText"/>
      </w:pPr>
      <w:r>
        <w:rPr>
          <w:noProof/>
        </w:rPr>
        <w:drawing>
          <wp:inline distT="0" distB="0" distL="0" distR="0">
            <wp:extent cx="5143500" cy="37719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143500" cy="3771900"/>
                    </a:xfrm>
                    <a:prstGeom prst="rect">
                      <a:avLst/>
                    </a:prstGeom>
                    <a:noFill/>
                    <a:ln>
                      <a:noFill/>
                    </a:ln>
                  </pic:spPr>
                </pic:pic>
              </a:graphicData>
            </a:graphic>
          </wp:inline>
        </w:drawing>
      </w:r>
    </w:p>
    <w:p w:rsidR="002A21AE" w:rsidRDefault="002A21AE" w:rsidP="00857A1A">
      <w:pPr>
        <w:pStyle w:val="Heading2"/>
      </w:pPr>
      <w:r>
        <w:br w:type="page"/>
      </w:r>
      <w:bookmarkStart w:id="411" w:name="_Toc459900126"/>
      <w:r>
        <w:lastRenderedPageBreak/>
        <w:t>Release Units From Patient Assignment</w:t>
      </w:r>
      <w:bookmarkEnd w:id="411"/>
      <w:r w:rsidRPr="00857A1A">
        <w:rPr>
          <w:rFonts w:ascii="Arial Bold" w:hAnsi="Arial Bold"/>
          <w:vanish/>
        </w:rPr>
        <w:fldChar w:fldCharType="begin"/>
      </w:r>
      <w:r w:rsidRPr="00857A1A">
        <w:rPr>
          <w:rFonts w:ascii="Arial Bold" w:hAnsi="Arial Bold"/>
          <w:vanish/>
        </w:rPr>
        <w:instrText xml:space="preserve"> XE </w:instrText>
      </w:r>
      <w:r w:rsidR="00FA7E65" w:rsidRPr="00857A1A">
        <w:rPr>
          <w:rFonts w:ascii="Arial Bold" w:hAnsi="Arial Bold"/>
          <w:vanish/>
        </w:rPr>
        <w:instrText>“</w:instrText>
      </w:r>
      <w:r w:rsidRPr="00857A1A">
        <w:rPr>
          <w:rFonts w:ascii="Arial Bold" w:hAnsi="Arial Bold"/>
          <w:vanish/>
        </w:rPr>
        <w:instrText>Release Units From Patient Assignment</w:instrText>
      </w:r>
      <w:r w:rsidR="00FA7E65" w:rsidRPr="00857A1A">
        <w:rPr>
          <w:rFonts w:ascii="Arial Bold" w:hAnsi="Arial Bold"/>
          <w:vanish/>
        </w:rPr>
        <w:instrText>”</w:instrText>
      </w:r>
      <w:r w:rsidRPr="00857A1A">
        <w:rPr>
          <w:rFonts w:ascii="Arial Bold" w:hAnsi="Arial Bold"/>
          <w:vanish/>
        </w:rPr>
        <w:instrText xml:space="preserve"> </w:instrText>
      </w:r>
      <w:r w:rsidRPr="00857A1A">
        <w:rPr>
          <w:rFonts w:ascii="Arial Bold" w:hAnsi="Arial Bold"/>
          <w:vanish/>
        </w:rPr>
        <w:fldChar w:fldCharType="end"/>
      </w:r>
      <w:r w:rsidRPr="00857A1A">
        <w:rPr>
          <w:rFonts w:ascii="Arial Bold" w:hAnsi="Arial Bold"/>
          <w:vanish/>
        </w:rPr>
        <w:t xml:space="preserve"> UC_47</w:t>
      </w:r>
    </w:p>
    <w:p w:rsidR="002A21AE" w:rsidRDefault="002A21AE" w:rsidP="00FA7E65">
      <w:pPr>
        <w:pStyle w:val="BodyText"/>
        <w:rPr>
          <w:b/>
        </w:rPr>
      </w:pPr>
      <w:r>
        <w:t xml:space="preserve">The user releases crossmatched and assigned blood units not issued after a period determined by regulatory standards and by internal policy. </w:t>
      </w:r>
    </w:p>
    <w:p w:rsidR="002A21AE" w:rsidRDefault="002A21AE">
      <w:pPr>
        <w:pStyle w:val="Heading4"/>
      </w:pPr>
      <w:r>
        <w:t>Assumptions</w:t>
      </w:r>
      <w:r>
        <w:rPr>
          <w:b w:val="0"/>
        </w:rPr>
        <w:t xml:space="preserve"> </w:t>
      </w:r>
    </w:p>
    <w:p w:rsidR="002A21AE" w:rsidRDefault="002A21AE">
      <w:pPr>
        <w:pStyle w:val="ListBullet"/>
      </w:pPr>
      <w:r>
        <w:t xml:space="preserve">The blood unit is assigned or crossmatched to at least one patient. </w:t>
      </w:r>
    </w:p>
    <w:p w:rsidR="002A21AE" w:rsidRDefault="002A21AE">
      <w:pPr>
        <w:pStyle w:val="Heading4"/>
      </w:pPr>
      <w:r>
        <w:t>Outcome</w:t>
      </w:r>
    </w:p>
    <w:p w:rsidR="002A21AE" w:rsidRDefault="002A21AE">
      <w:pPr>
        <w:pStyle w:val="ListBullet"/>
      </w:pPr>
      <w:r>
        <w:t>Patient restrictions still apply to a unit even after it is released from assignment and made available.</w:t>
      </w:r>
    </w:p>
    <w:p w:rsidR="002A21AE" w:rsidRDefault="002A21AE">
      <w:pPr>
        <w:pStyle w:val="Heading4"/>
      </w:pPr>
      <w:r>
        <w:t>Limitations and Restrictions</w:t>
      </w:r>
      <w:r>
        <w:rPr>
          <w:b w:val="0"/>
        </w:rPr>
        <w:t xml:space="preserve"> </w:t>
      </w:r>
    </w:p>
    <w:p w:rsidR="002A21AE" w:rsidRDefault="002A21AE">
      <w:pPr>
        <w:pStyle w:val="ListBullet"/>
      </w:pPr>
      <w:r>
        <w:t>This option does not apply to the release of patient restrictions (autologous and directed).</w:t>
      </w:r>
    </w:p>
    <w:p w:rsidR="002A21AE" w:rsidRDefault="002A21AE">
      <w:pPr>
        <w:pStyle w:val="ListBullet"/>
      </w:pPr>
      <w:r>
        <w:t xml:space="preserve">When a patient, specimen </w:t>
      </w:r>
      <w:r w:rsidR="00112C24">
        <w:t>,</w:t>
      </w:r>
      <w:r>
        <w:t>or blood unit expires, VBECS does not automatically release an assigned blood unit: a user must release the unit.</w:t>
      </w:r>
    </w:p>
    <w:p w:rsidR="002A21AE" w:rsidRDefault="002A21AE">
      <w:pPr>
        <w:pStyle w:val="Heading4"/>
      </w:pPr>
      <w:r>
        <w:t>Additional Information</w:t>
      </w:r>
    </w:p>
    <w:p w:rsidR="002A21AE" w:rsidRDefault="002A21AE">
      <w:pPr>
        <w:pStyle w:val="ListBullet"/>
      </w:pPr>
      <w:r>
        <w:t>A user may release units from assignment as a group or individually from a patient’s list of units.</w:t>
      </w:r>
    </w:p>
    <w:p w:rsidR="002A21AE" w:rsidRDefault="002A21AE">
      <w:pPr>
        <w:pStyle w:val="Heading4"/>
        <w:rPr>
          <w:b w:val="0"/>
        </w:rPr>
      </w:pPr>
      <w:r>
        <w:t>User Roles with Access to This Option</w:t>
      </w:r>
      <w:r>
        <w:rPr>
          <w:b w:val="0"/>
        </w:rPr>
        <w:t xml:space="preserve"> </w:t>
      </w:r>
    </w:p>
    <w:p w:rsidR="002A21AE" w:rsidRDefault="00516048">
      <w:pPr>
        <w:pStyle w:val="Roles"/>
        <w:rPr>
          <w:snapToGrid w:val="0"/>
        </w:rPr>
      </w:pPr>
      <w:r>
        <w:t>All users</w:t>
      </w:r>
    </w:p>
    <w:p w:rsidR="002A21AE" w:rsidRDefault="002A21AE">
      <w:pPr>
        <w:pStyle w:val="Heading4"/>
      </w:pPr>
      <w:r>
        <w:t>Release Units From Patient Assignment</w:t>
      </w:r>
    </w:p>
    <w:p w:rsidR="002A21AE" w:rsidRDefault="002A21AE" w:rsidP="00FA7E65">
      <w:pPr>
        <w:pStyle w:val="BodyText"/>
      </w:pPr>
      <w:r>
        <w:t xml:space="preserve">A user may select one or more blood units for release from patient assignment and return to “available” status. A user may release one of multiple patient assignments without affecting other patient assignments on a unit.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rPr>
          <w:trHeight w:val="314"/>
        </w:trPr>
        <w:tc>
          <w:tcPr>
            <w:tcW w:w="3240" w:type="dxa"/>
          </w:tcPr>
          <w:p w:rsidR="002A21AE" w:rsidRDefault="002A21AE">
            <w:pPr>
              <w:pStyle w:val="TableTextNumbers"/>
            </w:pPr>
            <w:r>
              <w:t xml:space="preserve">To release units by patient, select </w:t>
            </w:r>
            <w:r>
              <w:rPr>
                <w:b/>
              </w:rPr>
              <w:t>Patients</w:t>
            </w:r>
            <w:r>
              <w:t xml:space="preserve"> from the main menu.</w:t>
            </w:r>
          </w:p>
          <w:p w:rsidR="002A21AE" w:rsidRDefault="002A21AE">
            <w:pPr>
              <w:pStyle w:val="TableTextNumbersContinued"/>
            </w:pPr>
          </w:p>
          <w:p w:rsidR="002A21AE" w:rsidRDefault="002A21AE">
            <w:pPr>
              <w:pStyle w:val="TableTextNumbersContinued"/>
            </w:pPr>
            <w:r>
              <w:t xml:space="preserve">To release units by unit, select </w:t>
            </w:r>
            <w:r>
              <w:rPr>
                <w:b/>
              </w:rPr>
              <w:t>Blood Units</w:t>
            </w:r>
            <w:r>
              <w:t xml:space="preserve"> from the main menu.</w:t>
            </w:r>
          </w:p>
          <w:p w:rsidR="002A21AE" w:rsidRDefault="002A21AE">
            <w:pPr>
              <w:pStyle w:val="TableTextNumbersContinued"/>
            </w:pPr>
          </w:p>
          <w:p w:rsidR="002A21AE" w:rsidRDefault="002A21AE">
            <w:pPr>
              <w:pStyle w:val="TableTextNumbersContinued"/>
            </w:pPr>
            <w:r>
              <w:t xml:space="preserve">Select </w:t>
            </w:r>
            <w:r>
              <w:rPr>
                <w:b/>
              </w:rPr>
              <w:t>Release Units From Patient Assignment</w:t>
            </w:r>
            <w:r>
              <w:t>.</w:t>
            </w:r>
          </w:p>
        </w:tc>
        <w:tc>
          <w:tcPr>
            <w:tcW w:w="6120" w:type="dxa"/>
          </w:tcPr>
          <w:p w:rsidR="002A21AE" w:rsidRDefault="002A21AE">
            <w:pPr>
              <w:pStyle w:val="TableTextBullet"/>
            </w:pPr>
            <w:r>
              <w:t>Displays options for processing patient-related functions or for processing units.</w:t>
            </w:r>
          </w:p>
        </w:tc>
      </w:tr>
      <w:tr w:rsidR="002A21AE">
        <w:tblPrEx>
          <w:tblCellMar>
            <w:top w:w="0" w:type="dxa"/>
            <w:bottom w:w="0" w:type="dxa"/>
          </w:tblCellMar>
        </w:tblPrEx>
        <w:tc>
          <w:tcPr>
            <w:tcW w:w="3240" w:type="dxa"/>
          </w:tcPr>
          <w:p w:rsidR="002A21AE" w:rsidRDefault="002A21AE">
            <w:pPr>
              <w:pStyle w:val="TableTextNumbers"/>
            </w:pPr>
            <w:r>
              <w:t>Scan or enter a unit ID or select a patient to release units from patient assignment and/or crossmatch (XM).</w:t>
            </w:r>
          </w:p>
        </w:tc>
        <w:tc>
          <w:tcPr>
            <w:tcW w:w="6120" w:type="dxa"/>
          </w:tcPr>
          <w:p w:rsidR="002A21AE" w:rsidRDefault="002A21AE">
            <w:pPr>
              <w:pStyle w:val="TableTextBullet"/>
            </w:pPr>
            <w:r>
              <w:t>Allows the user to edit the date and time and the user who released the units.</w:t>
            </w:r>
          </w:p>
          <w:p w:rsidR="002A21AE" w:rsidRDefault="002A21AE">
            <w:pPr>
              <w:pStyle w:val="TableTextBullet"/>
            </w:pPr>
            <w:r>
              <w:t xml:space="preserve">Lists currently assigned units. </w:t>
            </w:r>
          </w:p>
          <w:p w:rsidR="002A21AE" w:rsidRDefault="002A21AE">
            <w:pPr>
              <w:pStyle w:val="TableTextBullet"/>
            </w:pPr>
            <w:r>
              <w:t>Allows the user to list assigned units by patient, by unit ID, or by unit expiration date.</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0652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25" name="Line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7"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oFQIAAC0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LN/&#10;7+g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BR_47.03 </w:t>
            </w:r>
            <w:r>
              <w:t>VBECS indicates which specimens and units are expired.</w:t>
            </w:r>
          </w:p>
          <w:p w:rsidR="002A21AE" w:rsidRDefault="002A21AE">
            <w:pPr>
              <w:pStyle w:val="NotesText"/>
            </w:pPr>
          </w:p>
          <w:p w:rsidR="002A21AE" w:rsidRDefault="002A21AE">
            <w:pPr>
              <w:pStyle w:val="NotesText"/>
            </w:pPr>
            <w:r>
              <w:rPr>
                <w:rFonts w:cs="Arial"/>
                <w:vanish/>
              </w:rPr>
              <w:t xml:space="preserve">BR_47.04 </w:t>
            </w:r>
            <w:r>
              <w:t>VBECS displays a unit’s donation type only when it is restricted.</w:t>
            </w:r>
          </w:p>
          <w:p w:rsidR="002A21AE" w:rsidRDefault="002A21AE">
            <w:pPr>
              <w:pStyle w:val="NotesText"/>
            </w:pPr>
          </w:p>
          <w:p w:rsidR="002A21AE" w:rsidRDefault="002A21AE">
            <w:pPr>
              <w:pStyle w:val="NotesText"/>
            </w:pPr>
            <w:r>
              <w:rPr>
                <w:rFonts w:cs="Arial"/>
                <w:vanish/>
              </w:rPr>
              <w:t xml:space="preserve">BR_47.01 </w:t>
            </w:r>
            <w:r>
              <w:t xml:space="preserve">VBECS displays all currently assigned/crossmatched units located in the blood bank. When the user enters a unit ID that is not currently in the blood bank location, VBECS warns the user, clears the unit ID entry, and allows the user to enter another unit </w:t>
            </w:r>
            <w:r>
              <w:lastRenderedPageBreak/>
              <w:t>or patient.</w:t>
            </w:r>
          </w:p>
        </w:tc>
      </w:tr>
      <w:tr w:rsidR="002A21AE">
        <w:tblPrEx>
          <w:tblCellMar>
            <w:top w:w="0" w:type="dxa"/>
            <w:bottom w:w="0" w:type="dxa"/>
          </w:tblCellMar>
        </w:tblPrEx>
        <w:tc>
          <w:tcPr>
            <w:tcW w:w="3240" w:type="dxa"/>
          </w:tcPr>
          <w:p w:rsidR="002A21AE" w:rsidRDefault="002A21AE">
            <w:pPr>
              <w:pStyle w:val="TableTextNumbers"/>
            </w:pPr>
            <w:r>
              <w:lastRenderedPageBreak/>
              <w:t>Indicate which units to release.</w:t>
            </w:r>
          </w:p>
          <w:p w:rsidR="005E1395" w:rsidRDefault="005E1395" w:rsidP="005E1395">
            <w:pPr>
              <w:pStyle w:val="TableTextNumbers"/>
              <w:numPr>
                <w:ilvl w:val="0"/>
                <w:numId w:val="0"/>
              </w:numPr>
              <w:ind w:left="288" w:hanging="288"/>
            </w:pPr>
          </w:p>
          <w:p w:rsidR="005E1395" w:rsidRDefault="005E1395" w:rsidP="005E1395">
            <w:pPr>
              <w:pStyle w:val="TableTextNumbersContinued"/>
            </w:pPr>
            <w:r>
              <w:t xml:space="preserve">Click </w:t>
            </w:r>
            <w:r w:rsidRPr="005E1395">
              <w:rPr>
                <w:b/>
              </w:rPr>
              <w:t>OK</w:t>
            </w:r>
            <w:r>
              <w:t>.</w:t>
            </w:r>
          </w:p>
          <w:p w:rsidR="002A21AE" w:rsidRDefault="002A21AE">
            <w:pPr>
              <w:pStyle w:val="TableTextNumbersContinued"/>
            </w:pPr>
          </w:p>
          <w:p w:rsidR="002A21AE" w:rsidRDefault="002A21AE">
            <w:pPr>
              <w:pStyle w:val="TableTextNumbersContinued"/>
            </w:pPr>
            <w:r>
              <w:t>Indicate a reason for release of units</w:t>
            </w:r>
            <w:r w:rsidR="005E1395">
              <w:t xml:space="preserve"> (</w:t>
            </w:r>
            <w:r w:rsidR="005E1395">
              <w:fldChar w:fldCharType="begin"/>
            </w:r>
            <w:r w:rsidR="005E1395">
              <w:instrText xml:space="preserve"> REF _Ref127159073 \h </w:instrText>
            </w:r>
            <w:r w:rsidR="005E1395">
              <w:fldChar w:fldCharType="separate"/>
            </w:r>
            <w:r w:rsidR="005F38BC">
              <w:t xml:space="preserve">Figure </w:t>
            </w:r>
            <w:r w:rsidR="005F38BC">
              <w:rPr>
                <w:noProof/>
              </w:rPr>
              <w:t>101</w:t>
            </w:r>
            <w:r w:rsidR="005E1395">
              <w:fldChar w:fldCharType="end"/>
            </w:r>
            <w:r w:rsidR="005E1395">
              <w:t>)</w:t>
            </w:r>
            <w:r>
              <w:t>.</w:t>
            </w:r>
          </w:p>
        </w:tc>
        <w:tc>
          <w:tcPr>
            <w:tcW w:w="6120" w:type="dxa"/>
          </w:tcPr>
          <w:p w:rsidR="002A21AE" w:rsidRDefault="002A21AE">
            <w:pPr>
              <w:pStyle w:val="TableTextBullet"/>
            </w:pPr>
            <w:r>
              <w:t>Allows the user to enter a reason for releasing for an individual unit.</w:t>
            </w:r>
          </w:p>
          <w:p w:rsidR="002A21AE" w:rsidRDefault="002A21AE">
            <w:pPr>
              <w:pStyle w:val="TableTextBullet"/>
            </w:pPr>
            <w:r>
              <w:t>Allows the user to review the selections, select additional units, and deselect units before saving.</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0755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24" name="Line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8" o:spid="_x0000_s1026" style="position:absolute;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yZeFQIAAC0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PID&#10;Jl4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BR_47.06 </w:t>
            </w:r>
            <w:r>
              <w:t>VBECS allows the user to select no units or one or more units for each patient on the list.</w:t>
            </w:r>
          </w:p>
        </w:tc>
      </w:tr>
      <w:tr w:rsidR="002A21AE">
        <w:tblPrEx>
          <w:tblCellMar>
            <w:top w:w="0" w:type="dxa"/>
            <w:bottom w:w="0" w:type="dxa"/>
          </w:tblCellMar>
        </w:tblPrEx>
        <w:tc>
          <w:tcPr>
            <w:tcW w:w="3240" w:type="dxa"/>
          </w:tcPr>
          <w:p w:rsidR="002A21AE" w:rsidRDefault="002A21AE">
            <w:pPr>
              <w:pStyle w:val="TableTextNumbers"/>
            </w:pPr>
            <w:r>
              <w:t xml:space="preserve">Review the entered information and click </w:t>
            </w:r>
            <w:r>
              <w:rPr>
                <w:b/>
              </w:rPr>
              <w:t>OK</w:t>
            </w:r>
            <w:r>
              <w:t xml:space="preserve"> to save.</w:t>
            </w:r>
          </w:p>
          <w:p w:rsidR="002A21AE" w:rsidRDefault="002A21AE">
            <w:pPr>
              <w:pStyle w:val="TableTextNumbersContinued"/>
            </w:pPr>
          </w:p>
          <w:p w:rsidR="002A21AE" w:rsidRDefault="002A21AE">
            <w:pPr>
              <w:pStyle w:val="TableTextNumbersContinued"/>
            </w:pPr>
            <w:r>
              <w:t xml:space="preserve">Click </w:t>
            </w:r>
            <w:r>
              <w:rPr>
                <w:b/>
              </w:rPr>
              <w:t>OK</w:t>
            </w:r>
            <w:r>
              <w:t xml:space="preserve"> to exit.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rsidR="002A21AE" w:rsidRDefault="002A21AE">
            <w:pPr>
              <w:pStyle w:val="TableTextBullet"/>
            </w:pPr>
            <w:r>
              <w:t>Updates the patient record, the unit record, and the status.</w:t>
            </w:r>
          </w:p>
          <w:p w:rsidR="009434C7" w:rsidRDefault="009434C7" w:rsidP="009434C7">
            <w:pPr>
              <w:pStyle w:val="TableTextBullet"/>
            </w:pPr>
            <w:r w:rsidRPr="009434C7">
              <w:rPr>
                <w:rFonts w:cs="Arial"/>
                <w:vanish/>
                <w:szCs w:val="18"/>
              </w:rPr>
              <w:t xml:space="preserve">UC_109 </w:t>
            </w:r>
            <w:r w:rsidRPr="009434C7">
              <w:rPr>
                <w:rFonts w:cs="Arial"/>
                <w:szCs w:val="18"/>
              </w:rPr>
              <w:t>Sends</w:t>
            </w:r>
            <w:r w:rsidRPr="001F6288">
              <w:rPr>
                <w:rFonts w:cs="Arial"/>
                <w:szCs w:val="18"/>
              </w:rPr>
              <w:t xml:space="preserve"> update to the BCE COTS system via an HL7 message to remove the unit from the system</w:t>
            </w:r>
            <w:r>
              <w:rPr>
                <w:rFonts w:cs="Arial"/>
                <w:szCs w:val="18"/>
              </w:rPr>
              <w:t>.</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0857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23" name="Lin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9" o:spid="_x0000_s1026" style="position:absolute;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pXuFQIAAC0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EtG&#10;le4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BR_47.07 </w:t>
            </w:r>
            <w:r>
              <w:t>When a unit has a future expiration date and holds no other assignments, VBECS updates the unit to “available” status. When a unit is assigned to a different patient, it remains assigned to that patient.</w:t>
            </w:r>
          </w:p>
          <w:p w:rsidR="002A21AE" w:rsidRDefault="002A21AE">
            <w:pPr>
              <w:pStyle w:val="NotesText"/>
            </w:pPr>
          </w:p>
          <w:p w:rsidR="002A21AE" w:rsidRDefault="002A21AE" w:rsidP="00DA7212">
            <w:pPr>
              <w:pStyle w:val="NotesText"/>
            </w:pPr>
            <w:r>
              <w:t>VBECS alerts the user when the unit is expired and reminds him to remove additional patient assignments and the unit from the available inventory according to local policies. VBECS instructs the user to release the unit from all assignments and remove it from the available inventory</w:t>
            </w:r>
            <w:r w:rsidR="00DA7212">
              <w:t xml:space="preserve"> per hospital policy.</w:t>
            </w:r>
          </w:p>
        </w:tc>
      </w:tr>
    </w:tbl>
    <w:p w:rsidR="005E1395" w:rsidRDefault="005E1395" w:rsidP="005E1395">
      <w:pPr>
        <w:pStyle w:val="Caption"/>
      </w:pPr>
      <w:bookmarkStart w:id="412" w:name="_Ref127159073"/>
      <w:r>
        <w:t xml:space="preserve">Figure </w:t>
      </w:r>
      <w:r w:rsidR="00C17F7C">
        <w:fldChar w:fldCharType="begin"/>
      </w:r>
      <w:r w:rsidR="00C17F7C">
        <w:instrText xml:space="preserve"> SEQ Figure \* ARABIC </w:instrText>
      </w:r>
      <w:r w:rsidR="00C17F7C">
        <w:fldChar w:fldCharType="separate"/>
      </w:r>
      <w:r w:rsidR="005F38BC">
        <w:rPr>
          <w:noProof/>
        </w:rPr>
        <w:t>101</w:t>
      </w:r>
      <w:r w:rsidR="00C17F7C">
        <w:fldChar w:fldCharType="end"/>
      </w:r>
      <w:bookmarkEnd w:id="412"/>
      <w:r>
        <w:t>: Confirm Release</w:t>
      </w:r>
    </w:p>
    <w:p w:rsidR="005E1395" w:rsidRDefault="00634BFC">
      <w:pPr>
        <w:pStyle w:val="BodyText"/>
      </w:pPr>
      <w:r>
        <w:rPr>
          <w:noProof/>
        </w:rPr>
        <w:drawing>
          <wp:inline distT="0" distB="0" distL="0" distR="0">
            <wp:extent cx="4686300" cy="3362325"/>
            <wp:effectExtent l="0" t="0" r="0"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686300" cy="3362325"/>
                    </a:xfrm>
                    <a:prstGeom prst="rect">
                      <a:avLst/>
                    </a:prstGeom>
                    <a:noFill/>
                    <a:ln>
                      <a:noFill/>
                    </a:ln>
                  </pic:spPr>
                </pic:pic>
              </a:graphicData>
            </a:graphic>
          </wp:inline>
        </w:drawing>
      </w:r>
    </w:p>
    <w:p w:rsidR="002A21AE" w:rsidRDefault="002A21AE">
      <w:pPr>
        <w:pStyle w:val="Heading2"/>
      </w:pPr>
      <w:r>
        <w:br w:type="page"/>
      </w:r>
      <w:bookmarkStart w:id="413" w:name="_Toc459900127"/>
      <w:r>
        <w:lastRenderedPageBreak/>
        <w:t>Print Unit Caution Tag &amp; Transfusion Record Form</w:t>
      </w:r>
      <w:bookmarkEnd w:id="413"/>
      <w:r w:rsidRPr="007716F7">
        <w:rPr>
          <w:vanish/>
        </w:rPr>
        <w:fldChar w:fldCharType="begin"/>
      </w:r>
      <w:r w:rsidRPr="007716F7">
        <w:rPr>
          <w:vanish/>
        </w:rPr>
        <w:instrText xml:space="preserve"> XE </w:instrText>
      </w:r>
      <w:r w:rsidR="00FA7E65" w:rsidRPr="007716F7">
        <w:rPr>
          <w:vanish/>
        </w:rPr>
        <w:instrText>“</w:instrText>
      </w:r>
      <w:r w:rsidRPr="007716F7">
        <w:rPr>
          <w:vanish/>
        </w:rPr>
        <w:instrText>Print Unit Caution Tag &amp; Transfusion Record Form</w:instrText>
      </w:r>
      <w:r w:rsidR="00FA7E65" w:rsidRPr="007716F7">
        <w:rPr>
          <w:vanish/>
        </w:rPr>
        <w:instrText>”</w:instrText>
      </w:r>
      <w:r w:rsidRPr="007716F7">
        <w:rPr>
          <w:vanish/>
        </w:rPr>
        <w:instrText xml:space="preserve"> </w:instrText>
      </w:r>
      <w:r w:rsidRPr="007716F7">
        <w:rPr>
          <w:vanish/>
        </w:rPr>
        <w:fldChar w:fldCharType="end"/>
      </w:r>
      <w:r w:rsidRPr="007716F7">
        <w:rPr>
          <w:vanish/>
        </w:rPr>
        <w:t xml:space="preserve"> UC_43, UC_44</w:t>
      </w:r>
    </w:p>
    <w:p w:rsidR="002A21AE" w:rsidRDefault="002A21AE" w:rsidP="00FA7E65">
      <w:pPr>
        <w:pStyle w:val="BodyText"/>
      </w:pPr>
      <w:r>
        <w:t>The user may print a Caution Tag and/or a Blood Transfusion Record Form (BTRF) when crossmatch compatibility, assignment, or emergency issue are completed or as an independent action.</w:t>
      </w:r>
    </w:p>
    <w:p w:rsidR="002A21AE" w:rsidRDefault="002A21AE">
      <w:pPr>
        <w:pStyle w:val="Heading4"/>
      </w:pPr>
      <w:r>
        <w:t>Assumptions</w:t>
      </w:r>
      <w:r>
        <w:rPr>
          <w:b w:val="0"/>
        </w:rPr>
        <w:t xml:space="preserve"> </w:t>
      </w:r>
    </w:p>
    <w:p w:rsidR="002A21AE" w:rsidRDefault="002A21AE">
      <w:pPr>
        <w:pStyle w:val="ListBullet"/>
      </w:pPr>
      <w:r>
        <w:t>The blood unit, patient order, and user are in the same division.</w:t>
      </w:r>
    </w:p>
    <w:p w:rsidR="002A21AE" w:rsidRDefault="002A21AE">
      <w:pPr>
        <w:pStyle w:val="ListBullet"/>
      </w:pPr>
      <w:r>
        <w:t>There is a current component class or emergency issue order for the patient, and the blood unit printed on the Caution Tag fulfills the patient order requirements.</w:t>
      </w:r>
    </w:p>
    <w:p w:rsidR="002A21AE" w:rsidRDefault="002A21AE">
      <w:pPr>
        <w:pStyle w:val="ListBullet"/>
      </w:pPr>
      <w:r>
        <w:t>When the blood unit belongs to a component class that does not require crossmatch, it has a status of “assigned” (non-emergency issue only).</w:t>
      </w:r>
    </w:p>
    <w:p w:rsidR="002A21AE" w:rsidRDefault="002A21AE">
      <w:pPr>
        <w:pStyle w:val="ListBullet"/>
      </w:pPr>
      <w:r>
        <w:t>For non-emergency issue, the blood unit meets all patient Transfusion Requirements (TRs).</w:t>
      </w:r>
    </w:p>
    <w:p w:rsidR="002A21AE" w:rsidRDefault="002A21AE">
      <w:pPr>
        <w:pStyle w:val="Heading4"/>
      </w:pPr>
      <w:r>
        <w:t>Outcome</w:t>
      </w:r>
    </w:p>
    <w:p w:rsidR="002A21AE" w:rsidRDefault="002A21AE">
      <w:pPr>
        <w:pStyle w:val="ListBullet"/>
      </w:pPr>
      <w:r>
        <w:t xml:space="preserve">The barcode generated on the Caution Tag </w:t>
      </w:r>
      <w:r w:rsidR="005C6950">
        <w:t>may</w:t>
      </w:r>
      <w:r>
        <w:t xml:space="preserve"> be used in bedside verification procedures</w:t>
      </w:r>
      <w:r w:rsidR="005C6950">
        <w:t>, in accordance with local policy and procedures</w:t>
      </w:r>
      <w:r>
        <w:t>.</w:t>
      </w:r>
    </w:p>
    <w:p w:rsidR="002A21AE" w:rsidRDefault="002A21AE">
      <w:pPr>
        <w:pStyle w:val="ListBullet"/>
      </w:pPr>
      <w:r>
        <w:t>A user may reprint a BTRF and Caution Tag.</w:t>
      </w:r>
    </w:p>
    <w:p w:rsidR="002A21AE" w:rsidRDefault="002A21AE">
      <w:pPr>
        <w:pStyle w:val="Heading4"/>
      </w:pPr>
      <w:r>
        <w:t>Limitations and Restrictions</w:t>
      </w:r>
      <w:r>
        <w:rPr>
          <w:b w:val="0"/>
        </w:rPr>
        <w:t xml:space="preserve"> </w:t>
      </w:r>
    </w:p>
    <w:p w:rsidR="002A21AE" w:rsidRDefault="002A21AE">
      <w:pPr>
        <w:pStyle w:val="ListBullet"/>
      </w:pPr>
      <w:bookmarkStart w:id="414" w:name="OLE_LINK23"/>
      <w:r>
        <w:t xml:space="preserve">VBECS cannot reprint a Caution Tag on an expired unit or </w:t>
      </w:r>
      <w:r w:rsidR="00FE1BEB">
        <w:t xml:space="preserve">expired </w:t>
      </w:r>
      <w:r>
        <w:t>patient order.</w:t>
      </w:r>
    </w:p>
    <w:p w:rsidR="003226D0" w:rsidRDefault="003226D0" w:rsidP="003226D0">
      <w:pPr>
        <w:pStyle w:val="ListBullet"/>
      </w:pPr>
      <w:r>
        <w:t xml:space="preserve">VBECS does not print a unit’s </w:t>
      </w:r>
      <w:r w:rsidRPr="00D47D4A">
        <w:t>biohazardous</w:t>
      </w:r>
      <w:r>
        <w:t xml:space="preserve"> status on the BTRF or Caution Tag</w:t>
      </w:r>
      <w:r w:rsidRPr="00D47D4A">
        <w:t xml:space="preserve">. </w:t>
      </w:r>
    </w:p>
    <w:bookmarkEnd w:id="414"/>
    <w:p w:rsidR="002A21AE" w:rsidRDefault="002A21AE">
      <w:pPr>
        <w:pStyle w:val="Heading4"/>
      </w:pPr>
      <w:r>
        <w:t>Additional Information</w:t>
      </w:r>
    </w:p>
    <w:p w:rsidR="002A21AE" w:rsidRDefault="002A21AE">
      <w:pPr>
        <w:pStyle w:val="ListBullet"/>
      </w:pPr>
      <w:r>
        <w:rPr>
          <w:rFonts w:ascii="Arial" w:hAnsi="Arial" w:cs="Arial"/>
          <w:vanish/>
          <w:spacing w:val="0"/>
          <w:sz w:val="18"/>
        </w:rPr>
        <w:t xml:space="preserve">BR_43.10 </w:t>
      </w:r>
      <w:r>
        <w:t>The informational barcode printed on the Caution Tag includes only the patient and unit IDs and the unit product code.</w:t>
      </w:r>
    </w:p>
    <w:p w:rsidR="002A21AE" w:rsidRDefault="002A21AE">
      <w:pPr>
        <w:pStyle w:val="ListBullet"/>
      </w:pPr>
      <w:r>
        <w:t>A user may print multiple Caution Tags and BTRFs for a blood unit when it is assigned to multiple patients.</w:t>
      </w:r>
    </w:p>
    <w:p w:rsidR="002A21AE" w:rsidRDefault="00FE1BEB">
      <w:pPr>
        <w:pStyle w:val="ListBullet"/>
      </w:pPr>
      <w:r>
        <w:t>A</w:t>
      </w:r>
      <w:r w:rsidR="002A21AE">
        <w:t>ttach the Caution Tag</w:t>
      </w:r>
      <w:r>
        <w:t xml:space="preserve"> labels to blood bags in accordance with local policy and procedures</w:t>
      </w:r>
      <w:r w:rsidR="002A21AE">
        <w:t>.</w:t>
      </w:r>
    </w:p>
    <w:p w:rsidR="002A21AE" w:rsidRDefault="002A21AE">
      <w:pPr>
        <w:pStyle w:val="Heading4"/>
        <w:rPr>
          <w:b w:val="0"/>
        </w:rPr>
      </w:pPr>
      <w:r>
        <w:t>User Roles with Access to This Option</w:t>
      </w:r>
      <w:r>
        <w:rPr>
          <w:b w:val="0"/>
        </w:rPr>
        <w:t xml:space="preserve"> </w:t>
      </w:r>
    </w:p>
    <w:p w:rsidR="00396D65" w:rsidRDefault="00396D65" w:rsidP="00396D65">
      <w:pPr>
        <w:pStyle w:val="Roles"/>
        <w:rPr>
          <w:snapToGrid w:val="0"/>
        </w:rPr>
      </w:pPr>
      <w:r>
        <w:t>All users</w:t>
      </w:r>
      <w:r>
        <w:rPr>
          <w:snapToGrid w:val="0"/>
        </w:rPr>
        <w:t xml:space="preserve"> </w:t>
      </w:r>
    </w:p>
    <w:p w:rsidR="002A21AE" w:rsidRDefault="002A21AE">
      <w:pPr>
        <w:pStyle w:val="Heading4"/>
      </w:pPr>
      <w:r>
        <w:t xml:space="preserve">Print </w:t>
      </w:r>
      <w:r w:rsidR="004B2F32">
        <w:t>Backup</w:t>
      </w:r>
      <w:r>
        <w:t xml:space="preserve"> Caution Tags and Blood Transfusion Record Forms</w:t>
      </w:r>
      <w:r>
        <w:fldChar w:fldCharType="begin"/>
      </w:r>
      <w:r>
        <w:instrText xml:space="preserve"> XE </w:instrText>
      </w:r>
      <w:r w:rsidR="00FA7E65">
        <w:instrText>“</w:instrText>
      </w:r>
      <w:r>
        <w:instrText xml:space="preserve">Print </w:instrText>
      </w:r>
      <w:r w:rsidR="004B2F32">
        <w:instrText>Backup</w:instrText>
      </w:r>
      <w:r>
        <w:instrText xml:space="preserve"> Caution Tags and Blood Transfusion Record Forms</w:instrText>
      </w:r>
      <w:r w:rsidR="00FA7E65">
        <w:instrText>”</w:instrText>
      </w:r>
      <w:r>
        <w:instrText xml:space="preserve"> </w:instrText>
      </w:r>
      <w:r>
        <w:fldChar w:fldCharType="end"/>
      </w:r>
      <w:r>
        <w:t xml:space="preserve"> </w:t>
      </w:r>
    </w:p>
    <w:p w:rsidR="002A21AE" w:rsidRDefault="002A21AE" w:rsidP="00FA7E65">
      <w:pPr>
        <w:pStyle w:val="BodyText"/>
      </w:pPr>
      <w:r>
        <w:t>It is recommend</w:t>
      </w:r>
      <w:r w:rsidR="00164C0F">
        <w:t>ed</w:t>
      </w:r>
      <w:r>
        <w:t xml:space="preserve"> that </w:t>
      </w:r>
      <w:r w:rsidR="004B2F32">
        <w:t>b</w:t>
      </w:r>
      <w:r>
        <w:t>lank Caution Tags and BTRFs be kept on hand in case the system or printer is not available to generate them.</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FFFFFF"/>
            <w:vAlign w:val="bottom"/>
          </w:tcPr>
          <w:p w:rsidR="002A21AE" w:rsidRDefault="002A21AE">
            <w:pPr>
              <w:pStyle w:val="TableText"/>
              <w:rPr>
                <w:b/>
              </w:rPr>
            </w:pPr>
            <w:bookmarkStart w:id="415" w:name="_Toc48708314"/>
            <w:bookmarkStart w:id="416" w:name="_Toc48708326"/>
            <w:bookmarkStart w:id="417" w:name="_Toc77663248"/>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pPr>
              <w:pStyle w:val="TableTextNumbers"/>
            </w:pPr>
            <w:r>
              <w:t xml:space="preserve">Select </w:t>
            </w:r>
            <w:r>
              <w:rPr>
                <w:b/>
              </w:rPr>
              <w:t>Tools</w:t>
            </w:r>
            <w:r>
              <w:t xml:space="preserve"> from the main menu.</w:t>
            </w:r>
          </w:p>
          <w:p w:rsidR="002A21AE" w:rsidRDefault="002A21AE">
            <w:pPr>
              <w:pStyle w:val="TableTextNumbersContinued"/>
              <w:rPr>
                <w:b/>
                <w:bCs/>
              </w:rPr>
            </w:pPr>
          </w:p>
          <w:p w:rsidR="002A21AE" w:rsidRDefault="002A21AE">
            <w:pPr>
              <w:pStyle w:val="TableTextNumbersContinued"/>
            </w:pPr>
            <w:r>
              <w:t xml:space="preserve">Select </w:t>
            </w:r>
            <w:r>
              <w:rPr>
                <w:b/>
              </w:rPr>
              <w:t>Print Backup Forms</w:t>
            </w:r>
            <w:r>
              <w:t>.</w:t>
            </w:r>
          </w:p>
          <w:p w:rsidR="002A21AE" w:rsidRDefault="002A21AE">
            <w:pPr>
              <w:pStyle w:val="TableTextNumbersContinued"/>
            </w:pPr>
          </w:p>
          <w:p w:rsidR="002A21AE" w:rsidRDefault="002A21AE">
            <w:pPr>
              <w:pStyle w:val="TableTextNumbersContinued"/>
            </w:pPr>
            <w:r>
              <w:t>Enter or select the number of blank tags or forms to print</w:t>
            </w:r>
            <w:r w:rsidR="009B102E">
              <w:t xml:space="preserve"> (</w:t>
            </w:r>
            <w:r w:rsidR="009B102E">
              <w:fldChar w:fldCharType="begin"/>
            </w:r>
            <w:r w:rsidR="009B102E">
              <w:instrText xml:space="preserve"> REF _Ref127005506 \h </w:instrText>
            </w:r>
            <w:r w:rsidR="009B102E">
              <w:fldChar w:fldCharType="separate"/>
            </w:r>
            <w:r w:rsidR="005F38BC">
              <w:t xml:space="preserve">Figure </w:t>
            </w:r>
            <w:r w:rsidR="005F38BC">
              <w:rPr>
                <w:noProof/>
              </w:rPr>
              <w:t>102</w:t>
            </w:r>
            <w:r w:rsidR="009B102E">
              <w:fldChar w:fldCharType="end"/>
            </w:r>
            <w:r w:rsidR="009B102E">
              <w:t>)</w:t>
            </w:r>
            <w:r>
              <w:t>.</w:t>
            </w:r>
          </w:p>
          <w:p w:rsidR="002A21AE" w:rsidRDefault="002A21AE">
            <w:pPr>
              <w:pStyle w:val="TableTextNumbersContinued"/>
            </w:pPr>
          </w:p>
          <w:p w:rsidR="002A21AE" w:rsidRDefault="002A21AE">
            <w:pPr>
              <w:pStyle w:val="TableTextNumbersContinued"/>
            </w:pPr>
            <w:r>
              <w:t xml:space="preserve">Click </w:t>
            </w:r>
            <w:r>
              <w:rPr>
                <w:b/>
              </w:rPr>
              <w:t>OK</w:t>
            </w:r>
            <w:r>
              <w:t xml:space="preserve"> to print and exit.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rsidR="002A21AE" w:rsidRDefault="002A21AE">
            <w:pPr>
              <w:pStyle w:val="TableTextBullet"/>
              <w:ind w:left="0" w:firstLine="0"/>
            </w:pPr>
            <w:r>
              <w:t>Displays options for processing administrative functions.</w:t>
            </w:r>
          </w:p>
          <w:p w:rsidR="002A21AE" w:rsidRDefault="002A21AE">
            <w:pPr>
              <w:pStyle w:val="TableTextBullet"/>
              <w:ind w:left="0" w:firstLine="0"/>
            </w:pPr>
            <w:r>
              <w:t>Prompts the user to enter the number of Caution Tags to be printed.</w:t>
            </w:r>
          </w:p>
          <w:p w:rsidR="002A21AE" w:rsidRDefault="002A21AE">
            <w:pPr>
              <w:pStyle w:val="TableTextBullet"/>
              <w:ind w:left="0" w:firstLine="0"/>
            </w:pPr>
            <w:r>
              <w:t>Prints the blank Caution Tags.</w:t>
            </w:r>
          </w:p>
          <w:p w:rsidR="002A21AE" w:rsidRDefault="002A21AE">
            <w:pPr>
              <w:pStyle w:val="TableText"/>
              <w:rPr>
                <w:b/>
                <w:bCs/>
                <w:szCs w:val="18"/>
              </w:rPr>
            </w:pPr>
          </w:p>
          <w:p w:rsidR="002A21AE" w:rsidRDefault="00634BFC">
            <w:pPr>
              <w:pStyle w:val="TableText"/>
              <w:rPr>
                <w:b/>
                <w:bCs/>
                <w:szCs w:val="18"/>
              </w:rPr>
            </w:pPr>
            <w:r>
              <w:rPr>
                <w:b/>
                <w:bCs/>
                <w:noProof/>
              </w:rPr>
              <mc:AlternateContent>
                <mc:Choice Requires="wps">
                  <w:drawing>
                    <wp:anchor distT="0" distB="0" distL="114300" distR="114300" simplePos="0" relativeHeight="25160960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22" name="Lin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0"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MbFgIAAC0EAAAOAAAAZHJzL2Uyb0RvYy54bWysU8GO2jAQvVfqP1i+QxI2Sy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Cj&#10;rDMbFgIAAC0EAAAOAAAAAAAAAAAAAAAAAC4CAABkcnMvZTJvRG9jLnhtbFBLAQItABQABgAIAAAA&#10;IQAXTzAS2wAAAAgBAAAPAAAAAAAAAAAAAAAAAHAEAABkcnMvZG93bnJldi54bWxQSwUGAAAAAAQA&#10;BADzAAAAeAU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BR_43.22 </w:t>
            </w:r>
            <w:r>
              <w:t>VBECS displays an option to print a Caution Tag or a BTRF when the user selects a unit or a patient.</w:t>
            </w:r>
          </w:p>
          <w:p w:rsidR="002A21AE" w:rsidRDefault="002A21AE">
            <w:pPr>
              <w:pStyle w:val="NotesText"/>
            </w:pPr>
          </w:p>
          <w:p w:rsidR="002A21AE" w:rsidRDefault="002A21AE">
            <w:pPr>
              <w:pStyle w:val="NotesText"/>
            </w:pPr>
            <w:r>
              <w:rPr>
                <w:rFonts w:cs="Arial"/>
                <w:vanish/>
                <w:szCs w:val="18"/>
              </w:rPr>
              <w:t>BR_43.15</w:t>
            </w:r>
            <w:r w:rsidR="00CE3961">
              <w:rPr>
                <w:rFonts w:cs="Arial"/>
                <w:vanish/>
                <w:szCs w:val="18"/>
              </w:rPr>
              <w:t>,</w:t>
            </w:r>
            <w:r>
              <w:rPr>
                <w:rFonts w:cs="Arial"/>
                <w:vanish/>
                <w:szCs w:val="18"/>
              </w:rPr>
              <w:t xml:space="preserve"> </w:t>
            </w:r>
            <w:r>
              <w:rPr>
                <w:vanish/>
                <w:szCs w:val="18"/>
              </w:rPr>
              <w:t xml:space="preserve">BR_43.11 </w:t>
            </w:r>
            <w:r>
              <w:t xml:space="preserve">The user may print 1 to 99 blank Caution Tags and BTRFs to use in case of downtime. </w:t>
            </w:r>
          </w:p>
          <w:p w:rsidR="002A21AE" w:rsidRDefault="002A21AE">
            <w:pPr>
              <w:pStyle w:val="TableText"/>
            </w:pPr>
          </w:p>
          <w:p w:rsidR="002A21AE" w:rsidRDefault="002A21AE">
            <w:pPr>
              <w:pStyle w:val="NotesText"/>
            </w:pPr>
            <w:r>
              <w:rPr>
                <w:rFonts w:cs="Arial"/>
                <w:vanish/>
              </w:rPr>
              <w:lastRenderedPageBreak/>
              <w:t xml:space="preserve">BR_43.12 </w:t>
            </w:r>
            <w:r>
              <w:t>VBECS interrupts or cancels a print job to accommodate the printing of an emergency issue tag. VBECS notifies the user of the number of tags printed and instructs the user to enter a new request to print more tags.</w:t>
            </w:r>
          </w:p>
        </w:tc>
      </w:tr>
    </w:tbl>
    <w:p w:rsidR="009B102E" w:rsidRDefault="009B102E" w:rsidP="009B102E">
      <w:pPr>
        <w:pStyle w:val="Caption"/>
      </w:pPr>
      <w:bookmarkStart w:id="418" w:name="_Ref127005506"/>
      <w:bookmarkEnd w:id="415"/>
      <w:bookmarkEnd w:id="416"/>
      <w:bookmarkEnd w:id="417"/>
      <w:r>
        <w:lastRenderedPageBreak/>
        <w:t xml:space="preserve">Figure </w:t>
      </w:r>
      <w:r w:rsidR="00C17F7C">
        <w:fldChar w:fldCharType="begin"/>
      </w:r>
      <w:r w:rsidR="00C17F7C">
        <w:instrText xml:space="preserve"> SEQ Figure \* ARABIC </w:instrText>
      </w:r>
      <w:r w:rsidR="00C17F7C">
        <w:fldChar w:fldCharType="separate"/>
      </w:r>
      <w:r w:rsidR="005F38BC">
        <w:rPr>
          <w:noProof/>
        </w:rPr>
        <w:t>102</w:t>
      </w:r>
      <w:r w:rsidR="00C17F7C">
        <w:fldChar w:fldCharType="end"/>
      </w:r>
      <w:bookmarkEnd w:id="418"/>
      <w:r>
        <w:t>: Print Backup Forms</w:t>
      </w:r>
    </w:p>
    <w:p w:rsidR="009B102E" w:rsidRPr="009B102E" w:rsidRDefault="00634BFC" w:rsidP="009B102E">
      <w:pPr>
        <w:pStyle w:val="BodyText"/>
      </w:pPr>
      <w:r>
        <w:rPr>
          <w:noProof/>
        </w:rPr>
        <w:drawing>
          <wp:inline distT="0" distB="0" distL="0" distR="0">
            <wp:extent cx="3543300" cy="21336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543300" cy="2133600"/>
                    </a:xfrm>
                    <a:prstGeom prst="rect">
                      <a:avLst/>
                    </a:prstGeom>
                    <a:noFill/>
                    <a:ln>
                      <a:noFill/>
                    </a:ln>
                  </pic:spPr>
                </pic:pic>
              </a:graphicData>
            </a:graphic>
          </wp:inline>
        </w:drawing>
      </w:r>
    </w:p>
    <w:p w:rsidR="002A21AE" w:rsidRDefault="002A21AE">
      <w:pPr>
        <w:pStyle w:val="Heading4"/>
      </w:pPr>
      <w:r>
        <w:t>Print Unit Caution Tag &amp; Transfusion Record Form</w:t>
      </w:r>
    </w:p>
    <w:p w:rsidR="002A21AE" w:rsidRDefault="002A21AE" w:rsidP="00FA7E65">
      <w:pPr>
        <w:pStyle w:val="BodyText"/>
      </w:pPr>
      <w:r>
        <w:t xml:space="preserve">The user may need to generate Caution Tags when they were not printed immediately after unit selection and crossmatch data entry, emergency issue, or when there is a problem with the printed Caution Tag. According to local </w:t>
      </w:r>
      <w:r w:rsidR="00A10483">
        <w:t>policy,</w:t>
      </w:r>
      <w:r>
        <w:t xml:space="preserve"> the user selects a current patient order and one or more units to print from the VBECS-generated list of units eligible for immediate transfusion. </w:t>
      </w:r>
    </w:p>
    <w:p w:rsidR="002A21AE" w:rsidRDefault="002A21AE" w:rsidP="00FA7E65">
      <w:pPr>
        <w:pStyle w:val="BodyText"/>
      </w:pPr>
      <w:r>
        <w:t>VBECS does not allow a user to print a Caution Tag unless the unit is satisfactory for immediate issue.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pPr>
              <w:pStyle w:val="TableTextNumbers"/>
            </w:pPr>
            <w:r>
              <w:t xml:space="preserve">Select </w:t>
            </w:r>
            <w:r>
              <w:rPr>
                <w:b/>
              </w:rPr>
              <w:t>Patients</w:t>
            </w:r>
            <w:r>
              <w:t xml:space="preserve"> or </w:t>
            </w:r>
            <w:r>
              <w:rPr>
                <w:b/>
                <w:bCs/>
              </w:rPr>
              <w:t>Blood Units</w:t>
            </w:r>
            <w:r>
              <w:t xml:space="preserve"> from the main menu.</w:t>
            </w:r>
          </w:p>
          <w:p w:rsidR="002A21AE" w:rsidRDefault="002A21AE">
            <w:pPr>
              <w:pStyle w:val="TableTextNumbersContinued"/>
            </w:pPr>
          </w:p>
          <w:p w:rsidR="002A21AE" w:rsidRDefault="002A21AE">
            <w:pPr>
              <w:pStyle w:val="TableTextNumbersContinued"/>
              <w:rPr>
                <w:b/>
                <w:bCs/>
              </w:rPr>
            </w:pPr>
            <w:r>
              <w:t xml:space="preserve">Select </w:t>
            </w:r>
            <w:r>
              <w:rPr>
                <w:b/>
              </w:rPr>
              <w:t>Print Unit Caution Tag &amp; Transfusion Record Form</w:t>
            </w:r>
            <w:r>
              <w:t>.</w:t>
            </w:r>
          </w:p>
        </w:tc>
        <w:tc>
          <w:tcPr>
            <w:tcW w:w="6120" w:type="dxa"/>
          </w:tcPr>
          <w:p w:rsidR="002A21AE" w:rsidRDefault="002A21AE">
            <w:pPr>
              <w:pStyle w:val="TableTextBullet"/>
            </w:pPr>
            <w:r>
              <w:t>Displays options for processing patient-related functions or for processing units.</w:t>
            </w:r>
          </w:p>
          <w:p w:rsidR="002A21AE" w:rsidRDefault="002A21AE">
            <w:pPr>
              <w:pStyle w:val="TableTextBullet"/>
            </w:pPr>
            <w:r>
              <w:t>Displays the option to select a patient, if one is not already selected.</w:t>
            </w:r>
          </w:p>
          <w:p w:rsidR="002A21AE" w:rsidRDefault="002A21AE">
            <w:pPr>
              <w:pStyle w:val="TableTextNumbersContinued"/>
            </w:pPr>
          </w:p>
        </w:tc>
      </w:tr>
      <w:tr w:rsidR="002A21AE">
        <w:tblPrEx>
          <w:tblCellMar>
            <w:top w:w="0" w:type="dxa"/>
            <w:bottom w:w="0" w:type="dxa"/>
          </w:tblCellMar>
        </w:tblPrEx>
        <w:tc>
          <w:tcPr>
            <w:tcW w:w="3240" w:type="dxa"/>
          </w:tcPr>
          <w:p w:rsidR="002A21AE" w:rsidRDefault="002A21AE">
            <w:pPr>
              <w:pStyle w:val="TableTextNumbers"/>
            </w:pPr>
            <w:r>
              <w:t xml:space="preserve">Enter the patient name or ID and click </w:t>
            </w:r>
            <w:r>
              <w:rPr>
                <w:b/>
                <w:bCs/>
              </w:rPr>
              <w:t xml:space="preserve">Search </w:t>
            </w:r>
            <w:r>
              <w:t xml:space="preserve">to select a patient, or </w:t>
            </w:r>
          </w:p>
          <w:p w:rsidR="002A21AE" w:rsidRDefault="002A21AE">
            <w:pPr>
              <w:pStyle w:val="TableTextNumbersContinued"/>
            </w:pPr>
          </w:p>
          <w:p w:rsidR="002A21AE" w:rsidRDefault="002A21AE">
            <w:pPr>
              <w:pStyle w:val="TableTextNumbersContinued"/>
            </w:pPr>
            <w:r>
              <w:t xml:space="preserve">Click </w:t>
            </w:r>
            <w:r>
              <w:rPr>
                <w:b/>
              </w:rPr>
              <w:t>Search by Unit</w:t>
            </w:r>
            <w:r w:rsidR="00EB7F52">
              <w:rPr>
                <w:b/>
              </w:rPr>
              <w:t xml:space="preserve"> </w:t>
            </w:r>
            <w:r w:rsidR="00CD3C64" w:rsidRPr="00CD3C64">
              <w:t>(</w:t>
            </w:r>
            <w:r w:rsidR="00CD3C64">
              <w:fldChar w:fldCharType="begin"/>
            </w:r>
            <w:r w:rsidR="00CD3C64">
              <w:instrText xml:space="preserve"> REF _Ref127006080 \h </w:instrText>
            </w:r>
            <w:r w:rsidR="00CD3C64">
              <w:fldChar w:fldCharType="separate"/>
            </w:r>
            <w:r w:rsidR="005F38BC">
              <w:t xml:space="preserve">Figure </w:t>
            </w:r>
            <w:r w:rsidR="005F38BC">
              <w:rPr>
                <w:noProof/>
              </w:rPr>
              <w:t>103</w:t>
            </w:r>
            <w:r w:rsidR="00CD3C64">
              <w:fldChar w:fldCharType="end"/>
            </w:r>
            <w:r w:rsidR="00CD3C64" w:rsidRPr="00CD3C64">
              <w:t>)</w:t>
            </w:r>
            <w:r>
              <w:t>.</w:t>
            </w:r>
          </w:p>
          <w:p w:rsidR="002A21AE" w:rsidRDefault="002A21AE">
            <w:pPr>
              <w:pStyle w:val="TableTextNumbersContinued"/>
            </w:pPr>
          </w:p>
          <w:p w:rsidR="002A21AE" w:rsidRDefault="002A21AE">
            <w:pPr>
              <w:pStyle w:val="TableTextNumbersContinued"/>
            </w:pPr>
            <w:r>
              <w:t>Enter the unit ID and/or product.</w:t>
            </w:r>
          </w:p>
        </w:tc>
        <w:tc>
          <w:tcPr>
            <w:tcW w:w="6120" w:type="dxa"/>
          </w:tcPr>
          <w:p w:rsidR="002A21AE" w:rsidRDefault="002A21AE">
            <w:pPr>
              <w:pStyle w:val="TableTextBullet"/>
            </w:pPr>
            <w:r>
              <w:t>Requests that the user select a Caution Tag and/or a BTRF to print by unit ID or by patient.</w:t>
            </w:r>
          </w:p>
          <w:p w:rsidR="002A21AE" w:rsidRDefault="002A21AE">
            <w:pPr>
              <w:pStyle w:val="TableTextBullet"/>
            </w:pPr>
            <w:r>
              <w:t>Displays an informational message, when appropriate.</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Select a patient, or</w:t>
            </w:r>
          </w:p>
          <w:p w:rsidR="002A21AE" w:rsidRDefault="002A21AE">
            <w:pPr>
              <w:pStyle w:val="TableTextNumbersContinued"/>
            </w:pPr>
          </w:p>
          <w:p w:rsidR="002A21AE" w:rsidRDefault="002A21AE">
            <w:pPr>
              <w:pStyle w:val="TableTextNumbersContinued"/>
            </w:pPr>
            <w:r>
              <w:t>Select or scan a blood unit.</w:t>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Bullet"/>
            </w:pPr>
            <w:r>
              <w:t>Compiles and displays the information associated with the user’s selection.</w:t>
            </w:r>
          </w:p>
          <w:p w:rsidR="002A21AE" w:rsidRDefault="002A21AE">
            <w:pPr>
              <w:pStyle w:val="TableTextBullet"/>
            </w:pPr>
            <w:r>
              <w:t>Displays the patient’s name, ID, date of birth, the unit ID, and the long product name of units to appear on the Caution Tags.</w:t>
            </w:r>
          </w:p>
          <w:p w:rsidR="002A21AE" w:rsidRDefault="002A21AE">
            <w:pPr>
              <w:pStyle w:val="TableTextBullet"/>
            </w:pPr>
            <w:r>
              <w:t xml:space="preserve">Prompts the user to select the units when selecting by patient. </w:t>
            </w:r>
          </w:p>
          <w:p w:rsidR="002A21AE" w:rsidRDefault="002A21AE">
            <w:pPr>
              <w:pStyle w:val="TableTextBullet"/>
            </w:pPr>
            <w:r>
              <w:t>Allows the user to select and deselect blood units to print.</w:t>
            </w:r>
          </w:p>
          <w:p w:rsidR="002A21AE" w:rsidRDefault="00896F17">
            <w:pPr>
              <w:pStyle w:val="TableTextBullet"/>
              <w:ind w:left="0" w:firstLine="0"/>
            </w:pPr>
            <w:r w:rsidRPr="00896F17">
              <w:rPr>
                <w:rStyle w:val="BullhornChar"/>
              </w:rPr>
              <w:t></w:t>
            </w:r>
            <w:r w:rsidRPr="00C51C45">
              <w:rPr>
                <w:rFonts w:ascii="Webdings" w:hAnsi="Webdings"/>
                <w:szCs w:val="22"/>
              </w:rPr>
              <w:t></w:t>
            </w:r>
            <w:r>
              <w:rPr>
                <w:rFonts w:cs="Arial"/>
                <w:szCs w:val="22"/>
              </w:rPr>
              <w:t>See</w:t>
            </w:r>
            <w:r w:rsidR="002A21AE">
              <w:rPr>
                <w:rFonts w:cs="Arial"/>
                <w:szCs w:val="22"/>
              </w:rPr>
              <w:t xml:space="preserve"> </w:t>
            </w:r>
            <w:r w:rsidR="00AE2DC1">
              <w:rPr>
                <w:rFonts w:cs="Arial"/>
                <w:szCs w:val="22"/>
              </w:rPr>
              <w:fldChar w:fldCharType="begin"/>
            </w:r>
            <w:r w:rsidR="00AE2DC1">
              <w:rPr>
                <w:rFonts w:cs="Arial"/>
                <w:szCs w:val="22"/>
              </w:rPr>
              <w:instrText xml:space="preserve"> REF _Ref126504208 \h </w:instrText>
            </w:r>
            <w:r w:rsidR="0087272D" w:rsidRPr="00AE2DC1">
              <w:rPr>
                <w:rFonts w:cs="Arial"/>
                <w:szCs w:val="22"/>
              </w:rPr>
            </w:r>
            <w:r w:rsidR="00AE2DC1">
              <w:rPr>
                <w:rFonts w:cs="Arial"/>
                <w:szCs w:val="22"/>
              </w:rPr>
              <w:fldChar w:fldCharType="separate"/>
            </w:r>
            <w:r w:rsidR="005F38BC">
              <w:t xml:space="preserve">Table </w:t>
            </w:r>
            <w:r w:rsidR="005F38BC">
              <w:rPr>
                <w:noProof/>
              </w:rPr>
              <w:t>9</w:t>
            </w:r>
            <w:r w:rsidR="00AE2DC1">
              <w:rPr>
                <w:rFonts w:cs="Arial"/>
                <w:szCs w:val="22"/>
              </w:rPr>
              <w:fldChar w:fldCharType="end"/>
            </w:r>
            <w:r w:rsidR="002A21AE">
              <w:rPr>
                <w:rFonts w:cs="Arial"/>
                <w:szCs w:val="22"/>
              </w:rPr>
              <w:t xml:space="preserve"> for alerts that may occur during this option.</w:t>
            </w:r>
          </w:p>
          <w:p w:rsidR="002A21AE" w:rsidRDefault="002A21AE">
            <w:pPr>
              <w:pStyle w:val="TableText"/>
              <w:rPr>
                <w:b/>
                <w:bCs/>
                <w:szCs w:val="18"/>
              </w:rPr>
            </w:pPr>
          </w:p>
          <w:p w:rsidR="002A21AE" w:rsidRDefault="00634BFC">
            <w:pPr>
              <w:pStyle w:val="TableText"/>
              <w:rPr>
                <w:b/>
                <w:bCs/>
                <w:szCs w:val="18"/>
              </w:rPr>
            </w:pPr>
            <w:r>
              <w:rPr>
                <w:b/>
                <w:bCs/>
                <w:noProof/>
              </w:rPr>
              <mc:AlternateContent>
                <mc:Choice Requires="wps">
                  <w:drawing>
                    <wp:anchor distT="0" distB="0" distL="114300" distR="114300" simplePos="0" relativeHeight="25161164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21" name="Line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2" o:spid="_x0000_s1026"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9spFQIAAC0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PH3&#10;2yk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1710A2" w:rsidRDefault="001710A2" w:rsidP="001710A2">
            <w:pPr>
              <w:pStyle w:val="NotesText"/>
            </w:pPr>
            <w:r>
              <w:rPr>
                <w:rFonts w:cs="Arial"/>
                <w:vanish/>
              </w:rPr>
              <w:t xml:space="preserve">BR_43.21 </w:t>
            </w:r>
            <w:r>
              <w:t xml:space="preserve">VBECS retrieves the most recent crossmatch result (original or </w:t>
            </w:r>
            <w:r>
              <w:lastRenderedPageBreak/>
              <w:t>repeat) to determine unit availability and compatibility status to allow printing the Caution Tag and/or BTRF and to allow the unit to be issued.</w:t>
            </w:r>
          </w:p>
          <w:p w:rsidR="001710A2" w:rsidRDefault="001710A2" w:rsidP="001710A2">
            <w:pPr>
              <w:pStyle w:val="NotesText"/>
            </w:pPr>
          </w:p>
          <w:p w:rsidR="00AE36CC" w:rsidRPr="00496E08" w:rsidRDefault="00AE36CC" w:rsidP="00AE36CC">
            <w:pPr>
              <w:pStyle w:val="NotesText"/>
              <w:rPr>
                <w:szCs w:val="18"/>
              </w:rPr>
            </w:pPr>
            <w:r w:rsidRPr="00496E08">
              <w:rPr>
                <w:rFonts w:cs="Arial"/>
                <w:vanish/>
                <w:szCs w:val="18"/>
              </w:rPr>
              <w:t>BR_43.20</w:t>
            </w:r>
            <w:r w:rsidRPr="00496E08">
              <w:rPr>
                <w:vanish/>
                <w:szCs w:val="18"/>
              </w:rPr>
              <w:t xml:space="preserve"> </w:t>
            </w:r>
            <w:r w:rsidRPr="00496E08">
              <w:rPr>
                <w:szCs w:val="18"/>
              </w:rPr>
              <w:t>When no valid ABO exists for the patient, the user may select components, including autologous units:</w:t>
            </w:r>
          </w:p>
          <w:p w:rsidR="00AE36CC" w:rsidRPr="00496E08" w:rsidRDefault="00AE36CC" w:rsidP="00AE36CC">
            <w:pPr>
              <w:pStyle w:val="NotesTextBullet"/>
              <w:rPr>
                <w:szCs w:val="18"/>
              </w:rPr>
            </w:pPr>
            <w:r w:rsidRPr="00496E08">
              <w:rPr>
                <w:szCs w:val="18"/>
              </w:rPr>
              <w:t>For RBC order</w:t>
            </w:r>
            <w:r>
              <w:rPr>
                <w:szCs w:val="18"/>
              </w:rPr>
              <w:t xml:space="preserve"> only: G</w:t>
            </w:r>
            <w:r w:rsidRPr="00496E08">
              <w:rPr>
                <w:szCs w:val="18"/>
              </w:rPr>
              <w:t xml:space="preserve">roup O, </w:t>
            </w:r>
            <w:r>
              <w:rPr>
                <w:szCs w:val="18"/>
              </w:rPr>
              <w:t>Rh positive or O Rh negative</w:t>
            </w:r>
            <w:r w:rsidRPr="00496E08">
              <w:rPr>
                <w:szCs w:val="18"/>
              </w:rPr>
              <w:t>.</w:t>
            </w:r>
          </w:p>
          <w:p w:rsidR="00AE36CC" w:rsidRPr="00496E08" w:rsidRDefault="00AE36CC" w:rsidP="00AE36CC">
            <w:pPr>
              <w:pStyle w:val="NotesTextBullet"/>
              <w:rPr>
                <w:szCs w:val="18"/>
              </w:rPr>
            </w:pPr>
            <w:r w:rsidRPr="00496E08">
              <w:rPr>
                <w:szCs w:val="18"/>
              </w:rPr>
              <w:t>For FFP order</w:t>
            </w:r>
            <w:r>
              <w:rPr>
                <w:szCs w:val="18"/>
              </w:rPr>
              <w:t xml:space="preserve"> only: G</w:t>
            </w:r>
            <w:r w:rsidRPr="00496E08">
              <w:rPr>
                <w:szCs w:val="18"/>
              </w:rPr>
              <w:t>roup AB, Rh positive or Rh negative</w:t>
            </w:r>
            <w:r>
              <w:rPr>
                <w:szCs w:val="18"/>
              </w:rPr>
              <w:t>, or not specified</w:t>
            </w:r>
            <w:r w:rsidRPr="00496E08">
              <w:rPr>
                <w:szCs w:val="18"/>
              </w:rPr>
              <w:t>.</w:t>
            </w:r>
          </w:p>
          <w:p w:rsidR="00AE36CC" w:rsidRDefault="00AE36CC" w:rsidP="00AE36CC">
            <w:pPr>
              <w:pStyle w:val="NotesTextBullet"/>
              <w:rPr>
                <w:szCs w:val="18"/>
              </w:rPr>
            </w:pPr>
            <w:r w:rsidRPr="00496E08">
              <w:rPr>
                <w:szCs w:val="18"/>
              </w:rPr>
              <w:t xml:space="preserve">For PLT, </w:t>
            </w:r>
            <w:r w:rsidR="00E037D2">
              <w:rPr>
                <w:szCs w:val="18"/>
              </w:rPr>
              <w:t xml:space="preserve">or Cryo </w:t>
            </w:r>
            <w:r>
              <w:rPr>
                <w:szCs w:val="18"/>
              </w:rPr>
              <w:t>order: A</w:t>
            </w:r>
            <w:r w:rsidRPr="00496E08">
              <w:rPr>
                <w:szCs w:val="18"/>
              </w:rPr>
              <w:t>ll available units are issuable.</w:t>
            </w:r>
          </w:p>
          <w:p w:rsidR="00E037D2" w:rsidRDefault="00E037D2" w:rsidP="00AE36CC">
            <w:pPr>
              <w:pStyle w:val="NotesTextBullet"/>
              <w:rPr>
                <w:szCs w:val="18"/>
              </w:rPr>
            </w:pPr>
            <w:r>
              <w:rPr>
                <w:szCs w:val="18"/>
              </w:rPr>
              <w:t>For OTHER order: All available units are issuable when the optional crossmatch has not been selected. When the optional crossmatch has been selected, OTHER are handled as RBC.</w:t>
            </w:r>
          </w:p>
          <w:p w:rsidR="00AE36CC" w:rsidRPr="00496E08" w:rsidRDefault="00AE36CC" w:rsidP="00AE36CC">
            <w:pPr>
              <w:pStyle w:val="NotesTextBullet"/>
              <w:rPr>
                <w:szCs w:val="18"/>
              </w:rPr>
            </w:pPr>
            <w:r>
              <w:rPr>
                <w:szCs w:val="18"/>
              </w:rPr>
              <w:t>WHOLE BLOOD IS NOT SELECTABLE.</w:t>
            </w:r>
          </w:p>
          <w:p w:rsidR="0006424F" w:rsidRDefault="0006424F" w:rsidP="001710A2">
            <w:pPr>
              <w:pStyle w:val="NotesText"/>
              <w:rPr>
                <w:szCs w:val="18"/>
              </w:rPr>
            </w:pPr>
          </w:p>
          <w:p w:rsidR="001710A2" w:rsidRPr="00496E08" w:rsidRDefault="00496E08" w:rsidP="001710A2">
            <w:pPr>
              <w:pStyle w:val="NotesText"/>
              <w:rPr>
                <w:szCs w:val="18"/>
              </w:rPr>
            </w:pPr>
            <w:r w:rsidRPr="00496E08">
              <w:rPr>
                <w:vanish/>
                <w:szCs w:val="18"/>
              </w:rPr>
              <w:t xml:space="preserve">BR_43.13 </w:t>
            </w:r>
            <w:r w:rsidRPr="00496E08">
              <w:rPr>
                <w:szCs w:val="18"/>
              </w:rPr>
              <w:t xml:space="preserve">When a user selects a Caution Tag and/or BTRF from the Blood Unit Menu and the units are assigned or </w:t>
            </w:r>
            <w:r w:rsidR="00A2206D">
              <w:rPr>
                <w:szCs w:val="18"/>
              </w:rPr>
              <w:t xml:space="preserve">have been assigned and/or </w:t>
            </w:r>
            <w:r w:rsidRPr="00496E08">
              <w:rPr>
                <w:szCs w:val="18"/>
              </w:rPr>
              <w:t>crossmatched to multiple patients, the selected form may be printed for only one patient during that session. The message will display that the form cannot be printed again for another assigned patient. VBECS must be closed and re-opened to print a tag for one of the other patients. If you need to print tags on the same unit for multiple assigned patients, access the option from the Patient Menu.</w:t>
            </w:r>
            <w:r w:rsidR="00A2206D">
              <w:rPr>
                <w:szCs w:val="18"/>
              </w:rPr>
              <w:t xml:space="preserve"> </w:t>
            </w:r>
            <w:r w:rsidR="00A2206D" w:rsidRPr="00A2206D">
              <w:rPr>
                <w:vanish/>
                <w:szCs w:val="18"/>
              </w:rPr>
              <w:t>INC000000997296</w:t>
            </w:r>
          </w:p>
          <w:p w:rsidR="00496E08" w:rsidRDefault="00496E08" w:rsidP="001710A2">
            <w:pPr>
              <w:pStyle w:val="NotesText"/>
            </w:pPr>
          </w:p>
          <w:p w:rsidR="001710A2" w:rsidRDefault="001710A2" w:rsidP="001710A2">
            <w:pPr>
              <w:pStyle w:val="NotesText"/>
            </w:pPr>
            <w:r>
              <w:rPr>
                <w:rFonts w:cs="Arial"/>
                <w:vanish/>
              </w:rPr>
              <w:t xml:space="preserve">BR_43.01 </w:t>
            </w:r>
            <w:r>
              <w:t>When VBECS searches for units available for a patient name, it makes available for printing only units considered available for issue (standard processing or emergency issue).</w:t>
            </w:r>
          </w:p>
          <w:p w:rsidR="001710A2" w:rsidRDefault="001710A2" w:rsidP="001710A2">
            <w:pPr>
              <w:pStyle w:val="NotesText"/>
            </w:pPr>
          </w:p>
          <w:p w:rsidR="002A21AE" w:rsidRDefault="001710A2" w:rsidP="001710A2">
            <w:pPr>
              <w:pStyle w:val="NotesText"/>
            </w:pPr>
            <w:r>
              <w:t xml:space="preserve">See </w:t>
            </w:r>
            <w:r>
              <w:fldChar w:fldCharType="begin"/>
            </w:r>
            <w:r>
              <w:instrText xml:space="preserve"> REF _Ref170004931 \h </w:instrText>
            </w:r>
            <w:r>
              <w:fldChar w:fldCharType="separate"/>
            </w:r>
            <w:r w:rsidR="005F38BC">
              <w:t xml:space="preserve">Appendix </w:t>
            </w:r>
            <w:r w:rsidR="005F38BC">
              <w:rPr>
                <w:noProof/>
              </w:rPr>
              <w:t>B</w:t>
            </w:r>
            <w:r>
              <w:fldChar w:fldCharType="end"/>
            </w:r>
            <w:r>
              <w:t xml:space="preserve">: </w:t>
            </w:r>
            <w:r>
              <w:fldChar w:fldCharType="begin"/>
            </w:r>
            <w:r>
              <w:instrText xml:space="preserve"> REF _Ref317762597 \h </w:instrText>
            </w:r>
            <w:r>
              <w:fldChar w:fldCharType="separate"/>
            </w:r>
            <w:r w:rsidR="005F38BC">
              <w:t xml:space="preserve">Table </w:t>
            </w:r>
            <w:r w:rsidR="005F38BC">
              <w:rPr>
                <w:noProof/>
              </w:rPr>
              <w:t>24</w:t>
            </w:r>
            <w:r w:rsidR="005F38BC">
              <w:t xml:space="preserve">: </w:t>
            </w:r>
            <w:r w:rsidR="005F38BC">
              <w:rPr>
                <w:vanish/>
              </w:rPr>
              <w:t xml:space="preserve">TT_3.05 </w:t>
            </w:r>
            <w:r w:rsidR="005F38BC">
              <w:t>Rules for Electronic and Serologic Crossmatch</w:t>
            </w:r>
            <w:r>
              <w:fldChar w:fldCharType="end"/>
            </w:r>
            <w:r>
              <w:rPr>
                <w:vanish/>
              </w:rPr>
              <w:t>and BR_5.03</w:t>
            </w:r>
            <w:r>
              <w:t xml:space="preserve">. The user may select only active units and those not in an inactive or final status. See </w:t>
            </w:r>
            <w:r>
              <w:fldChar w:fldCharType="begin"/>
            </w:r>
            <w:r>
              <w:instrText xml:space="preserve"> REF _Ref170004931 \h </w:instrText>
            </w:r>
            <w:r>
              <w:fldChar w:fldCharType="separate"/>
            </w:r>
            <w:r w:rsidR="005F38BC">
              <w:t xml:space="preserve">Appendix </w:t>
            </w:r>
            <w:r w:rsidR="005F38BC">
              <w:rPr>
                <w:noProof/>
              </w:rPr>
              <w:t>B</w:t>
            </w:r>
            <w:r>
              <w:fldChar w:fldCharType="end"/>
            </w:r>
            <w:r>
              <w:t xml:space="preserve">: </w:t>
            </w:r>
            <w:r>
              <w:fldChar w:fldCharType="begin"/>
            </w:r>
            <w:r>
              <w:instrText xml:space="preserve"> REF _Ref126467968 \h </w:instrText>
            </w:r>
            <w:r>
              <w:fldChar w:fldCharType="separate"/>
            </w:r>
            <w:r w:rsidR="005F38BC">
              <w:t xml:space="preserve">Figure </w:t>
            </w:r>
            <w:r w:rsidR="005F38BC">
              <w:rPr>
                <w:noProof/>
              </w:rPr>
              <w:t>138</w:t>
            </w:r>
            <w:r>
              <w:fldChar w:fldCharType="end"/>
            </w:r>
            <w:r>
              <w:t xml:space="preserve">: </w:t>
            </w:r>
            <w:r>
              <w:rPr>
                <w:vanish/>
                <w:szCs w:val="18"/>
              </w:rPr>
              <w:t xml:space="preserve">TT_27.01 </w:t>
            </w:r>
            <w:r>
              <w:t>Unit Status Flowchart.</w:t>
            </w:r>
          </w:p>
        </w:tc>
      </w:tr>
      <w:tr w:rsidR="002A21AE">
        <w:tblPrEx>
          <w:tblCellMar>
            <w:top w:w="0" w:type="dxa"/>
            <w:bottom w:w="0" w:type="dxa"/>
          </w:tblCellMar>
        </w:tblPrEx>
        <w:tc>
          <w:tcPr>
            <w:tcW w:w="3240" w:type="dxa"/>
          </w:tcPr>
          <w:p w:rsidR="002A21AE" w:rsidRDefault="002A21AE">
            <w:pPr>
              <w:pStyle w:val="TableTextNumbers"/>
            </w:pPr>
            <w:r>
              <w:lastRenderedPageBreak/>
              <w:t>Acknowledge the selected patient and blood units for printing.</w:t>
            </w:r>
          </w:p>
          <w:p w:rsidR="002A21AE" w:rsidRDefault="002A21AE">
            <w:pPr>
              <w:pStyle w:val="TableTextNumbersContinued"/>
              <w:rPr>
                <w:b/>
                <w:bCs/>
              </w:rPr>
            </w:pPr>
          </w:p>
          <w:p w:rsidR="002A21AE" w:rsidRDefault="002A21AE">
            <w:pPr>
              <w:pStyle w:val="TableTextNumbersContinued"/>
            </w:pPr>
            <w:r>
              <w:t xml:space="preserve">Click </w:t>
            </w:r>
            <w:r>
              <w:rPr>
                <w:b/>
              </w:rPr>
              <w:t>Print Unit Caution Tag</w:t>
            </w:r>
            <w:r>
              <w:t xml:space="preserve">, </w:t>
            </w:r>
            <w:r>
              <w:rPr>
                <w:b/>
              </w:rPr>
              <w:t>Print Transfusion Record Form</w:t>
            </w:r>
            <w:r>
              <w:t xml:space="preserve">, or </w:t>
            </w:r>
            <w:r>
              <w:rPr>
                <w:b/>
              </w:rPr>
              <w:t>Print Both</w:t>
            </w:r>
            <w:r>
              <w:t>.</w:t>
            </w:r>
          </w:p>
          <w:p w:rsidR="002A21AE" w:rsidRDefault="002A21AE">
            <w:pPr>
              <w:pStyle w:val="TableTextNumbersContinued"/>
            </w:pPr>
          </w:p>
          <w:p w:rsidR="002A21AE" w:rsidRDefault="002A21AE">
            <w:pPr>
              <w:pStyle w:val="TableTextNumbersContinued"/>
            </w:pPr>
            <w:r>
              <w:t xml:space="preserve">Click </w:t>
            </w:r>
            <w:r>
              <w:rPr>
                <w:b/>
              </w:rPr>
              <w:t>OK</w:t>
            </w:r>
            <w:r>
              <w:t xml:space="preserve"> to confirm and exit.</w:t>
            </w:r>
          </w:p>
        </w:tc>
        <w:tc>
          <w:tcPr>
            <w:tcW w:w="6120" w:type="dxa"/>
          </w:tcPr>
          <w:p w:rsidR="002A21AE" w:rsidRDefault="002A21AE">
            <w:pPr>
              <w:pStyle w:val="TableTextBullet"/>
            </w:pPr>
            <w:r>
              <w:t>Displays an option to print the Caution Tag and BTRF for units with a patient assignment.</w:t>
            </w:r>
          </w:p>
          <w:p w:rsidR="002A21AE" w:rsidRDefault="002A21AE">
            <w:pPr>
              <w:pStyle w:val="TableTextBullet"/>
            </w:pPr>
            <w:r>
              <w:rPr>
                <w:rFonts w:cs="Arial"/>
                <w:vanish/>
              </w:rPr>
              <w:t xml:space="preserve">BR_43.05 </w:t>
            </w:r>
            <w:r>
              <w:t xml:space="preserve">Generates a separate Caution Tag and BTRF for each blood unit. </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1062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20" name="Lin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1"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Dn&#10;gw5rFgIAAC0EAAAOAAAAAAAAAAAAAAAAAC4CAABkcnMvZTJvRG9jLnhtbFBLAQItABQABgAIAAAA&#10;IQAXTzAS2wAAAAgBAAAPAAAAAAAAAAAAAAAAAHAEAABkcnMvZG93bnJldi54bWxQSwUGAAAAAAQA&#10;BADzAAAAeAU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BR_43.04 </w:t>
            </w:r>
            <w:r>
              <w:t xml:space="preserve">When a Caution Tag or BTRF is printed for an emergency-issued unit, “Emergency Issue” is included on the form. </w:t>
            </w:r>
          </w:p>
          <w:p w:rsidR="002A21AE" w:rsidRDefault="002A21AE">
            <w:pPr>
              <w:pStyle w:val="NotesText"/>
            </w:pPr>
          </w:p>
          <w:p w:rsidR="002A21AE" w:rsidRDefault="002A21AE">
            <w:pPr>
              <w:pStyle w:val="NotesText"/>
            </w:pPr>
            <w:r>
              <w:t>The recipient ABO/Rh prints as “</w:t>
            </w:r>
            <w:r w:rsidR="00F81F1E">
              <w:t>Unk</w:t>
            </w:r>
            <w:r>
              <w:t>”</w:t>
            </w:r>
            <w:r w:rsidR="00F81F1E">
              <w:t xml:space="preserve"> or “Unknown”</w:t>
            </w:r>
            <w:r>
              <w:t xml:space="preserve"> during emergency issue when no current specimen results are on file; VBECS may </w:t>
            </w:r>
            <w:r>
              <w:rPr>
                <w:iCs/>
              </w:rPr>
              <w:t>not</w:t>
            </w:r>
            <w:r>
              <w:t xml:space="preserve"> use a historic record blood type (from any source) for the typing printed on the tag/form.</w:t>
            </w:r>
          </w:p>
          <w:p w:rsidR="002A21AE" w:rsidRDefault="002A21AE">
            <w:pPr>
              <w:pStyle w:val="NotesText"/>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5"/>
              <w:gridCol w:w="2705"/>
            </w:tblGrid>
            <w:tr w:rsidR="002A21AE">
              <w:trPr>
                <w:tblHeader/>
              </w:trPr>
              <w:tc>
                <w:tcPr>
                  <w:tcW w:w="2335" w:type="dxa"/>
                  <w:shd w:val="clear" w:color="auto" w:fill="B3B3B3"/>
                  <w:vAlign w:val="bottom"/>
                </w:tcPr>
                <w:p w:rsidR="002A21AE" w:rsidRDefault="002A21AE">
                  <w:pPr>
                    <w:pStyle w:val="TableText"/>
                    <w:jc w:val="center"/>
                    <w:rPr>
                      <w:b/>
                    </w:rPr>
                  </w:pPr>
                  <w:r>
                    <w:rPr>
                      <w:b/>
                    </w:rPr>
                    <w:t>Compatibility Interpretation</w:t>
                  </w:r>
                </w:p>
              </w:tc>
              <w:tc>
                <w:tcPr>
                  <w:tcW w:w="2705" w:type="dxa"/>
                  <w:shd w:val="clear" w:color="auto" w:fill="B3B3B3"/>
                  <w:vAlign w:val="bottom"/>
                </w:tcPr>
                <w:p w:rsidR="002A21AE" w:rsidRDefault="002A21AE">
                  <w:pPr>
                    <w:pStyle w:val="TableText"/>
                    <w:jc w:val="center"/>
                    <w:rPr>
                      <w:b/>
                    </w:rPr>
                  </w:pPr>
                  <w:r>
                    <w:rPr>
                      <w:b/>
                    </w:rPr>
                    <w:t>Text on BTRF</w:t>
                  </w:r>
                </w:p>
              </w:tc>
            </w:tr>
            <w:tr w:rsidR="002A21AE">
              <w:tc>
                <w:tcPr>
                  <w:tcW w:w="2335" w:type="dxa"/>
                  <w:vAlign w:val="bottom"/>
                </w:tcPr>
                <w:p w:rsidR="002A21AE" w:rsidRDefault="002A21AE">
                  <w:pPr>
                    <w:pStyle w:val="TableText"/>
                  </w:pPr>
                  <w:r>
                    <w:t>Crossmatch</w:t>
                  </w:r>
                </w:p>
              </w:tc>
              <w:tc>
                <w:tcPr>
                  <w:tcW w:w="2705" w:type="dxa"/>
                  <w:vAlign w:val="bottom"/>
                </w:tcPr>
                <w:p w:rsidR="002A21AE" w:rsidRDefault="000664AE">
                  <w:pPr>
                    <w:pStyle w:val="TableText"/>
                  </w:pPr>
                  <w:r>
                    <w:t>TESTING INCOMPLETE</w:t>
                  </w:r>
                </w:p>
              </w:tc>
            </w:tr>
            <w:tr w:rsidR="002A21AE">
              <w:tc>
                <w:tcPr>
                  <w:tcW w:w="2335" w:type="dxa"/>
                  <w:vAlign w:val="bottom"/>
                </w:tcPr>
                <w:p w:rsidR="002A21AE" w:rsidRDefault="002A21AE">
                  <w:pPr>
                    <w:pStyle w:val="TableText"/>
                  </w:pPr>
                  <w:r>
                    <w:t>Crossmatch Not Required</w:t>
                  </w:r>
                </w:p>
              </w:tc>
              <w:tc>
                <w:tcPr>
                  <w:tcW w:w="2705" w:type="dxa"/>
                  <w:vAlign w:val="bottom"/>
                </w:tcPr>
                <w:p w:rsidR="002A21AE" w:rsidRDefault="002A21AE">
                  <w:pPr>
                    <w:pStyle w:val="TableText"/>
                  </w:pPr>
                  <w:r>
                    <w:t>Not Required</w:t>
                  </w:r>
                </w:p>
              </w:tc>
            </w:tr>
          </w:tbl>
          <w:p w:rsidR="002A21AE" w:rsidRDefault="002A21AE">
            <w:pPr>
              <w:pStyle w:val="NotesText"/>
            </w:pPr>
          </w:p>
          <w:p w:rsidR="002A21AE" w:rsidRDefault="002A21AE">
            <w:pPr>
              <w:pStyle w:val="NotesText"/>
            </w:pPr>
            <w:r>
              <w:t>VBECS prints “Emergency Issue” in the TR section of the form.</w:t>
            </w:r>
          </w:p>
          <w:p w:rsidR="002A21AE" w:rsidRDefault="002A21AE">
            <w:pPr>
              <w:pStyle w:val="NotesText"/>
              <w:ind w:left="0"/>
            </w:pPr>
          </w:p>
          <w:p w:rsidR="002A21AE" w:rsidRDefault="002A21AE">
            <w:pPr>
              <w:pStyle w:val="NotesText"/>
            </w:pPr>
            <w:r>
              <w:rPr>
                <w:rFonts w:cs="Arial"/>
                <w:vanish/>
              </w:rPr>
              <w:t xml:space="preserve">BR_43.03 </w:t>
            </w:r>
            <w:r>
              <w:t>The text that appears in the compatibility section is based on the crossmatch interpretation applied.</w:t>
            </w:r>
          </w:p>
          <w:p w:rsidR="002A21AE" w:rsidRDefault="002A21AE">
            <w:pPr>
              <w:pStyle w:val="NotesText"/>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5"/>
              <w:gridCol w:w="2705"/>
            </w:tblGrid>
            <w:tr w:rsidR="002A21AE">
              <w:trPr>
                <w:tblHeader/>
              </w:trPr>
              <w:tc>
                <w:tcPr>
                  <w:tcW w:w="2335" w:type="dxa"/>
                  <w:shd w:val="clear" w:color="auto" w:fill="B3B3B3"/>
                  <w:vAlign w:val="bottom"/>
                </w:tcPr>
                <w:p w:rsidR="002A21AE" w:rsidRDefault="002A21AE">
                  <w:pPr>
                    <w:pStyle w:val="TableText"/>
                    <w:jc w:val="center"/>
                    <w:rPr>
                      <w:b/>
                    </w:rPr>
                  </w:pPr>
                  <w:r>
                    <w:rPr>
                      <w:b/>
                    </w:rPr>
                    <w:t>Compatibility Interpretation</w:t>
                  </w:r>
                </w:p>
              </w:tc>
              <w:tc>
                <w:tcPr>
                  <w:tcW w:w="2705" w:type="dxa"/>
                  <w:shd w:val="clear" w:color="auto" w:fill="B3B3B3"/>
                  <w:vAlign w:val="bottom"/>
                </w:tcPr>
                <w:p w:rsidR="002A21AE" w:rsidRDefault="002A21AE">
                  <w:pPr>
                    <w:pStyle w:val="TableText"/>
                    <w:jc w:val="center"/>
                    <w:rPr>
                      <w:b/>
                    </w:rPr>
                  </w:pPr>
                  <w:r>
                    <w:rPr>
                      <w:b/>
                    </w:rPr>
                    <w:t>Text on BTRF</w:t>
                  </w:r>
                </w:p>
              </w:tc>
            </w:tr>
            <w:tr w:rsidR="002A21AE">
              <w:tc>
                <w:tcPr>
                  <w:tcW w:w="2335" w:type="dxa"/>
                  <w:vAlign w:val="bottom"/>
                </w:tcPr>
                <w:p w:rsidR="002A21AE" w:rsidRDefault="002A21AE">
                  <w:pPr>
                    <w:pStyle w:val="TableText"/>
                  </w:pPr>
                  <w:r>
                    <w:t>Crossmatch Compatible</w:t>
                  </w:r>
                </w:p>
              </w:tc>
              <w:tc>
                <w:tcPr>
                  <w:tcW w:w="2705" w:type="dxa"/>
                  <w:vAlign w:val="bottom"/>
                </w:tcPr>
                <w:p w:rsidR="002A21AE" w:rsidRDefault="002A21AE">
                  <w:pPr>
                    <w:pStyle w:val="TableText"/>
                  </w:pPr>
                  <w:r>
                    <w:t>Compatible</w:t>
                  </w:r>
                </w:p>
              </w:tc>
            </w:tr>
            <w:tr w:rsidR="002A21AE">
              <w:tc>
                <w:tcPr>
                  <w:tcW w:w="2335" w:type="dxa"/>
                  <w:vAlign w:val="bottom"/>
                </w:tcPr>
                <w:p w:rsidR="002A21AE" w:rsidRDefault="002A21AE">
                  <w:pPr>
                    <w:pStyle w:val="TableText"/>
                  </w:pPr>
                  <w:r>
                    <w:t>Compatible: Electronically Crossmatched</w:t>
                  </w:r>
                </w:p>
              </w:tc>
              <w:tc>
                <w:tcPr>
                  <w:tcW w:w="2705" w:type="dxa"/>
                  <w:vAlign w:val="bottom"/>
                </w:tcPr>
                <w:p w:rsidR="002A21AE" w:rsidRDefault="002A21AE">
                  <w:pPr>
                    <w:pStyle w:val="TableText"/>
                  </w:pPr>
                  <w:r>
                    <w:t>Compatible</w:t>
                  </w:r>
                </w:p>
              </w:tc>
            </w:tr>
            <w:tr w:rsidR="002A21AE">
              <w:tc>
                <w:tcPr>
                  <w:tcW w:w="2335" w:type="dxa"/>
                  <w:vAlign w:val="bottom"/>
                </w:tcPr>
                <w:p w:rsidR="002A21AE" w:rsidRDefault="002A21AE">
                  <w:pPr>
                    <w:pStyle w:val="TableText"/>
                  </w:pPr>
                  <w:r>
                    <w:t>Crossmatch Not Required</w:t>
                  </w:r>
                </w:p>
              </w:tc>
              <w:tc>
                <w:tcPr>
                  <w:tcW w:w="2705" w:type="dxa"/>
                  <w:vAlign w:val="bottom"/>
                </w:tcPr>
                <w:p w:rsidR="002A21AE" w:rsidRDefault="002A21AE">
                  <w:pPr>
                    <w:pStyle w:val="TableText"/>
                  </w:pPr>
                  <w:r>
                    <w:t>Not Applicable</w:t>
                  </w:r>
                </w:p>
              </w:tc>
            </w:tr>
            <w:tr w:rsidR="002A21AE">
              <w:tc>
                <w:tcPr>
                  <w:tcW w:w="2335" w:type="dxa"/>
                  <w:vAlign w:val="bottom"/>
                </w:tcPr>
                <w:p w:rsidR="002A21AE" w:rsidRDefault="002A21AE">
                  <w:pPr>
                    <w:pStyle w:val="TableText"/>
                  </w:pPr>
                  <w:r>
                    <w:t>Crossmatch Incompatible: Give only with Medical Director Approval</w:t>
                  </w:r>
                </w:p>
              </w:tc>
              <w:tc>
                <w:tcPr>
                  <w:tcW w:w="2705" w:type="dxa"/>
                  <w:vAlign w:val="bottom"/>
                </w:tcPr>
                <w:p w:rsidR="002A21AE" w:rsidRDefault="002A21AE">
                  <w:pPr>
                    <w:pStyle w:val="TableText"/>
                  </w:pPr>
                  <w:r>
                    <w:t>Incompatible: Given with Medical Director Approval</w:t>
                  </w:r>
                </w:p>
              </w:tc>
            </w:tr>
          </w:tbl>
          <w:p w:rsidR="002A21AE" w:rsidRDefault="002A21AE">
            <w:pPr>
              <w:pStyle w:val="NotesText"/>
              <w:tabs>
                <w:tab w:val="left" w:pos="4140"/>
              </w:tabs>
              <w:ind w:left="0"/>
            </w:pPr>
          </w:p>
        </w:tc>
      </w:tr>
      <w:tr w:rsidR="002A21AE">
        <w:tblPrEx>
          <w:tblCellMar>
            <w:top w:w="0" w:type="dxa"/>
            <w:bottom w:w="0" w:type="dxa"/>
          </w:tblCellMar>
        </w:tblPrEx>
        <w:tc>
          <w:tcPr>
            <w:tcW w:w="3240" w:type="dxa"/>
          </w:tcPr>
          <w:p w:rsidR="002A21AE" w:rsidRDefault="002A21AE">
            <w:pPr>
              <w:pStyle w:val="TableTextNumbers"/>
            </w:pPr>
            <w:r>
              <w:lastRenderedPageBreak/>
              <w:t xml:space="preserve">Print and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rsidR="002A21AE" w:rsidRDefault="002A21AE">
            <w:pPr>
              <w:pStyle w:val="TableText"/>
            </w:pPr>
          </w:p>
        </w:tc>
      </w:tr>
    </w:tbl>
    <w:p w:rsidR="00CD3C64" w:rsidRDefault="00CD3C64" w:rsidP="00CD3C64">
      <w:pPr>
        <w:pStyle w:val="Caption"/>
      </w:pPr>
      <w:bookmarkStart w:id="419" w:name="_Ref127006080"/>
      <w:r>
        <w:t xml:space="preserve">Figure </w:t>
      </w:r>
      <w:r w:rsidR="00C17F7C">
        <w:fldChar w:fldCharType="begin"/>
      </w:r>
      <w:r w:rsidR="00C17F7C">
        <w:instrText xml:space="preserve"> SEQ Figure \* ARABIC </w:instrText>
      </w:r>
      <w:r w:rsidR="00C17F7C">
        <w:fldChar w:fldCharType="separate"/>
      </w:r>
      <w:r w:rsidR="005F38BC">
        <w:rPr>
          <w:noProof/>
        </w:rPr>
        <w:t>103</w:t>
      </w:r>
      <w:r w:rsidR="00C17F7C">
        <w:fldChar w:fldCharType="end"/>
      </w:r>
      <w:bookmarkEnd w:id="419"/>
      <w:r>
        <w:t>: Print Unit Caution Tag and Transfusion Record Form</w:t>
      </w:r>
    </w:p>
    <w:p w:rsidR="00CF47D5" w:rsidRDefault="00634BFC" w:rsidP="00936CE0">
      <w:pPr>
        <w:pStyle w:val="BodyText"/>
        <w:rPr>
          <w:rStyle w:val="BullhornChar"/>
        </w:rPr>
      </w:pPr>
      <w:r>
        <w:rPr>
          <w:rFonts w:ascii="Webdings" w:hAnsi="Webdings"/>
          <w:noProof/>
          <w:sz w:val="40"/>
          <w:szCs w:val="24"/>
        </w:rPr>
        <w:drawing>
          <wp:inline distT="0" distB="0" distL="0" distR="0">
            <wp:extent cx="3657600" cy="27051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657600" cy="2705100"/>
                    </a:xfrm>
                    <a:prstGeom prst="rect">
                      <a:avLst/>
                    </a:prstGeom>
                    <a:noFill/>
                    <a:ln>
                      <a:noFill/>
                    </a:ln>
                  </pic:spPr>
                </pic:pic>
              </a:graphicData>
            </a:graphic>
          </wp:inline>
        </w:drawing>
      </w:r>
    </w:p>
    <w:p w:rsidR="002A21AE" w:rsidRDefault="00CF47D5" w:rsidP="00CD3C64">
      <w:pPr>
        <w:pStyle w:val="BodyText"/>
      </w:pPr>
      <w:r>
        <w:rPr>
          <w:rStyle w:val="BullhornChar"/>
        </w:rPr>
        <w:br w:type="page"/>
      </w:r>
      <w:r w:rsidR="00896F17" w:rsidRPr="00896F17">
        <w:rPr>
          <w:rStyle w:val="BullhornChar"/>
        </w:rPr>
        <w:lastRenderedPageBreak/>
        <w:t></w:t>
      </w:r>
      <w:r w:rsidR="00896F17" w:rsidRPr="00896F17">
        <w:rPr>
          <w:rStyle w:val="Heading4Char"/>
        </w:rPr>
        <w:t xml:space="preserve"> </w:t>
      </w:r>
      <w:r w:rsidR="002A21AE" w:rsidRPr="00896F17">
        <w:rPr>
          <w:rStyle w:val="Heading4Char"/>
        </w:rPr>
        <w:t>Alerts</w:t>
      </w:r>
    </w:p>
    <w:p w:rsidR="002A21AE" w:rsidRDefault="002A21AE">
      <w:pPr>
        <w:pStyle w:val="Caption"/>
      </w:pPr>
      <w:bookmarkStart w:id="420" w:name="_Toc97523620"/>
      <w:bookmarkStart w:id="421" w:name="_Toc97527590"/>
      <w:bookmarkStart w:id="422" w:name="_Ref126504208"/>
      <w:r>
        <w:t xml:space="preserve">Table </w:t>
      </w:r>
      <w:r>
        <w:fldChar w:fldCharType="begin"/>
      </w:r>
      <w:r>
        <w:instrText xml:space="preserve"> SEQ Table \* ARABIC </w:instrText>
      </w:r>
      <w:r>
        <w:fldChar w:fldCharType="separate"/>
      </w:r>
      <w:r w:rsidR="005F38BC">
        <w:rPr>
          <w:noProof/>
        </w:rPr>
        <w:t>9</w:t>
      </w:r>
      <w:r>
        <w:fldChar w:fldCharType="end"/>
      </w:r>
      <w:bookmarkEnd w:id="422"/>
      <w:r>
        <w:t xml:space="preserve">: Alerts That May Occur in </w:t>
      </w:r>
      <w:r w:rsidR="005D42CA">
        <w:t>Print Unit Caution Tag &amp; Transfusion Record Form</w:t>
      </w:r>
      <w:r>
        <w:t xml:space="preserve"> (Step 3)</w:t>
      </w:r>
      <w:bookmarkEnd w:id="420"/>
      <w:bookmarkEnd w:id="421"/>
      <w:r>
        <w:fldChar w:fldCharType="begin"/>
      </w:r>
      <w:r>
        <w:instrText xml:space="preserve"> XE </w:instrText>
      </w:r>
      <w:r w:rsidR="00FA7E65">
        <w:instrText>“</w:instrText>
      </w:r>
      <w:r>
        <w:instrText xml:space="preserve">Tables:Alerts That May Occur in </w:instrText>
      </w:r>
      <w:r w:rsidR="005D42CA">
        <w:instrText>Print Unit Caution Tag &amp; Transfusion Record Form</w:instrText>
      </w:r>
      <w:r w:rsidR="00FA7E65">
        <w:instrText>”</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2"/>
        <w:gridCol w:w="3846"/>
        <w:gridCol w:w="1592"/>
      </w:tblGrid>
      <w:tr w:rsidR="00F77995">
        <w:trPr>
          <w:tblHeader/>
        </w:trPr>
        <w:tc>
          <w:tcPr>
            <w:tcW w:w="5311" w:type="dxa"/>
            <w:shd w:val="clear" w:color="auto" w:fill="B3B3B3"/>
            <w:vAlign w:val="bottom"/>
          </w:tcPr>
          <w:p w:rsidR="000B56AE" w:rsidRDefault="000B56AE">
            <w:pPr>
              <w:pStyle w:val="TableText"/>
              <w:rPr>
                <w:b/>
              </w:rPr>
            </w:pPr>
            <w:r>
              <w:rPr>
                <w:b/>
              </w:rPr>
              <w:t>User Action Step 3: When This Condition Exists …</w:t>
            </w:r>
          </w:p>
        </w:tc>
        <w:tc>
          <w:tcPr>
            <w:tcW w:w="5253" w:type="dxa"/>
            <w:shd w:val="clear" w:color="auto" w:fill="B3B3B3"/>
            <w:vAlign w:val="bottom"/>
          </w:tcPr>
          <w:p w:rsidR="000B56AE" w:rsidRDefault="000B56AE">
            <w:pPr>
              <w:pStyle w:val="TableText"/>
              <w:rPr>
                <w:b/>
              </w:rPr>
            </w:pPr>
            <w:r>
              <w:rPr>
                <w:b/>
              </w:rPr>
              <w:t xml:space="preserve">… </w:t>
            </w:r>
            <w:r w:rsidRPr="00896F17">
              <w:rPr>
                <w:rStyle w:val="BullhornChar"/>
              </w:rPr>
              <w:t></w:t>
            </w:r>
            <w:r>
              <w:rPr>
                <w:rFonts w:ascii="Webdings" w:hAnsi="Webdings"/>
              </w:rPr>
              <w:t></w:t>
            </w:r>
            <w:r>
              <w:rPr>
                <w:b/>
              </w:rPr>
              <w:t>VBECS Emits</w:t>
            </w:r>
            <w:r>
              <w:rPr>
                <w:b/>
                <w:noProof/>
              </w:rPr>
              <w:t xml:space="preserve"> an Audible Alert </w:t>
            </w:r>
            <w:r>
              <w:rPr>
                <w:b/>
              </w:rPr>
              <w:t>and Warns the User:</w:t>
            </w:r>
          </w:p>
        </w:tc>
        <w:tc>
          <w:tcPr>
            <w:tcW w:w="1793" w:type="dxa"/>
            <w:shd w:val="clear" w:color="auto" w:fill="B3B3B3"/>
            <w:vAlign w:val="bottom"/>
          </w:tcPr>
          <w:p w:rsidR="000B56AE" w:rsidRDefault="000B56AE">
            <w:pPr>
              <w:pStyle w:val="TableText"/>
              <w:rPr>
                <w:b/>
              </w:rPr>
            </w:pPr>
            <w:r>
              <w:rPr>
                <w:b/>
              </w:rPr>
              <w:t>User Role</w:t>
            </w:r>
          </w:p>
        </w:tc>
      </w:tr>
      <w:tr w:rsidR="00F77995">
        <w:trPr>
          <w:hidden/>
        </w:trPr>
        <w:tc>
          <w:tcPr>
            <w:tcW w:w="5311" w:type="dxa"/>
            <w:vMerge w:val="restart"/>
            <w:vAlign w:val="center"/>
          </w:tcPr>
          <w:p w:rsidR="000B56AE" w:rsidRDefault="000B56AE">
            <w:pPr>
              <w:pStyle w:val="TableText"/>
            </w:pPr>
            <w:r>
              <w:rPr>
                <w:rFonts w:cs="Arial"/>
                <w:vanish/>
              </w:rPr>
              <w:t xml:space="preserve">BR_43.18 </w:t>
            </w:r>
            <w:r>
              <w:t xml:space="preserve">VBECS determines whether the patient has a calculated or persistent antigen negative requirement (except when selecting autologous units). The selected unit was antigen typed and is positive for the corresponding antigen or is untested for the antigen. </w:t>
            </w:r>
          </w:p>
        </w:tc>
        <w:tc>
          <w:tcPr>
            <w:tcW w:w="5253" w:type="dxa"/>
            <w:vAlign w:val="bottom"/>
          </w:tcPr>
          <w:p w:rsidR="000B56AE" w:rsidRDefault="000B56AE">
            <w:pPr>
              <w:pStyle w:val="TableText"/>
            </w:pPr>
            <w:r>
              <w:t>The patient has a history of a clinically significant antibody, the unit is positive or untested for the corresponding antigen, the user does not have the proper security level. There is no override.</w:t>
            </w:r>
          </w:p>
        </w:tc>
        <w:tc>
          <w:tcPr>
            <w:tcW w:w="1793" w:type="dxa"/>
            <w:vAlign w:val="bottom"/>
          </w:tcPr>
          <w:p w:rsidR="000B56AE" w:rsidRDefault="000B56AE">
            <w:pPr>
              <w:pStyle w:val="TableText"/>
            </w:pPr>
            <w:r>
              <w:t>Enhanced Technologist or below</w:t>
            </w:r>
          </w:p>
        </w:tc>
      </w:tr>
      <w:tr w:rsidR="00F77995">
        <w:tc>
          <w:tcPr>
            <w:tcW w:w="5311" w:type="dxa"/>
            <w:vMerge/>
            <w:vAlign w:val="center"/>
          </w:tcPr>
          <w:p w:rsidR="000B56AE" w:rsidRDefault="000B56AE">
            <w:pPr>
              <w:pStyle w:val="TableText"/>
            </w:pPr>
          </w:p>
        </w:tc>
        <w:tc>
          <w:tcPr>
            <w:tcW w:w="5253" w:type="dxa"/>
            <w:vAlign w:val="bottom"/>
          </w:tcPr>
          <w:p w:rsidR="000B56AE" w:rsidRDefault="000B56AE">
            <w:pPr>
              <w:pStyle w:val="TableText"/>
              <w:rPr>
                <w:noProof/>
              </w:rPr>
            </w:pPr>
            <w:r>
              <w:t xml:space="preserve">The patient has a history of an antibody(s) and the unit ID is positive or untested for the corresponding antigen(s). Continue to print Caution Tag or BTRF? </w:t>
            </w:r>
            <w:r>
              <w:rPr>
                <w:b/>
                <w:bCs/>
              </w:rPr>
              <w:t>No</w:t>
            </w:r>
            <w:r>
              <w:t xml:space="preserve"> clears the screen. </w:t>
            </w:r>
            <w:r>
              <w:rPr>
                <w:b/>
                <w:bCs/>
              </w:rPr>
              <w:t>Yes</w:t>
            </w:r>
            <w:r>
              <w:t xml:space="preserve"> requires a comment and captures details for inclusion in an Exception Report (exception type: Caution Tag or BTRF printed for antigen positive or untested unit).</w:t>
            </w:r>
          </w:p>
        </w:tc>
        <w:tc>
          <w:tcPr>
            <w:tcW w:w="1793" w:type="dxa"/>
            <w:vAlign w:val="bottom"/>
          </w:tcPr>
          <w:p w:rsidR="000B56AE" w:rsidRDefault="000B56AE">
            <w:pPr>
              <w:pStyle w:val="TableText"/>
            </w:pPr>
            <w:r>
              <w:t xml:space="preserve">Lead Technologist </w:t>
            </w:r>
          </w:p>
        </w:tc>
      </w:tr>
      <w:tr w:rsidR="00F77995">
        <w:trPr>
          <w:hidden/>
        </w:trPr>
        <w:tc>
          <w:tcPr>
            <w:tcW w:w="5311" w:type="dxa"/>
            <w:vMerge w:val="restart"/>
            <w:vAlign w:val="center"/>
          </w:tcPr>
          <w:p w:rsidR="000B56AE" w:rsidRDefault="000B56AE">
            <w:pPr>
              <w:pStyle w:val="TableText"/>
            </w:pPr>
            <w:r>
              <w:rPr>
                <w:rFonts w:cs="Arial"/>
                <w:vanish/>
              </w:rPr>
              <w:t xml:space="preserve">BR_43.19 </w:t>
            </w:r>
            <w:r>
              <w:t>When the patient has TRs, VBECS evaluates the selected unit to see whether a TR was satisfied based on system rules</w:t>
            </w:r>
            <w:r>
              <w:rPr>
                <w:vanish/>
                <w:szCs w:val="18"/>
              </w:rPr>
              <w:t>TT_3.04</w:t>
            </w:r>
            <w:r>
              <w:t xml:space="preserve">, including emergency issue. </w:t>
            </w:r>
          </w:p>
        </w:tc>
        <w:tc>
          <w:tcPr>
            <w:tcW w:w="5253" w:type="dxa"/>
            <w:vAlign w:val="bottom"/>
          </w:tcPr>
          <w:p w:rsidR="000B56AE" w:rsidRDefault="000B56AE">
            <w:pPr>
              <w:pStyle w:val="TableText"/>
            </w:pPr>
            <w:r>
              <w:t>The patient has</w:t>
            </w:r>
            <w:r>
              <w:rPr>
                <w:noProof/>
              </w:rPr>
              <w:t xml:space="preserve"> </w:t>
            </w:r>
            <w:r>
              <w:t xml:space="preserve">at least one </w:t>
            </w:r>
            <w:r>
              <w:rPr>
                <w:noProof/>
              </w:rPr>
              <w:t xml:space="preserve">TR that is not satisfied, the user does </w:t>
            </w:r>
            <w:r>
              <w:t>not have the proper security level to print the Caution Tag or BTRF for this unit. Further processing is needed and must be documented in VBECS. There is no override.</w:t>
            </w:r>
          </w:p>
        </w:tc>
        <w:tc>
          <w:tcPr>
            <w:tcW w:w="1793" w:type="dxa"/>
            <w:vAlign w:val="bottom"/>
          </w:tcPr>
          <w:p w:rsidR="000B56AE" w:rsidRDefault="000B56AE">
            <w:pPr>
              <w:pStyle w:val="TableText"/>
            </w:pPr>
            <w:r>
              <w:t>Enhanced Technologist or below</w:t>
            </w:r>
          </w:p>
        </w:tc>
      </w:tr>
      <w:tr w:rsidR="00F77995">
        <w:tc>
          <w:tcPr>
            <w:tcW w:w="5311" w:type="dxa"/>
            <w:vMerge/>
            <w:vAlign w:val="center"/>
          </w:tcPr>
          <w:p w:rsidR="000B56AE" w:rsidRDefault="000B56AE">
            <w:pPr>
              <w:pStyle w:val="TableText"/>
            </w:pPr>
          </w:p>
        </w:tc>
        <w:tc>
          <w:tcPr>
            <w:tcW w:w="5253" w:type="dxa"/>
            <w:vAlign w:val="bottom"/>
          </w:tcPr>
          <w:p w:rsidR="000B56AE" w:rsidRDefault="000B56AE">
            <w:pPr>
              <w:pStyle w:val="TableText"/>
            </w:pPr>
            <w:r>
              <w:t xml:space="preserve">The patient has at least one </w:t>
            </w:r>
            <w:r>
              <w:rPr>
                <w:noProof/>
              </w:rPr>
              <w:t>TR that is not satisfied</w:t>
            </w:r>
            <w:r>
              <w:t xml:space="preserve">. Continue to print Caution Tag or BTRF? </w:t>
            </w:r>
            <w:r>
              <w:rPr>
                <w:b/>
                <w:bCs/>
              </w:rPr>
              <w:t>No</w:t>
            </w:r>
            <w:r>
              <w:t xml:space="preserve"> clears the screen. </w:t>
            </w:r>
            <w:r>
              <w:rPr>
                <w:b/>
                <w:bCs/>
              </w:rPr>
              <w:t>Yes</w:t>
            </w:r>
            <w:r>
              <w:t xml:space="preserve"> requires a comment and captures details for inclusion in an Exception Report (exception type: Caution Tag printed with unsatisfied TR).</w:t>
            </w:r>
          </w:p>
        </w:tc>
        <w:tc>
          <w:tcPr>
            <w:tcW w:w="1793" w:type="dxa"/>
            <w:vAlign w:val="bottom"/>
          </w:tcPr>
          <w:p w:rsidR="000B56AE" w:rsidRDefault="000B56AE">
            <w:pPr>
              <w:pStyle w:val="TableText"/>
            </w:pPr>
            <w:r>
              <w:t xml:space="preserve">Lead Technologist </w:t>
            </w:r>
          </w:p>
        </w:tc>
      </w:tr>
      <w:tr w:rsidR="00F77995">
        <w:trPr>
          <w:hidden/>
        </w:trPr>
        <w:tc>
          <w:tcPr>
            <w:tcW w:w="5311" w:type="dxa"/>
            <w:vMerge w:val="restart"/>
            <w:vAlign w:val="center"/>
          </w:tcPr>
          <w:p w:rsidR="000B56AE" w:rsidRDefault="000B56AE">
            <w:pPr>
              <w:pStyle w:val="TableText"/>
            </w:pPr>
            <w:r>
              <w:rPr>
                <w:rFonts w:cs="Arial"/>
                <w:vanish/>
              </w:rPr>
              <w:t xml:space="preserve">BR_43.16 </w:t>
            </w:r>
            <w:r>
              <w:t>The patient specimen is expired.</w:t>
            </w:r>
          </w:p>
        </w:tc>
        <w:tc>
          <w:tcPr>
            <w:tcW w:w="5253" w:type="dxa"/>
            <w:vAlign w:val="bottom"/>
          </w:tcPr>
          <w:p w:rsidR="000B56AE" w:rsidRDefault="000B56AE">
            <w:pPr>
              <w:pStyle w:val="TableText"/>
            </w:pPr>
            <w:r>
              <w:t>The patient specimen is expired. There is no override.</w:t>
            </w:r>
          </w:p>
        </w:tc>
        <w:tc>
          <w:tcPr>
            <w:tcW w:w="1793" w:type="dxa"/>
            <w:vAlign w:val="bottom"/>
          </w:tcPr>
          <w:p w:rsidR="000B56AE" w:rsidRDefault="000B56AE">
            <w:pPr>
              <w:pStyle w:val="TableText"/>
            </w:pPr>
            <w:r>
              <w:t>Technologist</w:t>
            </w:r>
          </w:p>
        </w:tc>
      </w:tr>
      <w:tr w:rsidR="00F77995">
        <w:tc>
          <w:tcPr>
            <w:tcW w:w="5311" w:type="dxa"/>
            <w:vMerge/>
            <w:vAlign w:val="center"/>
          </w:tcPr>
          <w:p w:rsidR="000B56AE" w:rsidRDefault="000B56AE">
            <w:pPr>
              <w:pStyle w:val="TableText"/>
            </w:pPr>
          </w:p>
        </w:tc>
        <w:tc>
          <w:tcPr>
            <w:tcW w:w="5253" w:type="dxa"/>
            <w:vAlign w:val="bottom"/>
          </w:tcPr>
          <w:p w:rsidR="000B56AE" w:rsidRDefault="000B56AE">
            <w:pPr>
              <w:pStyle w:val="TableText"/>
            </w:pPr>
            <w:r>
              <w:t xml:space="preserve">The patient specimen is expired. Continue to print the Caution Tag and/or the BTRF? </w:t>
            </w:r>
            <w:r>
              <w:rPr>
                <w:b/>
                <w:bCs/>
              </w:rPr>
              <w:t>No</w:t>
            </w:r>
            <w:r>
              <w:t xml:space="preserve"> clears the screen. </w:t>
            </w:r>
            <w:r>
              <w:rPr>
                <w:b/>
                <w:bCs/>
              </w:rPr>
              <w:t>Yes</w:t>
            </w:r>
            <w:r>
              <w:t xml:space="preserve"> requires a comment and captures details for inclusion in an Exception Report (exception type: Caution Tag printed on expired specimen).</w:t>
            </w:r>
          </w:p>
        </w:tc>
        <w:tc>
          <w:tcPr>
            <w:tcW w:w="1793" w:type="dxa"/>
            <w:vAlign w:val="bottom"/>
          </w:tcPr>
          <w:p w:rsidR="000B56AE" w:rsidRDefault="000B56AE">
            <w:pPr>
              <w:pStyle w:val="TableText"/>
            </w:pPr>
            <w:r>
              <w:t xml:space="preserve">Enhanced Technologist </w:t>
            </w:r>
          </w:p>
        </w:tc>
      </w:tr>
      <w:tr w:rsidR="00F77995">
        <w:trPr>
          <w:hidden/>
        </w:trPr>
        <w:tc>
          <w:tcPr>
            <w:tcW w:w="5311" w:type="dxa"/>
            <w:vAlign w:val="center"/>
          </w:tcPr>
          <w:p w:rsidR="00F77995" w:rsidRDefault="00C3145B">
            <w:pPr>
              <w:pStyle w:val="TableText"/>
              <w:rPr>
                <w:szCs w:val="18"/>
              </w:rPr>
            </w:pPr>
            <w:r w:rsidRPr="00693D9B">
              <w:rPr>
                <w:vanish/>
                <w:szCs w:val="18"/>
              </w:rPr>
              <w:t>BR_3.05</w:t>
            </w:r>
            <w:r>
              <w:rPr>
                <w:vanish/>
                <w:szCs w:val="18"/>
              </w:rPr>
              <w:t xml:space="preserve"> </w:t>
            </w:r>
            <w:r w:rsidR="00F77995">
              <w:rPr>
                <w:szCs w:val="18"/>
              </w:rPr>
              <w:t>The user attempts to print Caution Tags for emergency issue and:</w:t>
            </w:r>
          </w:p>
          <w:p w:rsidR="00F77995" w:rsidRDefault="00C3145B" w:rsidP="00F77995">
            <w:pPr>
              <w:pStyle w:val="TableTextBullet"/>
            </w:pPr>
            <w:r>
              <w:rPr>
                <w:szCs w:val="18"/>
              </w:rPr>
              <w:t>The c</w:t>
            </w:r>
            <w:r w:rsidR="00F77995">
              <w:t xml:space="preserve">urrent specimen has an </w:t>
            </w:r>
            <w:r w:rsidR="000B56AE">
              <w:t>“Emergency Issue” order</w:t>
            </w:r>
            <w:r>
              <w:t>.</w:t>
            </w:r>
          </w:p>
          <w:p w:rsidR="00C3145B" w:rsidRDefault="00C3145B" w:rsidP="00F77995">
            <w:pPr>
              <w:pStyle w:val="TableTextBullet"/>
            </w:pPr>
            <w:r>
              <w:t>The patient has no record of ABO/Rh typing.</w:t>
            </w:r>
          </w:p>
          <w:p w:rsidR="00C3145B" w:rsidRDefault="00C3145B" w:rsidP="00C3145B">
            <w:pPr>
              <w:pStyle w:val="TableTextBullet"/>
            </w:pPr>
            <w:r>
              <w:t>The r</w:t>
            </w:r>
            <w:r w:rsidR="000B56AE">
              <w:t>equired ABO/Rh specimen testing</w:t>
            </w:r>
            <w:r w:rsidR="000B56AE">
              <w:rPr>
                <w:color w:val="000000"/>
              </w:rPr>
              <w:t xml:space="preserve"> is</w:t>
            </w:r>
            <w:r w:rsidR="000B56AE">
              <w:t xml:space="preserve"> incomplete</w:t>
            </w:r>
            <w:r>
              <w:t>.</w:t>
            </w:r>
          </w:p>
          <w:p w:rsidR="00C3145B" w:rsidRDefault="00C3145B" w:rsidP="00C3145B">
            <w:pPr>
              <w:pStyle w:val="TableText"/>
            </w:pPr>
          </w:p>
          <w:p w:rsidR="00F77995" w:rsidRDefault="00C3145B" w:rsidP="00C3145B">
            <w:pPr>
              <w:pStyle w:val="TableText"/>
            </w:pPr>
            <w:r>
              <w:t>The u</w:t>
            </w:r>
            <w:r w:rsidR="00F77995">
              <w:t>ser may select:</w:t>
            </w:r>
          </w:p>
          <w:p w:rsidR="00F77995" w:rsidRDefault="00F77995" w:rsidP="00C3145B">
            <w:pPr>
              <w:pStyle w:val="TableTextBullet"/>
            </w:pPr>
            <w:r>
              <w:t xml:space="preserve">For WB or RBC order only: </w:t>
            </w:r>
            <w:r w:rsidR="00093181">
              <w:t>group</w:t>
            </w:r>
            <w:r w:rsidR="000014DD">
              <w:t xml:space="preserve"> </w:t>
            </w:r>
            <w:r>
              <w:t xml:space="preserve">O, Rh positive or O Rh negative </w:t>
            </w:r>
            <w:r w:rsidR="00C3145B">
              <w:t>(</w:t>
            </w:r>
            <w:r w:rsidR="000B56AE">
              <w:t>WHOLE BLOOD is not available</w:t>
            </w:r>
            <w:r w:rsidR="00C3145B">
              <w:t>).</w:t>
            </w:r>
          </w:p>
          <w:p w:rsidR="00F77995" w:rsidRDefault="00626C6A" w:rsidP="00C3145B">
            <w:pPr>
              <w:pStyle w:val="TableTextBullet"/>
            </w:pPr>
            <w:r>
              <w:t>F</w:t>
            </w:r>
            <w:r w:rsidR="000B56AE">
              <w:t>or FFP order only:</w:t>
            </w:r>
            <w:r w:rsidR="00D5161F">
              <w:t xml:space="preserve"> g</w:t>
            </w:r>
            <w:r w:rsidR="000B56AE">
              <w:t>roup AB, Rh positive or Rh negative</w:t>
            </w:r>
            <w:r>
              <w:t>.</w:t>
            </w:r>
          </w:p>
          <w:p w:rsidR="000B56AE" w:rsidRDefault="000B56AE" w:rsidP="00C3145B">
            <w:pPr>
              <w:pStyle w:val="TableTextBullet"/>
            </w:pPr>
            <w:r>
              <w:t>For PLT order:</w:t>
            </w:r>
            <w:r w:rsidR="00D5161F">
              <w:t xml:space="preserve"> a</w:t>
            </w:r>
            <w:r>
              <w:t>ll available units are issuable.</w:t>
            </w:r>
          </w:p>
        </w:tc>
        <w:tc>
          <w:tcPr>
            <w:tcW w:w="5253" w:type="dxa"/>
            <w:vAlign w:val="bottom"/>
          </w:tcPr>
          <w:p w:rsidR="000B56AE" w:rsidRDefault="000B56AE">
            <w:pPr>
              <w:pStyle w:val="TableText"/>
            </w:pPr>
            <w:r>
              <w:t>The unit does not meet these requirements. Testing is incomplete and this unit is not eligible for emergency issue. The Caution Tag cannot be printed. There is no override.</w:t>
            </w:r>
          </w:p>
        </w:tc>
        <w:tc>
          <w:tcPr>
            <w:tcW w:w="1793" w:type="dxa"/>
            <w:vAlign w:val="bottom"/>
          </w:tcPr>
          <w:p w:rsidR="000B56AE" w:rsidRDefault="000B56AE">
            <w:pPr>
              <w:pStyle w:val="TableText"/>
            </w:pPr>
            <w:r>
              <w:t>All users</w:t>
            </w:r>
          </w:p>
        </w:tc>
      </w:tr>
      <w:tr w:rsidR="00F77995">
        <w:trPr>
          <w:hidden/>
        </w:trPr>
        <w:tc>
          <w:tcPr>
            <w:tcW w:w="5311" w:type="dxa"/>
            <w:vAlign w:val="center"/>
          </w:tcPr>
          <w:p w:rsidR="000B56AE" w:rsidRDefault="000B56AE">
            <w:pPr>
              <w:pStyle w:val="TableText"/>
            </w:pPr>
            <w:r>
              <w:rPr>
                <w:rFonts w:cs="Arial"/>
                <w:vanish/>
              </w:rPr>
              <w:t xml:space="preserve">BR_43.02 </w:t>
            </w:r>
            <w:r>
              <w:t xml:space="preserve">VBECS determines whether a blood unit that </w:t>
            </w:r>
            <w:r>
              <w:lastRenderedPageBreak/>
              <w:t>does require crossmatch (electronic or serologic) is ready for issue based on the following rules:</w:t>
            </w:r>
          </w:p>
          <w:p w:rsidR="000B56AE" w:rsidRDefault="000B56AE" w:rsidP="00BE2D19">
            <w:pPr>
              <w:pStyle w:val="TableTextBullet"/>
            </w:pPr>
            <w:r>
              <w:t xml:space="preserve">Unit is not in a frozen state. </w:t>
            </w:r>
          </w:p>
          <w:p w:rsidR="000B56AE" w:rsidRDefault="000B56AE" w:rsidP="00BE2D19">
            <w:pPr>
              <w:pStyle w:val="TableTextBullet"/>
            </w:pPr>
            <w:r>
              <w:t>The unit is crossmatched to the patient (eXM, or serologic XM).</w:t>
            </w:r>
          </w:p>
          <w:p w:rsidR="000B56AE" w:rsidRDefault="000B56AE" w:rsidP="00BE2D19">
            <w:pPr>
              <w:pStyle w:val="TableTextBullet"/>
            </w:pPr>
            <w:r>
              <w:t xml:space="preserve">TAS Specimen testing is complete and valid (ABO/Rh and </w:t>
            </w:r>
            <w:r w:rsidR="004E2F2D">
              <w:t>ABS</w:t>
            </w:r>
            <w:r>
              <w:t xml:space="preserve"> results are entered).</w:t>
            </w:r>
          </w:p>
          <w:p w:rsidR="000B56AE" w:rsidRDefault="000B56AE">
            <w:pPr>
              <w:pStyle w:val="TableText"/>
            </w:pPr>
            <w:r>
              <w:t>One of these crossmatch interpretations was entered:</w:t>
            </w:r>
          </w:p>
          <w:p w:rsidR="000B56AE" w:rsidRDefault="000B56AE" w:rsidP="00BE2D19">
            <w:pPr>
              <w:pStyle w:val="TableTextBullet"/>
            </w:pPr>
            <w:r>
              <w:t xml:space="preserve">Crossmatch Compatible </w:t>
            </w:r>
          </w:p>
          <w:p w:rsidR="000B56AE" w:rsidRDefault="000B56AE" w:rsidP="00BE2D19">
            <w:pPr>
              <w:pStyle w:val="TableTextBullet"/>
            </w:pPr>
            <w:r>
              <w:t>Compatible: Electronically crossmatched</w:t>
            </w:r>
          </w:p>
          <w:p w:rsidR="000B56AE" w:rsidRDefault="000B56AE" w:rsidP="00BE2D19">
            <w:pPr>
              <w:pStyle w:val="TableTextBullet"/>
            </w:pPr>
            <w:r>
              <w:t>Crossmatch Incompatible: Give only with Medical Director approval</w:t>
            </w:r>
          </w:p>
        </w:tc>
        <w:tc>
          <w:tcPr>
            <w:tcW w:w="5253" w:type="dxa"/>
            <w:vAlign w:val="bottom"/>
          </w:tcPr>
          <w:p w:rsidR="000B56AE" w:rsidRDefault="000B56AE">
            <w:pPr>
              <w:pStyle w:val="TableText"/>
            </w:pPr>
            <w:r>
              <w:lastRenderedPageBreak/>
              <w:t xml:space="preserve">All of the conditions for the unit are met but </w:t>
            </w:r>
            <w:r>
              <w:lastRenderedPageBreak/>
              <w:t xml:space="preserve">an emergency issue order indicator is in place or the testing is incomplete or inconclusive on the current specimen and units were selected. Do you want to print emergency issue tags/forms for the unit/patient? </w:t>
            </w:r>
            <w:r>
              <w:rPr>
                <w:b/>
                <w:bCs/>
              </w:rPr>
              <w:t>Yes</w:t>
            </w:r>
            <w:r>
              <w:t xml:space="preserve"> prints the emergency issue tags and forms. </w:t>
            </w:r>
            <w:r>
              <w:rPr>
                <w:b/>
                <w:bCs/>
              </w:rPr>
              <w:t>No</w:t>
            </w:r>
            <w:r>
              <w:t xml:space="preserve"> does not allow the user to continue.</w:t>
            </w:r>
          </w:p>
        </w:tc>
        <w:tc>
          <w:tcPr>
            <w:tcW w:w="1793" w:type="dxa"/>
            <w:vAlign w:val="bottom"/>
          </w:tcPr>
          <w:p w:rsidR="000B56AE" w:rsidRDefault="000B56AE">
            <w:pPr>
              <w:pStyle w:val="TableText"/>
            </w:pPr>
            <w:r>
              <w:lastRenderedPageBreak/>
              <w:t>All users</w:t>
            </w:r>
          </w:p>
        </w:tc>
      </w:tr>
      <w:tr w:rsidR="00F77995">
        <w:trPr>
          <w:hidden/>
        </w:trPr>
        <w:tc>
          <w:tcPr>
            <w:tcW w:w="5311" w:type="dxa"/>
            <w:tcBorders>
              <w:bottom w:val="single" w:sz="4" w:space="0" w:color="auto"/>
            </w:tcBorders>
            <w:vAlign w:val="center"/>
          </w:tcPr>
          <w:p w:rsidR="000B56AE" w:rsidRDefault="000B56AE" w:rsidP="00AC7151">
            <w:pPr>
              <w:pStyle w:val="TableText"/>
            </w:pPr>
            <w:r>
              <w:rPr>
                <w:rFonts w:cs="Arial"/>
                <w:vanish/>
              </w:rPr>
              <w:lastRenderedPageBreak/>
              <w:t xml:space="preserve">BR_43.07 </w:t>
            </w:r>
            <w:r>
              <w:t xml:space="preserve">For blood units that </w:t>
            </w:r>
            <w:r>
              <w:rPr>
                <w:iCs/>
              </w:rPr>
              <w:t>do not require crossmatch</w:t>
            </w:r>
            <w:r>
              <w:t xml:space="preserve"> when the unit is assigned to the patient and is not in a frozen state, VBECS determines when a blood unit is ready for issue. </w:t>
            </w:r>
          </w:p>
        </w:tc>
        <w:tc>
          <w:tcPr>
            <w:tcW w:w="5253" w:type="dxa"/>
            <w:tcBorders>
              <w:bottom w:val="single" w:sz="4" w:space="0" w:color="auto"/>
            </w:tcBorders>
            <w:vAlign w:val="bottom"/>
          </w:tcPr>
          <w:p w:rsidR="000B56AE" w:rsidRDefault="000B56AE">
            <w:pPr>
              <w:pStyle w:val="TableText"/>
            </w:pPr>
            <w:r>
              <w:t>All of the conditions for the unit are</w:t>
            </w:r>
            <w:r>
              <w:rPr>
                <w:i/>
              </w:rPr>
              <w:t xml:space="preserve"> </w:t>
            </w:r>
            <w:r>
              <w:rPr>
                <w:iCs/>
              </w:rPr>
              <w:t>not</w:t>
            </w:r>
            <w:r>
              <w:t xml:space="preserve"> met. The Caution Tag and/or the BTRF cannot be printed at this time and the reason they </w:t>
            </w:r>
            <w:r w:rsidR="00A10483">
              <w:t>cannot</w:t>
            </w:r>
            <w:r>
              <w:t xml:space="preserve"> be printed. Additional patient testing or unit processing must be performed.</w:t>
            </w:r>
          </w:p>
        </w:tc>
        <w:tc>
          <w:tcPr>
            <w:tcW w:w="1793" w:type="dxa"/>
            <w:tcBorders>
              <w:bottom w:val="single" w:sz="4" w:space="0" w:color="auto"/>
            </w:tcBorders>
            <w:vAlign w:val="bottom"/>
          </w:tcPr>
          <w:p w:rsidR="000B56AE" w:rsidRDefault="000B56AE">
            <w:pPr>
              <w:pStyle w:val="TableText"/>
            </w:pPr>
            <w:r>
              <w:t>All users</w:t>
            </w:r>
          </w:p>
        </w:tc>
      </w:tr>
    </w:tbl>
    <w:p w:rsidR="002A21AE" w:rsidRDefault="002A21AE">
      <w:pPr>
        <w:pStyle w:val="Caption"/>
      </w:pPr>
      <w:bookmarkStart w:id="423" w:name="_Toc97523621"/>
      <w:bookmarkStart w:id="424" w:name="_Toc97527591"/>
      <w:r>
        <w:t xml:space="preserve">Figure </w:t>
      </w:r>
      <w:r w:rsidR="00C17F7C">
        <w:fldChar w:fldCharType="begin"/>
      </w:r>
      <w:r w:rsidR="00C17F7C">
        <w:instrText xml:space="preserve"> SEQ Figure \* ARABIC </w:instrText>
      </w:r>
      <w:r w:rsidR="00C17F7C">
        <w:fldChar w:fldCharType="separate"/>
      </w:r>
      <w:r w:rsidR="005F38BC">
        <w:rPr>
          <w:noProof/>
        </w:rPr>
        <w:t>104</w:t>
      </w:r>
      <w:r w:rsidR="00C17F7C">
        <w:fldChar w:fldCharType="end"/>
      </w:r>
      <w:r>
        <w:t>: Caution Tag</w:t>
      </w:r>
      <w:bookmarkEnd w:id="423"/>
      <w:bookmarkEnd w:id="424"/>
      <w:r w:rsidR="00CC006F">
        <w:t xml:space="preserve"> </w:t>
      </w:r>
      <w:r w:rsidR="00CC006F" w:rsidRPr="00CC006F">
        <w:rPr>
          <w:vanish/>
        </w:rPr>
        <w:t>DR 4848</w:t>
      </w:r>
      <w:r>
        <w:fldChar w:fldCharType="begin"/>
      </w:r>
      <w:r>
        <w:instrText xml:space="preserve"> XE </w:instrText>
      </w:r>
      <w:r w:rsidR="00FA7E65">
        <w:instrText>“</w:instrText>
      </w:r>
      <w:r>
        <w:instrText>Figures:Caution Tag</w:instrText>
      </w:r>
      <w:r w:rsidR="00FA7E65">
        <w:instrText>”</w:instrText>
      </w:r>
      <w:r>
        <w:instrText xml:space="preserve"> </w:instrText>
      </w:r>
      <w:r>
        <w:fldChar w:fldCharType="end"/>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1080"/>
        <w:gridCol w:w="1800"/>
      </w:tblGrid>
      <w:tr w:rsidR="002A21AE">
        <w:tblPrEx>
          <w:tblCellMar>
            <w:top w:w="0" w:type="dxa"/>
            <w:bottom w:w="0" w:type="dxa"/>
          </w:tblCellMar>
        </w:tblPrEx>
        <w:trPr>
          <w:cantSplit/>
          <w:trHeight w:val="230"/>
          <w:jc w:val="center"/>
        </w:trPr>
        <w:tc>
          <w:tcPr>
            <w:tcW w:w="5760" w:type="dxa"/>
            <w:gridSpan w:val="3"/>
            <w:vMerge w:val="restart"/>
          </w:tcPr>
          <w:p w:rsidR="002A21AE" w:rsidRPr="0071550C" w:rsidRDefault="0071550C">
            <w:pPr>
              <w:rPr>
                <w:rFonts w:ascii="Arial" w:hAnsi="Arial"/>
                <w:sz w:val="18"/>
                <w:szCs w:val="18"/>
              </w:rPr>
            </w:pPr>
            <w:r w:rsidRPr="0071550C">
              <w:rPr>
                <w:rFonts w:ascii="Arial" w:hAnsi="Arial"/>
                <w:sz w:val="18"/>
                <w:szCs w:val="18"/>
              </w:rPr>
              <w:t>Product Code                                            2D Barcode</w:t>
            </w:r>
          </w:p>
          <w:p w:rsidR="0071550C" w:rsidRPr="0071550C" w:rsidRDefault="0071550C">
            <w:pPr>
              <w:rPr>
                <w:rFonts w:ascii="Arial" w:hAnsi="Arial"/>
                <w:sz w:val="18"/>
                <w:szCs w:val="18"/>
              </w:rPr>
            </w:pPr>
          </w:p>
          <w:p w:rsidR="0071550C" w:rsidRPr="0071550C" w:rsidRDefault="002A21AE">
            <w:pPr>
              <w:rPr>
                <w:rFonts w:ascii="Arial" w:hAnsi="Arial"/>
                <w:sz w:val="18"/>
                <w:szCs w:val="18"/>
              </w:rPr>
            </w:pPr>
            <w:r w:rsidRPr="0071550C">
              <w:rPr>
                <w:rFonts w:ascii="Arial" w:hAnsi="Arial"/>
                <w:sz w:val="18"/>
                <w:szCs w:val="18"/>
              </w:rPr>
              <w:t>Division Name</w:t>
            </w:r>
          </w:p>
          <w:p w:rsidR="002A21AE" w:rsidRDefault="002A21AE">
            <w:pPr>
              <w:rPr>
                <w:rFonts w:ascii="Arial" w:hAnsi="Arial"/>
                <w:sz w:val="20"/>
              </w:rPr>
            </w:pPr>
            <w:r w:rsidRPr="0071550C">
              <w:rPr>
                <w:rFonts w:ascii="Arial" w:hAnsi="Arial"/>
                <w:sz w:val="18"/>
                <w:szCs w:val="18"/>
              </w:rPr>
              <w:t>City, State</w:t>
            </w:r>
          </w:p>
        </w:tc>
      </w:tr>
      <w:tr w:rsidR="002A21AE">
        <w:tblPrEx>
          <w:tblCellMar>
            <w:top w:w="0" w:type="dxa"/>
            <w:bottom w:w="0" w:type="dxa"/>
          </w:tblCellMar>
        </w:tblPrEx>
        <w:trPr>
          <w:cantSplit/>
          <w:trHeight w:val="230"/>
          <w:jc w:val="center"/>
        </w:trPr>
        <w:tc>
          <w:tcPr>
            <w:tcW w:w="5760" w:type="dxa"/>
            <w:gridSpan w:val="3"/>
            <w:vMerge/>
          </w:tcPr>
          <w:p w:rsidR="002A21AE" w:rsidRDefault="002A21AE">
            <w:pPr>
              <w:rPr>
                <w:rFonts w:ascii="Arial" w:hAnsi="Arial"/>
                <w:sz w:val="20"/>
              </w:rPr>
            </w:pPr>
          </w:p>
        </w:tc>
      </w:tr>
      <w:tr w:rsidR="002A21AE">
        <w:tblPrEx>
          <w:tblCellMar>
            <w:top w:w="0" w:type="dxa"/>
            <w:bottom w:w="0" w:type="dxa"/>
          </w:tblCellMar>
        </w:tblPrEx>
        <w:trPr>
          <w:cantSplit/>
          <w:jc w:val="center"/>
        </w:trPr>
        <w:tc>
          <w:tcPr>
            <w:tcW w:w="5760" w:type="dxa"/>
            <w:gridSpan w:val="3"/>
          </w:tcPr>
          <w:p w:rsidR="002A21AE" w:rsidRPr="0071550C" w:rsidRDefault="002A21AE" w:rsidP="0071550C">
            <w:pPr>
              <w:rPr>
                <w:rFonts w:ascii="Arial" w:hAnsi="Arial"/>
                <w:sz w:val="20"/>
                <w:vertAlign w:val="superscript"/>
              </w:rPr>
            </w:pPr>
            <w:r w:rsidRPr="0071550C">
              <w:rPr>
                <w:rFonts w:ascii="Arial" w:hAnsi="Arial"/>
                <w:sz w:val="20"/>
                <w:vertAlign w:val="superscript"/>
              </w:rPr>
              <w:t xml:space="preserve">Patient </w:t>
            </w:r>
            <w:r w:rsidR="0071550C" w:rsidRPr="0071550C">
              <w:rPr>
                <w:rFonts w:ascii="Arial" w:hAnsi="Arial"/>
                <w:sz w:val="20"/>
                <w:vertAlign w:val="superscript"/>
              </w:rPr>
              <w:t>Name</w:t>
            </w:r>
            <w:r w:rsidRPr="0071550C">
              <w:rPr>
                <w:rFonts w:ascii="Arial" w:hAnsi="Arial"/>
                <w:sz w:val="20"/>
                <w:vertAlign w:val="superscript"/>
              </w:rPr>
              <w:t>:</w:t>
            </w:r>
          </w:p>
          <w:p w:rsidR="002A21AE" w:rsidRDefault="002A21AE">
            <w:pPr>
              <w:rPr>
                <w:rFonts w:ascii="Arial" w:hAnsi="Arial"/>
                <w:sz w:val="20"/>
                <w:vertAlign w:val="superscript"/>
              </w:rPr>
            </w:pPr>
          </w:p>
        </w:tc>
      </w:tr>
      <w:tr w:rsidR="002A21AE">
        <w:tblPrEx>
          <w:tblCellMar>
            <w:top w:w="0" w:type="dxa"/>
            <w:bottom w:w="0" w:type="dxa"/>
          </w:tblCellMar>
        </w:tblPrEx>
        <w:trPr>
          <w:cantSplit/>
          <w:jc w:val="center"/>
        </w:trPr>
        <w:tc>
          <w:tcPr>
            <w:tcW w:w="3960" w:type="dxa"/>
            <w:gridSpan w:val="2"/>
            <w:tcBorders>
              <w:bottom w:val="single" w:sz="4" w:space="0" w:color="auto"/>
            </w:tcBorders>
          </w:tcPr>
          <w:p w:rsidR="002A21AE" w:rsidRDefault="002A21AE">
            <w:pPr>
              <w:rPr>
                <w:rFonts w:ascii="Arial" w:hAnsi="Arial"/>
                <w:b/>
                <w:sz w:val="20"/>
                <w:vertAlign w:val="superscript"/>
              </w:rPr>
            </w:pPr>
            <w:r>
              <w:rPr>
                <w:rFonts w:ascii="Arial" w:hAnsi="Arial"/>
                <w:sz w:val="20"/>
                <w:vertAlign w:val="superscript"/>
              </w:rPr>
              <w:t xml:space="preserve">Patient </w:t>
            </w:r>
            <w:r w:rsidR="0071550C">
              <w:rPr>
                <w:rFonts w:ascii="Arial" w:hAnsi="Arial"/>
                <w:sz w:val="20"/>
                <w:vertAlign w:val="superscript"/>
              </w:rPr>
              <w:t>ID</w:t>
            </w:r>
            <w:r>
              <w:rPr>
                <w:rFonts w:ascii="Arial" w:hAnsi="Arial"/>
                <w:sz w:val="20"/>
                <w:vertAlign w:val="superscript"/>
              </w:rPr>
              <w:t>:</w:t>
            </w:r>
          </w:p>
          <w:p w:rsidR="002A21AE" w:rsidRDefault="002A21AE">
            <w:pPr>
              <w:rPr>
                <w:rFonts w:ascii="Arial" w:hAnsi="Arial"/>
                <w:sz w:val="20"/>
                <w:vertAlign w:val="superscript"/>
              </w:rPr>
            </w:pPr>
          </w:p>
        </w:tc>
        <w:tc>
          <w:tcPr>
            <w:tcW w:w="1800" w:type="dxa"/>
            <w:tcBorders>
              <w:bottom w:val="single" w:sz="4" w:space="0" w:color="auto"/>
            </w:tcBorders>
          </w:tcPr>
          <w:p w:rsidR="002A21AE" w:rsidRDefault="002A21AE">
            <w:pPr>
              <w:rPr>
                <w:rFonts w:ascii="Arial" w:hAnsi="Arial"/>
                <w:sz w:val="20"/>
                <w:vertAlign w:val="superscript"/>
              </w:rPr>
            </w:pPr>
            <w:r>
              <w:rPr>
                <w:rFonts w:ascii="Arial" w:hAnsi="Arial"/>
                <w:sz w:val="20"/>
                <w:vertAlign w:val="superscript"/>
              </w:rPr>
              <w:t>Recipient Blood Type:</w:t>
            </w:r>
          </w:p>
          <w:p w:rsidR="002A21AE" w:rsidRDefault="002A21AE">
            <w:pPr>
              <w:pStyle w:val="Heading4"/>
              <w:rPr>
                <w:sz w:val="20"/>
                <w:vertAlign w:val="superscript"/>
              </w:rPr>
            </w:pPr>
          </w:p>
        </w:tc>
      </w:tr>
      <w:tr w:rsidR="002A21AE">
        <w:tblPrEx>
          <w:tblCellMar>
            <w:top w:w="0" w:type="dxa"/>
            <w:bottom w:w="0" w:type="dxa"/>
          </w:tblCellMar>
        </w:tblPrEx>
        <w:trPr>
          <w:cantSplit/>
          <w:trHeight w:val="230"/>
          <w:jc w:val="center"/>
        </w:trPr>
        <w:tc>
          <w:tcPr>
            <w:tcW w:w="3960" w:type="dxa"/>
            <w:gridSpan w:val="2"/>
            <w:vMerge w:val="restart"/>
          </w:tcPr>
          <w:p w:rsidR="002A21AE" w:rsidRDefault="002A21AE">
            <w:pPr>
              <w:rPr>
                <w:rFonts w:ascii="Arial" w:hAnsi="Arial"/>
                <w:sz w:val="20"/>
                <w:vertAlign w:val="superscript"/>
              </w:rPr>
            </w:pPr>
            <w:r>
              <w:rPr>
                <w:rFonts w:ascii="Arial" w:hAnsi="Arial"/>
                <w:sz w:val="20"/>
                <w:vertAlign w:val="superscript"/>
              </w:rPr>
              <w:t>Unit/Pool ID:</w:t>
            </w:r>
          </w:p>
        </w:tc>
        <w:tc>
          <w:tcPr>
            <w:tcW w:w="1800" w:type="dxa"/>
            <w:vMerge w:val="restart"/>
          </w:tcPr>
          <w:p w:rsidR="002A21AE" w:rsidRDefault="002A21AE">
            <w:pPr>
              <w:rPr>
                <w:rFonts w:ascii="Arial" w:hAnsi="Arial"/>
                <w:sz w:val="20"/>
                <w:vertAlign w:val="superscript"/>
              </w:rPr>
            </w:pPr>
            <w:r>
              <w:rPr>
                <w:rFonts w:ascii="Arial" w:hAnsi="Arial"/>
                <w:sz w:val="20"/>
                <w:vertAlign w:val="superscript"/>
              </w:rPr>
              <w:t>Donor Blood Type:</w:t>
            </w:r>
          </w:p>
          <w:p w:rsidR="002A21AE" w:rsidRDefault="002A21AE">
            <w:pPr>
              <w:rPr>
                <w:rFonts w:ascii="Arial" w:hAnsi="Arial"/>
                <w:sz w:val="20"/>
                <w:vertAlign w:val="superscript"/>
              </w:rPr>
            </w:pPr>
          </w:p>
        </w:tc>
      </w:tr>
      <w:tr w:rsidR="002A21AE">
        <w:tblPrEx>
          <w:tblCellMar>
            <w:top w:w="0" w:type="dxa"/>
            <w:bottom w:w="0" w:type="dxa"/>
          </w:tblCellMar>
        </w:tblPrEx>
        <w:trPr>
          <w:cantSplit/>
          <w:trHeight w:val="230"/>
          <w:jc w:val="center"/>
        </w:trPr>
        <w:tc>
          <w:tcPr>
            <w:tcW w:w="3960" w:type="dxa"/>
            <w:gridSpan w:val="2"/>
            <w:vMerge/>
          </w:tcPr>
          <w:p w:rsidR="002A21AE" w:rsidRDefault="002A21AE">
            <w:pPr>
              <w:rPr>
                <w:rFonts w:ascii="Arial" w:hAnsi="Arial"/>
                <w:sz w:val="20"/>
                <w:vertAlign w:val="superscript"/>
              </w:rPr>
            </w:pPr>
          </w:p>
        </w:tc>
        <w:tc>
          <w:tcPr>
            <w:tcW w:w="1800" w:type="dxa"/>
            <w:vMerge/>
          </w:tcPr>
          <w:p w:rsidR="002A21AE" w:rsidRDefault="002A21AE">
            <w:pPr>
              <w:rPr>
                <w:rFonts w:ascii="Arial" w:hAnsi="Arial"/>
                <w:sz w:val="20"/>
                <w:vertAlign w:val="superscript"/>
              </w:rPr>
            </w:pPr>
          </w:p>
        </w:tc>
      </w:tr>
      <w:tr w:rsidR="002A21AE">
        <w:tblPrEx>
          <w:tblCellMar>
            <w:top w:w="0" w:type="dxa"/>
            <w:bottom w:w="0" w:type="dxa"/>
          </w:tblCellMar>
        </w:tblPrEx>
        <w:trPr>
          <w:cantSplit/>
          <w:jc w:val="center"/>
        </w:trPr>
        <w:tc>
          <w:tcPr>
            <w:tcW w:w="5760" w:type="dxa"/>
            <w:gridSpan w:val="3"/>
            <w:tcBorders>
              <w:bottom w:val="single" w:sz="4" w:space="0" w:color="auto"/>
            </w:tcBorders>
          </w:tcPr>
          <w:p w:rsidR="002A21AE" w:rsidRPr="0071550C" w:rsidRDefault="002A21AE">
            <w:pPr>
              <w:rPr>
                <w:rFonts w:ascii="Arial" w:hAnsi="Arial"/>
                <w:sz w:val="20"/>
                <w:vertAlign w:val="superscript"/>
              </w:rPr>
            </w:pPr>
            <w:r w:rsidRPr="0071550C">
              <w:rPr>
                <w:rFonts w:ascii="Arial" w:hAnsi="Arial"/>
                <w:sz w:val="20"/>
                <w:vertAlign w:val="superscript"/>
              </w:rPr>
              <w:t>Compatibility Interpretation:</w:t>
            </w:r>
          </w:p>
          <w:p w:rsidR="002A21AE" w:rsidRDefault="002A21AE">
            <w:pPr>
              <w:rPr>
                <w:vertAlign w:val="superscript"/>
              </w:rPr>
            </w:pPr>
          </w:p>
        </w:tc>
      </w:tr>
      <w:tr w:rsidR="002A21AE">
        <w:tblPrEx>
          <w:tblCellMar>
            <w:top w:w="0" w:type="dxa"/>
            <w:bottom w:w="0" w:type="dxa"/>
          </w:tblCellMar>
        </w:tblPrEx>
        <w:trPr>
          <w:cantSplit/>
          <w:trHeight w:val="276"/>
          <w:jc w:val="center"/>
        </w:trPr>
        <w:tc>
          <w:tcPr>
            <w:tcW w:w="5760" w:type="dxa"/>
            <w:gridSpan w:val="3"/>
            <w:vMerge w:val="restart"/>
          </w:tcPr>
          <w:p w:rsidR="002A21AE" w:rsidRDefault="002A21AE">
            <w:pPr>
              <w:rPr>
                <w:rFonts w:ascii="Arial" w:hAnsi="Arial"/>
                <w:sz w:val="18"/>
              </w:rPr>
            </w:pPr>
            <w:r>
              <w:rPr>
                <w:rFonts w:ascii="Arial" w:hAnsi="Arial"/>
                <w:b/>
                <w:snapToGrid w:val="0"/>
                <w:sz w:val="18"/>
              </w:rPr>
              <w:t>CAUTION:</w:t>
            </w:r>
            <w:r>
              <w:rPr>
                <w:rFonts w:ascii="Arial" w:hAnsi="Arial"/>
                <w:snapToGrid w:val="0"/>
                <w:sz w:val="18"/>
              </w:rPr>
              <w:t xml:space="preserve"> </w:t>
            </w:r>
            <w:r>
              <w:rPr>
                <w:rFonts w:ascii="Arial" w:hAnsi="Arial"/>
                <w:b/>
                <w:snapToGrid w:val="0"/>
                <w:sz w:val="18"/>
              </w:rPr>
              <w:t>Before transfusing this blood component, perform bedside verification of the patient</w:t>
            </w:r>
            <w:r w:rsidR="00FA7E65">
              <w:rPr>
                <w:rFonts w:ascii="Arial" w:hAnsi="Arial"/>
                <w:b/>
                <w:snapToGrid w:val="0"/>
                <w:sz w:val="18"/>
              </w:rPr>
              <w:t>’</w:t>
            </w:r>
            <w:r>
              <w:rPr>
                <w:rFonts w:ascii="Arial" w:hAnsi="Arial"/>
                <w:b/>
                <w:snapToGrid w:val="0"/>
                <w:sz w:val="18"/>
              </w:rPr>
              <w:t xml:space="preserve">s identity </w:t>
            </w:r>
            <w:r>
              <w:rPr>
                <w:rFonts w:ascii="Arial" w:hAnsi="Arial"/>
                <w:snapToGrid w:val="0"/>
                <w:sz w:val="18"/>
              </w:rPr>
              <w:t>by matching the patient identification on this tag with the patient wristband and the Blood Transfusion Record Form.</w:t>
            </w:r>
          </w:p>
        </w:tc>
      </w:tr>
      <w:tr w:rsidR="002A21AE">
        <w:tblPrEx>
          <w:tblCellMar>
            <w:top w:w="0" w:type="dxa"/>
            <w:bottom w:w="0" w:type="dxa"/>
          </w:tblCellMar>
        </w:tblPrEx>
        <w:trPr>
          <w:cantSplit/>
          <w:trHeight w:val="276"/>
          <w:jc w:val="center"/>
        </w:trPr>
        <w:tc>
          <w:tcPr>
            <w:tcW w:w="5760" w:type="dxa"/>
            <w:gridSpan w:val="3"/>
            <w:vMerge/>
          </w:tcPr>
          <w:p w:rsidR="002A21AE" w:rsidRDefault="002A21AE">
            <w:pPr>
              <w:rPr>
                <w:rFonts w:ascii="Arial" w:hAnsi="Arial"/>
                <w:sz w:val="18"/>
              </w:rPr>
            </w:pPr>
          </w:p>
        </w:tc>
      </w:tr>
      <w:tr w:rsidR="002A21AE">
        <w:tblPrEx>
          <w:tblCellMar>
            <w:top w:w="0" w:type="dxa"/>
            <w:bottom w:w="0" w:type="dxa"/>
          </w:tblCellMar>
        </w:tblPrEx>
        <w:trPr>
          <w:cantSplit/>
          <w:trHeight w:val="207"/>
          <w:jc w:val="center"/>
        </w:trPr>
        <w:tc>
          <w:tcPr>
            <w:tcW w:w="5760" w:type="dxa"/>
            <w:gridSpan w:val="3"/>
            <w:vMerge/>
            <w:tcBorders>
              <w:bottom w:val="single" w:sz="4" w:space="0" w:color="auto"/>
            </w:tcBorders>
          </w:tcPr>
          <w:p w:rsidR="002A21AE" w:rsidRDefault="002A21AE">
            <w:pPr>
              <w:rPr>
                <w:rFonts w:ascii="Arial" w:hAnsi="Arial"/>
                <w:sz w:val="18"/>
              </w:rPr>
            </w:pPr>
          </w:p>
        </w:tc>
      </w:tr>
      <w:tr w:rsidR="002A21AE">
        <w:tblPrEx>
          <w:tblCellMar>
            <w:top w:w="0" w:type="dxa"/>
            <w:bottom w:w="0" w:type="dxa"/>
          </w:tblCellMar>
        </w:tblPrEx>
        <w:trPr>
          <w:cantSplit/>
          <w:jc w:val="center"/>
        </w:trPr>
        <w:tc>
          <w:tcPr>
            <w:tcW w:w="2880" w:type="dxa"/>
          </w:tcPr>
          <w:p w:rsidR="002A21AE" w:rsidRDefault="002A21AE">
            <w:pPr>
              <w:rPr>
                <w:rFonts w:ascii="Arial" w:hAnsi="Arial"/>
                <w:sz w:val="18"/>
                <w:vertAlign w:val="superscript"/>
              </w:rPr>
            </w:pPr>
            <w:r>
              <w:rPr>
                <w:rFonts w:ascii="Arial" w:hAnsi="Arial"/>
                <w:sz w:val="18"/>
                <w:vertAlign w:val="superscript"/>
              </w:rPr>
              <w:t>Assigned Date/Time:</w:t>
            </w:r>
          </w:p>
          <w:p w:rsidR="002A21AE" w:rsidRDefault="002A21AE">
            <w:pPr>
              <w:rPr>
                <w:rFonts w:ascii="Arial" w:hAnsi="Arial"/>
                <w:sz w:val="20"/>
              </w:rPr>
            </w:pPr>
          </w:p>
        </w:tc>
        <w:tc>
          <w:tcPr>
            <w:tcW w:w="2880" w:type="dxa"/>
            <w:gridSpan w:val="2"/>
          </w:tcPr>
          <w:p w:rsidR="002A21AE" w:rsidRDefault="00CC006F">
            <w:pPr>
              <w:rPr>
                <w:rFonts w:ascii="Arial" w:hAnsi="Arial"/>
                <w:sz w:val="20"/>
                <w:vertAlign w:val="superscript"/>
              </w:rPr>
            </w:pPr>
            <w:r>
              <w:rPr>
                <w:rFonts w:ascii="Arial" w:hAnsi="Arial"/>
                <w:sz w:val="20"/>
                <w:vertAlign w:val="superscript"/>
              </w:rPr>
              <w:t>Assigning Tech/ Crossmatch Tech:</w:t>
            </w:r>
          </w:p>
          <w:p w:rsidR="002A21AE" w:rsidRDefault="002A21AE">
            <w:pPr>
              <w:rPr>
                <w:rFonts w:ascii="Arial" w:hAnsi="Arial"/>
              </w:rPr>
            </w:pPr>
          </w:p>
        </w:tc>
      </w:tr>
    </w:tbl>
    <w:p w:rsidR="002A21AE" w:rsidRDefault="002A21AE"/>
    <w:p w:rsidR="002A21AE" w:rsidRDefault="002A21AE">
      <w:pPr>
        <w:pStyle w:val="Caption"/>
      </w:pPr>
      <w:r>
        <w:br w:type="page"/>
      </w:r>
      <w:bookmarkStart w:id="425" w:name="_Toc97523622"/>
      <w:bookmarkStart w:id="426" w:name="_Toc97527592"/>
      <w:r>
        <w:lastRenderedPageBreak/>
        <w:t xml:space="preserve">Figure </w:t>
      </w:r>
      <w:r w:rsidR="00C17F7C">
        <w:fldChar w:fldCharType="begin"/>
      </w:r>
      <w:r w:rsidR="00C17F7C">
        <w:instrText xml:space="preserve"> SEQ Figure \* ARABIC </w:instrText>
      </w:r>
      <w:r w:rsidR="00C17F7C">
        <w:fldChar w:fldCharType="separate"/>
      </w:r>
      <w:r w:rsidR="005F38BC">
        <w:rPr>
          <w:noProof/>
        </w:rPr>
        <w:t>105</w:t>
      </w:r>
      <w:r w:rsidR="00C17F7C">
        <w:fldChar w:fldCharType="end"/>
      </w:r>
      <w:r>
        <w:t>: Blood Transfusion Record Form</w:t>
      </w:r>
      <w:bookmarkEnd w:id="425"/>
      <w:bookmarkEnd w:id="426"/>
      <w:r>
        <w:fldChar w:fldCharType="begin"/>
      </w:r>
      <w:r>
        <w:instrText xml:space="preserve"> XE </w:instrText>
      </w:r>
      <w:r w:rsidR="00FA7E65">
        <w:instrText>“</w:instrText>
      </w:r>
      <w:r>
        <w:instrText>Figures:Blood Transfusion Record Form</w:instrText>
      </w:r>
      <w:r w:rsidR="00FA7E65">
        <w:instrText>”</w:instrText>
      </w:r>
      <w:r>
        <w:instrText xml:space="preserve"> </w:instrText>
      </w:r>
      <w:r>
        <w:fldChar w:fldCharType="end"/>
      </w:r>
    </w:p>
    <w:p w:rsidR="00B75AA9" w:rsidRDefault="00B75AA9" w:rsidP="00716890">
      <w:pPr>
        <w:pStyle w:val="TableText"/>
        <w:tabs>
          <w:tab w:val="left" w:leader="underscore" w:pos="2880"/>
          <w:tab w:val="left" w:leader="underscore" w:pos="5040"/>
          <w:tab w:val="left" w:leader="underscore" w:pos="7200"/>
        </w:tabs>
      </w:pPr>
    </w:p>
    <w:p w:rsidR="00A00904" w:rsidRDefault="00634BFC" w:rsidP="00716890">
      <w:pPr>
        <w:pStyle w:val="TableText"/>
        <w:tabs>
          <w:tab w:val="left" w:leader="underscore" w:pos="2880"/>
          <w:tab w:val="left" w:leader="underscore" w:pos="5040"/>
          <w:tab w:val="left" w:leader="underscore" w:pos="7200"/>
        </w:tabs>
        <w:rPr>
          <w:color w:val="1F497D"/>
        </w:rPr>
      </w:pPr>
      <w:r>
        <w:rPr>
          <w:noProof/>
          <w:color w:val="1F497D"/>
        </w:rPr>
        <w:drawing>
          <wp:inline distT="0" distB="0" distL="0" distR="0">
            <wp:extent cx="6391275" cy="4819650"/>
            <wp:effectExtent l="0" t="0" r="9525" b="0"/>
            <wp:docPr id="191" name="Picture 2" descr="cid:image002.png@01D09C8D.1B51E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09C8D.1B51ECA0"/>
                    <pic:cNvPicPr>
                      <a:picLocks noChangeAspect="1" noChangeArrowheads="1"/>
                    </pic:cNvPicPr>
                  </pic:nvPicPr>
                  <pic:blipFill>
                    <a:blip r:embed="rId196" r:link="rId197">
                      <a:extLst>
                        <a:ext uri="{28A0092B-C50C-407E-A947-70E740481C1C}">
                          <a14:useLocalDpi xmlns:a14="http://schemas.microsoft.com/office/drawing/2010/main" val="0"/>
                        </a:ext>
                      </a:extLst>
                    </a:blip>
                    <a:srcRect/>
                    <a:stretch>
                      <a:fillRect/>
                    </a:stretch>
                  </pic:blipFill>
                  <pic:spPr bwMode="auto">
                    <a:xfrm>
                      <a:off x="0" y="0"/>
                      <a:ext cx="6391275" cy="4819650"/>
                    </a:xfrm>
                    <a:prstGeom prst="rect">
                      <a:avLst/>
                    </a:prstGeom>
                    <a:noFill/>
                    <a:ln>
                      <a:noFill/>
                    </a:ln>
                  </pic:spPr>
                </pic:pic>
              </a:graphicData>
            </a:graphic>
          </wp:inline>
        </w:drawing>
      </w:r>
    </w:p>
    <w:p w:rsidR="00A00904" w:rsidRDefault="00634BFC" w:rsidP="00716890">
      <w:pPr>
        <w:pStyle w:val="TableText"/>
        <w:tabs>
          <w:tab w:val="left" w:leader="underscore" w:pos="2880"/>
          <w:tab w:val="left" w:leader="underscore" w:pos="5040"/>
          <w:tab w:val="left" w:leader="underscore" w:pos="7200"/>
        </w:tabs>
        <w:sectPr w:rsidR="00A00904" w:rsidSect="00EE771C">
          <w:headerReference w:type="default" r:id="rId198"/>
          <w:pgSz w:w="12240" w:h="15840" w:code="1"/>
          <w:pgMar w:top="1440" w:right="1440" w:bottom="1440" w:left="1440" w:header="720" w:footer="720" w:gutter="0"/>
          <w:cols w:space="720"/>
          <w:docGrid w:linePitch="360"/>
        </w:sectPr>
      </w:pPr>
      <w:r>
        <w:rPr>
          <w:noProof/>
          <w:color w:val="1F497D"/>
        </w:rPr>
        <w:lastRenderedPageBreak/>
        <w:drawing>
          <wp:inline distT="0" distB="0" distL="0" distR="0">
            <wp:extent cx="6296025" cy="4324350"/>
            <wp:effectExtent l="0" t="0" r="9525" b="0"/>
            <wp:docPr id="192" name="Picture 4" descr="cid:image003.png@01D09C8D.1B51E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3.png@01D09C8D.1B51ECA0"/>
                    <pic:cNvPicPr>
                      <a:picLocks noChangeAspect="1" noChangeArrowheads="1"/>
                    </pic:cNvPicPr>
                  </pic:nvPicPr>
                  <pic:blipFill>
                    <a:blip r:embed="rId199" r:link="rId200">
                      <a:extLst>
                        <a:ext uri="{28A0092B-C50C-407E-A947-70E740481C1C}">
                          <a14:useLocalDpi xmlns:a14="http://schemas.microsoft.com/office/drawing/2010/main" val="0"/>
                        </a:ext>
                      </a:extLst>
                    </a:blip>
                    <a:srcRect/>
                    <a:stretch>
                      <a:fillRect/>
                    </a:stretch>
                  </pic:blipFill>
                  <pic:spPr bwMode="auto">
                    <a:xfrm>
                      <a:off x="0" y="0"/>
                      <a:ext cx="6296025" cy="4324350"/>
                    </a:xfrm>
                    <a:prstGeom prst="rect">
                      <a:avLst/>
                    </a:prstGeom>
                    <a:noFill/>
                    <a:ln>
                      <a:noFill/>
                    </a:ln>
                  </pic:spPr>
                </pic:pic>
              </a:graphicData>
            </a:graphic>
          </wp:inline>
        </w:drawing>
      </w:r>
    </w:p>
    <w:p w:rsidR="002A21AE" w:rsidRDefault="002A21AE">
      <w:pPr>
        <w:pStyle w:val="Heading2"/>
      </w:pPr>
      <w:bookmarkStart w:id="427" w:name="_Toc459900128"/>
      <w:r>
        <w:lastRenderedPageBreak/>
        <w:t>Invalidate Test Results</w:t>
      </w:r>
      <w:bookmarkEnd w:id="427"/>
      <w:r>
        <w:rPr>
          <w:rFonts w:ascii="Geneva" w:hAnsi="Geneva"/>
          <w:vanish/>
        </w:rPr>
        <w:fldChar w:fldCharType="begin"/>
      </w:r>
      <w:r>
        <w:rPr>
          <w:rFonts w:ascii="Geneva" w:hAnsi="Geneva"/>
          <w:vanish/>
        </w:rPr>
        <w:instrText xml:space="preserve"> XE </w:instrText>
      </w:r>
      <w:r w:rsidR="00FA7E65">
        <w:rPr>
          <w:rFonts w:ascii="Geneva" w:hAnsi="Geneva"/>
          <w:vanish/>
        </w:rPr>
        <w:instrText>“</w:instrText>
      </w:r>
      <w:r>
        <w:rPr>
          <w:rFonts w:ascii="Geneva" w:hAnsi="Geneva"/>
          <w:vanish/>
        </w:rPr>
        <w:instrText>Invalidate Test Results</w:instrText>
      </w:r>
      <w:r w:rsidR="00FA7E65">
        <w:rPr>
          <w:rFonts w:ascii="Geneva" w:hAnsi="Geneva"/>
          <w:vanish/>
        </w:rPr>
        <w:instrText>”</w:instrText>
      </w:r>
      <w:r>
        <w:rPr>
          <w:rFonts w:ascii="Geneva" w:hAnsi="Geneva"/>
          <w:vanish/>
        </w:rPr>
        <w:instrText xml:space="preserve"> </w:instrText>
      </w:r>
      <w:r>
        <w:rPr>
          <w:rFonts w:ascii="Geneva" w:hAnsi="Geneva"/>
          <w:vanish/>
        </w:rPr>
        <w:fldChar w:fldCharType="end"/>
      </w:r>
      <w:r>
        <w:rPr>
          <w:rFonts w:ascii="Geneva" w:hAnsi="Geneva"/>
          <w:vanish/>
        </w:rPr>
        <w:t xml:space="preserve"> UC_94</w:t>
      </w:r>
    </w:p>
    <w:p w:rsidR="002A21AE" w:rsidRDefault="002A21AE" w:rsidP="00FA7E65">
      <w:pPr>
        <w:pStyle w:val="BodyText"/>
      </w:pPr>
      <w:r>
        <w:t>The user invalidates incorrectly entered patient test results and reenters correct patient test results and interpretations.</w:t>
      </w:r>
    </w:p>
    <w:p w:rsidR="002A21AE" w:rsidRDefault="002A21AE">
      <w:pPr>
        <w:pStyle w:val="Heading4"/>
      </w:pPr>
      <w:r>
        <w:t>Assumptions</w:t>
      </w:r>
      <w:r>
        <w:rPr>
          <w:b w:val="0"/>
        </w:rPr>
        <w:t xml:space="preserve"> </w:t>
      </w:r>
    </w:p>
    <w:p w:rsidR="002A21AE" w:rsidRDefault="002A21AE">
      <w:pPr>
        <w:pStyle w:val="ListBullet"/>
      </w:pPr>
      <w:r>
        <w:t>A completed patient order exists in VBECS.</w:t>
      </w:r>
    </w:p>
    <w:p w:rsidR="002A21AE" w:rsidRDefault="002A21AE">
      <w:pPr>
        <w:pStyle w:val="Heading4"/>
      </w:pPr>
      <w:r>
        <w:t xml:space="preserve">Outcome </w:t>
      </w:r>
    </w:p>
    <w:p w:rsidR="002A21AE" w:rsidRDefault="002A21AE">
      <w:pPr>
        <w:pStyle w:val="ListBullet"/>
      </w:pPr>
      <w:r>
        <w:t>Test results are invalidated.</w:t>
      </w:r>
    </w:p>
    <w:p w:rsidR="002A21AE" w:rsidRDefault="002A21AE">
      <w:pPr>
        <w:pStyle w:val="ListBullet"/>
      </w:pPr>
      <w:r>
        <w:t xml:space="preserve">VBECS may assign “correction” status to a task to allow the user to repeat a test and add it to the Pending Task List (PTL). </w:t>
      </w:r>
    </w:p>
    <w:p w:rsidR="002A21AE" w:rsidRDefault="002A21AE">
      <w:pPr>
        <w:pStyle w:val="Heading4"/>
      </w:pPr>
      <w:r>
        <w:t>Limitations and Restrictions</w:t>
      </w:r>
      <w:r>
        <w:rPr>
          <w:b w:val="0"/>
        </w:rPr>
        <w:t xml:space="preserve"> </w:t>
      </w:r>
    </w:p>
    <w:p w:rsidR="002A21AE" w:rsidRDefault="002A21AE">
      <w:pPr>
        <w:pStyle w:val="ListBullet"/>
      </w:pPr>
      <w:r>
        <w:t>A user may not inactivate a component task in this option.</w:t>
      </w:r>
    </w:p>
    <w:p w:rsidR="002A21AE" w:rsidRDefault="002A21AE">
      <w:pPr>
        <w:pStyle w:val="ListBullet"/>
      </w:pPr>
      <w:r>
        <w:t>This option does not release units from patient assignment. The user must release “assigned” units before invalidating the test results.</w:t>
      </w:r>
    </w:p>
    <w:p w:rsidR="001B2013" w:rsidRDefault="001B2013" w:rsidP="001B2013">
      <w:pPr>
        <w:pStyle w:val="ListBullet"/>
      </w:pPr>
      <w:r>
        <w:t>T</w:t>
      </w:r>
      <w:r w:rsidRPr="001B2013">
        <w:t xml:space="preserve">o </w:t>
      </w:r>
      <w:r>
        <w:t>maintain</w:t>
      </w:r>
      <w:r w:rsidRPr="001B2013">
        <w:t xml:space="preserve"> a clear record</w:t>
      </w:r>
      <w:r>
        <w:t xml:space="preserve"> and system checks, the user must invalidate both original and repeat ABO/Rh tests</w:t>
      </w:r>
      <w:r w:rsidR="00C17389">
        <w:t>.</w:t>
      </w:r>
    </w:p>
    <w:p w:rsidR="00C17389" w:rsidRPr="001B2013" w:rsidRDefault="00AB786F" w:rsidP="001B2013">
      <w:pPr>
        <w:pStyle w:val="ListBullet"/>
      </w:pPr>
      <w:r>
        <w:t>Do not invalidate part of the configured test. Doing this will put</w:t>
      </w:r>
      <w:r w:rsidR="003D719C">
        <w:t xml:space="preserve"> the specimen into a </w:t>
      </w:r>
      <w:r w:rsidR="00E037D2">
        <w:t>state where it cannot be processed</w:t>
      </w:r>
      <w:r w:rsidR="0055788D">
        <w:t>. I</w:t>
      </w:r>
      <w:r w:rsidR="00C17389">
        <w:t xml:space="preserve">nvalidate </w:t>
      </w:r>
      <w:r w:rsidR="00A87E0D">
        <w:t>all tests configured as</w:t>
      </w:r>
      <w:r w:rsidR="00C17389">
        <w:t xml:space="preserve"> part of the TAS </w:t>
      </w:r>
      <w:r w:rsidR="00A87E0D">
        <w:t>regardless of which sub test (</w:t>
      </w:r>
      <w:r w:rsidR="00C17389">
        <w:t>ABO/Rh</w:t>
      </w:r>
      <w:r w:rsidR="00E037D2">
        <w:t>, ABS or DAT) is the</w:t>
      </w:r>
      <w:r w:rsidR="00A87E0D">
        <w:t xml:space="preserve"> </w:t>
      </w:r>
      <w:r w:rsidR="00942363">
        <w:t>problem</w:t>
      </w:r>
      <w:r w:rsidR="00C17389">
        <w:t xml:space="preserve">. </w:t>
      </w:r>
      <w:r w:rsidR="00C17389" w:rsidRPr="00C17389">
        <w:rPr>
          <w:vanish/>
        </w:rPr>
        <w:t>DR 4685</w:t>
      </w:r>
      <w:r w:rsidR="00942363">
        <w:rPr>
          <w:vanish/>
        </w:rPr>
        <w:t xml:space="preserve"> DR 4854</w:t>
      </w:r>
    </w:p>
    <w:p w:rsidR="002A21AE" w:rsidRDefault="002A21AE">
      <w:pPr>
        <w:pStyle w:val="Heading4"/>
      </w:pPr>
      <w:r>
        <w:t xml:space="preserve">Additional Information </w:t>
      </w:r>
    </w:p>
    <w:p w:rsidR="002A21AE" w:rsidRDefault="002A21AE">
      <w:pPr>
        <w:pStyle w:val="ListBullet"/>
      </w:pPr>
      <w:r>
        <w:t>VBECS invalidates the entire test group during this option. The user must reenter results to replace the invalidated results.</w:t>
      </w:r>
    </w:p>
    <w:p w:rsidR="002A21AE" w:rsidRDefault="002A21AE">
      <w:pPr>
        <w:pStyle w:val="ListBullet"/>
      </w:pPr>
      <w:r>
        <w:t>Workload and billing are inactivated or rescinded from the inactivated testing.</w:t>
      </w:r>
    </w:p>
    <w:p w:rsidR="002A21AE" w:rsidRDefault="002A21AE">
      <w:pPr>
        <w:pStyle w:val="ListBullet"/>
      </w:pPr>
      <w:r>
        <w:rPr>
          <w:rFonts w:ascii="Arial" w:hAnsi="Arial" w:cs="Arial"/>
          <w:vanish/>
          <w:spacing w:val="0"/>
          <w:sz w:val="18"/>
        </w:rPr>
        <w:t xml:space="preserve">BR_94.09 </w:t>
      </w:r>
      <w:r>
        <w:t>VBECS invali</w:t>
      </w:r>
      <w:r w:rsidR="00113E2C">
        <w:t>dates t</w:t>
      </w:r>
      <w:r>
        <w:t xml:space="preserve">ransfusion </w:t>
      </w:r>
      <w:r w:rsidR="00113E2C">
        <w:t>r</w:t>
      </w:r>
      <w:r>
        <w:t xml:space="preserve">eaction </w:t>
      </w:r>
      <w:r w:rsidR="00113E2C">
        <w:t>w</w:t>
      </w:r>
      <w:r>
        <w:t>orkups (TRWs) in total and crossmatches (XMs) by unit.</w:t>
      </w:r>
    </w:p>
    <w:p w:rsidR="002A21AE" w:rsidRDefault="002A21AE">
      <w:pPr>
        <w:pStyle w:val="ListBullet"/>
      </w:pPr>
      <w:r>
        <w:rPr>
          <w:rFonts w:ascii="Arial" w:hAnsi="Arial" w:cs="Arial"/>
          <w:vanish/>
          <w:spacing w:val="0"/>
          <w:sz w:val="18"/>
        </w:rPr>
        <w:t xml:space="preserve">BR_94.10 </w:t>
      </w:r>
      <w:r>
        <w:t>Invalidation of an antibody identification (ABID) task invalidates all antibody spec</w:t>
      </w:r>
      <w:r w:rsidR="006E3236">
        <w:t>ificities entered in that task.</w:t>
      </w:r>
    </w:p>
    <w:p w:rsidR="002A21AE" w:rsidRDefault="002A21AE">
      <w:pPr>
        <w:pStyle w:val="ListBullet"/>
      </w:pPr>
      <w:r>
        <w:t>VBECS displays results and interpretations of the tests but not any QC performed with the tests.</w:t>
      </w:r>
    </w:p>
    <w:p w:rsidR="002A21AE" w:rsidRDefault="002A21AE">
      <w:pPr>
        <w:pStyle w:val="ListBullet"/>
      </w:pPr>
      <w:r>
        <w:rPr>
          <w:rFonts w:ascii="Arial" w:hAnsi="Arial" w:cs="Arial"/>
          <w:vanish/>
          <w:spacing w:val="0"/>
          <w:sz w:val="18"/>
        </w:rPr>
        <w:t xml:space="preserve">BR_94.04 </w:t>
      </w:r>
      <w:r>
        <w:t>VBECS displays “Test Result Invalidated” to indicate invalidated test results.</w:t>
      </w:r>
    </w:p>
    <w:p w:rsidR="002A21AE" w:rsidRDefault="002A21AE">
      <w:pPr>
        <w:pStyle w:val="Heading4"/>
        <w:rPr>
          <w:b w:val="0"/>
        </w:rPr>
      </w:pPr>
      <w:r>
        <w:t>User Roles with Access to This Option</w:t>
      </w:r>
      <w:r>
        <w:rPr>
          <w:b w:val="0"/>
        </w:rPr>
        <w:t xml:space="preserve"> </w:t>
      </w:r>
    </w:p>
    <w:p w:rsidR="002A21AE" w:rsidRDefault="000F12D4">
      <w:pPr>
        <w:pStyle w:val="Roles"/>
      </w:pPr>
      <w:r w:rsidRPr="00EC7489">
        <w:rPr>
          <w:rFonts w:ascii="Wingdings 3" w:hAnsi="Wingdings 3" w:cs="Wingdings"/>
        </w:rPr>
        <w:t></w:t>
      </w:r>
      <w:r w:rsidRPr="00EC7489">
        <w:rPr>
          <w:rFonts w:ascii="Wingdings 3" w:hAnsi="Wingdings 3" w:cs="Wingdings"/>
        </w:rPr>
        <w:t></w:t>
      </w:r>
      <w:r>
        <w:t xml:space="preserve"> Enhanced Technologist</w:t>
      </w:r>
    </w:p>
    <w:p w:rsidR="002A21AE" w:rsidRDefault="002A21AE">
      <w:pPr>
        <w:pStyle w:val="Heading4"/>
      </w:pPr>
      <w:r>
        <w:t>Invalidate Test Results</w:t>
      </w:r>
    </w:p>
    <w:p w:rsidR="002A21AE" w:rsidRPr="009660C3" w:rsidRDefault="002A21AE" w:rsidP="00FA7E65">
      <w:pPr>
        <w:pStyle w:val="BodyText"/>
        <w:rPr>
          <w:color w:val="FFFFFF"/>
        </w:rPr>
      </w:pPr>
      <w:r>
        <w:t>The use</w:t>
      </w:r>
      <w:r w:rsidR="00CF47D5">
        <w:t xml:space="preserve">r </w:t>
      </w:r>
      <w:r>
        <w:t>may invalidate one or more previously entered test results and replace them with corrected results.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FFFFFF"/>
            <w:vAlign w:val="bottom"/>
          </w:tcPr>
          <w:p w:rsidR="002A21AE" w:rsidRPr="00B75AA9" w:rsidRDefault="002A21AE" w:rsidP="00B75AA9">
            <w:pPr>
              <w:pStyle w:val="TableText"/>
              <w:tabs>
                <w:tab w:val="left" w:leader="underscore" w:pos="2880"/>
                <w:tab w:val="left" w:leader="underscore" w:pos="5040"/>
                <w:tab w:val="left" w:leader="underscore" w:pos="7200"/>
              </w:tabs>
            </w:pPr>
            <w:r>
              <w:rPr>
                <w:b/>
              </w:rPr>
              <w:t>User Action</w:t>
            </w:r>
            <w:r w:rsidR="00B75AA9">
              <w:rPr>
                <w:b/>
              </w:rPr>
              <w:t xml:space="preserve"> </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rsidP="00B75AA9">
            <w:pPr>
              <w:pStyle w:val="TableTextNumbers"/>
            </w:pPr>
            <w:r>
              <w:t xml:space="preserve">Select </w:t>
            </w:r>
            <w:r>
              <w:rPr>
                <w:b/>
              </w:rPr>
              <w:t>Patients</w:t>
            </w:r>
            <w:r>
              <w:t xml:space="preserve"> from the main menu.</w:t>
            </w:r>
          </w:p>
          <w:p w:rsidR="002A21AE" w:rsidRDefault="002A21AE">
            <w:pPr>
              <w:pStyle w:val="TableTextNumbersContinued"/>
            </w:pPr>
          </w:p>
          <w:p w:rsidR="002A21AE" w:rsidRDefault="002A21AE">
            <w:pPr>
              <w:pStyle w:val="TableTextNumbersContinued"/>
            </w:pPr>
            <w:r>
              <w:t xml:space="preserve">Select </w:t>
            </w:r>
            <w:r>
              <w:rPr>
                <w:b/>
              </w:rPr>
              <w:t>Invalidate Test Results</w:t>
            </w:r>
            <w:r>
              <w:t>.</w:t>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Bullet"/>
            </w:pPr>
            <w:r>
              <w:t>Displays options for processing patient-related functions.</w:t>
            </w:r>
          </w:p>
          <w:p w:rsidR="002A21AE" w:rsidRDefault="002A21AE">
            <w:pPr>
              <w:pStyle w:val="NotesText"/>
            </w:pPr>
          </w:p>
          <w:p w:rsidR="002A21AE" w:rsidRDefault="00634BFC">
            <w:pPr>
              <w:pStyle w:val="TableText"/>
              <w:rPr>
                <w:b/>
                <w:bCs/>
                <w:szCs w:val="18"/>
              </w:rPr>
            </w:pPr>
            <w:r>
              <w:rPr>
                <w:b/>
                <w:bCs/>
                <w:noProof/>
              </w:rPr>
              <mc:AlternateContent>
                <mc:Choice Requires="wps">
                  <w:drawing>
                    <wp:anchor distT="0" distB="0" distL="114300" distR="114300" simplePos="0" relativeHeight="25159321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19" name="Lin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9" o:spid="_x0000_s1026" style="position:absolute;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cWzFQ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BmN&#10;xbM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t xml:space="preserve">Click the </w:t>
            </w:r>
            <w:r>
              <w:rPr>
                <w:b/>
              </w:rPr>
              <w:t xml:space="preserve">Component Orders </w:t>
            </w:r>
            <w:r w:rsidRPr="00CC3C89">
              <w:t xml:space="preserve">tab </w:t>
            </w:r>
            <w:r>
              <w:t>to view its PTL.</w:t>
            </w:r>
          </w:p>
        </w:tc>
      </w:tr>
      <w:tr w:rsidR="002A21AE">
        <w:tblPrEx>
          <w:tblCellMar>
            <w:top w:w="0" w:type="dxa"/>
            <w:bottom w:w="0" w:type="dxa"/>
          </w:tblCellMar>
        </w:tblPrEx>
        <w:tc>
          <w:tcPr>
            <w:tcW w:w="3240" w:type="dxa"/>
          </w:tcPr>
          <w:p w:rsidR="002A21AE" w:rsidRDefault="002A21AE">
            <w:pPr>
              <w:pStyle w:val="TableTextNumbers"/>
            </w:pPr>
            <w:r>
              <w:t>Enter the patient name and/or specimen UID.</w:t>
            </w:r>
          </w:p>
          <w:p w:rsidR="002A21AE" w:rsidRDefault="002A21AE">
            <w:pPr>
              <w:pStyle w:val="TableTextNumbersContinued"/>
            </w:pPr>
          </w:p>
          <w:p w:rsidR="002A21AE" w:rsidRDefault="002A21AE">
            <w:pPr>
              <w:pStyle w:val="TableTextNumbersContinued"/>
            </w:pPr>
            <w:r>
              <w:t xml:space="preserve">Edit the “expires after” date, if required. </w:t>
            </w:r>
          </w:p>
          <w:p w:rsidR="002A21AE" w:rsidRDefault="002A21AE">
            <w:pPr>
              <w:pStyle w:val="TableTextNumbersContinued"/>
            </w:pPr>
          </w:p>
          <w:p w:rsidR="002A21AE" w:rsidRDefault="002A21AE">
            <w:pPr>
              <w:pStyle w:val="TableTextNumbersContinued"/>
            </w:pPr>
            <w:r>
              <w:t xml:space="preserve">Click </w:t>
            </w:r>
            <w:r>
              <w:rPr>
                <w:b/>
              </w:rPr>
              <w:t>Search</w:t>
            </w:r>
            <w:r>
              <w:t>, if needed.</w:t>
            </w:r>
          </w:p>
        </w:tc>
        <w:tc>
          <w:tcPr>
            <w:tcW w:w="6120" w:type="dxa"/>
          </w:tcPr>
          <w:p w:rsidR="002A21AE" w:rsidRDefault="002A21AE">
            <w:pPr>
              <w:pStyle w:val="TableTextBullet"/>
            </w:pPr>
            <w:r>
              <w:rPr>
                <w:rFonts w:cs="Arial"/>
                <w:vanish/>
              </w:rPr>
              <w:lastRenderedPageBreak/>
              <w:t xml:space="preserve">BR_94.01 </w:t>
            </w:r>
            <w:r>
              <w:t>Displays an option to enter a specimen UID or a patient for a specific date or for a range of dates.</w:t>
            </w:r>
          </w:p>
          <w:p w:rsidR="002A21AE" w:rsidRDefault="002A21AE">
            <w:pPr>
              <w:pStyle w:val="TableTextBullet"/>
            </w:pPr>
            <w:r>
              <w:rPr>
                <w:rFonts w:cs="Arial"/>
                <w:vanish/>
              </w:rPr>
              <w:lastRenderedPageBreak/>
              <w:t xml:space="preserve">BR_94.02 </w:t>
            </w:r>
            <w:r>
              <w:t xml:space="preserve">Displays the complete diagnostic tests associated with the entry. </w:t>
            </w:r>
          </w:p>
        </w:tc>
      </w:tr>
      <w:tr w:rsidR="002A21AE">
        <w:tblPrEx>
          <w:tblCellMar>
            <w:top w:w="0" w:type="dxa"/>
            <w:bottom w:w="0" w:type="dxa"/>
          </w:tblCellMar>
        </w:tblPrEx>
        <w:tc>
          <w:tcPr>
            <w:tcW w:w="3240" w:type="dxa"/>
          </w:tcPr>
          <w:p w:rsidR="002A21AE" w:rsidRDefault="002A21AE">
            <w:pPr>
              <w:pStyle w:val="TableTextNumbers"/>
            </w:pPr>
            <w:r>
              <w:lastRenderedPageBreak/>
              <w:t>Select a test result from the Specimen Test Results list.</w:t>
            </w:r>
          </w:p>
        </w:tc>
        <w:tc>
          <w:tcPr>
            <w:tcW w:w="6120" w:type="dxa"/>
          </w:tcPr>
          <w:p w:rsidR="002A21AE" w:rsidRDefault="002A21AE">
            <w:pPr>
              <w:pStyle w:val="TableTextBullet"/>
            </w:pPr>
            <w:r>
              <w:t>Displays the original results for the user to review.</w:t>
            </w:r>
            <w:r>
              <w:rPr>
                <w:vanish/>
                <w:szCs w:val="18"/>
              </w:rPr>
              <w:t xml:space="preserve"> BR_94.06</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9116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18"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6" o:spid="_x0000_s1026" style="position:absolute;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QwFFQ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Fjx&#10;DAU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BR_94.10 </w:t>
            </w:r>
            <w:r>
              <w:t>When the user chooses to invalidate an ABID, VBECS warns that the invalidation of the antibody specificity also invalidates the corresponding calculated antigen negative requirements. No user action is required.</w:t>
            </w:r>
          </w:p>
          <w:p w:rsidR="002A21AE" w:rsidRDefault="002A21AE">
            <w:pPr>
              <w:pStyle w:val="NotesText"/>
            </w:pPr>
          </w:p>
          <w:p w:rsidR="002A21AE" w:rsidRDefault="002A21AE">
            <w:pPr>
              <w:pStyle w:val="NotesText"/>
            </w:pPr>
            <w:r>
              <w:rPr>
                <w:rFonts w:cs="Arial"/>
                <w:vanish/>
              </w:rPr>
              <w:t xml:space="preserve">BR_94.12 </w:t>
            </w:r>
            <w:r w:rsidR="00E57896" w:rsidRPr="00EC7489">
              <w:rPr>
                <w:rFonts w:ascii="Wingdings 3" w:hAnsi="Wingdings 3" w:cs="Wingdings"/>
              </w:rPr>
              <w:t></w:t>
            </w:r>
            <w:r w:rsidR="00E57896" w:rsidRPr="00EC7489">
              <w:rPr>
                <w:rFonts w:ascii="Wingdings 3" w:hAnsi="Wingdings 3" w:cs="Wingdings"/>
              </w:rPr>
              <w:t></w:t>
            </w:r>
            <w:r w:rsidR="00E57896" w:rsidRPr="00EC7489">
              <w:rPr>
                <w:rFonts w:ascii="Wingdings 3" w:hAnsi="Wingdings 3" w:cs="Wingdings"/>
              </w:rPr>
              <w:t></w:t>
            </w:r>
            <w:r w:rsidR="00E57896" w:rsidRPr="00EC7489">
              <w:rPr>
                <w:rFonts w:ascii="Wingdings 3" w:hAnsi="Wingdings 3" w:cs="Wingdings"/>
              </w:rPr>
              <w:t></w:t>
            </w:r>
            <w:r w:rsidR="00E57896">
              <w:t xml:space="preserve"> </w:t>
            </w:r>
            <w:r>
              <w:t xml:space="preserve">When the user is a Traditional Supervisor and the selected specimen is the most recent specimen tested for the selected patient, the user may invalidate a previously justified ABO/Rh test result. When the specimen ABO/Rh test associated with a justification is invalidated, VBECS removes the justification information from the patient record. </w:t>
            </w:r>
          </w:p>
          <w:p w:rsidR="002A21AE" w:rsidRDefault="002A21AE" w:rsidP="0055373D">
            <w:pPr>
              <w:pStyle w:val="NotesText"/>
            </w:pPr>
          </w:p>
          <w:p w:rsidR="0055373D" w:rsidRDefault="002A21AE" w:rsidP="0055373D">
            <w:pPr>
              <w:pStyle w:val="NotesText"/>
            </w:pPr>
            <w:r>
              <w:rPr>
                <w:rFonts w:cs="Arial"/>
                <w:vanish/>
              </w:rPr>
              <w:t xml:space="preserve">BR_94.03 </w:t>
            </w:r>
            <w:r w:rsidR="0055373D">
              <w:t>When the user attempts to invalidate a non-</w:t>
            </w:r>
            <w:r w:rsidR="00A76142">
              <w:t>XM</w:t>
            </w:r>
            <w:r w:rsidR="0055373D">
              <w:t xml:space="preserve"> test for a patient specimen and blood units are currently associated with the specimen (assigned, electronically or serologically crossmatched, issued or transfused), </w:t>
            </w:r>
            <w:r w:rsidR="00B80F86">
              <w:t>VBECS warns that b</w:t>
            </w:r>
            <w:r w:rsidR="0055373D">
              <w:t>lood components are associated to this specimen</w:t>
            </w:r>
            <w:r w:rsidR="00B80F86">
              <w:t xml:space="preserve"> and that the associated unit</w:t>
            </w:r>
            <w:r w:rsidR="0055373D">
              <w:t>s must be removed before testing can be invalidated. The user may not continue to invalidate the test.</w:t>
            </w:r>
          </w:p>
          <w:p w:rsidR="0055373D" w:rsidRDefault="0055373D" w:rsidP="0055373D">
            <w:pPr>
              <w:pStyle w:val="NotesText"/>
            </w:pPr>
          </w:p>
          <w:p w:rsidR="002A21AE" w:rsidRDefault="0055373D" w:rsidP="0055373D">
            <w:pPr>
              <w:pStyle w:val="NotesText"/>
            </w:pPr>
            <w:r>
              <w:t xml:space="preserve">When the user attempts to invalidate a </w:t>
            </w:r>
            <w:r w:rsidR="00A76142">
              <w:t>XM</w:t>
            </w:r>
            <w:r>
              <w:t xml:space="preserve"> test for a patient specimen and the associated blood unit</w:t>
            </w:r>
            <w:r w:rsidR="00A76142">
              <w:t>s are</w:t>
            </w:r>
            <w:r>
              <w:t xml:space="preserve"> currently issued or transfused, </w:t>
            </w:r>
            <w:r w:rsidR="00A76142">
              <w:t>VBECS warns the user that t</w:t>
            </w:r>
            <w:r>
              <w:t xml:space="preserve">he selected test cannot be invalidated because the unit </w:t>
            </w:r>
            <w:r w:rsidR="00A76142">
              <w:t>was</w:t>
            </w:r>
            <w:r>
              <w:t xml:space="preserve"> issued based on the </w:t>
            </w:r>
            <w:r w:rsidR="00A76142">
              <w:t>XM</w:t>
            </w:r>
            <w:r>
              <w:t xml:space="preserve"> result. The user may not continue to invalidate the </w:t>
            </w:r>
            <w:r w:rsidR="00A76142">
              <w:t>XM</w:t>
            </w:r>
            <w:r>
              <w:t xml:space="preserve"> test.</w:t>
            </w:r>
          </w:p>
        </w:tc>
      </w:tr>
      <w:tr w:rsidR="002A21AE">
        <w:tblPrEx>
          <w:tblCellMar>
            <w:top w:w="0" w:type="dxa"/>
            <w:bottom w:w="0" w:type="dxa"/>
          </w:tblCellMar>
        </w:tblPrEx>
        <w:tc>
          <w:tcPr>
            <w:tcW w:w="3240" w:type="dxa"/>
          </w:tcPr>
          <w:p w:rsidR="002A21AE" w:rsidRDefault="002A21AE">
            <w:pPr>
              <w:pStyle w:val="TableTextNumbers"/>
            </w:pPr>
            <w:r>
              <w:t>Verify the accuracy of the selected patient specimen and patient information</w:t>
            </w:r>
            <w:r w:rsidR="004C67AB">
              <w:t xml:space="preserve"> (</w:t>
            </w:r>
            <w:r w:rsidR="004C67AB">
              <w:fldChar w:fldCharType="begin"/>
            </w:r>
            <w:r w:rsidR="004C67AB">
              <w:instrText xml:space="preserve"> REF _Ref127159551 \h </w:instrText>
            </w:r>
            <w:r w:rsidR="004C67AB">
              <w:fldChar w:fldCharType="separate"/>
            </w:r>
            <w:r w:rsidR="005F38BC">
              <w:t xml:space="preserve">Figure </w:t>
            </w:r>
            <w:r w:rsidR="005F38BC">
              <w:rPr>
                <w:noProof/>
              </w:rPr>
              <w:t>106</w:t>
            </w:r>
            <w:r w:rsidR="004C67AB">
              <w:fldChar w:fldCharType="end"/>
            </w:r>
            <w:r w:rsidR="004C67AB">
              <w:t>)</w:t>
            </w:r>
            <w:r>
              <w:t>.</w:t>
            </w:r>
          </w:p>
          <w:p w:rsidR="002A21AE" w:rsidRDefault="002A21AE">
            <w:pPr>
              <w:pStyle w:val="TableTextNumbersContinued"/>
            </w:pPr>
          </w:p>
          <w:p w:rsidR="002A21AE" w:rsidRDefault="002A21AE">
            <w:pPr>
              <w:pStyle w:val="TableTextNumbersContinued"/>
            </w:pPr>
            <w:r>
              <w:t xml:space="preserve">Click </w:t>
            </w:r>
            <w:r>
              <w:rPr>
                <w:b/>
              </w:rPr>
              <w:t>OK</w:t>
            </w:r>
            <w:r>
              <w:t xml:space="preserve"> to accept the results.</w:t>
            </w:r>
          </w:p>
        </w:tc>
        <w:tc>
          <w:tcPr>
            <w:tcW w:w="6120" w:type="dxa"/>
          </w:tcPr>
          <w:p w:rsidR="002A21AE" w:rsidRDefault="002A21AE">
            <w:pPr>
              <w:pStyle w:val="TableTextBullet"/>
            </w:pPr>
            <w:r>
              <w:t>Marks these test results as “invalid” and asks the user whether he needs to replace the invalidated results with new test results.</w:t>
            </w:r>
          </w:p>
          <w:p w:rsidR="002A21AE" w:rsidRDefault="002A21AE">
            <w:pPr>
              <w:pStyle w:val="TableTextBullet1"/>
            </w:pPr>
            <w:r>
              <w:rPr>
                <w:b/>
              </w:rPr>
              <w:t>Yes</w:t>
            </w:r>
            <w:r>
              <w:t xml:space="preserve"> (test result replacement is needed) changes the task status to “correction” to return the task to the PTL for completion.</w:t>
            </w:r>
          </w:p>
          <w:p w:rsidR="002A21AE" w:rsidRDefault="002A21AE">
            <w:pPr>
              <w:pStyle w:val="TableTextBullet1"/>
            </w:pPr>
            <w:r>
              <w:rPr>
                <w:b/>
              </w:rPr>
              <w:t>No</w:t>
            </w:r>
            <w:r>
              <w:t xml:space="preserve"> (test replacement is not needed) marks the erroneous test results as “Test Result Invalidated”; the task status does not change.</w:t>
            </w:r>
          </w:p>
          <w:p w:rsidR="002A21AE" w:rsidRDefault="002A21AE" w:rsidP="002277BE">
            <w:pPr>
              <w:pStyle w:val="TableTextBullet"/>
            </w:pPr>
            <w:r>
              <w:t>When the user selects all the diagnostic tests associated with a specimen, displays an option to mark the specimen unacceptable and invalidate the tests.</w:t>
            </w:r>
          </w:p>
        </w:tc>
      </w:tr>
      <w:tr w:rsidR="002A21AE">
        <w:tblPrEx>
          <w:tblCellMar>
            <w:top w:w="0" w:type="dxa"/>
            <w:bottom w:w="0" w:type="dxa"/>
          </w:tblCellMar>
        </w:tblPrEx>
        <w:tc>
          <w:tcPr>
            <w:tcW w:w="3240" w:type="dxa"/>
          </w:tcPr>
          <w:p w:rsidR="002A21AE" w:rsidRDefault="002A21AE">
            <w:pPr>
              <w:pStyle w:val="TableTextNumbers"/>
            </w:pPr>
            <w:r>
              <w:t>Select the test to invalidate from the Patient Test Results list.</w:t>
            </w:r>
          </w:p>
          <w:p w:rsidR="002A21AE" w:rsidRDefault="002A21AE">
            <w:pPr>
              <w:pStyle w:val="TableTextNumbersContinued"/>
            </w:pPr>
          </w:p>
          <w:p w:rsidR="002A21AE" w:rsidRDefault="002A21AE">
            <w:pPr>
              <w:pStyle w:val="TableTextNumbersContinued"/>
            </w:pPr>
            <w:r>
              <w:t xml:space="preserve">Click </w:t>
            </w:r>
            <w:r>
              <w:rPr>
                <w:b/>
              </w:rPr>
              <w:t>Invalidate Results</w:t>
            </w:r>
            <w:r w:rsidR="004C67AB" w:rsidRPr="004C67AB">
              <w:t xml:space="preserve"> (</w:t>
            </w:r>
            <w:r w:rsidR="004C67AB">
              <w:fldChar w:fldCharType="begin"/>
            </w:r>
            <w:r w:rsidR="004C67AB">
              <w:instrText xml:space="preserve"> REF _Ref127159868 \h </w:instrText>
            </w:r>
            <w:r w:rsidR="004C67AB">
              <w:fldChar w:fldCharType="separate"/>
            </w:r>
            <w:r w:rsidR="005F38BC">
              <w:t xml:space="preserve">Figure </w:t>
            </w:r>
            <w:r w:rsidR="005F38BC">
              <w:rPr>
                <w:noProof/>
              </w:rPr>
              <w:t>107</w:t>
            </w:r>
            <w:r w:rsidR="004C67AB">
              <w:fldChar w:fldCharType="end"/>
            </w:r>
            <w:r w:rsidR="004C67AB" w:rsidRPr="004C67AB">
              <w:t>)</w:t>
            </w:r>
            <w:r>
              <w:t>.</w:t>
            </w:r>
          </w:p>
          <w:p w:rsidR="002A21AE" w:rsidRDefault="002A21AE">
            <w:pPr>
              <w:pStyle w:val="TableTextNumbersContinued"/>
            </w:pPr>
          </w:p>
          <w:p w:rsidR="002A21AE" w:rsidRDefault="002A21AE">
            <w:pPr>
              <w:pStyle w:val="TableTextNumbersContinued"/>
            </w:pPr>
            <w:r>
              <w:t>Enter a comment.</w:t>
            </w:r>
          </w:p>
          <w:p w:rsidR="002A21AE" w:rsidRDefault="002A21AE">
            <w:pPr>
              <w:pStyle w:val="TableTextNumbersContinued"/>
            </w:pPr>
          </w:p>
          <w:p w:rsidR="002A21AE" w:rsidRDefault="002A21AE">
            <w:pPr>
              <w:pStyle w:val="TableTextNumbersContinued"/>
            </w:pPr>
            <w:r>
              <w:t xml:space="preserve">Click the </w:t>
            </w:r>
            <w:r>
              <w:rPr>
                <w:b/>
              </w:rPr>
              <w:t xml:space="preserve">Add test to the Pending Task List to allow for replacement results </w:t>
            </w:r>
            <w:r w:rsidRPr="00D1100E">
              <w:t>check box</w:t>
            </w:r>
            <w:r>
              <w:t>, if appropriate.</w:t>
            </w:r>
          </w:p>
          <w:p w:rsidR="002A21AE" w:rsidRDefault="002A21AE">
            <w:pPr>
              <w:pStyle w:val="TableTextNumbersContinued"/>
            </w:pPr>
          </w:p>
          <w:p w:rsidR="002A21AE" w:rsidRDefault="002A21AE">
            <w:pPr>
              <w:pStyle w:val="TableTextNumbersContinued"/>
            </w:pPr>
            <w:r>
              <w:t xml:space="preserve">Click </w:t>
            </w:r>
            <w:r w:rsidRPr="003B3B94">
              <w:rPr>
                <w:b/>
              </w:rPr>
              <w:t>OK</w:t>
            </w:r>
            <w:r>
              <w:t>.</w:t>
            </w:r>
          </w:p>
        </w:tc>
        <w:tc>
          <w:tcPr>
            <w:tcW w:w="6120" w:type="dxa"/>
          </w:tcPr>
          <w:p w:rsidR="002A21AE" w:rsidRDefault="002A21AE">
            <w:pPr>
              <w:pStyle w:val="TableTextBullet"/>
            </w:pPr>
            <w:r>
              <w:t>Asks the user whether he wishes to change the specimen status to “unacceptable.”</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9219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17" name="Lin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8" o:spid="_x0000_s1026" style="position:absolute;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GvFgIAAC0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CP&#10;wLGvFgIAAC0EAAAOAAAAAAAAAAAAAAAAAC4CAABkcnMvZTJvRG9jLnhtbFBLAQItABQABgAIAAAA&#10;IQAXTzAS2wAAAAgBAAAPAAAAAAAAAAAAAAAAAHAEAABkcnMvZG93bnJldi54bWxQSwUGAAAAAAQA&#10;BADzAAAAeAUAAAAA&#10;" strokeweight="1.5pt"/>
                  </w:pict>
                </mc:Fallback>
              </mc:AlternateContent>
            </w:r>
            <w:r w:rsidR="002A21AE">
              <w:rPr>
                <w:b/>
                <w:bCs/>
                <w:szCs w:val="18"/>
              </w:rPr>
              <w:t>NOTES</w:t>
            </w:r>
          </w:p>
          <w:p w:rsidR="002A21AE" w:rsidRDefault="002A21AE">
            <w:pPr>
              <w:pStyle w:val="NotesText"/>
            </w:pPr>
          </w:p>
          <w:p w:rsidR="001B2013" w:rsidRPr="001B2013" w:rsidRDefault="001B2013">
            <w:pPr>
              <w:pStyle w:val="NotesText"/>
              <w:rPr>
                <w:rFonts w:cs="Arial"/>
              </w:rPr>
            </w:pPr>
            <w:r>
              <w:rPr>
                <w:rFonts w:cs="Arial"/>
              </w:rPr>
              <w:t>T</w:t>
            </w:r>
            <w:r w:rsidRPr="001B2013">
              <w:rPr>
                <w:rFonts w:cs="Arial"/>
              </w:rPr>
              <w:t xml:space="preserve">o </w:t>
            </w:r>
            <w:r>
              <w:rPr>
                <w:rFonts w:cs="Arial"/>
              </w:rPr>
              <w:t>maintain</w:t>
            </w:r>
            <w:r w:rsidRPr="001B2013">
              <w:rPr>
                <w:rFonts w:cs="Arial"/>
              </w:rPr>
              <w:t xml:space="preserve"> a clear record</w:t>
            </w:r>
            <w:r>
              <w:rPr>
                <w:rFonts w:cs="Arial"/>
              </w:rPr>
              <w:t xml:space="preserve"> and system checks, invalidate both original and repeat ABO/Rh tests</w:t>
            </w:r>
            <w:r w:rsidRPr="001B2013">
              <w:rPr>
                <w:rFonts w:cs="Arial"/>
              </w:rPr>
              <w:t xml:space="preserve">. </w:t>
            </w:r>
          </w:p>
          <w:p w:rsidR="001B2013" w:rsidRDefault="001B2013">
            <w:pPr>
              <w:pStyle w:val="NotesText"/>
              <w:rPr>
                <w:rFonts w:cs="Arial"/>
              </w:rPr>
            </w:pPr>
          </w:p>
          <w:p w:rsidR="002A21AE" w:rsidRDefault="002A21AE">
            <w:pPr>
              <w:pStyle w:val="NotesText"/>
            </w:pPr>
            <w:r>
              <w:rPr>
                <w:rFonts w:cs="Arial"/>
                <w:vanish/>
              </w:rPr>
              <w:t xml:space="preserve">BR_94.05 </w:t>
            </w:r>
            <w:r>
              <w:t xml:space="preserve">When the user invalidated all of the diagnostic tests associated with a given specimen, VBECS asks whether the user wishes to change the specimen to “unacceptable.” </w:t>
            </w:r>
            <w:r>
              <w:rPr>
                <w:b/>
              </w:rPr>
              <w:t>No</w:t>
            </w:r>
            <w:r>
              <w:t xml:space="preserve"> allows the user to invalidate the test results without making the specimen unacceptable. </w:t>
            </w:r>
            <w:r>
              <w:rPr>
                <w:b/>
              </w:rPr>
              <w:t>Yes</w:t>
            </w:r>
            <w:r>
              <w:t xml:space="preserve"> changes the specimen to “unacceptable” and requires a comment.</w:t>
            </w:r>
          </w:p>
        </w:tc>
      </w:tr>
      <w:tr w:rsidR="002A21AE">
        <w:tblPrEx>
          <w:tblCellMar>
            <w:top w:w="0" w:type="dxa"/>
            <w:bottom w:w="0" w:type="dxa"/>
          </w:tblCellMar>
        </w:tblPrEx>
        <w:tc>
          <w:tcPr>
            <w:tcW w:w="3240" w:type="dxa"/>
          </w:tcPr>
          <w:p w:rsidR="002A21AE" w:rsidRDefault="002A21AE">
            <w:pPr>
              <w:pStyle w:val="TableTextNumbers"/>
            </w:pPr>
            <w:r>
              <w:lastRenderedPageBreak/>
              <w:t xml:space="preserve">Click </w:t>
            </w:r>
            <w:r>
              <w:rPr>
                <w:b/>
              </w:rPr>
              <w:t xml:space="preserve">OK </w:t>
            </w:r>
            <w:r>
              <w:t xml:space="preserve">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rsidR="002A21AE" w:rsidRDefault="002A21AE">
            <w:pPr>
              <w:pStyle w:val="NotesText"/>
            </w:pPr>
          </w:p>
        </w:tc>
      </w:tr>
    </w:tbl>
    <w:p w:rsidR="004C67AB" w:rsidRDefault="004C67AB" w:rsidP="004C67AB">
      <w:pPr>
        <w:pStyle w:val="Caption"/>
      </w:pPr>
      <w:bookmarkStart w:id="428" w:name="_Ref127159551"/>
      <w:r>
        <w:t xml:space="preserve">Figure </w:t>
      </w:r>
      <w:r w:rsidR="00C17F7C">
        <w:fldChar w:fldCharType="begin"/>
      </w:r>
      <w:r w:rsidR="00C17F7C">
        <w:instrText xml:space="preserve"> SEQ Figure \* ARABIC </w:instrText>
      </w:r>
      <w:r w:rsidR="00C17F7C">
        <w:fldChar w:fldCharType="separate"/>
      </w:r>
      <w:r w:rsidR="005F38BC">
        <w:rPr>
          <w:noProof/>
        </w:rPr>
        <w:t>106</w:t>
      </w:r>
      <w:r w:rsidR="00C17F7C">
        <w:fldChar w:fldCharType="end"/>
      </w:r>
      <w:bookmarkEnd w:id="428"/>
      <w:r>
        <w:t>: Invalidate Patient Test Results</w:t>
      </w:r>
    </w:p>
    <w:p w:rsidR="004C67AB" w:rsidRDefault="00634BFC" w:rsidP="004C67AB">
      <w:pPr>
        <w:pStyle w:val="BodyText"/>
      </w:pPr>
      <w:r>
        <w:rPr>
          <w:noProof/>
        </w:rPr>
        <w:drawing>
          <wp:inline distT="0" distB="0" distL="0" distR="0">
            <wp:extent cx="5943600" cy="353377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943600" cy="3533775"/>
                    </a:xfrm>
                    <a:prstGeom prst="rect">
                      <a:avLst/>
                    </a:prstGeom>
                    <a:noFill/>
                    <a:ln>
                      <a:noFill/>
                    </a:ln>
                  </pic:spPr>
                </pic:pic>
              </a:graphicData>
            </a:graphic>
          </wp:inline>
        </w:drawing>
      </w:r>
    </w:p>
    <w:p w:rsidR="004C67AB" w:rsidRPr="004C67AB" w:rsidRDefault="004C67AB" w:rsidP="002D153F">
      <w:pPr>
        <w:pStyle w:val="BodyText"/>
      </w:pPr>
    </w:p>
    <w:p w:rsidR="004C67AB" w:rsidRDefault="004C67AB" w:rsidP="004C67AB">
      <w:pPr>
        <w:pStyle w:val="Caption"/>
      </w:pPr>
      <w:bookmarkStart w:id="429" w:name="_Ref127159868"/>
      <w:r>
        <w:lastRenderedPageBreak/>
        <w:t xml:space="preserve">Figure </w:t>
      </w:r>
      <w:r w:rsidR="00C17F7C">
        <w:fldChar w:fldCharType="begin"/>
      </w:r>
      <w:r w:rsidR="00C17F7C">
        <w:instrText xml:space="preserve"> SEQ Figure \* ARABIC </w:instrText>
      </w:r>
      <w:r w:rsidR="00C17F7C">
        <w:fldChar w:fldCharType="separate"/>
      </w:r>
      <w:r w:rsidR="005F38BC">
        <w:rPr>
          <w:noProof/>
        </w:rPr>
        <w:t>107</w:t>
      </w:r>
      <w:r w:rsidR="00C17F7C">
        <w:fldChar w:fldCharType="end"/>
      </w:r>
      <w:bookmarkEnd w:id="429"/>
      <w:r>
        <w:t>: Confirm Invalidation</w:t>
      </w:r>
    </w:p>
    <w:p w:rsidR="004C67AB" w:rsidRDefault="00634BFC" w:rsidP="004C67AB">
      <w:pPr>
        <w:pStyle w:val="BodyText"/>
      </w:pPr>
      <w:r>
        <w:rPr>
          <w:noProof/>
        </w:rPr>
        <w:drawing>
          <wp:inline distT="0" distB="0" distL="0" distR="0">
            <wp:extent cx="5934075" cy="3752850"/>
            <wp:effectExtent l="0" t="0" r="952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934075" cy="3752850"/>
                    </a:xfrm>
                    <a:prstGeom prst="rect">
                      <a:avLst/>
                    </a:prstGeom>
                    <a:noFill/>
                    <a:ln>
                      <a:noFill/>
                    </a:ln>
                  </pic:spPr>
                </pic:pic>
              </a:graphicData>
            </a:graphic>
          </wp:inline>
        </w:drawing>
      </w:r>
    </w:p>
    <w:p w:rsidR="002A21AE" w:rsidRDefault="002A21AE" w:rsidP="004C67AB">
      <w:pPr>
        <w:pStyle w:val="Heading2"/>
      </w:pPr>
      <w:r>
        <w:br w:type="page"/>
      </w:r>
      <w:bookmarkStart w:id="430" w:name="_Toc459900129"/>
      <w:r>
        <w:lastRenderedPageBreak/>
        <w:t>Remove Final Status</w:t>
      </w:r>
      <w:bookmarkEnd w:id="430"/>
      <w:r w:rsidRPr="007B1B11">
        <w:rPr>
          <w:rFonts w:ascii="Arial Bold" w:hAnsi="Arial Bold"/>
          <w:vanish/>
        </w:rPr>
        <w:fldChar w:fldCharType="begin"/>
      </w:r>
      <w:r w:rsidRPr="007B1B11">
        <w:rPr>
          <w:rFonts w:ascii="Arial Bold" w:hAnsi="Arial Bold"/>
          <w:vanish/>
        </w:rPr>
        <w:instrText xml:space="preserve"> XE </w:instrText>
      </w:r>
      <w:r w:rsidR="00FA7E65" w:rsidRPr="007B1B11">
        <w:rPr>
          <w:rFonts w:ascii="Arial Bold" w:hAnsi="Arial Bold"/>
          <w:vanish/>
        </w:rPr>
        <w:instrText>“</w:instrText>
      </w:r>
      <w:r w:rsidRPr="007B1B11">
        <w:rPr>
          <w:rFonts w:ascii="Arial Bold" w:hAnsi="Arial Bold"/>
          <w:vanish/>
        </w:rPr>
        <w:instrText>Remove Final Status</w:instrText>
      </w:r>
      <w:r w:rsidR="00FA7E65" w:rsidRPr="007B1B11">
        <w:rPr>
          <w:rFonts w:ascii="Arial Bold" w:hAnsi="Arial Bold"/>
          <w:vanish/>
        </w:rPr>
        <w:instrText>”</w:instrText>
      </w:r>
      <w:r w:rsidRPr="007B1B11">
        <w:rPr>
          <w:rFonts w:ascii="Arial Bold" w:hAnsi="Arial Bold"/>
          <w:vanish/>
        </w:rPr>
        <w:instrText xml:space="preserve"> </w:instrText>
      </w:r>
      <w:r w:rsidRPr="007B1B11">
        <w:rPr>
          <w:rFonts w:ascii="Arial Bold" w:hAnsi="Arial Bold"/>
          <w:vanish/>
        </w:rPr>
        <w:fldChar w:fldCharType="end"/>
      </w:r>
      <w:r w:rsidRPr="007B1B11">
        <w:rPr>
          <w:rFonts w:ascii="Arial Bold" w:hAnsi="Arial Bold"/>
          <w:vanish/>
        </w:rPr>
        <w:t xml:space="preserve"> UC_13</w:t>
      </w:r>
    </w:p>
    <w:p w:rsidR="002A21AE" w:rsidRDefault="002A21AE" w:rsidP="00FA7E65">
      <w:pPr>
        <w:pStyle w:val="BodyText"/>
      </w:pPr>
      <w:r>
        <w:t xml:space="preserve">The user removes a final status from a unit. All other statuses are manipulated through normal system rules and practices. </w:t>
      </w:r>
    </w:p>
    <w:p w:rsidR="002A21AE" w:rsidRDefault="002A21AE">
      <w:pPr>
        <w:pStyle w:val="Heading4"/>
      </w:pPr>
      <w:r>
        <w:t>Assumptions</w:t>
      </w:r>
      <w:r>
        <w:rPr>
          <w:b w:val="0"/>
        </w:rPr>
        <w:t xml:space="preserve"> </w:t>
      </w:r>
    </w:p>
    <w:p w:rsidR="002A21AE" w:rsidRDefault="002A21AE">
      <w:pPr>
        <w:pStyle w:val="ListBullet"/>
      </w:pPr>
      <w:r>
        <w:t>The user is logged into the division containing the unit record.</w:t>
      </w:r>
    </w:p>
    <w:p w:rsidR="002A21AE" w:rsidRDefault="002A21AE">
      <w:pPr>
        <w:pStyle w:val="ListBullet"/>
      </w:pPr>
      <w:r>
        <w:t>The unit is in a final (transfused, transferred, modified, discarded) status.</w:t>
      </w:r>
    </w:p>
    <w:p w:rsidR="002A21AE" w:rsidRDefault="002A21AE">
      <w:pPr>
        <w:pStyle w:val="ListBullet"/>
      </w:pPr>
      <w:r>
        <w:t xml:space="preserve">The user must invalidate the modification status of the split </w:t>
      </w:r>
      <w:r w:rsidR="0071792D">
        <w:t xml:space="preserve">or pooled </w:t>
      </w:r>
      <w:r>
        <w:t xml:space="preserve">units, and then the original unit or pool. </w:t>
      </w:r>
    </w:p>
    <w:p w:rsidR="002A21AE" w:rsidRDefault="002A21AE">
      <w:pPr>
        <w:pStyle w:val="Heading4"/>
      </w:pPr>
      <w:r>
        <w:t>Outcome</w:t>
      </w:r>
    </w:p>
    <w:p w:rsidR="002A21AE" w:rsidRDefault="002A21AE">
      <w:pPr>
        <w:pStyle w:val="ListBullet"/>
      </w:pPr>
      <w:r>
        <w:t xml:space="preserve">The new information was saved with the unit’s </w:t>
      </w:r>
      <w:r w:rsidR="0051757B">
        <w:t>historic</w:t>
      </w:r>
      <w:r>
        <w:t xml:space="preserve"> record.</w:t>
      </w:r>
    </w:p>
    <w:p w:rsidR="002A21AE" w:rsidRDefault="002A21AE">
      <w:pPr>
        <w:pStyle w:val="ListBullet"/>
      </w:pPr>
      <w:r>
        <w:t xml:space="preserve">The unit is in the status immediately prior to the final status. </w:t>
      </w:r>
    </w:p>
    <w:p w:rsidR="002A21AE" w:rsidRDefault="002A21AE">
      <w:pPr>
        <w:pStyle w:val="Heading4"/>
      </w:pPr>
      <w:r>
        <w:t>Limitations and Restrictions</w:t>
      </w:r>
      <w:r>
        <w:rPr>
          <w:b w:val="0"/>
        </w:rPr>
        <w:t xml:space="preserve"> </w:t>
      </w:r>
    </w:p>
    <w:p w:rsidR="002A21AE" w:rsidRDefault="002A21AE">
      <w:pPr>
        <w:pStyle w:val="ListBullet"/>
      </w:pPr>
      <w:r>
        <w:t>This option applies only to the release of units in final statuses.</w:t>
      </w:r>
    </w:p>
    <w:p w:rsidR="002A21AE" w:rsidRDefault="002A21AE">
      <w:pPr>
        <w:pStyle w:val="Heading4"/>
      </w:pPr>
      <w:r>
        <w:t>Additional Information</w:t>
      </w:r>
      <w:r>
        <w:rPr>
          <w:rFonts w:ascii="Times New Roman" w:hAnsi="Times New Roman"/>
          <w:i/>
          <w:sz w:val="24"/>
        </w:rPr>
        <w:t xml:space="preserve"> </w:t>
      </w:r>
    </w:p>
    <w:p w:rsidR="002A21AE" w:rsidRDefault="002A21AE">
      <w:pPr>
        <w:pStyle w:val="ListBullet"/>
      </w:pPr>
      <w:r>
        <w:t>This option allows a user to restore a unit to inventory from a final status. It may be used to begin undoing a transfusion episode (step by step in reverse order) or correct a unit modification record.</w:t>
      </w:r>
    </w:p>
    <w:p w:rsidR="002A21AE" w:rsidRDefault="002A21AE">
      <w:pPr>
        <w:pStyle w:val="ListBullet"/>
      </w:pPr>
      <w:r>
        <w:t>“Issued” is not a final unit status.</w:t>
      </w:r>
    </w:p>
    <w:p w:rsidR="002A21AE" w:rsidRDefault="002A21AE">
      <w:pPr>
        <w:pStyle w:val="ListBullet"/>
      </w:pPr>
      <w:r>
        <w:t xml:space="preserve">This option is not used to add units to or remove them from a pool. </w:t>
      </w:r>
    </w:p>
    <w:p w:rsidR="002A21AE" w:rsidRDefault="002A21AE">
      <w:pPr>
        <w:pStyle w:val="Heading4"/>
        <w:rPr>
          <w:b w:val="0"/>
        </w:rPr>
      </w:pPr>
      <w:r>
        <w:t>User Roles with Access to This Option</w:t>
      </w:r>
      <w:r>
        <w:rPr>
          <w:b w:val="0"/>
        </w:rPr>
        <w:t xml:space="preserve"> </w:t>
      </w:r>
    </w:p>
    <w:p w:rsidR="002A21AE" w:rsidRDefault="002A21AE" w:rsidP="00EE665E">
      <w:pPr>
        <w:pStyle w:val="BodyText"/>
      </w:pPr>
      <w:r w:rsidRPr="000F12D4">
        <w:rPr>
          <w:rStyle w:val="RolesChar1"/>
          <w:rFonts w:ascii="Wingdings 3" w:hAnsi="Wingdings 3"/>
        </w:rPr>
        <w:t></w:t>
      </w:r>
      <w:r w:rsidRPr="000F12D4">
        <w:rPr>
          <w:rStyle w:val="RolesChar1"/>
          <w:rFonts w:ascii="Wingdings 3" w:hAnsi="Wingdings 3"/>
        </w:rPr>
        <w:t></w:t>
      </w:r>
      <w:r w:rsidRPr="000F12D4">
        <w:rPr>
          <w:rStyle w:val="RolesChar1"/>
          <w:rFonts w:ascii="Wingdings 3" w:hAnsi="Wingdings 3"/>
        </w:rPr>
        <w:t></w:t>
      </w:r>
      <w:r w:rsidRPr="000F12D4">
        <w:rPr>
          <w:rStyle w:val="RolesChar1"/>
          <w:rFonts w:ascii="Wingdings 3" w:hAnsi="Wingdings 3"/>
        </w:rPr>
        <w:t></w:t>
      </w:r>
      <w:r>
        <w:t xml:space="preserve"> </w:t>
      </w:r>
      <w:r w:rsidRPr="00EE665E">
        <w:t>Traditional Supervisor</w:t>
      </w:r>
      <w:r>
        <w:t xml:space="preserve"> </w:t>
      </w:r>
    </w:p>
    <w:p w:rsidR="002A21AE" w:rsidRDefault="002A21AE">
      <w:pPr>
        <w:pStyle w:val="Heading4"/>
      </w:pPr>
      <w:r>
        <w:t>Remove Final Status</w:t>
      </w:r>
    </w:p>
    <w:p w:rsidR="00B25F6C" w:rsidRDefault="002A21AE" w:rsidP="00FA7E65">
      <w:pPr>
        <w:pStyle w:val="BodyText"/>
      </w:pPr>
      <w:r>
        <w:t>The user corrects a clerical error: a unit was processed and moved to a final status in the computer incorrectly.</w:t>
      </w:r>
    </w:p>
    <w:p w:rsidR="00B25F6C" w:rsidRPr="00D93651" w:rsidRDefault="002A21AE" w:rsidP="00B25F6C">
      <w:pPr>
        <w:pStyle w:val="Caution"/>
        <w:ind w:right="180"/>
      </w:pPr>
      <w:r>
        <w:t xml:space="preserve"> </w:t>
      </w:r>
      <w:r w:rsidR="00634BFC">
        <w:rPr>
          <w:noProof/>
        </w:rPr>
        <w:drawing>
          <wp:inline distT="0" distB="0" distL="0" distR="0">
            <wp:extent cx="266700" cy="219075"/>
            <wp:effectExtent l="0" t="0" r="0"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B25F6C">
        <w:t>Removing final status of a unit reported as transfused by the Transfusion Verification application will create a discrepancy between the systems. Changes or updates to a transfusion record must be made in the Transfusion Verification application first.</w:t>
      </w:r>
      <w:r w:rsidR="00B25F6C">
        <w:rPr>
          <w:vanish/>
        </w:rPr>
        <w:t xml:space="preserve"> DR 4134</w:t>
      </w:r>
      <w:r w:rsidR="00B25F6C">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pPr>
              <w:pStyle w:val="TableTextNumbers"/>
            </w:pPr>
            <w:r>
              <w:t xml:space="preserve">Select </w:t>
            </w:r>
            <w:r>
              <w:rPr>
                <w:b/>
              </w:rPr>
              <w:t>Supervisor</w:t>
            </w:r>
            <w:r>
              <w:t xml:space="preserve"> from the main menu. </w:t>
            </w:r>
          </w:p>
          <w:p w:rsidR="002A21AE" w:rsidRDefault="002A21AE">
            <w:pPr>
              <w:pStyle w:val="TableTextNumbersContinued"/>
            </w:pPr>
          </w:p>
          <w:p w:rsidR="002A21AE" w:rsidRDefault="002A21AE">
            <w:pPr>
              <w:pStyle w:val="TableTextNumbersContinued"/>
            </w:pPr>
            <w:r>
              <w:t xml:space="preserve">Select </w:t>
            </w:r>
            <w:r>
              <w:rPr>
                <w:b/>
              </w:rPr>
              <w:t>Remove Final Status</w:t>
            </w:r>
            <w:r>
              <w:t>.</w:t>
            </w:r>
          </w:p>
        </w:tc>
        <w:tc>
          <w:tcPr>
            <w:tcW w:w="6120" w:type="dxa"/>
          </w:tcPr>
          <w:p w:rsidR="002A21AE" w:rsidRDefault="002A21AE">
            <w:pPr>
              <w:pStyle w:val="TableTextBullet"/>
            </w:pPr>
            <w:r>
              <w:t>Displays options available to supervisors</w:t>
            </w:r>
            <w:r w:rsidR="00922AD8">
              <w:t>.</w:t>
            </w:r>
          </w:p>
          <w:p w:rsidR="002A21AE" w:rsidRDefault="002A21AE">
            <w:pPr>
              <w:pStyle w:val="TableTextBullet"/>
            </w:pPr>
            <w:r>
              <w:t>Displays fields for selecting a unit and removing its final status.</w:t>
            </w:r>
          </w:p>
        </w:tc>
      </w:tr>
      <w:tr w:rsidR="002A21AE">
        <w:tblPrEx>
          <w:tblCellMar>
            <w:top w:w="0" w:type="dxa"/>
            <w:bottom w:w="0" w:type="dxa"/>
          </w:tblCellMar>
        </w:tblPrEx>
        <w:trPr>
          <w:tblHeader/>
        </w:trPr>
        <w:tc>
          <w:tcPr>
            <w:tcW w:w="3240" w:type="dxa"/>
          </w:tcPr>
          <w:p w:rsidR="002A21AE" w:rsidRDefault="002A21AE">
            <w:pPr>
              <w:pStyle w:val="TableTextNumbers"/>
            </w:pPr>
            <w:r>
              <w:lastRenderedPageBreak/>
              <w:t xml:space="preserve">Scan or enter a unit ID or product code, or click the </w:t>
            </w:r>
            <w:r w:rsidR="00A6373D">
              <w:rPr>
                <w:b/>
              </w:rPr>
              <w:t>find</w:t>
            </w:r>
            <w:r>
              <w:rPr>
                <w:b/>
              </w:rPr>
              <w:t xml:space="preserve"> </w:t>
            </w:r>
            <w:r w:rsidRPr="00D1100E">
              <w:t>button</w:t>
            </w:r>
            <w:r>
              <w:t xml:space="preserve"> to select a unit from the drop-down list.</w:t>
            </w:r>
          </w:p>
        </w:tc>
        <w:tc>
          <w:tcPr>
            <w:tcW w:w="6120" w:type="dxa"/>
          </w:tcPr>
          <w:p w:rsidR="002A21AE" w:rsidRDefault="002A21AE">
            <w:pPr>
              <w:pStyle w:val="TableTextBullet"/>
            </w:pPr>
            <w:r>
              <w:t>Displays unit data,</w:t>
            </w:r>
            <w:r>
              <w:rPr>
                <w:rFonts w:cs="Arial"/>
              </w:rPr>
              <w:t xml:space="preserve"> including the previous and current unit statuses.</w:t>
            </w:r>
          </w:p>
          <w:p w:rsidR="002A21AE" w:rsidRDefault="00123ED4">
            <w:pPr>
              <w:pStyle w:val="TableTextBullet"/>
            </w:pPr>
            <w:r w:rsidRPr="00123ED4">
              <w:rPr>
                <w:vanish/>
                <w:szCs w:val="18"/>
              </w:rPr>
              <w:t>BR_13.01</w:t>
            </w:r>
            <w:r w:rsidR="008F079B">
              <w:rPr>
                <w:vanish/>
                <w:szCs w:val="18"/>
              </w:rPr>
              <w:t xml:space="preserve"> </w:t>
            </w:r>
            <w:r w:rsidR="002A21AE">
              <w:t>Warns the user to proceed with caution.</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1267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16" name="Lin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8"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HdvFQIAAC0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PGA&#10;d28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rPr>
                <w:rFonts w:cs="Arial"/>
              </w:rPr>
            </w:pPr>
            <w:r>
              <w:rPr>
                <w:rFonts w:cs="Arial"/>
                <w:vanish/>
              </w:rPr>
              <w:t xml:space="preserve">BR_13.04 </w:t>
            </w:r>
            <w:r>
              <w:t>VBECS warns the user</w:t>
            </w:r>
            <w:r>
              <w:rPr>
                <w:rFonts w:cs="Arial"/>
              </w:rPr>
              <w:t xml:space="preserve"> when the unit does not have a final status</w:t>
            </w:r>
            <w:r w:rsidR="002E2AAE">
              <w:rPr>
                <w:rFonts w:cs="Arial"/>
              </w:rPr>
              <w:t xml:space="preserve"> or was not modified</w:t>
            </w:r>
            <w:r w:rsidR="00295AB3">
              <w:rPr>
                <w:rFonts w:cs="Arial"/>
              </w:rPr>
              <w:t xml:space="preserve"> (other than pool, thaw/pool, and split)</w:t>
            </w:r>
            <w:r>
              <w:t>. The user may select another unit.</w:t>
            </w:r>
          </w:p>
          <w:p w:rsidR="002A21AE" w:rsidRDefault="002A21AE">
            <w:pPr>
              <w:pStyle w:val="NotesText"/>
              <w:rPr>
                <w:rFonts w:cs="Arial"/>
              </w:rPr>
            </w:pPr>
          </w:p>
          <w:p w:rsidR="002A21AE" w:rsidRDefault="002A21AE">
            <w:pPr>
              <w:pStyle w:val="NotesText"/>
            </w:pPr>
            <w:r>
              <w:rPr>
                <w:rFonts w:cs="Arial"/>
                <w:vanish/>
              </w:rPr>
              <w:t xml:space="preserve">BR_13.05 </w:t>
            </w:r>
            <w:r>
              <w:t>When the final status is “modified” (</w:t>
            </w:r>
            <w:r w:rsidR="00690E42">
              <w:rPr>
                <w:rFonts w:cs="Arial"/>
              </w:rPr>
              <w:t>pooled, thaw/pooled, or split</w:t>
            </w:r>
            <w:r>
              <w:t>), VBECS verifies that the target unit is invalidated. When the target unit was not invalidated, the user may not continue.</w:t>
            </w:r>
          </w:p>
        </w:tc>
      </w:tr>
      <w:tr w:rsidR="002A21AE">
        <w:tblPrEx>
          <w:tblCellMar>
            <w:top w:w="0" w:type="dxa"/>
            <w:bottom w:w="0" w:type="dxa"/>
          </w:tblCellMar>
        </w:tblPrEx>
        <w:trPr>
          <w:cantSplit/>
        </w:trPr>
        <w:tc>
          <w:tcPr>
            <w:tcW w:w="3240" w:type="dxa"/>
          </w:tcPr>
          <w:p w:rsidR="002A21AE" w:rsidRDefault="002A21AE">
            <w:pPr>
              <w:pStyle w:val="TableTextNumbers"/>
            </w:pPr>
            <w:r>
              <w:t>Verify that the unit selected is the desired unit.</w:t>
            </w:r>
          </w:p>
          <w:p w:rsidR="000B79B3" w:rsidRDefault="000B79B3" w:rsidP="000B79B3">
            <w:pPr>
              <w:pStyle w:val="TableTextNumbersContinued"/>
            </w:pPr>
          </w:p>
          <w:p w:rsidR="000B79B3" w:rsidRDefault="000B79B3" w:rsidP="000B79B3">
            <w:pPr>
              <w:pStyle w:val="TableTextNumbersContinued"/>
            </w:pPr>
            <w:r>
              <w:t xml:space="preserve">Click </w:t>
            </w:r>
            <w:r w:rsidRPr="000B79B3">
              <w:rPr>
                <w:b/>
              </w:rPr>
              <w:t>OK</w:t>
            </w:r>
            <w:r>
              <w:t>.</w:t>
            </w:r>
          </w:p>
          <w:p w:rsidR="002A21AE" w:rsidRDefault="002A21AE" w:rsidP="000B79B3">
            <w:pPr>
              <w:pStyle w:val="TableTextNumbersContinued"/>
            </w:pPr>
          </w:p>
          <w:p w:rsidR="002A21AE" w:rsidRDefault="002A21AE">
            <w:pPr>
              <w:pStyle w:val="TableTextNumbersContinued"/>
            </w:pPr>
            <w:r>
              <w:t>Enter a comment</w:t>
            </w:r>
            <w:r w:rsidR="007F4644">
              <w:t xml:space="preserve"> (</w:t>
            </w:r>
            <w:r w:rsidR="007F4644">
              <w:fldChar w:fldCharType="begin"/>
            </w:r>
            <w:r w:rsidR="007F4644">
              <w:instrText xml:space="preserve"> REF _Ref128468634 \h </w:instrText>
            </w:r>
            <w:r w:rsidR="007F4644">
              <w:fldChar w:fldCharType="separate"/>
            </w:r>
            <w:r w:rsidR="005F38BC">
              <w:t xml:space="preserve">Figure </w:t>
            </w:r>
            <w:r w:rsidR="005F38BC">
              <w:rPr>
                <w:noProof/>
              </w:rPr>
              <w:t>108</w:t>
            </w:r>
            <w:r w:rsidR="007F4644">
              <w:fldChar w:fldCharType="end"/>
            </w:r>
            <w:r w:rsidR="007F4644">
              <w:t>)</w:t>
            </w:r>
            <w:r>
              <w:t>.</w:t>
            </w:r>
          </w:p>
        </w:tc>
        <w:tc>
          <w:tcPr>
            <w:tcW w:w="6120" w:type="dxa"/>
          </w:tcPr>
          <w:p w:rsidR="002A21AE" w:rsidRDefault="002A21AE">
            <w:pPr>
              <w:pStyle w:val="TableTextBullet"/>
            </w:pPr>
            <w:r>
              <w:t>Asks the user if he would like to remove the final status.</w:t>
            </w:r>
          </w:p>
          <w:p w:rsidR="002A21AE" w:rsidRDefault="002A21AE">
            <w:pPr>
              <w:pStyle w:val="TableTextBullet"/>
            </w:pPr>
            <w:r>
              <w:rPr>
                <w:rFonts w:cs="Arial"/>
                <w:vanish/>
              </w:rPr>
              <w:t xml:space="preserve">BR_13.02 </w:t>
            </w:r>
            <w:r>
              <w:t>Requires the user to enter an explanatory comment.</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1129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15"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1" o:spid="_x0000_s1026" style="position:absolute;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vbVFgIAAC0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Ak&#10;hvbVFgIAAC0EAAAOAAAAAAAAAAAAAAAAAC4CAABkcnMvZTJvRG9jLnhtbFBLAQItABQABgAIAAAA&#10;IQAXTzAS2wAAAAgBAAAPAAAAAAAAAAAAAAAAAHAEAABkcnMvZG93bnJldi54bWxQSwUGAAAAAAQA&#10;BADzAAAAeAUAAAAA&#10;" strokeweight="1.5pt"/>
                  </w:pict>
                </mc:Fallback>
              </mc:AlternateContent>
            </w:r>
            <w:r w:rsidR="002A21AE">
              <w:rPr>
                <w:b/>
                <w:bCs/>
                <w:szCs w:val="18"/>
              </w:rPr>
              <w:t>NOTES</w:t>
            </w:r>
          </w:p>
          <w:p w:rsidR="002A21AE" w:rsidRDefault="002A21AE">
            <w:pPr>
              <w:pStyle w:val="NotesText"/>
            </w:pPr>
          </w:p>
          <w:p w:rsidR="002A21AE" w:rsidRDefault="002A21AE">
            <w:pPr>
              <w:pStyle w:val="NotesText"/>
              <w:rPr>
                <w:rFonts w:cs="Arial"/>
              </w:rPr>
            </w:pPr>
            <w:r>
              <w:rPr>
                <w:rFonts w:cs="Arial"/>
                <w:vanish/>
              </w:rPr>
              <w:t xml:space="preserve">BR_13.03 </w:t>
            </w:r>
            <w:r>
              <w:rPr>
                <w:color w:val="000000"/>
                <w:szCs w:val="18"/>
              </w:rPr>
              <w:t>VBECS updates the unit status to the previous status and maintains restrictions on the original unit.</w:t>
            </w:r>
          </w:p>
        </w:tc>
      </w:tr>
      <w:tr w:rsidR="002A21AE">
        <w:tblPrEx>
          <w:tblCellMar>
            <w:top w:w="0" w:type="dxa"/>
            <w:bottom w:w="0" w:type="dxa"/>
          </w:tblCellMar>
        </w:tblPrEx>
        <w:trPr>
          <w:cantSplit/>
        </w:trPr>
        <w:tc>
          <w:tcPr>
            <w:tcW w:w="3240" w:type="dxa"/>
          </w:tcPr>
          <w:p w:rsidR="002A21AE" w:rsidRDefault="007F4644" w:rsidP="007F4644">
            <w:pPr>
              <w:pStyle w:val="TableTextNumbers"/>
            </w:pPr>
            <w:r>
              <w:t xml:space="preserve">Review the data, click </w:t>
            </w:r>
            <w:r>
              <w:rPr>
                <w:b/>
              </w:rPr>
              <w:t xml:space="preserve">OK </w:t>
            </w:r>
            <w:r>
              <w:t xml:space="preserve">to save, and click </w:t>
            </w:r>
            <w:r>
              <w:rPr>
                <w:b/>
              </w:rPr>
              <w:t>OK</w:t>
            </w:r>
            <w:r>
              <w:t xml:space="preserve"> again to confirm the save.</w:t>
            </w:r>
            <w:r w:rsidR="00602AD7">
              <w:rPr>
                <w:vanish/>
                <w:color w:val="FFFFFF"/>
                <w:szCs w:val="18"/>
              </w:rPr>
              <w:t xml:space="preserve"> </w:t>
            </w:r>
            <w:r w:rsidR="00602AD7">
              <w:rPr>
                <w:vanish/>
                <w:color w:val="FFFFFF"/>
                <w:szCs w:val="18"/>
              </w:rPr>
              <w:fldChar w:fldCharType="begin"/>
            </w:r>
            <w:r w:rsidR="00602AD7">
              <w:rPr>
                <w:vanish/>
                <w:color w:val="FFFFFF"/>
                <w:szCs w:val="18"/>
              </w:rPr>
              <w:instrText xml:space="preserve"> LISTNUM \l 1 \s 0 </w:instrText>
            </w:r>
            <w:r w:rsidR="00602AD7">
              <w:rPr>
                <w:vanish/>
                <w:color w:val="FFFFFF"/>
                <w:szCs w:val="18"/>
              </w:rPr>
              <w:fldChar w:fldCharType="end"/>
            </w:r>
          </w:p>
        </w:tc>
        <w:tc>
          <w:tcPr>
            <w:tcW w:w="6120" w:type="dxa"/>
          </w:tcPr>
          <w:p w:rsidR="002A21AE" w:rsidRDefault="002A21AE">
            <w:pPr>
              <w:pStyle w:val="TableTextBullet"/>
            </w:pPr>
            <w:r>
              <w:t>Displays the unit data and asks the</w:t>
            </w:r>
            <w:r w:rsidR="008614C5">
              <w:t xml:space="preserve"> user to</w:t>
            </w:r>
            <w:r>
              <w:t xml:space="preserve"> verify the return to the previous status. </w:t>
            </w:r>
          </w:p>
          <w:p w:rsidR="002A21AE" w:rsidRDefault="002A21AE">
            <w:pPr>
              <w:pStyle w:val="TableTextBullet"/>
            </w:pPr>
            <w:r>
              <w:t>Allows the user to review his entries and choices and save the correction to the unit record or exit without saving.</w:t>
            </w:r>
          </w:p>
          <w:p w:rsidR="007F4644" w:rsidRDefault="007F4644" w:rsidP="007F4644">
            <w:pPr>
              <w:pStyle w:val="TableTextBullet"/>
            </w:pPr>
            <w:r>
              <w:t>Updates the unit record.</w:t>
            </w:r>
          </w:p>
          <w:p w:rsidR="007F4644" w:rsidRDefault="007F4644" w:rsidP="007F4644">
            <w:pPr>
              <w:pStyle w:val="TableText"/>
            </w:pPr>
          </w:p>
          <w:p w:rsidR="007F4644" w:rsidRDefault="00634BFC" w:rsidP="007F4644">
            <w:pPr>
              <w:pStyle w:val="TableText"/>
              <w:rPr>
                <w:b/>
                <w:bCs/>
                <w:szCs w:val="18"/>
              </w:rPr>
            </w:pPr>
            <w:r>
              <w:rPr>
                <w:b/>
                <w:bCs/>
                <w:noProof/>
              </w:rPr>
              <mc:AlternateContent>
                <mc:Choice Requires="wps">
                  <w:drawing>
                    <wp:anchor distT="0" distB="0" distL="114300" distR="114300" simplePos="0" relativeHeight="25177446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14" name="Line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0" o:spid="_x0000_s1026" style="position:absolute;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r45FgIAAC4EAAAOAAAAZHJzL2Uyb0RvYy54bWysU8GO2jAQvVfqP1i+QxI2Sy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Bl&#10;Mr45FgIAAC4EAAAOAAAAAAAAAAAAAAAAAC4CAABkcnMvZTJvRG9jLnhtbFBLAQItABQABgAIAAAA&#10;IQAXTzAS2wAAAAgBAAAPAAAAAAAAAAAAAAAAAHAEAABkcnMvZG93bnJldi54bWxQSwUGAAAAAAQA&#10;BADzAAAAeAUAAAAA&#10;" strokeweight="1.5pt"/>
                  </w:pict>
                </mc:Fallback>
              </mc:AlternateContent>
            </w:r>
            <w:r w:rsidR="007F4644">
              <w:rPr>
                <w:b/>
                <w:bCs/>
                <w:szCs w:val="18"/>
              </w:rPr>
              <w:t>NOTES</w:t>
            </w:r>
          </w:p>
          <w:p w:rsidR="007F4644" w:rsidRDefault="007F4644" w:rsidP="007F4644">
            <w:pPr>
              <w:pStyle w:val="NotesText"/>
            </w:pPr>
          </w:p>
          <w:p w:rsidR="007F4644" w:rsidRDefault="007F4644" w:rsidP="007F4644">
            <w:pPr>
              <w:pStyle w:val="NotesText"/>
            </w:pPr>
            <w:r>
              <w:rPr>
                <w:rFonts w:cs="Arial"/>
                <w:vanish/>
              </w:rPr>
              <w:t xml:space="preserve">BR_13.06 </w:t>
            </w:r>
            <w:r>
              <w:t>When VBECS removes a final status of “discard” or “transfer,” it also removes return credits previously assigned to the unit.</w:t>
            </w:r>
          </w:p>
        </w:tc>
      </w:tr>
    </w:tbl>
    <w:p w:rsidR="00772DD7" w:rsidRDefault="00772DD7" w:rsidP="00772DD7">
      <w:pPr>
        <w:pStyle w:val="Caption"/>
      </w:pPr>
      <w:bookmarkStart w:id="431" w:name="_Ref128468600"/>
      <w:bookmarkStart w:id="432" w:name="_Ref128468634"/>
      <w:r>
        <w:lastRenderedPageBreak/>
        <w:t xml:space="preserve">Figure </w:t>
      </w:r>
      <w:r w:rsidR="00C17F7C">
        <w:fldChar w:fldCharType="begin"/>
      </w:r>
      <w:r w:rsidR="00C17F7C">
        <w:instrText xml:space="preserve"> SEQ Figure \* ARABIC </w:instrText>
      </w:r>
      <w:r w:rsidR="00C17F7C">
        <w:fldChar w:fldCharType="separate"/>
      </w:r>
      <w:r w:rsidR="005F38BC">
        <w:rPr>
          <w:noProof/>
        </w:rPr>
        <w:t>108</w:t>
      </w:r>
      <w:r w:rsidR="00C17F7C">
        <w:fldChar w:fldCharType="end"/>
      </w:r>
      <w:bookmarkEnd w:id="432"/>
      <w:r>
        <w:t>:</w:t>
      </w:r>
      <w:r w:rsidR="007F4644">
        <w:t xml:space="preserve"> Remove Final Unit Status</w:t>
      </w:r>
      <w:bookmarkEnd w:id="431"/>
    </w:p>
    <w:p w:rsidR="00E661A1" w:rsidRDefault="00634BFC" w:rsidP="00772DD7">
      <w:pPr>
        <w:pStyle w:val="BodyText"/>
      </w:pPr>
      <w:r>
        <w:rPr>
          <w:noProof/>
        </w:rPr>
        <w:drawing>
          <wp:inline distT="0" distB="0" distL="0" distR="0">
            <wp:extent cx="5943600" cy="44196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noFill/>
                    <a:ln>
                      <a:noFill/>
                    </a:ln>
                  </pic:spPr>
                </pic:pic>
              </a:graphicData>
            </a:graphic>
          </wp:inline>
        </w:drawing>
      </w:r>
    </w:p>
    <w:p w:rsidR="00ED6B65" w:rsidRDefault="00ED6B65" w:rsidP="003653C0">
      <w:pPr>
        <w:jc w:val="center"/>
        <w:rPr>
          <w:b/>
          <w:sz w:val="22"/>
          <w:szCs w:val="22"/>
        </w:rPr>
      </w:pPr>
      <w:bookmarkStart w:id="433" w:name="_Toc75225469"/>
      <w:bookmarkStart w:id="434" w:name="_Toc63680365"/>
      <w:bookmarkStart w:id="435" w:name="_Toc79560666"/>
      <w:bookmarkStart w:id="436" w:name="OLE_LINK20"/>
      <w:r>
        <w:br w:type="page"/>
      </w:r>
      <w:r w:rsidRPr="003653C0">
        <w:lastRenderedPageBreak/>
        <w:t>This page intentionally left blank</w:t>
      </w:r>
      <w:r w:rsidRPr="00ED6B65">
        <w:rPr>
          <w:b/>
          <w:sz w:val="22"/>
          <w:szCs w:val="22"/>
        </w:rPr>
        <w:t>.</w:t>
      </w:r>
    </w:p>
    <w:p w:rsidR="00E659AB" w:rsidRDefault="00ED6B65" w:rsidP="00ED6B65">
      <w:pPr>
        <w:pStyle w:val="Heading1"/>
      </w:pPr>
      <w:r>
        <w:br w:type="page"/>
      </w:r>
      <w:bookmarkStart w:id="437" w:name="_Toc459900130"/>
      <w:r w:rsidR="00E659AB">
        <w:lastRenderedPageBreak/>
        <w:t>P</w:t>
      </w:r>
      <w:r w:rsidR="004675B3">
        <w:t>rocessing Orders</w:t>
      </w:r>
      <w:bookmarkEnd w:id="437"/>
      <w:r w:rsidR="004675B3">
        <w:fldChar w:fldCharType="begin"/>
      </w:r>
      <w:r w:rsidR="004675B3">
        <w:instrText xml:space="preserve"> XE “Processing Orders” </w:instrText>
      </w:r>
      <w:r w:rsidR="004675B3">
        <w:fldChar w:fldCharType="end"/>
      </w:r>
    </w:p>
    <w:p w:rsidR="002A21AE" w:rsidRDefault="002A21AE">
      <w:pPr>
        <w:pStyle w:val="Heading2"/>
      </w:pPr>
      <w:bookmarkStart w:id="438" w:name="_Toc459900131"/>
      <w:r>
        <w:t>Accept Orders: Accept an Order</w:t>
      </w:r>
      <w:bookmarkEnd w:id="434"/>
      <w:bookmarkEnd w:id="435"/>
      <w:bookmarkEnd w:id="436"/>
      <w:bookmarkEnd w:id="438"/>
      <w:r>
        <w:fldChar w:fldCharType="begin"/>
      </w:r>
      <w:r>
        <w:instrText xml:space="preserve"> XE </w:instrText>
      </w:r>
      <w:r w:rsidR="00FA7E65">
        <w:instrText>“</w:instrText>
      </w:r>
      <w:r>
        <w:instrText>Accept Orders\: Accept an Order</w:instrText>
      </w:r>
      <w:r w:rsidR="00FA7E65">
        <w:instrText>”</w:instrText>
      </w:r>
      <w:r>
        <w:instrText xml:space="preserve"> </w:instrText>
      </w:r>
      <w:r>
        <w:fldChar w:fldCharType="end"/>
      </w:r>
      <w:r>
        <w:t xml:space="preserve"> </w:t>
      </w:r>
      <w:r>
        <w:rPr>
          <w:rFonts w:ascii="Geneva" w:hAnsi="Geneva"/>
          <w:vanish/>
        </w:rPr>
        <w:t>UC_16</w:t>
      </w:r>
    </w:p>
    <w:p w:rsidR="002A21AE" w:rsidRDefault="002A21AE" w:rsidP="00FA7E65">
      <w:pPr>
        <w:pStyle w:val="BodyText"/>
      </w:pPr>
      <w:r>
        <w:t>The user accepts the receipt of an order.</w:t>
      </w:r>
    </w:p>
    <w:p w:rsidR="002A21AE" w:rsidRDefault="002A21AE">
      <w:pPr>
        <w:pStyle w:val="Heading4"/>
      </w:pPr>
      <w:r>
        <w:t>Assumptions</w:t>
      </w:r>
    </w:p>
    <w:p w:rsidR="002A21AE" w:rsidRDefault="00A36582">
      <w:pPr>
        <w:pStyle w:val="ListBullet"/>
      </w:pPr>
      <w:r>
        <w:t>Orders were placed in CPRS for a patient and a</w:t>
      </w:r>
      <w:r w:rsidR="002A21AE">
        <w:t xml:space="preserve"> VBECS order number was generated. </w:t>
      </w:r>
    </w:p>
    <w:p w:rsidR="002A21AE" w:rsidRDefault="002A21AE">
      <w:pPr>
        <w:pStyle w:val="ListBullet"/>
      </w:pPr>
      <w:r>
        <w:t>When a specimen is required, the user located it.</w:t>
      </w:r>
    </w:p>
    <w:p w:rsidR="002A21AE" w:rsidRDefault="002A21AE">
      <w:pPr>
        <w:pStyle w:val="ListBullet"/>
      </w:pPr>
      <w:r>
        <w:t>Inappropriate Transfusion Request parameters are defined for orderable component classes.</w:t>
      </w:r>
    </w:p>
    <w:p w:rsidR="002A21AE" w:rsidRDefault="002A21AE" w:rsidP="00A36582">
      <w:pPr>
        <w:pStyle w:val="ListBullet"/>
      </w:pPr>
      <w:r>
        <w:t xml:space="preserve">The connection to </w:t>
      </w:r>
      <w:r w:rsidR="00CA0045" w:rsidRPr="00CA0045">
        <w:rPr>
          <w:bCs/>
        </w:rPr>
        <w:t>VistA</w:t>
      </w:r>
      <w:r>
        <w:t xml:space="preserve"> is active.</w:t>
      </w:r>
    </w:p>
    <w:p w:rsidR="002A21AE" w:rsidRDefault="002A21AE">
      <w:pPr>
        <w:pStyle w:val="Heading4"/>
      </w:pPr>
      <w:r>
        <w:t>Outcome</w:t>
      </w:r>
    </w:p>
    <w:p w:rsidR="002A21AE" w:rsidRDefault="002A21AE">
      <w:pPr>
        <w:pStyle w:val="ListBullet"/>
      </w:pPr>
      <w:r>
        <w:t xml:space="preserve">Ordered tests may be </w:t>
      </w:r>
      <w:r w:rsidRPr="00BC4AB6">
        <w:t xml:space="preserve">processed and are </w:t>
      </w:r>
      <w:r>
        <w:t>available to various worklists.</w:t>
      </w:r>
    </w:p>
    <w:p w:rsidR="002A21AE" w:rsidRDefault="002A21AE">
      <w:pPr>
        <w:pStyle w:val="Heading4"/>
      </w:pPr>
      <w:r>
        <w:t xml:space="preserve">Limitations and Restrictions </w:t>
      </w:r>
    </w:p>
    <w:p w:rsidR="00A87E0D" w:rsidRPr="00BF73DF" w:rsidRDefault="00A87E0D" w:rsidP="00A87E0D">
      <w:pPr>
        <w:pStyle w:val="ListBullet"/>
        <w:rPr>
          <w:u w:val="single"/>
        </w:rPr>
      </w:pPr>
      <w:r>
        <w:t>An order for TAS must be accepted before the component order if the user wants to include the component request to the Inappropriate Transfusion Re</w:t>
      </w:r>
      <w:r w:rsidR="00E037D2">
        <w:t xml:space="preserve">quest Report. Accepting the TAS after the component order is marked inappropriate and accepted </w:t>
      </w:r>
      <w:r>
        <w:t>clears</w:t>
      </w:r>
      <w:r w:rsidR="006C34C0">
        <w:t xml:space="preserve"> the user’s </w:t>
      </w:r>
      <w:r w:rsidR="009F6F64">
        <w:t>indication that this is an inappropriate request</w:t>
      </w:r>
      <w:r>
        <w:t xml:space="preserve">. </w:t>
      </w:r>
      <w:r w:rsidRPr="00C41A95">
        <w:rPr>
          <w:vanish/>
        </w:rPr>
        <w:t>Remedy 826766</w:t>
      </w:r>
      <w:r w:rsidR="00E46422">
        <w:rPr>
          <w:vanish/>
        </w:rPr>
        <w:t xml:space="preserve"> </w:t>
      </w:r>
      <w:r w:rsidR="00E46422" w:rsidRPr="00E46422">
        <w:rPr>
          <w:vanish/>
        </w:rPr>
        <w:t>DR 4854</w:t>
      </w:r>
    </w:p>
    <w:p w:rsidR="002A21AE" w:rsidRDefault="002A21AE">
      <w:pPr>
        <w:pStyle w:val="ListBullet"/>
      </w:pPr>
      <w:r>
        <w:t xml:space="preserve">When no CPRS order exists, the user processes the </w:t>
      </w:r>
      <w:r w:rsidR="00AC406E">
        <w:t>specimen</w:t>
      </w:r>
      <w:r>
        <w:t xml:space="preserve"> offline.</w:t>
      </w:r>
    </w:p>
    <w:p w:rsidR="00A67B62" w:rsidRDefault="009E2EF4" w:rsidP="00A67B62">
      <w:pPr>
        <w:pStyle w:val="ListBullet"/>
      </w:pPr>
      <w:r w:rsidRPr="009E2EF4">
        <w:rPr>
          <w:vanish/>
        </w:rPr>
        <w:t>DR 2,811</w:t>
      </w:r>
      <w:r w:rsidR="00A67B62">
        <w:t>The user must accept the Type &amp; Screen (TAS) before he accepts other diagnostic tests or component orders.</w:t>
      </w:r>
    </w:p>
    <w:p w:rsidR="00B26E41" w:rsidRDefault="00B2513B">
      <w:pPr>
        <w:pStyle w:val="ListBullet"/>
      </w:pPr>
      <w:r>
        <w:t>T</w:t>
      </w:r>
      <w:r w:rsidR="00B26E41" w:rsidRPr="00AB4ABB">
        <w:t>he</w:t>
      </w:r>
      <w:r w:rsidR="003254B7">
        <w:t xml:space="preserve"> user cannot click </w:t>
      </w:r>
      <w:r w:rsidR="00634BFC">
        <w:rPr>
          <w:noProof/>
        </w:rPr>
        <w:drawing>
          <wp:inline distT="0" distB="0" distL="0" distR="0">
            <wp:extent cx="152400" cy="152400"/>
            <wp:effectExtent l="0" t="0" r="0" b="0"/>
            <wp:docPr id="197" name="Picture 197" descr="small_patientselected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small_patientselectedunits"/>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3254B7">
        <w:t xml:space="preserve"> </w:t>
      </w:r>
      <w:r w:rsidR="00B82472">
        <w:t xml:space="preserve">(Restricted or Assigned Units) </w:t>
      </w:r>
      <w:r w:rsidR="003254B7">
        <w:t>to access information on autologous or directed units that may be restricted to a patient</w:t>
      </w:r>
      <w:r>
        <w:t>.</w:t>
      </w:r>
    </w:p>
    <w:p w:rsidR="008B0C9A" w:rsidRDefault="0055788D" w:rsidP="00A87E0D">
      <w:pPr>
        <w:pStyle w:val="ListBullet"/>
      </w:pPr>
      <w:r>
        <w:t>Orders placed for patient</w:t>
      </w:r>
      <w:r w:rsidR="009412D6">
        <w:t>s with names that exceed the database standard for File #2 (30 characters) or do not have a first or last name in VistA are rejected</w:t>
      </w:r>
      <w:r w:rsidR="00551EF1">
        <w:t xml:space="preserve"> and do not appear in VBECS</w:t>
      </w:r>
      <w:r w:rsidR="009412D6">
        <w:t>. The VBECS System Administrator is notified of each rejection via an email to the address entered in VBECS Administrator “Interface Failure Alert Recipient” field.</w:t>
      </w:r>
    </w:p>
    <w:p w:rsidR="00A9799D" w:rsidRPr="00A9799D" w:rsidRDefault="00A9799D" w:rsidP="00A9799D">
      <w:pPr>
        <w:pStyle w:val="ListBullet"/>
        <w:rPr>
          <w:color w:val="1F497D"/>
        </w:rPr>
      </w:pPr>
      <w:r>
        <w:t>A VBECS order on a Collection List has to be received with a date and time in VistA to make the specimen available in VBECS.</w:t>
      </w:r>
    </w:p>
    <w:p w:rsidR="002A21AE" w:rsidRDefault="002A21AE">
      <w:pPr>
        <w:pStyle w:val="Heading4"/>
      </w:pPr>
      <w:r>
        <w:t>Additional Information</w:t>
      </w:r>
    </w:p>
    <w:p w:rsidR="002A21AE" w:rsidRDefault="002A21AE">
      <w:pPr>
        <w:pStyle w:val="ListBullet"/>
      </w:pPr>
      <w:r>
        <w:t xml:space="preserve">VBECS automatically cancels </w:t>
      </w:r>
      <w:r w:rsidR="000318FD">
        <w:t xml:space="preserve">previously accepted </w:t>
      </w:r>
      <w:r>
        <w:t>orders the day after they expire.</w:t>
      </w:r>
      <w:r w:rsidR="000318FD" w:rsidRPr="000318FD">
        <w:rPr>
          <w:vanish/>
        </w:rPr>
        <w:t xml:space="preserve"> DR 4519</w:t>
      </w:r>
    </w:p>
    <w:p w:rsidR="000318FD" w:rsidRDefault="000318FD">
      <w:pPr>
        <w:pStyle w:val="ListBullet"/>
      </w:pPr>
      <w:r>
        <w:t>To maintain a specimen with a TAS and diagnostic test orders, the TAS must be processed first, before any diagnostic test order (see Maintain Specimen).</w:t>
      </w:r>
      <w:r w:rsidRPr="000318FD">
        <w:rPr>
          <w:vanish/>
        </w:rPr>
        <w:t xml:space="preserve"> DR 4519</w:t>
      </w:r>
    </w:p>
    <w:p w:rsidR="00CE51B0" w:rsidRDefault="002A21AE" w:rsidP="00CE51B0">
      <w:pPr>
        <w:pStyle w:val="ListBullet"/>
      </w:pPr>
      <w:r>
        <w:t xml:space="preserve">The user </w:t>
      </w:r>
      <w:r w:rsidR="000850E3">
        <w:t>may investigate</w:t>
      </w:r>
      <w:r>
        <w:t xml:space="preserve"> patient clinical information using </w:t>
      </w:r>
      <w:r w:rsidR="00CA0045" w:rsidRPr="00CA0045">
        <w:rPr>
          <w:bCs/>
        </w:rPr>
        <w:t>VistA</w:t>
      </w:r>
      <w:r>
        <w:t xml:space="preserve"> and CPRS. </w:t>
      </w:r>
    </w:p>
    <w:p w:rsidR="00D905FE" w:rsidRDefault="00D905FE" w:rsidP="00CE51B0">
      <w:pPr>
        <w:pStyle w:val="ListBullet"/>
      </w:pPr>
      <w:r w:rsidRPr="00D905FE">
        <w:t>A facility may capture the phlebotomist's signature</w:t>
      </w:r>
      <w:r w:rsidR="00B97078">
        <w:t xml:space="preserve"> and the date </w:t>
      </w:r>
      <w:r w:rsidRPr="00D905FE">
        <w:t xml:space="preserve">and time of specimen collection on a </w:t>
      </w:r>
      <w:r w:rsidR="00B97078">
        <w:t>printed</w:t>
      </w:r>
      <w:r w:rsidRPr="00D905FE">
        <w:t xml:space="preserve"> order from CPRS. </w:t>
      </w:r>
      <w:r w:rsidR="006F1B1A">
        <w:t>[</w:t>
      </w:r>
      <w:r w:rsidRPr="00D905FE">
        <w:t xml:space="preserve">Local IRM personnel </w:t>
      </w:r>
      <w:r w:rsidR="00FB1DC1">
        <w:t>may</w:t>
      </w:r>
      <w:r w:rsidRPr="00D905FE">
        <w:t xml:space="preserve"> configure CPRS to </w:t>
      </w:r>
      <w:r>
        <w:t xml:space="preserve">print </w:t>
      </w:r>
      <w:r w:rsidR="00B97078">
        <w:t xml:space="preserve">the </w:t>
      </w:r>
      <w:r>
        <w:t>b</w:t>
      </w:r>
      <w:r w:rsidRPr="00D905FE">
        <w:t xml:space="preserve">lood </w:t>
      </w:r>
      <w:r>
        <w:t>bank order</w:t>
      </w:r>
      <w:r w:rsidR="006F1B1A">
        <w:t>: r</w:t>
      </w:r>
      <w:r w:rsidRPr="00D905FE">
        <w:t xml:space="preserve">efer </w:t>
      </w:r>
      <w:r w:rsidR="00BC4AB6">
        <w:t xml:space="preserve">to </w:t>
      </w:r>
      <w:r w:rsidR="00BC4AB6" w:rsidRPr="00BC4AB6">
        <w:rPr>
          <w:i/>
        </w:rPr>
        <w:t>Setup Guide</w:t>
      </w:r>
      <w:r w:rsidR="00BC4AB6" w:rsidRPr="00BC4AB6">
        <w:t xml:space="preserve"> (August 2000) </w:t>
      </w:r>
      <w:r w:rsidR="005C0559">
        <w:t xml:space="preserve">in </w:t>
      </w:r>
      <w:r w:rsidRPr="00D905FE">
        <w:t>VistA Document Library</w:t>
      </w:r>
      <w:r w:rsidR="00B97078">
        <w:t>,</w:t>
      </w:r>
      <w:r w:rsidR="00B97078" w:rsidRPr="00B97078">
        <w:t xml:space="preserve"> </w:t>
      </w:r>
      <w:r w:rsidR="00B97078">
        <w:t>Computerized Patient Record System (CPRS)</w:t>
      </w:r>
      <w:r w:rsidR="006F1B1A">
        <w:t>]</w:t>
      </w:r>
      <w:r w:rsidRPr="00D905FE">
        <w:t>.</w:t>
      </w:r>
    </w:p>
    <w:p w:rsidR="002A21AE" w:rsidRDefault="002A21AE">
      <w:pPr>
        <w:pStyle w:val="Heading4"/>
      </w:pPr>
      <w:r>
        <w:t>User Roles with Access to This Option</w:t>
      </w:r>
    </w:p>
    <w:p w:rsidR="002A21AE" w:rsidRDefault="000F12D4">
      <w:pPr>
        <w:pStyle w:val="Roles"/>
        <w:rPr>
          <w:snapToGrid w:val="0"/>
        </w:rPr>
      </w:pPr>
      <w:r>
        <w:t>All users</w:t>
      </w:r>
    </w:p>
    <w:bookmarkEnd w:id="433"/>
    <w:p w:rsidR="002A21AE" w:rsidRDefault="002A21AE">
      <w:pPr>
        <w:pStyle w:val="Heading4"/>
      </w:pPr>
      <w:r>
        <w:lastRenderedPageBreak/>
        <w:t>Accept Orders: Accept an Order</w:t>
      </w:r>
    </w:p>
    <w:p w:rsidR="002A21AE" w:rsidRDefault="002A21AE" w:rsidP="00FA7E65">
      <w:pPr>
        <w:pStyle w:val="BodyText"/>
      </w:pPr>
      <w:r>
        <w:t>The user reviews the list of pending orders and the specimen, determines that local policy requirements are satisfied, and accepts all or part of a routine order. The user accepts the VBECS order and associates the Laboratory generated specimen UID number with the order.</w:t>
      </w:r>
    </w:p>
    <w:p w:rsidR="004675B3" w:rsidRDefault="002A21AE" w:rsidP="00FA7E65">
      <w:pPr>
        <w:pStyle w:val="BodyText"/>
      </w:pPr>
      <w:r>
        <w:t>The user uses the Pending Order List (POL) to view additional details, print outstanding orders, and to select, accept, and add orders to the Pending Task List (PTL).</w:t>
      </w:r>
    </w:p>
    <w:p w:rsidR="002A21AE" w:rsidRDefault="002A21AE" w:rsidP="00FA7E65">
      <w:pPr>
        <w:pStyle w:val="BodyText"/>
      </w:pPr>
    </w:p>
    <w:p w:rsidR="00FE7547" w:rsidRPr="006F5EC8" w:rsidRDefault="00634BFC" w:rsidP="00FE7547">
      <w:pPr>
        <w:pStyle w:val="Caution"/>
      </w:pPr>
      <w:r>
        <w:rPr>
          <w:i w:val="0"/>
          <w:noProof/>
        </w:rPr>
        <w:drawing>
          <wp:inline distT="0" distB="0" distL="0" distR="0">
            <wp:extent cx="266700" cy="21907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161247">
        <w:t xml:space="preserve">Changes made in the VBECS Administrator option </w:t>
      </w:r>
      <w:r w:rsidR="009602CB">
        <w:t>mapping</w:t>
      </w:r>
      <w:r w:rsidR="00161247">
        <w:t xml:space="preserve"> orders to anoth</w:t>
      </w:r>
      <w:r w:rsidR="00CD6D3C">
        <w:t>er VBECS division do not a</w:t>
      </w:r>
      <w:r w:rsidR="009602CB">
        <w:t>ffect</w:t>
      </w:r>
      <w:r w:rsidR="00161247">
        <w:t xml:space="preserve"> delivered</w:t>
      </w:r>
      <w:r w:rsidR="009602CB">
        <w:t xml:space="preserve"> orders</w:t>
      </w:r>
      <w:r w:rsidR="00161247">
        <w:t xml:space="preserve">. </w:t>
      </w:r>
      <w:r w:rsidR="009602CB">
        <w:t>O</w:t>
      </w:r>
      <w:r w:rsidR="00161247">
        <w:t>rders delivered to a</w:t>
      </w:r>
      <w:r w:rsidR="009602CB">
        <w:t xml:space="preserve"> </w:t>
      </w:r>
      <w:r w:rsidR="00161247">
        <w:t>VBECS division must be completed, rejected, or canceled in that division. Resubmit orders after</w:t>
      </w:r>
      <w:r w:rsidR="009602CB">
        <w:t xml:space="preserve"> mapping is completed to send an order to another VBECS division.</w:t>
      </w:r>
      <w:r w:rsidR="009602CB" w:rsidRPr="009602CB">
        <w:rPr>
          <w:vanish/>
        </w:rPr>
        <w:t>DR 2,896</w:t>
      </w:r>
    </w:p>
    <w:p w:rsidR="00FE7547" w:rsidRDefault="00FE7547" w:rsidP="00FA7E65">
      <w:pPr>
        <w:pStyle w:val="BodyText"/>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FFFFFF"/>
            <w:vAlign w:val="bottom"/>
          </w:tcPr>
          <w:p w:rsidR="002A21AE" w:rsidRDefault="002A21AE">
            <w:pPr>
              <w:pStyle w:val="TableText"/>
              <w:rPr>
                <w:b/>
              </w:rPr>
            </w:pPr>
            <w:bookmarkStart w:id="439" w:name="_Toc34528152"/>
            <w:bookmarkStart w:id="440" w:name="_Toc34721750"/>
            <w:bookmarkEnd w:id="439"/>
            <w:bookmarkEnd w:id="440"/>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pPr>
              <w:pStyle w:val="TableTextNumbers"/>
            </w:pPr>
            <w:r>
              <w:t xml:space="preserve">Select </w:t>
            </w:r>
            <w:r>
              <w:rPr>
                <w:b/>
              </w:rPr>
              <w:t>Orders</w:t>
            </w:r>
            <w:r>
              <w:t xml:space="preserve"> from the main menu.</w:t>
            </w:r>
          </w:p>
          <w:p w:rsidR="002A21AE" w:rsidRDefault="002A21AE">
            <w:pPr>
              <w:pStyle w:val="TableTextNumbersContinued"/>
            </w:pPr>
          </w:p>
          <w:p w:rsidR="002A21AE" w:rsidRDefault="002A21AE">
            <w:pPr>
              <w:pStyle w:val="TableTextNumbersContinued"/>
            </w:pPr>
            <w:r>
              <w:t xml:space="preserve">Select </w:t>
            </w:r>
            <w:r>
              <w:rPr>
                <w:b/>
              </w:rPr>
              <w:t>Accept Orders</w:t>
            </w:r>
            <w:r>
              <w:t>.</w:t>
            </w:r>
          </w:p>
        </w:tc>
        <w:tc>
          <w:tcPr>
            <w:tcW w:w="6120" w:type="dxa"/>
          </w:tcPr>
          <w:p w:rsidR="002A21AE" w:rsidRDefault="002A21AE">
            <w:pPr>
              <w:pStyle w:val="TableTextBullet"/>
            </w:pPr>
            <w:r>
              <w:t>Displays options for processing orders.</w:t>
            </w:r>
          </w:p>
          <w:p w:rsidR="002A21AE" w:rsidRDefault="002A21AE">
            <w:pPr>
              <w:pStyle w:val="TableTextBullet"/>
            </w:pPr>
            <w:r>
              <w:t>Displays the POL and POL search criteria.</w:t>
            </w:r>
          </w:p>
        </w:tc>
      </w:tr>
      <w:tr w:rsidR="002A21AE">
        <w:tblPrEx>
          <w:tblCellMar>
            <w:top w:w="0" w:type="dxa"/>
            <w:bottom w:w="0" w:type="dxa"/>
          </w:tblCellMar>
        </w:tblPrEx>
        <w:tc>
          <w:tcPr>
            <w:tcW w:w="3240" w:type="dxa"/>
          </w:tcPr>
          <w:p w:rsidR="002A21AE" w:rsidRDefault="002A21AE">
            <w:pPr>
              <w:pStyle w:val="TableTextNumbers"/>
            </w:pPr>
            <w:r>
              <w:t>Select an order to accept from the POL</w:t>
            </w:r>
            <w:r w:rsidR="00F3761C">
              <w:t xml:space="preserve"> (</w:t>
            </w:r>
            <w:r w:rsidR="007810A1">
              <w:fldChar w:fldCharType="begin"/>
            </w:r>
            <w:r w:rsidR="007810A1">
              <w:instrText xml:space="preserve"> REF _Ref126723121 \h </w:instrText>
            </w:r>
            <w:r w:rsidR="007810A1">
              <w:fldChar w:fldCharType="separate"/>
            </w:r>
            <w:r w:rsidR="005F38BC">
              <w:t xml:space="preserve">Figure </w:t>
            </w:r>
            <w:r w:rsidR="005F38BC">
              <w:rPr>
                <w:noProof/>
              </w:rPr>
              <w:t>109</w:t>
            </w:r>
            <w:r w:rsidR="007810A1">
              <w:fldChar w:fldCharType="end"/>
            </w:r>
            <w:r w:rsidR="00F3761C">
              <w:t>)</w:t>
            </w:r>
            <w:r>
              <w:t xml:space="preserve">, or </w:t>
            </w:r>
          </w:p>
          <w:p w:rsidR="002A21AE" w:rsidRDefault="002A21AE">
            <w:pPr>
              <w:pStyle w:val="TableTextNumbersContinued"/>
            </w:pPr>
          </w:p>
          <w:p w:rsidR="002A21AE" w:rsidRDefault="002A21AE">
            <w:pPr>
              <w:pStyle w:val="TableTextNumbersContinued"/>
            </w:pPr>
            <w:r>
              <w:t xml:space="preserve">In the Pending Order List Search Criteria area, enter the known </w:t>
            </w:r>
            <w:r w:rsidR="00C47144">
              <w:t>data, including the date wanted.</w:t>
            </w:r>
          </w:p>
          <w:p w:rsidR="002A21AE" w:rsidRDefault="002A21AE">
            <w:pPr>
              <w:pStyle w:val="TableTextNumbersContinued"/>
            </w:pPr>
          </w:p>
          <w:p w:rsidR="002A21AE" w:rsidRDefault="002A21AE">
            <w:pPr>
              <w:pStyle w:val="TableTextNumbersContinued"/>
            </w:pPr>
            <w:r>
              <w:t xml:space="preserve">Click </w:t>
            </w:r>
            <w:r>
              <w:rPr>
                <w:b/>
              </w:rPr>
              <w:t>Search</w:t>
            </w:r>
            <w:r>
              <w:t xml:space="preserve"> to find an order.</w:t>
            </w:r>
          </w:p>
        </w:tc>
        <w:tc>
          <w:tcPr>
            <w:tcW w:w="6120" w:type="dxa"/>
          </w:tcPr>
          <w:p w:rsidR="002A21AE" w:rsidRDefault="002A21AE">
            <w:pPr>
              <w:pStyle w:val="TableTextBullet"/>
            </w:pPr>
            <w:r>
              <w:t>Displays options for selecting, reviewing, and processing patient data and pending orders.</w:t>
            </w:r>
          </w:p>
          <w:p w:rsidR="002A21AE" w:rsidRDefault="002A21AE">
            <w:pPr>
              <w:pStyle w:val="TableTextBullet"/>
            </w:pPr>
            <w:r>
              <w:t>Allows the user to associate a specimen with an order.</w:t>
            </w:r>
          </w:p>
          <w:p w:rsidR="002A21AE" w:rsidRDefault="002A21AE" w:rsidP="00DE0F15">
            <w:pPr>
              <w:pStyle w:val="TableTextBullet"/>
            </w:pPr>
            <w:r>
              <w:t>Displays the Patient Information Toolbar that allows the user to review.</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6454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13" name="Lin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7" o:spid="_x0000_s1026" style="position:absolute;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bNOFQIAAC0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Dy5&#10;s04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Pr="00C2360C" w:rsidRDefault="002A21AE" w:rsidP="00C2360C">
            <w:pPr>
              <w:pStyle w:val="NotesText"/>
            </w:pPr>
          </w:p>
          <w:p w:rsidR="00C2360C" w:rsidRDefault="00C2360C" w:rsidP="00C2360C">
            <w:pPr>
              <w:pStyle w:val="NotesText"/>
              <w:rPr>
                <w:szCs w:val="18"/>
              </w:rPr>
            </w:pPr>
            <w:r w:rsidRPr="00C2360C">
              <w:rPr>
                <w:szCs w:val="18"/>
              </w:rPr>
              <w:t>S</w:t>
            </w:r>
            <w:r w:rsidRPr="00C2360C">
              <w:t>elect an order</w:t>
            </w:r>
            <w:r w:rsidR="0023261D">
              <w:t xml:space="preserve"> </w:t>
            </w:r>
            <w:r w:rsidRPr="00C2360C">
              <w:t>for TAS before selecting a cor</w:t>
            </w:r>
            <w:r w:rsidRPr="00C2360C">
              <w:rPr>
                <w:szCs w:val="18"/>
              </w:rPr>
              <w:t xml:space="preserve">responding order for </w:t>
            </w:r>
            <w:r w:rsidR="006361BC">
              <w:rPr>
                <w:szCs w:val="18"/>
              </w:rPr>
              <w:t xml:space="preserve">diagnostic tests or </w:t>
            </w:r>
            <w:r w:rsidRPr="00C2360C">
              <w:rPr>
                <w:szCs w:val="18"/>
              </w:rPr>
              <w:t>components.</w:t>
            </w:r>
          </w:p>
          <w:p w:rsidR="00090B78" w:rsidRPr="00C2360C" w:rsidRDefault="00090B78" w:rsidP="00C2360C">
            <w:pPr>
              <w:pStyle w:val="NotesText"/>
              <w:rPr>
                <w:szCs w:val="18"/>
              </w:rPr>
            </w:pPr>
          </w:p>
          <w:p w:rsidR="002A21AE" w:rsidRDefault="002A21AE">
            <w:pPr>
              <w:pStyle w:val="NotesText"/>
            </w:pPr>
            <w:r w:rsidRPr="00896F17">
              <w:rPr>
                <w:vanish/>
                <w:szCs w:val="18"/>
              </w:rPr>
              <w:t>BR_16.01</w:t>
            </w:r>
            <w:r w:rsidR="00ED1076" w:rsidRPr="00896F17">
              <w:rPr>
                <w:rStyle w:val="BullhornChar"/>
              </w:rPr>
              <w:t></w:t>
            </w:r>
            <w:r w:rsidR="00ED1076">
              <w:rPr>
                <w:rFonts w:ascii="Webdings" w:hAnsi="Webdings"/>
              </w:rPr>
              <w:t></w:t>
            </w:r>
            <w:r>
              <w:t>VBECS emits an audible alert when there are patient Special Instructions or Transfusion Requirements.</w:t>
            </w:r>
          </w:p>
          <w:p w:rsidR="00DE0F15" w:rsidRDefault="00DE0F15">
            <w:pPr>
              <w:pStyle w:val="NotesText"/>
            </w:pPr>
          </w:p>
          <w:p w:rsidR="000568BA" w:rsidRDefault="000568BA">
            <w:pPr>
              <w:pStyle w:val="NotesText"/>
              <w:rPr>
                <w:vanish/>
                <w:szCs w:val="18"/>
              </w:rPr>
            </w:pPr>
            <w:r>
              <w:rPr>
                <w:vanish/>
                <w:szCs w:val="18"/>
              </w:rPr>
              <w:t xml:space="preserve">BR_16.02, BR_88.06 </w:t>
            </w:r>
            <w:r w:rsidRPr="000568BA">
              <w:rPr>
                <w:szCs w:val="18"/>
              </w:rPr>
              <w:t>VBECS alert</w:t>
            </w:r>
            <w:r w:rsidR="00B93577">
              <w:rPr>
                <w:szCs w:val="18"/>
              </w:rPr>
              <w:t>s the user</w:t>
            </w:r>
            <w:r>
              <w:t xml:space="preserve"> when the component class ordered requires a specimen. The status may be REQ (specimen required)</w:t>
            </w:r>
            <w:r w:rsidR="00E14736">
              <w:t xml:space="preserve"> or</w:t>
            </w:r>
            <w:r>
              <w:t xml:space="preserve"> NRQ (no specimen required). The user may not continue until specimen information is added. </w:t>
            </w:r>
          </w:p>
          <w:p w:rsidR="000568BA" w:rsidRDefault="000568BA">
            <w:pPr>
              <w:pStyle w:val="NotesText"/>
              <w:rPr>
                <w:vanish/>
                <w:szCs w:val="18"/>
              </w:rPr>
            </w:pPr>
          </w:p>
          <w:p w:rsidR="00DE0F15" w:rsidRDefault="00DE0F15">
            <w:pPr>
              <w:pStyle w:val="NotesText"/>
            </w:pPr>
            <w:r w:rsidRPr="00DE0F15">
              <w:rPr>
                <w:vanish/>
                <w:szCs w:val="18"/>
              </w:rPr>
              <w:t xml:space="preserve">BR_16.21 </w:t>
            </w:r>
            <w:r w:rsidRPr="00896F17">
              <w:rPr>
                <w:rStyle w:val="BullhornChar"/>
              </w:rPr>
              <w:t></w:t>
            </w:r>
            <w:r>
              <w:rPr>
                <w:rFonts w:ascii="Webdings" w:hAnsi="Webdings"/>
              </w:rPr>
              <w:t></w:t>
            </w:r>
            <w:r>
              <w:t>When modifiers are included in the physician's component order, VBECS provides visual and audible alerts to remind the user to evaluate the request. VBECS does not monitor subsequent action.</w:t>
            </w:r>
          </w:p>
          <w:p w:rsidR="002A21AE" w:rsidRDefault="002A21AE">
            <w:pPr>
              <w:pStyle w:val="NotesText"/>
            </w:pPr>
          </w:p>
          <w:p w:rsidR="002A21AE" w:rsidRDefault="002A21AE">
            <w:pPr>
              <w:pStyle w:val="NotesText"/>
            </w:pPr>
            <w:r>
              <w:rPr>
                <w:rFonts w:cs="Arial"/>
                <w:vanish/>
              </w:rPr>
              <w:t xml:space="preserve">BR_16.03 </w:t>
            </w:r>
            <w:r>
              <w:t>VBECS alerts the user when units</w:t>
            </w:r>
            <w:r w:rsidR="009A7994">
              <w:t xml:space="preserve"> (autologous, directed, or assigned/crossmatched)</w:t>
            </w:r>
            <w:r>
              <w:t xml:space="preserve"> with a future expiration date are associated with the patient in any division in the database.</w:t>
            </w:r>
            <w:r>
              <w:rPr>
                <w:vanish/>
                <w:szCs w:val="18"/>
              </w:rPr>
              <w:t xml:space="preserve"> (See PT_1.05 ISBT 128 Donation Types.)</w:t>
            </w:r>
          </w:p>
        </w:tc>
      </w:tr>
      <w:tr w:rsidR="002A21AE">
        <w:tblPrEx>
          <w:tblCellMar>
            <w:top w:w="0" w:type="dxa"/>
            <w:bottom w:w="0" w:type="dxa"/>
          </w:tblCellMar>
        </w:tblPrEx>
        <w:tc>
          <w:tcPr>
            <w:tcW w:w="3240" w:type="dxa"/>
          </w:tcPr>
          <w:p w:rsidR="002A21AE" w:rsidRDefault="00AE3C64" w:rsidP="00F51906">
            <w:pPr>
              <w:pStyle w:val="TableTextNumbers"/>
            </w:pPr>
            <w:r>
              <w:t>Scan or enter the specimen UID</w:t>
            </w:r>
            <w:r w:rsidR="00AA6C54">
              <w:t xml:space="preserve"> </w:t>
            </w:r>
            <w:r>
              <w:t>in the Specimen UID field.</w:t>
            </w:r>
            <w:r w:rsidR="007A68B6">
              <w:t xml:space="preserve"> (See Maintain Specimen.)</w:t>
            </w:r>
            <w:r w:rsidR="0057318C">
              <w:t xml:space="preserve"> (</w:t>
            </w:r>
            <w:r w:rsidR="0057318C">
              <w:fldChar w:fldCharType="begin"/>
            </w:r>
            <w:r w:rsidR="0057318C">
              <w:instrText xml:space="preserve"> REF _Ref126722649 \h </w:instrText>
            </w:r>
            <w:r w:rsidR="0057318C">
              <w:fldChar w:fldCharType="separate"/>
            </w:r>
            <w:r w:rsidR="005F38BC">
              <w:t xml:space="preserve">Figure </w:t>
            </w:r>
            <w:r w:rsidR="005F38BC">
              <w:rPr>
                <w:noProof/>
              </w:rPr>
              <w:t>110</w:t>
            </w:r>
            <w:r w:rsidR="0057318C">
              <w:fldChar w:fldCharType="end"/>
            </w:r>
            <w:r w:rsidR="0057318C">
              <w:t>)</w:t>
            </w:r>
          </w:p>
          <w:p w:rsidR="00F51906" w:rsidRDefault="00F51906" w:rsidP="00F51906">
            <w:pPr>
              <w:pStyle w:val="TableTextNumbersContinued"/>
            </w:pPr>
          </w:p>
          <w:p w:rsidR="008E5063" w:rsidRDefault="00F35EF5" w:rsidP="00F51906">
            <w:pPr>
              <w:pStyle w:val="TableTextNumbersContinued"/>
            </w:pPr>
            <w:r>
              <w:rPr>
                <w:rFonts w:cs="Arial"/>
                <w:vanish/>
              </w:rPr>
              <w:t xml:space="preserve">BR_16.23 </w:t>
            </w:r>
            <w:r w:rsidR="00F51906">
              <w:t xml:space="preserve">When the component requires a current specimen and a valid </w:t>
            </w:r>
            <w:r w:rsidR="00F51906">
              <w:lastRenderedPageBreak/>
              <w:t xml:space="preserve">sample is not available, click the </w:t>
            </w:r>
            <w:r w:rsidR="00F51906" w:rsidRPr="00F51906">
              <w:rPr>
                <w:b/>
              </w:rPr>
              <w:t xml:space="preserve">Emergency Order </w:t>
            </w:r>
            <w:r w:rsidR="00F51906" w:rsidRPr="00D1100E">
              <w:t>check box</w:t>
            </w:r>
            <w:r w:rsidR="008E5063" w:rsidRPr="008E5063">
              <w:t>.</w:t>
            </w:r>
            <w:r w:rsidR="00F51906">
              <w:t xml:space="preserve"> </w:t>
            </w:r>
          </w:p>
          <w:p w:rsidR="008E5063" w:rsidRDefault="008E5063" w:rsidP="00F51906">
            <w:pPr>
              <w:pStyle w:val="TableTextNumbersContinued"/>
            </w:pPr>
          </w:p>
          <w:p w:rsidR="00F51906" w:rsidRDefault="008E5063" w:rsidP="00F51906">
            <w:pPr>
              <w:pStyle w:val="TableTextNumbersContinued"/>
            </w:pPr>
            <w:r>
              <w:t xml:space="preserve">Click </w:t>
            </w:r>
            <w:r w:rsidRPr="008E5063">
              <w:rPr>
                <w:b/>
              </w:rPr>
              <w:t>Accept</w:t>
            </w:r>
            <w:r>
              <w:t xml:space="preserve"> </w:t>
            </w:r>
            <w:r w:rsidR="00F51906">
              <w:t>to accept the order without an associated specimen.</w:t>
            </w:r>
          </w:p>
        </w:tc>
        <w:tc>
          <w:tcPr>
            <w:tcW w:w="6120" w:type="dxa"/>
          </w:tcPr>
          <w:p w:rsidR="002A21AE" w:rsidRDefault="002A21AE">
            <w:pPr>
              <w:pStyle w:val="TableTextBullet"/>
            </w:pPr>
            <w:r>
              <w:lastRenderedPageBreak/>
              <w:t>Allows the user to enter new specimen information or correct problems with an existing specimen with the current VBECS order.</w:t>
            </w:r>
          </w:p>
          <w:p w:rsidR="00BD6594" w:rsidRDefault="00BD6594">
            <w:pPr>
              <w:pStyle w:val="TableTextBullet"/>
            </w:pPr>
            <w:r>
              <w:t>Allows the user to process an order without an associated specimen for emergency issue and retroactively associate a specimen with the order.</w:t>
            </w:r>
          </w:p>
          <w:p w:rsidR="002A21AE" w:rsidRDefault="002A21AE">
            <w:pPr>
              <w:pStyle w:val="TableText"/>
            </w:pPr>
          </w:p>
          <w:p w:rsidR="002A21AE" w:rsidRDefault="00634BFC">
            <w:pPr>
              <w:pStyle w:val="TableText"/>
              <w:rPr>
                <w:b/>
                <w:bCs/>
                <w:szCs w:val="18"/>
              </w:rPr>
            </w:pPr>
            <w:r>
              <w:rPr>
                <w:b/>
                <w:bCs/>
                <w:noProof/>
              </w:rPr>
              <w:lastRenderedPageBreak/>
              <mc:AlternateContent>
                <mc:Choice Requires="wps">
                  <w:drawing>
                    <wp:anchor distT="0" distB="0" distL="114300" distR="114300" simplePos="0" relativeHeight="25156556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12" name="Lin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8" o:spid="_x0000_s1026" style="position:absolute;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Xr4FQ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H3F&#10;evg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513A28" w:rsidRDefault="00513A28">
            <w:pPr>
              <w:pStyle w:val="NotesText"/>
              <w:rPr>
                <w:rFonts w:cs="Arial"/>
              </w:rPr>
            </w:pPr>
            <w:r>
              <w:rPr>
                <w:rFonts w:cs="Arial"/>
              </w:rPr>
              <w:t>Alphabetical characters in specimen UIDs must be capitalized: VBECS recognizes only uppercase letters.</w:t>
            </w:r>
          </w:p>
          <w:p w:rsidR="00513A28" w:rsidRDefault="00513A28">
            <w:pPr>
              <w:pStyle w:val="NotesText"/>
              <w:rPr>
                <w:rFonts w:cs="Arial"/>
              </w:rPr>
            </w:pPr>
          </w:p>
          <w:p w:rsidR="002A21AE" w:rsidRDefault="002A21AE">
            <w:pPr>
              <w:pStyle w:val="NotesText"/>
            </w:pPr>
            <w:r>
              <w:rPr>
                <w:rFonts w:cs="Arial"/>
                <w:vanish/>
              </w:rPr>
              <w:t xml:space="preserve">BR_35.04 </w:t>
            </w:r>
            <w:r>
              <w:t xml:space="preserve">Specimens collected for diagnostic tests only are to be used for performing the specifically ordered tests and are not available for processing blood component orders. </w:t>
            </w:r>
          </w:p>
          <w:p w:rsidR="002A21AE" w:rsidRDefault="002A21AE">
            <w:pPr>
              <w:pStyle w:val="NotesText"/>
            </w:pPr>
          </w:p>
          <w:p w:rsidR="002A21AE" w:rsidRDefault="002A21AE">
            <w:pPr>
              <w:pStyle w:val="NotesText"/>
            </w:pPr>
            <w:r>
              <w:rPr>
                <w:rFonts w:cs="Arial"/>
                <w:vanish/>
              </w:rPr>
              <w:t xml:space="preserve">BR_16.19 </w:t>
            </w:r>
            <w:r>
              <w:t>For all orders requiring a specimen, VBECS queries VistALink to verify that the lab order numbers are consistent with the specimen. If they are not consistent, VBECS notifies the user that the specimen</w:t>
            </w:r>
            <w:r w:rsidR="00FA7E65">
              <w:t>’</w:t>
            </w:r>
            <w:r>
              <w:t xml:space="preserve">s lab number </w:t>
            </w:r>
            <w:r w:rsidR="00A10483">
              <w:t>does not</w:t>
            </w:r>
            <w:r>
              <w:t xml:space="preserve"> match the number associated with the order. VBECS does not accept the order until the user identifies a specimen with a matching lab order number.</w:t>
            </w:r>
          </w:p>
          <w:p w:rsidR="002A21AE" w:rsidRDefault="002A21AE">
            <w:pPr>
              <w:pStyle w:val="NotesText"/>
            </w:pPr>
          </w:p>
          <w:p w:rsidR="002A21AE" w:rsidRDefault="002A21AE">
            <w:pPr>
              <w:pStyle w:val="NotesText"/>
            </w:pPr>
            <w:r>
              <w:rPr>
                <w:rFonts w:cs="Arial"/>
                <w:vanish/>
              </w:rPr>
              <w:t xml:space="preserve">BR_16.20 </w:t>
            </w:r>
            <w:r>
              <w:t xml:space="preserve">When the order status is “In Blood Bank,” a specimen was associated with the order; when the status is “Specimen Required,” the user must identify a specimen by its UID and enter specimen details according to Maintain Specimen. </w:t>
            </w:r>
          </w:p>
          <w:p w:rsidR="002A21AE" w:rsidRDefault="002A21AE">
            <w:pPr>
              <w:pStyle w:val="NotesText"/>
            </w:pPr>
          </w:p>
          <w:p w:rsidR="002A21AE" w:rsidRDefault="002A21AE">
            <w:pPr>
              <w:pStyle w:val="NotesText"/>
            </w:pPr>
            <w:r>
              <w:rPr>
                <w:rFonts w:cs="Arial"/>
                <w:vanish/>
              </w:rPr>
              <w:t>BR_16.0</w:t>
            </w:r>
            <w:r w:rsidRPr="00FF6514">
              <w:rPr>
                <w:vanish/>
                <w:szCs w:val="18"/>
              </w:rPr>
              <w:t>6</w:t>
            </w:r>
            <w:r w:rsidR="00ED1076" w:rsidRPr="00FF6514">
              <w:t></w:t>
            </w:r>
            <w:r w:rsidR="00ED1076" w:rsidRPr="00263B24">
              <w:t>Wh</w:t>
            </w:r>
            <w:r w:rsidR="00ED1076">
              <w:t xml:space="preserve">en </w:t>
            </w:r>
            <w:r>
              <w:t xml:space="preserve">an order for a component class requires a specimen (WHOLE BLOOD and RED BLOOD CELLS component classes, and, optionally, based on Setting Component Classes) the user must select this function and replace the existing specimen with a new one. However, when VBECS displays the “emergency issue” order indicator, the user may continue without identifying an associated specimen. VBECS captures details for inclusion in an Exception Report [exception type: Emergency </w:t>
            </w:r>
            <w:r w:rsidR="00445B34">
              <w:t>order accepted</w:t>
            </w:r>
            <w:r>
              <w:t xml:space="preserve"> (no specimen)]. </w:t>
            </w:r>
          </w:p>
          <w:p w:rsidR="002A21AE" w:rsidRDefault="002A21AE">
            <w:pPr>
              <w:pStyle w:val="NotesText"/>
              <w:rPr>
                <w:rFonts w:cs="Arial"/>
              </w:rPr>
            </w:pPr>
          </w:p>
          <w:p w:rsidR="002A21AE" w:rsidRDefault="002A21AE">
            <w:pPr>
              <w:pStyle w:val="NotesText"/>
            </w:pPr>
            <w:r>
              <w:rPr>
                <w:rFonts w:cs="Arial"/>
                <w:vanish/>
              </w:rPr>
              <w:t xml:space="preserve">BR_35.19 </w:t>
            </w:r>
            <w:r>
              <w:t>Within an order group containing orders for blood components and the Type &amp; Screen (TAS) test, the specimen associated with the TAS test applies to the TAS test and to all blood component orders contained in the order group.</w:t>
            </w:r>
          </w:p>
        </w:tc>
      </w:tr>
      <w:tr w:rsidR="002A21AE">
        <w:tblPrEx>
          <w:tblCellMar>
            <w:top w:w="0" w:type="dxa"/>
            <w:bottom w:w="0" w:type="dxa"/>
          </w:tblCellMar>
        </w:tblPrEx>
        <w:tc>
          <w:tcPr>
            <w:tcW w:w="3240" w:type="dxa"/>
          </w:tcPr>
          <w:p w:rsidR="002A21AE" w:rsidRDefault="00844381">
            <w:pPr>
              <w:pStyle w:val="TableTextNumbers"/>
            </w:pPr>
            <w:r>
              <w:lastRenderedPageBreak/>
              <w:t xml:space="preserve">Click </w:t>
            </w:r>
            <w:r w:rsidR="00634BFC">
              <w:rPr>
                <w:noProof/>
              </w:rPr>
              <w:drawing>
                <wp:inline distT="0" distB="0" distL="0" distR="0">
                  <wp:extent cx="152400" cy="152400"/>
                  <wp:effectExtent l="0" t="0" r="0" b="0"/>
                  <wp:docPr id="199" name="Picture 199" descr="small_view_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small_view_orde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6A0A4A">
              <w:t xml:space="preserve"> </w:t>
            </w:r>
            <w:r>
              <w:t>to r</w:t>
            </w:r>
            <w:r w:rsidR="002A21AE">
              <w:t>eview order details.</w:t>
            </w:r>
          </w:p>
        </w:tc>
        <w:tc>
          <w:tcPr>
            <w:tcW w:w="6120" w:type="dxa"/>
          </w:tcPr>
          <w:p w:rsidR="002A21AE" w:rsidRDefault="002A21AE" w:rsidP="0083673C">
            <w:pPr>
              <w:pStyle w:val="TableTextBullet"/>
            </w:pPr>
            <w:r>
              <w:t>Displays order details that may not be edited</w:t>
            </w:r>
            <w:r w:rsidR="0083673C">
              <w:t>.</w:t>
            </w:r>
            <w:r>
              <w:t xml:space="preserve"> </w:t>
            </w:r>
          </w:p>
        </w:tc>
      </w:tr>
      <w:tr w:rsidR="002A21AE">
        <w:tblPrEx>
          <w:tblCellMar>
            <w:top w:w="0" w:type="dxa"/>
            <w:bottom w:w="0" w:type="dxa"/>
          </w:tblCellMar>
        </w:tblPrEx>
        <w:tc>
          <w:tcPr>
            <w:tcW w:w="3240" w:type="dxa"/>
          </w:tcPr>
          <w:p w:rsidR="002A21AE" w:rsidRDefault="002A21AE">
            <w:pPr>
              <w:pStyle w:val="TableTextNumbers"/>
            </w:pPr>
            <w:r>
              <w:t xml:space="preserve"> When the</w:t>
            </w:r>
            <w:r w:rsidR="007A68B6">
              <w:t xml:space="preserve"> urgency is “P</w:t>
            </w:r>
            <w:r>
              <w:t>re-</w:t>
            </w:r>
            <w:r w:rsidR="007A68B6">
              <w:t>O</w:t>
            </w:r>
            <w:r>
              <w:t>p</w:t>
            </w:r>
            <w:r w:rsidR="007A68B6">
              <w:t>,”</w:t>
            </w:r>
            <w:r w:rsidR="00AA6C54">
              <w:t xml:space="preserve"> </w:t>
            </w:r>
            <w:r w:rsidR="0032011A">
              <w:t xml:space="preserve">click </w:t>
            </w:r>
            <w:r w:rsidR="00634BFC">
              <w:rPr>
                <w:noProof/>
              </w:rPr>
              <w:drawing>
                <wp:inline distT="0" distB="0" distL="0" distR="0">
                  <wp:extent cx="152400" cy="152400"/>
                  <wp:effectExtent l="0" t="0" r="0" b="0"/>
                  <wp:docPr id="200" name="Picture 200" descr="small_ms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small_msbos"/>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32011A">
              <w:t xml:space="preserve"> </w:t>
            </w:r>
            <w:r w:rsidR="006C4777">
              <w:t xml:space="preserve">in the Patient Information Toolbar </w:t>
            </w:r>
            <w:r w:rsidR="0032011A">
              <w:t xml:space="preserve">to </w:t>
            </w:r>
            <w:r w:rsidR="007A68B6">
              <w:t>r</w:t>
            </w:r>
            <w:r>
              <w:t>eview the MSBOS information for the division.</w:t>
            </w:r>
          </w:p>
          <w:p w:rsidR="002A21AE" w:rsidRDefault="002A21AE">
            <w:pPr>
              <w:pStyle w:val="TableTextNumbersContinued"/>
            </w:pPr>
          </w:p>
          <w:p w:rsidR="002A21AE" w:rsidRDefault="002A21AE">
            <w:pPr>
              <w:pStyle w:val="TableTextNumbersContinued"/>
            </w:pPr>
            <w:r>
              <w:t>View and/or search entries in the MSBOS for possible matches with the patient surgery.</w:t>
            </w:r>
          </w:p>
        </w:tc>
        <w:tc>
          <w:tcPr>
            <w:tcW w:w="6120" w:type="dxa"/>
          </w:tcPr>
          <w:p w:rsidR="002A21AE" w:rsidRDefault="002A21AE">
            <w:pPr>
              <w:pStyle w:val="TableTextBullet"/>
            </w:pPr>
            <w:r>
              <w:t>Allows the user to review current MSBOS settings.</w:t>
            </w:r>
          </w:p>
          <w:p w:rsidR="002A21AE" w:rsidRDefault="002A21AE">
            <w:pPr>
              <w:pStyle w:val="TableTextBullet"/>
            </w:pPr>
            <w:r>
              <w:t>Lists the current MSBOS site parameters, based on generic surgery types.</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6659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11"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0" o:spid="_x0000_s1026" style="position:absolute;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DU&#10;JSIPFgIAAC0EAAAOAAAAAAAAAAAAAAAAAC4CAABkcnMvZTJvRG9jLnhtbFBLAQItABQABgAIAAAA&#10;IQAXTzAS2wAAAAgBAAAPAAAAAAAAAAAAAAAAAHAEAABkcnMvZG93bnJldi54bWxQSwUGAAAAAAQA&#10;BADzAAAAeAUAAAAA&#10;" strokeweight="1.5pt"/>
                  </w:pict>
                </mc:Fallback>
              </mc:AlternateContent>
            </w:r>
            <w:r w:rsidR="002A21AE">
              <w:rPr>
                <w:b/>
                <w:bCs/>
                <w:szCs w:val="18"/>
              </w:rPr>
              <w:t>NOTES</w:t>
            </w:r>
          </w:p>
          <w:p w:rsidR="002A21AE" w:rsidRDefault="002A21AE">
            <w:pPr>
              <w:pStyle w:val="NotesText"/>
            </w:pPr>
          </w:p>
          <w:p w:rsidR="002A21AE" w:rsidRDefault="002A21AE" w:rsidP="003D73A0">
            <w:pPr>
              <w:pStyle w:val="NotesText"/>
            </w:pPr>
            <w:r>
              <w:rPr>
                <w:rFonts w:cs="Arial"/>
                <w:vanish/>
              </w:rPr>
              <w:t xml:space="preserve">BR_16.11 </w:t>
            </w:r>
            <w:r>
              <w:t>When the pre-op indicator is “Yes,” the user may access the MSBOS to determine whether to include details of the order in the Inappropriate Request Report.</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 xml:space="preserve">Based on the review of the MSBOS parameter associated with the surgery type and the details of the current order, click the </w:t>
            </w:r>
            <w:r>
              <w:rPr>
                <w:b/>
              </w:rPr>
              <w:t>Include In Inappropriate Transfusion Request Report</w:t>
            </w:r>
            <w:r>
              <w:t xml:space="preserve"> check box, according to local policy.</w:t>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Bullet"/>
            </w:pPr>
            <w:r>
              <w:t>Adds the details of the order to the Inappropriate Transfusion Request Report when the user completes Accept Orders: Accept an Order.</w:t>
            </w:r>
          </w:p>
          <w:p w:rsidR="00FF6514" w:rsidRDefault="00FF6514" w:rsidP="00FF6514">
            <w:pPr>
              <w:pStyle w:val="TableText"/>
            </w:pPr>
          </w:p>
          <w:p w:rsidR="00FF6514" w:rsidRDefault="00634BFC" w:rsidP="00FF6514">
            <w:pPr>
              <w:pStyle w:val="TableText"/>
              <w:rPr>
                <w:b/>
                <w:bCs/>
                <w:szCs w:val="18"/>
              </w:rPr>
            </w:pPr>
            <w:r>
              <w:rPr>
                <w:b/>
                <w:bCs/>
                <w:noProof/>
              </w:rPr>
              <mc:AlternateContent>
                <mc:Choice Requires="wps">
                  <w:drawing>
                    <wp:anchor distT="0" distB="0" distL="114300" distR="114300" simplePos="0" relativeHeight="25177548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10" name="Line 1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1" o:spid="_x0000_s1026" style="position:absolute;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BP&#10;Jt/KFgIAAC4EAAAOAAAAAAAAAAAAAAAAAC4CAABkcnMvZTJvRG9jLnhtbFBLAQItABQABgAIAAAA&#10;IQAXTzAS2wAAAAgBAAAPAAAAAAAAAAAAAAAAAHAEAABkcnMvZG93bnJldi54bWxQSwUGAAAAAAQA&#10;BADzAAAAeAUAAAAA&#10;" strokeweight="1.5pt"/>
                  </w:pict>
                </mc:Fallback>
              </mc:AlternateContent>
            </w:r>
            <w:r w:rsidR="00FF6514">
              <w:rPr>
                <w:b/>
                <w:bCs/>
                <w:szCs w:val="18"/>
              </w:rPr>
              <w:t>NOTES</w:t>
            </w:r>
          </w:p>
          <w:p w:rsidR="00FF6514" w:rsidRPr="00000CF1" w:rsidRDefault="00FF6514" w:rsidP="00FF6514">
            <w:pPr>
              <w:pStyle w:val="NotesText"/>
            </w:pPr>
          </w:p>
          <w:p w:rsidR="00FF6514" w:rsidRDefault="00FF6514" w:rsidP="00FF6514">
            <w:pPr>
              <w:pStyle w:val="NotesText"/>
            </w:pPr>
            <w:r>
              <w:t xml:space="preserve">To display a list of available autologous and/or directed units in the system for the selected patient, see </w:t>
            </w:r>
            <w:r w:rsidRPr="00FF6514">
              <w:t>Blood Availability</w:t>
            </w:r>
            <w:r>
              <w:t>.</w:t>
            </w:r>
          </w:p>
          <w:p w:rsidR="008B0C9A" w:rsidRDefault="008B0C9A" w:rsidP="00FF6514">
            <w:pPr>
              <w:pStyle w:val="NotesText"/>
            </w:pPr>
          </w:p>
          <w:p w:rsidR="008B0C9A" w:rsidRDefault="008B0C9A" w:rsidP="00FF6514">
            <w:pPr>
              <w:pStyle w:val="NotesText"/>
            </w:pPr>
            <w:r>
              <w:t xml:space="preserve">A user must accept the corresponding TAS order before including a component order in Inappropriate Transfusion Request Report. </w:t>
            </w:r>
            <w:r w:rsidR="00075AA3" w:rsidRPr="00075AA3">
              <w:rPr>
                <w:vanish/>
              </w:rPr>
              <w:t>Remedy 826766</w:t>
            </w:r>
          </w:p>
        </w:tc>
      </w:tr>
      <w:tr w:rsidR="002A21AE">
        <w:tblPrEx>
          <w:tblCellMar>
            <w:top w:w="0" w:type="dxa"/>
            <w:bottom w:w="0" w:type="dxa"/>
          </w:tblCellMar>
        </w:tblPrEx>
        <w:tc>
          <w:tcPr>
            <w:tcW w:w="3240" w:type="dxa"/>
          </w:tcPr>
          <w:p w:rsidR="002A21AE" w:rsidRDefault="002A21AE">
            <w:pPr>
              <w:pStyle w:val="TableTextNumbers"/>
            </w:pPr>
            <w:r>
              <w:t xml:space="preserve">Click </w:t>
            </w:r>
            <w:r w:rsidR="00634BFC">
              <w:rPr>
                <w:noProof/>
              </w:rPr>
              <w:drawing>
                <wp:inline distT="0" distB="0" distL="0" distR="0">
                  <wp:extent cx="152400" cy="152400"/>
                  <wp:effectExtent l="0" t="0" r="0" b="0"/>
                  <wp:docPr id="201" name="Picture 201" descr="small_si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small_si_t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in the Patient Information </w:t>
            </w:r>
            <w:r>
              <w:lastRenderedPageBreak/>
              <w:t>Toolbar to review patient data</w:t>
            </w:r>
            <w:r w:rsidR="006C4777">
              <w:t>,</w:t>
            </w:r>
            <w:r>
              <w:t xml:space="preserve"> Transfusion Requirements and Special Instructions. </w:t>
            </w:r>
          </w:p>
        </w:tc>
        <w:tc>
          <w:tcPr>
            <w:tcW w:w="6120" w:type="dxa"/>
          </w:tcPr>
          <w:p w:rsidR="002A21AE" w:rsidRDefault="002A21AE">
            <w:pPr>
              <w:pStyle w:val="TableTextBullet"/>
            </w:pPr>
            <w:r>
              <w:lastRenderedPageBreak/>
              <w:t xml:space="preserve">Displays read-only </w:t>
            </w:r>
            <w:r w:rsidR="00F01B32">
              <w:t xml:space="preserve">TR and SI </w:t>
            </w:r>
            <w:r>
              <w:t>patient VBECS data.</w:t>
            </w:r>
          </w:p>
          <w:p w:rsidR="002A21AE" w:rsidRDefault="002A21AE">
            <w:pPr>
              <w:pStyle w:val="TableText"/>
            </w:pPr>
          </w:p>
          <w:p w:rsidR="002A21AE" w:rsidRDefault="002A21AE">
            <w:pPr>
              <w:pStyle w:val="NotesText"/>
            </w:pPr>
          </w:p>
        </w:tc>
      </w:tr>
      <w:tr w:rsidR="002A21AE">
        <w:tblPrEx>
          <w:tblCellMar>
            <w:top w:w="0" w:type="dxa"/>
            <w:bottom w:w="0" w:type="dxa"/>
          </w:tblCellMar>
        </w:tblPrEx>
        <w:tc>
          <w:tcPr>
            <w:tcW w:w="3240" w:type="dxa"/>
          </w:tcPr>
          <w:p w:rsidR="002A21AE" w:rsidRDefault="002A21AE">
            <w:pPr>
              <w:pStyle w:val="TableTextNumbers"/>
            </w:pPr>
            <w:r>
              <w:lastRenderedPageBreak/>
              <w:t xml:space="preserve">Click </w:t>
            </w:r>
            <w:r>
              <w:rPr>
                <w:b/>
              </w:rPr>
              <w:t>Accept</w:t>
            </w:r>
            <w:r>
              <w:t xml:space="preserve"> or </w:t>
            </w:r>
            <w:r>
              <w:rPr>
                <w:b/>
              </w:rPr>
              <w:t>Reject</w:t>
            </w:r>
            <w:r>
              <w:t xml:space="preserve"> for each order. </w:t>
            </w:r>
          </w:p>
        </w:tc>
        <w:tc>
          <w:tcPr>
            <w:tcW w:w="6120" w:type="dxa"/>
          </w:tcPr>
          <w:p w:rsidR="002A21AE" w:rsidRDefault="002A21AE">
            <w:pPr>
              <w:pStyle w:val="TableTextBullet"/>
            </w:pPr>
            <w:r>
              <w:t>For each order accepted, updates the:</w:t>
            </w:r>
          </w:p>
          <w:p w:rsidR="002A21AE" w:rsidRDefault="002A21AE">
            <w:pPr>
              <w:pStyle w:val="TableTextBullet1"/>
            </w:pPr>
            <w:r>
              <w:t xml:space="preserve">Status to “accepted” and adds it to the PTL for further processing. </w:t>
            </w:r>
          </w:p>
          <w:p w:rsidR="002A21AE" w:rsidRDefault="002A21AE">
            <w:pPr>
              <w:pStyle w:val="TableTextBullet1"/>
            </w:pPr>
            <w:r>
              <w:t>Existing lab accession number to collect data associated with every order.</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6761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09" name="Lin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1" o:spid="_x0000_s1026" style="position:absolute;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Cp&#10;jf53FgIAAC0EAAAOAAAAAAAAAAAAAAAAAC4CAABkcnMvZTJvRG9jLnhtbFBLAQItABQABgAIAAAA&#10;IQAXTzAS2wAAAAgBAAAPAAAAAAAAAAAAAAAAAHAEAABkcnMvZG93bnJldi54bWxQSwUGAAAAAAQA&#10;BADzAAAAeAU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t xml:space="preserve">When a user rejects an order, VBECS acknowledges the order and cancels it through Accept Orders: Cancel a Pending Order. </w:t>
            </w:r>
          </w:p>
          <w:p w:rsidR="002A21AE" w:rsidRDefault="002A21AE">
            <w:pPr>
              <w:pStyle w:val="TableText"/>
            </w:pPr>
          </w:p>
          <w:p w:rsidR="002A21AE" w:rsidRDefault="002A21AE">
            <w:pPr>
              <w:pStyle w:val="NotesText"/>
            </w:pPr>
            <w:r>
              <w:rPr>
                <w:rFonts w:cs="Arial"/>
                <w:vanish/>
              </w:rPr>
              <w:t xml:space="preserve">BR_16.16 </w:t>
            </w:r>
            <w:r>
              <w:t xml:space="preserve">When no specimen is required, VBECS assigns an order expiration date to three days in the future at 23:59 (the date of acceptance of the component order acceptance is day “0”). </w:t>
            </w:r>
          </w:p>
          <w:p w:rsidR="002A21AE" w:rsidRDefault="002A21AE">
            <w:pPr>
              <w:pStyle w:val="NotesText"/>
            </w:pPr>
          </w:p>
          <w:p w:rsidR="002A21AE" w:rsidRDefault="002A21AE">
            <w:pPr>
              <w:pStyle w:val="NotesText"/>
            </w:pPr>
            <w:r>
              <w:t xml:space="preserve">When a specimen is required, the order expiration date is the same as the associated specimen. VBECS automatically expires the associated component order when the specimen is expired. </w:t>
            </w:r>
            <w:r w:rsidR="00AF5D80">
              <w:t xml:space="preserve">(See </w:t>
            </w:r>
            <w:r w:rsidR="00543DAF">
              <w:fldChar w:fldCharType="begin"/>
            </w:r>
            <w:r w:rsidR="00543DAF">
              <w:instrText xml:space="preserve"> REF _Ref170004931 \h </w:instrText>
            </w:r>
            <w:r w:rsidR="00543DAF">
              <w:fldChar w:fldCharType="separate"/>
            </w:r>
            <w:r w:rsidR="005F38BC">
              <w:t xml:space="preserve">Appendix </w:t>
            </w:r>
            <w:r w:rsidR="005F38BC">
              <w:rPr>
                <w:noProof/>
              </w:rPr>
              <w:t>B</w:t>
            </w:r>
            <w:r w:rsidR="00543DAF">
              <w:fldChar w:fldCharType="end"/>
            </w:r>
            <w:r w:rsidR="00AF5D80">
              <w:t>:</w:t>
            </w:r>
            <w:r w:rsidR="00A4315F">
              <w:t xml:space="preserve"> </w:t>
            </w:r>
            <w:r w:rsidR="00A4315F">
              <w:fldChar w:fldCharType="begin"/>
            </w:r>
            <w:r w:rsidR="00A4315F">
              <w:instrText xml:space="preserve"> REF _Ref127061358 \h </w:instrText>
            </w:r>
            <w:r w:rsidR="00A4315F">
              <w:instrText xml:space="preserve"> \* MERGEFORMAT </w:instrText>
            </w:r>
            <w:r w:rsidR="00A4315F">
              <w:fldChar w:fldCharType="separate"/>
            </w:r>
            <w:r w:rsidR="005F38BC">
              <w:t xml:space="preserve">Figure </w:t>
            </w:r>
            <w:r w:rsidR="005F38BC">
              <w:rPr>
                <w:noProof/>
              </w:rPr>
              <w:t>137:</w:t>
            </w:r>
            <w:r w:rsidR="005F38BC">
              <w:t xml:space="preserve"> </w:t>
            </w:r>
            <w:r w:rsidR="005F38BC">
              <w:rPr>
                <w:vanish/>
              </w:rPr>
              <w:t xml:space="preserve">TT_92.01 </w:t>
            </w:r>
            <w:r w:rsidR="005F38BC" w:rsidRPr="005F38BC">
              <w:t>Order</w:t>
            </w:r>
            <w:r w:rsidR="005F38BC">
              <w:t xml:space="preserve"> Status Flowchart</w:t>
            </w:r>
            <w:r w:rsidR="00A4315F">
              <w:fldChar w:fldCharType="end"/>
            </w:r>
            <w:r>
              <w:t>.)</w:t>
            </w:r>
          </w:p>
          <w:p w:rsidR="002A21AE" w:rsidRDefault="002A21AE">
            <w:pPr>
              <w:pStyle w:val="NotesText"/>
            </w:pPr>
          </w:p>
          <w:p w:rsidR="002A21AE" w:rsidRDefault="002A21AE">
            <w:pPr>
              <w:pStyle w:val="NotesText"/>
            </w:pPr>
            <w:r>
              <w:rPr>
                <w:rFonts w:cs="Arial"/>
                <w:vanish/>
              </w:rPr>
              <w:t xml:space="preserve">BR_16.14 </w:t>
            </w:r>
            <w:r>
              <w:t>The user evaluates each diagnostic test and component order separately.</w:t>
            </w:r>
          </w:p>
          <w:p w:rsidR="002A21AE" w:rsidRDefault="002A21AE">
            <w:pPr>
              <w:pStyle w:val="NotesText"/>
            </w:pPr>
          </w:p>
          <w:p w:rsidR="002A21AE" w:rsidRDefault="002A21AE">
            <w:pPr>
              <w:pStyle w:val="NotesText"/>
            </w:pPr>
            <w:r>
              <w:rPr>
                <w:rFonts w:cs="Arial"/>
                <w:vanish/>
              </w:rPr>
              <w:t xml:space="preserve">BR_16.04 </w:t>
            </w:r>
            <w:r>
              <w:t xml:space="preserve">When the pre-op indicator is “No,” VBECS compares the Laboratory test values included in the order message from CPRS to the threshold values defined for the ordered component class requirements in Configure ICCBBA Component Classes Inappropriate Request Parameters setting (see Component Classes). When the threshold values were exceeded for one or more ordered component classes, VBECS notifies the user that the Laboratory test value exceeds site parameters for the component class orders and asks whether to add the order to the Inappropriate Transfusion Request report. </w:t>
            </w:r>
            <w:r>
              <w:rPr>
                <w:b/>
              </w:rPr>
              <w:t>Yes</w:t>
            </w:r>
            <w:r>
              <w:t xml:space="preserve"> adds the details of the order to the Inappropriate Request Report. </w:t>
            </w:r>
            <w:r>
              <w:rPr>
                <w:b/>
              </w:rPr>
              <w:t>No</w:t>
            </w:r>
            <w:r>
              <w:t xml:space="preserve"> requires a comment to be associated with the order.</w:t>
            </w:r>
          </w:p>
          <w:p w:rsidR="002A21AE" w:rsidRDefault="002A21AE">
            <w:pPr>
              <w:pStyle w:val="NotesText"/>
            </w:pPr>
          </w:p>
          <w:p w:rsidR="002A21AE" w:rsidRDefault="002A21AE">
            <w:pPr>
              <w:pStyle w:val="NotesText"/>
            </w:pPr>
            <w:r>
              <w:t xml:space="preserve">The user may cancel one or more components of an order through Accept Orders: Cancel a Pending Order to cancel while working in Accept Orders: Accept an Order. When this occurs, VBECS sends a message to CPRS and notifies the </w:t>
            </w:r>
            <w:r w:rsidR="00E71B91">
              <w:t xml:space="preserve">VistA </w:t>
            </w:r>
            <w:r>
              <w:t>Laboratory</w:t>
            </w:r>
            <w:r w:rsidR="00E71B91">
              <w:t xml:space="preserve"> </w:t>
            </w:r>
            <w:r w:rsidR="004654F5">
              <w:t>application</w:t>
            </w:r>
            <w:r>
              <w:t xml:space="preserve"> that the order was canceled.</w:t>
            </w:r>
          </w:p>
        </w:tc>
      </w:tr>
      <w:tr w:rsidR="002A21AE">
        <w:tblPrEx>
          <w:tblCellMar>
            <w:top w:w="0" w:type="dxa"/>
            <w:bottom w:w="0" w:type="dxa"/>
          </w:tblCellMar>
        </w:tblPrEx>
        <w:tc>
          <w:tcPr>
            <w:tcW w:w="3240" w:type="dxa"/>
          </w:tcPr>
          <w:p w:rsidR="002A21AE" w:rsidRDefault="009644D4">
            <w:pPr>
              <w:pStyle w:val="TableTextNumbers"/>
            </w:pPr>
            <w:r>
              <w:t>Repeat Steps 2</w:t>
            </w:r>
            <w:r w:rsidR="00694B70">
              <w:t xml:space="preserve"> through 8</w:t>
            </w:r>
            <w:r w:rsidR="002A21AE">
              <w:t xml:space="preserve"> to accept another order, or click </w:t>
            </w:r>
            <w:r w:rsidR="002A21AE">
              <w:rPr>
                <w:b/>
              </w:rPr>
              <w:t>Close</w:t>
            </w:r>
            <w:r w:rsidR="002A21AE">
              <w:t xml:space="preserve"> to exit.</w:t>
            </w:r>
            <w:r w:rsidR="002A21AE" w:rsidRPr="00B93B42">
              <w:rPr>
                <w:rStyle w:val="StyleTableTextNumbersWhite1Char"/>
              </w:rPr>
              <w:t xml:space="preserve"> </w:t>
            </w:r>
            <w:r w:rsidR="002A21AE">
              <w:rPr>
                <w:vanish/>
                <w:color w:val="FFFFFF"/>
                <w:szCs w:val="18"/>
              </w:rPr>
              <w:fldChar w:fldCharType="begin"/>
            </w:r>
            <w:r w:rsidR="002A21AE">
              <w:rPr>
                <w:vanish/>
                <w:color w:val="FFFFFF"/>
                <w:szCs w:val="18"/>
              </w:rPr>
              <w:instrText xml:space="preserve"> LISTNUM \l 1 \s 0 </w:instrText>
            </w:r>
            <w:r w:rsidR="002A21AE">
              <w:rPr>
                <w:vanish/>
                <w:color w:val="FFFFFF"/>
                <w:szCs w:val="18"/>
              </w:rPr>
              <w:fldChar w:fldCharType="end"/>
            </w:r>
          </w:p>
        </w:tc>
        <w:tc>
          <w:tcPr>
            <w:tcW w:w="6120" w:type="dxa"/>
          </w:tcPr>
          <w:p w:rsidR="002A21AE" w:rsidRDefault="002A21AE">
            <w:pPr>
              <w:pStyle w:val="TableText"/>
            </w:pPr>
          </w:p>
        </w:tc>
      </w:tr>
    </w:tbl>
    <w:p w:rsidR="002A21AE" w:rsidRDefault="002118B0" w:rsidP="002118B0">
      <w:pPr>
        <w:pStyle w:val="Caption"/>
      </w:pPr>
      <w:bookmarkStart w:id="441" w:name="_Ref126722356"/>
      <w:bookmarkStart w:id="442" w:name="_Ref126723121"/>
      <w:r>
        <w:lastRenderedPageBreak/>
        <w:t xml:space="preserve">Figure </w:t>
      </w:r>
      <w:r w:rsidR="00C17F7C">
        <w:fldChar w:fldCharType="begin"/>
      </w:r>
      <w:r w:rsidR="00C17F7C">
        <w:instrText xml:space="preserve"> SEQ Figure \* ARABIC </w:instrText>
      </w:r>
      <w:r w:rsidR="00C17F7C">
        <w:fldChar w:fldCharType="separate"/>
      </w:r>
      <w:r w:rsidR="005F38BC">
        <w:rPr>
          <w:noProof/>
        </w:rPr>
        <w:t>109</w:t>
      </w:r>
      <w:r w:rsidR="00C17F7C">
        <w:fldChar w:fldCharType="end"/>
      </w:r>
      <w:bookmarkEnd w:id="442"/>
      <w:r>
        <w:t xml:space="preserve">: </w:t>
      </w:r>
      <w:r w:rsidR="00050BB7">
        <w:t>Accept Orders</w:t>
      </w:r>
      <w:bookmarkEnd w:id="441"/>
    </w:p>
    <w:p w:rsidR="00050BB7" w:rsidRPr="00050BB7" w:rsidRDefault="00634BFC" w:rsidP="007810A1">
      <w:pPr>
        <w:pStyle w:val="BodyText"/>
      </w:pPr>
      <w:r>
        <w:rPr>
          <w:noProof/>
        </w:rPr>
        <w:drawing>
          <wp:inline distT="0" distB="0" distL="0" distR="0">
            <wp:extent cx="5600700" cy="3267075"/>
            <wp:effectExtent l="0" t="0" r="0"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600700" cy="3267075"/>
                    </a:xfrm>
                    <a:prstGeom prst="rect">
                      <a:avLst/>
                    </a:prstGeom>
                    <a:noFill/>
                    <a:ln>
                      <a:noFill/>
                    </a:ln>
                  </pic:spPr>
                </pic:pic>
              </a:graphicData>
            </a:graphic>
          </wp:inline>
        </w:drawing>
      </w:r>
    </w:p>
    <w:p w:rsidR="0057318C" w:rsidRDefault="0057318C" w:rsidP="0057318C">
      <w:pPr>
        <w:pStyle w:val="Caption"/>
      </w:pPr>
      <w:bookmarkStart w:id="443" w:name="_Ref126722603"/>
      <w:bookmarkStart w:id="444" w:name="_Ref126722649"/>
      <w:r>
        <w:t xml:space="preserve">Figure </w:t>
      </w:r>
      <w:r w:rsidR="00C17F7C">
        <w:fldChar w:fldCharType="begin"/>
      </w:r>
      <w:r w:rsidR="00C17F7C">
        <w:instrText xml:space="preserve"> SEQ Figure \* ARABIC </w:instrText>
      </w:r>
      <w:r w:rsidR="00C17F7C">
        <w:fldChar w:fldCharType="separate"/>
      </w:r>
      <w:r w:rsidR="005F38BC">
        <w:rPr>
          <w:noProof/>
        </w:rPr>
        <w:t>110</w:t>
      </w:r>
      <w:r w:rsidR="00C17F7C">
        <w:fldChar w:fldCharType="end"/>
      </w:r>
      <w:bookmarkEnd w:id="444"/>
      <w:r>
        <w:t>: Maintain Specimen</w:t>
      </w:r>
      <w:bookmarkEnd w:id="443"/>
    </w:p>
    <w:p w:rsidR="007810A1" w:rsidRDefault="00634BFC" w:rsidP="007810A1">
      <w:pPr>
        <w:pStyle w:val="BodyText"/>
      </w:pPr>
      <w:r>
        <w:rPr>
          <w:noProof/>
        </w:rPr>
        <w:drawing>
          <wp:inline distT="0" distB="0" distL="0" distR="0">
            <wp:extent cx="5591175" cy="3676650"/>
            <wp:effectExtent l="0" t="0" r="952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591175" cy="3676650"/>
                    </a:xfrm>
                    <a:prstGeom prst="rect">
                      <a:avLst/>
                    </a:prstGeom>
                    <a:noFill/>
                    <a:ln>
                      <a:noFill/>
                    </a:ln>
                  </pic:spPr>
                </pic:pic>
              </a:graphicData>
            </a:graphic>
          </wp:inline>
        </w:drawing>
      </w:r>
    </w:p>
    <w:p w:rsidR="002A21AE" w:rsidRDefault="002A21AE">
      <w:pPr>
        <w:pStyle w:val="Heading3"/>
      </w:pPr>
      <w:r>
        <w:br w:type="page"/>
      </w:r>
      <w:bookmarkStart w:id="445" w:name="_Toc459900132"/>
      <w:r>
        <w:lastRenderedPageBreak/>
        <w:t>Accept Orders: Pending Order List</w:t>
      </w:r>
      <w:bookmarkEnd w:id="445"/>
      <w:r>
        <w:rPr>
          <w:rFonts w:ascii="Geneva" w:hAnsi="Geneva"/>
          <w:vanish/>
        </w:rPr>
        <w:fldChar w:fldCharType="begin"/>
      </w:r>
      <w:r>
        <w:rPr>
          <w:rFonts w:ascii="Geneva" w:hAnsi="Geneva"/>
          <w:vanish/>
        </w:rPr>
        <w:instrText xml:space="preserve"> XE </w:instrText>
      </w:r>
      <w:r w:rsidR="00FA7E65">
        <w:rPr>
          <w:rFonts w:ascii="Geneva" w:hAnsi="Geneva"/>
          <w:vanish/>
        </w:rPr>
        <w:instrText>“</w:instrText>
      </w:r>
      <w:r>
        <w:rPr>
          <w:rFonts w:ascii="Geneva" w:hAnsi="Geneva"/>
          <w:vanish/>
        </w:rPr>
        <w:instrText>Accept Orders\: Pending Order List</w:instrText>
      </w:r>
      <w:r w:rsidR="00FA7E65">
        <w:rPr>
          <w:rFonts w:ascii="Geneva" w:hAnsi="Geneva"/>
          <w:vanish/>
        </w:rPr>
        <w:instrText>”</w:instrText>
      </w:r>
      <w:r>
        <w:rPr>
          <w:rFonts w:ascii="Geneva" w:hAnsi="Geneva"/>
          <w:vanish/>
        </w:rPr>
        <w:instrText xml:space="preserve"> </w:instrText>
      </w:r>
      <w:r>
        <w:rPr>
          <w:rFonts w:ascii="Geneva" w:hAnsi="Geneva"/>
          <w:vanish/>
        </w:rPr>
        <w:fldChar w:fldCharType="end"/>
      </w:r>
      <w:r>
        <w:rPr>
          <w:rFonts w:ascii="Geneva" w:hAnsi="Geneva"/>
          <w:vanish/>
        </w:rPr>
        <w:t xml:space="preserve"> UC_88</w:t>
      </w:r>
    </w:p>
    <w:p w:rsidR="002A21AE" w:rsidRDefault="002A21AE" w:rsidP="00FA7E65">
      <w:pPr>
        <w:pStyle w:val="BodyText"/>
      </w:pPr>
      <w:bookmarkStart w:id="446" w:name="_Toc74835890"/>
      <w:r>
        <w:t>The Pending Order List (POL) lists pending blood bank orders.</w:t>
      </w:r>
    </w:p>
    <w:p w:rsidR="002A21AE" w:rsidRDefault="002A21AE">
      <w:pPr>
        <w:pStyle w:val="Heading4"/>
      </w:pPr>
      <w:r>
        <w:t>Assumptions</w:t>
      </w:r>
    </w:p>
    <w:p w:rsidR="002A21AE" w:rsidRDefault="002A21AE">
      <w:pPr>
        <w:pStyle w:val="ListBullet"/>
      </w:pPr>
      <w:r>
        <w:t>A CPRS order is acknowledged by VBECS.</w:t>
      </w:r>
    </w:p>
    <w:p w:rsidR="002A21AE" w:rsidRDefault="002A21AE">
      <w:pPr>
        <w:pStyle w:val="ListBullet"/>
      </w:pPr>
      <w:r>
        <w:t xml:space="preserve">An order is printed or an alert is issued per site parameters. </w:t>
      </w:r>
    </w:p>
    <w:p w:rsidR="002A21AE" w:rsidRDefault="002A21AE">
      <w:pPr>
        <w:pStyle w:val="ListBullet"/>
      </w:pPr>
      <w:r>
        <w:t xml:space="preserve">The connection to </w:t>
      </w:r>
      <w:r w:rsidR="00CA0045" w:rsidRPr="00CA0045">
        <w:rPr>
          <w:bCs/>
        </w:rPr>
        <w:t>VistA</w:t>
      </w:r>
      <w:r>
        <w:t xml:space="preserve"> is active.</w:t>
      </w:r>
    </w:p>
    <w:p w:rsidR="002A21AE" w:rsidRDefault="002A21AE">
      <w:pPr>
        <w:pStyle w:val="Heading4"/>
      </w:pPr>
      <w:r>
        <w:t>Outcome</w:t>
      </w:r>
    </w:p>
    <w:p w:rsidR="002A21AE" w:rsidRDefault="002A21AE">
      <w:pPr>
        <w:pStyle w:val="ListBullet"/>
      </w:pPr>
      <w:r>
        <w:t>A list of pending</w:t>
      </w:r>
      <w:r w:rsidR="00E46E21">
        <w:t xml:space="preserve"> orders displays and may be sorted and searched.</w:t>
      </w:r>
    </w:p>
    <w:p w:rsidR="00E46E21" w:rsidRDefault="00E46E21">
      <w:pPr>
        <w:pStyle w:val="ListBullet"/>
      </w:pPr>
      <w:r>
        <w:t>A list of pending orders may be printed in the default sort presentation.</w:t>
      </w:r>
    </w:p>
    <w:p w:rsidR="002A21AE" w:rsidRDefault="002A21AE">
      <w:pPr>
        <w:pStyle w:val="Heading4"/>
      </w:pPr>
      <w:r>
        <w:t>Limitations and Restrictions</w:t>
      </w:r>
    </w:p>
    <w:p w:rsidR="00DD022C" w:rsidRDefault="00DD022C" w:rsidP="00DD022C">
      <w:pPr>
        <w:pStyle w:val="ListBullet"/>
      </w:pPr>
      <w:r>
        <w:t xml:space="preserve">Orders placed for </w:t>
      </w:r>
      <w:r w:rsidR="00922AD8">
        <w:t>patients</w:t>
      </w:r>
      <w:r>
        <w:t xml:space="preserve"> with names that exceed the database standard for File #2 (30 characters) or do not have a first or last name in VistA are rejected and do not appear in VBECS. The VBECS System Administrator is notified of each rejection via an email to the address entered in VBECS Administrator “Interface Failure Alert Recipient” field.</w:t>
      </w:r>
    </w:p>
    <w:p w:rsidR="002A21AE" w:rsidRDefault="002A21AE">
      <w:pPr>
        <w:pStyle w:val="Heading4"/>
      </w:pPr>
      <w:r>
        <w:t>Additional Information</w:t>
      </w:r>
    </w:p>
    <w:p w:rsidR="00E079D4" w:rsidRDefault="00E079D4">
      <w:pPr>
        <w:pStyle w:val="ListBullet"/>
      </w:pPr>
      <w:r>
        <w:t>This option is used for diagnostic and blood component test orders.</w:t>
      </w:r>
    </w:p>
    <w:p w:rsidR="002A21AE" w:rsidRDefault="002A21AE">
      <w:pPr>
        <w:pStyle w:val="Heading4"/>
      </w:pPr>
      <w:r>
        <w:t>User Roles with Access to This Option</w:t>
      </w:r>
    </w:p>
    <w:p w:rsidR="002A21AE" w:rsidRDefault="000F12D4">
      <w:pPr>
        <w:pStyle w:val="Roles"/>
        <w:rPr>
          <w:snapToGrid w:val="0"/>
        </w:rPr>
      </w:pPr>
      <w:r>
        <w:t>All users</w:t>
      </w:r>
    </w:p>
    <w:bookmarkEnd w:id="446"/>
    <w:p w:rsidR="002A21AE" w:rsidRDefault="002A21AE">
      <w:pPr>
        <w:pStyle w:val="Heading4"/>
      </w:pPr>
      <w:r>
        <w:t>Accept Orders: Pending Order List</w:t>
      </w:r>
    </w:p>
    <w:p w:rsidR="002A21AE" w:rsidRDefault="002A21AE" w:rsidP="00FA7E65">
      <w:pPr>
        <w:pStyle w:val="BodyText"/>
      </w:pPr>
      <w:r>
        <w:t>VBECS displays the POL with search criteria, which allows the user to limit the number of viewable items. The user may review details of an order without taking action on it.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pPr>
              <w:pStyle w:val="TableTextNumbers"/>
            </w:pPr>
            <w:r>
              <w:t xml:space="preserve">Select </w:t>
            </w:r>
            <w:r>
              <w:rPr>
                <w:b/>
              </w:rPr>
              <w:t>Orders</w:t>
            </w:r>
            <w:r>
              <w:t xml:space="preserve"> from the main menu.</w:t>
            </w:r>
          </w:p>
          <w:p w:rsidR="002A21AE" w:rsidRDefault="002A21AE">
            <w:pPr>
              <w:pStyle w:val="TableTextNumbersContinued"/>
            </w:pPr>
          </w:p>
          <w:p w:rsidR="002A21AE" w:rsidRDefault="002A21AE">
            <w:pPr>
              <w:pStyle w:val="TableTextNumbersContinued"/>
            </w:pPr>
            <w:r>
              <w:t xml:space="preserve">Select </w:t>
            </w:r>
            <w:r>
              <w:rPr>
                <w:b/>
              </w:rPr>
              <w:t>Accept Orders</w:t>
            </w:r>
            <w:r>
              <w:t>, or</w:t>
            </w:r>
          </w:p>
          <w:p w:rsidR="002A21AE" w:rsidRDefault="002A21AE">
            <w:pPr>
              <w:pStyle w:val="TableTextNumbersContinued"/>
            </w:pPr>
          </w:p>
          <w:p w:rsidR="002A21AE" w:rsidRDefault="002A21AE">
            <w:pPr>
              <w:pStyle w:val="TableTextNumbersContinued"/>
            </w:pPr>
            <w:r>
              <w:t xml:space="preserve">Click the </w:t>
            </w:r>
            <w:r>
              <w:rPr>
                <w:b/>
              </w:rPr>
              <w:t>Pending Orders alert icon</w:t>
            </w:r>
            <w:r>
              <w:t>, if available, in the status bar at the bottom of the screen</w:t>
            </w:r>
            <w:r w:rsidR="007B4959">
              <w:t xml:space="preserve"> (</w:t>
            </w:r>
            <w:r w:rsidR="0071094D">
              <w:fldChar w:fldCharType="begin"/>
            </w:r>
            <w:r w:rsidR="0071094D">
              <w:instrText xml:space="preserve"> REF _Ref126723121 \h </w:instrText>
            </w:r>
            <w:r w:rsidR="0071094D">
              <w:fldChar w:fldCharType="separate"/>
            </w:r>
            <w:r w:rsidR="005F38BC">
              <w:t xml:space="preserve">Figure </w:t>
            </w:r>
            <w:r w:rsidR="005F38BC">
              <w:rPr>
                <w:noProof/>
              </w:rPr>
              <w:t>109</w:t>
            </w:r>
            <w:r w:rsidR="0071094D">
              <w:fldChar w:fldCharType="end"/>
            </w:r>
            <w:r w:rsidR="007B4959">
              <w:t>)</w:t>
            </w:r>
            <w:r>
              <w:t>.</w:t>
            </w:r>
          </w:p>
        </w:tc>
        <w:tc>
          <w:tcPr>
            <w:tcW w:w="6120" w:type="dxa"/>
          </w:tcPr>
          <w:p w:rsidR="002A21AE" w:rsidRDefault="002A21AE">
            <w:pPr>
              <w:pStyle w:val="TableTextBullet"/>
            </w:pPr>
            <w:r>
              <w:t>Displays options for processing orders.</w:t>
            </w:r>
          </w:p>
          <w:p w:rsidR="002A21AE" w:rsidRDefault="002A21AE">
            <w:pPr>
              <w:pStyle w:val="TableTextBullet"/>
            </w:pPr>
            <w:r>
              <w:t>Displays the Pending Order List and Pending Order List search criteria.</w:t>
            </w:r>
          </w:p>
          <w:p w:rsidR="002A21AE" w:rsidRDefault="002A21AE">
            <w:pPr>
              <w:pStyle w:val="TableTextBullet"/>
            </w:pPr>
            <w:r>
              <w:t xml:space="preserve">Allows the user to search for specific orders. </w:t>
            </w:r>
          </w:p>
          <w:p w:rsidR="002A21AE" w:rsidRDefault="002A21AE">
            <w:pPr>
              <w:pStyle w:val="TableTextBullet"/>
            </w:pPr>
            <w:r>
              <w:t xml:space="preserve">Provides the criteria to limit the search and subsequent presentation and processing. </w:t>
            </w:r>
          </w:p>
          <w:p w:rsidR="002A21AE" w:rsidRDefault="002A21AE">
            <w:pPr>
              <w:pStyle w:val="TableTextBullet"/>
            </w:pPr>
            <w:r>
              <w:t>Allows acceptance of an order.</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5942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08" name="Lin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7" o:spid="_x0000_s1026" style="position:absolute;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BSb&#10;PXY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E21E67">
            <w:pPr>
              <w:pStyle w:val="NotesText"/>
            </w:pPr>
            <w:r w:rsidRPr="00424EF8">
              <w:rPr>
                <w:vanish/>
              </w:rPr>
              <w:t xml:space="preserve">BR_88.10 </w:t>
            </w:r>
            <w:r w:rsidRPr="00274F6D">
              <w:t xml:space="preserve">VBECS </w:t>
            </w:r>
            <w:r>
              <w:t xml:space="preserve">displays orders directed to the division by </w:t>
            </w:r>
            <w:r w:rsidR="00424EF8">
              <w:t>a</w:t>
            </w:r>
            <w:r>
              <w:t xml:space="preserve"> user during system configuration.</w:t>
            </w:r>
            <w:r w:rsidR="00892C58" w:rsidRPr="00892C58">
              <w:rPr>
                <w:vanish/>
              </w:rPr>
              <w:t>DR 2,889</w:t>
            </w:r>
          </w:p>
          <w:p w:rsidR="00E21E67" w:rsidRDefault="00E21E67">
            <w:pPr>
              <w:pStyle w:val="NotesText"/>
            </w:pPr>
          </w:p>
          <w:p w:rsidR="002A21AE" w:rsidRDefault="002A21AE">
            <w:pPr>
              <w:pStyle w:val="NotesText"/>
            </w:pPr>
            <w:r w:rsidRPr="00A4315F">
              <w:t xml:space="preserve">See </w:t>
            </w:r>
            <w:r w:rsidR="00543DAF">
              <w:fldChar w:fldCharType="begin"/>
            </w:r>
            <w:r w:rsidR="00543DAF">
              <w:instrText xml:space="preserve"> REF _Ref170004931 \h </w:instrText>
            </w:r>
            <w:r w:rsidR="00543DAF">
              <w:fldChar w:fldCharType="separate"/>
            </w:r>
            <w:r w:rsidR="005F38BC">
              <w:t xml:space="preserve">Appendix </w:t>
            </w:r>
            <w:r w:rsidR="005F38BC">
              <w:rPr>
                <w:noProof/>
              </w:rPr>
              <w:t>B</w:t>
            </w:r>
            <w:r w:rsidR="00543DAF">
              <w:fldChar w:fldCharType="end"/>
            </w:r>
            <w:r w:rsidRPr="00A4315F">
              <w:t>:</w:t>
            </w:r>
            <w:r w:rsidR="00A4315F" w:rsidRPr="00A4315F">
              <w:t xml:space="preserve"> </w:t>
            </w:r>
            <w:r w:rsidR="00A4315F" w:rsidRPr="00A4315F">
              <w:fldChar w:fldCharType="begin"/>
            </w:r>
            <w:r w:rsidR="00A4315F" w:rsidRPr="00A4315F">
              <w:instrText xml:space="preserve"> REF _Ref127061360 \h </w:instrText>
            </w:r>
            <w:r w:rsidR="00A4315F">
              <w:instrText xml:space="preserve"> \* MERGEFORMAT </w:instrText>
            </w:r>
            <w:r w:rsidR="00A4315F" w:rsidRPr="00A4315F">
              <w:fldChar w:fldCharType="separate"/>
            </w:r>
            <w:r w:rsidR="005F38BC">
              <w:t xml:space="preserve">Figure 137: </w:t>
            </w:r>
            <w:r w:rsidR="005F38BC" w:rsidRPr="005F38BC">
              <w:rPr>
                <w:vanish/>
                <w:szCs w:val="18"/>
              </w:rPr>
              <w:t xml:space="preserve">TT_92.01 </w:t>
            </w:r>
            <w:r w:rsidR="005F38BC" w:rsidRPr="005F38BC">
              <w:t>Order</w:t>
            </w:r>
            <w:r w:rsidR="005F38BC">
              <w:t xml:space="preserve"> Status Flowchart</w:t>
            </w:r>
            <w:r w:rsidR="00A4315F" w:rsidRPr="00A4315F">
              <w:fldChar w:fldCharType="end"/>
            </w:r>
            <w:r>
              <w:t>.</w:t>
            </w:r>
          </w:p>
          <w:p w:rsidR="002A21AE" w:rsidRDefault="002A21AE">
            <w:pPr>
              <w:pStyle w:val="NotesText"/>
            </w:pPr>
          </w:p>
          <w:p w:rsidR="002A21AE" w:rsidRDefault="002A21AE" w:rsidP="008941EC">
            <w:pPr>
              <w:pStyle w:val="NotesText"/>
            </w:pPr>
            <w:r>
              <w:rPr>
                <w:rFonts w:cs="Arial"/>
                <w:vanish/>
              </w:rPr>
              <w:t xml:space="preserve">BR_88.04 </w:t>
            </w:r>
            <w:r>
              <w:t xml:space="preserve">When searching for pending orders based on patient name, the system displays all pending and current accepted orders for the patient. A current order is a previously accepted order with a future order/specimen expiration date. </w:t>
            </w:r>
          </w:p>
        </w:tc>
      </w:tr>
      <w:tr w:rsidR="002A21AE">
        <w:tblPrEx>
          <w:tblCellMar>
            <w:top w:w="0" w:type="dxa"/>
            <w:bottom w:w="0" w:type="dxa"/>
          </w:tblCellMar>
        </w:tblPrEx>
        <w:trPr>
          <w:trHeight w:val="575"/>
        </w:trPr>
        <w:tc>
          <w:tcPr>
            <w:tcW w:w="3240" w:type="dxa"/>
          </w:tcPr>
          <w:p w:rsidR="002A21AE" w:rsidRDefault="002A21AE">
            <w:pPr>
              <w:pStyle w:val="TableTextNumbers"/>
            </w:pPr>
            <w:r>
              <w:t>Change the selection criteria, as needed, to prepare the list or to accept the default presentation.</w:t>
            </w:r>
          </w:p>
        </w:tc>
        <w:tc>
          <w:tcPr>
            <w:tcW w:w="6120" w:type="dxa"/>
          </w:tcPr>
          <w:p w:rsidR="002A21AE" w:rsidRDefault="002A21AE">
            <w:pPr>
              <w:pStyle w:val="TableTextBullet"/>
            </w:pPr>
            <w:r>
              <w:t xml:space="preserve">Displays the POL requested by user’s selection(s). </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6044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07" name="Lin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8" o:spid="_x0000_s1026" style="position:absolute;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qG+FQ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KDq&#10;ob4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TableText"/>
            </w:pPr>
          </w:p>
          <w:p w:rsidR="002A21AE" w:rsidRDefault="002A21AE">
            <w:pPr>
              <w:pStyle w:val="NotesText"/>
            </w:pPr>
            <w:r>
              <w:rPr>
                <w:rFonts w:cs="Arial"/>
                <w:vanish/>
              </w:rPr>
              <w:t xml:space="preserve">BR_88.09 </w:t>
            </w:r>
            <w:r>
              <w:t>The POL can be sorted by Patient, Procedure, Urgency, Date/time received or date/time wanted.</w:t>
            </w:r>
          </w:p>
          <w:p w:rsidR="002A21AE" w:rsidRDefault="002A21AE">
            <w:pPr>
              <w:pStyle w:val="NotesText"/>
            </w:pPr>
          </w:p>
          <w:p w:rsidR="002A21AE" w:rsidRDefault="002A21AE">
            <w:pPr>
              <w:pStyle w:val="NotesText"/>
            </w:pPr>
            <w:r>
              <w:rPr>
                <w:rFonts w:cs="Arial"/>
                <w:vanish/>
              </w:rPr>
              <w:t xml:space="preserve">BR_88.07 </w:t>
            </w:r>
            <w:r>
              <w:t>The user may select an entry on the POL to view additional details for the order, including:</w:t>
            </w:r>
          </w:p>
          <w:p w:rsidR="002A21AE" w:rsidRDefault="002A21AE">
            <w:pPr>
              <w:pStyle w:val="NotesTextBullet"/>
            </w:pPr>
            <w:r>
              <w:t>Patient Name</w:t>
            </w:r>
          </w:p>
          <w:p w:rsidR="002A21AE" w:rsidRDefault="002A21AE">
            <w:pPr>
              <w:pStyle w:val="NotesTextBullet"/>
            </w:pPr>
            <w:r>
              <w:t>Patient ID</w:t>
            </w:r>
          </w:p>
          <w:p w:rsidR="002A21AE" w:rsidRDefault="002A21AE">
            <w:pPr>
              <w:pStyle w:val="NotesTextBullet"/>
            </w:pPr>
            <w:r>
              <w:t xml:space="preserve">Additional component class or diagnostic tests included in the same order group as the selected order. (These are displayed whether they are </w:t>
            </w:r>
            <w:r w:rsidR="00191CFE">
              <w:t>“</w:t>
            </w:r>
            <w:r>
              <w:t>in progress</w:t>
            </w:r>
            <w:r w:rsidR="00191CFE">
              <w:t>”</w:t>
            </w:r>
            <w:r>
              <w:t xml:space="preserve"> or still on the POL. There should be some indication to distinguish those that are already in progress.)</w:t>
            </w:r>
          </w:p>
          <w:p w:rsidR="002A21AE" w:rsidRDefault="002A21AE">
            <w:pPr>
              <w:pStyle w:val="NotesTextBullet"/>
            </w:pPr>
            <w:r>
              <w:t>Order comments (additional requirements from CPRS)</w:t>
            </w:r>
          </w:p>
          <w:p w:rsidR="002A21AE" w:rsidRDefault="002A21AE">
            <w:pPr>
              <w:pStyle w:val="NotesTextBullet"/>
            </w:pPr>
            <w:r>
              <w:t>Quantity (component class orders only)</w:t>
            </w:r>
          </w:p>
          <w:p w:rsidR="002A21AE" w:rsidRDefault="002A21AE">
            <w:pPr>
              <w:pStyle w:val="NotesTextBullet"/>
            </w:pPr>
            <w:r>
              <w:t>Patient hospital location</w:t>
            </w:r>
          </w:p>
          <w:p w:rsidR="002A21AE" w:rsidRDefault="002A21AE">
            <w:pPr>
              <w:pStyle w:val="NotesTextBullet"/>
            </w:pPr>
            <w:r>
              <w:t>Lab order #</w:t>
            </w:r>
          </w:p>
          <w:p w:rsidR="002A21AE" w:rsidRDefault="002A21AE">
            <w:pPr>
              <w:pStyle w:val="NotesTextBullet"/>
            </w:pPr>
            <w:r>
              <w:t>Patient ABO/Rh (if known)</w:t>
            </w:r>
          </w:p>
          <w:p w:rsidR="000F29F3" w:rsidRDefault="0070432F" w:rsidP="00735422">
            <w:pPr>
              <w:pStyle w:val="NotesTextBullet"/>
            </w:pPr>
            <w:r>
              <w:t xml:space="preserve">The </w:t>
            </w:r>
            <w:r w:rsidR="00F83BC3">
              <w:t>CPRS Order ID</w:t>
            </w:r>
            <w:r w:rsidR="00735422">
              <w:t>, Group Order ID for all diagnostic tests and component orders placed in one CPRS</w:t>
            </w:r>
            <w:r>
              <w:t xml:space="preserve"> </w:t>
            </w:r>
            <w:r w:rsidR="00E33ACF">
              <w:t xml:space="preserve">order </w:t>
            </w:r>
            <w:r w:rsidR="005B6F39">
              <w:t xml:space="preserve">is </w:t>
            </w:r>
            <w:r w:rsidR="00E33ACF">
              <w:t xml:space="preserve">the CPRS Order ID </w:t>
            </w:r>
            <w:r>
              <w:t xml:space="preserve">used by VBECS on the Order History Report and the Pending Task Lists. </w:t>
            </w:r>
            <w:r w:rsidR="00F83BC3" w:rsidRPr="00F83BC3">
              <w:rPr>
                <w:vanish/>
              </w:rPr>
              <w:t>DR 4938</w:t>
            </w:r>
          </w:p>
        </w:tc>
      </w:tr>
      <w:tr w:rsidR="002A21AE">
        <w:tblPrEx>
          <w:tblCellMar>
            <w:top w:w="0" w:type="dxa"/>
            <w:bottom w:w="0" w:type="dxa"/>
          </w:tblCellMar>
        </w:tblPrEx>
        <w:tc>
          <w:tcPr>
            <w:tcW w:w="3240" w:type="dxa"/>
          </w:tcPr>
          <w:p w:rsidR="002A21AE" w:rsidRDefault="002A21AE">
            <w:pPr>
              <w:pStyle w:val="TableTextNumbers"/>
            </w:pPr>
            <w:r>
              <w:lastRenderedPageBreak/>
              <w:t xml:space="preserve">To continue processing the POL, review the displayed list, print the list, or go to Accept Orders: Accept an Order. </w:t>
            </w:r>
          </w:p>
        </w:tc>
        <w:tc>
          <w:tcPr>
            <w:tcW w:w="6120" w:type="dxa"/>
          </w:tcPr>
          <w:p w:rsidR="002A21AE" w:rsidRDefault="002A21AE">
            <w:pPr>
              <w:pStyle w:val="TableTextBullet"/>
            </w:pPr>
            <w:r>
              <w:t xml:space="preserve">Allows the user to return to Step 1 to change the presentation of the list, review details of pending orders, print the list, or select an order or proceed to Accept Orders: Accept an Order. </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6147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06" name="Lin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9" o:spid="_x0000_s1026" style="position:absolute;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Y4FQ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HAe&#10;Njg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BR_92.07 </w:t>
            </w:r>
            <w:r>
              <w:t>When a user requests a POL report and VBECS does not find any information, VBECS notifies the user and asks whether he wishes to continue to print. The user may cancel or print the report, which will include “No pending orders found.”</w:t>
            </w:r>
          </w:p>
        </w:tc>
      </w:tr>
      <w:tr w:rsidR="002A21AE">
        <w:tblPrEx>
          <w:tblCellMar>
            <w:top w:w="0" w:type="dxa"/>
            <w:bottom w:w="0" w:type="dxa"/>
          </w:tblCellMar>
        </w:tblPrEx>
        <w:tc>
          <w:tcPr>
            <w:tcW w:w="3240" w:type="dxa"/>
          </w:tcPr>
          <w:p w:rsidR="002A21AE" w:rsidRDefault="002A21AE">
            <w:pPr>
              <w:pStyle w:val="TableTextNumbers"/>
            </w:pPr>
            <w:r>
              <w:t>Exit.</w:t>
            </w:r>
            <w:r w:rsidRPr="00B93B42">
              <w:rPr>
                <w:rStyle w:val="StyleTableTextNumbersWhite1Char"/>
              </w:rP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rsidR="002A21AE" w:rsidRDefault="002A21AE">
            <w:pPr>
              <w:pStyle w:val="TableText"/>
            </w:pPr>
          </w:p>
        </w:tc>
      </w:tr>
    </w:tbl>
    <w:p w:rsidR="002A21AE" w:rsidRDefault="0072673B" w:rsidP="0072673B">
      <w:r>
        <w:br w:type="page"/>
      </w:r>
      <w:r w:rsidR="00634BFC">
        <w:rPr>
          <w:noProof/>
        </w:rPr>
        <w:lastRenderedPageBreak/>
        <w:drawing>
          <wp:inline distT="0" distB="0" distL="0" distR="0">
            <wp:extent cx="152400" cy="152400"/>
            <wp:effectExtent l="0" t="0" r="0" b="0"/>
            <wp:docPr id="204" name="Picture 204" descr="small_order_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small_order_alert"/>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A21AE">
        <w:t xml:space="preserve"> </w:t>
      </w:r>
      <w:r w:rsidR="002A21AE" w:rsidRPr="0072673B">
        <w:rPr>
          <w:rStyle w:val="Heading3Char1"/>
        </w:rPr>
        <w:t>Display Order Alerts</w:t>
      </w:r>
      <w:r w:rsidR="002A21AE" w:rsidRPr="0072673B">
        <w:rPr>
          <w:rStyle w:val="Heading3Char1"/>
        </w:rPr>
        <w:fldChar w:fldCharType="begin"/>
      </w:r>
      <w:r w:rsidR="002A21AE" w:rsidRPr="0072673B">
        <w:rPr>
          <w:rStyle w:val="Heading3Char1"/>
        </w:rPr>
        <w:instrText xml:space="preserve"> XE </w:instrText>
      </w:r>
      <w:r w:rsidR="00FA7E65" w:rsidRPr="0072673B">
        <w:rPr>
          <w:rStyle w:val="Heading3Char1"/>
        </w:rPr>
        <w:instrText>“</w:instrText>
      </w:r>
      <w:r w:rsidR="002A21AE" w:rsidRPr="0072673B">
        <w:rPr>
          <w:rStyle w:val="Heading3Char1"/>
        </w:rPr>
        <w:instrText>Display Order Alerts</w:instrText>
      </w:r>
      <w:r w:rsidR="00FA7E65" w:rsidRPr="0072673B">
        <w:rPr>
          <w:rStyle w:val="Heading3Char1"/>
        </w:rPr>
        <w:instrText>”</w:instrText>
      </w:r>
      <w:r w:rsidR="002A21AE" w:rsidRPr="0072673B">
        <w:rPr>
          <w:rStyle w:val="Heading3Char1"/>
        </w:rPr>
        <w:instrText xml:space="preserve"> </w:instrText>
      </w:r>
      <w:r w:rsidR="002A21AE" w:rsidRPr="0072673B">
        <w:rPr>
          <w:rStyle w:val="Heading3Char1"/>
        </w:rPr>
        <w:fldChar w:fldCharType="end"/>
      </w:r>
      <w:r w:rsidR="002A21AE">
        <w:t xml:space="preserve"> </w:t>
      </w:r>
      <w:r w:rsidR="002A21AE">
        <w:rPr>
          <w:b/>
          <w:vanish/>
          <w:sz w:val="22"/>
        </w:rPr>
        <w:t>UC_84</w:t>
      </w:r>
    </w:p>
    <w:p w:rsidR="002A21AE" w:rsidRDefault="002A21AE" w:rsidP="00FA7E65">
      <w:pPr>
        <w:pStyle w:val="BodyText"/>
      </w:pPr>
      <w:r>
        <w:t>VBECS notifies the user of new and updated patient orders.</w:t>
      </w:r>
    </w:p>
    <w:p w:rsidR="002A21AE" w:rsidRDefault="002A21AE">
      <w:pPr>
        <w:pStyle w:val="Heading4"/>
      </w:pPr>
      <w:r>
        <w:t>Assumptions</w:t>
      </w:r>
      <w:r>
        <w:rPr>
          <w:b w:val="0"/>
        </w:rPr>
        <w:t xml:space="preserve"> </w:t>
      </w:r>
    </w:p>
    <w:p w:rsidR="002A21AE" w:rsidRDefault="002A21AE">
      <w:pPr>
        <w:pStyle w:val="ListBullet"/>
      </w:pPr>
      <w:r>
        <w:t xml:space="preserve">VBECS receives a new order or an order update message from </w:t>
      </w:r>
      <w:r w:rsidR="00CA0045" w:rsidRPr="00CA0045">
        <w:rPr>
          <w:bCs/>
        </w:rPr>
        <w:t>VistA</w:t>
      </w:r>
      <w:r>
        <w:t xml:space="preserve"> for the user’s division.</w:t>
      </w:r>
    </w:p>
    <w:p w:rsidR="002A21AE" w:rsidRDefault="002A21AE">
      <w:pPr>
        <w:pStyle w:val="Heading4"/>
      </w:pPr>
      <w:r>
        <w:t xml:space="preserve">Outcome </w:t>
      </w:r>
    </w:p>
    <w:p w:rsidR="002A21AE" w:rsidRPr="000975BF" w:rsidRDefault="002A21AE">
      <w:pPr>
        <w:pStyle w:val="ListBullet"/>
        <w:rPr>
          <w:strike/>
        </w:rPr>
      </w:pPr>
      <w:r>
        <w:t>VBECS displays notification icons only to users logged into VBECS.</w:t>
      </w:r>
    </w:p>
    <w:p w:rsidR="002A21AE" w:rsidRDefault="002A21AE">
      <w:pPr>
        <w:pStyle w:val="Heading4"/>
      </w:pPr>
      <w:r>
        <w:t>Limitations and Restrictions</w:t>
      </w:r>
      <w:r>
        <w:rPr>
          <w:b w:val="0"/>
        </w:rPr>
        <w:t xml:space="preserve"> </w:t>
      </w:r>
    </w:p>
    <w:p w:rsidR="00325067" w:rsidRPr="00543DAF" w:rsidRDefault="002A21AE" w:rsidP="00971715">
      <w:pPr>
        <w:pStyle w:val="ListBullet"/>
      </w:pPr>
      <w:r>
        <w:t xml:space="preserve">VBECS </w:t>
      </w:r>
      <w:r w:rsidR="005B2BDB">
        <w:t>issues</w:t>
      </w:r>
      <w:r>
        <w:t xml:space="preserve"> no notifications </w:t>
      </w:r>
      <w:r w:rsidR="00B306AF">
        <w:t>for</w:t>
      </w:r>
      <w:r>
        <w:t xml:space="preserve"> order cancellations.</w:t>
      </w:r>
    </w:p>
    <w:p w:rsidR="002A21AE" w:rsidRDefault="002A21AE">
      <w:pPr>
        <w:pStyle w:val="Heading4"/>
      </w:pPr>
      <w:r>
        <w:t xml:space="preserve">Additional Information </w:t>
      </w:r>
    </w:p>
    <w:p w:rsidR="002A21AE" w:rsidRDefault="002A21AE">
      <w:pPr>
        <w:pStyle w:val="ListBullet"/>
      </w:pPr>
      <w:r>
        <w:rPr>
          <w:rFonts w:ascii="Arial" w:hAnsi="Arial" w:cs="Arial"/>
          <w:vanish/>
          <w:spacing w:val="0"/>
          <w:sz w:val="18"/>
        </w:rPr>
        <w:t xml:space="preserve">BR_84.12 </w:t>
      </w:r>
      <w:r>
        <w:t xml:space="preserve">The user may set VBECS to automatically print an order alert </w:t>
      </w:r>
      <w:r w:rsidR="00BC62B7">
        <w:t xml:space="preserve">with limited information </w:t>
      </w:r>
      <w:r>
        <w:t>on the designated printer when VBECS acknowledges the order.</w:t>
      </w:r>
    </w:p>
    <w:p w:rsidR="00DA5187" w:rsidRPr="00971715" w:rsidRDefault="00DA5187">
      <w:pPr>
        <w:pStyle w:val="ListBullet"/>
      </w:pPr>
      <w:r w:rsidRPr="00971715">
        <w:rPr>
          <w:spacing w:val="0"/>
        </w:rPr>
        <w:t xml:space="preserve">The alert displays the individual test’s </w:t>
      </w:r>
      <w:r w:rsidR="00D059AF">
        <w:rPr>
          <w:spacing w:val="0"/>
        </w:rPr>
        <w:t xml:space="preserve">(child) </w:t>
      </w:r>
      <w:r w:rsidRPr="00971715">
        <w:rPr>
          <w:spacing w:val="0"/>
        </w:rPr>
        <w:t xml:space="preserve">CPRS </w:t>
      </w:r>
      <w:r w:rsidR="00177E10">
        <w:rPr>
          <w:spacing w:val="0"/>
        </w:rPr>
        <w:t xml:space="preserve">ID. The </w:t>
      </w:r>
      <w:r w:rsidR="004D735A">
        <w:rPr>
          <w:spacing w:val="0"/>
        </w:rPr>
        <w:t>individual test’s (</w:t>
      </w:r>
      <w:r w:rsidR="008C69E2">
        <w:rPr>
          <w:spacing w:val="0"/>
        </w:rPr>
        <w:t>child</w:t>
      </w:r>
      <w:r w:rsidR="004D735A">
        <w:rPr>
          <w:spacing w:val="0"/>
        </w:rPr>
        <w:t>)</w:t>
      </w:r>
      <w:r w:rsidR="008C69E2">
        <w:rPr>
          <w:spacing w:val="0"/>
        </w:rPr>
        <w:t xml:space="preserve"> </w:t>
      </w:r>
      <w:r w:rsidR="00177E10">
        <w:rPr>
          <w:spacing w:val="0"/>
        </w:rPr>
        <w:t xml:space="preserve">CPRS ID is not displayed </w:t>
      </w:r>
      <w:r w:rsidR="004D735A">
        <w:rPr>
          <w:spacing w:val="0"/>
        </w:rPr>
        <w:t xml:space="preserve">on the Pending Order List, </w:t>
      </w:r>
      <w:r w:rsidR="00177E10">
        <w:rPr>
          <w:spacing w:val="0"/>
        </w:rPr>
        <w:t>elsewhere in VBECS or on reports and is not usable in search functions</w:t>
      </w:r>
      <w:r w:rsidRPr="00971715">
        <w:rPr>
          <w:spacing w:val="0"/>
        </w:rPr>
        <w:t xml:space="preserve">. </w:t>
      </w:r>
      <w:r w:rsidRPr="00971715">
        <w:rPr>
          <w:vanish/>
          <w:spacing w:val="0"/>
        </w:rPr>
        <w:t>DR 4938</w:t>
      </w:r>
    </w:p>
    <w:p w:rsidR="002A21AE" w:rsidRDefault="002A21AE">
      <w:pPr>
        <w:pStyle w:val="Heading4"/>
        <w:rPr>
          <w:b w:val="0"/>
        </w:rPr>
      </w:pPr>
      <w:r>
        <w:t>User Roles with Access to This Option</w:t>
      </w:r>
      <w:r>
        <w:rPr>
          <w:b w:val="0"/>
        </w:rPr>
        <w:t xml:space="preserve"> </w:t>
      </w:r>
    </w:p>
    <w:p w:rsidR="002A21AE" w:rsidRDefault="000F12D4">
      <w:pPr>
        <w:pStyle w:val="Roles"/>
        <w:rPr>
          <w:snapToGrid w:val="0"/>
        </w:rPr>
      </w:pPr>
      <w:r>
        <w:t>All users</w:t>
      </w:r>
    </w:p>
    <w:p w:rsidR="002A21AE" w:rsidRDefault="002A21AE">
      <w:pPr>
        <w:pStyle w:val="Heading4"/>
      </w:pPr>
      <w:r>
        <w:t>Display Order Alerts</w:t>
      </w:r>
    </w:p>
    <w:p w:rsidR="002A21AE" w:rsidRDefault="002A21AE" w:rsidP="00FA7E65">
      <w:pPr>
        <w:pStyle w:val="BodyText"/>
      </w:pPr>
      <w:r>
        <w:t>VBECS notifies the user that order updates occurred and allows him to accept the new orders.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rPr>
          <w:trHeight w:val="403"/>
        </w:trPr>
        <w:tc>
          <w:tcPr>
            <w:tcW w:w="3240" w:type="dxa"/>
          </w:tcPr>
          <w:p w:rsidR="002A21AE" w:rsidRDefault="002A21AE">
            <w:pPr>
              <w:pStyle w:val="TableTextNumbers"/>
            </w:pPr>
            <w:r>
              <w:t xml:space="preserve">Hold the </w:t>
            </w:r>
            <w:r w:rsidRPr="003F3122">
              <w:rPr>
                <w:szCs w:val="18"/>
              </w:rPr>
              <w:t>mouse</w:t>
            </w:r>
            <w:r>
              <w:t xml:space="preserve"> over the </w:t>
            </w:r>
            <w:r w:rsidR="00DB3E37">
              <w:t>i</w:t>
            </w:r>
            <w:r>
              <w:t xml:space="preserve">con to view a tool tip, or </w:t>
            </w:r>
          </w:p>
          <w:p w:rsidR="002A21AE" w:rsidRDefault="002A21AE">
            <w:pPr>
              <w:pStyle w:val="TableTextNumbersContinued"/>
            </w:pPr>
          </w:p>
          <w:p w:rsidR="002A21AE" w:rsidRDefault="002A21AE">
            <w:pPr>
              <w:pStyle w:val="TableTextNumbersContinued"/>
            </w:pPr>
            <w:r>
              <w:t xml:space="preserve">Click </w:t>
            </w:r>
            <w:r w:rsidR="00634BFC">
              <w:rPr>
                <w:noProof/>
              </w:rPr>
              <w:drawing>
                <wp:inline distT="0" distB="0" distL="0" distR="0">
                  <wp:extent cx="152400" cy="152400"/>
                  <wp:effectExtent l="0" t="0" r="0" b="0"/>
                  <wp:docPr id="205" name="Picture 205" descr="small_order_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small_order_alert"/>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to view a panel showing new or updated orders and hide the icon. </w:t>
            </w:r>
          </w:p>
          <w:p w:rsidR="002A21AE" w:rsidRDefault="002A21AE">
            <w:pPr>
              <w:pStyle w:val="TableTextNumbersContinued"/>
            </w:pPr>
          </w:p>
          <w:p w:rsidR="002A21AE" w:rsidRDefault="002A21AE">
            <w:pPr>
              <w:pStyle w:val="TableTextNumbersContinued"/>
            </w:pPr>
            <w:r>
              <w:t xml:space="preserve">Click </w:t>
            </w:r>
            <w:r w:rsidR="00634BFC">
              <w:rPr>
                <w:noProof/>
              </w:rPr>
              <w:drawing>
                <wp:inline distT="0" distB="0" distL="0" distR="0">
                  <wp:extent cx="152400" cy="152400"/>
                  <wp:effectExtent l="0" t="0" r="0" b="0"/>
                  <wp:docPr id="206" name="Picture 206" descr="small_order_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small_order_alert"/>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again to hide the panel.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rsidR="002A21AE" w:rsidRDefault="002A21AE">
            <w:pPr>
              <w:pStyle w:val="TableTextBullet"/>
            </w:pPr>
            <w:r>
              <w:t>Acknowledges a new or updated patient order.</w:t>
            </w:r>
          </w:p>
          <w:p w:rsidR="002A21AE" w:rsidRDefault="002A21AE">
            <w:pPr>
              <w:pStyle w:val="TableTextBullet"/>
            </w:pPr>
            <w:r>
              <w:t xml:space="preserve">Displays </w:t>
            </w:r>
            <w:r w:rsidR="00922AD8">
              <w:t>an</w:t>
            </w:r>
            <w:r>
              <w:t xml:space="preserve"> order notification icon in the status bar when new orders are received, according to local settings.</w:t>
            </w:r>
          </w:p>
          <w:p w:rsidR="002A21AE" w:rsidRDefault="002A21AE">
            <w:pPr>
              <w:pStyle w:val="TableTextBullet"/>
            </w:pPr>
            <w:r>
              <w:t>Displays information regarding new orders and order updates and allows the user to accept them.</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3417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05" name="Line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8"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c2IFQ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Epx&#10;zYg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szCs w:val="18"/>
              </w:rPr>
              <w:t>BR_84.01</w:t>
            </w:r>
            <w:r w:rsidR="00CE3961">
              <w:rPr>
                <w:rFonts w:cs="Arial"/>
                <w:vanish/>
                <w:szCs w:val="18"/>
              </w:rPr>
              <w:t>,</w:t>
            </w:r>
            <w:r>
              <w:rPr>
                <w:rFonts w:cs="Arial"/>
                <w:vanish/>
                <w:szCs w:val="18"/>
              </w:rPr>
              <w:t xml:space="preserve"> </w:t>
            </w:r>
            <w:r>
              <w:rPr>
                <w:vanish/>
                <w:szCs w:val="18"/>
              </w:rPr>
              <w:t xml:space="preserve">BR_84.02 </w:t>
            </w:r>
            <w:r>
              <w:t>When the division is configured to alert the user of orders received by VBECS, VBECS notifies the user of ordered components or ordered tests that were:</w:t>
            </w:r>
          </w:p>
          <w:p w:rsidR="002A21AE" w:rsidRDefault="002A21AE">
            <w:pPr>
              <w:pStyle w:val="NotesTextBullet"/>
              <w:tabs>
                <w:tab w:val="clear" w:pos="1008"/>
                <w:tab w:val="num" w:pos="288"/>
              </w:tabs>
            </w:pPr>
            <w:r>
              <w:t>Directed to the user’s division.</w:t>
            </w:r>
          </w:p>
          <w:p w:rsidR="002A21AE" w:rsidRDefault="002A21AE">
            <w:pPr>
              <w:pStyle w:val="NotesTextBullet"/>
              <w:tabs>
                <w:tab w:val="clear" w:pos="1008"/>
                <w:tab w:val="num" w:pos="288"/>
              </w:tabs>
            </w:pPr>
            <w:r>
              <w:t xml:space="preserve">Added or updated in </w:t>
            </w:r>
            <w:r w:rsidR="00CA0045" w:rsidRPr="00CA0045">
              <w:rPr>
                <w:bCs/>
              </w:rPr>
              <w:t>VistA</w:t>
            </w:r>
            <w:r>
              <w:t>.</w:t>
            </w:r>
          </w:p>
          <w:p w:rsidR="002A21AE" w:rsidRDefault="002A21AE">
            <w:pPr>
              <w:pStyle w:val="NotesText"/>
            </w:pPr>
          </w:p>
          <w:p w:rsidR="002A21AE" w:rsidRDefault="002A21AE">
            <w:pPr>
              <w:pStyle w:val="NotesText"/>
            </w:pPr>
            <w:r>
              <w:t xml:space="preserve">When the division is configured to alert the user of orders needed in the next </w:t>
            </w:r>
            <w:r w:rsidR="00D923F9">
              <w:t>specified</w:t>
            </w:r>
            <w:r>
              <w:t xml:space="preserve"> number of hours, VBECS also notifies the user of ordered components or ordered tests with a required time less than a </w:t>
            </w:r>
            <w:r w:rsidR="00D923F9">
              <w:t xml:space="preserve">specified </w:t>
            </w:r>
            <w:r>
              <w:t>number of hours in the future.</w:t>
            </w:r>
          </w:p>
        </w:tc>
      </w:tr>
    </w:tbl>
    <w:p w:rsidR="002A21AE" w:rsidRDefault="0072673B" w:rsidP="0072673B">
      <w:pPr>
        <w:pStyle w:val="Heading3"/>
      </w:pPr>
      <w:r>
        <w:br w:type="page"/>
      </w:r>
      <w:bookmarkStart w:id="447" w:name="_Toc459900133"/>
      <w:r w:rsidR="00634BFC">
        <w:rPr>
          <w:noProof/>
        </w:rPr>
        <w:lastRenderedPageBreak/>
        <w:drawing>
          <wp:inline distT="0" distB="0" distL="0" distR="0">
            <wp:extent cx="161925" cy="152400"/>
            <wp:effectExtent l="0" t="0" r="9525" b="0"/>
            <wp:docPr id="207" name="Picture 207"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atientale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2A21AE">
        <w:t xml:space="preserve"> Display Patient Update Alerts</w:t>
      </w:r>
      <w:bookmarkEnd w:id="447"/>
      <w:r w:rsidR="002A21AE">
        <w:fldChar w:fldCharType="begin"/>
      </w:r>
      <w:r w:rsidR="002A21AE">
        <w:instrText xml:space="preserve"> XE </w:instrText>
      </w:r>
      <w:r w:rsidR="00FA7E65">
        <w:instrText>“</w:instrText>
      </w:r>
      <w:r w:rsidR="002A21AE">
        <w:instrText>Display Patient Update Alerts</w:instrText>
      </w:r>
      <w:r w:rsidR="00FA7E65">
        <w:instrText>”</w:instrText>
      </w:r>
      <w:r w:rsidR="002A21AE">
        <w:instrText xml:space="preserve"> </w:instrText>
      </w:r>
      <w:r w:rsidR="002A21AE">
        <w:fldChar w:fldCharType="end"/>
      </w:r>
      <w:r w:rsidR="002A21AE">
        <w:t xml:space="preserve"> </w:t>
      </w:r>
      <w:r w:rsidR="002A21AE">
        <w:rPr>
          <w:vanish/>
          <w:sz w:val="22"/>
        </w:rPr>
        <w:t>UC_84</w:t>
      </w:r>
    </w:p>
    <w:p w:rsidR="002A21AE" w:rsidRDefault="002A21AE" w:rsidP="00FA7E65">
      <w:pPr>
        <w:pStyle w:val="BodyText"/>
      </w:pPr>
      <w:r>
        <w:t xml:space="preserve">VBECS notifies the user of patient update, death, and merge events. </w:t>
      </w:r>
    </w:p>
    <w:p w:rsidR="002A21AE" w:rsidRDefault="002A21AE">
      <w:pPr>
        <w:pStyle w:val="Heading4"/>
      </w:pPr>
      <w:r>
        <w:t>Assumptions</w:t>
      </w:r>
      <w:r>
        <w:rPr>
          <w:b w:val="0"/>
        </w:rPr>
        <w:t xml:space="preserve"> </w:t>
      </w:r>
    </w:p>
    <w:p w:rsidR="002A21AE" w:rsidRDefault="002A21AE">
      <w:pPr>
        <w:pStyle w:val="ListBullet"/>
      </w:pPr>
      <w:r>
        <w:t xml:space="preserve">A patient demographic update is received from </w:t>
      </w:r>
      <w:r w:rsidR="00CA0045" w:rsidRPr="00CA0045">
        <w:rPr>
          <w:bCs/>
        </w:rPr>
        <w:t>VistA</w:t>
      </w:r>
      <w:r>
        <w:t xml:space="preserve"> for the user’s division for a VBECS patient with an active order.</w:t>
      </w:r>
    </w:p>
    <w:p w:rsidR="002A21AE" w:rsidRDefault="002A21AE">
      <w:pPr>
        <w:pStyle w:val="Heading4"/>
      </w:pPr>
      <w:r>
        <w:t xml:space="preserve">Outcome </w:t>
      </w:r>
    </w:p>
    <w:p w:rsidR="002A21AE" w:rsidRDefault="002A21AE">
      <w:pPr>
        <w:pStyle w:val="ListBullet"/>
      </w:pPr>
      <w:r>
        <w:t>The patient demographics are updated in VBECS.</w:t>
      </w:r>
    </w:p>
    <w:p w:rsidR="002A21AE" w:rsidRDefault="002A21AE">
      <w:pPr>
        <w:pStyle w:val="Heading4"/>
        <w:rPr>
          <w:b w:val="0"/>
        </w:rPr>
      </w:pPr>
      <w:r>
        <w:t>Limitations and Restrictions</w:t>
      </w:r>
      <w:r>
        <w:rPr>
          <w:b w:val="0"/>
        </w:rPr>
        <w:t xml:space="preserve"> </w:t>
      </w:r>
    </w:p>
    <w:p w:rsidR="00425BC3" w:rsidRDefault="00425BC3" w:rsidP="00425BC3">
      <w:pPr>
        <w:pStyle w:val="ListBullet"/>
      </w:pPr>
      <w:r>
        <w:t xml:space="preserve">VBECS does not notify users of additional VistA patient updates or merges while the icon is displayed. </w:t>
      </w:r>
      <w:r>
        <w:rPr>
          <w:rFonts w:cs="Arial"/>
          <w:vanish/>
        </w:rPr>
        <w:t xml:space="preserve">DR 2,525 </w:t>
      </w:r>
      <w:r>
        <w:t xml:space="preserve">When a user views an update and there is an unprocessed VistA patient merge, the Patient Alert icon remains on the screen until the Traditional Supervisor updates the patient records and clears the icon. </w:t>
      </w:r>
    </w:p>
    <w:p w:rsidR="00562E66" w:rsidRDefault="00562E66" w:rsidP="00562E66">
      <w:pPr>
        <w:pStyle w:val="ListBullet"/>
      </w:pPr>
      <w:r>
        <w:t>Patient updates involving</w:t>
      </w:r>
      <w:r w:rsidRPr="00DD022C">
        <w:t xml:space="preserve"> patient’s with names that exceed the database standard for File #2 (30 characters) or do not have a first or last name in VistA are rejected and do not appear in VBECS. The VBECS System Administrator is notified of each rejection via an email to the address entered in VBECS Administrator “Interface Failure Alert Recipient” field.</w:t>
      </w:r>
    </w:p>
    <w:p w:rsidR="001C13FD" w:rsidRPr="003A360F" w:rsidRDefault="001C13FD" w:rsidP="00562E66">
      <w:pPr>
        <w:pStyle w:val="ListBullet"/>
      </w:pPr>
      <w:r w:rsidRPr="003A360F">
        <w:t xml:space="preserve">Patient update alerts only display when </w:t>
      </w:r>
      <w:r w:rsidR="001F1E91">
        <w:t xml:space="preserve">active </w:t>
      </w:r>
      <w:r w:rsidRPr="003A360F">
        <w:t xml:space="preserve">component </w:t>
      </w:r>
      <w:r w:rsidR="001F1E91">
        <w:t xml:space="preserve">or diagnostic test </w:t>
      </w:r>
      <w:r w:rsidRPr="003A360F">
        <w:t xml:space="preserve">orders are </w:t>
      </w:r>
      <w:r w:rsidR="00802EE9">
        <w:t xml:space="preserve">pending or </w:t>
      </w:r>
      <w:r w:rsidRPr="003A360F">
        <w:t>active</w:t>
      </w:r>
      <w:r w:rsidR="00F60A24">
        <w:rPr>
          <w:rStyle w:val="FootnoteReference"/>
        </w:rPr>
        <w:footnoteReference w:id="3"/>
      </w:r>
      <w:r w:rsidRPr="003A360F">
        <w:t xml:space="preserve"> at the time the update occurs.</w:t>
      </w:r>
      <w:r w:rsidR="00F15743" w:rsidRPr="003A360F">
        <w:t xml:space="preserve"> </w:t>
      </w:r>
      <w:r w:rsidR="00F15743" w:rsidRPr="003A360F">
        <w:rPr>
          <w:vanish/>
        </w:rPr>
        <w:t>DR 4323</w:t>
      </w:r>
      <w:r w:rsidR="001F1E91">
        <w:rPr>
          <w:vanish/>
        </w:rPr>
        <w:t xml:space="preserve"> BR_68.02</w:t>
      </w:r>
    </w:p>
    <w:p w:rsidR="002A21AE" w:rsidRDefault="002A21AE">
      <w:pPr>
        <w:pStyle w:val="Heading4"/>
      </w:pPr>
      <w:r>
        <w:t xml:space="preserve">Additional Information </w:t>
      </w:r>
    </w:p>
    <w:p w:rsidR="002A21AE" w:rsidRDefault="002A21AE">
      <w:pPr>
        <w:pStyle w:val="ListBullet"/>
      </w:pPr>
      <w:r>
        <w:t>None</w:t>
      </w:r>
    </w:p>
    <w:p w:rsidR="002A21AE" w:rsidRDefault="002A21AE">
      <w:pPr>
        <w:pStyle w:val="Heading4"/>
        <w:rPr>
          <w:b w:val="0"/>
        </w:rPr>
      </w:pPr>
      <w:r>
        <w:t>User Roles with Access to This Option</w:t>
      </w:r>
      <w:r>
        <w:rPr>
          <w:b w:val="0"/>
        </w:rPr>
        <w:t xml:space="preserve"> </w:t>
      </w:r>
    </w:p>
    <w:p w:rsidR="002A21AE" w:rsidRDefault="00DF031C">
      <w:pPr>
        <w:pStyle w:val="Roles"/>
        <w:rPr>
          <w:snapToGrid w:val="0"/>
        </w:rPr>
      </w:pPr>
      <w:r>
        <w:t>All users</w:t>
      </w:r>
    </w:p>
    <w:p w:rsidR="002A21AE" w:rsidRDefault="002A21AE">
      <w:pPr>
        <w:pStyle w:val="Heading4"/>
      </w:pPr>
      <w:r>
        <w:t>Display Patient Update Alerts</w:t>
      </w:r>
    </w:p>
    <w:p w:rsidR="002A21AE" w:rsidRDefault="002A21AE" w:rsidP="00FA7E65">
      <w:pPr>
        <w:pStyle w:val="BodyText"/>
      </w:pPr>
      <w:r>
        <w:t xml:space="preserve">VBECS notifies the user that patient updates occurred and allows him to view additional details.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rPr>
          <w:trHeight w:val="403"/>
        </w:trPr>
        <w:tc>
          <w:tcPr>
            <w:tcW w:w="3240" w:type="dxa"/>
          </w:tcPr>
          <w:p w:rsidR="002A21AE" w:rsidRDefault="002A21AE">
            <w:pPr>
              <w:pStyle w:val="TableTextNumbers"/>
            </w:pPr>
            <w:r>
              <w:t xml:space="preserve">Hold the mouse over the </w:t>
            </w:r>
            <w:r w:rsidR="00D57F25">
              <w:t>Patient Alert icon</w:t>
            </w:r>
            <w:r>
              <w:t xml:space="preserve"> to view a tool tip, or </w:t>
            </w:r>
          </w:p>
          <w:p w:rsidR="002A21AE" w:rsidRDefault="002A21AE">
            <w:pPr>
              <w:pStyle w:val="TableTextNumbersContinued"/>
            </w:pPr>
          </w:p>
          <w:p w:rsidR="002A21AE" w:rsidRDefault="002A21AE">
            <w:pPr>
              <w:pStyle w:val="TableTextNumbersContinued"/>
            </w:pPr>
            <w:r>
              <w:rPr>
                <w:rFonts w:cs="Arial"/>
                <w:vanish/>
              </w:rPr>
              <w:t xml:space="preserve">BR_84.08 </w:t>
            </w:r>
            <w:r>
              <w:t xml:space="preserve">Click </w:t>
            </w:r>
            <w:r w:rsidR="00634BFC">
              <w:rPr>
                <w:noProof/>
              </w:rPr>
              <w:drawing>
                <wp:inline distT="0" distB="0" distL="0" distR="0">
                  <wp:extent cx="161925" cy="152400"/>
                  <wp:effectExtent l="0" t="0" r="9525" b="0"/>
                  <wp:docPr id="208" name="Picture 208"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patientale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to view a menu and select </w:t>
            </w:r>
            <w:r>
              <w:rPr>
                <w:b/>
              </w:rPr>
              <w:t>Updated Patients</w:t>
            </w:r>
            <w:r>
              <w:t xml:space="preserve">, </w:t>
            </w:r>
            <w:r>
              <w:rPr>
                <w:b/>
              </w:rPr>
              <w:t>Deceased Patients</w:t>
            </w:r>
            <w:r>
              <w:t xml:space="preserve">, or </w:t>
            </w:r>
            <w:r>
              <w:rPr>
                <w:b/>
              </w:rPr>
              <w:t xml:space="preserve">Patient Merge </w:t>
            </w:r>
            <w:r>
              <w:t xml:space="preserve">to view the updates. </w:t>
            </w:r>
          </w:p>
          <w:p w:rsidR="002A21AE" w:rsidRDefault="002A21AE">
            <w:pPr>
              <w:pStyle w:val="TableTextNumbersContinued"/>
            </w:pPr>
          </w:p>
          <w:p w:rsidR="002A21AE" w:rsidRDefault="002A21AE">
            <w:pPr>
              <w:pStyle w:val="TableTextNumbersContinued"/>
            </w:pPr>
            <w:r>
              <w:t xml:space="preserve">Click </w:t>
            </w:r>
            <w:r w:rsidR="00634BFC">
              <w:rPr>
                <w:noProof/>
              </w:rPr>
              <w:drawing>
                <wp:inline distT="0" distB="0" distL="0" distR="0">
                  <wp:extent cx="161925" cy="152400"/>
                  <wp:effectExtent l="0" t="0" r="9525" b="0"/>
                  <wp:docPr id="209" name="Picture 209"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patientale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again to hide the menu.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rsidR="002A21AE" w:rsidRDefault="002A21AE">
            <w:pPr>
              <w:pStyle w:val="TableTextBullet"/>
            </w:pPr>
            <w:r>
              <w:rPr>
                <w:rFonts w:cs="Arial"/>
                <w:vanish/>
              </w:rPr>
              <w:t xml:space="preserve">BR_84.06 </w:t>
            </w:r>
            <w:r>
              <w:t xml:space="preserve">Displays a </w:t>
            </w:r>
            <w:r w:rsidR="00D57F25">
              <w:t>Patient Alert icon</w:t>
            </w:r>
            <w:r>
              <w:t xml:space="preserve"> in the status bar when it receives a patient update</w:t>
            </w:r>
            <w:r w:rsidR="008D6720">
              <w:t xml:space="preserve"> or </w:t>
            </w:r>
            <w:r>
              <w:t>death</w:t>
            </w:r>
            <w:r w:rsidR="008D6720">
              <w:t xml:space="preserve"> event message</w:t>
            </w:r>
            <w:r>
              <w:rPr>
                <w:b/>
                <w:bCs/>
              </w:rPr>
              <w:t xml:space="preserve"> </w:t>
            </w:r>
            <w:r>
              <w:t>and the patient has active or pending orders in the user’s VBECS division.</w:t>
            </w:r>
          </w:p>
          <w:p w:rsidR="008B7F48" w:rsidRDefault="008B7F48">
            <w:pPr>
              <w:pStyle w:val="TableTextBullet"/>
            </w:pPr>
            <w:r>
              <w:rPr>
                <w:rFonts w:cs="Arial"/>
              </w:rPr>
              <w:t xml:space="preserve">Displays a </w:t>
            </w:r>
            <w:r w:rsidR="00D57F25">
              <w:rPr>
                <w:rFonts w:cs="Arial"/>
              </w:rPr>
              <w:t>Patient Alert icon</w:t>
            </w:r>
            <w:r>
              <w:rPr>
                <w:rFonts w:cs="Arial"/>
              </w:rPr>
              <w:t xml:space="preserve"> in the status bar when it receives a merge event message from VistA.</w:t>
            </w:r>
          </w:p>
          <w:p w:rsidR="002A21AE" w:rsidRDefault="002A21AE" w:rsidP="005E431D">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3520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04" name="Lin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9"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VoOFQIAAC0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JqF&#10;Wg4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t xml:space="preserve">The user may also select </w:t>
            </w:r>
            <w:r>
              <w:rPr>
                <w:b/>
              </w:rPr>
              <w:t>Patients</w:t>
            </w:r>
            <w:r>
              <w:t xml:space="preserve"> from the main menu, </w:t>
            </w:r>
            <w:r>
              <w:rPr>
                <w:b/>
              </w:rPr>
              <w:t>Patient Updates</w:t>
            </w:r>
            <w:r>
              <w:t xml:space="preserve">, and </w:t>
            </w:r>
            <w:r>
              <w:rPr>
                <w:b/>
              </w:rPr>
              <w:t>Updated Patients</w:t>
            </w:r>
            <w:r>
              <w:t xml:space="preserve">, </w:t>
            </w:r>
            <w:r>
              <w:rPr>
                <w:b/>
              </w:rPr>
              <w:t>Deceased Patients</w:t>
            </w:r>
            <w:r>
              <w:t xml:space="preserve">, or </w:t>
            </w:r>
            <w:r>
              <w:rPr>
                <w:b/>
              </w:rPr>
              <w:t xml:space="preserve">Patient Merge </w:t>
            </w:r>
            <w:r>
              <w:t>to view the updates.</w:t>
            </w:r>
          </w:p>
        </w:tc>
      </w:tr>
    </w:tbl>
    <w:p w:rsidR="002A21AE" w:rsidRDefault="0072673B" w:rsidP="0072673B">
      <w:pPr>
        <w:pStyle w:val="Heading3"/>
      </w:pPr>
      <w:r>
        <w:br w:type="page"/>
      </w:r>
      <w:bookmarkStart w:id="448" w:name="_Toc459900134"/>
      <w:r w:rsidR="00634BFC">
        <w:rPr>
          <w:noProof/>
        </w:rPr>
        <w:lastRenderedPageBreak/>
        <w:drawing>
          <wp:inline distT="0" distB="0" distL="0" distR="0">
            <wp:extent cx="161925" cy="152400"/>
            <wp:effectExtent l="0" t="0" r="9525" b="0"/>
            <wp:docPr id="210" name="Picture 210"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patientale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2A21AE">
        <w:t xml:space="preserve"> </w:t>
      </w:r>
      <w:bookmarkStart w:id="449" w:name="there"/>
      <w:bookmarkEnd w:id="449"/>
      <w:r w:rsidR="002A21AE">
        <w:t>Display Patient Merge Alerts</w:t>
      </w:r>
      <w:bookmarkEnd w:id="448"/>
      <w:r w:rsidR="002A21AE">
        <w:fldChar w:fldCharType="begin"/>
      </w:r>
      <w:r w:rsidR="002A21AE">
        <w:instrText xml:space="preserve"> XE </w:instrText>
      </w:r>
      <w:r w:rsidR="00FA7E65">
        <w:instrText>“</w:instrText>
      </w:r>
      <w:r w:rsidR="002A21AE">
        <w:instrText>Display Patient Merge Alerts</w:instrText>
      </w:r>
      <w:r w:rsidR="00FA7E65">
        <w:instrText>”</w:instrText>
      </w:r>
      <w:r w:rsidR="002A21AE">
        <w:instrText xml:space="preserve"> </w:instrText>
      </w:r>
      <w:r w:rsidR="002A21AE">
        <w:fldChar w:fldCharType="end"/>
      </w:r>
      <w:r w:rsidR="002A21AE">
        <w:t xml:space="preserve"> </w:t>
      </w:r>
      <w:r w:rsidR="002A21AE">
        <w:rPr>
          <w:vanish/>
          <w:sz w:val="22"/>
        </w:rPr>
        <w:t>UC_84</w:t>
      </w:r>
    </w:p>
    <w:p w:rsidR="002A21AE" w:rsidRDefault="002A21AE" w:rsidP="00FA7E65">
      <w:pPr>
        <w:pStyle w:val="BodyText"/>
      </w:pPr>
      <w:r>
        <w:t xml:space="preserve">VBECS notifies the user of </w:t>
      </w:r>
      <w:r w:rsidR="003549BA">
        <w:t xml:space="preserve">VistA </w:t>
      </w:r>
      <w:r>
        <w:t>patient merges.</w:t>
      </w:r>
    </w:p>
    <w:p w:rsidR="002A21AE" w:rsidRDefault="002A21AE">
      <w:pPr>
        <w:pStyle w:val="Heading4"/>
      </w:pPr>
      <w:r>
        <w:t>Assumptions</w:t>
      </w:r>
      <w:r>
        <w:rPr>
          <w:b w:val="0"/>
        </w:rPr>
        <w:t xml:space="preserve"> </w:t>
      </w:r>
    </w:p>
    <w:p w:rsidR="002A21AE" w:rsidRDefault="002A21AE">
      <w:pPr>
        <w:pStyle w:val="ListBullet"/>
      </w:pPr>
      <w:r>
        <w:t xml:space="preserve">A patient demographic merge alert is received from </w:t>
      </w:r>
      <w:r w:rsidR="00CA0045" w:rsidRPr="00CA0045">
        <w:rPr>
          <w:bCs/>
        </w:rPr>
        <w:t>VistA</w:t>
      </w:r>
      <w:r>
        <w:t xml:space="preserve"> for the user’s division for a VBECS patient.</w:t>
      </w:r>
    </w:p>
    <w:p w:rsidR="002A21AE" w:rsidRDefault="002A21AE">
      <w:pPr>
        <w:pStyle w:val="Heading4"/>
      </w:pPr>
      <w:r>
        <w:t xml:space="preserve">Outcome </w:t>
      </w:r>
    </w:p>
    <w:p w:rsidR="002A21AE" w:rsidRDefault="008A1BFD">
      <w:pPr>
        <w:pStyle w:val="ListBullet"/>
      </w:pPr>
      <w:r>
        <w:t>VBECS notified the user that</w:t>
      </w:r>
      <w:r w:rsidR="00BF053B">
        <w:t xml:space="preserve"> </w:t>
      </w:r>
      <w:r w:rsidR="002A21AE">
        <w:t xml:space="preserve">patient </w:t>
      </w:r>
      <w:r>
        <w:t>records were</w:t>
      </w:r>
      <w:r w:rsidR="002A21AE">
        <w:t xml:space="preserve"> merged in </w:t>
      </w:r>
      <w:r>
        <w:t xml:space="preserve">VistA and that </w:t>
      </w:r>
      <w:r w:rsidR="008D6720">
        <w:t>the user must take action</w:t>
      </w:r>
      <w:r>
        <w:t xml:space="preserve"> to match the records in VBECS</w:t>
      </w:r>
      <w:r w:rsidR="002A21AE">
        <w:t>.</w:t>
      </w:r>
    </w:p>
    <w:p w:rsidR="002A21AE" w:rsidRDefault="002A21AE">
      <w:pPr>
        <w:pStyle w:val="Heading4"/>
        <w:rPr>
          <w:b w:val="0"/>
        </w:rPr>
      </w:pPr>
      <w:r>
        <w:t>Limitations and Restrictions</w:t>
      </w:r>
      <w:r>
        <w:rPr>
          <w:b w:val="0"/>
        </w:rPr>
        <w:t xml:space="preserve"> </w:t>
      </w:r>
    </w:p>
    <w:p w:rsidR="00132178" w:rsidRDefault="00F10EB3" w:rsidP="00132178">
      <w:pPr>
        <w:pStyle w:val="ListBullet"/>
      </w:pPr>
      <w:r>
        <w:t xml:space="preserve">VBECS does not notify users of additional VistA patient updates or merges while the icon is displayed. </w:t>
      </w:r>
      <w:r w:rsidR="00132178">
        <w:rPr>
          <w:rFonts w:cs="Arial"/>
          <w:vanish/>
        </w:rPr>
        <w:t xml:space="preserve">DR 2,525 </w:t>
      </w:r>
      <w:r w:rsidR="00132178">
        <w:t>When a user views an update and there is a</w:t>
      </w:r>
      <w:r w:rsidR="008B31EE">
        <w:t>n unprocessed VistA</w:t>
      </w:r>
      <w:r w:rsidR="00132178">
        <w:t xml:space="preserve"> patient merge, the </w:t>
      </w:r>
      <w:r w:rsidR="00D57F25">
        <w:t>Patient Alert icon</w:t>
      </w:r>
      <w:r w:rsidR="00132178">
        <w:t xml:space="preserve"> remains on the screen until the Traditional Supervisor </w:t>
      </w:r>
      <w:r w:rsidR="008B31EE">
        <w:t>updates the patient records</w:t>
      </w:r>
      <w:r w:rsidR="00132178">
        <w:t xml:space="preserve"> and clears the icon. </w:t>
      </w:r>
    </w:p>
    <w:p w:rsidR="002A21AE" w:rsidRDefault="002A21AE">
      <w:pPr>
        <w:pStyle w:val="Heading4"/>
      </w:pPr>
      <w:r>
        <w:t xml:space="preserve">Additional Information </w:t>
      </w:r>
    </w:p>
    <w:p w:rsidR="002A21AE" w:rsidRDefault="00B473F5">
      <w:pPr>
        <w:pStyle w:val="ListBullet"/>
      </w:pPr>
      <w:r w:rsidRPr="00B473F5">
        <w:rPr>
          <w:vanish/>
        </w:rPr>
        <w:t xml:space="preserve">DR 2,527 </w:t>
      </w:r>
      <w:r>
        <w:t xml:space="preserve">VBECS notifies users of </w:t>
      </w:r>
      <w:r w:rsidR="000319CE">
        <w:t xml:space="preserve">VistA </w:t>
      </w:r>
      <w:r>
        <w:t xml:space="preserve">patient merges until a Traditional Supervisor clears the </w:t>
      </w:r>
      <w:r w:rsidR="000319CE">
        <w:t>Patient Alert icon</w:t>
      </w:r>
      <w:r>
        <w:t xml:space="preserve">. </w:t>
      </w:r>
      <w:r w:rsidR="008D12CC">
        <w:t>See Patient Merge for instructions.</w:t>
      </w:r>
    </w:p>
    <w:p w:rsidR="00BA4D88" w:rsidRDefault="00BA4D88">
      <w:pPr>
        <w:pStyle w:val="ListBullet"/>
      </w:pPr>
      <w:r>
        <w:rPr>
          <w:vanish/>
        </w:rPr>
        <w:t xml:space="preserve">BR_84.07 </w:t>
      </w:r>
      <w:r>
        <w:t>VBECS displays an alert to users for a VistA patient merge event if either the merge-from or merge-to patient exists in the VBECS system when the merge message is received.</w:t>
      </w:r>
    </w:p>
    <w:p w:rsidR="002A21AE" w:rsidRDefault="002A21AE">
      <w:pPr>
        <w:pStyle w:val="Heading4"/>
        <w:rPr>
          <w:b w:val="0"/>
        </w:rPr>
      </w:pPr>
      <w:r>
        <w:t>User Roles with Access to This Option</w:t>
      </w:r>
      <w:r>
        <w:rPr>
          <w:b w:val="0"/>
        </w:rPr>
        <w:t xml:space="preserve"> </w:t>
      </w:r>
    </w:p>
    <w:p w:rsidR="002A21AE" w:rsidRDefault="005E431D">
      <w:pPr>
        <w:pStyle w:val="Roles"/>
        <w:rPr>
          <w:snapToGrid w:val="0"/>
        </w:rPr>
      </w:pPr>
      <w:r>
        <w:t>All users</w:t>
      </w:r>
    </w:p>
    <w:p w:rsidR="002A21AE" w:rsidRDefault="002A21AE">
      <w:pPr>
        <w:pStyle w:val="Heading4"/>
      </w:pPr>
      <w:r>
        <w:t>Display Patient Merge Alerts</w:t>
      </w:r>
    </w:p>
    <w:p w:rsidR="002A21AE" w:rsidRDefault="002A21AE" w:rsidP="00FA7E65">
      <w:pPr>
        <w:pStyle w:val="BodyText"/>
      </w:pPr>
      <w:r>
        <w:t xml:space="preserve">VBECS notifies the user that patient merges occurred in </w:t>
      </w:r>
      <w:r w:rsidR="00CA0045" w:rsidRPr="00CA0045">
        <w:rPr>
          <w:bCs/>
        </w:rPr>
        <w:t>VistA</w:t>
      </w:r>
      <w:r>
        <w:t xml:space="preserve"> and allows him to view additional update details.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rPr>
          <w:trHeight w:val="403"/>
        </w:trPr>
        <w:tc>
          <w:tcPr>
            <w:tcW w:w="3240" w:type="dxa"/>
          </w:tcPr>
          <w:p w:rsidR="002A21AE" w:rsidRDefault="002A21AE">
            <w:pPr>
              <w:pStyle w:val="TableTextNumbers"/>
            </w:pPr>
            <w:r>
              <w:t xml:space="preserve">Hold the mouse over the </w:t>
            </w:r>
            <w:r w:rsidR="00D57F25">
              <w:t>Patient Alert icon</w:t>
            </w:r>
            <w:r>
              <w:t xml:space="preserve"> to view a tool tip, or </w:t>
            </w:r>
          </w:p>
          <w:p w:rsidR="002A21AE" w:rsidRDefault="002A21AE">
            <w:pPr>
              <w:pStyle w:val="TableTextNumbersContinued"/>
            </w:pPr>
          </w:p>
          <w:p w:rsidR="002A21AE" w:rsidRDefault="002A21AE">
            <w:pPr>
              <w:pStyle w:val="TableTextNumbersContinued"/>
            </w:pPr>
            <w:r>
              <w:rPr>
                <w:rFonts w:cs="Arial"/>
                <w:vanish/>
              </w:rPr>
              <w:t xml:space="preserve">BR_84.08 </w:t>
            </w:r>
            <w:r>
              <w:t xml:space="preserve">Click </w:t>
            </w:r>
            <w:r w:rsidR="00634BFC">
              <w:rPr>
                <w:noProof/>
              </w:rPr>
              <w:drawing>
                <wp:inline distT="0" distB="0" distL="0" distR="0">
                  <wp:extent cx="161925" cy="152400"/>
                  <wp:effectExtent l="0" t="0" r="9525" b="0"/>
                  <wp:docPr id="211" name="Picture 211"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patientale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to view a menu and select </w:t>
            </w:r>
            <w:r>
              <w:rPr>
                <w:b/>
              </w:rPr>
              <w:t>Updated Patients</w:t>
            </w:r>
            <w:r>
              <w:t xml:space="preserve">, </w:t>
            </w:r>
            <w:r>
              <w:rPr>
                <w:b/>
              </w:rPr>
              <w:t>Deceased Patients</w:t>
            </w:r>
            <w:r>
              <w:t xml:space="preserve">, or </w:t>
            </w:r>
            <w:r>
              <w:rPr>
                <w:b/>
              </w:rPr>
              <w:t xml:space="preserve">Patient Merge </w:t>
            </w:r>
            <w:r>
              <w:t xml:space="preserve">to view the updates. </w:t>
            </w:r>
          </w:p>
          <w:p w:rsidR="002A21AE" w:rsidRDefault="002A21AE">
            <w:pPr>
              <w:pStyle w:val="TableTextNumbersContinued"/>
            </w:pPr>
          </w:p>
          <w:p w:rsidR="002A21AE" w:rsidRDefault="002A21AE">
            <w:pPr>
              <w:pStyle w:val="TableTextNumbersContinued"/>
            </w:pPr>
            <w:r>
              <w:t xml:space="preserve">Click </w:t>
            </w:r>
            <w:r w:rsidR="00634BFC">
              <w:rPr>
                <w:noProof/>
              </w:rPr>
              <w:drawing>
                <wp:inline distT="0" distB="0" distL="0" distR="0">
                  <wp:extent cx="161925" cy="152400"/>
                  <wp:effectExtent l="0" t="0" r="9525" b="0"/>
                  <wp:docPr id="212" name="Picture 212"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patientale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again to hide the menu.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rsidR="002A21AE" w:rsidRDefault="002A21AE">
            <w:pPr>
              <w:pStyle w:val="TableTextBullet"/>
            </w:pPr>
            <w:r>
              <w:rPr>
                <w:rFonts w:cs="Arial"/>
                <w:vanish/>
              </w:rPr>
              <w:t xml:space="preserve">BR_84.06 </w:t>
            </w:r>
            <w:r>
              <w:t>When it receives a patient update</w:t>
            </w:r>
            <w:r w:rsidR="008D6720">
              <w:t xml:space="preserve"> or</w:t>
            </w:r>
            <w:r>
              <w:t xml:space="preserve"> death</w:t>
            </w:r>
            <w:r w:rsidR="008D6720">
              <w:t xml:space="preserve"> event message</w:t>
            </w:r>
            <w:r>
              <w:t xml:space="preserve"> </w:t>
            </w:r>
            <w:r w:rsidR="008A1BFD">
              <w:t xml:space="preserve">and the patient has active or pending orders in the user’s VBECS division, </w:t>
            </w:r>
            <w:r>
              <w:t xml:space="preserve">displays a </w:t>
            </w:r>
            <w:r w:rsidR="00D57F25">
              <w:t>Patient Alert icon</w:t>
            </w:r>
            <w:r>
              <w:t xml:space="preserve"> in the status bar.</w:t>
            </w:r>
          </w:p>
          <w:p w:rsidR="008A1BFD" w:rsidRDefault="008A1BFD">
            <w:pPr>
              <w:pStyle w:val="TableTextBullet"/>
            </w:pPr>
            <w:r>
              <w:t xml:space="preserve">When it receives a merge event message from VistA, displays a </w:t>
            </w:r>
            <w:r w:rsidR="00D57F25">
              <w:t>Patient Alert icon</w:t>
            </w:r>
            <w:r>
              <w:t xml:space="preserve"> in the status bar.</w:t>
            </w:r>
          </w:p>
          <w:p w:rsidR="002A21AE" w:rsidRDefault="002A21AE" w:rsidP="002232A3">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3622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03" name="Line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0"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tjNFgIAAC0EAAAOAAAAZHJzL2Uyb0RvYy54bWysU8GO2jAQvVfqP1i+QxLIsh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Ab&#10;3tjNFgIAAC0EAAAOAAAAAAAAAAAAAAAAAC4CAABkcnMvZTJvRG9jLnhtbFBLAQItABQABgAIAAAA&#10;IQAXTzAS2wAAAAgBAAAPAAAAAAAAAAAAAAAAAHAEAABkcnMvZG93bnJldi54bWxQSwUGAAAAAAQA&#10;BADzAAAAeAU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t xml:space="preserve">The user may also select </w:t>
            </w:r>
            <w:r>
              <w:rPr>
                <w:b/>
              </w:rPr>
              <w:t>Patients</w:t>
            </w:r>
            <w:r>
              <w:t xml:space="preserve"> from the main menu, </w:t>
            </w:r>
            <w:r>
              <w:rPr>
                <w:b/>
              </w:rPr>
              <w:t>Patient Updates</w:t>
            </w:r>
            <w:r>
              <w:t xml:space="preserve">, and </w:t>
            </w:r>
            <w:r>
              <w:rPr>
                <w:b/>
              </w:rPr>
              <w:t xml:space="preserve">Patient Merge </w:t>
            </w:r>
            <w:r>
              <w:t>to view the updates.</w:t>
            </w:r>
          </w:p>
          <w:p w:rsidR="002A21AE" w:rsidRDefault="002A21AE">
            <w:pPr>
              <w:pStyle w:val="NotesText"/>
            </w:pPr>
          </w:p>
          <w:p w:rsidR="004B557B" w:rsidRDefault="002A21AE" w:rsidP="001E72D4">
            <w:pPr>
              <w:pStyle w:val="NotesText"/>
            </w:pPr>
            <w:r>
              <w:rPr>
                <w:rFonts w:cs="Arial"/>
                <w:vanish/>
              </w:rPr>
              <w:t xml:space="preserve">BR_84.10 </w:t>
            </w:r>
            <w:r>
              <w:t xml:space="preserve">VBECS displays a </w:t>
            </w:r>
            <w:r w:rsidR="004B557B">
              <w:t>patient update or merge icon a</w:t>
            </w:r>
            <w:r w:rsidR="00D57F25">
              <w:t xml:space="preserve">lert </w:t>
            </w:r>
            <w:r w:rsidR="004B557B">
              <w:t>to all users until all merge events are cleared and all updates, including death notices are viewed.</w:t>
            </w:r>
            <w:r w:rsidR="006B6C5C" w:rsidRPr="006B6C5C">
              <w:rPr>
                <w:vanish/>
              </w:rPr>
              <w:t>DR 2,525</w:t>
            </w:r>
          </w:p>
        </w:tc>
      </w:tr>
    </w:tbl>
    <w:p w:rsidR="00AC2D9E" w:rsidRDefault="00AC2D9E" w:rsidP="0073493B">
      <w:pPr>
        <w:pStyle w:val="Heading2"/>
      </w:pPr>
    </w:p>
    <w:p w:rsidR="0073493B" w:rsidRDefault="00AC2D9E" w:rsidP="0073493B">
      <w:pPr>
        <w:pStyle w:val="Heading2"/>
      </w:pPr>
      <w:r>
        <w:br w:type="page"/>
      </w:r>
      <w:bookmarkStart w:id="450" w:name="_Toc459900135"/>
      <w:r w:rsidR="0073493B">
        <w:lastRenderedPageBreak/>
        <w:t>Maintain Specimen</w:t>
      </w:r>
      <w:bookmarkEnd w:id="450"/>
      <w:r w:rsidR="0073493B">
        <w:fldChar w:fldCharType="begin"/>
      </w:r>
      <w:r w:rsidR="0073493B">
        <w:instrText xml:space="preserve"> XE “Maintain Specimen” </w:instrText>
      </w:r>
      <w:r w:rsidR="0073493B">
        <w:fldChar w:fldCharType="end"/>
      </w:r>
      <w:r w:rsidR="0073493B">
        <w:t xml:space="preserve"> </w:t>
      </w:r>
      <w:r w:rsidR="0073493B">
        <w:rPr>
          <w:rFonts w:ascii="Times New Roman" w:hAnsi="Times New Roman" w:cs="Times New Roman"/>
          <w:b w:val="0"/>
          <w:i w:val="0"/>
          <w:vanish/>
          <w:sz w:val="22"/>
        </w:rPr>
        <w:t>UC_35</w:t>
      </w:r>
    </w:p>
    <w:p w:rsidR="0073493B" w:rsidRDefault="0073493B" w:rsidP="0073493B">
      <w:pPr>
        <w:pStyle w:val="BodyText"/>
      </w:pPr>
      <w:r>
        <w:t xml:space="preserve">A specimen for testing is received in the blood bank and is processed as part of initial order acceptance, as described in Accept Orders: Accept an Order. </w:t>
      </w:r>
    </w:p>
    <w:p w:rsidR="0073493B" w:rsidRDefault="0073493B" w:rsidP="0073493B">
      <w:pPr>
        <w:pStyle w:val="Heading4"/>
      </w:pPr>
      <w:r>
        <w:t>Assumptions</w:t>
      </w:r>
      <w:r>
        <w:rPr>
          <w:b w:val="0"/>
        </w:rPr>
        <w:t xml:space="preserve"> </w:t>
      </w:r>
    </w:p>
    <w:p w:rsidR="0073493B" w:rsidRDefault="0073493B" w:rsidP="0073493B">
      <w:pPr>
        <w:pStyle w:val="ListBullet"/>
      </w:pPr>
      <w:r>
        <w:t>Pending CPRS orders and active orders require an acceptable specimen.</w:t>
      </w:r>
    </w:p>
    <w:p w:rsidR="0073493B" w:rsidRDefault="0073493B" w:rsidP="0073493B">
      <w:pPr>
        <w:pStyle w:val="ListBullet"/>
      </w:pPr>
      <w:r>
        <w:t xml:space="preserve">A specimen was collected and previously accessioned in the </w:t>
      </w:r>
      <w:r w:rsidRPr="00CA6E27">
        <w:rPr>
          <w:bCs/>
        </w:rPr>
        <w:t>VistA</w:t>
      </w:r>
      <w:r>
        <w:rPr>
          <w:b/>
          <w:bCs/>
        </w:rPr>
        <w:t xml:space="preserve"> </w:t>
      </w:r>
      <w:r>
        <w:rPr>
          <w:bCs/>
        </w:rPr>
        <w:t>Laboratory system, which generated</w:t>
      </w:r>
      <w:r>
        <w:t xml:space="preserve"> the specimen’s universal ID (UID). </w:t>
      </w:r>
    </w:p>
    <w:p w:rsidR="0073493B" w:rsidRDefault="0073493B" w:rsidP="0073493B">
      <w:pPr>
        <w:pStyle w:val="Heading4"/>
      </w:pPr>
      <w:r>
        <w:t xml:space="preserve">Outcome </w:t>
      </w:r>
    </w:p>
    <w:p w:rsidR="0073493B" w:rsidRDefault="0073493B" w:rsidP="0073493B">
      <w:pPr>
        <w:pStyle w:val="ListBullet"/>
      </w:pPr>
      <w:r>
        <w:t>The user accepted or rejected a specimen.</w:t>
      </w:r>
    </w:p>
    <w:p w:rsidR="0073493B" w:rsidRDefault="0073493B" w:rsidP="0073493B">
      <w:pPr>
        <w:pStyle w:val="Heading4"/>
      </w:pPr>
      <w:r>
        <w:t>Limitations and Restrictions</w:t>
      </w:r>
      <w:r>
        <w:rPr>
          <w:b w:val="0"/>
        </w:rPr>
        <w:t xml:space="preserve"> </w:t>
      </w:r>
    </w:p>
    <w:p w:rsidR="00597E97" w:rsidRDefault="00597E97" w:rsidP="0073493B">
      <w:pPr>
        <w:pStyle w:val="ListBullet"/>
      </w:pPr>
      <w:r>
        <w:t>When a search by UID causes VBECS to time out, repeat the search by UID and patient name or by patient name only.</w:t>
      </w:r>
      <w:r w:rsidR="009303DE">
        <w:t xml:space="preserve"> </w:t>
      </w:r>
      <w:r w:rsidR="009303DE" w:rsidRPr="009303DE">
        <w:rPr>
          <w:vanish/>
        </w:rPr>
        <w:t>(UserDoc Tasks 1089 and 1090)</w:t>
      </w:r>
    </w:p>
    <w:p w:rsidR="0073493B" w:rsidRDefault="0073493B" w:rsidP="0073493B">
      <w:pPr>
        <w:pStyle w:val="ListBullet"/>
      </w:pPr>
      <w:r>
        <w:t>Specimen recollection requests must be made offline.</w:t>
      </w:r>
    </w:p>
    <w:p w:rsidR="008F0300" w:rsidRDefault="008F0300" w:rsidP="0073493B">
      <w:pPr>
        <w:pStyle w:val="ListBullet"/>
      </w:pPr>
      <w:bookmarkStart w:id="451" w:name="OLE_LINK5"/>
      <w:bookmarkStart w:id="452" w:name="OLE_LINK6"/>
      <w:r>
        <w:t>Designating a specimen as “unacceptable” after accepting a CPRS order closes that order and requires a new CPRS order and sample.</w:t>
      </w:r>
    </w:p>
    <w:bookmarkEnd w:id="451"/>
    <w:bookmarkEnd w:id="452"/>
    <w:p w:rsidR="0073493B" w:rsidRDefault="0073493B" w:rsidP="0073493B">
      <w:pPr>
        <w:pStyle w:val="Heading4"/>
      </w:pPr>
      <w:r>
        <w:t xml:space="preserve">Additional Information </w:t>
      </w:r>
    </w:p>
    <w:p w:rsidR="0073493B" w:rsidRDefault="0073493B" w:rsidP="0073493B">
      <w:pPr>
        <w:pStyle w:val="ListBullet"/>
      </w:pPr>
      <w:r>
        <w:t>A specimen may be marked unsuitable for use after its acceptance.</w:t>
      </w:r>
    </w:p>
    <w:p w:rsidR="0073493B" w:rsidRDefault="0073493B" w:rsidP="0073493B">
      <w:pPr>
        <w:pStyle w:val="ListBullet"/>
      </w:pPr>
      <w:r>
        <w:t>A specimen expiration date may be edited after acceptance.</w:t>
      </w:r>
    </w:p>
    <w:p w:rsidR="0073493B" w:rsidRDefault="0073493B" w:rsidP="0073493B">
      <w:pPr>
        <w:pStyle w:val="ListBullet"/>
      </w:pPr>
      <w:r>
        <w:t>A specimen may be recollected without</w:t>
      </w:r>
      <w:r w:rsidR="008F0300">
        <w:t xml:space="preserve"> canceling or reordering</w:t>
      </w:r>
      <w:r>
        <w:t xml:space="preserve"> the </w:t>
      </w:r>
      <w:r w:rsidRPr="00CA6E27">
        <w:rPr>
          <w:bCs/>
        </w:rPr>
        <w:t>VistA</w:t>
      </w:r>
      <w:r>
        <w:t xml:space="preserve"> order. This practice is dictated by local policy and procedures.</w:t>
      </w:r>
    </w:p>
    <w:p w:rsidR="0073493B" w:rsidRDefault="0073493B" w:rsidP="0073493B">
      <w:pPr>
        <w:pStyle w:val="ListBullet"/>
      </w:pPr>
      <w:r>
        <w:t>Specimens marked as originally associated with diagnostic tests only or unacceptable are not considered available specimens when CPRS is queried for specimen availability.</w:t>
      </w:r>
    </w:p>
    <w:p w:rsidR="0073493B" w:rsidRDefault="0073493B" w:rsidP="0073493B">
      <w:pPr>
        <w:pStyle w:val="Heading4"/>
        <w:rPr>
          <w:b w:val="0"/>
        </w:rPr>
      </w:pPr>
      <w:r>
        <w:t>User Roles with Access to This Option</w:t>
      </w:r>
    </w:p>
    <w:p w:rsidR="0073493B" w:rsidRDefault="0073493B" w:rsidP="0073493B">
      <w:pPr>
        <w:pStyle w:val="Roles"/>
        <w:rPr>
          <w:snapToGrid w:val="0"/>
        </w:rPr>
      </w:pPr>
      <w:r>
        <w:t>All users</w:t>
      </w:r>
    </w:p>
    <w:p w:rsidR="0073493B" w:rsidRDefault="0073493B" w:rsidP="0073493B">
      <w:pPr>
        <w:pStyle w:val="Heading4"/>
      </w:pPr>
      <w:r>
        <w:t>Maintain Specimen</w:t>
      </w:r>
    </w:p>
    <w:p w:rsidR="0073493B" w:rsidRDefault="0073493B" w:rsidP="0073493B">
      <w:pPr>
        <w:pStyle w:val="BodyText"/>
      </w:pPr>
      <w:r>
        <w:t xml:space="preserve">A specimen for testing is received in the blood bank and is processed as part of initial order acceptance, as described in Accept Orders: Accept an Order. </w:t>
      </w:r>
    </w:p>
    <w:p w:rsidR="0073493B" w:rsidRDefault="0073493B" w:rsidP="0073493B">
      <w:pPr>
        <w:pStyle w:val="BodyText"/>
      </w:pPr>
      <w:r>
        <w:t>Information about a previously accepted specimen may be updated. The user may verify whether an active specimen is currently in the blood bank or update the information concerning a previously accepted specimen. After the user checks the physician’s order against the specimen requirement, the user verifies the specimen’s condition, labeling, and accompanying paperwork, according to local policy. The user verifies the specimen information and acceptability and prepares the specimen for testing.</w:t>
      </w:r>
    </w:p>
    <w:p w:rsidR="0073493B" w:rsidRDefault="0073493B" w:rsidP="0073493B">
      <w:pPr>
        <w:pStyle w:val="BodyText"/>
      </w:pPr>
      <w:r>
        <w:t xml:space="preserve">The user may edit specimen information, such as extending the expiration time according to local policy, and marking a specimen as unsatisfactory or expired so that future orders require that a new specimen be collected. </w:t>
      </w:r>
    </w:p>
    <w:p w:rsidR="00E661A1" w:rsidRDefault="0073493B" w:rsidP="0073493B">
      <w:pPr>
        <w:pStyle w:val="BodyText"/>
      </w:pPr>
      <w:r>
        <w:t>When a specimen is required, the user must find that specimen before acknowledging that order, as described in Accept Orders: Accept an Order.</w:t>
      </w:r>
    </w:p>
    <w:p w:rsidR="0073493B" w:rsidRDefault="00E661A1" w:rsidP="0073493B">
      <w:pPr>
        <w:pStyle w:val="BodyText"/>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73493B">
        <w:tblPrEx>
          <w:tblCellMar>
            <w:top w:w="0" w:type="dxa"/>
            <w:bottom w:w="0" w:type="dxa"/>
          </w:tblCellMar>
        </w:tblPrEx>
        <w:trPr>
          <w:cantSplit/>
          <w:tblHeader/>
        </w:trPr>
        <w:tc>
          <w:tcPr>
            <w:tcW w:w="3240" w:type="dxa"/>
            <w:shd w:val="pct30" w:color="auto" w:fill="FFFFFF"/>
            <w:vAlign w:val="bottom"/>
          </w:tcPr>
          <w:p w:rsidR="0073493B" w:rsidRDefault="0073493B" w:rsidP="00141448">
            <w:pPr>
              <w:pStyle w:val="TableText"/>
              <w:rPr>
                <w:b/>
              </w:rPr>
            </w:pPr>
            <w:r>
              <w:rPr>
                <w:b/>
              </w:rPr>
              <w:lastRenderedPageBreak/>
              <w:t>User Action</w:t>
            </w:r>
          </w:p>
        </w:tc>
        <w:tc>
          <w:tcPr>
            <w:tcW w:w="6120" w:type="dxa"/>
            <w:shd w:val="pct30" w:color="auto" w:fill="FFFFFF"/>
            <w:vAlign w:val="bottom"/>
          </w:tcPr>
          <w:p w:rsidR="0073493B" w:rsidRDefault="0073493B" w:rsidP="00141448">
            <w:pPr>
              <w:pStyle w:val="TableText"/>
              <w:rPr>
                <w:b/>
              </w:rPr>
            </w:pPr>
            <w:r>
              <w:rPr>
                <w:b/>
              </w:rPr>
              <w:t>VBECS</w:t>
            </w:r>
          </w:p>
        </w:tc>
      </w:tr>
      <w:tr w:rsidR="0073493B">
        <w:tblPrEx>
          <w:tblCellMar>
            <w:top w:w="0" w:type="dxa"/>
            <w:bottom w:w="0" w:type="dxa"/>
          </w:tblCellMar>
        </w:tblPrEx>
        <w:tc>
          <w:tcPr>
            <w:tcW w:w="3240" w:type="dxa"/>
          </w:tcPr>
          <w:p w:rsidR="0073493B" w:rsidRDefault="0073493B" w:rsidP="00141448">
            <w:pPr>
              <w:pStyle w:val="TableTextNumbers"/>
            </w:pPr>
            <w:r>
              <w:t xml:space="preserve">Select </w:t>
            </w:r>
            <w:r>
              <w:rPr>
                <w:b/>
              </w:rPr>
              <w:t>Orders</w:t>
            </w:r>
            <w:r>
              <w:t xml:space="preserve"> from the main menu.</w:t>
            </w:r>
          </w:p>
          <w:p w:rsidR="0073493B" w:rsidRDefault="0073493B" w:rsidP="00141448">
            <w:pPr>
              <w:pStyle w:val="TableTextNumbersContinued"/>
            </w:pPr>
          </w:p>
          <w:p w:rsidR="0073493B" w:rsidRDefault="0073493B" w:rsidP="00141448">
            <w:pPr>
              <w:pStyle w:val="TableTextNumbersContinued"/>
            </w:pPr>
            <w:r>
              <w:t xml:space="preserve">Select </w:t>
            </w:r>
            <w:r>
              <w:rPr>
                <w:b/>
              </w:rPr>
              <w:t>Maintain Specimen</w:t>
            </w:r>
            <w:r>
              <w:t>.</w:t>
            </w:r>
          </w:p>
        </w:tc>
        <w:tc>
          <w:tcPr>
            <w:tcW w:w="6120" w:type="dxa"/>
          </w:tcPr>
          <w:p w:rsidR="0073493B" w:rsidRDefault="0073493B" w:rsidP="00141448">
            <w:pPr>
              <w:pStyle w:val="TableTextBullet"/>
            </w:pPr>
            <w:r>
              <w:t>Displays options for processing orders.</w:t>
            </w:r>
          </w:p>
          <w:p w:rsidR="0073493B" w:rsidRDefault="0073493B" w:rsidP="00141448">
            <w:pPr>
              <w:pStyle w:val="TableTextBullet"/>
            </w:pPr>
            <w:r>
              <w:t>Displays fields for entering patient specimen information.</w:t>
            </w:r>
          </w:p>
        </w:tc>
      </w:tr>
      <w:tr w:rsidR="0073493B">
        <w:tblPrEx>
          <w:tblCellMar>
            <w:top w:w="0" w:type="dxa"/>
            <w:bottom w:w="0" w:type="dxa"/>
          </w:tblCellMar>
        </w:tblPrEx>
        <w:tc>
          <w:tcPr>
            <w:tcW w:w="3240" w:type="dxa"/>
          </w:tcPr>
          <w:p w:rsidR="0073493B" w:rsidRDefault="0073493B" w:rsidP="00141448">
            <w:pPr>
              <w:pStyle w:val="TableTextNumbers"/>
            </w:pPr>
            <w:r>
              <w:t>Scan or enter the specimen’s UID.</w:t>
            </w:r>
          </w:p>
        </w:tc>
        <w:tc>
          <w:tcPr>
            <w:tcW w:w="6120" w:type="dxa"/>
          </w:tcPr>
          <w:p w:rsidR="0073493B" w:rsidRDefault="0073493B" w:rsidP="00141448">
            <w:pPr>
              <w:pStyle w:val="TableTextBullet"/>
            </w:pPr>
            <w:r>
              <w:t xml:space="preserve">Displays a field to enter the specimen UID and allows the user to search for existing specimens. </w:t>
            </w:r>
          </w:p>
          <w:p w:rsidR="0073493B" w:rsidRDefault="0073493B" w:rsidP="00141448">
            <w:pPr>
              <w:pStyle w:val="TableTextBullet"/>
            </w:pPr>
            <w:r>
              <w:t>Displays previously entered information for the specimen and accommodates data entry of new specimen information.</w:t>
            </w:r>
          </w:p>
          <w:p w:rsidR="0073493B" w:rsidRDefault="0073493B" w:rsidP="00141448">
            <w:pPr>
              <w:pStyle w:val="TableText"/>
            </w:pPr>
          </w:p>
          <w:p w:rsidR="0073493B" w:rsidRDefault="00634BFC" w:rsidP="00141448">
            <w:pPr>
              <w:pStyle w:val="TableText"/>
              <w:rPr>
                <w:b/>
                <w:bCs/>
                <w:szCs w:val="18"/>
              </w:rPr>
            </w:pPr>
            <w:r>
              <w:rPr>
                <w:b/>
                <w:bCs/>
                <w:noProof/>
              </w:rPr>
              <mc:AlternateContent>
                <mc:Choice Requires="wps">
                  <w:drawing>
                    <wp:anchor distT="0" distB="0" distL="114300" distR="114300" simplePos="0" relativeHeight="25174988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02" name="Line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7" o:spid="_x0000_s1026" style="position:absolute;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KFEFgIAAC4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CX&#10;gKFEFgIAAC4EAAAOAAAAAAAAAAAAAAAAAC4CAABkcnMvZTJvRG9jLnhtbFBLAQItABQABgAIAAAA&#10;IQAXTzAS2wAAAAgBAAAPAAAAAAAAAAAAAAAAAHAEAABkcnMvZG93bnJldi54bWxQSwUGAAAAAAQA&#10;BADzAAAAeAUAAAAA&#10;" strokeweight="1.5pt"/>
                  </w:pict>
                </mc:Fallback>
              </mc:AlternateContent>
            </w:r>
            <w:r w:rsidR="0073493B">
              <w:rPr>
                <w:b/>
                <w:bCs/>
                <w:szCs w:val="18"/>
              </w:rPr>
              <w:t>NOTES</w:t>
            </w:r>
          </w:p>
          <w:p w:rsidR="0073493B" w:rsidRDefault="0073493B" w:rsidP="00141448">
            <w:pPr>
              <w:pStyle w:val="NotesText"/>
            </w:pPr>
          </w:p>
          <w:p w:rsidR="0073493B" w:rsidRDefault="0073493B" w:rsidP="00141448">
            <w:pPr>
              <w:pStyle w:val="NotesText"/>
            </w:pPr>
            <w:r>
              <w:t xml:space="preserve">The user may: </w:t>
            </w:r>
          </w:p>
          <w:p w:rsidR="0073493B" w:rsidRDefault="0073493B" w:rsidP="00141448">
            <w:pPr>
              <w:pStyle w:val="NotesTextBullet"/>
            </w:pPr>
            <w:r>
              <w:t>Create and/or maintain a specimen associated with an order from Accept Orders: Accept an Order.</w:t>
            </w:r>
          </w:p>
          <w:p w:rsidR="0073493B" w:rsidRDefault="0073493B" w:rsidP="00141448">
            <w:pPr>
              <w:pStyle w:val="NotesTextBullet"/>
            </w:pPr>
            <w:r>
              <w:t>Update specimen information from a previously received specimen.</w:t>
            </w:r>
          </w:p>
          <w:p w:rsidR="0073493B" w:rsidRDefault="0073493B" w:rsidP="00141448">
            <w:pPr>
              <w:pStyle w:val="NotesText"/>
            </w:pPr>
          </w:p>
          <w:p w:rsidR="0073493B" w:rsidRDefault="0073493B" w:rsidP="00141448">
            <w:pPr>
              <w:pStyle w:val="NotesText"/>
            </w:pPr>
            <w:r>
              <w:rPr>
                <w:rFonts w:cs="Arial"/>
                <w:vanish/>
              </w:rPr>
              <w:t xml:space="preserve">BR_35.04 </w:t>
            </w:r>
            <w:r>
              <w:t xml:space="preserve">Specimens associated with blood bank diagnostic tests are not available in Maintain Specimen. </w:t>
            </w:r>
            <w:r w:rsidR="00113E2C">
              <w:t>Specimens collected for diagnostic tests only are to be used for performing the specifically ordered tests and are not available for processing blood component orders.</w:t>
            </w:r>
            <w:r w:rsidR="00A4315F">
              <w:t xml:space="preserve"> </w:t>
            </w:r>
          </w:p>
          <w:p w:rsidR="0073493B" w:rsidRDefault="0073493B" w:rsidP="00141448">
            <w:pPr>
              <w:pStyle w:val="NotesText"/>
            </w:pPr>
          </w:p>
          <w:p w:rsidR="0073493B" w:rsidRDefault="0073493B" w:rsidP="00141448">
            <w:pPr>
              <w:pStyle w:val="NotesText"/>
            </w:pPr>
            <w:r>
              <w:t>The orders and associated specimens are maintained for three days before the order or specimen expires: Type &amp; Screen (TAS), component orders (RBC, FFP, CRYO, PLT, WB, OTHER).</w:t>
            </w:r>
          </w:p>
          <w:p w:rsidR="0073493B" w:rsidRDefault="0073493B" w:rsidP="00141448">
            <w:pPr>
              <w:pStyle w:val="NotesText"/>
            </w:pPr>
          </w:p>
          <w:p w:rsidR="0073493B" w:rsidRDefault="0073493B" w:rsidP="00141448">
            <w:pPr>
              <w:pStyle w:val="NotesText"/>
            </w:pPr>
            <w:r>
              <w:t>The list of orderable and reflex tests below may be added to a specimen maintained for a component order, but may not have a component order added to them: they do not have maintained specimens.</w:t>
            </w:r>
          </w:p>
          <w:p w:rsidR="0073493B" w:rsidRDefault="0073493B" w:rsidP="00141448">
            <w:pPr>
              <w:pStyle w:val="NotesText"/>
            </w:pPr>
          </w:p>
          <w:p w:rsidR="0073493B" w:rsidRDefault="0073493B" w:rsidP="00141448">
            <w:pPr>
              <w:pStyle w:val="NotesText"/>
            </w:pPr>
            <w:r>
              <w:t>The</w:t>
            </w:r>
            <w:r w:rsidR="00C53077">
              <w:t>se test</w:t>
            </w:r>
            <w:r>
              <w:t xml:space="preserve">s have a specimen drawn and used for their ordered test. The specimens are not maintained for component preparation: </w:t>
            </w:r>
          </w:p>
          <w:p w:rsidR="0073493B" w:rsidRDefault="0073493B" w:rsidP="00141448">
            <w:pPr>
              <w:pStyle w:val="NotesTextBullet"/>
            </w:pPr>
            <w:r>
              <w:t>DAT</w:t>
            </w:r>
          </w:p>
          <w:p w:rsidR="0073493B" w:rsidRDefault="0073493B" w:rsidP="00141448">
            <w:pPr>
              <w:pStyle w:val="NotesTextBullet"/>
            </w:pPr>
            <w:r>
              <w:t>ABS</w:t>
            </w:r>
          </w:p>
          <w:p w:rsidR="0073493B" w:rsidRDefault="0073493B" w:rsidP="00141448">
            <w:pPr>
              <w:pStyle w:val="NotesTextBullet"/>
            </w:pPr>
            <w:r>
              <w:t>ABO/Rh</w:t>
            </w:r>
          </w:p>
          <w:p w:rsidR="0073493B" w:rsidRDefault="00A10483" w:rsidP="00141448">
            <w:pPr>
              <w:pStyle w:val="NotesTextBullet"/>
            </w:pPr>
            <w:r>
              <w:t>Transfusion</w:t>
            </w:r>
            <w:r w:rsidR="00113E2C">
              <w:t xml:space="preserve"> </w:t>
            </w:r>
            <w:r w:rsidR="0073493B">
              <w:t>R</w:t>
            </w:r>
            <w:r w:rsidR="00113E2C">
              <w:t xml:space="preserve">eaction </w:t>
            </w:r>
            <w:r w:rsidR="0073493B">
              <w:t>W</w:t>
            </w:r>
            <w:r w:rsidR="00113E2C">
              <w:t>orkup (TRW)</w:t>
            </w:r>
          </w:p>
          <w:p w:rsidR="0073493B" w:rsidRDefault="0073493B" w:rsidP="00141448">
            <w:pPr>
              <w:pStyle w:val="NotesText"/>
            </w:pPr>
          </w:p>
          <w:p w:rsidR="0073493B" w:rsidRDefault="0073493B" w:rsidP="00564CD2">
            <w:pPr>
              <w:pStyle w:val="NotesText"/>
            </w:pPr>
            <w:r>
              <w:rPr>
                <w:rFonts w:cs="Arial"/>
                <w:vanish/>
              </w:rPr>
              <w:t xml:space="preserve">BR_35.22 </w:t>
            </w:r>
            <w:r>
              <w:t>VBECS allows the user to search all existing patient specimens associated with a specific patient. The user may enter the patient name or a specimen UID to access the list.</w:t>
            </w:r>
          </w:p>
        </w:tc>
      </w:tr>
      <w:tr w:rsidR="0073493B">
        <w:tblPrEx>
          <w:tblCellMar>
            <w:top w:w="0" w:type="dxa"/>
            <w:bottom w:w="0" w:type="dxa"/>
          </w:tblCellMar>
        </w:tblPrEx>
        <w:tc>
          <w:tcPr>
            <w:tcW w:w="3240" w:type="dxa"/>
          </w:tcPr>
          <w:p w:rsidR="0073493B" w:rsidRDefault="0073493B" w:rsidP="00141448">
            <w:pPr>
              <w:pStyle w:val="TableTextNumbers"/>
            </w:pPr>
            <w:r>
              <w:t>Enter new specimen information or edit previously entered information</w:t>
            </w:r>
            <w:r w:rsidR="00833047">
              <w:t xml:space="preserve"> (</w:t>
            </w:r>
            <w:r w:rsidR="00833047">
              <w:fldChar w:fldCharType="begin"/>
            </w:r>
            <w:r w:rsidR="00833047">
              <w:instrText xml:space="preserve"> REF _Ref126722649 \h </w:instrText>
            </w:r>
            <w:r w:rsidR="00833047">
              <w:fldChar w:fldCharType="separate"/>
            </w:r>
            <w:r w:rsidR="005F38BC">
              <w:t xml:space="preserve">Figure </w:t>
            </w:r>
            <w:r w:rsidR="005F38BC">
              <w:rPr>
                <w:noProof/>
              </w:rPr>
              <w:t>110</w:t>
            </w:r>
            <w:r w:rsidR="00833047">
              <w:fldChar w:fldCharType="end"/>
            </w:r>
            <w:r w:rsidR="00833047">
              <w:t>)</w:t>
            </w:r>
            <w:r>
              <w:t>.</w:t>
            </w:r>
          </w:p>
        </w:tc>
        <w:tc>
          <w:tcPr>
            <w:tcW w:w="6120" w:type="dxa"/>
          </w:tcPr>
          <w:p w:rsidR="0073493B" w:rsidRPr="006E05B3" w:rsidRDefault="0073493B" w:rsidP="00141448">
            <w:pPr>
              <w:pStyle w:val="TableTextBullet"/>
              <w:rPr>
                <w:lang w:val="fr-FR"/>
              </w:rPr>
            </w:pPr>
            <w:r w:rsidRPr="006E05B3">
              <w:rPr>
                <w:lang w:val="fr-FR"/>
              </w:rPr>
              <w:t xml:space="preserve">Displays uneditable patient demographic information. </w:t>
            </w:r>
          </w:p>
          <w:p w:rsidR="0073493B" w:rsidRDefault="0073493B" w:rsidP="00141448">
            <w:pPr>
              <w:pStyle w:val="TableTextBullet"/>
            </w:pPr>
            <w:r>
              <w:t>Displays an option to edit.</w:t>
            </w:r>
          </w:p>
          <w:p w:rsidR="0073493B" w:rsidRDefault="0073493B" w:rsidP="00141448">
            <w:pPr>
              <w:pStyle w:val="TableText"/>
            </w:pPr>
          </w:p>
          <w:p w:rsidR="0073493B" w:rsidRDefault="00634BFC" w:rsidP="00141448">
            <w:pPr>
              <w:pStyle w:val="TableText"/>
              <w:rPr>
                <w:b/>
                <w:bCs/>
                <w:szCs w:val="18"/>
              </w:rPr>
            </w:pPr>
            <w:r>
              <w:rPr>
                <w:b/>
                <w:bCs/>
                <w:noProof/>
              </w:rPr>
              <mc:AlternateContent>
                <mc:Choice Requires="wps">
                  <w:drawing>
                    <wp:anchor distT="0" distB="0" distL="114300" distR="114300" simplePos="0" relativeHeight="25175091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01" name="Line 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9" o:spid="_x0000_s1026" style="position:absolute;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WuDFgIAAC4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CA&#10;9WuDFgIAAC4EAAAOAAAAAAAAAAAAAAAAAC4CAABkcnMvZTJvRG9jLnhtbFBLAQItABQABgAIAAAA&#10;IQAXTzAS2wAAAAgBAAAPAAAAAAAAAAAAAAAAAHAEAABkcnMvZG93bnJldi54bWxQSwUGAAAAAAQA&#10;BADzAAAAeAUAAAAA&#10;" strokeweight="1.5pt"/>
                  </w:pict>
                </mc:Fallback>
              </mc:AlternateContent>
            </w:r>
            <w:r w:rsidR="0073493B">
              <w:rPr>
                <w:b/>
                <w:bCs/>
                <w:szCs w:val="18"/>
              </w:rPr>
              <w:t>NOTES</w:t>
            </w:r>
          </w:p>
          <w:p w:rsidR="0073493B" w:rsidRDefault="0073493B" w:rsidP="00141448">
            <w:pPr>
              <w:pStyle w:val="NotesText"/>
            </w:pPr>
          </w:p>
          <w:p w:rsidR="0073493B" w:rsidRDefault="0073493B" w:rsidP="00141448">
            <w:pPr>
              <w:pStyle w:val="NotesText"/>
            </w:pPr>
            <w:r>
              <w:rPr>
                <w:rFonts w:cs="Arial"/>
                <w:vanish/>
              </w:rPr>
              <w:t xml:space="preserve">BR_35.01 </w:t>
            </w:r>
            <w:r>
              <w:t>When the user extends the specimen expiration date and time, VBECS calculates the number of days by which the specimen was extended (based on the originally calculated expiration date) and the newly entered expiration date. VBECS compares the difference to the site parameter for the maximum number of extension days allowed for a specimen. When the entered expiration date exceeds the parameter, VBECS warns the user. There is no override.</w:t>
            </w:r>
          </w:p>
          <w:p w:rsidR="0073493B" w:rsidRDefault="0073493B" w:rsidP="00141448">
            <w:pPr>
              <w:pStyle w:val="NotesText"/>
            </w:pPr>
          </w:p>
          <w:p w:rsidR="0073493B" w:rsidRDefault="0073493B" w:rsidP="00141448">
            <w:pPr>
              <w:pStyle w:val="NotesText"/>
            </w:pPr>
            <w:r>
              <w:rPr>
                <w:rFonts w:cs="Arial"/>
                <w:vanish/>
              </w:rPr>
              <w:t xml:space="preserve">BR_35.02 </w:t>
            </w:r>
            <w:r>
              <w:t>The default expiration date is calculated as three days in the future with the day of the original specimen collection as “0.” For example, a specimen collected on September 16, 200</w:t>
            </w:r>
            <w:r w:rsidR="00E33504">
              <w:t>7</w:t>
            </w:r>
            <w:r>
              <w:t xml:space="preserve"> (regardless of the time), is day “0” and the calculated expiration date and time are September 19, 200</w:t>
            </w:r>
            <w:r w:rsidR="00E33504">
              <w:t>7</w:t>
            </w:r>
            <w:r>
              <w:t xml:space="preserve"> @ 23:59 (midnight).</w:t>
            </w:r>
          </w:p>
          <w:p w:rsidR="0073493B" w:rsidRDefault="0073493B" w:rsidP="00141448">
            <w:pPr>
              <w:pStyle w:val="NotesText"/>
            </w:pPr>
          </w:p>
          <w:p w:rsidR="0073493B" w:rsidRDefault="0073493B" w:rsidP="00141448">
            <w:pPr>
              <w:pStyle w:val="NotesText"/>
            </w:pPr>
            <w:r>
              <w:rPr>
                <w:rFonts w:cs="Arial"/>
                <w:vanish/>
              </w:rPr>
              <w:t xml:space="preserve">BR_35.20 </w:t>
            </w:r>
            <w:r>
              <w:t>When a new or existing specimen is being associated with a pending component order during Accept Orders: Accept an Order, the specimen must be acceptable.</w:t>
            </w:r>
          </w:p>
          <w:p w:rsidR="0073493B" w:rsidRDefault="0073493B" w:rsidP="00141448">
            <w:pPr>
              <w:pStyle w:val="NotesText"/>
            </w:pPr>
          </w:p>
          <w:p w:rsidR="0073493B" w:rsidRDefault="0073493B" w:rsidP="00141448">
            <w:pPr>
              <w:pStyle w:val="NotesText"/>
            </w:pPr>
            <w:r>
              <w:rPr>
                <w:rFonts w:cs="Arial"/>
                <w:vanish/>
              </w:rPr>
              <w:t xml:space="preserve">BR_16.14 </w:t>
            </w:r>
            <w:r>
              <w:t>When there is a specimen requirement for orders, each order must be evaluated for a valid specimen before it can be accepted.</w:t>
            </w:r>
          </w:p>
          <w:p w:rsidR="0073493B" w:rsidRDefault="0073493B" w:rsidP="00141448">
            <w:pPr>
              <w:pStyle w:val="NotesText"/>
            </w:pPr>
          </w:p>
          <w:p w:rsidR="0073493B" w:rsidRDefault="0073493B" w:rsidP="00141448">
            <w:pPr>
              <w:pStyle w:val="NotesText"/>
            </w:pPr>
            <w:r>
              <w:rPr>
                <w:rFonts w:cs="Arial"/>
                <w:vanish/>
              </w:rPr>
              <w:t xml:space="preserve">BR_35.21 </w:t>
            </w:r>
            <w:r>
              <w:t>VBECS displays specimen UIDs for selection by CPRS-associated maintainable specimen and then by acceptable and unexpired maintainable specimens, in reverse chronological order.</w:t>
            </w:r>
          </w:p>
          <w:p w:rsidR="0073493B" w:rsidRDefault="0073493B" w:rsidP="00141448">
            <w:pPr>
              <w:pStyle w:val="NotesText"/>
            </w:pPr>
          </w:p>
          <w:p w:rsidR="0073493B" w:rsidRDefault="0073493B" w:rsidP="00141448">
            <w:pPr>
              <w:pStyle w:val="NotesText"/>
            </w:pPr>
            <w:r>
              <w:t>VBECS allows</w:t>
            </w:r>
            <w:r>
              <w:rPr>
                <w:color w:val="000000"/>
              </w:rPr>
              <w:t xml:space="preserve"> the user to include expired and unacceptable specimens</w:t>
            </w:r>
            <w:r>
              <w:t>.</w:t>
            </w:r>
          </w:p>
          <w:p w:rsidR="0073493B" w:rsidRDefault="0073493B" w:rsidP="00141448">
            <w:pPr>
              <w:pStyle w:val="NotesText"/>
            </w:pPr>
          </w:p>
          <w:p w:rsidR="0073493B" w:rsidRDefault="0073493B" w:rsidP="00141448">
            <w:pPr>
              <w:pStyle w:val="NotesText"/>
            </w:pPr>
            <w:r>
              <w:rPr>
                <w:rFonts w:cs="Arial"/>
                <w:vanish/>
              </w:rPr>
              <w:t>BR_35.05</w:t>
            </w:r>
            <w:r w:rsidRPr="00323744">
              <w:rPr>
                <w:rStyle w:val="BullhornChar"/>
              </w:rPr>
              <w:t></w:t>
            </w:r>
            <w:r>
              <w:rPr>
                <w:rFonts w:ascii="Webdings" w:hAnsi="Webdings"/>
              </w:rPr>
              <w:t></w:t>
            </w:r>
            <w:r w:rsidRPr="00263B24">
              <w:t>Wh</w:t>
            </w:r>
            <w:r>
              <w:t>en the user attempts to save an expiration date past the default of three days, VBECS checks the patient’s record for evidence of transfusion within the previous three months and the history of antibody identification, regardless of the division. If either is found, VBECS emits an audible alert, warns that the patient has evidence of transfusion within previous three months and/or antibody formation, and instructs the user to enter a comment to extend the specimen expiration date beyond three days. The user must enter a canned comment (with the specimen extension) and/or free-text comment to continue. VBECS captures details for inclusion in an Exception Report (exception type: expiration date extended).</w:t>
            </w:r>
          </w:p>
          <w:p w:rsidR="0073493B" w:rsidRDefault="0073493B" w:rsidP="00141448">
            <w:pPr>
              <w:pStyle w:val="NotesText"/>
            </w:pPr>
          </w:p>
          <w:p w:rsidR="0073493B" w:rsidRDefault="0073493B" w:rsidP="00141448">
            <w:pPr>
              <w:pStyle w:val="NotesText"/>
            </w:pPr>
            <w:r>
              <w:rPr>
                <w:rFonts w:cs="Arial"/>
                <w:vanish/>
              </w:rPr>
              <w:t xml:space="preserve">BR_35.07 </w:t>
            </w:r>
            <w:r>
              <w:t>When the specimen is deemed unacceptable, the status of the orders associated with the specimen remains “pending” or “active.”</w:t>
            </w:r>
          </w:p>
          <w:p w:rsidR="0073493B" w:rsidRDefault="0073493B" w:rsidP="00141448">
            <w:pPr>
              <w:pStyle w:val="NotesText"/>
            </w:pPr>
          </w:p>
          <w:p w:rsidR="0073493B" w:rsidRDefault="0073493B" w:rsidP="00141448">
            <w:pPr>
              <w:pStyle w:val="NotesText"/>
            </w:pPr>
            <w:r>
              <w:rPr>
                <w:vanish/>
                <w:szCs w:val="18"/>
              </w:rPr>
              <w:t>BR_35.10</w:t>
            </w:r>
            <w:r w:rsidRPr="00323744">
              <w:rPr>
                <w:rStyle w:val="BullhornChar"/>
              </w:rPr>
              <w:t></w:t>
            </w:r>
            <w:r>
              <w:rPr>
                <w:rFonts w:ascii="Webdings" w:hAnsi="Webdings"/>
              </w:rPr>
              <w:t></w:t>
            </w:r>
            <w:r w:rsidRPr="00263B24">
              <w:t>Wh</w:t>
            </w:r>
            <w:r>
              <w:t>en a user attempts to reactivate a previously expired or unacceptable specimen, VBECS emits an audible alert, warns that this is a previously expired or unacceptable specimen, and instructs the user to enter a comment to make it available. A comment is required to continue. VBECS captures details for inclusion in an Exception Report (exception type: unacceptable/expired specimen used).</w:t>
            </w:r>
          </w:p>
          <w:p w:rsidR="0073493B" w:rsidRDefault="0073493B" w:rsidP="00141448">
            <w:pPr>
              <w:pStyle w:val="NotesText"/>
            </w:pPr>
          </w:p>
          <w:p w:rsidR="0073493B" w:rsidRDefault="0073493B" w:rsidP="00141448">
            <w:pPr>
              <w:pStyle w:val="NotesText"/>
            </w:pPr>
            <w:r>
              <w:rPr>
                <w:rFonts w:cs="Arial"/>
                <w:vanish/>
              </w:rPr>
              <w:t xml:space="preserve">BR_35.12 </w:t>
            </w:r>
            <w:r>
              <w:t>VBECS requires the date and time a specimen was collected and the phlebotomist ID.</w:t>
            </w:r>
          </w:p>
          <w:p w:rsidR="0073493B" w:rsidRDefault="0073493B" w:rsidP="00141448">
            <w:pPr>
              <w:pStyle w:val="NotesText"/>
            </w:pPr>
          </w:p>
          <w:p w:rsidR="0073493B" w:rsidRDefault="0073493B" w:rsidP="00141448">
            <w:pPr>
              <w:pStyle w:val="NotesText"/>
            </w:pPr>
            <w:r>
              <w:rPr>
                <w:rFonts w:cs="Arial"/>
                <w:vanish/>
              </w:rPr>
              <w:t xml:space="preserve">BR_35.14 </w:t>
            </w:r>
            <w:r>
              <w:t>When a specimen is process</w:t>
            </w:r>
            <w:r w:rsidR="00874D0E">
              <w:t>ed</w:t>
            </w:r>
            <w:r>
              <w:t xml:space="preserve">, VBECS displays the details of associated orders (read only). </w:t>
            </w:r>
          </w:p>
          <w:p w:rsidR="0073493B" w:rsidRDefault="0073493B" w:rsidP="00141448">
            <w:pPr>
              <w:pStyle w:val="NotesText"/>
            </w:pPr>
          </w:p>
          <w:p w:rsidR="0073493B" w:rsidRDefault="0073493B" w:rsidP="00141448">
            <w:pPr>
              <w:pStyle w:val="NotesText"/>
            </w:pPr>
            <w:r>
              <w:rPr>
                <w:rFonts w:cs="Arial"/>
                <w:vanish/>
              </w:rPr>
              <w:t xml:space="preserve">BR_35.17 </w:t>
            </w:r>
            <w:r>
              <w:t xml:space="preserve">The user must enter a comment when marking a specimen as unacceptable. </w:t>
            </w:r>
          </w:p>
        </w:tc>
      </w:tr>
      <w:tr w:rsidR="0073493B">
        <w:tblPrEx>
          <w:tblCellMar>
            <w:top w:w="0" w:type="dxa"/>
            <w:bottom w:w="0" w:type="dxa"/>
          </w:tblCellMar>
        </w:tblPrEx>
        <w:tc>
          <w:tcPr>
            <w:tcW w:w="3240" w:type="dxa"/>
          </w:tcPr>
          <w:p w:rsidR="0073493B" w:rsidRDefault="0073493B" w:rsidP="00141448">
            <w:pPr>
              <w:pStyle w:val="TableTextNumbers"/>
            </w:pPr>
            <w:r>
              <w:lastRenderedPageBreak/>
              <w:t>Enter or verify specimen-related information from Step 3.</w:t>
            </w:r>
          </w:p>
        </w:tc>
        <w:tc>
          <w:tcPr>
            <w:tcW w:w="6120" w:type="dxa"/>
          </w:tcPr>
          <w:p w:rsidR="0073493B" w:rsidRDefault="0073493B" w:rsidP="00141448">
            <w:pPr>
              <w:pStyle w:val="TableTextBullet"/>
            </w:pPr>
            <w:r>
              <w:t>Allows the user to review and edit previously entered information.</w:t>
            </w:r>
          </w:p>
        </w:tc>
      </w:tr>
      <w:tr w:rsidR="0073493B">
        <w:tblPrEx>
          <w:tblCellMar>
            <w:top w:w="0" w:type="dxa"/>
            <w:bottom w:w="0" w:type="dxa"/>
          </w:tblCellMar>
        </w:tblPrEx>
        <w:tc>
          <w:tcPr>
            <w:tcW w:w="3240" w:type="dxa"/>
          </w:tcPr>
          <w:p w:rsidR="0073493B" w:rsidRDefault="0073493B" w:rsidP="00141448">
            <w:pPr>
              <w:pStyle w:val="TableTextNumbers"/>
            </w:pPr>
            <w:r>
              <w:t xml:space="preserve">Review the entered information and click </w:t>
            </w:r>
            <w:r>
              <w:rPr>
                <w:b/>
              </w:rPr>
              <w:t>OK</w:t>
            </w:r>
            <w:r>
              <w:t xml:space="preserve"> to save.</w:t>
            </w:r>
          </w:p>
        </w:tc>
        <w:tc>
          <w:tcPr>
            <w:tcW w:w="6120" w:type="dxa"/>
          </w:tcPr>
          <w:p w:rsidR="0073493B" w:rsidRDefault="0073493B" w:rsidP="00141448">
            <w:pPr>
              <w:pStyle w:val="TableTextBullet"/>
            </w:pPr>
            <w:r>
              <w:t>Saves the data for use in further specimen order processing and subsequent retrieval.</w:t>
            </w:r>
          </w:p>
          <w:p w:rsidR="005218E2" w:rsidRDefault="005218E2" w:rsidP="005218E2">
            <w:pPr>
              <w:pStyle w:val="TableText"/>
            </w:pPr>
          </w:p>
          <w:p w:rsidR="005218E2" w:rsidRDefault="00634BFC" w:rsidP="005218E2">
            <w:pPr>
              <w:pStyle w:val="TableText"/>
              <w:rPr>
                <w:b/>
                <w:bCs/>
                <w:szCs w:val="18"/>
              </w:rPr>
            </w:pPr>
            <w:r>
              <w:rPr>
                <w:b/>
                <w:bCs/>
                <w:noProof/>
              </w:rPr>
              <mc:AlternateContent>
                <mc:Choice Requires="wps">
                  <w:drawing>
                    <wp:anchor distT="0" distB="0" distL="114300" distR="114300" simplePos="0" relativeHeight="25176934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00" name="Line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8" o:spid="_x0000_s1026" style="position:absolute;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" strokeweight="1.5pt"/>
                  </w:pict>
                </mc:Fallback>
              </mc:AlternateContent>
            </w:r>
            <w:r w:rsidR="005218E2">
              <w:rPr>
                <w:b/>
                <w:bCs/>
                <w:szCs w:val="18"/>
              </w:rPr>
              <w:t>NOTES</w:t>
            </w:r>
          </w:p>
          <w:p w:rsidR="005218E2" w:rsidRDefault="005218E2" w:rsidP="005218E2">
            <w:pPr>
              <w:pStyle w:val="NotesText"/>
            </w:pPr>
          </w:p>
          <w:p w:rsidR="0073493B" w:rsidRDefault="0073493B" w:rsidP="00141448">
            <w:pPr>
              <w:pStyle w:val="NotesText"/>
            </w:pPr>
            <w:r>
              <w:rPr>
                <w:rFonts w:cs="Arial"/>
                <w:vanish/>
              </w:rPr>
              <w:t xml:space="preserve">BR_35.23 </w:t>
            </w:r>
            <w:r>
              <w:t xml:space="preserve">When saving or updating an expired specimen, VBECS warns the user and asks whether he wishes to continue. The user may continue without </w:t>
            </w:r>
            <w:r w:rsidR="00C90418">
              <w:t xml:space="preserve">entering </w:t>
            </w:r>
            <w:r>
              <w:t>a comment.</w:t>
            </w:r>
          </w:p>
          <w:p w:rsidR="0073493B" w:rsidRDefault="0073493B" w:rsidP="00141448">
            <w:pPr>
              <w:pStyle w:val="NotesText"/>
            </w:pPr>
          </w:p>
          <w:p w:rsidR="0073493B" w:rsidRDefault="0073493B" w:rsidP="00141448">
            <w:pPr>
              <w:pStyle w:val="NotesText"/>
            </w:pPr>
            <w:r>
              <w:rPr>
                <w:vanish/>
                <w:szCs w:val="18"/>
              </w:rPr>
              <w:t>BR_35.11</w:t>
            </w:r>
            <w:r w:rsidR="00CE3961">
              <w:rPr>
                <w:vanish/>
                <w:szCs w:val="18"/>
              </w:rPr>
              <w:t>,</w:t>
            </w:r>
            <w:r>
              <w:rPr>
                <w:vanish/>
                <w:szCs w:val="18"/>
              </w:rPr>
              <w:t xml:space="preserve"> BR_35.15 </w:t>
            </w:r>
            <w:r>
              <w:t xml:space="preserve">The UID initially used to identify the specimen becomes the VBECS specimen number, which VBECS retains and uses to process subsequent orders during the life of the specimen, including CPRS, VBECS, and Laboratory orders, and UIDs associated with the specimen. A historical record lists changes made to the specimen and is available for review. </w:t>
            </w:r>
          </w:p>
          <w:p w:rsidR="0073493B" w:rsidRDefault="0073493B" w:rsidP="00141448">
            <w:pPr>
              <w:pStyle w:val="NotesText"/>
            </w:pPr>
          </w:p>
          <w:p w:rsidR="0073493B" w:rsidRDefault="0073493B" w:rsidP="00141448">
            <w:pPr>
              <w:pStyle w:val="NotesText"/>
            </w:pPr>
            <w:r>
              <w:rPr>
                <w:rFonts w:cs="Arial"/>
                <w:vanish/>
              </w:rPr>
              <w:t xml:space="preserve">BR_35.06 </w:t>
            </w:r>
            <w:r>
              <w:t>A permanent link remains between an exhausted or unacceptable specimen UID and its order, which allows the user to document the recollection of a new specimen, according to local policy.</w:t>
            </w:r>
          </w:p>
        </w:tc>
      </w:tr>
      <w:tr w:rsidR="0073493B">
        <w:tblPrEx>
          <w:tblCellMar>
            <w:top w:w="0" w:type="dxa"/>
            <w:bottom w:w="0" w:type="dxa"/>
          </w:tblCellMar>
        </w:tblPrEx>
        <w:tc>
          <w:tcPr>
            <w:tcW w:w="3240" w:type="dxa"/>
          </w:tcPr>
          <w:p w:rsidR="0073493B" w:rsidRDefault="0073493B" w:rsidP="00141448">
            <w:pPr>
              <w:pStyle w:val="TableTextNumbers"/>
            </w:pPr>
            <w:r>
              <w:t xml:space="preserve">Click </w:t>
            </w:r>
            <w:r>
              <w:rPr>
                <w:b/>
              </w:rPr>
              <w:t>OK</w:t>
            </w:r>
            <w:r>
              <w:t xml:space="preserve"> to exit.</w:t>
            </w:r>
            <w:r w:rsidRPr="00B93B42">
              <w:rPr>
                <w:rStyle w:val="StyleTableTextNumbersWhite1Char"/>
              </w:rP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rsidR="0073493B" w:rsidRDefault="0073493B" w:rsidP="00141448">
            <w:pPr>
              <w:pStyle w:val="TableText"/>
            </w:pPr>
          </w:p>
        </w:tc>
      </w:tr>
    </w:tbl>
    <w:p w:rsidR="002A21AE" w:rsidRDefault="0073493B" w:rsidP="0073493B">
      <w:pPr>
        <w:pStyle w:val="Heading2"/>
      </w:pPr>
      <w:r>
        <w:br w:type="page"/>
      </w:r>
      <w:bookmarkStart w:id="453" w:name="_Toc459900136"/>
      <w:r w:rsidR="002A21AE">
        <w:lastRenderedPageBreak/>
        <w:t>Patient Testing: Cancel an Active Order</w:t>
      </w:r>
      <w:bookmarkEnd w:id="453"/>
      <w:r w:rsidR="002A21AE">
        <w:fldChar w:fldCharType="begin"/>
      </w:r>
      <w:r w:rsidR="002A21AE">
        <w:instrText xml:space="preserve"> XE </w:instrText>
      </w:r>
      <w:r w:rsidR="00FA7E65">
        <w:instrText>“</w:instrText>
      </w:r>
      <w:r w:rsidR="002A21AE">
        <w:instrText>Patient Testing\: Cancel an Active Order</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UC_72</w:t>
      </w:r>
    </w:p>
    <w:p w:rsidR="002A21AE" w:rsidRDefault="002A21AE" w:rsidP="00FA7E65">
      <w:pPr>
        <w:pStyle w:val="BodyText"/>
      </w:pPr>
      <w:r>
        <w:t xml:space="preserve">The user cancels an accepted order on the Pending Task List (PTL) and adds a comment to justify the cancellation. </w:t>
      </w:r>
    </w:p>
    <w:p w:rsidR="002A21AE" w:rsidRDefault="002A21AE">
      <w:pPr>
        <w:pStyle w:val="Heading4"/>
      </w:pPr>
      <w:r>
        <w:t>Assumptions</w:t>
      </w:r>
      <w:r>
        <w:rPr>
          <w:b w:val="0"/>
        </w:rPr>
        <w:t xml:space="preserve"> </w:t>
      </w:r>
    </w:p>
    <w:p w:rsidR="002A21AE" w:rsidRDefault="002A21AE">
      <w:pPr>
        <w:pStyle w:val="ListBullet"/>
      </w:pPr>
      <w:r>
        <w:t>The order and the user are in the same division.</w:t>
      </w:r>
    </w:p>
    <w:p w:rsidR="002A21AE" w:rsidRDefault="002A21AE">
      <w:pPr>
        <w:pStyle w:val="ListBullet"/>
      </w:pPr>
      <w:r>
        <w:t>A user accepted an order that originated in CPRS through Accept Orders: Accept an Order, or created a reflex test order through Order Reflex Tests.</w:t>
      </w:r>
    </w:p>
    <w:p w:rsidR="002A21AE" w:rsidRDefault="002A21AE">
      <w:pPr>
        <w:pStyle w:val="ListBullet"/>
      </w:pPr>
      <w:r>
        <w:t xml:space="preserve">The connection to </w:t>
      </w:r>
      <w:r w:rsidR="00CA0045" w:rsidRPr="00CA0045">
        <w:rPr>
          <w:bCs/>
        </w:rPr>
        <w:t>VistA</w:t>
      </w:r>
      <w:r>
        <w:t xml:space="preserve"> is active.</w:t>
      </w:r>
    </w:p>
    <w:p w:rsidR="002A21AE" w:rsidRDefault="002A21AE">
      <w:pPr>
        <w:pStyle w:val="Heading4"/>
      </w:pPr>
      <w:r>
        <w:t xml:space="preserve">Outcome </w:t>
      </w:r>
    </w:p>
    <w:p w:rsidR="002A21AE" w:rsidRDefault="002A21AE">
      <w:pPr>
        <w:pStyle w:val="ListBullet"/>
      </w:pPr>
      <w:r>
        <w:t>The order was removed from the PTL.</w:t>
      </w:r>
    </w:p>
    <w:p w:rsidR="002A21AE" w:rsidRDefault="002A21AE">
      <w:pPr>
        <w:pStyle w:val="ListBullet"/>
      </w:pPr>
      <w:r>
        <w:t>An order update message was sent to CPRS.</w:t>
      </w:r>
    </w:p>
    <w:p w:rsidR="002A21AE" w:rsidRDefault="002A21AE">
      <w:pPr>
        <w:pStyle w:val="Heading4"/>
      </w:pPr>
      <w:r>
        <w:t>Limitations and Restrictions</w:t>
      </w:r>
      <w:r>
        <w:rPr>
          <w:b w:val="0"/>
        </w:rPr>
        <w:t xml:space="preserve"> </w:t>
      </w:r>
    </w:p>
    <w:p w:rsidR="002A21AE" w:rsidRDefault="002A21AE">
      <w:pPr>
        <w:pStyle w:val="ListBullet"/>
      </w:pPr>
      <w:r>
        <w:t>Cancellation of one order does not affect other orders placed with it.</w:t>
      </w:r>
    </w:p>
    <w:p w:rsidR="002A21AE" w:rsidRDefault="002A21AE">
      <w:pPr>
        <w:pStyle w:val="ListBullet"/>
      </w:pPr>
      <w:r>
        <w:t>Before a user may cancel a partially completed task, he must invalidate the results for that task</w:t>
      </w:r>
      <w:r w:rsidR="00921485">
        <w:t>, thereby</w:t>
      </w:r>
      <w:r>
        <w:t xml:space="preserve"> changing its status to “not started.”</w:t>
      </w:r>
    </w:p>
    <w:p w:rsidR="002A21AE" w:rsidRDefault="002A21AE">
      <w:pPr>
        <w:pStyle w:val="Heading4"/>
      </w:pPr>
      <w:r>
        <w:t xml:space="preserve">Additional Information </w:t>
      </w:r>
    </w:p>
    <w:p w:rsidR="002A21AE" w:rsidRDefault="002A21AE">
      <w:pPr>
        <w:pStyle w:val="ListBullet"/>
      </w:pPr>
      <w:r>
        <w:t>None</w:t>
      </w:r>
    </w:p>
    <w:p w:rsidR="002A21AE" w:rsidRDefault="002A21AE">
      <w:pPr>
        <w:pStyle w:val="Heading4"/>
        <w:rPr>
          <w:b w:val="0"/>
        </w:rPr>
      </w:pPr>
      <w:r>
        <w:rPr>
          <w:rStyle w:val="RolesChar"/>
        </w:rPr>
        <w:t>User Roles with</w:t>
      </w:r>
      <w:r>
        <w:t xml:space="preserve"> Access to This Option</w:t>
      </w:r>
      <w:r>
        <w:rPr>
          <w:b w:val="0"/>
        </w:rPr>
        <w:t xml:space="preserve"> </w:t>
      </w:r>
    </w:p>
    <w:p w:rsidR="002A21AE" w:rsidRDefault="002232A3">
      <w:pPr>
        <w:pStyle w:val="Roles"/>
        <w:rPr>
          <w:snapToGrid w:val="0"/>
        </w:rPr>
      </w:pPr>
      <w:r>
        <w:t>All users</w:t>
      </w:r>
    </w:p>
    <w:p w:rsidR="002A21AE" w:rsidRDefault="002A21AE">
      <w:pPr>
        <w:pStyle w:val="Heading4"/>
      </w:pPr>
      <w:r>
        <w:t xml:space="preserve">Patient Testing: Cancel an Active Order </w:t>
      </w:r>
    </w:p>
    <w:p w:rsidR="002A21AE" w:rsidRDefault="002A21AE" w:rsidP="00FA7E65">
      <w:pPr>
        <w:pStyle w:val="BodyText"/>
      </w:pPr>
      <w:r>
        <w:t>The user selects one or more tasks to cancel from the PTL, cancels the accepted order from within VBECS, and adds a comment regarding the cancellation.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 xml:space="preserve">Select </w:t>
            </w:r>
            <w:r>
              <w:rPr>
                <w:b/>
              </w:rPr>
              <w:t>Patients</w:t>
            </w:r>
            <w:r>
              <w:t xml:space="preserve"> from the main menu.</w:t>
            </w:r>
          </w:p>
          <w:p w:rsidR="002A21AE" w:rsidRDefault="002A21AE">
            <w:pPr>
              <w:pStyle w:val="TableTextNumbersContinued"/>
            </w:pPr>
          </w:p>
          <w:p w:rsidR="002A21AE" w:rsidRDefault="002A21AE">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Bullet"/>
            </w:pPr>
            <w:r>
              <w:t>Displays options for processing patient-related functions.</w:t>
            </w:r>
          </w:p>
          <w:p w:rsidR="002A21AE" w:rsidRDefault="002A21AE">
            <w:pPr>
              <w:pStyle w:val="TableTextBullet"/>
            </w:pPr>
            <w:r>
              <w:t>Displays the Pending Task List in the Diagnostic Tests tab.</w:t>
            </w:r>
          </w:p>
          <w:p w:rsidR="002A21AE" w:rsidRDefault="002A21AE">
            <w:pPr>
              <w:pStyle w:val="NotesText"/>
            </w:pPr>
          </w:p>
          <w:p w:rsidR="002A21AE" w:rsidRDefault="00634BFC">
            <w:pPr>
              <w:pStyle w:val="TableText"/>
              <w:rPr>
                <w:b/>
                <w:bCs/>
                <w:szCs w:val="18"/>
              </w:rPr>
            </w:pPr>
            <w:r>
              <w:rPr>
                <w:b/>
                <w:bCs/>
                <w:noProof/>
              </w:rPr>
              <mc:AlternateContent>
                <mc:Choice Requires="wps">
                  <w:drawing>
                    <wp:anchor distT="0" distB="0" distL="114300" distR="114300" simplePos="0" relativeHeight="25154508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99" name="Lin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8" o:spid="_x0000_s1026" style="position:absolute;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n3PFQIAAC0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FZi&#10;fc8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TableText"/>
            </w:pPr>
          </w:p>
          <w:p w:rsidR="002A21AE" w:rsidRDefault="002A21AE">
            <w:pPr>
              <w:pStyle w:val="NotesText"/>
            </w:pPr>
            <w:r>
              <w:t xml:space="preserve">Click the </w:t>
            </w:r>
            <w:r>
              <w:rPr>
                <w:b/>
              </w:rPr>
              <w:t xml:space="preserve">Component Orders </w:t>
            </w:r>
            <w:r w:rsidRPr="00CC3C89">
              <w:t xml:space="preserve">tab </w:t>
            </w:r>
            <w:r>
              <w:t>to view its PTL.</w:t>
            </w:r>
          </w:p>
        </w:tc>
      </w:tr>
      <w:tr w:rsidR="002A21AE">
        <w:tblPrEx>
          <w:tblCellMar>
            <w:top w:w="0" w:type="dxa"/>
            <w:bottom w:w="0" w:type="dxa"/>
          </w:tblCellMar>
        </w:tblPrEx>
        <w:trPr>
          <w:hidden/>
        </w:trPr>
        <w:tc>
          <w:tcPr>
            <w:tcW w:w="3240" w:type="dxa"/>
          </w:tcPr>
          <w:p w:rsidR="002A21AE" w:rsidRDefault="002A21AE">
            <w:pPr>
              <w:pStyle w:val="TableTextNumbers"/>
            </w:pPr>
            <w:r>
              <w:rPr>
                <w:rFonts w:cs="Arial"/>
                <w:vanish/>
              </w:rPr>
              <w:t xml:space="preserve">BR_72.01 </w:t>
            </w:r>
            <w:r>
              <w:t>Click one to four check boxes in the PTL in the Diagnostic Tests tab or the Component Orders tab to select tasks</w:t>
            </w:r>
            <w:r w:rsidR="000A6348">
              <w:t xml:space="preserve"> (</w:t>
            </w:r>
            <w:r w:rsidR="000A6348">
              <w:fldChar w:fldCharType="begin"/>
            </w:r>
            <w:r w:rsidR="000A6348">
              <w:instrText xml:space="preserve"> REF _Ref126724192 \h </w:instrText>
            </w:r>
            <w:r w:rsidR="000A6348">
              <w:fldChar w:fldCharType="separate"/>
            </w:r>
            <w:r w:rsidR="005F38BC">
              <w:t xml:space="preserve">Figure </w:t>
            </w:r>
            <w:r w:rsidR="005F38BC">
              <w:rPr>
                <w:noProof/>
              </w:rPr>
              <w:t>111</w:t>
            </w:r>
            <w:r w:rsidR="000A6348">
              <w:fldChar w:fldCharType="end"/>
            </w:r>
            <w:r w:rsidR="000A6348">
              <w:t>)</w:t>
            </w:r>
            <w:r>
              <w:t>.</w:t>
            </w:r>
          </w:p>
          <w:p w:rsidR="002A21AE" w:rsidRDefault="002A21AE">
            <w:pPr>
              <w:pStyle w:val="TableTextNumbersContinued"/>
            </w:pPr>
          </w:p>
          <w:p w:rsidR="002A21AE" w:rsidRDefault="002A21AE">
            <w:pPr>
              <w:pStyle w:val="TableTextNumbersContinued"/>
            </w:pPr>
            <w:r>
              <w:t xml:space="preserve">Click </w:t>
            </w:r>
            <w:r>
              <w:rPr>
                <w:b/>
              </w:rPr>
              <w:t>OK</w:t>
            </w:r>
            <w:r>
              <w:t xml:space="preserve"> to continue, or click </w:t>
            </w:r>
            <w:r>
              <w:rPr>
                <w:b/>
              </w:rPr>
              <w:t>Cancel Order(s)</w:t>
            </w:r>
            <w:r>
              <w:t xml:space="preserve"> to cancel the selected tasks.</w:t>
            </w:r>
          </w:p>
          <w:p w:rsidR="002A21AE" w:rsidRDefault="002A21AE">
            <w:pPr>
              <w:pStyle w:val="TableTextNumbersContinued"/>
            </w:pPr>
          </w:p>
          <w:p w:rsidR="002A21AE" w:rsidRDefault="002A21AE">
            <w:pPr>
              <w:pStyle w:val="TableTextNumbersContinued"/>
            </w:pPr>
            <w:r>
              <w:t>Select or enter a comment.</w:t>
            </w:r>
          </w:p>
          <w:p w:rsidR="002A21AE" w:rsidRDefault="002A21AE">
            <w:pPr>
              <w:pStyle w:val="TableTextNumbersContinued"/>
            </w:pPr>
          </w:p>
          <w:p w:rsidR="002A21AE" w:rsidRDefault="002A21AE">
            <w:pPr>
              <w:pStyle w:val="TableTextNumbersContinued"/>
            </w:pPr>
            <w:r>
              <w:t xml:space="preserve">Click </w:t>
            </w:r>
            <w:r>
              <w:rPr>
                <w:b/>
              </w:rPr>
              <w:t>OK</w:t>
            </w:r>
            <w:r>
              <w:t xml:space="preserve"> to confirm the cancellation.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rsidR="002A21AE" w:rsidRDefault="002A21AE">
            <w:pPr>
              <w:pStyle w:val="TableTextBullet"/>
            </w:pPr>
            <w:r>
              <w:rPr>
                <w:vanish/>
                <w:szCs w:val="18"/>
              </w:rPr>
              <w:t xml:space="preserve">BR_61.01, BR_61.03, </w:t>
            </w:r>
            <w:r>
              <w:rPr>
                <w:rFonts w:cs="Arial"/>
                <w:vanish/>
              </w:rPr>
              <w:t xml:space="preserve">BR_61.04 </w:t>
            </w:r>
            <w:r>
              <w:t>Deletes the selected tasks from the PTL and sends a message to CPRS with an order status update.</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6864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98" name="Lin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6" o:spid="_x0000_s1026" style="position:absolute;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x/GFQIAAC0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KsP&#10;H8Y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BR_61.02 </w:t>
            </w:r>
            <w:r>
              <w:t>Select a canned comment and/or free-text comment</w:t>
            </w:r>
          </w:p>
          <w:p w:rsidR="002A21AE" w:rsidRDefault="002A21AE">
            <w:pPr>
              <w:pStyle w:val="NotesText"/>
            </w:pPr>
          </w:p>
          <w:p w:rsidR="002A21AE" w:rsidRDefault="002A21AE">
            <w:pPr>
              <w:pStyle w:val="NotesText"/>
            </w:pPr>
            <w:r>
              <w:rPr>
                <w:rFonts w:cs="Arial"/>
                <w:vanish/>
              </w:rPr>
              <w:t xml:space="preserve">BR_72.02 </w:t>
            </w:r>
            <w:r>
              <w:t>VBECS allows a user to cancel only tasks that are not started.</w:t>
            </w:r>
          </w:p>
          <w:p w:rsidR="002A21AE" w:rsidRDefault="002A21AE">
            <w:pPr>
              <w:pStyle w:val="NotesText"/>
            </w:pPr>
          </w:p>
          <w:p w:rsidR="002A21AE" w:rsidRDefault="002A21AE">
            <w:pPr>
              <w:pStyle w:val="NotesText"/>
            </w:pPr>
            <w:r>
              <w:t xml:space="preserve">See </w:t>
            </w:r>
            <w:r w:rsidR="00543DAF">
              <w:fldChar w:fldCharType="begin"/>
            </w:r>
            <w:r w:rsidR="00543DAF">
              <w:instrText xml:space="preserve"> REF _Ref170004931 \h </w:instrText>
            </w:r>
            <w:r w:rsidR="00543DAF">
              <w:fldChar w:fldCharType="separate"/>
            </w:r>
            <w:r w:rsidR="005F38BC">
              <w:t xml:space="preserve">Appendix </w:t>
            </w:r>
            <w:r w:rsidR="005F38BC">
              <w:rPr>
                <w:noProof/>
              </w:rPr>
              <w:t>B</w:t>
            </w:r>
            <w:r w:rsidR="00543DAF">
              <w:fldChar w:fldCharType="end"/>
            </w:r>
            <w:r>
              <w:t>:</w:t>
            </w:r>
            <w:r w:rsidR="00D327A3">
              <w:t xml:space="preserve"> </w:t>
            </w:r>
            <w:r w:rsidR="00D327A3">
              <w:fldChar w:fldCharType="begin"/>
            </w:r>
            <w:r w:rsidR="00D327A3">
              <w:instrText xml:space="preserve"> REF _Ref126729757 \h </w:instrText>
            </w:r>
            <w:r w:rsidR="00D327A3">
              <w:instrText xml:space="preserve"> \* MERGEFORMAT </w:instrText>
            </w:r>
            <w:r w:rsidR="00D327A3">
              <w:fldChar w:fldCharType="separate"/>
            </w:r>
            <w:r w:rsidR="005F38BC">
              <w:t xml:space="preserve">Figure </w:t>
            </w:r>
            <w:r w:rsidR="005F38BC">
              <w:rPr>
                <w:noProof/>
              </w:rPr>
              <w:t>137:</w:t>
            </w:r>
            <w:r w:rsidR="005F38BC">
              <w:t xml:space="preserve"> </w:t>
            </w:r>
            <w:r w:rsidR="005F38BC" w:rsidRPr="005F38BC">
              <w:rPr>
                <w:vanish/>
                <w:szCs w:val="18"/>
              </w:rPr>
              <w:t xml:space="preserve">TT_92.01 </w:t>
            </w:r>
            <w:r w:rsidR="005F38BC" w:rsidRPr="005F38BC">
              <w:t>Order</w:t>
            </w:r>
            <w:r w:rsidR="005F38BC">
              <w:t xml:space="preserve"> Status Flowchart</w:t>
            </w:r>
            <w:r w:rsidR="00D327A3">
              <w:fldChar w:fldCharType="end"/>
            </w:r>
            <w:r>
              <w:t>.</w:t>
            </w:r>
          </w:p>
        </w:tc>
      </w:tr>
    </w:tbl>
    <w:p w:rsidR="000A6348" w:rsidRDefault="000A6348" w:rsidP="000A6348">
      <w:pPr>
        <w:pStyle w:val="Caption"/>
      </w:pPr>
      <w:bookmarkStart w:id="454" w:name="_Ref126724192"/>
      <w:r>
        <w:lastRenderedPageBreak/>
        <w:t xml:space="preserve">Figure </w:t>
      </w:r>
      <w:r w:rsidR="00C17F7C">
        <w:fldChar w:fldCharType="begin"/>
      </w:r>
      <w:r w:rsidR="00C17F7C">
        <w:instrText xml:space="preserve"> SEQ Figure \* ARABIC </w:instrText>
      </w:r>
      <w:r w:rsidR="00C17F7C">
        <w:fldChar w:fldCharType="separate"/>
      </w:r>
      <w:r w:rsidR="005F38BC">
        <w:rPr>
          <w:noProof/>
        </w:rPr>
        <w:t>111</w:t>
      </w:r>
      <w:r w:rsidR="00C17F7C">
        <w:fldChar w:fldCharType="end"/>
      </w:r>
      <w:bookmarkEnd w:id="454"/>
      <w:r>
        <w:t>: Pending Task List Diagnostic Tests</w:t>
      </w:r>
    </w:p>
    <w:p w:rsidR="000A6348" w:rsidRDefault="00634BFC" w:rsidP="000A6348">
      <w:pPr>
        <w:pStyle w:val="BodyText"/>
      </w:pPr>
      <w:r>
        <w:rPr>
          <w:noProof/>
        </w:rPr>
        <w:drawing>
          <wp:inline distT="0" distB="0" distL="0" distR="0">
            <wp:extent cx="5934075" cy="2533650"/>
            <wp:effectExtent l="0" t="0" r="952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934075" cy="2533650"/>
                    </a:xfrm>
                    <a:prstGeom prst="rect">
                      <a:avLst/>
                    </a:prstGeom>
                    <a:noFill/>
                    <a:ln>
                      <a:noFill/>
                    </a:ln>
                  </pic:spPr>
                </pic:pic>
              </a:graphicData>
            </a:graphic>
          </wp:inline>
        </w:drawing>
      </w:r>
    </w:p>
    <w:p w:rsidR="002A21AE" w:rsidRDefault="00AC2D9E">
      <w:pPr>
        <w:pStyle w:val="Heading2"/>
      </w:pPr>
      <w:r>
        <w:br w:type="page"/>
      </w:r>
      <w:bookmarkStart w:id="455" w:name="_Toc459900137"/>
      <w:r w:rsidR="002A21AE">
        <w:lastRenderedPageBreak/>
        <w:t>Patient Testing: Pending Task List</w:t>
      </w:r>
      <w:bookmarkEnd w:id="455"/>
      <w:r w:rsidR="002A21AE">
        <w:fldChar w:fldCharType="begin"/>
      </w:r>
      <w:r w:rsidR="002A21AE">
        <w:instrText xml:space="preserve"> XE </w:instrText>
      </w:r>
      <w:r w:rsidR="00FA7E65">
        <w:instrText>“</w:instrText>
      </w:r>
      <w:r w:rsidR="002A21AE">
        <w:instrText>Patient Testing\: Pending Task List</w:instrText>
      </w:r>
      <w:r w:rsidR="00FA7E65">
        <w:instrText>”</w:instrText>
      </w:r>
      <w:r w:rsidR="002A21AE">
        <w:instrText xml:space="preserve"> </w:instrText>
      </w:r>
      <w:r w:rsidR="002A21AE">
        <w:fldChar w:fldCharType="end"/>
      </w:r>
      <w:r w:rsidR="002A21AE" w:rsidRPr="00B46CB0">
        <w:rPr>
          <w:rFonts w:ascii="Arial Bold" w:hAnsi="Arial Bold"/>
          <w:vanish/>
        </w:rPr>
        <w:t xml:space="preserve"> UC_92</w:t>
      </w:r>
    </w:p>
    <w:p w:rsidR="002A21AE" w:rsidRDefault="002A21AE" w:rsidP="00FA7E65">
      <w:pPr>
        <w:pStyle w:val="BodyText"/>
      </w:pPr>
      <w:bookmarkStart w:id="456" w:name="_Toc72830361"/>
      <w:r>
        <w:t xml:space="preserve">The user accesses a Pending Task List (PTL) to select tasks (accepted orders), organize a batch of tests to be performed in a session, process patient component requests, and view and/or print a list of outstanding blood bank tasks. </w:t>
      </w:r>
    </w:p>
    <w:p w:rsidR="002A21AE" w:rsidRDefault="002A21AE">
      <w:pPr>
        <w:pStyle w:val="Heading4"/>
      </w:pPr>
      <w:r>
        <w:t>Assumptions</w:t>
      </w:r>
    </w:p>
    <w:p w:rsidR="002A21AE" w:rsidRDefault="002A21AE" w:rsidP="009D2266">
      <w:pPr>
        <w:pStyle w:val="ListBullet"/>
        <w:numPr>
          <w:ilvl w:val="0"/>
          <w:numId w:val="2"/>
        </w:numPr>
        <w:tabs>
          <w:tab w:val="num" w:pos="720"/>
        </w:tabs>
        <w:ind w:left="720"/>
      </w:pPr>
      <w:r>
        <w:t>CPRS orders were accepted or a reflex order was placed within the VBECS division.</w:t>
      </w:r>
    </w:p>
    <w:p w:rsidR="002A21AE" w:rsidRDefault="002A21AE">
      <w:pPr>
        <w:pStyle w:val="Heading4"/>
      </w:pPr>
      <w:r>
        <w:t>Outcome</w:t>
      </w:r>
    </w:p>
    <w:p w:rsidR="002A21AE" w:rsidRDefault="002A21AE" w:rsidP="009D2266">
      <w:pPr>
        <w:pStyle w:val="ListBullet"/>
        <w:numPr>
          <w:ilvl w:val="0"/>
          <w:numId w:val="2"/>
        </w:numPr>
        <w:tabs>
          <w:tab w:val="num" w:pos="720"/>
        </w:tabs>
        <w:ind w:left="720"/>
      </w:pPr>
      <w:r>
        <w:t>The task is available for further processing.</w:t>
      </w:r>
    </w:p>
    <w:p w:rsidR="002A21AE" w:rsidRDefault="002A21AE">
      <w:pPr>
        <w:pStyle w:val="Heading4"/>
      </w:pPr>
      <w:r>
        <w:t>Limitations and Restrictions</w:t>
      </w:r>
    </w:p>
    <w:p w:rsidR="002A21AE" w:rsidRDefault="002A21AE" w:rsidP="009D2266">
      <w:pPr>
        <w:pStyle w:val="ListBullet"/>
        <w:numPr>
          <w:ilvl w:val="0"/>
          <w:numId w:val="2"/>
        </w:numPr>
        <w:tabs>
          <w:tab w:val="num" w:pos="720"/>
        </w:tabs>
        <w:ind w:left="720"/>
      </w:pPr>
      <w:r>
        <w:t>This option is for diagnostic, blood component, and reflex test orders placed in or directed to the user’s division.</w:t>
      </w:r>
    </w:p>
    <w:p w:rsidR="002A21AE" w:rsidRDefault="002A21AE" w:rsidP="009D2266">
      <w:pPr>
        <w:pStyle w:val="ListBullet"/>
        <w:numPr>
          <w:ilvl w:val="0"/>
          <w:numId w:val="2"/>
        </w:numPr>
        <w:tabs>
          <w:tab w:val="num" w:pos="720"/>
        </w:tabs>
        <w:ind w:left="720"/>
      </w:pPr>
      <w:r>
        <w:t>The PTL does not include daily quality control, equipment maintenance schedules, or pending ABO/Rh confirmation and auxiliary tests on red blood c</w:t>
      </w:r>
      <w:bookmarkStart w:id="457" w:name="here"/>
      <w:bookmarkEnd w:id="457"/>
      <w:r>
        <w:t>ell units.</w:t>
      </w:r>
    </w:p>
    <w:p w:rsidR="00B16403" w:rsidRDefault="00B16403" w:rsidP="009D2266">
      <w:pPr>
        <w:pStyle w:val="ListBullet"/>
        <w:numPr>
          <w:ilvl w:val="0"/>
          <w:numId w:val="2"/>
        </w:numPr>
        <w:tabs>
          <w:tab w:val="num" w:pos="720"/>
        </w:tabs>
        <w:ind w:left="720"/>
      </w:pPr>
      <w:r w:rsidRPr="00696FA6">
        <w:t xml:space="preserve">Users may perform testing for no more than four patients in one </w:t>
      </w:r>
      <w:r>
        <w:t>VBECS</w:t>
      </w:r>
      <w:r w:rsidRPr="00696FA6">
        <w:t xml:space="preserve"> session.</w:t>
      </w:r>
    </w:p>
    <w:p w:rsidR="002A21AE" w:rsidRDefault="002A21AE">
      <w:pPr>
        <w:pStyle w:val="Heading4"/>
      </w:pPr>
      <w:r>
        <w:t>Additional Information</w:t>
      </w:r>
    </w:p>
    <w:p w:rsidR="002A21AE" w:rsidRDefault="002A21AE" w:rsidP="009D2266">
      <w:pPr>
        <w:pStyle w:val="ListBullet"/>
        <w:numPr>
          <w:ilvl w:val="0"/>
          <w:numId w:val="2"/>
        </w:numPr>
        <w:tabs>
          <w:tab w:val="num" w:pos="720"/>
        </w:tabs>
        <w:ind w:left="720"/>
      </w:pPr>
      <w:r>
        <w:t>This is the main entry point for other testing options.</w:t>
      </w:r>
    </w:p>
    <w:p w:rsidR="002A21AE" w:rsidRDefault="002A21AE" w:rsidP="009D2266">
      <w:pPr>
        <w:pStyle w:val="ListBullet"/>
        <w:numPr>
          <w:ilvl w:val="0"/>
          <w:numId w:val="2"/>
        </w:numPr>
        <w:tabs>
          <w:tab w:val="num" w:pos="720"/>
        </w:tabs>
        <w:ind w:left="720"/>
      </w:pPr>
      <w:r>
        <w:t>The PTL does not display completed diagnostic tests.</w:t>
      </w:r>
    </w:p>
    <w:p w:rsidR="00C5671A" w:rsidRDefault="00C5671A" w:rsidP="009D2266">
      <w:pPr>
        <w:pStyle w:val="ListBullet"/>
        <w:numPr>
          <w:ilvl w:val="0"/>
          <w:numId w:val="2"/>
        </w:numPr>
        <w:tabs>
          <w:tab w:val="num" w:pos="720"/>
        </w:tabs>
        <w:ind w:left="720"/>
      </w:pPr>
      <w:r>
        <w:t xml:space="preserve">When a specimen </w:t>
      </w:r>
      <w:r w:rsidRPr="00C5671A">
        <w:rPr>
          <w:u w:val="single"/>
        </w:rPr>
        <w:t>is not</w:t>
      </w:r>
      <w:r>
        <w:t xml:space="preserve"> associated wit</w:t>
      </w:r>
      <w:r w:rsidR="00A03A28">
        <w:t>h a component</w:t>
      </w:r>
      <w:r>
        <w:t xml:space="preserve"> order, partially completed and </w:t>
      </w:r>
      <w:r w:rsidR="00A03A28">
        <w:t>filled</w:t>
      </w:r>
      <w:r>
        <w:t xml:space="preserve"> component orders remain on the Pending Task List for 10 days from date of order acceptance.</w:t>
      </w:r>
      <w:r>
        <w:rPr>
          <w:vanish/>
        </w:rPr>
        <w:t xml:space="preserve"> Task 1323</w:t>
      </w:r>
      <w:r w:rsidR="00BC58B1">
        <w:rPr>
          <w:vanish/>
        </w:rPr>
        <w:t xml:space="preserve"> and DR 3604</w:t>
      </w:r>
    </w:p>
    <w:p w:rsidR="00C5671A" w:rsidRDefault="00C5671A" w:rsidP="00C5671A">
      <w:pPr>
        <w:pStyle w:val="ListBullet"/>
        <w:numPr>
          <w:ilvl w:val="0"/>
          <w:numId w:val="2"/>
        </w:numPr>
        <w:tabs>
          <w:tab w:val="num" w:pos="720"/>
        </w:tabs>
        <w:ind w:left="720"/>
      </w:pPr>
      <w:r>
        <w:t xml:space="preserve">When a specimen </w:t>
      </w:r>
      <w:r w:rsidRPr="00C5671A">
        <w:rPr>
          <w:u w:val="single"/>
        </w:rPr>
        <w:t>is</w:t>
      </w:r>
      <w:r w:rsidR="00A03A28">
        <w:t xml:space="preserve"> associated with a diagnostic test or component </w:t>
      </w:r>
      <w:r>
        <w:t xml:space="preserve">order, partially completed diagnostic tests and </w:t>
      </w:r>
      <w:r w:rsidR="00A03A28">
        <w:t>filled</w:t>
      </w:r>
      <w:r>
        <w:t xml:space="preserve"> component orders remain on the Pending Task List until the specimen expires.</w:t>
      </w:r>
      <w:r w:rsidRPr="00C5671A">
        <w:rPr>
          <w:vanish/>
        </w:rPr>
        <w:t xml:space="preserve"> </w:t>
      </w:r>
      <w:r>
        <w:rPr>
          <w:vanish/>
        </w:rPr>
        <w:t>Task 1323</w:t>
      </w:r>
      <w:r w:rsidR="00BC58B1">
        <w:rPr>
          <w:vanish/>
        </w:rPr>
        <w:t xml:space="preserve"> and DR 3604</w:t>
      </w:r>
    </w:p>
    <w:p w:rsidR="00DF7D1A" w:rsidRDefault="00DF7D1A" w:rsidP="009D2266">
      <w:pPr>
        <w:pStyle w:val="ListBullet"/>
        <w:numPr>
          <w:ilvl w:val="0"/>
          <w:numId w:val="2"/>
        </w:numPr>
        <w:tabs>
          <w:tab w:val="num" w:pos="720"/>
        </w:tabs>
        <w:ind w:left="720"/>
      </w:pPr>
      <w:r>
        <w:t>VBECS cancels accepted orders (tasks) the day after they expire.</w:t>
      </w:r>
    </w:p>
    <w:p w:rsidR="002A21AE" w:rsidRDefault="002A21AE" w:rsidP="009D2266">
      <w:pPr>
        <w:pStyle w:val="ListBullet"/>
        <w:numPr>
          <w:ilvl w:val="0"/>
          <w:numId w:val="2"/>
        </w:numPr>
        <w:tabs>
          <w:tab w:val="num" w:pos="720"/>
        </w:tabs>
        <w:ind w:left="720"/>
      </w:pPr>
      <w:r>
        <w:t>Multiple users are prohibited from performing the same task on the same unit of blood for the same patient.</w:t>
      </w:r>
    </w:p>
    <w:p w:rsidR="002A21AE" w:rsidRDefault="002A21AE" w:rsidP="009D2266">
      <w:pPr>
        <w:pStyle w:val="ListBullet"/>
        <w:numPr>
          <w:ilvl w:val="0"/>
          <w:numId w:val="2"/>
        </w:numPr>
        <w:tabs>
          <w:tab w:val="num" w:pos="720"/>
        </w:tabs>
        <w:ind w:left="720"/>
      </w:pPr>
      <w:r>
        <w:t>The task may be selected and assigned to a technologist, preventing duplicate selection by another technologist.</w:t>
      </w:r>
    </w:p>
    <w:p w:rsidR="002A21AE" w:rsidRDefault="002A21AE">
      <w:pPr>
        <w:pStyle w:val="Heading4"/>
      </w:pPr>
      <w:r>
        <w:t>User Roles with Access to This Option</w:t>
      </w:r>
    </w:p>
    <w:p w:rsidR="002A21AE" w:rsidRDefault="002232A3">
      <w:pPr>
        <w:pStyle w:val="Roles"/>
        <w:rPr>
          <w:snapToGrid w:val="0"/>
        </w:rPr>
      </w:pPr>
      <w:r>
        <w:t>All users</w:t>
      </w:r>
    </w:p>
    <w:bookmarkEnd w:id="456"/>
    <w:p w:rsidR="002A21AE" w:rsidRDefault="002A21AE">
      <w:pPr>
        <w:pStyle w:val="Heading4"/>
      </w:pPr>
      <w:r>
        <w:t>Patient Testing: Pending Task List</w:t>
      </w:r>
    </w:p>
    <w:p w:rsidR="002A21AE" w:rsidRDefault="002A21AE" w:rsidP="00FA7E65">
      <w:pPr>
        <w:pStyle w:val="BodyText"/>
      </w:pPr>
      <w:r>
        <w:t>The user accesses a list of pending tasks. VBECS displays the PTL with search criteria to allow the user to limit the number of items viewed.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pPr>
              <w:pStyle w:val="TableTextNumbers"/>
            </w:pPr>
            <w:r>
              <w:t xml:space="preserve">Select </w:t>
            </w:r>
            <w:r>
              <w:rPr>
                <w:b/>
              </w:rPr>
              <w:t>Patients</w:t>
            </w:r>
            <w:r>
              <w:t xml:space="preserve"> from the main menu.</w:t>
            </w:r>
          </w:p>
          <w:p w:rsidR="002A21AE" w:rsidRDefault="002A21AE">
            <w:pPr>
              <w:pStyle w:val="TableTextNumbersContinued"/>
            </w:pPr>
          </w:p>
          <w:p w:rsidR="002A21AE" w:rsidRDefault="002A21AE">
            <w:pPr>
              <w:pStyle w:val="TableTextNumbersContinued"/>
            </w:pPr>
            <w:r>
              <w:t xml:space="preserve">Select </w:t>
            </w:r>
            <w:r>
              <w:rPr>
                <w:b/>
              </w:rPr>
              <w:t>Patient Testing</w:t>
            </w:r>
            <w:r w:rsidR="0071094D">
              <w:rPr>
                <w:b/>
              </w:rPr>
              <w:t xml:space="preserve"> </w:t>
            </w:r>
            <w:r w:rsidR="0071094D" w:rsidRPr="0071094D">
              <w:t>(</w:t>
            </w:r>
            <w:r w:rsidR="0071094D">
              <w:fldChar w:fldCharType="begin"/>
            </w:r>
            <w:r w:rsidR="0071094D">
              <w:instrText xml:space="preserve"> REF _Ref126724192 \h </w:instrText>
            </w:r>
            <w:r w:rsidR="0071094D">
              <w:fldChar w:fldCharType="separate"/>
            </w:r>
            <w:r w:rsidR="005F38BC">
              <w:t xml:space="preserve">Figure </w:t>
            </w:r>
            <w:r w:rsidR="005F38BC">
              <w:rPr>
                <w:noProof/>
              </w:rPr>
              <w:t>111</w:t>
            </w:r>
            <w:r w:rsidR="0071094D">
              <w:fldChar w:fldCharType="end"/>
            </w:r>
            <w:r w:rsidR="0071094D" w:rsidRPr="0071094D">
              <w:t>)</w:t>
            </w:r>
            <w:r>
              <w:t>.</w:t>
            </w:r>
          </w:p>
        </w:tc>
        <w:tc>
          <w:tcPr>
            <w:tcW w:w="6120" w:type="dxa"/>
          </w:tcPr>
          <w:p w:rsidR="002A21AE" w:rsidRDefault="002A21AE">
            <w:pPr>
              <w:pStyle w:val="TableTextBullet"/>
            </w:pPr>
            <w:r>
              <w:t>Displays options for processing patient-related functions.</w:t>
            </w:r>
          </w:p>
          <w:p w:rsidR="002A21AE" w:rsidRDefault="002A21AE">
            <w:pPr>
              <w:pStyle w:val="TableTextBullet"/>
            </w:pPr>
            <w:r>
              <w:t>Displays the PTL and PTL search parameters in the Diagnostic Tests tab or in the Component Orders tab.</w:t>
            </w:r>
          </w:p>
        </w:tc>
      </w:tr>
      <w:tr w:rsidR="002A21AE">
        <w:tblPrEx>
          <w:tblCellMar>
            <w:top w:w="0" w:type="dxa"/>
            <w:bottom w:w="0" w:type="dxa"/>
          </w:tblCellMar>
        </w:tblPrEx>
        <w:tc>
          <w:tcPr>
            <w:tcW w:w="3240" w:type="dxa"/>
          </w:tcPr>
          <w:p w:rsidR="002A21AE" w:rsidRDefault="002A21AE">
            <w:pPr>
              <w:pStyle w:val="TableTextNumbers"/>
            </w:pPr>
            <w:r>
              <w:t>Click the check boxes in the PTL to select one</w:t>
            </w:r>
            <w:r w:rsidR="007A0E65">
              <w:t xml:space="preserve"> to four</w:t>
            </w:r>
            <w:r>
              <w:t xml:space="preserve"> tasks for processing and click </w:t>
            </w:r>
            <w:r>
              <w:rPr>
                <w:b/>
              </w:rPr>
              <w:t>OK</w:t>
            </w:r>
            <w:r>
              <w:t>, or</w:t>
            </w:r>
          </w:p>
          <w:p w:rsidR="002A21AE" w:rsidRDefault="002A21AE">
            <w:pPr>
              <w:pStyle w:val="TableTextNumbersContinued"/>
            </w:pPr>
          </w:p>
          <w:p w:rsidR="002A21AE" w:rsidRDefault="002A21AE">
            <w:pPr>
              <w:pStyle w:val="TableTextNumbersContinued"/>
            </w:pPr>
            <w:r>
              <w:lastRenderedPageBreak/>
              <w:t>Click</w:t>
            </w:r>
            <w:r>
              <w:rPr>
                <w:b/>
              </w:rPr>
              <w:t xml:space="preserve"> Print</w:t>
            </w:r>
            <w:r>
              <w:t xml:space="preserve"> to print the list.</w:t>
            </w:r>
          </w:p>
        </w:tc>
        <w:tc>
          <w:tcPr>
            <w:tcW w:w="6120" w:type="dxa"/>
          </w:tcPr>
          <w:p w:rsidR="002A21AE" w:rsidRDefault="002A21AE">
            <w:pPr>
              <w:pStyle w:val="TableTextBullet"/>
            </w:pPr>
            <w:r>
              <w:lastRenderedPageBreak/>
              <w:t xml:space="preserve">Allows the user to limit the search and display. </w:t>
            </w:r>
          </w:p>
          <w:p w:rsidR="002A21AE" w:rsidRDefault="002A21AE">
            <w:pPr>
              <w:pStyle w:val="TableTextBullet"/>
            </w:pPr>
            <w:r>
              <w:t>Prompts the user to select a task for continued processing, print a task list, or return to Step 1 to change the display of the list.</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3724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97" name="Line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1"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Dv&#10;sQErFgIAAC0EAAAOAAAAAAAAAAAAAAAAAC4CAABkcnMvZTJvRG9jLnhtbFBLAQItABQABgAIAAAA&#10;IQAXTzAS2wAAAAgBAAAPAAAAAAAAAAAAAAAAAHAEAABkcnMvZG93bnJldi54bWxQSwUGAAAAAAQA&#10;BADzAAAAeAUAAAAA&#10;" strokeweight="1.5pt"/>
                  </w:pict>
                </mc:Fallback>
              </mc:AlternateContent>
            </w:r>
            <w:r w:rsidR="002A21AE">
              <w:rPr>
                <w:b/>
                <w:bCs/>
                <w:szCs w:val="18"/>
              </w:rPr>
              <w:t>NOTES</w:t>
            </w:r>
          </w:p>
          <w:p w:rsidR="002A21AE" w:rsidRPr="00623E7F" w:rsidRDefault="002A21AE">
            <w:pPr>
              <w:pStyle w:val="NotesText"/>
              <w:rPr>
                <w:vanish/>
                <w:szCs w:val="18"/>
              </w:rPr>
            </w:pPr>
          </w:p>
          <w:p w:rsidR="003D7CE8" w:rsidRPr="00623E7F" w:rsidRDefault="005129F7" w:rsidP="00623E7F">
            <w:pPr>
              <w:pStyle w:val="NotesText"/>
              <w:rPr>
                <w:szCs w:val="18"/>
              </w:rPr>
            </w:pPr>
            <w:r w:rsidRPr="00623E7F">
              <w:rPr>
                <w:szCs w:val="18"/>
              </w:rPr>
              <w:t>Additional information is available in</w:t>
            </w:r>
            <w:r w:rsidR="00623E7F" w:rsidRPr="00623E7F">
              <w:rPr>
                <w:szCs w:val="18"/>
              </w:rPr>
              <w:t xml:space="preserve"> </w:t>
            </w:r>
            <w:r w:rsidR="00623E7F" w:rsidRPr="00623E7F">
              <w:rPr>
                <w:szCs w:val="18"/>
              </w:rPr>
              <w:fldChar w:fldCharType="begin"/>
            </w:r>
            <w:r w:rsidR="00623E7F" w:rsidRPr="00623E7F">
              <w:rPr>
                <w:szCs w:val="18"/>
              </w:rPr>
              <w:instrText xml:space="preserve"> REF _Ref300911707 \h </w:instrText>
            </w:r>
            <w:r w:rsidR="00623E7F" w:rsidRPr="00623E7F">
              <w:rPr>
                <w:szCs w:val="18"/>
              </w:rPr>
            </w:r>
            <w:r w:rsidR="00623E7F" w:rsidRPr="00623E7F">
              <w:rPr>
                <w:szCs w:val="18"/>
              </w:rPr>
              <w:instrText xml:space="preserve"> \* MERGEFORMAT </w:instrText>
            </w:r>
            <w:r w:rsidR="00623E7F" w:rsidRPr="00623E7F">
              <w:rPr>
                <w:szCs w:val="18"/>
              </w:rPr>
              <w:fldChar w:fldCharType="separate"/>
            </w:r>
            <w:r w:rsidR="005F38BC" w:rsidRPr="005F38BC">
              <w:rPr>
                <w:szCs w:val="18"/>
              </w:rPr>
              <w:t>Appendix H: Frequently Asked Questions</w:t>
            </w:r>
            <w:r w:rsidR="00623E7F" w:rsidRPr="00623E7F">
              <w:rPr>
                <w:szCs w:val="18"/>
              </w:rPr>
              <w:fldChar w:fldCharType="end"/>
            </w:r>
            <w:r w:rsidRPr="00623E7F">
              <w:rPr>
                <w:szCs w:val="18"/>
              </w:rPr>
              <w:t>.</w:t>
            </w:r>
            <w:r w:rsidRPr="00623E7F">
              <w:rPr>
                <w:vanish/>
                <w:szCs w:val="18"/>
              </w:rPr>
              <w:t xml:space="preserve"> DR 3971</w:t>
            </w:r>
          </w:p>
          <w:p w:rsidR="003D7CE8" w:rsidRPr="00623E7F" w:rsidRDefault="003D7CE8">
            <w:pPr>
              <w:pStyle w:val="NotesText"/>
            </w:pPr>
          </w:p>
          <w:p w:rsidR="002A21AE" w:rsidRDefault="002A21AE">
            <w:pPr>
              <w:pStyle w:val="NotesText"/>
            </w:pPr>
            <w:r>
              <w:t xml:space="preserve">The user may click </w:t>
            </w:r>
            <w:r>
              <w:rPr>
                <w:b/>
              </w:rPr>
              <w:t>Cancel Order(s)</w:t>
            </w:r>
            <w:r>
              <w:t xml:space="preserve">, select a comment, and click </w:t>
            </w:r>
            <w:r>
              <w:rPr>
                <w:b/>
              </w:rPr>
              <w:t xml:space="preserve">OK </w:t>
            </w:r>
            <w:r>
              <w:t>to exit.</w:t>
            </w:r>
          </w:p>
          <w:p w:rsidR="002A21AE" w:rsidRDefault="002A21AE">
            <w:pPr>
              <w:pStyle w:val="NotesText"/>
            </w:pPr>
          </w:p>
          <w:p w:rsidR="002A21AE" w:rsidRDefault="002A21AE">
            <w:pPr>
              <w:pStyle w:val="NotesText"/>
            </w:pPr>
            <w:r>
              <w:rPr>
                <w:vanish/>
                <w:szCs w:val="18"/>
              </w:rPr>
              <w:t>BR_92.03</w:t>
            </w:r>
            <w:r w:rsidR="00CE3961">
              <w:rPr>
                <w:vanish/>
                <w:szCs w:val="18"/>
              </w:rPr>
              <w:t>,</w:t>
            </w:r>
            <w:r>
              <w:rPr>
                <w:vanish/>
                <w:szCs w:val="18"/>
              </w:rPr>
              <w:t xml:space="preserve"> BR_92.05 </w:t>
            </w:r>
            <w:r>
              <w:t xml:space="preserve">The user may select </w:t>
            </w:r>
            <w:r w:rsidR="00810E0A">
              <w:t>one to four</w:t>
            </w:r>
            <w:r>
              <w:t xml:space="preserve"> tasks for testing at a time. The tasks may be component class order tasks, diagnostic test tasks, or a combination of both.</w:t>
            </w:r>
          </w:p>
          <w:p w:rsidR="00D3124A" w:rsidRDefault="00D3124A">
            <w:pPr>
              <w:pStyle w:val="NotesText"/>
            </w:pPr>
          </w:p>
          <w:p w:rsidR="002A21AE" w:rsidRDefault="002A21AE">
            <w:pPr>
              <w:pStyle w:val="NotesText"/>
            </w:pPr>
            <w:r>
              <w:t>VBECS displays “NRQ” (not required) when the task does not require a specimen for processing.</w:t>
            </w:r>
          </w:p>
          <w:p w:rsidR="00DF7D1A" w:rsidRDefault="00DF7D1A">
            <w:pPr>
              <w:pStyle w:val="NotesText"/>
              <w:rPr>
                <w:rFonts w:cs="Arial"/>
              </w:rPr>
            </w:pPr>
          </w:p>
          <w:p w:rsidR="002A21AE" w:rsidRDefault="002A21AE">
            <w:pPr>
              <w:pStyle w:val="NotesText"/>
            </w:pPr>
            <w:r>
              <w:rPr>
                <w:rFonts w:cs="Arial"/>
                <w:vanish/>
              </w:rPr>
              <w:t xml:space="preserve">BR_92.01 </w:t>
            </w:r>
            <w:r>
              <w:t xml:space="preserve">For each order, VBECS displays the specific diagnostic test or component order. The default searches for the current date’s tasks, then yesterday’s tasks, and so on until the task status is “completed.” The display includes the task’s status and a user name, when applicable. </w:t>
            </w:r>
          </w:p>
          <w:p w:rsidR="002A21AE" w:rsidRDefault="002A21AE">
            <w:pPr>
              <w:pStyle w:val="NotesText"/>
            </w:pPr>
          </w:p>
          <w:p w:rsidR="002A21AE" w:rsidRDefault="002A21AE">
            <w:pPr>
              <w:pStyle w:val="NotesText"/>
            </w:pPr>
            <w:r>
              <w:rPr>
                <w:rFonts w:cs="Arial"/>
                <w:vanish/>
              </w:rPr>
              <w:t xml:space="preserve">BR_92.10 </w:t>
            </w:r>
            <w:r>
              <w:rPr>
                <w:szCs w:val="20"/>
              </w:rPr>
              <w:t>VBECS alerts the user when he attempts to select multiple tasks of the same type for a patient, and does not allow the selection of two or more tasks of the same type ordered for a patient during a testing session. Tasks are considered to be of the same type when they need to accommodate the use of the same testing grid in Patient Testing: Record Patient Test Results. For example, a user may not select a TAS task and one of its subtests that is ordered in a testing session. VBECS provides for one testing grid display per patient per test, not per specimen UID. If the user selected a TAS and an ABS, VBECS displays only the first one selected for result entry.</w:t>
            </w:r>
          </w:p>
          <w:p w:rsidR="002A21AE" w:rsidRDefault="002A21AE">
            <w:pPr>
              <w:pStyle w:val="NotesText"/>
            </w:pPr>
          </w:p>
          <w:p w:rsidR="002A21AE" w:rsidRDefault="002A21AE">
            <w:pPr>
              <w:pStyle w:val="NotesText"/>
              <w:rPr>
                <w:b/>
              </w:rPr>
            </w:pPr>
            <w:r>
              <w:rPr>
                <w:vanish/>
                <w:szCs w:val="18"/>
              </w:rPr>
              <w:t xml:space="preserve">BR_92.02 </w:t>
            </w:r>
            <w:r>
              <w:t>Task and order statuses and functions that are displayed on the PTL:</w:t>
            </w:r>
          </w:p>
          <w:p w:rsidR="002A21AE" w:rsidRDefault="002A21AE">
            <w:pPr>
              <w:pStyle w:val="NotesTextBullet"/>
            </w:pPr>
            <w:r>
              <w:rPr>
                <w:b/>
              </w:rPr>
              <w:t>Not Started:</w:t>
            </w:r>
            <w:r>
              <w:t xml:space="preserve"> </w:t>
            </w:r>
            <w:r w:rsidR="00D06D15">
              <w:t>the order was not selected</w:t>
            </w:r>
            <w:r>
              <w:t>.</w:t>
            </w:r>
          </w:p>
          <w:p w:rsidR="002A21AE" w:rsidRDefault="002A21AE">
            <w:pPr>
              <w:pStyle w:val="NotesTextBullet"/>
            </w:pPr>
            <w:r>
              <w:rPr>
                <w:b/>
              </w:rPr>
              <w:t>Partially Completed &lt;user ID&gt;:</w:t>
            </w:r>
            <w:r>
              <w:t xml:space="preserve"> allows selection by another user for a diagnostic test to complete</w:t>
            </w:r>
            <w:r w:rsidR="00430883">
              <w:t>,</w:t>
            </w:r>
            <w:r>
              <w:t xml:space="preserve"> invalidate</w:t>
            </w:r>
            <w:r w:rsidR="00430883">
              <w:t>, or delete</w:t>
            </w:r>
            <w:r>
              <w:t xml:space="preserve"> the work </w:t>
            </w:r>
            <w:r w:rsidR="00430883">
              <w:t>on this specimen</w:t>
            </w:r>
            <w:r>
              <w:t xml:space="preserve">. </w:t>
            </w:r>
            <w:r>
              <w:rPr>
                <w:i/>
              </w:rPr>
              <w:t>Component orders remain in this status until the specimen and order expire</w:t>
            </w:r>
            <w:r w:rsidRPr="00543DAF">
              <w:rPr>
                <w:i/>
              </w:rPr>
              <w:t>.</w:t>
            </w:r>
          </w:p>
          <w:p w:rsidR="002A21AE" w:rsidRDefault="002A21AE">
            <w:pPr>
              <w:pStyle w:val="NotesTextBullet"/>
            </w:pPr>
            <w:r>
              <w:rPr>
                <w:b/>
              </w:rPr>
              <w:t>Filled:</w:t>
            </w:r>
            <w:r>
              <w:t xml:space="preserve"> This order status is assigned when the total number of units ordered is </w:t>
            </w:r>
            <w:r w:rsidR="00C2698E">
              <w:t>updated to a unit status of “issued” or “transfused.”</w:t>
            </w:r>
            <w:r>
              <w:t xml:space="preserve"> </w:t>
            </w:r>
            <w:r w:rsidR="006B6C5C" w:rsidRPr="006B6C5C">
              <w:rPr>
                <w:vanish/>
              </w:rPr>
              <w:t>DR 2,597</w:t>
            </w:r>
          </w:p>
          <w:p w:rsidR="002A21AE" w:rsidRDefault="002A21AE">
            <w:pPr>
              <w:pStyle w:val="NotesTextBullet"/>
            </w:pPr>
            <w:r>
              <w:rPr>
                <w:b/>
              </w:rPr>
              <w:t xml:space="preserve">Correction: </w:t>
            </w:r>
            <w:r>
              <w:t>previous results were invalidated; a corrected entry is required.</w:t>
            </w:r>
          </w:p>
          <w:p w:rsidR="00493CA8" w:rsidRDefault="002E3B5D">
            <w:pPr>
              <w:pStyle w:val="NotesTextBullet"/>
            </w:pPr>
            <w:r w:rsidRPr="005E27C3">
              <w:rPr>
                <w:b/>
              </w:rPr>
              <w:t>Instrument Results Pending R</w:t>
            </w:r>
            <w:r w:rsidR="00493CA8" w:rsidRPr="005E27C3">
              <w:rPr>
                <w:b/>
              </w:rPr>
              <w:t>eview</w:t>
            </w:r>
            <w:r w:rsidRPr="005E27C3">
              <w:rPr>
                <w:b/>
              </w:rPr>
              <w:t>:</w:t>
            </w:r>
            <w:r>
              <w:t xml:space="preserve"> </w:t>
            </w:r>
            <w:r w:rsidR="005E27C3">
              <w:t xml:space="preserve">displayed on the </w:t>
            </w:r>
            <w:r w:rsidR="005E27C3">
              <w:rPr>
                <w:rFonts w:cs="Arial"/>
                <w:szCs w:val="18"/>
              </w:rPr>
              <w:t xml:space="preserve">Pending Task List: Diagnostic tests: does not allow the selection by another user for manual testing. </w:t>
            </w:r>
            <w:r w:rsidR="005E27C3" w:rsidRPr="005E27C3">
              <w:rPr>
                <w:rFonts w:cs="Arial"/>
                <w:vanish/>
                <w:szCs w:val="18"/>
              </w:rPr>
              <w:t>BR_92.02</w:t>
            </w:r>
          </w:p>
          <w:p w:rsidR="002A21AE" w:rsidRDefault="002A21AE">
            <w:pPr>
              <w:pStyle w:val="NotesText"/>
            </w:pPr>
          </w:p>
          <w:p w:rsidR="002A21AE" w:rsidRDefault="002A21AE">
            <w:pPr>
              <w:pStyle w:val="NotesText"/>
            </w:pPr>
            <w:r>
              <w:t>Task and order statuses that are not displayed for selection on the PTL:</w:t>
            </w:r>
          </w:p>
          <w:p w:rsidR="002A21AE" w:rsidRDefault="002A21AE">
            <w:pPr>
              <w:pStyle w:val="NotesTextBullet"/>
            </w:pPr>
            <w:r>
              <w:rPr>
                <w:b/>
              </w:rPr>
              <w:t>Completed:</w:t>
            </w:r>
            <w:r>
              <w:t xml:space="preserve"> applies to diagnostic tests </w:t>
            </w:r>
          </w:p>
          <w:p w:rsidR="002A21AE" w:rsidRDefault="002A21AE">
            <w:pPr>
              <w:pStyle w:val="NotesTextBullet"/>
            </w:pPr>
            <w:r>
              <w:rPr>
                <w:b/>
              </w:rPr>
              <w:t>Expired:</w:t>
            </w:r>
            <w:r>
              <w:t xml:space="preserve"> applies to component orders at expiration of</w:t>
            </w:r>
            <w:r w:rsidR="00AA6C54">
              <w:t xml:space="preserve"> </w:t>
            </w:r>
            <w:r>
              <w:t>the associated specimen.</w:t>
            </w:r>
          </w:p>
          <w:p w:rsidR="002A21AE" w:rsidRDefault="002A21AE">
            <w:pPr>
              <w:pStyle w:val="NotesText"/>
            </w:pPr>
          </w:p>
          <w:p w:rsidR="002A21AE" w:rsidRDefault="002A21AE" w:rsidP="00D327A3">
            <w:pPr>
              <w:pStyle w:val="NotesText"/>
            </w:pPr>
            <w:r>
              <w:t xml:space="preserve">See </w:t>
            </w:r>
            <w:r w:rsidR="00543DAF">
              <w:fldChar w:fldCharType="begin"/>
            </w:r>
            <w:r w:rsidR="00543DAF">
              <w:instrText xml:space="preserve"> REF _Ref170004931 \h </w:instrText>
            </w:r>
            <w:r w:rsidR="00543DAF">
              <w:fldChar w:fldCharType="separate"/>
            </w:r>
            <w:r w:rsidR="005F38BC">
              <w:t xml:space="preserve">Appendix </w:t>
            </w:r>
            <w:r w:rsidR="005F38BC">
              <w:rPr>
                <w:noProof/>
              </w:rPr>
              <w:t>B</w:t>
            </w:r>
            <w:r w:rsidR="00543DAF">
              <w:fldChar w:fldCharType="end"/>
            </w:r>
            <w:r>
              <w:t>:</w:t>
            </w:r>
            <w:r w:rsidR="00D327A3">
              <w:t xml:space="preserve"> </w:t>
            </w:r>
            <w:r w:rsidR="00D327A3">
              <w:fldChar w:fldCharType="begin"/>
            </w:r>
            <w:r w:rsidR="00D327A3">
              <w:instrText xml:space="preserve"> REF _Ref126729901 \h </w:instrText>
            </w:r>
            <w:r w:rsidR="00D327A3">
              <w:instrText xml:space="preserve"> \* MERGEFORMAT </w:instrText>
            </w:r>
            <w:r w:rsidR="00D327A3">
              <w:fldChar w:fldCharType="separate"/>
            </w:r>
            <w:r w:rsidR="005F38BC">
              <w:t xml:space="preserve">Figure </w:t>
            </w:r>
            <w:r w:rsidR="005F38BC">
              <w:rPr>
                <w:noProof/>
              </w:rPr>
              <w:t>137:</w:t>
            </w:r>
            <w:r w:rsidR="005F38BC">
              <w:t xml:space="preserve"> </w:t>
            </w:r>
            <w:r w:rsidR="005F38BC">
              <w:rPr>
                <w:vanish/>
              </w:rPr>
              <w:t xml:space="preserve">TT_92.01 </w:t>
            </w:r>
            <w:r w:rsidR="005F38BC" w:rsidRPr="005F38BC">
              <w:t>Order</w:t>
            </w:r>
            <w:r w:rsidR="005F38BC">
              <w:t xml:space="preserve"> Status Flowchart</w:t>
            </w:r>
            <w:r w:rsidR="00D327A3" w:rsidRPr="00D327A3">
              <w:fldChar w:fldCharType="end"/>
            </w:r>
            <w:r w:rsidR="00BC74A8">
              <w:t xml:space="preserve"> </w:t>
            </w:r>
            <w:r w:rsidR="00BC74A8" w:rsidRPr="00BC74A8">
              <w:t xml:space="preserve">for the </w:t>
            </w:r>
            <w:r w:rsidR="003A0F91">
              <w:t>transmission</w:t>
            </w:r>
            <w:r w:rsidR="00BC74A8" w:rsidRPr="00BC74A8">
              <w:t xml:space="preserve"> of orders between CPRS and VBECS</w:t>
            </w:r>
            <w:r>
              <w:t>.</w:t>
            </w:r>
          </w:p>
          <w:p w:rsidR="00430883" w:rsidRPr="00BC74A8" w:rsidRDefault="00430883" w:rsidP="00BC74A8">
            <w:pPr>
              <w:pStyle w:val="NotesText"/>
            </w:pPr>
          </w:p>
          <w:p w:rsidR="00E84F5F" w:rsidRDefault="00E84F5F" w:rsidP="00E84F5F">
            <w:pPr>
              <w:pStyle w:val="NotesText"/>
            </w:pPr>
            <w:r w:rsidRPr="00574F77">
              <w:rPr>
                <w:vanish/>
                <w:szCs w:val="18"/>
              </w:rPr>
              <w:lastRenderedPageBreak/>
              <w:t xml:space="preserve">BR_92.07 </w:t>
            </w:r>
            <w:r w:rsidRPr="00574F77">
              <w:t>When a user prints a PTL and no pending tasks are found, VBECS asks whether the user wishes to continue to print. The user may cancel or print the report, which states that no pending orders were found.</w:t>
            </w:r>
          </w:p>
        </w:tc>
      </w:tr>
      <w:tr w:rsidR="002A21AE">
        <w:tblPrEx>
          <w:tblCellMar>
            <w:top w:w="0" w:type="dxa"/>
            <w:bottom w:w="0" w:type="dxa"/>
          </w:tblCellMar>
        </w:tblPrEx>
        <w:tc>
          <w:tcPr>
            <w:tcW w:w="3240" w:type="dxa"/>
          </w:tcPr>
          <w:p w:rsidR="002A21AE" w:rsidRDefault="002A21AE">
            <w:pPr>
              <w:pStyle w:val="TableTextNumbers"/>
            </w:pPr>
            <w:r>
              <w:lastRenderedPageBreak/>
              <w:t xml:space="preserve">Click </w:t>
            </w:r>
            <w:r>
              <w:rPr>
                <w:b/>
              </w:rPr>
              <w:t>OK</w:t>
            </w:r>
            <w:r>
              <w:t xml:space="preserve"> or </w:t>
            </w:r>
            <w:r>
              <w:rPr>
                <w:b/>
              </w:rPr>
              <w:t>Cancel</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rsidR="002A21AE" w:rsidRDefault="002A21AE">
            <w:pPr>
              <w:pStyle w:val="NotesText"/>
            </w:pPr>
          </w:p>
        </w:tc>
      </w:tr>
    </w:tbl>
    <w:p w:rsidR="002A21AE" w:rsidRDefault="002A21AE">
      <w:pPr>
        <w:pStyle w:val="Heading3"/>
      </w:pPr>
      <w:bookmarkStart w:id="458" w:name="_Toc459900138"/>
      <w:r>
        <w:t>Accept Orders: Cancel a Pending Order</w:t>
      </w:r>
      <w:bookmarkEnd w:id="458"/>
      <w:r w:rsidRPr="00B91603">
        <w:rPr>
          <w:rFonts w:ascii="Arial Bold" w:hAnsi="Arial Bold"/>
          <w:vanish/>
        </w:rPr>
        <w:fldChar w:fldCharType="begin"/>
      </w:r>
      <w:r w:rsidRPr="00B91603">
        <w:rPr>
          <w:rFonts w:ascii="Arial Bold" w:hAnsi="Arial Bold"/>
          <w:vanish/>
        </w:rPr>
        <w:instrText xml:space="preserve"> XE </w:instrText>
      </w:r>
      <w:r w:rsidR="00FA7E65" w:rsidRPr="00B91603">
        <w:rPr>
          <w:rFonts w:ascii="Arial Bold" w:hAnsi="Arial Bold"/>
          <w:vanish/>
        </w:rPr>
        <w:instrText>“</w:instrText>
      </w:r>
      <w:r w:rsidRPr="00B91603">
        <w:rPr>
          <w:rFonts w:ascii="Arial Bold" w:hAnsi="Arial Bold"/>
          <w:vanish/>
        </w:rPr>
        <w:instrText>Accept Orders\: Cancel an Order</w:instrText>
      </w:r>
      <w:r w:rsidR="00FA7E65" w:rsidRPr="00B91603">
        <w:rPr>
          <w:rFonts w:ascii="Arial Bold" w:hAnsi="Arial Bold"/>
          <w:vanish/>
        </w:rPr>
        <w:instrText>”</w:instrText>
      </w:r>
      <w:r w:rsidRPr="00B91603">
        <w:rPr>
          <w:rFonts w:ascii="Arial Bold" w:hAnsi="Arial Bold"/>
          <w:vanish/>
        </w:rPr>
        <w:instrText xml:space="preserve"> </w:instrText>
      </w:r>
      <w:r w:rsidRPr="00B91603">
        <w:rPr>
          <w:rFonts w:ascii="Arial Bold" w:hAnsi="Arial Bold"/>
          <w:vanish/>
        </w:rPr>
        <w:fldChar w:fldCharType="end"/>
      </w:r>
      <w:r w:rsidRPr="00B91603">
        <w:rPr>
          <w:rFonts w:ascii="Arial Bold" w:hAnsi="Arial Bold"/>
          <w:vanish/>
        </w:rPr>
        <w:t xml:space="preserve"> UC_61</w:t>
      </w:r>
    </w:p>
    <w:p w:rsidR="002A21AE" w:rsidRDefault="002A21AE" w:rsidP="00FA7E65">
      <w:pPr>
        <w:pStyle w:val="BodyText"/>
      </w:pPr>
      <w:bookmarkStart w:id="459" w:name="_Toc75227779"/>
      <w:bookmarkStart w:id="460" w:name="_Toc79560668"/>
      <w:r>
        <w:t>The user cancels an unaccepted order on the Pending Order List (POL).</w:t>
      </w:r>
    </w:p>
    <w:p w:rsidR="002A21AE" w:rsidRDefault="002A21AE">
      <w:pPr>
        <w:pStyle w:val="Heading4"/>
      </w:pPr>
      <w:r>
        <w:t>Assumptions</w:t>
      </w:r>
    </w:p>
    <w:p w:rsidR="002A21AE" w:rsidRDefault="002A21AE">
      <w:pPr>
        <w:pStyle w:val="ListBullet"/>
      </w:pPr>
      <w:r>
        <w:t>An order was not accepted by a user.</w:t>
      </w:r>
    </w:p>
    <w:p w:rsidR="002A21AE" w:rsidRDefault="002A21AE">
      <w:pPr>
        <w:pStyle w:val="ListBullet"/>
      </w:pPr>
      <w:r>
        <w:t xml:space="preserve">The connection to </w:t>
      </w:r>
      <w:r w:rsidR="00CA0045" w:rsidRPr="00CA0045">
        <w:rPr>
          <w:bCs/>
        </w:rPr>
        <w:t>VistA</w:t>
      </w:r>
      <w:r>
        <w:t xml:space="preserve"> is active.</w:t>
      </w:r>
    </w:p>
    <w:p w:rsidR="002A21AE" w:rsidRDefault="002A21AE">
      <w:pPr>
        <w:pStyle w:val="Heading4"/>
      </w:pPr>
      <w:r>
        <w:t xml:space="preserve">Outcome </w:t>
      </w:r>
    </w:p>
    <w:p w:rsidR="002A21AE" w:rsidRDefault="002A21AE">
      <w:pPr>
        <w:pStyle w:val="ListBullet"/>
      </w:pPr>
      <w:r>
        <w:t>An order update message was sent to CPRS.</w:t>
      </w:r>
    </w:p>
    <w:p w:rsidR="002A21AE" w:rsidRDefault="002A21AE">
      <w:pPr>
        <w:pStyle w:val="ListBullet"/>
      </w:pPr>
      <w:r>
        <w:t>The order was removed from the POL.</w:t>
      </w:r>
    </w:p>
    <w:p w:rsidR="002A21AE" w:rsidRDefault="002A21AE">
      <w:pPr>
        <w:pStyle w:val="Heading4"/>
      </w:pPr>
      <w:r>
        <w:t>Limitations and Restrictions</w:t>
      </w:r>
      <w:r>
        <w:rPr>
          <w:b w:val="0"/>
        </w:rPr>
        <w:t xml:space="preserve"> </w:t>
      </w:r>
    </w:p>
    <w:p w:rsidR="002A21AE" w:rsidRDefault="002A21AE">
      <w:pPr>
        <w:pStyle w:val="ListBullet"/>
      </w:pPr>
      <w:r>
        <w:t>Cancellation of one order does not affect other orders placed with it.</w:t>
      </w:r>
    </w:p>
    <w:p w:rsidR="002A21AE" w:rsidRDefault="002A21AE">
      <w:pPr>
        <w:pStyle w:val="Heading4"/>
      </w:pPr>
      <w:r>
        <w:t xml:space="preserve">Additional Information </w:t>
      </w:r>
    </w:p>
    <w:p w:rsidR="002A21AE" w:rsidRDefault="002A21AE">
      <w:pPr>
        <w:pStyle w:val="ListBullet"/>
      </w:pPr>
      <w:r>
        <w:t>Each pending order is managed individually.</w:t>
      </w:r>
    </w:p>
    <w:p w:rsidR="00C5671A" w:rsidRDefault="001E56DE">
      <w:pPr>
        <w:pStyle w:val="ListBullet"/>
      </w:pPr>
      <w:r>
        <w:t xml:space="preserve">VBECS does not automatically clear or cancel pending </w:t>
      </w:r>
      <w:r w:rsidR="00BB3E6D">
        <w:t xml:space="preserve">or unaccepted </w:t>
      </w:r>
      <w:r>
        <w:t>orders</w:t>
      </w:r>
      <w:r w:rsidR="00BB3E6D">
        <w:t xml:space="preserve"> from the POL</w:t>
      </w:r>
      <w:r>
        <w:t>.</w:t>
      </w:r>
      <w:r>
        <w:rPr>
          <w:vanish/>
        </w:rPr>
        <w:t xml:space="preserve"> Task 1323</w:t>
      </w:r>
    </w:p>
    <w:p w:rsidR="002A21AE" w:rsidRDefault="002A21AE">
      <w:pPr>
        <w:pStyle w:val="Heading4"/>
        <w:rPr>
          <w:b w:val="0"/>
        </w:rPr>
      </w:pPr>
      <w:r>
        <w:t>User Roles with Access to This Option</w:t>
      </w:r>
      <w:r>
        <w:rPr>
          <w:b w:val="0"/>
        </w:rPr>
        <w:t xml:space="preserve"> </w:t>
      </w:r>
    </w:p>
    <w:p w:rsidR="002A21AE" w:rsidRDefault="002232A3">
      <w:pPr>
        <w:pStyle w:val="Roles"/>
        <w:rPr>
          <w:snapToGrid w:val="0"/>
        </w:rPr>
      </w:pPr>
      <w:r>
        <w:t>All users</w:t>
      </w:r>
    </w:p>
    <w:p w:rsidR="002A21AE" w:rsidRDefault="002A21AE">
      <w:pPr>
        <w:pStyle w:val="Heading4"/>
      </w:pPr>
      <w:r>
        <w:t>Accept Orders: Cancel a Pending Order</w:t>
      </w:r>
    </w:p>
    <w:p w:rsidR="002A21AE" w:rsidRDefault="002A21AE" w:rsidP="00FA7E65">
      <w:pPr>
        <w:pStyle w:val="BodyText"/>
      </w:pPr>
      <w:r>
        <w:t>The user selects an unaccepted order for cancellation.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pPr>
              <w:pStyle w:val="TableTextNumbers"/>
            </w:pPr>
            <w:r>
              <w:t xml:space="preserve">Select </w:t>
            </w:r>
            <w:r>
              <w:rPr>
                <w:b/>
              </w:rPr>
              <w:t>Orders</w:t>
            </w:r>
            <w:r>
              <w:t xml:space="preserve"> from the main menu.</w:t>
            </w:r>
          </w:p>
          <w:p w:rsidR="002A21AE" w:rsidRDefault="002A21AE">
            <w:pPr>
              <w:pStyle w:val="TableTextNumbersContinued"/>
            </w:pPr>
          </w:p>
          <w:p w:rsidR="002A21AE" w:rsidRDefault="002A21AE">
            <w:pPr>
              <w:pStyle w:val="TableTextNumbersContinued"/>
            </w:pPr>
            <w:r>
              <w:t xml:space="preserve">Select </w:t>
            </w:r>
            <w:r>
              <w:rPr>
                <w:b/>
              </w:rPr>
              <w:t>Accept Orders</w:t>
            </w:r>
            <w:r>
              <w:t>.</w:t>
            </w:r>
          </w:p>
        </w:tc>
        <w:tc>
          <w:tcPr>
            <w:tcW w:w="6120" w:type="dxa"/>
          </w:tcPr>
          <w:p w:rsidR="002A21AE" w:rsidRDefault="002A21AE">
            <w:pPr>
              <w:pStyle w:val="TableTextBullet"/>
            </w:pPr>
            <w:r>
              <w:t>Displays options for processing orders.</w:t>
            </w:r>
          </w:p>
          <w:p w:rsidR="002A21AE" w:rsidRDefault="002A21AE">
            <w:pPr>
              <w:pStyle w:val="TableTextBullet"/>
            </w:pPr>
            <w:r>
              <w:t>Displays the Pending Order List and Pending Order List search criteria.</w:t>
            </w:r>
          </w:p>
        </w:tc>
      </w:tr>
      <w:tr w:rsidR="002A21AE">
        <w:tblPrEx>
          <w:tblCellMar>
            <w:top w:w="0" w:type="dxa"/>
            <w:bottom w:w="0" w:type="dxa"/>
          </w:tblCellMar>
        </w:tblPrEx>
        <w:tc>
          <w:tcPr>
            <w:tcW w:w="3240" w:type="dxa"/>
          </w:tcPr>
          <w:p w:rsidR="002A21AE" w:rsidRDefault="002A21AE">
            <w:pPr>
              <w:pStyle w:val="TableTextNumbers"/>
            </w:pPr>
            <w:r>
              <w:t>Select an order to cancel from the Pending Order List</w:t>
            </w:r>
            <w:r w:rsidR="0051565D">
              <w:t xml:space="preserve"> (</w:t>
            </w:r>
            <w:r w:rsidR="00FA0E50">
              <w:fldChar w:fldCharType="begin"/>
            </w:r>
            <w:r w:rsidR="00FA0E50">
              <w:instrText xml:space="preserve"> REF _Ref126725358 \h </w:instrText>
            </w:r>
            <w:r w:rsidR="00FA0E50">
              <w:fldChar w:fldCharType="separate"/>
            </w:r>
            <w:r w:rsidR="005F38BC">
              <w:t xml:space="preserve">Figure </w:t>
            </w:r>
            <w:r w:rsidR="005F38BC">
              <w:rPr>
                <w:noProof/>
              </w:rPr>
              <w:t>112</w:t>
            </w:r>
            <w:r w:rsidR="00FA0E50">
              <w:fldChar w:fldCharType="end"/>
            </w:r>
            <w:r w:rsidR="0051565D">
              <w:t>)</w:t>
            </w:r>
            <w:r>
              <w:t>.</w:t>
            </w:r>
          </w:p>
          <w:p w:rsidR="002A21AE" w:rsidRDefault="002A21AE">
            <w:pPr>
              <w:pStyle w:val="TableTextNumbersContinued"/>
            </w:pPr>
          </w:p>
          <w:p w:rsidR="002A21AE" w:rsidRDefault="002A21AE">
            <w:pPr>
              <w:pStyle w:val="TableTextNumbersContinued"/>
            </w:pPr>
            <w:r>
              <w:t xml:space="preserve">Click </w:t>
            </w:r>
            <w:r>
              <w:rPr>
                <w:b/>
              </w:rPr>
              <w:t>Reject</w:t>
            </w:r>
            <w:r>
              <w:t>.</w:t>
            </w:r>
          </w:p>
        </w:tc>
        <w:tc>
          <w:tcPr>
            <w:tcW w:w="6120" w:type="dxa"/>
          </w:tcPr>
          <w:p w:rsidR="002A21AE" w:rsidRDefault="002A21AE">
            <w:pPr>
              <w:pStyle w:val="TableTextBullet"/>
            </w:pPr>
            <w:r>
              <w:t>Requires the user to enter a comment.</w:t>
            </w:r>
          </w:p>
          <w:p w:rsidR="002A21AE" w:rsidRDefault="002A21AE">
            <w:pPr>
              <w:pStyle w:val="TableTextBullet"/>
            </w:pPr>
            <w:r>
              <w:t>Requires the user to confirm the cancellation of the pending order.</w:t>
            </w:r>
          </w:p>
        </w:tc>
      </w:tr>
      <w:tr w:rsidR="002A21AE">
        <w:tblPrEx>
          <w:tblCellMar>
            <w:top w:w="0" w:type="dxa"/>
            <w:bottom w:w="0" w:type="dxa"/>
          </w:tblCellMar>
        </w:tblPrEx>
        <w:tc>
          <w:tcPr>
            <w:tcW w:w="3240" w:type="dxa"/>
          </w:tcPr>
          <w:p w:rsidR="002A21AE" w:rsidRDefault="002A21AE">
            <w:pPr>
              <w:pStyle w:val="TableTextNumbers"/>
            </w:pPr>
            <w:r>
              <w:t>Enter or select a comment in the Comment field.</w:t>
            </w:r>
          </w:p>
          <w:p w:rsidR="002A21AE" w:rsidRDefault="002A21AE">
            <w:pPr>
              <w:pStyle w:val="TableTextNumbersContinued"/>
            </w:pPr>
          </w:p>
          <w:p w:rsidR="002A21AE" w:rsidRDefault="002A21AE">
            <w:pPr>
              <w:pStyle w:val="TableTextNumbersContinued"/>
            </w:pPr>
            <w:r>
              <w:t>Enter details in the Details field, if desired.</w:t>
            </w:r>
          </w:p>
          <w:p w:rsidR="002A21AE" w:rsidRDefault="002A21AE">
            <w:pPr>
              <w:pStyle w:val="TableTextNumbersContinued"/>
            </w:pPr>
          </w:p>
          <w:p w:rsidR="002A21AE" w:rsidRDefault="002A21AE">
            <w:pPr>
              <w:pStyle w:val="TableTextNumbersContinued"/>
            </w:pPr>
            <w:r>
              <w:t xml:space="preserve">Click </w:t>
            </w:r>
            <w:r>
              <w:rPr>
                <w:b/>
              </w:rPr>
              <w:t>OK</w:t>
            </w:r>
            <w:r>
              <w:t xml:space="preserve"> and </w:t>
            </w:r>
            <w:r>
              <w:rPr>
                <w:b/>
              </w:rPr>
              <w:t>Close</w:t>
            </w:r>
            <w:r>
              <w:t xml:space="preserve"> to confirm the order cancellation.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rsidR="00BB3E6D" w:rsidRDefault="002A21AE" w:rsidP="00BB3E6D">
            <w:pPr>
              <w:pStyle w:val="TableTextBullet"/>
            </w:pPr>
            <w:r>
              <w:t>Removes the order from the Pending Order List and sends a message to CPRS with an order status update.</w:t>
            </w:r>
          </w:p>
          <w:p w:rsidR="00BB3E6D" w:rsidRDefault="00BB3E6D" w:rsidP="00BB3E6D">
            <w:pPr>
              <w:pStyle w:val="TableTextBullet"/>
              <w:numPr>
                <w:ilvl w:val="0"/>
                <w:numId w:val="0"/>
              </w:numPr>
            </w:pPr>
          </w:p>
          <w:p w:rsidR="00BB3E6D" w:rsidRDefault="00634BFC" w:rsidP="00BB3E6D">
            <w:pPr>
              <w:pStyle w:val="TableText"/>
              <w:rPr>
                <w:b/>
                <w:bCs/>
                <w:szCs w:val="18"/>
              </w:rPr>
            </w:pPr>
            <w:r>
              <w:rPr>
                <w:b/>
                <w:bCs/>
                <w:noProof/>
              </w:rPr>
              <mc:AlternateContent>
                <mc:Choice Requires="wps">
                  <w:drawing>
                    <wp:anchor distT="0" distB="0" distL="114300" distR="114300" simplePos="0" relativeHeight="25180313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96" name="Lin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0" o:spid="_x0000_s1026" style="position:absolute;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Dq6&#10;2wkVAgAALgQAAA4AAAAAAAAAAAAAAAAALgIAAGRycy9lMm9Eb2MueG1sUEsBAi0AFAAGAAgAAAAh&#10;ABdPMBLbAAAACAEAAA8AAAAAAAAAAAAAAAAAbwQAAGRycy9kb3ducmV2LnhtbFBLBQYAAAAABAAE&#10;APMAAAB3BQAAAAA=&#10;" strokeweight="1.5pt"/>
                  </w:pict>
                </mc:Fallback>
              </mc:AlternateContent>
            </w:r>
            <w:r w:rsidR="00BB3E6D">
              <w:rPr>
                <w:b/>
                <w:bCs/>
                <w:szCs w:val="18"/>
              </w:rPr>
              <w:t>NOTES</w:t>
            </w:r>
          </w:p>
          <w:p w:rsidR="00BB3E6D" w:rsidRDefault="00BB3E6D" w:rsidP="00BB3E6D">
            <w:pPr>
              <w:pStyle w:val="NotesText"/>
            </w:pPr>
          </w:p>
          <w:p w:rsidR="00BB3E6D" w:rsidRDefault="00BB3E6D" w:rsidP="00BB3E6D">
            <w:pPr>
              <w:pStyle w:val="NotesText"/>
            </w:pPr>
            <w:r>
              <w:t>VBECS does not cancel a lab order if the lab order has already been accessioned.</w:t>
            </w:r>
            <w:r w:rsidR="00A6148D">
              <w:t xml:space="preserve"> See </w:t>
            </w:r>
            <w:r w:rsidR="00A6148D">
              <w:fldChar w:fldCharType="begin"/>
            </w:r>
            <w:r w:rsidR="00A6148D">
              <w:instrText xml:space="preserve"> REF _Ref301523237 \h </w:instrText>
            </w:r>
            <w:r w:rsidR="00A6148D">
              <w:fldChar w:fldCharType="separate"/>
            </w:r>
            <w:r w:rsidR="005F38BC">
              <w:rPr>
                <w:b/>
                <w:bCs/>
              </w:rPr>
              <w:t>Error! Reference source not found.</w:t>
            </w:r>
            <w:r w:rsidR="00A6148D">
              <w:fldChar w:fldCharType="end"/>
            </w:r>
            <w:r w:rsidR="00A6148D">
              <w:t xml:space="preserve"> and </w:t>
            </w:r>
            <w:r w:rsidR="00A6148D">
              <w:fldChar w:fldCharType="begin"/>
            </w:r>
            <w:r w:rsidR="00A6148D">
              <w:instrText xml:space="preserve"> REF _Ref301526551 \h </w:instrText>
            </w:r>
            <w:r w:rsidR="00A6148D">
              <w:fldChar w:fldCharType="separate"/>
            </w:r>
            <w:r w:rsidR="005F38BC">
              <w:rPr>
                <w:b/>
                <w:bCs/>
              </w:rPr>
              <w:t>Error! Reference source not found.</w:t>
            </w:r>
            <w:r w:rsidR="00A6148D">
              <w:fldChar w:fldCharType="end"/>
            </w:r>
            <w:r w:rsidR="00A6148D">
              <w:t xml:space="preserve"> for more information.</w:t>
            </w:r>
          </w:p>
        </w:tc>
      </w:tr>
    </w:tbl>
    <w:p w:rsidR="00FA0E50" w:rsidRDefault="00FA0E50" w:rsidP="00FA0E50">
      <w:pPr>
        <w:pStyle w:val="Caption"/>
      </w:pPr>
      <w:bookmarkStart w:id="461" w:name="_Ref126725358"/>
      <w:r>
        <w:lastRenderedPageBreak/>
        <w:t xml:space="preserve">Figure </w:t>
      </w:r>
      <w:r w:rsidR="00C17F7C">
        <w:fldChar w:fldCharType="begin"/>
      </w:r>
      <w:r w:rsidR="00C17F7C">
        <w:instrText xml:space="preserve"> SEQ Figure \* ARABIC </w:instrText>
      </w:r>
      <w:r w:rsidR="00C17F7C">
        <w:fldChar w:fldCharType="separate"/>
      </w:r>
      <w:r w:rsidR="005F38BC">
        <w:rPr>
          <w:noProof/>
        </w:rPr>
        <w:t>112</w:t>
      </w:r>
      <w:r w:rsidR="00C17F7C">
        <w:fldChar w:fldCharType="end"/>
      </w:r>
      <w:bookmarkEnd w:id="461"/>
      <w:r>
        <w:t>: Accept Orders: Reject an Order</w:t>
      </w:r>
    </w:p>
    <w:p w:rsidR="00FA0E50" w:rsidRDefault="00634BFC" w:rsidP="00FA0E50">
      <w:pPr>
        <w:pStyle w:val="BodyText"/>
      </w:pPr>
      <w:r>
        <w:rPr>
          <w:noProof/>
        </w:rPr>
        <w:drawing>
          <wp:inline distT="0" distB="0" distL="0" distR="0">
            <wp:extent cx="5934075" cy="3467100"/>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934075" cy="3467100"/>
                    </a:xfrm>
                    <a:prstGeom prst="rect">
                      <a:avLst/>
                    </a:prstGeom>
                    <a:noFill/>
                    <a:ln>
                      <a:noFill/>
                    </a:ln>
                  </pic:spPr>
                </pic:pic>
              </a:graphicData>
            </a:graphic>
          </wp:inline>
        </w:drawing>
      </w:r>
    </w:p>
    <w:p w:rsidR="002A21AE" w:rsidRDefault="002A21AE">
      <w:pPr>
        <w:pStyle w:val="Heading2"/>
      </w:pPr>
      <w:r>
        <w:br w:type="page"/>
      </w:r>
      <w:bookmarkStart w:id="462" w:name="_Toc459900139"/>
      <w:r>
        <w:lastRenderedPageBreak/>
        <w:t>Order Reflex Tests</w:t>
      </w:r>
      <w:bookmarkEnd w:id="460"/>
      <w:bookmarkEnd w:id="462"/>
      <w:r>
        <w:fldChar w:fldCharType="begin"/>
      </w:r>
      <w:r>
        <w:instrText xml:space="preserve"> XE </w:instrText>
      </w:r>
      <w:r w:rsidR="00FA7E65">
        <w:instrText>“</w:instrText>
      </w:r>
      <w:r>
        <w:instrText>Order Reflex Tests</w:instrText>
      </w:r>
      <w:r w:rsidR="00FA7E65">
        <w:instrText>”</w:instrText>
      </w:r>
      <w:r>
        <w:instrText xml:space="preserve"> </w:instrText>
      </w:r>
      <w:r>
        <w:fldChar w:fldCharType="end"/>
      </w:r>
      <w:r>
        <w:t xml:space="preserve"> </w:t>
      </w:r>
      <w:r>
        <w:rPr>
          <w:rFonts w:ascii="Times New Roman" w:hAnsi="Times New Roman" w:cs="Times New Roman"/>
          <w:b w:val="0"/>
          <w:i w:val="0"/>
          <w:vanish/>
          <w:sz w:val="22"/>
        </w:rPr>
        <w:t>UC_45</w:t>
      </w:r>
    </w:p>
    <w:p w:rsidR="002A21AE" w:rsidRDefault="002A21AE" w:rsidP="00FA7E65">
      <w:pPr>
        <w:pStyle w:val="BodyText"/>
      </w:pPr>
      <w:r>
        <w:t>The user may order additional blood bank tests for a complete or incomplete accepted patient specimen to add to the Pending Task List (PTL). The ordered test or test group limits the type of reflex and repeat test order that may be associated with a specimen.</w:t>
      </w:r>
    </w:p>
    <w:p w:rsidR="002A21AE" w:rsidRDefault="002A21AE">
      <w:pPr>
        <w:pStyle w:val="Heading4"/>
      </w:pPr>
      <w:r>
        <w:t>Assumptions</w:t>
      </w:r>
    </w:p>
    <w:p w:rsidR="002A21AE" w:rsidRDefault="002A21AE">
      <w:pPr>
        <w:pStyle w:val="ListBullet"/>
      </w:pPr>
      <w:r>
        <w:t>A patient’s test result requires further investigation or repetition of a diagnostic test.</w:t>
      </w:r>
    </w:p>
    <w:p w:rsidR="002A21AE" w:rsidRDefault="002A21AE">
      <w:pPr>
        <w:pStyle w:val="Heading4"/>
      </w:pPr>
      <w:r>
        <w:t>Outcome</w:t>
      </w:r>
    </w:p>
    <w:p w:rsidR="002A21AE" w:rsidRDefault="002A21AE">
      <w:pPr>
        <w:pStyle w:val="ListBullet"/>
      </w:pPr>
      <w:r>
        <w:rPr>
          <w:rFonts w:ascii="Arial" w:hAnsi="Arial" w:cs="Arial"/>
          <w:vanish/>
          <w:spacing w:val="0"/>
          <w:sz w:val="18"/>
        </w:rPr>
        <w:t xml:space="preserve">BR_45.05 </w:t>
      </w:r>
      <w:r>
        <w:t>One or more reflex orders are in the PTL with a “routine” urgency.</w:t>
      </w:r>
    </w:p>
    <w:p w:rsidR="002A21AE" w:rsidRDefault="002A21AE">
      <w:pPr>
        <w:pStyle w:val="Heading4"/>
      </w:pPr>
      <w:r>
        <w:t>Limitations and Restrictions</w:t>
      </w:r>
    </w:p>
    <w:p w:rsidR="002A21AE" w:rsidRDefault="002A21AE">
      <w:pPr>
        <w:pStyle w:val="ListBullet"/>
      </w:pPr>
      <w:r w:rsidRPr="00FE7547">
        <w:rPr>
          <w:rFonts w:ascii="Arial" w:hAnsi="Arial" w:cs="Arial"/>
          <w:vanish/>
          <w:spacing w:val="0"/>
          <w:sz w:val="18"/>
        </w:rPr>
        <w:t>BR_45.10</w:t>
      </w:r>
      <w:r>
        <w:rPr>
          <w:rFonts w:ascii="Arial" w:hAnsi="Arial" w:cs="Arial"/>
          <w:vanish/>
          <w:spacing w:val="0"/>
          <w:sz w:val="18"/>
        </w:rPr>
        <w:t xml:space="preserve"> </w:t>
      </w:r>
      <w:r>
        <w:t xml:space="preserve">A crossmatch (XM) and a repeat </w:t>
      </w:r>
      <w:r w:rsidR="004D7585">
        <w:t>XM</w:t>
      </w:r>
      <w:r>
        <w:t xml:space="preserve"> cannot be ordered unless they are associated with a specimen with a future expiration date and a phlebotomist is associated with that specimen.</w:t>
      </w:r>
    </w:p>
    <w:p w:rsidR="002A21AE" w:rsidRDefault="002A21AE">
      <w:pPr>
        <w:pStyle w:val="ListBullet"/>
      </w:pPr>
      <w:r>
        <w:rPr>
          <w:rFonts w:ascii="Arial" w:hAnsi="Arial" w:cs="Arial"/>
          <w:vanish/>
          <w:spacing w:val="0"/>
          <w:sz w:val="18"/>
        </w:rPr>
        <w:t xml:space="preserve">BR_98.02 </w:t>
      </w:r>
      <w:r>
        <w:t>When a user selects weak D for the antigen typing test and the selected patient is Rh positive, VBECS warns that weak D testing cannot be performed. There is no override and VBECS does not add the test.</w:t>
      </w:r>
    </w:p>
    <w:p w:rsidR="002A21AE" w:rsidRDefault="002A21AE">
      <w:pPr>
        <w:pStyle w:val="Heading4"/>
      </w:pPr>
      <w:r>
        <w:t>Additional Information</w:t>
      </w:r>
    </w:p>
    <w:p w:rsidR="002A21AE" w:rsidRDefault="002A21AE">
      <w:pPr>
        <w:pStyle w:val="ListBullet"/>
      </w:pPr>
      <w:r>
        <w:t>Unlimited repeat tests may be ordered and completed, but are not available to CPRS or to billing.</w:t>
      </w:r>
    </w:p>
    <w:p w:rsidR="002A21AE" w:rsidRDefault="002A21AE">
      <w:pPr>
        <w:pStyle w:val="Heading4"/>
      </w:pPr>
      <w:r>
        <w:t>User Roles with Access to This Option</w:t>
      </w:r>
    </w:p>
    <w:p w:rsidR="002A21AE" w:rsidRDefault="006E4031">
      <w:pPr>
        <w:pStyle w:val="Roles"/>
        <w:rPr>
          <w:snapToGrid w:val="0"/>
        </w:rPr>
      </w:pPr>
      <w:r>
        <w:t>All users</w:t>
      </w:r>
    </w:p>
    <w:bookmarkEnd w:id="459"/>
    <w:p w:rsidR="002A21AE" w:rsidRDefault="002A21AE">
      <w:pPr>
        <w:pStyle w:val="Heading4"/>
      </w:pPr>
      <w:r>
        <w:t>Order Reflex Tests</w:t>
      </w:r>
    </w:p>
    <w:p w:rsidR="002A21AE" w:rsidRDefault="002A21AE" w:rsidP="00FA7E65">
      <w:pPr>
        <w:pStyle w:val="BodyText"/>
      </w:pPr>
      <w:r>
        <w:t xml:space="preserve">The user orders additional blood bank tests for a patient specimen that was already accepted and that may or may not be completed. The ordered reflex test(s) are added to the PTL.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pPr>
              <w:pStyle w:val="TableTextNumbers"/>
            </w:pPr>
            <w:r>
              <w:t xml:space="preserve">Select </w:t>
            </w:r>
            <w:r>
              <w:rPr>
                <w:b/>
              </w:rPr>
              <w:t>Orders</w:t>
            </w:r>
            <w:r>
              <w:t xml:space="preserve"> from the main menu.</w:t>
            </w:r>
          </w:p>
          <w:p w:rsidR="002A21AE" w:rsidRDefault="002A21AE">
            <w:pPr>
              <w:pStyle w:val="TableTextNumbersContinued"/>
            </w:pPr>
          </w:p>
          <w:p w:rsidR="002A21AE" w:rsidRDefault="002A21AE">
            <w:pPr>
              <w:pStyle w:val="TableTextNumbersContinued"/>
            </w:pPr>
            <w:r>
              <w:t xml:space="preserve">Select </w:t>
            </w:r>
            <w:r>
              <w:rPr>
                <w:b/>
              </w:rPr>
              <w:t>Order Reflex Tests</w:t>
            </w:r>
            <w:r>
              <w:t>.</w:t>
            </w:r>
          </w:p>
        </w:tc>
        <w:tc>
          <w:tcPr>
            <w:tcW w:w="6120" w:type="dxa"/>
          </w:tcPr>
          <w:p w:rsidR="002A21AE" w:rsidRDefault="002A21AE">
            <w:pPr>
              <w:pStyle w:val="TableTextBullet"/>
            </w:pPr>
            <w:r>
              <w:t>Displays options for processing orders.</w:t>
            </w:r>
          </w:p>
          <w:p w:rsidR="002A21AE" w:rsidRDefault="002A21AE">
            <w:pPr>
              <w:pStyle w:val="TableTextBullet"/>
            </w:pPr>
            <w:r>
              <w:t>Displays specimen search criteria and search results.</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8809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95"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2" o:spid="_x0000_s1026" style="position:absolute;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ssFQIAAC0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K+F&#10;Syw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t xml:space="preserve">The user may also access Order Reflex Tests by clicking </w:t>
            </w:r>
            <w:r>
              <w:rPr>
                <w:b/>
                <w:bCs/>
              </w:rPr>
              <w:t>Order Reflex Tests</w:t>
            </w:r>
            <w:r>
              <w:t xml:space="preserve"> when executing Patient Testing or by right-clicking the testing grid that generates the reflexive order.</w:t>
            </w:r>
          </w:p>
        </w:tc>
      </w:tr>
      <w:tr w:rsidR="002A21AE">
        <w:tblPrEx>
          <w:tblCellMar>
            <w:top w:w="0" w:type="dxa"/>
            <w:bottom w:w="0" w:type="dxa"/>
          </w:tblCellMar>
        </w:tblPrEx>
        <w:trPr>
          <w:trHeight w:val="512"/>
        </w:trPr>
        <w:tc>
          <w:tcPr>
            <w:tcW w:w="3240" w:type="dxa"/>
          </w:tcPr>
          <w:p w:rsidR="002A21AE" w:rsidRDefault="002A21AE">
            <w:pPr>
              <w:pStyle w:val="TableTextNumbers"/>
            </w:pPr>
            <w:r>
              <w:t>Enter the patient name and/or the specimen UID.</w:t>
            </w:r>
          </w:p>
          <w:p w:rsidR="002A21AE" w:rsidRDefault="002A21AE">
            <w:pPr>
              <w:pStyle w:val="TableTextNumbersContinued"/>
            </w:pPr>
          </w:p>
          <w:p w:rsidR="002A21AE" w:rsidRDefault="002A21AE">
            <w:pPr>
              <w:pStyle w:val="TableTextNumbersContinued"/>
            </w:pPr>
            <w:r>
              <w:t xml:space="preserve">Click </w:t>
            </w:r>
            <w:r>
              <w:rPr>
                <w:b/>
              </w:rPr>
              <w:t>Search</w:t>
            </w:r>
            <w:r>
              <w:t>, if necessary.</w:t>
            </w:r>
          </w:p>
        </w:tc>
        <w:tc>
          <w:tcPr>
            <w:tcW w:w="6120" w:type="dxa"/>
          </w:tcPr>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8707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94" name="Lin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1" o:spid="_x0000_s1026" style="position:absolute;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C5&#10;8Z5uFgIAAC0EAAAOAAAAAAAAAAAAAAAAAC4CAABkcnMvZTJvRG9jLnhtbFBLAQItABQABgAIAAAA&#10;IQAXTzAS2wAAAAgBAAAPAAAAAAAAAAAAAAAAAHAEAABkcnMvZG93bnJldi54bWxQSwUGAAAAAAQA&#10;BADzAAAAeAU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BR_45.08 </w:t>
            </w:r>
            <w:r>
              <w:t>The user may identify specific specimen for reflex test ordering by scanning or by manual data entry of the UID on the specimen.</w:t>
            </w:r>
          </w:p>
        </w:tc>
      </w:tr>
      <w:tr w:rsidR="002A21AE">
        <w:tblPrEx>
          <w:tblCellMar>
            <w:top w:w="0" w:type="dxa"/>
            <w:bottom w:w="0" w:type="dxa"/>
          </w:tblCellMar>
        </w:tblPrEx>
        <w:tc>
          <w:tcPr>
            <w:tcW w:w="3240" w:type="dxa"/>
          </w:tcPr>
          <w:p w:rsidR="002A21AE" w:rsidRDefault="002A21AE">
            <w:pPr>
              <w:pStyle w:val="TableTextNumbers"/>
            </w:pPr>
            <w:r>
              <w:t xml:space="preserve">Select an item from Specimen Search Results. </w:t>
            </w:r>
          </w:p>
          <w:p w:rsidR="002A21AE" w:rsidRDefault="002A21AE">
            <w:pPr>
              <w:pStyle w:val="TableTextNumbersContinued"/>
            </w:pPr>
          </w:p>
          <w:p w:rsidR="002A21AE" w:rsidRDefault="002A21AE">
            <w:pPr>
              <w:pStyle w:val="TableTextNumbersContinued"/>
            </w:pPr>
            <w:r>
              <w:t>Review the information in the Selected Patient Specimen area and in the Patient Details and Order Details tabs</w:t>
            </w:r>
            <w:r w:rsidR="00096F7A">
              <w:t xml:space="preserve"> (</w:t>
            </w:r>
            <w:r w:rsidR="00096F7A">
              <w:fldChar w:fldCharType="begin"/>
            </w:r>
            <w:r w:rsidR="00096F7A">
              <w:instrText xml:space="preserve"> REF _Ref126725596 \h </w:instrText>
            </w:r>
            <w:r w:rsidR="00096F7A">
              <w:fldChar w:fldCharType="separate"/>
            </w:r>
            <w:r w:rsidR="005F38BC">
              <w:t xml:space="preserve">Figure </w:t>
            </w:r>
            <w:r w:rsidR="005F38BC">
              <w:rPr>
                <w:noProof/>
              </w:rPr>
              <w:t>113</w:t>
            </w:r>
            <w:r w:rsidR="00096F7A">
              <w:fldChar w:fldCharType="end"/>
            </w:r>
            <w:r w:rsidR="00096F7A">
              <w:t>)</w:t>
            </w:r>
            <w:r>
              <w:t>.</w:t>
            </w:r>
          </w:p>
          <w:p w:rsidR="002A21AE" w:rsidRDefault="002A21AE">
            <w:pPr>
              <w:pStyle w:val="TableTextNumbersContinued"/>
            </w:pPr>
          </w:p>
          <w:p w:rsidR="002A21AE" w:rsidRDefault="002A21AE">
            <w:pPr>
              <w:pStyle w:val="TableTextNumbersContinued"/>
            </w:pPr>
            <w:r>
              <w:t xml:space="preserve">Click </w:t>
            </w:r>
            <w:r>
              <w:rPr>
                <w:b/>
              </w:rPr>
              <w:t>OK</w:t>
            </w:r>
            <w:r>
              <w:t xml:space="preserve"> to accept the order.</w:t>
            </w:r>
          </w:p>
          <w:p w:rsidR="002A21AE" w:rsidRDefault="002A21AE">
            <w:pPr>
              <w:pStyle w:val="TableTextNumbersContinued"/>
            </w:pPr>
          </w:p>
          <w:p w:rsidR="002A21AE" w:rsidRDefault="002A21AE">
            <w:pPr>
              <w:pStyle w:val="TableTextNumbersContinued"/>
            </w:pPr>
            <w:r>
              <w:lastRenderedPageBreak/>
              <w:t>Respond to messages, as required.</w:t>
            </w:r>
          </w:p>
        </w:tc>
        <w:tc>
          <w:tcPr>
            <w:tcW w:w="6120" w:type="dxa"/>
          </w:tcPr>
          <w:p w:rsidR="002A21AE" w:rsidRDefault="002A21AE">
            <w:pPr>
              <w:pStyle w:val="TableTextBullet"/>
            </w:pPr>
            <w:r>
              <w:lastRenderedPageBreak/>
              <w:t xml:space="preserve">Displays an option to search for specimens currently available (in-date) for a patient by standard patient search conventions. </w:t>
            </w:r>
          </w:p>
          <w:p w:rsidR="002A21AE" w:rsidRDefault="002A21AE">
            <w:pPr>
              <w:pStyle w:val="TableTextBullet"/>
            </w:pPr>
            <w:r>
              <w:t>Accommodates direct selection of a specimen by scanning or by entering a specimen UID.</w:t>
            </w:r>
          </w:p>
          <w:p w:rsidR="002A21AE" w:rsidRDefault="002A21AE">
            <w:pPr>
              <w:pStyle w:val="TableTextBullet"/>
            </w:pPr>
            <w:r>
              <w:rPr>
                <w:rFonts w:cs="Arial"/>
                <w:vanish/>
              </w:rPr>
              <w:t xml:space="preserve">BR_45.02 </w:t>
            </w:r>
            <w:r>
              <w:t>Displays available (in-date) patient specimens or orders in reverse chronological order within a date range defined by the site parameter. Only one patient specimen may have reflex tests added in one session. The expired and unacceptable specimens will follow.</w:t>
            </w:r>
          </w:p>
          <w:p w:rsidR="002A21AE" w:rsidRDefault="002A21AE">
            <w:pPr>
              <w:pStyle w:val="TableTextBullet"/>
            </w:pPr>
            <w:r>
              <w:t xml:space="preserve">Displays a message directing the user to complete Patient Testing </w:t>
            </w:r>
            <w:r>
              <w:lastRenderedPageBreak/>
              <w:t>when the selected test is not completed. User returns to Patient Testing.</w:t>
            </w:r>
          </w:p>
          <w:p w:rsidR="002A21AE" w:rsidRDefault="002A21AE">
            <w:pPr>
              <w:pStyle w:val="TableTextBullet"/>
            </w:pPr>
            <w:r>
              <w:t xml:space="preserve">Displays a message when </w:t>
            </w:r>
            <w:r w:rsidR="00E97883">
              <w:t xml:space="preserve">a </w:t>
            </w:r>
            <w:r>
              <w:t xml:space="preserve">specimen is expired or unacceptable. User may click </w:t>
            </w:r>
            <w:r>
              <w:rPr>
                <w:b/>
              </w:rPr>
              <w:t>Yes</w:t>
            </w:r>
            <w:r>
              <w:t xml:space="preserve"> to continue with the order or </w:t>
            </w:r>
            <w:r>
              <w:rPr>
                <w:b/>
              </w:rPr>
              <w:t>No</w:t>
            </w:r>
            <w:r>
              <w:t xml:space="preserve"> to </w:t>
            </w:r>
            <w:r w:rsidR="00E97883">
              <w:t>select or request another specimen, as appropriate</w:t>
            </w:r>
            <w:r>
              <w:t>.</w:t>
            </w:r>
          </w:p>
          <w:p w:rsidR="002A21AE" w:rsidRDefault="002A21AE">
            <w:pPr>
              <w:pStyle w:val="TableTextBullet"/>
            </w:pPr>
            <w:r>
              <w:rPr>
                <w:rFonts w:cs="Arial"/>
                <w:vanish/>
              </w:rPr>
              <w:t xml:space="preserve">BR_45.03 </w:t>
            </w:r>
            <w:r>
              <w:t>Displays the date/time/division of the specimen collection when selecting a specimen for ordering reflex tests.</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8604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93" name="Lin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0" o:spid="_x0000_s1026" style="position:absolute;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AA&#10;tC3eFgIAAC0EAAAOAAAAAAAAAAAAAAAAAC4CAABkcnMvZTJvRG9jLnhtbFBLAQItABQABgAIAAAA&#10;IQAXTzAS2wAAAAgBAAAPAAAAAAAAAAAAAAAAAHAEAABkcnMvZG93bnJldi54bWxQSwUGAAAAAAQA&#10;BADzAAAAeAUAAAAA&#10;" strokeweight="1.5pt"/>
                  </w:pict>
                </mc:Fallback>
              </mc:AlternateContent>
            </w:r>
            <w:r w:rsidR="002A21AE">
              <w:rPr>
                <w:b/>
                <w:bCs/>
                <w:szCs w:val="18"/>
              </w:rPr>
              <w:t>NOTES</w:t>
            </w:r>
          </w:p>
          <w:p w:rsidR="002A21AE" w:rsidRDefault="002A21AE">
            <w:pPr>
              <w:pStyle w:val="NotesText"/>
            </w:pPr>
          </w:p>
          <w:p w:rsidR="002A21AE" w:rsidRDefault="002A21AE">
            <w:pPr>
              <w:pStyle w:val="NotesText"/>
              <w:rPr>
                <w:vanish/>
                <w:szCs w:val="18"/>
              </w:rPr>
            </w:pPr>
            <w:r>
              <w:rPr>
                <w:rFonts w:cs="Arial"/>
                <w:vanish/>
              </w:rPr>
              <w:t>BR_45.04</w:t>
            </w:r>
            <w:r w:rsidR="004D3195" w:rsidRPr="002C3287">
              <w:rPr>
                <w:rStyle w:val="BullhornChar"/>
              </w:rPr>
              <w:t></w:t>
            </w:r>
            <w:r w:rsidR="004D3195">
              <w:rPr>
                <w:rFonts w:ascii="Webdings" w:hAnsi="Webdings"/>
              </w:rPr>
              <w:t></w:t>
            </w:r>
            <w:r>
              <w:t xml:space="preserve">VBECS emits an audible alert, warns that the specimen is expired, and instructs the user to enter </w:t>
            </w:r>
            <w:r w:rsidR="005C7E5F">
              <w:t xml:space="preserve">a </w:t>
            </w:r>
            <w:r>
              <w:t xml:space="preserve">comment to continue. When a user enters or scans an expired specimen. VBECS requires a comment and captures details for inclusion in an Exception Report (exception type: reflex test ordered on an expired specimen). </w:t>
            </w:r>
          </w:p>
          <w:p w:rsidR="002A21AE" w:rsidRDefault="002A21AE">
            <w:pPr>
              <w:pStyle w:val="NotesText"/>
              <w:ind w:left="0"/>
              <w:rPr>
                <w:vanish/>
                <w:szCs w:val="18"/>
              </w:rPr>
            </w:pPr>
          </w:p>
          <w:p w:rsidR="002A21AE" w:rsidRDefault="002A21AE">
            <w:pPr>
              <w:pStyle w:val="NotesText"/>
            </w:pPr>
            <w:r>
              <w:rPr>
                <w:vanish/>
                <w:szCs w:val="18"/>
              </w:rPr>
              <w:t>PT_45.01 Orderable Reflex Tests</w:t>
            </w:r>
          </w:p>
        </w:tc>
      </w:tr>
      <w:tr w:rsidR="002A21AE">
        <w:tblPrEx>
          <w:tblCellMar>
            <w:top w:w="0" w:type="dxa"/>
            <w:bottom w:w="0" w:type="dxa"/>
          </w:tblCellMar>
        </w:tblPrEx>
        <w:tc>
          <w:tcPr>
            <w:tcW w:w="3240" w:type="dxa"/>
          </w:tcPr>
          <w:p w:rsidR="002A21AE" w:rsidRDefault="002A21AE">
            <w:pPr>
              <w:pStyle w:val="TableTextNumbers"/>
            </w:pPr>
            <w:r>
              <w:lastRenderedPageBreak/>
              <w:t>When a specimen is already selected, go to Step 5.</w:t>
            </w:r>
          </w:p>
          <w:p w:rsidR="002A21AE" w:rsidRDefault="002A21AE">
            <w:pPr>
              <w:pStyle w:val="TableTextNumbersContinued"/>
            </w:pPr>
          </w:p>
          <w:p w:rsidR="002A21AE" w:rsidRDefault="002A21AE">
            <w:pPr>
              <w:pStyle w:val="TableTextNumbersContinued"/>
            </w:pPr>
            <w:r>
              <w:t xml:space="preserve">Select or enter a patient specimen that requires the additional test. </w:t>
            </w:r>
          </w:p>
        </w:tc>
        <w:tc>
          <w:tcPr>
            <w:tcW w:w="6120" w:type="dxa"/>
          </w:tcPr>
          <w:p w:rsidR="002A21AE" w:rsidRDefault="002A21AE">
            <w:pPr>
              <w:pStyle w:val="TableTextBullet"/>
            </w:pPr>
            <w:r>
              <w:t xml:space="preserve">Displays all orders associated with a specimen that can be used to request reflex tests for an existing diagnostic test order within an order group. </w:t>
            </w:r>
          </w:p>
          <w:p w:rsidR="002A21AE" w:rsidRDefault="002A21AE">
            <w:pPr>
              <w:pStyle w:val="TableTextBullet"/>
            </w:pPr>
            <w:r>
              <w:t xml:space="preserve">Automatically associates the reflex test with the order when there is only one order associated with the specimen. </w:t>
            </w:r>
          </w:p>
        </w:tc>
      </w:tr>
      <w:tr w:rsidR="002A21AE">
        <w:tblPrEx>
          <w:tblCellMar>
            <w:top w:w="0" w:type="dxa"/>
            <w:bottom w:w="0" w:type="dxa"/>
          </w:tblCellMar>
        </w:tblPrEx>
        <w:tc>
          <w:tcPr>
            <w:tcW w:w="3240" w:type="dxa"/>
          </w:tcPr>
          <w:p w:rsidR="002A21AE" w:rsidRDefault="002A21AE">
            <w:pPr>
              <w:pStyle w:val="TableTextNumbers"/>
            </w:pPr>
            <w:r>
              <w:t>Click one or more check boxes to select reflex tests from the Order Reflex Test(s) list.</w:t>
            </w:r>
          </w:p>
        </w:tc>
        <w:tc>
          <w:tcPr>
            <w:tcW w:w="6120" w:type="dxa"/>
          </w:tcPr>
          <w:p w:rsidR="002A21AE" w:rsidRDefault="002A21AE">
            <w:pPr>
              <w:pStyle w:val="TableTextBullet"/>
            </w:pPr>
            <w:r>
              <w:t>Displays the selected tests for review.</w:t>
            </w:r>
          </w:p>
          <w:p w:rsidR="002A21AE" w:rsidRDefault="002A21AE">
            <w:pPr>
              <w:pStyle w:val="TableTextBullet"/>
            </w:pPr>
            <w:r>
              <w:t xml:space="preserve">Allows the user to select or to deselect reflex tests. </w:t>
            </w:r>
          </w:p>
        </w:tc>
      </w:tr>
      <w:tr w:rsidR="002A21AE">
        <w:tblPrEx>
          <w:tblCellMar>
            <w:top w:w="0" w:type="dxa"/>
            <w:bottom w:w="0" w:type="dxa"/>
          </w:tblCellMar>
        </w:tblPrEx>
        <w:tc>
          <w:tcPr>
            <w:tcW w:w="3240" w:type="dxa"/>
          </w:tcPr>
          <w:p w:rsidR="002A21AE" w:rsidRDefault="002A21AE">
            <w:pPr>
              <w:pStyle w:val="TableTextNumbers"/>
            </w:pPr>
            <w:r>
              <w:t xml:space="preserve">Click </w:t>
            </w:r>
            <w:r>
              <w:rPr>
                <w:b/>
              </w:rPr>
              <w:t>OK</w:t>
            </w:r>
            <w:r>
              <w:t xml:space="preserve"> to save and exit.</w:t>
            </w:r>
          </w:p>
          <w:p w:rsidR="002A21AE" w:rsidRDefault="002A21AE">
            <w:pPr>
              <w:pStyle w:val="TableTextNumbersContinued"/>
            </w:pPr>
          </w:p>
          <w:p w:rsidR="002A21AE" w:rsidRDefault="002A21AE">
            <w:pPr>
              <w:pStyle w:val="TableTextNumbersContinued"/>
            </w:pPr>
            <w:r>
              <w:t xml:space="preserve">Enter a comment, if required. cancellation.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rsidR="002A21AE" w:rsidRDefault="002A21AE">
            <w:pPr>
              <w:pStyle w:val="TableTextBullet"/>
            </w:pPr>
            <w:r>
              <w:t>Adds the ordered patient reflex tests to the PTL.</w:t>
            </w:r>
          </w:p>
          <w:p w:rsidR="002A21AE" w:rsidRDefault="002A21AE">
            <w:pPr>
              <w:pStyle w:val="TableText"/>
            </w:pPr>
          </w:p>
          <w:p w:rsidR="002A21AE" w:rsidRDefault="002A21AE">
            <w:pPr>
              <w:pStyle w:val="TableText"/>
            </w:pPr>
          </w:p>
        </w:tc>
      </w:tr>
    </w:tbl>
    <w:p w:rsidR="00096F7A" w:rsidRDefault="00096F7A" w:rsidP="00096F7A">
      <w:pPr>
        <w:pStyle w:val="Caption"/>
      </w:pPr>
      <w:bookmarkStart w:id="463" w:name="_Ref126725596"/>
      <w:r>
        <w:lastRenderedPageBreak/>
        <w:t xml:space="preserve">Figure </w:t>
      </w:r>
      <w:r w:rsidR="00C17F7C">
        <w:fldChar w:fldCharType="begin"/>
      </w:r>
      <w:r w:rsidR="00C17F7C">
        <w:instrText xml:space="preserve"> SEQ Figure \* ARABIC </w:instrText>
      </w:r>
      <w:r w:rsidR="00C17F7C">
        <w:fldChar w:fldCharType="separate"/>
      </w:r>
      <w:r w:rsidR="005F38BC">
        <w:rPr>
          <w:noProof/>
        </w:rPr>
        <w:t>113</w:t>
      </w:r>
      <w:r w:rsidR="00C17F7C">
        <w:fldChar w:fldCharType="end"/>
      </w:r>
      <w:bookmarkEnd w:id="463"/>
      <w:r>
        <w:t>: Order Reflex Test(s)</w:t>
      </w:r>
    </w:p>
    <w:p w:rsidR="00C70194" w:rsidRDefault="00634BFC" w:rsidP="00096F7A">
      <w:pPr>
        <w:pStyle w:val="BodyText"/>
      </w:pPr>
      <w:r>
        <w:rPr>
          <w:noProof/>
        </w:rPr>
        <w:drawing>
          <wp:inline distT="0" distB="0" distL="0" distR="0">
            <wp:extent cx="5943600" cy="4333875"/>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943600" cy="4333875"/>
                    </a:xfrm>
                    <a:prstGeom prst="rect">
                      <a:avLst/>
                    </a:prstGeom>
                    <a:noFill/>
                    <a:ln>
                      <a:noFill/>
                    </a:ln>
                  </pic:spPr>
                </pic:pic>
              </a:graphicData>
            </a:graphic>
          </wp:inline>
        </w:drawing>
      </w:r>
    </w:p>
    <w:p w:rsidR="00A04F10" w:rsidRDefault="00C70194" w:rsidP="00A04F10">
      <w:pPr>
        <w:pStyle w:val="ListBullet"/>
        <w:numPr>
          <w:ilvl w:val="0"/>
          <w:numId w:val="0"/>
        </w:numPr>
        <w:ind w:left="648"/>
        <w:jc w:val="center"/>
      </w:pPr>
      <w:r>
        <w:br w:type="page"/>
      </w:r>
      <w:r w:rsidR="00A04F10">
        <w:lastRenderedPageBreak/>
        <w:t>This page intentionally left blank.</w:t>
      </w:r>
    </w:p>
    <w:p w:rsidR="002A21AE" w:rsidRDefault="00A04F10" w:rsidP="00A04F10">
      <w:pPr>
        <w:pStyle w:val="Heading1"/>
      </w:pPr>
      <w:r>
        <w:br w:type="page"/>
      </w:r>
      <w:bookmarkStart w:id="464" w:name="_Toc459900140"/>
      <w:r w:rsidR="002A21AE">
        <w:lastRenderedPageBreak/>
        <w:t>Patient Services</w:t>
      </w:r>
      <w:bookmarkEnd w:id="464"/>
      <w:r w:rsidR="002A21AE">
        <w:fldChar w:fldCharType="begin"/>
      </w:r>
      <w:r w:rsidR="002A21AE">
        <w:instrText xml:space="preserve"> XE </w:instrText>
      </w:r>
      <w:r w:rsidR="00FA7E65">
        <w:instrText>“</w:instrText>
      </w:r>
      <w:r w:rsidR="002A21AE">
        <w:instrText>Patient Services</w:instrText>
      </w:r>
      <w:r w:rsidR="00FA7E65">
        <w:instrText>”</w:instrText>
      </w:r>
      <w:r w:rsidR="002A21AE">
        <w:instrText xml:space="preserve"> </w:instrText>
      </w:r>
      <w:r w:rsidR="002A21AE">
        <w:fldChar w:fldCharType="end"/>
      </w:r>
    </w:p>
    <w:p w:rsidR="002A21AE" w:rsidRPr="00E309DC" w:rsidRDefault="002A21AE" w:rsidP="00AE23F9">
      <w:pPr>
        <w:pStyle w:val="Heading2"/>
        <w:rPr>
          <w:b w:val="0"/>
          <w:bCs w:val="0"/>
          <w:i w:val="0"/>
          <w:iCs w:val="0"/>
          <w:sz w:val="20"/>
        </w:rPr>
      </w:pPr>
      <w:bookmarkStart w:id="465" w:name="_Toc459900141"/>
      <w:r w:rsidRPr="00AE23F9">
        <w:t xml:space="preserve">Patient </w:t>
      </w:r>
      <w:r w:rsidR="00045ED7" w:rsidRPr="00AE23F9">
        <w:t>Search Screen</w:t>
      </w:r>
      <w:bookmarkEnd w:id="465"/>
      <w:r>
        <w:fldChar w:fldCharType="begin"/>
      </w:r>
      <w:r>
        <w:instrText xml:space="preserve"> XE </w:instrText>
      </w:r>
      <w:r w:rsidR="00FA7E65">
        <w:instrText>“</w:instrText>
      </w:r>
      <w:r>
        <w:instrText>Patient Se</w:instrText>
      </w:r>
      <w:r w:rsidR="00045ED7">
        <w:instrText>arch Screen</w:instrText>
      </w:r>
      <w:r w:rsidR="00FA7E65">
        <w:instrText>”</w:instrText>
      </w:r>
      <w:r>
        <w:instrText xml:space="preserve"> </w:instrText>
      </w:r>
      <w:r>
        <w:fldChar w:fldCharType="end"/>
      </w:r>
      <w:r w:rsidR="00AE23F9">
        <w:t xml:space="preserve"> </w:t>
      </w:r>
      <w:r w:rsidR="00AE23F9" w:rsidRPr="00AE23F9">
        <w:rPr>
          <w:rFonts w:ascii="Times New Roman" w:hAnsi="Times New Roman" w:cs="Times New Roman"/>
          <w:b w:val="0"/>
          <w:i w:val="0"/>
          <w:vanish/>
          <w:sz w:val="22"/>
        </w:rPr>
        <w:t>UC_113</w:t>
      </w:r>
    </w:p>
    <w:p w:rsidR="007D7738" w:rsidRDefault="007D7738" w:rsidP="007D7738">
      <w:pPr>
        <w:pStyle w:val="BodyText"/>
      </w:pPr>
      <w:r>
        <w:t>VBECS display</w:t>
      </w:r>
      <w:r w:rsidR="00F6243D">
        <w:t xml:space="preserve">s the Patient Search screen to search for a specific patient </w:t>
      </w:r>
      <w:r w:rsidR="000D4240">
        <w:t>in</w:t>
      </w:r>
      <w:r w:rsidR="00F6243D">
        <w:t xml:space="preserve"> VBECS</w:t>
      </w:r>
      <w:r>
        <w:t>.</w:t>
      </w:r>
      <w:r w:rsidR="00A537E6">
        <w:t xml:space="preserve"> </w:t>
      </w:r>
    </w:p>
    <w:p w:rsidR="00AE23F9" w:rsidRDefault="00AE23F9" w:rsidP="00AE23F9">
      <w:pPr>
        <w:pStyle w:val="Heading4"/>
      </w:pPr>
      <w:r>
        <w:t>Assumptions</w:t>
      </w:r>
    </w:p>
    <w:p w:rsidR="00AE23F9" w:rsidRDefault="00B44B37" w:rsidP="00AE23F9">
      <w:pPr>
        <w:pStyle w:val="ListBullet"/>
      </w:pPr>
      <w:r>
        <w:t>The patient record exists in VBECS with the exception of specific searches that return patient information from VistA.</w:t>
      </w:r>
      <w:r w:rsidR="00E309DC">
        <w:t xml:space="preserve"> For the Edit Unit Information, Incoming Shipment, and Document ABO Incompatible Transfusion options, VBECS searches VistA.</w:t>
      </w:r>
    </w:p>
    <w:p w:rsidR="00AE23F9" w:rsidRDefault="00AE23F9" w:rsidP="00AE23F9">
      <w:pPr>
        <w:pStyle w:val="Heading4"/>
      </w:pPr>
      <w:r>
        <w:t>Outcome</w:t>
      </w:r>
    </w:p>
    <w:p w:rsidR="00AE23F9" w:rsidRDefault="00B44B37" w:rsidP="00AE23F9">
      <w:pPr>
        <w:pStyle w:val="ListBullet"/>
      </w:pPr>
      <w:r>
        <w:t>VBECS presents the user with a list of patients for selection based on their search input.</w:t>
      </w:r>
    </w:p>
    <w:p w:rsidR="00AE23F9" w:rsidRDefault="00AE23F9" w:rsidP="00AE23F9">
      <w:pPr>
        <w:pStyle w:val="Heading4"/>
      </w:pPr>
      <w:r>
        <w:t>Limitations and Restrictions</w:t>
      </w:r>
    </w:p>
    <w:p w:rsidR="00AE23F9" w:rsidRDefault="00AE23F9" w:rsidP="00AE23F9">
      <w:pPr>
        <w:pStyle w:val="ListBullet"/>
      </w:pPr>
      <w:r w:rsidRPr="00AE23F9">
        <w:t>None.</w:t>
      </w:r>
    </w:p>
    <w:p w:rsidR="00AE23F9" w:rsidRDefault="00AE23F9" w:rsidP="00AE23F9">
      <w:pPr>
        <w:pStyle w:val="Heading4"/>
      </w:pPr>
      <w:r>
        <w:t>Additional Information</w:t>
      </w:r>
    </w:p>
    <w:p w:rsidR="00AE23F9" w:rsidRDefault="009A78E5" w:rsidP="00AE23F9">
      <w:pPr>
        <w:pStyle w:val="ListBullet"/>
      </w:pPr>
      <w:r>
        <w:t>The Patient Search Screen is used by options throughout VBECS to select patients.</w:t>
      </w:r>
    </w:p>
    <w:p w:rsidR="00C91824" w:rsidRDefault="00C91824" w:rsidP="00C91824">
      <w:pPr>
        <w:pStyle w:val="ListBullet"/>
      </w:pPr>
      <w:r>
        <w:t xml:space="preserve">The Patient Location displayed in </w:t>
      </w:r>
      <w:r w:rsidR="00D36FE1">
        <w:fldChar w:fldCharType="begin"/>
      </w:r>
      <w:r w:rsidR="00D36FE1">
        <w:instrText xml:space="preserve"> REF _Ref126726055 \h </w:instrText>
      </w:r>
      <w:r w:rsidR="00D36FE1">
        <w:fldChar w:fldCharType="separate"/>
      </w:r>
      <w:r w:rsidR="005F38BC">
        <w:t xml:space="preserve">Figure </w:t>
      </w:r>
      <w:r w:rsidR="005F38BC">
        <w:rPr>
          <w:noProof/>
        </w:rPr>
        <w:t>114</w:t>
      </w:r>
      <w:r w:rsidR="00D36FE1">
        <w:fldChar w:fldCharType="end"/>
      </w:r>
      <w:r>
        <w:t xml:space="preserve"> is either a representation of the location provided by the subscription to Admit, Discharge and Transfer events or in the event that a patient has been discharged</w:t>
      </w:r>
      <w:r w:rsidR="00D36FE1">
        <w:t>,</w:t>
      </w:r>
      <w:r>
        <w:t xml:space="preserve"> the location displayed could be the location where a CPRS order was placed for the patient. Once a patient is admitted, the location will be updated with the location at time of admission. If a patient is discharged and no orders are placed for the patient post discharge, no location will be provided. </w:t>
      </w:r>
      <w:r w:rsidRPr="00D36FE1">
        <w:rPr>
          <w:vanish/>
        </w:rPr>
        <w:t>DR 4989</w:t>
      </w:r>
    </w:p>
    <w:p w:rsidR="00AE23F9" w:rsidRDefault="00AE23F9" w:rsidP="00AE23F9">
      <w:pPr>
        <w:pStyle w:val="Heading4"/>
      </w:pPr>
      <w:r>
        <w:t>User Roles with Access to This Option</w:t>
      </w:r>
    </w:p>
    <w:p w:rsidR="00AE23F9" w:rsidRDefault="00AE23F9" w:rsidP="00AE23F9">
      <w:pPr>
        <w:pStyle w:val="Roles"/>
      </w:pPr>
      <w:r>
        <w:t>All users</w:t>
      </w:r>
    </w:p>
    <w:p w:rsidR="00AE23F9" w:rsidRDefault="00B173E0" w:rsidP="00AE23F9">
      <w:pPr>
        <w:pStyle w:val="Heading4"/>
      </w:pPr>
      <w:r>
        <w:t>Patient Search Screen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BC664F">
        <w:tblPrEx>
          <w:tblCellMar>
            <w:top w:w="0" w:type="dxa"/>
            <w:bottom w:w="0" w:type="dxa"/>
          </w:tblCellMar>
        </w:tblPrEx>
        <w:trPr>
          <w:cantSplit/>
          <w:tblHeader/>
        </w:trPr>
        <w:tc>
          <w:tcPr>
            <w:tcW w:w="3240" w:type="dxa"/>
            <w:shd w:val="pct30" w:color="auto" w:fill="FFFFFF"/>
            <w:vAlign w:val="bottom"/>
          </w:tcPr>
          <w:p w:rsidR="00BC664F" w:rsidRDefault="00BC664F" w:rsidP="00601F55">
            <w:pPr>
              <w:pStyle w:val="TableText"/>
              <w:rPr>
                <w:b/>
              </w:rPr>
            </w:pPr>
            <w:r>
              <w:rPr>
                <w:b/>
              </w:rPr>
              <w:t>User Action</w:t>
            </w:r>
          </w:p>
        </w:tc>
        <w:tc>
          <w:tcPr>
            <w:tcW w:w="6120" w:type="dxa"/>
            <w:shd w:val="pct30" w:color="auto" w:fill="FFFFFF"/>
            <w:vAlign w:val="bottom"/>
          </w:tcPr>
          <w:p w:rsidR="00BC664F" w:rsidRDefault="00BC664F" w:rsidP="00601F55">
            <w:pPr>
              <w:pStyle w:val="TableText"/>
              <w:rPr>
                <w:b/>
              </w:rPr>
            </w:pPr>
            <w:r>
              <w:rPr>
                <w:b/>
              </w:rPr>
              <w:t>VBECS</w:t>
            </w:r>
          </w:p>
        </w:tc>
      </w:tr>
      <w:tr w:rsidR="006178E5">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323F55" w:rsidRDefault="00323F55" w:rsidP="008E012C">
            <w:pPr>
              <w:pStyle w:val="TableTextNumbers"/>
            </w:pPr>
            <w:r>
              <w:t xml:space="preserve">To </w:t>
            </w:r>
            <w:r w:rsidR="006129D0">
              <w:t>access the Patient Search screen, open on</w:t>
            </w:r>
            <w:r w:rsidR="00F26575">
              <w:t>e</w:t>
            </w:r>
            <w:r w:rsidR="006129D0">
              <w:t xml:space="preserve"> of the options listed in Notes. To </w:t>
            </w:r>
            <w:r w:rsidR="007554C5">
              <w:t>search for</w:t>
            </w:r>
            <w:r>
              <w:t xml:space="preserve"> a patient</w:t>
            </w:r>
            <w:r w:rsidR="008E012C">
              <w:t>, e</w:t>
            </w:r>
            <w:r>
              <w:t>nter the p</w:t>
            </w:r>
            <w:r w:rsidR="00DD4445">
              <w:t xml:space="preserve">atient’s </w:t>
            </w:r>
            <w:r w:rsidR="009310A7">
              <w:t xml:space="preserve">full </w:t>
            </w:r>
            <w:r w:rsidR="006178E5">
              <w:t>name</w:t>
            </w:r>
            <w:r w:rsidR="006C1277">
              <w:t xml:space="preserve"> (last name first) </w:t>
            </w:r>
            <w:r w:rsidR="006178E5">
              <w:t>or ID</w:t>
            </w:r>
            <w:r w:rsidR="00EE7A38">
              <w:t xml:space="preserve"> (</w:t>
            </w:r>
            <w:r w:rsidR="00EE7A38">
              <w:fldChar w:fldCharType="begin"/>
            </w:r>
            <w:r w:rsidR="00EE7A38">
              <w:instrText xml:space="preserve"> REF _Ref126726055 \h </w:instrText>
            </w:r>
            <w:r w:rsidR="00EE7A38">
              <w:fldChar w:fldCharType="separate"/>
            </w:r>
            <w:r w:rsidR="005F38BC">
              <w:t xml:space="preserve">Figure </w:t>
            </w:r>
            <w:r w:rsidR="005F38BC">
              <w:rPr>
                <w:noProof/>
              </w:rPr>
              <w:t>114</w:t>
            </w:r>
            <w:r w:rsidR="00EE7A38">
              <w:fldChar w:fldCharType="end"/>
            </w:r>
            <w:r w:rsidR="00EE7A38">
              <w:t>)</w:t>
            </w:r>
            <w:r>
              <w:t>,</w:t>
            </w:r>
            <w:r w:rsidR="00DD4445">
              <w:t xml:space="preserve"> </w:t>
            </w:r>
            <w:r w:rsidR="00D67ABB">
              <w:t>or</w:t>
            </w:r>
          </w:p>
          <w:p w:rsidR="008E012C" w:rsidRDefault="008E012C" w:rsidP="008E012C">
            <w:pPr>
              <w:pStyle w:val="TableTextNumbersContinued"/>
            </w:pPr>
          </w:p>
          <w:p w:rsidR="007554C5" w:rsidRDefault="00323F55" w:rsidP="008E012C">
            <w:pPr>
              <w:pStyle w:val="TableTextNumbersContinued"/>
            </w:pPr>
            <w:r>
              <w:t>Enter the last four digits of the ID</w:t>
            </w:r>
            <w:r w:rsidR="00E133A1">
              <w:t xml:space="preserve">, </w:t>
            </w:r>
            <w:r w:rsidR="00D67ABB">
              <w:t xml:space="preserve">or </w:t>
            </w:r>
            <w:r>
              <w:t>the initial of the last name and the last four digits of the ID,</w:t>
            </w:r>
            <w:r w:rsidR="000A4886">
              <w:t xml:space="preserve"> </w:t>
            </w:r>
            <w:r w:rsidR="00D67ABB">
              <w:t>and c</w:t>
            </w:r>
            <w:r w:rsidR="000A4886">
              <w:t xml:space="preserve">lick </w:t>
            </w:r>
            <w:r w:rsidR="000A4886" w:rsidRPr="000A4886">
              <w:rPr>
                <w:b/>
              </w:rPr>
              <w:t>Search</w:t>
            </w:r>
            <w:r w:rsidR="000A4886">
              <w:t>.</w:t>
            </w:r>
          </w:p>
        </w:tc>
        <w:tc>
          <w:tcPr>
            <w:tcW w:w="6120" w:type="dxa"/>
            <w:tcBorders>
              <w:top w:val="single" w:sz="4" w:space="0" w:color="auto"/>
              <w:left w:val="single" w:sz="4" w:space="0" w:color="auto"/>
              <w:bottom w:val="single" w:sz="4" w:space="0" w:color="auto"/>
              <w:right w:val="single" w:sz="4" w:space="0" w:color="auto"/>
            </w:tcBorders>
          </w:tcPr>
          <w:p w:rsidR="006129D0" w:rsidRDefault="006129D0" w:rsidP="006178E5">
            <w:pPr>
              <w:pStyle w:val="TableTextBullet"/>
            </w:pPr>
            <w:r>
              <w:t>Displays the Patient Search screen.</w:t>
            </w:r>
          </w:p>
          <w:p w:rsidR="006178E5" w:rsidRDefault="007554C5" w:rsidP="006178E5">
            <w:pPr>
              <w:pStyle w:val="TableTextBullet"/>
            </w:pPr>
            <w:r>
              <w:t>Lists patients that meet the search criteria.</w:t>
            </w:r>
          </w:p>
          <w:p w:rsidR="006129D0" w:rsidRDefault="006129D0" w:rsidP="006129D0">
            <w:pPr>
              <w:pStyle w:val="TableText"/>
            </w:pPr>
          </w:p>
          <w:p w:rsidR="006129D0" w:rsidRDefault="00634BFC" w:rsidP="006129D0">
            <w:pPr>
              <w:pStyle w:val="TableText"/>
              <w:rPr>
                <w:b/>
                <w:bCs/>
                <w:szCs w:val="18"/>
              </w:rPr>
            </w:pPr>
            <w:r>
              <w:rPr>
                <w:b/>
                <w:bCs/>
                <w:noProof/>
              </w:rPr>
              <mc:AlternateContent>
                <mc:Choice Requires="wps">
                  <w:drawing>
                    <wp:anchor distT="0" distB="0" distL="114300" distR="114300" simplePos="0" relativeHeight="25176832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92" name="Line 1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6" o:spid="_x0000_s1026" style="position:absolute;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mZ2FQIAAC4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K8e&#10;ZnYVAgAALgQAAA4AAAAAAAAAAAAAAAAALgIAAGRycy9lMm9Eb2MueG1sUEsBAi0AFAAGAAgAAAAh&#10;ABdPMBLbAAAACAEAAA8AAAAAAAAAAAAAAAAAbwQAAGRycy9kb3ducmV2LnhtbFBLBQYAAAAABAAE&#10;APMAAAB3BQAAAAA=&#10;" strokeweight="1.5pt"/>
                  </w:pict>
                </mc:Fallback>
              </mc:AlternateContent>
            </w:r>
            <w:r w:rsidR="006129D0">
              <w:rPr>
                <w:b/>
                <w:bCs/>
                <w:szCs w:val="18"/>
              </w:rPr>
              <w:t>NOTES</w:t>
            </w:r>
          </w:p>
          <w:p w:rsidR="006129D0" w:rsidRDefault="006129D0" w:rsidP="006129D0">
            <w:pPr>
              <w:pStyle w:val="NotesText"/>
            </w:pPr>
          </w:p>
          <w:p w:rsidR="006129D0" w:rsidRPr="006129D0" w:rsidRDefault="006129D0" w:rsidP="006129D0">
            <w:pPr>
              <w:pStyle w:val="NotesText"/>
            </w:pPr>
            <w:r>
              <w:t xml:space="preserve">Options that allow the user to search for a patient: </w:t>
            </w:r>
          </w:p>
          <w:p w:rsidR="005125FD" w:rsidRDefault="006129D0" w:rsidP="005125FD">
            <w:pPr>
              <w:pStyle w:val="NotesTextBullet"/>
            </w:pPr>
            <w:r>
              <w:rPr>
                <w:b/>
              </w:rPr>
              <w:t xml:space="preserve">Blood Units </w:t>
            </w:r>
            <w:r w:rsidRPr="00AC51A5">
              <w:t xml:space="preserve">from the main menu. Select </w:t>
            </w:r>
            <w:r>
              <w:rPr>
                <w:b/>
              </w:rPr>
              <w:t xml:space="preserve">Edit Unit Information </w:t>
            </w:r>
            <w:r>
              <w:t>(for restricted units only)</w:t>
            </w:r>
            <w:r w:rsidRPr="00AC51A5">
              <w:t>.</w:t>
            </w:r>
          </w:p>
          <w:p w:rsidR="006129D0" w:rsidRDefault="006129D0" w:rsidP="005125FD">
            <w:pPr>
              <w:pStyle w:val="NotesTextBullet"/>
            </w:pPr>
            <w:r w:rsidRPr="00214097">
              <w:rPr>
                <w:b/>
              </w:rPr>
              <w:t>Patients</w:t>
            </w:r>
            <w:r>
              <w:t xml:space="preserve"> from the main menu. Select:</w:t>
            </w:r>
          </w:p>
          <w:p w:rsidR="006129D0" w:rsidRPr="00214097" w:rsidRDefault="006129D0" w:rsidP="00DE6289">
            <w:pPr>
              <w:pStyle w:val="NotesTextBullet1"/>
            </w:pPr>
            <w:r w:rsidRPr="00214097">
              <w:t>Recent Orders</w:t>
            </w:r>
          </w:p>
          <w:p w:rsidR="006129D0" w:rsidRPr="00214097" w:rsidRDefault="006129D0" w:rsidP="00DE6289">
            <w:pPr>
              <w:pStyle w:val="NotesTextBullet1"/>
            </w:pPr>
            <w:r w:rsidRPr="00214097">
              <w:t>Blood Availability</w:t>
            </w:r>
          </w:p>
          <w:p w:rsidR="006129D0" w:rsidRDefault="006129D0" w:rsidP="00DE6289">
            <w:pPr>
              <w:pStyle w:val="NotesTextBullet1"/>
            </w:pPr>
            <w:r w:rsidRPr="00214097">
              <w:t xml:space="preserve">Recent Transfusions/Issued Units </w:t>
            </w:r>
          </w:p>
          <w:p w:rsidR="006129D0" w:rsidRDefault="006129D0" w:rsidP="00DE6289">
            <w:pPr>
              <w:pStyle w:val="NotesTextBullet1"/>
            </w:pPr>
            <w:r w:rsidRPr="00214097">
              <w:t>Patient Testing Worklist Report</w:t>
            </w:r>
          </w:p>
          <w:p w:rsidR="006129D0" w:rsidRPr="00214097" w:rsidRDefault="006129D0" w:rsidP="00DE6289">
            <w:pPr>
              <w:pStyle w:val="NotesTextBullet1"/>
            </w:pPr>
            <w:r w:rsidRPr="00214097">
              <w:t>Print Unit Caution Tag &amp; Transfusion Record Form</w:t>
            </w:r>
          </w:p>
          <w:p w:rsidR="006129D0" w:rsidRDefault="006129D0" w:rsidP="00DE6289">
            <w:pPr>
              <w:pStyle w:val="NotesTextBullet1"/>
            </w:pPr>
            <w:r>
              <w:t>Issue Blood Components</w:t>
            </w:r>
          </w:p>
          <w:p w:rsidR="006129D0" w:rsidRDefault="006129D0" w:rsidP="00DE6289">
            <w:pPr>
              <w:pStyle w:val="NotesTextBullet1"/>
            </w:pPr>
            <w:r w:rsidRPr="00214097">
              <w:t>Post-Transfusion Information</w:t>
            </w:r>
          </w:p>
          <w:p w:rsidR="006129D0" w:rsidRPr="00214097" w:rsidRDefault="006129D0" w:rsidP="00DE6289">
            <w:pPr>
              <w:pStyle w:val="NotesTextBullet1"/>
            </w:pPr>
            <w:r w:rsidRPr="00214097">
              <w:t>Return Issued Units To Blood Bank</w:t>
            </w:r>
            <w:r>
              <w:t xml:space="preserve"> and click </w:t>
            </w:r>
            <w:r w:rsidRPr="00D53FD3">
              <w:t>OK</w:t>
            </w:r>
            <w:r>
              <w:t>.</w:t>
            </w:r>
          </w:p>
          <w:p w:rsidR="006129D0" w:rsidRPr="00214097" w:rsidRDefault="006129D0" w:rsidP="00DE6289">
            <w:pPr>
              <w:pStyle w:val="NotesTextBullet1"/>
            </w:pPr>
            <w:r w:rsidRPr="00214097">
              <w:t xml:space="preserve">Special Instructions &amp; Transfusion Requirements </w:t>
            </w:r>
          </w:p>
          <w:p w:rsidR="006129D0" w:rsidRPr="00214097" w:rsidRDefault="006129D0" w:rsidP="00DE6289">
            <w:pPr>
              <w:pStyle w:val="NotesTextBullet1"/>
            </w:pPr>
            <w:r>
              <w:t>Transfusion Reaction History</w:t>
            </w:r>
          </w:p>
          <w:p w:rsidR="006129D0" w:rsidRPr="00214097" w:rsidRDefault="006129D0" w:rsidP="00DE6289">
            <w:pPr>
              <w:pStyle w:val="NotesTextBullet1"/>
            </w:pPr>
            <w:r w:rsidRPr="00214097">
              <w:lastRenderedPageBreak/>
              <w:t>Patient History Report</w:t>
            </w:r>
          </w:p>
          <w:p w:rsidR="006129D0" w:rsidRDefault="006129D0" w:rsidP="005125FD">
            <w:pPr>
              <w:pStyle w:val="NotesTextBullet"/>
            </w:pPr>
            <w:r w:rsidRPr="00214097">
              <w:rPr>
                <w:b/>
              </w:rPr>
              <w:t>Shipments</w:t>
            </w:r>
            <w:r>
              <w:t xml:space="preserve"> from the main menu. Select </w:t>
            </w:r>
            <w:r w:rsidRPr="00214097">
              <w:rPr>
                <w:b/>
              </w:rPr>
              <w:t>Incoming Shipment</w:t>
            </w:r>
            <w:r>
              <w:t xml:space="preserve"> (for restricted units only).</w:t>
            </w:r>
          </w:p>
          <w:p w:rsidR="006129D0" w:rsidRPr="00214097" w:rsidRDefault="006129D0" w:rsidP="005125FD">
            <w:pPr>
              <w:pStyle w:val="NotesTextBullet"/>
            </w:pPr>
            <w:r w:rsidRPr="00A60522">
              <w:rPr>
                <w:b/>
              </w:rPr>
              <w:t>Orders</w:t>
            </w:r>
            <w:r>
              <w:t xml:space="preserve"> from the main menu. Select </w:t>
            </w:r>
            <w:r w:rsidRPr="00A60522">
              <w:rPr>
                <w:b/>
              </w:rPr>
              <w:t>Recent Patient Orders</w:t>
            </w:r>
            <w:r>
              <w:t>.</w:t>
            </w:r>
          </w:p>
          <w:p w:rsidR="006129D0" w:rsidRDefault="006129D0" w:rsidP="005125FD">
            <w:pPr>
              <w:pStyle w:val="NotesTextBullet"/>
            </w:pPr>
            <w:r w:rsidRPr="00214097">
              <w:rPr>
                <w:b/>
              </w:rPr>
              <w:t>Reports</w:t>
            </w:r>
            <w:r>
              <w:t xml:space="preserve"> from the main menu. Select:</w:t>
            </w:r>
          </w:p>
          <w:p w:rsidR="006129D0" w:rsidRDefault="006129D0" w:rsidP="00DE6289">
            <w:pPr>
              <w:pStyle w:val="NotesTextBullet1"/>
              <w:rPr>
                <w:b/>
              </w:rPr>
            </w:pPr>
            <w:r>
              <w:rPr>
                <w:b/>
              </w:rPr>
              <w:t>Blood Availability</w:t>
            </w:r>
            <w:r>
              <w:t xml:space="preserve"> (for individual patient only)</w:t>
            </w:r>
          </w:p>
          <w:p w:rsidR="006129D0" w:rsidRPr="00214097" w:rsidRDefault="006129D0" w:rsidP="00DE6289">
            <w:pPr>
              <w:pStyle w:val="NotesTextBullet1"/>
              <w:rPr>
                <w:b/>
              </w:rPr>
            </w:pPr>
            <w:r w:rsidRPr="00214097">
              <w:rPr>
                <w:b/>
              </w:rPr>
              <w:t>Medication Profile</w:t>
            </w:r>
          </w:p>
          <w:p w:rsidR="006129D0" w:rsidRPr="00214097" w:rsidRDefault="006129D0" w:rsidP="00DE6289">
            <w:pPr>
              <w:pStyle w:val="NotesTextBullet1"/>
              <w:rPr>
                <w:b/>
              </w:rPr>
            </w:pPr>
            <w:r w:rsidRPr="00214097">
              <w:rPr>
                <w:b/>
              </w:rPr>
              <w:t>Patient History Report</w:t>
            </w:r>
          </w:p>
          <w:p w:rsidR="006129D0" w:rsidRDefault="006129D0" w:rsidP="00DE6289">
            <w:pPr>
              <w:pStyle w:val="NotesTextBullet1"/>
            </w:pPr>
            <w:r w:rsidRPr="00214097">
              <w:rPr>
                <w:b/>
              </w:rPr>
              <w:t>Transfusion Effectiveness Report</w:t>
            </w:r>
            <w:r>
              <w:t xml:space="preserve"> (for individual patient report only)</w:t>
            </w:r>
          </w:p>
          <w:p w:rsidR="006129D0" w:rsidRDefault="006129D0" w:rsidP="005125FD">
            <w:pPr>
              <w:pStyle w:val="NotesTextBullet"/>
            </w:pPr>
            <w:r w:rsidRPr="00214097">
              <w:rPr>
                <w:b/>
              </w:rPr>
              <w:t>Supervisor</w:t>
            </w:r>
            <w:r>
              <w:t xml:space="preserve"> from the main menu. Select:</w:t>
            </w:r>
          </w:p>
          <w:p w:rsidR="006129D0" w:rsidRPr="0095508A" w:rsidRDefault="006129D0" w:rsidP="00DE6289">
            <w:pPr>
              <w:pStyle w:val="NotesTextBullet1"/>
            </w:pPr>
            <w:r w:rsidRPr="0095508A">
              <w:t>Document ABO Incompatible Transfusion</w:t>
            </w:r>
          </w:p>
          <w:p w:rsidR="006129D0" w:rsidRDefault="006129D0" w:rsidP="00A4517B">
            <w:pPr>
              <w:pStyle w:val="NotesTextBullet1"/>
            </w:pPr>
            <w:r w:rsidRPr="005125FD">
              <w:t>Justify</w:t>
            </w:r>
            <w:r w:rsidRPr="0095508A">
              <w:t xml:space="preserve"> ABO/Rh Change</w:t>
            </w:r>
          </w:p>
        </w:tc>
      </w:tr>
      <w:tr w:rsidR="000A4886">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0A4886" w:rsidRDefault="007554C5" w:rsidP="00214097">
            <w:pPr>
              <w:pStyle w:val="TableTextNumbers"/>
            </w:pPr>
            <w:r>
              <w:lastRenderedPageBreak/>
              <w:t>Select a patient from the list</w:t>
            </w:r>
            <w:r w:rsidR="00250CF9">
              <w:t xml:space="preserve">. </w:t>
            </w:r>
            <w:r w:rsidR="00250CF9">
              <w:rPr>
                <w:rStyle w:val="TableTextNumbersChar"/>
                <w:vanish/>
                <w:color w:val="FFFFFF"/>
                <w:szCs w:val="18"/>
              </w:rPr>
              <w:fldChar w:fldCharType="begin"/>
            </w:r>
            <w:r w:rsidR="00250CF9">
              <w:rPr>
                <w:rStyle w:val="TableTextNumbersChar"/>
                <w:vanish/>
                <w:color w:val="FFFFFF"/>
                <w:szCs w:val="18"/>
              </w:rPr>
              <w:instrText xml:space="preserve"> LISTNUM \l 1 \s 0 </w:instrText>
            </w:r>
            <w:r w:rsidR="00250CF9">
              <w:rPr>
                <w:rStyle w:val="TableTextNumbersCha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rsidR="000A4886" w:rsidRDefault="007554C5" w:rsidP="006178E5">
            <w:pPr>
              <w:pStyle w:val="TableTextBullet"/>
            </w:pPr>
            <w:r>
              <w:t>Displays patient-associated data.</w:t>
            </w:r>
          </w:p>
          <w:p w:rsidR="007554C5" w:rsidRDefault="007554C5" w:rsidP="006178E5">
            <w:pPr>
              <w:pStyle w:val="TableTextBullet"/>
            </w:pPr>
            <w:r>
              <w:t>Displays the Patient Information Toolbar.</w:t>
            </w:r>
          </w:p>
          <w:p w:rsidR="00D1493E" w:rsidRDefault="00797BC0" w:rsidP="00D1493E">
            <w:pPr>
              <w:pStyle w:val="TableTextBullet"/>
            </w:pPr>
            <w:r>
              <w:t>Displays Special Instructions (SIs) and Transfusion Requirements (TRs)</w:t>
            </w:r>
            <w:r w:rsidR="00BC2C05">
              <w:t>, when appropriate.</w:t>
            </w:r>
            <w:r w:rsidR="00D1493E">
              <w:t xml:space="preserve"> </w:t>
            </w:r>
          </w:p>
          <w:p w:rsidR="00D1493E" w:rsidRDefault="00D1493E" w:rsidP="00D1493E">
            <w:pPr>
              <w:pStyle w:val="TableText"/>
            </w:pPr>
          </w:p>
          <w:p w:rsidR="00D1493E" w:rsidRDefault="00634BFC" w:rsidP="00D1493E">
            <w:pPr>
              <w:pStyle w:val="TableText"/>
              <w:rPr>
                <w:b/>
                <w:bCs/>
                <w:szCs w:val="18"/>
              </w:rPr>
            </w:pPr>
            <w:r>
              <w:rPr>
                <w:b/>
                <w:bCs/>
                <w:noProof/>
              </w:rPr>
              <mc:AlternateContent>
                <mc:Choice Requires="wps">
                  <w:drawing>
                    <wp:anchor distT="0" distB="0" distL="114300" distR="114300" simplePos="0" relativeHeight="25179289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91" name="Line 1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1" o:spid="_x0000_s1026" style="position:absolute;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ajoFwIAAC4EAAAOAAAAZHJzL2Uyb0RvYy54bWysU8uu2jAQ3VfqP1jeQxLIpR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" strokeweight="1.5pt"/>
                  </w:pict>
                </mc:Fallback>
              </mc:AlternateContent>
            </w:r>
            <w:r w:rsidR="00D1493E">
              <w:rPr>
                <w:b/>
                <w:bCs/>
                <w:szCs w:val="18"/>
              </w:rPr>
              <w:t>NOTES</w:t>
            </w:r>
          </w:p>
          <w:p w:rsidR="00797BC0" w:rsidRDefault="00797BC0" w:rsidP="00D1493E">
            <w:pPr>
              <w:pStyle w:val="TableTextBullet"/>
              <w:numPr>
                <w:ilvl w:val="0"/>
                <w:numId w:val="0"/>
              </w:numPr>
              <w:ind w:left="720"/>
            </w:pPr>
          </w:p>
          <w:p w:rsidR="00D1493E" w:rsidRPr="000F37DC" w:rsidRDefault="00D1493E" w:rsidP="00D1493E">
            <w:pPr>
              <w:pStyle w:val="TableTextBullet"/>
              <w:numPr>
                <w:ilvl w:val="0"/>
                <w:numId w:val="0"/>
              </w:numPr>
              <w:ind w:left="720"/>
              <w:rPr>
                <w:vanish/>
              </w:rPr>
            </w:pPr>
            <w:r>
              <w:rPr>
                <w:rFonts w:cs="Arial"/>
              </w:rPr>
              <w:t>Displays a message when the user selects a patient with a blank first or last name, or the name is too long. The user is instructed to contact the VBECS Administrator for assistance.</w:t>
            </w:r>
            <w:r w:rsidR="000F37DC">
              <w:rPr>
                <w:rFonts w:cs="Arial"/>
              </w:rPr>
              <w:t xml:space="preserve"> </w:t>
            </w:r>
            <w:r w:rsidR="000F37DC" w:rsidRPr="00AB3B2D">
              <w:rPr>
                <w:rFonts w:cs="Arial"/>
                <w:vanish/>
              </w:rPr>
              <w:t>DR 3444</w:t>
            </w:r>
          </w:p>
        </w:tc>
      </w:tr>
    </w:tbl>
    <w:p w:rsidR="00102700" w:rsidRDefault="00102700" w:rsidP="00102700">
      <w:pPr>
        <w:pStyle w:val="Caption"/>
      </w:pPr>
      <w:bookmarkStart w:id="466" w:name="_Ref126726055"/>
      <w:r>
        <w:t xml:space="preserve">Figure </w:t>
      </w:r>
      <w:r w:rsidR="00C17F7C">
        <w:fldChar w:fldCharType="begin"/>
      </w:r>
      <w:r w:rsidR="00C17F7C">
        <w:instrText xml:space="preserve"> SEQ Figure \* ARABIC </w:instrText>
      </w:r>
      <w:r w:rsidR="00C17F7C">
        <w:fldChar w:fldCharType="separate"/>
      </w:r>
      <w:r w:rsidR="005F38BC">
        <w:rPr>
          <w:noProof/>
        </w:rPr>
        <w:t>114</w:t>
      </w:r>
      <w:r w:rsidR="00C17F7C">
        <w:fldChar w:fldCharType="end"/>
      </w:r>
      <w:bookmarkEnd w:id="466"/>
      <w:r w:rsidR="00EE7A38">
        <w:t>: Patient Search</w:t>
      </w:r>
    </w:p>
    <w:p w:rsidR="00EE7A38" w:rsidRPr="00EE7A38" w:rsidRDefault="00634BFC" w:rsidP="00EE7A38">
      <w:pPr>
        <w:pStyle w:val="BodyText"/>
      </w:pPr>
      <w:r>
        <w:rPr>
          <w:noProof/>
        </w:rPr>
        <w:drawing>
          <wp:inline distT="0" distB="0" distL="0" distR="0">
            <wp:extent cx="4572000" cy="3152775"/>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572000" cy="3152775"/>
                    </a:xfrm>
                    <a:prstGeom prst="rect">
                      <a:avLst/>
                    </a:prstGeom>
                    <a:noFill/>
                    <a:ln>
                      <a:noFill/>
                    </a:ln>
                  </pic:spPr>
                </pic:pic>
              </a:graphicData>
            </a:graphic>
          </wp:inline>
        </w:drawing>
      </w:r>
    </w:p>
    <w:p w:rsidR="00170060" w:rsidRDefault="0072673B" w:rsidP="00170060">
      <w:pPr>
        <w:pStyle w:val="Heading3"/>
      </w:pPr>
      <w:r>
        <w:br w:type="page"/>
      </w:r>
      <w:bookmarkStart w:id="467" w:name="_Toc459900142"/>
      <w:r w:rsidR="00170060">
        <w:lastRenderedPageBreak/>
        <w:t>Patient Merge</w:t>
      </w:r>
      <w:bookmarkEnd w:id="467"/>
      <w:r w:rsidR="00170060">
        <w:fldChar w:fldCharType="begin"/>
      </w:r>
      <w:r w:rsidR="00170060">
        <w:instrText xml:space="preserve"> XE “Patient Merge” </w:instrText>
      </w:r>
      <w:r w:rsidR="00170060">
        <w:fldChar w:fldCharType="end"/>
      </w:r>
      <w:r w:rsidR="00170060">
        <w:t xml:space="preserve"> </w:t>
      </w:r>
      <w:r w:rsidR="00170060">
        <w:rPr>
          <w:rFonts w:ascii="Times New Roman" w:hAnsi="Times New Roman" w:cs="Times New Roman"/>
          <w:b w:val="0"/>
          <w:vanish/>
          <w:sz w:val="22"/>
        </w:rPr>
        <w:t>UC_68</w:t>
      </w:r>
    </w:p>
    <w:p w:rsidR="00170060" w:rsidRDefault="000075A9" w:rsidP="00170060">
      <w:pPr>
        <w:pStyle w:val="BodyText"/>
      </w:pPr>
      <w:r>
        <w:t xml:space="preserve">VBECS notifies the user of VistA patient merges and displays details for </w:t>
      </w:r>
      <w:r w:rsidR="004437ED">
        <w:t>his</w:t>
      </w:r>
      <w:r>
        <w:t xml:space="preserve"> review.</w:t>
      </w:r>
    </w:p>
    <w:p w:rsidR="00170060" w:rsidRDefault="00170060" w:rsidP="00170060">
      <w:pPr>
        <w:pStyle w:val="Heading4"/>
      </w:pPr>
      <w:r>
        <w:t>Assumptions</w:t>
      </w:r>
      <w:r>
        <w:rPr>
          <w:b w:val="0"/>
        </w:rPr>
        <w:t xml:space="preserve"> </w:t>
      </w:r>
    </w:p>
    <w:p w:rsidR="00170060" w:rsidRDefault="00170060" w:rsidP="00170060">
      <w:pPr>
        <w:pStyle w:val="ListBullet"/>
      </w:pPr>
      <w:r>
        <w:t xml:space="preserve">The connection to </w:t>
      </w:r>
      <w:r w:rsidRPr="00CA0045">
        <w:rPr>
          <w:bCs/>
        </w:rPr>
        <w:t>VistA</w:t>
      </w:r>
      <w:r>
        <w:t xml:space="preserve"> is active.</w:t>
      </w:r>
    </w:p>
    <w:p w:rsidR="00170060" w:rsidRDefault="00170060" w:rsidP="00170060">
      <w:pPr>
        <w:pStyle w:val="ListBullet"/>
      </w:pPr>
      <w:r>
        <w:t xml:space="preserve">VBECS received the message about a </w:t>
      </w:r>
      <w:r w:rsidR="00E8242F">
        <w:t xml:space="preserve">VistA </w:t>
      </w:r>
      <w:r>
        <w:t>patient merge.</w:t>
      </w:r>
    </w:p>
    <w:p w:rsidR="00170060" w:rsidRDefault="00825A62" w:rsidP="00170060">
      <w:pPr>
        <w:pStyle w:val="ListBullet"/>
      </w:pPr>
      <w:r>
        <w:t>VBECS accepts merge messages when either or both the merge from or merge to patients exist in VBECS.</w:t>
      </w:r>
    </w:p>
    <w:p w:rsidR="00170060" w:rsidRDefault="00170060" w:rsidP="00170060">
      <w:pPr>
        <w:pStyle w:val="Heading4"/>
      </w:pPr>
      <w:r>
        <w:t xml:space="preserve">Outcome </w:t>
      </w:r>
    </w:p>
    <w:p w:rsidR="00170060" w:rsidRDefault="00170060" w:rsidP="00170060">
      <w:pPr>
        <w:pStyle w:val="ListBullet"/>
      </w:pPr>
      <w:r>
        <w:t>VBECS notified the user that patient records were merged in VistA.</w:t>
      </w:r>
    </w:p>
    <w:p w:rsidR="00170060" w:rsidRDefault="00170060" w:rsidP="00170060">
      <w:pPr>
        <w:pStyle w:val="Heading4"/>
      </w:pPr>
      <w:r>
        <w:t>Limitations and Restrictions</w:t>
      </w:r>
      <w:r>
        <w:rPr>
          <w:b w:val="0"/>
        </w:rPr>
        <w:t xml:space="preserve"> </w:t>
      </w:r>
    </w:p>
    <w:p w:rsidR="00170060" w:rsidRDefault="00D62E7A" w:rsidP="00170060">
      <w:pPr>
        <w:pStyle w:val="ListBullet"/>
      </w:pPr>
      <w:r w:rsidRPr="00D62E7A">
        <w:rPr>
          <w:vanish/>
        </w:rPr>
        <w:t>DR 2,527</w:t>
      </w:r>
      <w:r>
        <w:rPr>
          <w:vanish/>
        </w:rPr>
        <w:t xml:space="preserve"> </w:t>
      </w:r>
      <w:r w:rsidR="008E7C49">
        <w:t>T</w:t>
      </w:r>
      <w:r w:rsidR="00170060">
        <w:t xml:space="preserve">he </w:t>
      </w:r>
      <w:r w:rsidR="008D32F7">
        <w:t xml:space="preserve">Traditional Supervisor or above </w:t>
      </w:r>
      <w:r w:rsidR="00170060">
        <w:t xml:space="preserve">must </w:t>
      </w:r>
      <w:r w:rsidR="00E8242F">
        <w:t>update patient records</w:t>
      </w:r>
      <w:r w:rsidR="00170060">
        <w:t xml:space="preserve"> manually.</w:t>
      </w:r>
    </w:p>
    <w:p w:rsidR="008D32F7" w:rsidRDefault="00E8242F" w:rsidP="00170060">
      <w:pPr>
        <w:pStyle w:val="ListBullet"/>
      </w:pPr>
      <w:r>
        <w:t xml:space="preserve">VBECS does not notify users of additional VistA patient updates or merges while the icon is displayed. </w:t>
      </w:r>
      <w:r w:rsidR="008D32F7">
        <w:t xml:space="preserve">When a user views an update and there is </w:t>
      </w:r>
      <w:r>
        <w:t>an unprocessed</w:t>
      </w:r>
      <w:r w:rsidR="008D32F7">
        <w:t xml:space="preserve"> patient merge, the </w:t>
      </w:r>
      <w:r w:rsidR="00D57F25">
        <w:t>Patient Alert icon</w:t>
      </w:r>
      <w:r w:rsidR="008D32F7">
        <w:t xml:space="preserve"> remains on the screen until the Traditional Supervisor completes the </w:t>
      </w:r>
      <w:r>
        <w:t xml:space="preserve">update </w:t>
      </w:r>
      <w:r w:rsidR="008D32F7">
        <w:t xml:space="preserve">and clears the icon. </w:t>
      </w:r>
    </w:p>
    <w:p w:rsidR="005F578B" w:rsidRDefault="005F578B" w:rsidP="00170060">
      <w:pPr>
        <w:pStyle w:val="ListBullet"/>
      </w:pPr>
      <w:r>
        <w:t>Patient merges involving</w:t>
      </w:r>
      <w:r w:rsidRPr="00DD022C">
        <w:t xml:space="preserve"> patient’s with names that exceed the database standard for File #2 (30 characters) or do not have a first or last name in VistA are rejected and do not appear in VBECS. The VBECS System Administrator is notified of each rejection via an email to the address entered in VBECS Administrator “Interface Failure Alert Recipient” field.</w:t>
      </w:r>
    </w:p>
    <w:p w:rsidR="00170060" w:rsidRDefault="00170060" w:rsidP="00170060">
      <w:pPr>
        <w:pStyle w:val="Heading4"/>
      </w:pPr>
      <w:r>
        <w:t xml:space="preserve">Additional Information </w:t>
      </w:r>
    </w:p>
    <w:p w:rsidR="00170060" w:rsidRDefault="00170060" w:rsidP="00170060">
      <w:pPr>
        <w:pStyle w:val="ListBullet"/>
      </w:pPr>
      <w:r>
        <w:t>If more than two records are merged in VistA, VBECS will receive a corresponding number of merge messages.</w:t>
      </w:r>
    </w:p>
    <w:p w:rsidR="00170060" w:rsidRDefault="00170060" w:rsidP="00170060">
      <w:pPr>
        <w:pStyle w:val="Heading4"/>
        <w:rPr>
          <w:b w:val="0"/>
        </w:rPr>
      </w:pPr>
      <w:r>
        <w:t>User Roles with Access to This Option</w:t>
      </w:r>
      <w:r>
        <w:rPr>
          <w:b w:val="0"/>
        </w:rPr>
        <w:t xml:space="preserve"> </w:t>
      </w:r>
    </w:p>
    <w:p w:rsidR="008E2767" w:rsidRPr="008E2767" w:rsidRDefault="008E2767" w:rsidP="00A40D01">
      <w:pPr>
        <w:pStyle w:val="Roles"/>
      </w:pPr>
      <w:r>
        <w:t>All users</w:t>
      </w:r>
    </w:p>
    <w:p w:rsidR="00170060" w:rsidRDefault="00170060" w:rsidP="00170060">
      <w:pPr>
        <w:pStyle w:val="Heading4"/>
      </w:pPr>
      <w:r>
        <w:t>Patient Merge</w:t>
      </w:r>
    </w:p>
    <w:p w:rsidR="002A21AE" w:rsidRDefault="00170060" w:rsidP="00170060">
      <w:pPr>
        <w:pStyle w:val="BodyText"/>
      </w:pPr>
      <w:r>
        <w:t xml:space="preserve">The VBECS user examines records that were merged in VistA and decides whether to </w:t>
      </w:r>
      <w:r w:rsidR="00A415D8">
        <w:t xml:space="preserve">update </w:t>
      </w:r>
      <w:r>
        <w:t>them.</w:t>
      </w:r>
    </w:p>
    <w:p w:rsidR="00F002ED" w:rsidRPr="006F5EC8" w:rsidRDefault="00634BFC" w:rsidP="00F002ED">
      <w:pPr>
        <w:pStyle w:val="Caution"/>
      </w:pPr>
      <w:r>
        <w:rPr>
          <w:i w:val="0"/>
          <w:noProof/>
        </w:rPr>
        <w:drawing>
          <wp:inline distT="0" distB="0" distL="0" distR="0">
            <wp:extent cx="266700" cy="219075"/>
            <wp:effectExtent l="0" t="0" r="0"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F002ED" w:rsidRPr="00413345">
        <w:rPr>
          <w:i w:val="0"/>
        </w:rPr>
        <w:t xml:space="preserve"> </w:t>
      </w:r>
      <w:r w:rsidR="00F002ED" w:rsidRPr="006F5EC8">
        <w:t xml:space="preserve">VBECS </w:t>
      </w:r>
      <w:r w:rsidR="00F002ED">
        <w:t xml:space="preserve">does </w:t>
      </w:r>
      <w:r w:rsidR="00F002ED" w:rsidRPr="006F5EC8">
        <w:t>not create link</w:t>
      </w:r>
      <w:r w:rsidR="00F002ED">
        <w:t>s</w:t>
      </w:r>
      <w:r w:rsidR="00F002ED" w:rsidRPr="006F5EC8">
        <w:t xml:space="preserve"> </w:t>
      </w:r>
      <w:r w:rsidR="00F002ED">
        <w:t>for</w:t>
      </w:r>
      <w:r w:rsidR="00F002ED" w:rsidRPr="006F5EC8">
        <w:t xml:space="preserve"> </w:t>
      </w:r>
      <w:r w:rsidR="00F002ED">
        <w:t>merged</w:t>
      </w:r>
      <w:r w:rsidR="00F002ED" w:rsidRPr="006F5EC8">
        <w:t xml:space="preserve"> records.</w:t>
      </w:r>
      <w:r w:rsidR="00F002ED">
        <w:t xml:space="preserve"> Users must update patient information and Special Instructions to show the merged-patient relationship.</w:t>
      </w:r>
    </w:p>
    <w:p w:rsidR="00B33CCA" w:rsidRPr="00B33CCA" w:rsidRDefault="00B33CCA" w:rsidP="00170060">
      <w:pPr>
        <w:pStyle w:val="BodyText"/>
        <w:rPr>
          <w:sz w:val="4"/>
          <w:szCs w:val="4"/>
        </w:rPr>
      </w:pPr>
    </w:p>
    <w:p w:rsidR="00B33CCA" w:rsidRPr="00E661A1" w:rsidRDefault="00634BFC" w:rsidP="00B33CCA">
      <w:pPr>
        <w:pStyle w:val="Caution"/>
        <w:rPr>
          <w:i w:val="0"/>
        </w:rPr>
      </w:pPr>
      <w:r>
        <w:rPr>
          <w:i w:val="0"/>
          <w:noProof/>
        </w:rPr>
        <w:drawing>
          <wp:inline distT="0" distB="0" distL="0" distR="0">
            <wp:extent cx="266700" cy="219075"/>
            <wp:effectExtent l="0" t="0" r="0"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B33CCA" w:rsidRPr="00413345">
        <w:rPr>
          <w:i w:val="0"/>
        </w:rPr>
        <w:t xml:space="preserve"> </w:t>
      </w:r>
      <w:r w:rsidR="00B33CCA" w:rsidRPr="00E661A1">
        <w:t>Patient merges that do not change the patient name o</w:t>
      </w:r>
      <w:r w:rsidR="00E309DC" w:rsidRPr="00E661A1">
        <w:t>r</w:t>
      </w:r>
      <w:r w:rsidR="00B33CCA" w:rsidRPr="00E661A1">
        <w:t xml:space="preserve"> social security number (e.g. patient record moved to a new DFN) are displayed to the VBECS user. However, the records displayed in the Merge window will not appear to have any differences. Users are advised to contact </w:t>
      </w:r>
      <w:r w:rsidR="00A2613A" w:rsidRPr="00E661A1">
        <w:t>customer</w:t>
      </w:r>
      <w:r w:rsidR="00B33CCA" w:rsidRPr="00E661A1">
        <w:t xml:space="preserve"> support if a record merge of this type occurs.</w:t>
      </w:r>
      <w:r w:rsidR="00B33CCA" w:rsidRPr="00E661A1">
        <w:rPr>
          <w:i w:val="0"/>
        </w:rPr>
        <w:t xml:space="preserve"> </w:t>
      </w:r>
      <w:r w:rsidR="00B33CCA" w:rsidRPr="00E661A1">
        <w:rPr>
          <w:i w:val="0"/>
          <w:vanish/>
        </w:rPr>
        <w:t>DR 4178</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7A00DE">
        <w:tblPrEx>
          <w:tblCellMar>
            <w:top w:w="0" w:type="dxa"/>
            <w:bottom w:w="0" w:type="dxa"/>
          </w:tblCellMar>
        </w:tblPrEx>
        <w:trPr>
          <w:cantSplit/>
          <w:tblHeader/>
        </w:trPr>
        <w:tc>
          <w:tcPr>
            <w:tcW w:w="3240" w:type="dxa"/>
            <w:shd w:val="pct30" w:color="auto" w:fill="FFFFFF"/>
            <w:vAlign w:val="bottom"/>
          </w:tcPr>
          <w:p w:rsidR="007A00DE" w:rsidRDefault="00B33CCA" w:rsidP="007A00DE">
            <w:pPr>
              <w:pStyle w:val="TableText"/>
              <w:rPr>
                <w:b/>
              </w:rPr>
            </w:pPr>
            <w:r w:rsidRPr="00E661A1">
              <w:rPr>
                <w:i/>
              </w:rPr>
              <w:br w:type="page"/>
            </w:r>
            <w:bookmarkStart w:id="468" w:name="_Ref126726239"/>
            <w:r w:rsidR="007A00DE">
              <w:rPr>
                <w:b/>
              </w:rPr>
              <w:t>User Action</w:t>
            </w:r>
          </w:p>
        </w:tc>
        <w:tc>
          <w:tcPr>
            <w:tcW w:w="6120" w:type="dxa"/>
            <w:shd w:val="pct30" w:color="auto" w:fill="FFFFFF"/>
            <w:vAlign w:val="bottom"/>
          </w:tcPr>
          <w:p w:rsidR="007A00DE" w:rsidRDefault="007A00DE" w:rsidP="007A00DE">
            <w:pPr>
              <w:pStyle w:val="TableText"/>
              <w:rPr>
                <w:b/>
              </w:rPr>
            </w:pPr>
            <w:r>
              <w:rPr>
                <w:b/>
              </w:rPr>
              <w:t>VBECS</w:t>
            </w:r>
          </w:p>
        </w:tc>
      </w:tr>
      <w:tr w:rsidR="007A00D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7A00DE" w:rsidRDefault="007A00DE" w:rsidP="007A00DE">
            <w:pPr>
              <w:pStyle w:val="TableTextNumbers"/>
            </w:pPr>
            <w:r>
              <w:t xml:space="preserve">Select </w:t>
            </w:r>
            <w:r>
              <w:rPr>
                <w:b/>
              </w:rPr>
              <w:t>Patients</w:t>
            </w:r>
            <w:r>
              <w:t xml:space="preserve"> from the main menu.</w:t>
            </w:r>
          </w:p>
          <w:p w:rsidR="007A00DE" w:rsidRDefault="007A00DE" w:rsidP="007A00DE">
            <w:pPr>
              <w:pStyle w:val="TableTextNumbersContinued"/>
            </w:pPr>
          </w:p>
          <w:p w:rsidR="007A00DE" w:rsidRDefault="007A00DE" w:rsidP="007A00DE">
            <w:pPr>
              <w:pStyle w:val="TableTextNumbersContinued"/>
            </w:pPr>
            <w:r>
              <w:lastRenderedPageBreak/>
              <w:t xml:space="preserve">Select </w:t>
            </w:r>
            <w:r>
              <w:rPr>
                <w:b/>
              </w:rPr>
              <w:t>Patient Updates</w:t>
            </w:r>
            <w:r>
              <w:t>.</w:t>
            </w:r>
          </w:p>
          <w:p w:rsidR="007A00DE" w:rsidRDefault="007A00DE" w:rsidP="007A00DE">
            <w:pPr>
              <w:pStyle w:val="TableTextNumbersContinued"/>
            </w:pPr>
          </w:p>
          <w:p w:rsidR="007A00DE" w:rsidRDefault="007A00DE" w:rsidP="007A00DE">
            <w:pPr>
              <w:pStyle w:val="TableTextNumbersContinued"/>
            </w:pPr>
            <w:r>
              <w:t xml:space="preserve">Select </w:t>
            </w:r>
            <w:r>
              <w:rPr>
                <w:b/>
              </w:rPr>
              <w:t>Patient Merge</w:t>
            </w:r>
            <w:r>
              <w:t>, or</w:t>
            </w:r>
          </w:p>
          <w:p w:rsidR="007A00DE" w:rsidRDefault="007A00DE" w:rsidP="007A00DE">
            <w:pPr>
              <w:pStyle w:val="TableTextNumbersContinued"/>
            </w:pPr>
          </w:p>
          <w:p w:rsidR="007A00DE" w:rsidRDefault="007A00DE" w:rsidP="007A00DE">
            <w:pPr>
              <w:pStyle w:val="TableTextNumbersContinued"/>
            </w:pPr>
            <w:r>
              <w:t xml:space="preserve">Click </w:t>
            </w:r>
            <w:r w:rsidR="00634BFC">
              <w:rPr>
                <w:noProof/>
              </w:rPr>
              <w:drawing>
                <wp:inline distT="0" distB="0" distL="0" distR="0">
                  <wp:extent cx="161925" cy="152400"/>
                  <wp:effectExtent l="0" t="0" r="9525" b="0"/>
                  <wp:docPr id="219" name="Picture 219"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patientale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in the Patient Information Toolbar.</w:t>
            </w:r>
          </w:p>
        </w:tc>
        <w:tc>
          <w:tcPr>
            <w:tcW w:w="6120" w:type="dxa"/>
            <w:tcBorders>
              <w:top w:val="single" w:sz="4" w:space="0" w:color="auto"/>
              <w:left w:val="single" w:sz="4" w:space="0" w:color="auto"/>
              <w:bottom w:val="single" w:sz="4" w:space="0" w:color="auto"/>
              <w:right w:val="single" w:sz="4" w:space="0" w:color="auto"/>
            </w:tcBorders>
          </w:tcPr>
          <w:p w:rsidR="007A00DE" w:rsidRDefault="007A00DE" w:rsidP="007A00DE">
            <w:pPr>
              <w:pStyle w:val="TableTextBullet"/>
            </w:pPr>
            <w:r>
              <w:lastRenderedPageBreak/>
              <w:t xml:space="preserve">Displays </w:t>
            </w:r>
            <w:r w:rsidR="00634BFC">
              <w:rPr>
                <w:noProof/>
              </w:rPr>
              <w:drawing>
                <wp:inline distT="0" distB="0" distL="0" distR="0">
                  <wp:extent cx="161925" cy="152400"/>
                  <wp:effectExtent l="0" t="0" r="9525" b="0"/>
                  <wp:docPr id="220" name="Picture 220"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patientale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and notifies the user of the VistA patient merge.</w:t>
            </w:r>
          </w:p>
          <w:p w:rsidR="007A00DE" w:rsidRDefault="007A00DE" w:rsidP="007A00DE">
            <w:pPr>
              <w:pStyle w:val="TableTextBullet"/>
            </w:pPr>
            <w:r>
              <w:t xml:space="preserve">Lists the patient records to be </w:t>
            </w:r>
            <w:r w:rsidR="00AA1115">
              <w:t>updated</w:t>
            </w:r>
            <w:r>
              <w:t xml:space="preserve">. </w:t>
            </w:r>
          </w:p>
          <w:p w:rsidR="007A00DE" w:rsidRDefault="00825A62" w:rsidP="007A00DE">
            <w:pPr>
              <w:pStyle w:val="TableTextBullet"/>
            </w:pPr>
            <w:r w:rsidRPr="00825A62">
              <w:rPr>
                <w:vanish/>
              </w:rPr>
              <w:t xml:space="preserve">BR_68.19 </w:t>
            </w:r>
            <w:r w:rsidR="007A00DE">
              <w:t xml:space="preserve">Displays limited merge-from and merge-to patient information for </w:t>
            </w:r>
            <w:r w:rsidR="007A00DE">
              <w:lastRenderedPageBreak/>
              <w:t>evaluation, including:</w:t>
            </w:r>
          </w:p>
          <w:p w:rsidR="007A00DE" w:rsidRDefault="007A00DE" w:rsidP="007A00DE">
            <w:pPr>
              <w:pStyle w:val="TableTextBullet1"/>
            </w:pPr>
            <w:r>
              <w:t>Patient name</w:t>
            </w:r>
          </w:p>
          <w:p w:rsidR="007A00DE" w:rsidRDefault="007A00DE" w:rsidP="007A00DE">
            <w:pPr>
              <w:pStyle w:val="TableTextBullet1"/>
            </w:pPr>
            <w:r>
              <w:t>Patient ID</w:t>
            </w:r>
            <w:r w:rsidR="00825A62">
              <w:t>, if available</w:t>
            </w:r>
          </w:p>
          <w:p w:rsidR="007A00DE" w:rsidRDefault="007A00DE" w:rsidP="007A00DE">
            <w:pPr>
              <w:pStyle w:val="TableTextBullet1"/>
              <w:rPr>
                <w:b/>
                <w:bCs/>
              </w:rPr>
            </w:pPr>
            <w:r>
              <w:t xml:space="preserve">Date and time the merge message was received from </w:t>
            </w:r>
            <w:r w:rsidRPr="00CA0045">
              <w:rPr>
                <w:bCs/>
              </w:rPr>
              <w:t>VistA</w:t>
            </w:r>
          </w:p>
          <w:p w:rsidR="007A00DE" w:rsidRDefault="007A00DE" w:rsidP="007A00DE">
            <w:pPr>
              <w:pStyle w:val="TableText"/>
            </w:pPr>
          </w:p>
          <w:p w:rsidR="007A00DE" w:rsidRDefault="00634BFC" w:rsidP="007A00DE">
            <w:pPr>
              <w:pStyle w:val="TableText"/>
              <w:rPr>
                <w:b/>
                <w:bCs/>
                <w:szCs w:val="18"/>
              </w:rPr>
            </w:pPr>
            <w:r>
              <w:rPr>
                <w:b/>
                <w:bCs/>
                <w:noProof/>
              </w:rPr>
              <mc:AlternateContent>
                <mc:Choice Requires="wps">
                  <w:drawing>
                    <wp:anchor distT="0" distB="0" distL="114300" distR="114300" simplePos="0" relativeHeight="25177651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90" name="Line 1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6" o:spid="_x0000_s1026" style="position:absolute;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PDFQIAAC4EAAAOAAAAZHJzL2Uyb0RvYy54bWysU8GO2jAQvVfqP1i+QxLIUo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P4l&#10;A8MVAgAALgQAAA4AAAAAAAAAAAAAAAAALgIAAGRycy9lMm9Eb2MueG1sUEsBAi0AFAAGAAgAAAAh&#10;ABdPMBLbAAAACAEAAA8AAAAAAAAAAAAAAAAAbwQAAGRycy9kb3ducmV2LnhtbFBLBQYAAAAABAAE&#10;APMAAAB3BQAAAAA=&#10;" strokeweight="1.5pt"/>
                  </w:pict>
                </mc:Fallback>
              </mc:AlternateContent>
            </w:r>
            <w:r w:rsidR="007A00DE">
              <w:rPr>
                <w:b/>
                <w:bCs/>
                <w:szCs w:val="18"/>
              </w:rPr>
              <w:t>NOTES</w:t>
            </w:r>
          </w:p>
          <w:p w:rsidR="007A00DE" w:rsidRDefault="007A00DE" w:rsidP="007A00DE">
            <w:pPr>
              <w:pStyle w:val="NotesText"/>
            </w:pPr>
          </w:p>
          <w:p w:rsidR="007A00DE" w:rsidRDefault="007A00DE" w:rsidP="007A00DE">
            <w:pPr>
              <w:pStyle w:val="NotesText"/>
            </w:pPr>
            <w:r>
              <w:t xml:space="preserve">VBECS displays </w:t>
            </w:r>
            <w:r w:rsidR="00634BFC">
              <w:rPr>
                <w:noProof/>
              </w:rPr>
              <w:drawing>
                <wp:inline distT="0" distB="0" distL="0" distR="0">
                  <wp:extent cx="161925" cy="152400"/>
                  <wp:effectExtent l="0" t="0" r="9525" b="0"/>
                  <wp:docPr id="221" name="Picture 221"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patientale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at the first instance of a </w:t>
            </w:r>
            <w:r w:rsidR="00AA1115">
              <w:t xml:space="preserve">VistA patient update or </w:t>
            </w:r>
            <w:r>
              <w:t>merge. The icon remains on the screen</w:t>
            </w:r>
            <w:r w:rsidR="00B473F5">
              <w:t xml:space="preserve"> until the Traditional Supervisor</w:t>
            </w:r>
            <w:r w:rsidR="00A47004">
              <w:t xml:space="preserve"> </w:t>
            </w:r>
            <w:r w:rsidR="00B473F5">
              <w:t xml:space="preserve">clears the </w:t>
            </w:r>
            <w:r w:rsidR="00AA1115">
              <w:t xml:space="preserve">patient </w:t>
            </w:r>
            <w:r w:rsidR="00B473F5">
              <w:t>merge alert</w:t>
            </w:r>
            <w:r w:rsidR="00B473F5" w:rsidRPr="00B473F5">
              <w:rPr>
                <w:vanish/>
              </w:rPr>
              <w:t xml:space="preserve"> DR 2,2527</w:t>
            </w:r>
            <w:r>
              <w:t xml:space="preserve">. </w:t>
            </w:r>
          </w:p>
          <w:p w:rsidR="007A00DE" w:rsidRDefault="007A00DE" w:rsidP="007A00DE">
            <w:pPr>
              <w:pStyle w:val="NotesText"/>
              <w:rPr>
                <w:rFonts w:cs="Arial"/>
              </w:rPr>
            </w:pPr>
          </w:p>
          <w:p w:rsidR="007A00DE" w:rsidRDefault="007A00DE" w:rsidP="007A00DE">
            <w:pPr>
              <w:pStyle w:val="NotesText"/>
            </w:pPr>
            <w:r>
              <w:rPr>
                <w:rFonts w:cs="Arial"/>
                <w:vanish/>
              </w:rPr>
              <w:t xml:space="preserve">BR_68.01 </w:t>
            </w:r>
            <w:r w:rsidR="00A86640">
              <w:t>The list of patient records is sorted in chronological order: the oldest received updated record appears at the top of the list.</w:t>
            </w:r>
          </w:p>
          <w:p w:rsidR="007A00DE" w:rsidRDefault="007A00DE" w:rsidP="007A00DE">
            <w:pPr>
              <w:pStyle w:val="NotesText"/>
            </w:pPr>
          </w:p>
          <w:p w:rsidR="007A00DE" w:rsidRDefault="007A00DE" w:rsidP="007A00DE">
            <w:pPr>
              <w:pStyle w:val="NotesText"/>
            </w:pPr>
            <w:r>
              <w:t>The user may update both patients’ VBECS files in accordance with local policy and procedure.</w:t>
            </w:r>
          </w:p>
        </w:tc>
      </w:tr>
      <w:tr w:rsidR="007A00DE">
        <w:tblPrEx>
          <w:tblCellMar>
            <w:top w:w="0" w:type="dxa"/>
            <w:bottom w:w="0" w:type="dxa"/>
          </w:tblCellMar>
        </w:tblPrEx>
        <w:tc>
          <w:tcPr>
            <w:tcW w:w="3240" w:type="dxa"/>
          </w:tcPr>
          <w:p w:rsidR="007A00DE" w:rsidRDefault="007A00DE" w:rsidP="007A00DE">
            <w:pPr>
              <w:pStyle w:val="TableTextNumbers"/>
            </w:pPr>
            <w:r>
              <w:lastRenderedPageBreak/>
              <w:t xml:space="preserve">Select a </w:t>
            </w:r>
            <w:r w:rsidR="00061930">
              <w:t xml:space="preserve">VistA </w:t>
            </w:r>
            <w:r>
              <w:t>patient merge event from the list and review the data (</w:t>
            </w:r>
            <w:r w:rsidR="00270245">
              <w:fldChar w:fldCharType="begin"/>
            </w:r>
            <w:r w:rsidR="00270245">
              <w:instrText xml:space="preserve"> REF _Ref136786613 \h </w:instrText>
            </w:r>
            <w:r w:rsidR="00270245">
              <w:fldChar w:fldCharType="separate"/>
            </w:r>
            <w:r w:rsidR="005F38BC">
              <w:t xml:space="preserve">Figure </w:t>
            </w:r>
            <w:r w:rsidR="005F38BC">
              <w:rPr>
                <w:noProof/>
              </w:rPr>
              <w:t>115</w:t>
            </w:r>
            <w:r w:rsidR="00270245">
              <w:fldChar w:fldCharType="end"/>
            </w:r>
            <w:r>
              <w:t>).</w:t>
            </w:r>
          </w:p>
        </w:tc>
        <w:tc>
          <w:tcPr>
            <w:tcW w:w="6120" w:type="dxa"/>
          </w:tcPr>
          <w:p w:rsidR="007A00DE" w:rsidRDefault="007A00DE" w:rsidP="007A00DE">
            <w:pPr>
              <w:pStyle w:val="TableTextBullet"/>
            </w:pPr>
            <w:r>
              <w:t xml:space="preserve">Displays data about merged </w:t>
            </w:r>
            <w:r w:rsidR="00061930">
              <w:t xml:space="preserve">VistA </w:t>
            </w:r>
            <w:r>
              <w:t>patient records:</w:t>
            </w:r>
          </w:p>
          <w:p w:rsidR="007A00DE" w:rsidRDefault="007A00DE" w:rsidP="007A00DE">
            <w:pPr>
              <w:pStyle w:val="TableTextBullet1"/>
            </w:pPr>
            <w:r>
              <w:t>Patient name</w:t>
            </w:r>
          </w:p>
          <w:p w:rsidR="007A00DE" w:rsidRDefault="007A00DE" w:rsidP="007A00DE">
            <w:pPr>
              <w:pStyle w:val="TableTextBullet1"/>
            </w:pPr>
            <w:r>
              <w:t>Patient ID</w:t>
            </w:r>
            <w:r w:rsidR="006337EA">
              <w:t>, if available</w:t>
            </w:r>
          </w:p>
          <w:p w:rsidR="007A00DE" w:rsidRDefault="007A00DE" w:rsidP="007A00DE">
            <w:pPr>
              <w:pStyle w:val="TableTextBullet1"/>
            </w:pPr>
            <w:r>
              <w:t>Patient sex</w:t>
            </w:r>
            <w:r w:rsidR="006337EA">
              <w:t>, if available</w:t>
            </w:r>
          </w:p>
          <w:p w:rsidR="007A00DE" w:rsidRDefault="007A00DE" w:rsidP="007A00DE">
            <w:pPr>
              <w:pStyle w:val="TableTextBullet1"/>
            </w:pPr>
            <w:r>
              <w:t xml:space="preserve">Date and time the merge message was received from </w:t>
            </w:r>
            <w:r w:rsidRPr="00CA6E27">
              <w:rPr>
                <w:bCs/>
              </w:rPr>
              <w:t>VistA</w:t>
            </w:r>
          </w:p>
          <w:p w:rsidR="007A00DE" w:rsidRDefault="007A00DE" w:rsidP="007A00DE">
            <w:pPr>
              <w:pStyle w:val="TableTextBullet1"/>
            </w:pPr>
            <w:r>
              <w:t>Patient ABO/Rh</w:t>
            </w:r>
            <w:r w:rsidR="006337EA">
              <w:t>, if available</w:t>
            </w:r>
          </w:p>
          <w:p w:rsidR="007A00DE" w:rsidRDefault="007A00DE" w:rsidP="007A00DE">
            <w:pPr>
              <w:pStyle w:val="TableTextBullet1"/>
            </w:pPr>
            <w:r>
              <w:t>Patient Transfusion Requirements (TRs) and Special Instructions (SIs)</w:t>
            </w:r>
            <w:r w:rsidR="006337EA">
              <w:t>, if available</w:t>
            </w:r>
          </w:p>
          <w:p w:rsidR="006337EA" w:rsidRDefault="007A00DE" w:rsidP="006337EA">
            <w:pPr>
              <w:pStyle w:val="TableTextBullet1"/>
            </w:pPr>
            <w:r>
              <w:t>Recent orders and recent transfusion records for the patient (available only by clicking Patient Information Toolbar icons)</w:t>
            </w:r>
            <w:r w:rsidR="006337EA">
              <w:t>, if available</w:t>
            </w:r>
          </w:p>
          <w:p w:rsidR="006337EA" w:rsidRDefault="006337EA" w:rsidP="006337EA">
            <w:pPr>
              <w:pStyle w:val="TableText"/>
            </w:pPr>
          </w:p>
          <w:p w:rsidR="006337EA" w:rsidRPr="00825A62" w:rsidRDefault="00634BFC" w:rsidP="006337EA">
            <w:pPr>
              <w:pStyle w:val="TableText"/>
              <w:rPr>
                <w:b/>
                <w:bCs/>
                <w:szCs w:val="18"/>
              </w:rPr>
            </w:pPr>
            <w:r>
              <w:rPr>
                <w:b/>
                <w:bCs/>
                <w:noProof/>
              </w:rPr>
              <mc:AlternateContent>
                <mc:Choice Requires="wps">
                  <w:drawing>
                    <wp:anchor distT="0" distB="0" distL="114300" distR="114300" simplePos="0" relativeHeight="25179084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89" name="Line 1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8" o:spid="_x0000_s1026" style="position:absolute;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60DFQIAAC4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EyH&#10;rQMVAgAALgQAAA4AAAAAAAAAAAAAAAAALgIAAGRycy9lMm9Eb2MueG1sUEsBAi0AFAAGAAgAAAAh&#10;ABdPMBLbAAAACAEAAA8AAAAAAAAAAAAAAAAAbwQAAGRycy9kb3ducmV2LnhtbFBLBQYAAAAABAAE&#10;APMAAAB3BQAAAAA=&#10;" strokeweight="1.5pt"/>
                  </w:pict>
                </mc:Fallback>
              </mc:AlternateContent>
            </w:r>
            <w:r w:rsidR="006337EA" w:rsidRPr="00825A62">
              <w:rPr>
                <w:b/>
                <w:bCs/>
                <w:szCs w:val="18"/>
              </w:rPr>
              <w:t>NOTES</w:t>
            </w:r>
          </w:p>
          <w:p w:rsidR="006337EA" w:rsidRDefault="006337EA" w:rsidP="006337EA">
            <w:pPr>
              <w:pStyle w:val="NotesText"/>
            </w:pPr>
          </w:p>
          <w:p w:rsidR="006337EA" w:rsidRDefault="006337EA" w:rsidP="008D6DF2">
            <w:pPr>
              <w:pStyle w:val="NotesText"/>
            </w:pPr>
            <w:r>
              <w:t>“</w:t>
            </w:r>
            <w:r w:rsidRPr="006337EA">
              <w:t>Patient has no VBECS records at the re</w:t>
            </w:r>
            <w:r>
              <w:t>ceipt of the merge message” d</w:t>
            </w:r>
            <w:r w:rsidRPr="006337EA">
              <w:t xml:space="preserve">isplays when </w:t>
            </w:r>
            <w:r>
              <w:t xml:space="preserve">the </w:t>
            </w:r>
            <w:r w:rsidRPr="006337EA">
              <w:t xml:space="preserve">merge-from </w:t>
            </w:r>
            <w:r w:rsidR="008D6DF2">
              <w:t>or merge-</w:t>
            </w:r>
            <w:r>
              <w:t xml:space="preserve">to </w:t>
            </w:r>
            <w:r w:rsidRPr="006337EA">
              <w:t xml:space="preserve">patient </w:t>
            </w:r>
            <w:r w:rsidR="008D6DF2">
              <w:t>is</w:t>
            </w:r>
            <w:r w:rsidRPr="006337EA">
              <w:t xml:space="preserve"> not found in VBECS</w:t>
            </w:r>
            <w:r w:rsidR="008D6DF2">
              <w:t>.</w:t>
            </w:r>
          </w:p>
        </w:tc>
      </w:tr>
      <w:tr w:rsidR="007A00DE">
        <w:tblPrEx>
          <w:tblCellMar>
            <w:top w:w="0" w:type="dxa"/>
            <w:bottom w:w="0" w:type="dxa"/>
          </w:tblCellMar>
        </w:tblPrEx>
        <w:tc>
          <w:tcPr>
            <w:tcW w:w="3240" w:type="dxa"/>
          </w:tcPr>
          <w:p w:rsidR="007A00DE" w:rsidRDefault="007A00DE" w:rsidP="007A00DE">
            <w:pPr>
              <w:pStyle w:val="TableTextNumbers"/>
              <w:numPr>
                <w:ilvl w:val="0"/>
                <w:numId w:val="0"/>
              </w:numPr>
            </w:pPr>
            <w:r>
              <w:t>Merge-to Patients</w:t>
            </w:r>
          </w:p>
          <w:p w:rsidR="007A00DE" w:rsidRDefault="007A00DE" w:rsidP="007A00DE">
            <w:pPr>
              <w:pStyle w:val="TableTextNumbers"/>
              <w:numPr>
                <w:ilvl w:val="0"/>
                <w:numId w:val="0"/>
              </w:numPr>
            </w:pPr>
          </w:p>
          <w:p w:rsidR="007A00DE" w:rsidRDefault="007A00DE" w:rsidP="007A00DE">
            <w:pPr>
              <w:pStyle w:val="TableTextNumbers"/>
            </w:pPr>
            <w:r>
              <w:t>Update the merge-to patient record to include SIs and TRs from the merge-from patient record.</w:t>
            </w:r>
          </w:p>
          <w:p w:rsidR="007A00DE" w:rsidRDefault="007A00DE" w:rsidP="007A00DE">
            <w:pPr>
              <w:pStyle w:val="TableTextNumbersContinued"/>
            </w:pPr>
          </w:p>
          <w:p w:rsidR="007A00DE" w:rsidRDefault="007A00DE" w:rsidP="007A00DE">
            <w:pPr>
              <w:pStyle w:val="TableTextNumbersContinued"/>
            </w:pPr>
            <w:r>
              <w:t>Insert a comment in the Special Instruction field to note that a merge occurred.</w:t>
            </w:r>
          </w:p>
        </w:tc>
        <w:tc>
          <w:tcPr>
            <w:tcW w:w="6120" w:type="dxa"/>
          </w:tcPr>
          <w:p w:rsidR="007A00DE" w:rsidRPr="00935E73" w:rsidRDefault="007A00DE" w:rsidP="00825A62">
            <w:pPr>
              <w:pStyle w:val="TableText"/>
            </w:pPr>
          </w:p>
          <w:p w:rsidR="007A00DE" w:rsidRPr="00825A62" w:rsidRDefault="00634BFC" w:rsidP="00825A62">
            <w:pPr>
              <w:pStyle w:val="TableText"/>
              <w:rPr>
                <w:b/>
                <w:bCs/>
                <w:szCs w:val="18"/>
              </w:rPr>
            </w:pPr>
            <w:r>
              <w:rPr>
                <w:b/>
                <w:bCs/>
                <w:noProof/>
              </w:rPr>
              <mc:AlternateContent>
                <mc:Choice Requires="wps">
                  <w:drawing>
                    <wp:anchor distT="0" distB="0" distL="114300" distR="114300" simplePos="0" relativeHeight="25177753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88" name="Line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7" o:spid="_x0000_s1026" style="position:absolute;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TdbFgIAAC4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AW&#10;pTdbFgIAAC4EAAAOAAAAAAAAAAAAAAAAAC4CAABkcnMvZTJvRG9jLnhtbFBLAQItABQABgAIAAAA&#10;IQAXTzAS2wAAAAgBAAAPAAAAAAAAAAAAAAAAAHAEAABkcnMvZG93bnJldi54bWxQSwUGAAAAAAQA&#10;BADzAAAAeAUAAAAA&#10;" strokeweight="1.5pt"/>
                  </w:pict>
                </mc:Fallback>
              </mc:AlternateContent>
            </w:r>
            <w:r w:rsidR="007A00DE" w:rsidRPr="00825A62">
              <w:rPr>
                <w:b/>
                <w:bCs/>
                <w:szCs w:val="18"/>
              </w:rPr>
              <w:t>NOTES</w:t>
            </w:r>
          </w:p>
          <w:p w:rsidR="007A00DE" w:rsidRDefault="007A00DE" w:rsidP="00825A62">
            <w:pPr>
              <w:pStyle w:val="NotesText"/>
            </w:pPr>
          </w:p>
          <w:p w:rsidR="00BC7A6E" w:rsidRDefault="00DB201F" w:rsidP="00BC7A6E">
            <w:pPr>
              <w:pStyle w:val="TableTextBullet"/>
              <w:numPr>
                <w:ilvl w:val="0"/>
                <w:numId w:val="0"/>
              </w:numPr>
              <w:ind w:left="720"/>
            </w:pPr>
            <w:r>
              <w:t>A user c</w:t>
            </w:r>
            <w:r w:rsidR="00BC7A6E">
              <w:t>annot update SIs or TRs if the merge to patient does not have a VBECS record.</w:t>
            </w:r>
          </w:p>
          <w:p w:rsidR="00BC7A6E" w:rsidRDefault="00BC7A6E" w:rsidP="00825A62">
            <w:pPr>
              <w:pStyle w:val="NotesText"/>
            </w:pPr>
          </w:p>
          <w:p w:rsidR="00825A62" w:rsidRDefault="00825A62" w:rsidP="00825A62">
            <w:pPr>
              <w:pStyle w:val="NotesText"/>
            </w:pPr>
            <w:r>
              <w:t>Local policy must define how to handle records when the merge to patient does not exist in VBECS.</w:t>
            </w:r>
          </w:p>
          <w:p w:rsidR="00825A62" w:rsidRDefault="00825A62" w:rsidP="00825A62">
            <w:pPr>
              <w:pStyle w:val="NotesText"/>
            </w:pPr>
          </w:p>
          <w:p w:rsidR="007A00DE" w:rsidRDefault="007A00DE" w:rsidP="00825A62">
            <w:pPr>
              <w:pStyle w:val="NotesText"/>
            </w:pPr>
            <w:r>
              <w:t>The merge-to patient record is the active record in VBECS.</w:t>
            </w:r>
          </w:p>
          <w:p w:rsidR="007A00DE" w:rsidRDefault="007A00DE" w:rsidP="00825A62">
            <w:pPr>
              <w:pStyle w:val="NotesText"/>
            </w:pPr>
          </w:p>
          <w:p w:rsidR="007A00DE" w:rsidRDefault="007A00DE" w:rsidP="00825A62">
            <w:pPr>
              <w:pStyle w:val="NotesText"/>
            </w:pPr>
            <w:r>
              <w:t xml:space="preserve">Use Special Instructions &amp; Transfusion Requirements: Enter a Transfusion Requirement, and Special Instructions &amp; Transfusion Requirements: Enter and Remove Special Instructions to enter, update, or delete relevant component requirements, antibodies, or antigen requirements. </w:t>
            </w:r>
          </w:p>
          <w:p w:rsidR="007A00DE" w:rsidRDefault="007A00DE" w:rsidP="00825A62">
            <w:pPr>
              <w:pStyle w:val="NotesText"/>
            </w:pPr>
          </w:p>
          <w:p w:rsidR="007A00DE" w:rsidRDefault="007A00DE" w:rsidP="00825A62">
            <w:pPr>
              <w:pStyle w:val="NotesText"/>
            </w:pPr>
            <w:r>
              <w:t>Enter an SI comment in the merge-to patient record, for example, “This patient record was merged with &lt;</w:t>
            </w:r>
            <w:r w:rsidRPr="00825A62">
              <w:rPr>
                <w:i/>
              </w:rPr>
              <w:t>insert merge-from patient name</w:t>
            </w:r>
            <w:r w:rsidRPr="000F2898">
              <w:t>&gt;</w:t>
            </w:r>
            <w:r>
              <w:t xml:space="preserve"> in VistA and is used to process orders after &lt;</w:t>
            </w:r>
            <w:r w:rsidRPr="00825A62">
              <w:rPr>
                <w:i/>
              </w:rPr>
              <w:t>insert merge date and time</w:t>
            </w:r>
            <w:r w:rsidRPr="000F2898">
              <w:t>&gt;</w:t>
            </w:r>
            <w:r>
              <w:t>. Refer to the records of &lt;</w:t>
            </w:r>
            <w:r w:rsidRPr="00825A62">
              <w:rPr>
                <w:i/>
              </w:rPr>
              <w:t>insert merge-from patient name</w:t>
            </w:r>
            <w:r w:rsidRPr="000F2898">
              <w:t>&gt;</w:t>
            </w:r>
            <w:r>
              <w:t xml:space="preserve"> for testing and transfusion information prior to the merge event.”</w:t>
            </w:r>
          </w:p>
        </w:tc>
      </w:tr>
      <w:tr w:rsidR="007A00DE">
        <w:tblPrEx>
          <w:tblCellMar>
            <w:top w:w="0" w:type="dxa"/>
            <w:bottom w:w="0" w:type="dxa"/>
          </w:tblCellMar>
        </w:tblPrEx>
        <w:tc>
          <w:tcPr>
            <w:tcW w:w="3240" w:type="dxa"/>
          </w:tcPr>
          <w:p w:rsidR="007A00DE" w:rsidRDefault="007A00DE" w:rsidP="007A00DE">
            <w:pPr>
              <w:pStyle w:val="TableTextNumbers"/>
            </w:pPr>
            <w:r>
              <w:t xml:space="preserve">Resolve ABO/Rh discrepancies </w:t>
            </w:r>
            <w:r>
              <w:lastRenderedPageBreak/>
              <w:t xml:space="preserve">among patients. </w:t>
            </w:r>
          </w:p>
          <w:p w:rsidR="007A00DE" w:rsidRDefault="007A00DE" w:rsidP="007A00DE">
            <w:pPr>
              <w:pStyle w:val="TableTextNumbersContinued"/>
            </w:pPr>
          </w:p>
          <w:p w:rsidR="007A00DE" w:rsidRDefault="007A00DE" w:rsidP="007A00DE">
            <w:pPr>
              <w:pStyle w:val="TableTextNumbersContinued"/>
            </w:pPr>
            <w:r>
              <w:t>Determine which blood type is correct for use</w:t>
            </w:r>
            <w:r>
              <w:rPr>
                <w:rStyle w:val="CommentReference"/>
              </w:rPr>
              <w:t>.</w:t>
            </w:r>
          </w:p>
        </w:tc>
        <w:tc>
          <w:tcPr>
            <w:tcW w:w="6120" w:type="dxa"/>
          </w:tcPr>
          <w:p w:rsidR="007A00DE" w:rsidRPr="00935E73" w:rsidRDefault="007A00DE" w:rsidP="007A00DE">
            <w:pPr>
              <w:pStyle w:val="TableText"/>
            </w:pPr>
          </w:p>
          <w:p w:rsidR="007A00DE" w:rsidRDefault="00634BFC" w:rsidP="007A00DE">
            <w:pPr>
              <w:pStyle w:val="TableText"/>
              <w:rPr>
                <w:b/>
                <w:bCs/>
                <w:szCs w:val="18"/>
              </w:rPr>
            </w:pPr>
            <w:r>
              <w:rPr>
                <w:b/>
                <w:bCs/>
                <w:noProof/>
              </w:rPr>
              <w:lastRenderedPageBreak/>
              <mc:AlternateContent>
                <mc:Choice Requires="wps">
                  <w:drawing>
                    <wp:anchor distT="0" distB="0" distL="114300" distR="114300" simplePos="0" relativeHeight="25177958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87" name="Line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9" o:spid="_x0000_s1026" style="position:absolute;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kz0FgIAAC4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Cb&#10;Kkz0FgIAAC4EAAAOAAAAAAAAAAAAAAAAAC4CAABkcnMvZTJvRG9jLnhtbFBLAQItABQABgAIAAAA&#10;IQAXTzAS2wAAAAgBAAAPAAAAAAAAAAAAAAAAAHAEAABkcnMvZG93bnJldi54bWxQSwUGAAAAAAQA&#10;BADzAAAAeAUAAAAA&#10;" strokeweight="1.5pt"/>
                  </w:pict>
                </mc:Fallback>
              </mc:AlternateContent>
            </w:r>
            <w:r w:rsidR="007A00DE">
              <w:rPr>
                <w:b/>
                <w:bCs/>
                <w:szCs w:val="18"/>
              </w:rPr>
              <w:t>NOTES</w:t>
            </w:r>
          </w:p>
          <w:p w:rsidR="007A00DE" w:rsidRDefault="007A00DE" w:rsidP="007A00DE">
            <w:pPr>
              <w:pStyle w:val="NotesText"/>
            </w:pPr>
          </w:p>
          <w:p w:rsidR="007A00DE" w:rsidRDefault="007A00DE" w:rsidP="007A00DE">
            <w:pPr>
              <w:pStyle w:val="NotesText"/>
            </w:pPr>
            <w:r>
              <w:t>Use Justify ABO/Rh Change to finalize blood type changes for the merge-to patient.</w:t>
            </w:r>
          </w:p>
        </w:tc>
      </w:tr>
      <w:tr w:rsidR="007A00DE">
        <w:tblPrEx>
          <w:tblCellMar>
            <w:top w:w="0" w:type="dxa"/>
            <w:bottom w:w="0" w:type="dxa"/>
          </w:tblCellMar>
        </w:tblPrEx>
        <w:tc>
          <w:tcPr>
            <w:tcW w:w="3240" w:type="dxa"/>
          </w:tcPr>
          <w:p w:rsidR="007A00DE" w:rsidRDefault="007A00DE" w:rsidP="007A00DE">
            <w:pPr>
              <w:pStyle w:val="TableTextNumbers"/>
            </w:pPr>
            <w:r>
              <w:lastRenderedPageBreak/>
              <w:t>Complete pending orders for the merge-to patient.</w:t>
            </w:r>
          </w:p>
        </w:tc>
        <w:tc>
          <w:tcPr>
            <w:tcW w:w="6120" w:type="dxa"/>
          </w:tcPr>
          <w:p w:rsidR="007A00DE" w:rsidRDefault="007A00DE" w:rsidP="007A00DE">
            <w:pPr>
              <w:pStyle w:val="TableText"/>
            </w:pPr>
          </w:p>
        </w:tc>
      </w:tr>
      <w:tr w:rsidR="007A00DE">
        <w:tblPrEx>
          <w:tblCellMar>
            <w:top w:w="0" w:type="dxa"/>
            <w:bottom w:w="0" w:type="dxa"/>
          </w:tblCellMar>
        </w:tblPrEx>
        <w:tc>
          <w:tcPr>
            <w:tcW w:w="3240" w:type="dxa"/>
          </w:tcPr>
          <w:p w:rsidR="007A00DE" w:rsidRDefault="007A00DE" w:rsidP="007A00DE">
            <w:pPr>
              <w:pStyle w:val="TableTextNumbers"/>
              <w:numPr>
                <w:ilvl w:val="0"/>
                <w:numId w:val="0"/>
              </w:numPr>
            </w:pPr>
            <w:r>
              <w:t>Merge-from Patients</w:t>
            </w:r>
          </w:p>
          <w:p w:rsidR="007A00DE" w:rsidRDefault="007A00DE" w:rsidP="007A00DE">
            <w:pPr>
              <w:pStyle w:val="TableTextNumbers"/>
              <w:numPr>
                <w:ilvl w:val="0"/>
                <w:numId w:val="0"/>
              </w:numPr>
            </w:pPr>
          </w:p>
          <w:p w:rsidR="007A00DE" w:rsidRDefault="007A00DE" w:rsidP="007A00DE">
            <w:pPr>
              <w:pStyle w:val="TableTextNumbers"/>
            </w:pPr>
            <w:r>
              <w:t>Update the merge-from patient record to include SIs and TRs from the merge-to patient record</w:t>
            </w:r>
          </w:p>
          <w:p w:rsidR="007A00DE" w:rsidRDefault="007A00DE" w:rsidP="007A00DE">
            <w:pPr>
              <w:pStyle w:val="TableTextNumbersContinued"/>
            </w:pPr>
          </w:p>
          <w:p w:rsidR="007A00DE" w:rsidRDefault="007A00DE" w:rsidP="007A00DE">
            <w:pPr>
              <w:pStyle w:val="TableTextNumbersContinued"/>
            </w:pPr>
            <w:r>
              <w:t>Insert a comment in the Special Instruction field to note that a merge occurred.</w:t>
            </w:r>
          </w:p>
        </w:tc>
        <w:tc>
          <w:tcPr>
            <w:tcW w:w="6120" w:type="dxa"/>
          </w:tcPr>
          <w:p w:rsidR="007A00DE" w:rsidRPr="00935E73" w:rsidRDefault="007A00DE" w:rsidP="007A00DE">
            <w:pPr>
              <w:pStyle w:val="TableText"/>
            </w:pPr>
          </w:p>
          <w:p w:rsidR="007A00DE" w:rsidRDefault="00634BFC" w:rsidP="007A00DE">
            <w:pPr>
              <w:pStyle w:val="TableText"/>
              <w:rPr>
                <w:b/>
                <w:bCs/>
                <w:szCs w:val="18"/>
              </w:rPr>
            </w:pPr>
            <w:r>
              <w:rPr>
                <w:b/>
                <w:bCs/>
                <w:noProof/>
              </w:rPr>
              <mc:AlternateContent>
                <mc:Choice Requires="wps">
                  <w:drawing>
                    <wp:anchor distT="0" distB="0" distL="114300" distR="114300" simplePos="0" relativeHeight="25177856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86" name="Line 1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8" o:spid="_x0000_s1026" style="position:absolute;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uHEFQIAAC4EAAAOAAAAZHJzL2Uyb0RvYy54bWysU8GO2jAQvVfqP1i+QxLI0h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Ho+&#10;4cQVAgAALgQAAA4AAAAAAAAAAAAAAAAALgIAAGRycy9lMm9Eb2MueG1sUEsBAi0AFAAGAAgAAAAh&#10;ABdPMBLbAAAACAEAAA8AAAAAAAAAAAAAAAAAbwQAAGRycy9kb3ducmV2LnhtbFBLBQYAAAAABAAE&#10;APMAAAB3BQAAAAA=&#10;" strokeweight="1.5pt"/>
                  </w:pict>
                </mc:Fallback>
              </mc:AlternateContent>
            </w:r>
            <w:r w:rsidR="007A00DE">
              <w:rPr>
                <w:b/>
                <w:bCs/>
                <w:szCs w:val="18"/>
              </w:rPr>
              <w:t>NOTES</w:t>
            </w:r>
          </w:p>
          <w:p w:rsidR="00BC7A6E" w:rsidRDefault="00BC7A6E" w:rsidP="00BC7A6E">
            <w:pPr>
              <w:pStyle w:val="TableTextBullet"/>
              <w:numPr>
                <w:ilvl w:val="0"/>
                <w:numId w:val="0"/>
              </w:numPr>
              <w:ind w:left="720"/>
            </w:pPr>
          </w:p>
          <w:p w:rsidR="00BC7A6E" w:rsidRDefault="00BC7A6E" w:rsidP="00BC7A6E">
            <w:pPr>
              <w:pStyle w:val="TableTextBullet"/>
              <w:numPr>
                <w:ilvl w:val="0"/>
                <w:numId w:val="0"/>
              </w:numPr>
              <w:ind w:left="720"/>
            </w:pPr>
            <w:r>
              <w:t>A user cannot update SIs or TRs if the merge from patient does not have a VBECS record.</w:t>
            </w:r>
          </w:p>
          <w:p w:rsidR="007A00DE" w:rsidRDefault="007A00DE" w:rsidP="007A00DE">
            <w:pPr>
              <w:pStyle w:val="NotesText"/>
            </w:pPr>
          </w:p>
          <w:p w:rsidR="00BC7526" w:rsidRDefault="00BC7526" w:rsidP="00BC7526">
            <w:pPr>
              <w:pStyle w:val="NotesText"/>
            </w:pPr>
            <w:r>
              <w:t>Local policy must define how to handle records when the merge from patient does not exist in VBECS.</w:t>
            </w:r>
          </w:p>
          <w:p w:rsidR="00BC7526" w:rsidRDefault="00BC7526" w:rsidP="00BC7526">
            <w:pPr>
              <w:pStyle w:val="NotesText"/>
            </w:pPr>
          </w:p>
          <w:p w:rsidR="007A00DE" w:rsidRDefault="007A00DE" w:rsidP="007A00DE">
            <w:pPr>
              <w:pStyle w:val="NotesText"/>
            </w:pPr>
            <w:r>
              <w:t>The merge-from patient record is the inactive record in VBECS</w:t>
            </w:r>
            <w:r w:rsidR="00B75ABB">
              <w:t>.</w:t>
            </w:r>
          </w:p>
          <w:p w:rsidR="007A00DE" w:rsidRDefault="007A00DE" w:rsidP="007A00DE">
            <w:pPr>
              <w:pStyle w:val="NotesText"/>
            </w:pPr>
          </w:p>
          <w:p w:rsidR="007A00DE" w:rsidRDefault="007A00DE" w:rsidP="007A00DE">
            <w:pPr>
              <w:pStyle w:val="NotesText"/>
            </w:pPr>
            <w:r>
              <w:t xml:space="preserve">Use Special Instructions &amp; Transfusion Requirements: Enter a Transfusion Requirement, and Special Instructions &amp; Transfusion Requirements: Enter and Remove Special Instructions to enter, update, or delete relevant component requirements, antibodies, or antigen requirements. </w:t>
            </w:r>
          </w:p>
          <w:p w:rsidR="007A00DE" w:rsidRDefault="007A00DE" w:rsidP="007A00DE">
            <w:pPr>
              <w:pStyle w:val="NotesText"/>
            </w:pPr>
          </w:p>
          <w:p w:rsidR="007A00DE" w:rsidRDefault="007A00DE" w:rsidP="007A00DE">
            <w:pPr>
              <w:pStyle w:val="NotesText"/>
            </w:pPr>
            <w:r>
              <w:t>Enter an SI comment in the merge-from patient record, for example, “This patient record was merged with &lt;</w:t>
            </w:r>
            <w:r w:rsidRPr="000F2898">
              <w:rPr>
                <w:i/>
              </w:rPr>
              <w:t>insert merge-</w:t>
            </w:r>
            <w:r>
              <w:rPr>
                <w:i/>
              </w:rPr>
              <w:t>to</w:t>
            </w:r>
            <w:r w:rsidRPr="000F2898">
              <w:rPr>
                <w:i/>
              </w:rPr>
              <w:t xml:space="preserve"> patient name</w:t>
            </w:r>
            <w:r w:rsidRPr="000F2898">
              <w:t>&gt;</w:t>
            </w:r>
            <w:r>
              <w:t xml:space="preserve"> in VistA and must not be used to process orders after &lt;</w:t>
            </w:r>
            <w:r w:rsidRPr="000F2898">
              <w:rPr>
                <w:i/>
              </w:rPr>
              <w:t>insert merge date</w:t>
            </w:r>
            <w:r>
              <w:rPr>
                <w:i/>
              </w:rPr>
              <w:t xml:space="preserve"> and </w:t>
            </w:r>
            <w:r w:rsidRPr="000F2898">
              <w:rPr>
                <w:i/>
              </w:rPr>
              <w:t>time</w:t>
            </w:r>
            <w:r w:rsidRPr="000F2898">
              <w:t>&gt;</w:t>
            </w:r>
            <w:r>
              <w:t>. Refer to the records of &lt;</w:t>
            </w:r>
            <w:r w:rsidRPr="000F2898">
              <w:rPr>
                <w:i/>
              </w:rPr>
              <w:t>insert merge-</w:t>
            </w:r>
            <w:r>
              <w:rPr>
                <w:i/>
              </w:rPr>
              <w:t>to</w:t>
            </w:r>
            <w:r w:rsidRPr="000F2898">
              <w:rPr>
                <w:i/>
              </w:rPr>
              <w:t xml:space="preserve"> patient name</w:t>
            </w:r>
            <w:r w:rsidRPr="000F2898">
              <w:t>&gt;</w:t>
            </w:r>
            <w:r>
              <w:t xml:space="preserve"> for testing and transfusion information after the merge event.”</w:t>
            </w:r>
          </w:p>
        </w:tc>
      </w:tr>
      <w:tr w:rsidR="00BC7526">
        <w:tblPrEx>
          <w:tblCellMar>
            <w:top w:w="0" w:type="dxa"/>
            <w:bottom w:w="0" w:type="dxa"/>
          </w:tblCellMar>
        </w:tblPrEx>
        <w:tc>
          <w:tcPr>
            <w:tcW w:w="3240" w:type="dxa"/>
          </w:tcPr>
          <w:p w:rsidR="00BC7526" w:rsidRDefault="00BC7526" w:rsidP="007A00DE">
            <w:pPr>
              <w:pStyle w:val="TableTextNumbers"/>
            </w:pPr>
            <w:r>
              <w:t>Cancel pending orders on the merge-from patient. Request replacement orders for the merge-to patient, as appropriate.</w:t>
            </w:r>
          </w:p>
        </w:tc>
        <w:tc>
          <w:tcPr>
            <w:tcW w:w="6120" w:type="dxa"/>
          </w:tcPr>
          <w:p w:rsidR="00BC7526" w:rsidRPr="00935E73" w:rsidRDefault="00BC7526" w:rsidP="000305DD">
            <w:pPr>
              <w:pStyle w:val="TableText"/>
            </w:pPr>
          </w:p>
          <w:p w:rsidR="00BC7526" w:rsidRDefault="00634BFC" w:rsidP="000305DD">
            <w:pPr>
              <w:pStyle w:val="TableText"/>
              <w:rPr>
                <w:b/>
                <w:bCs/>
                <w:szCs w:val="18"/>
              </w:rPr>
            </w:pPr>
            <w:r>
              <w:rPr>
                <w:b/>
                <w:bCs/>
                <w:noProof/>
              </w:rPr>
              <mc:AlternateContent>
                <mc:Choice Requires="wps">
                  <w:drawing>
                    <wp:anchor distT="0" distB="0" distL="114300" distR="114300" simplePos="0" relativeHeight="25178880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85" name="Line 1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6" o:spid="_x0000_s1026" style="position:absolute;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UJbFgIAAC4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BH&#10;9UJbFgIAAC4EAAAOAAAAAAAAAAAAAAAAAC4CAABkcnMvZTJvRG9jLnhtbFBLAQItABQABgAIAAAA&#10;IQAXTzAS2wAAAAgBAAAPAAAAAAAAAAAAAAAAAHAEAABkcnMvZG93bnJldi54bWxQSwUGAAAAAAQA&#10;BADzAAAAeAUAAAAA&#10;" strokeweight="1.5pt"/>
                  </w:pict>
                </mc:Fallback>
              </mc:AlternateContent>
            </w:r>
            <w:r w:rsidR="00BC7526">
              <w:rPr>
                <w:b/>
                <w:bCs/>
                <w:szCs w:val="18"/>
              </w:rPr>
              <w:t>NOTES</w:t>
            </w:r>
          </w:p>
          <w:p w:rsidR="00BC7526" w:rsidRDefault="00BC7526" w:rsidP="000305DD">
            <w:pPr>
              <w:pStyle w:val="NotesText"/>
            </w:pPr>
          </w:p>
          <w:p w:rsidR="00BC7526" w:rsidRDefault="00BC7526" w:rsidP="00BC7526">
            <w:pPr>
              <w:pStyle w:val="NotesText"/>
            </w:pPr>
            <w:r>
              <w:t>Local policy must define how to handle orders when the merge from patient or merge to patient does not exist in VBECS.</w:t>
            </w:r>
          </w:p>
        </w:tc>
      </w:tr>
      <w:tr w:rsidR="00BC7526">
        <w:tblPrEx>
          <w:tblCellMar>
            <w:top w:w="0" w:type="dxa"/>
            <w:bottom w:w="0" w:type="dxa"/>
          </w:tblCellMar>
        </w:tblPrEx>
        <w:tc>
          <w:tcPr>
            <w:tcW w:w="3240" w:type="dxa"/>
          </w:tcPr>
          <w:p w:rsidR="00BC7526" w:rsidRDefault="00BC7526" w:rsidP="007A00DE">
            <w:pPr>
              <w:pStyle w:val="TableTextNumbers"/>
            </w:pPr>
            <w:r>
              <w:t xml:space="preserve">To confirm that the merge-from and merge-to patient SIs and TRs match on the </w:t>
            </w:r>
            <w:r w:rsidRPr="00732440">
              <w:t>Patient Merge</w:t>
            </w:r>
            <w:r>
              <w:t xml:space="preserve"> display.</w:t>
            </w:r>
          </w:p>
        </w:tc>
        <w:tc>
          <w:tcPr>
            <w:tcW w:w="6120" w:type="dxa"/>
          </w:tcPr>
          <w:p w:rsidR="00BC7526" w:rsidRPr="00935E73" w:rsidRDefault="00BC7526" w:rsidP="000305DD">
            <w:pPr>
              <w:pStyle w:val="TableText"/>
            </w:pPr>
          </w:p>
          <w:p w:rsidR="00BC7526" w:rsidRDefault="00634BFC" w:rsidP="000305DD">
            <w:pPr>
              <w:pStyle w:val="TableText"/>
              <w:rPr>
                <w:b/>
                <w:bCs/>
                <w:szCs w:val="18"/>
              </w:rPr>
            </w:pPr>
            <w:r>
              <w:rPr>
                <w:b/>
                <w:bCs/>
                <w:noProof/>
              </w:rPr>
              <mc:AlternateContent>
                <mc:Choice Requires="wps">
                  <w:drawing>
                    <wp:anchor distT="0" distB="0" distL="114300" distR="114300" simplePos="0" relativeHeight="25178982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84" name="Line 1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7" o:spid="_x0000_s1026" style="position:absolute;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e9rFgIAAC4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Cm&#10;4e9rFgIAAC4EAAAOAAAAAAAAAAAAAAAAAC4CAABkcnMvZTJvRG9jLnhtbFBLAQItABQABgAIAAAA&#10;IQAXTzAS2wAAAAgBAAAPAAAAAAAAAAAAAAAAAHAEAABkcnMvZG93bnJldi54bWxQSwUGAAAAAAQA&#10;BADzAAAAeAUAAAAA&#10;" strokeweight="1.5pt"/>
                  </w:pict>
                </mc:Fallback>
              </mc:AlternateContent>
            </w:r>
            <w:r w:rsidR="00BC7526">
              <w:rPr>
                <w:b/>
                <w:bCs/>
                <w:szCs w:val="18"/>
              </w:rPr>
              <w:t>NOTES</w:t>
            </w:r>
          </w:p>
          <w:p w:rsidR="00BC7526" w:rsidRDefault="00BC7526" w:rsidP="000305DD">
            <w:pPr>
              <w:pStyle w:val="NotesText"/>
            </w:pPr>
          </w:p>
          <w:p w:rsidR="00BC7526" w:rsidRDefault="00BC7526" w:rsidP="00BC7526">
            <w:pPr>
              <w:pStyle w:val="NotesText"/>
            </w:pPr>
            <w:r>
              <w:t>Local policy must define how to handle records when the merge from patient or merge to patient does not exist in VBECS.</w:t>
            </w:r>
          </w:p>
        </w:tc>
      </w:tr>
      <w:tr w:rsidR="00B473F5">
        <w:tblPrEx>
          <w:tblCellMar>
            <w:top w:w="0" w:type="dxa"/>
            <w:bottom w:w="0" w:type="dxa"/>
          </w:tblCellMar>
        </w:tblPrEx>
        <w:trPr>
          <w:hidden/>
        </w:trPr>
        <w:tc>
          <w:tcPr>
            <w:tcW w:w="3240" w:type="dxa"/>
          </w:tcPr>
          <w:p w:rsidR="00B473F5" w:rsidRDefault="00203F78" w:rsidP="000C6CEA">
            <w:pPr>
              <w:pStyle w:val="TableTextNumbers"/>
            </w:pPr>
            <w:r w:rsidRPr="00203F78">
              <w:rPr>
                <w:vanish/>
              </w:rPr>
              <w:t xml:space="preserve">DR 2,527 </w:t>
            </w:r>
            <w:r>
              <w:t xml:space="preserve">Click </w:t>
            </w:r>
            <w:r w:rsidRPr="00203F78">
              <w:rPr>
                <w:b/>
              </w:rPr>
              <w:t>Clear Patient Merge Alert</w:t>
            </w:r>
            <w:r w:rsidRPr="00203F78">
              <w:t>.</w:t>
            </w:r>
          </w:p>
        </w:tc>
        <w:tc>
          <w:tcPr>
            <w:tcW w:w="6120" w:type="dxa"/>
          </w:tcPr>
          <w:p w:rsidR="00B473F5" w:rsidRDefault="00BC4B7B" w:rsidP="00203F78">
            <w:pPr>
              <w:pStyle w:val="TableTextBullet"/>
            </w:pPr>
            <w:r>
              <w:t>When there are no pending patient updates, c</w:t>
            </w:r>
            <w:r w:rsidR="00203F78">
              <w:t>lears</w:t>
            </w:r>
            <w:r w:rsidR="00AB565A">
              <w:t xml:space="preserve"> </w:t>
            </w:r>
            <w:r w:rsidR="00634BFC">
              <w:rPr>
                <w:noProof/>
              </w:rPr>
              <w:drawing>
                <wp:inline distT="0" distB="0" distL="0" distR="0">
                  <wp:extent cx="161925" cy="152400"/>
                  <wp:effectExtent l="0" t="0" r="9525" b="0"/>
                  <wp:docPr id="222" name="Picture 222"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patientale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w:t>
            </w:r>
            <w:r w:rsidR="00203F78">
              <w:t xml:space="preserve">the </w:t>
            </w:r>
            <w:r>
              <w:t>Patient</w:t>
            </w:r>
            <w:r w:rsidR="00203F78">
              <w:t xml:space="preserve"> Alert icon</w:t>
            </w:r>
            <w:r>
              <w:t>) from the main status bar.</w:t>
            </w:r>
          </w:p>
          <w:p w:rsidR="005E0771" w:rsidRDefault="005E0771" w:rsidP="00203F78">
            <w:pPr>
              <w:pStyle w:val="TableTextBullet"/>
            </w:pPr>
            <w:r>
              <w:t xml:space="preserve">Displays </w:t>
            </w:r>
            <w:r w:rsidR="00342230">
              <w:t xml:space="preserve">an information message stating that the user viewed the record. </w:t>
            </w:r>
          </w:p>
          <w:p w:rsidR="000B0170" w:rsidRPr="00935E73" w:rsidRDefault="000B0170" w:rsidP="000B0170">
            <w:pPr>
              <w:pStyle w:val="TableText"/>
            </w:pPr>
          </w:p>
          <w:p w:rsidR="000B0170" w:rsidRDefault="00634BFC" w:rsidP="000B0170">
            <w:pPr>
              <w:pStyle w:val="TableText"/>
              <w:rPr>
                <w:b/>
                <w:bCs/>
                <w:szCs w:val="18"/>
              </w:rPr>
            </w:pPr>
            <w:r>
              <w:rPr>
                <w:b/>
                <w:bCs/>
                <w:noProof/>
              </w:rPr>
              <mc:AlternateContent>
                <mc:Choice Requires="wps">
                  <w:drawing>
                    <wp:anchor distT="0" distB="0" distL="114300" distR="114300" simplePos="0" relativeHeight="25178368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83" name="Line 1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5" o:spid="_x0000_s1026" style="position:absolute;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lFFgIAAC4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An&#10;Z8lFFgIAAC4EAAAOAAAAAAAAAAAAAAAAAC4CAABkcnMvZTJvRG9jLnhtbFBLAQItABQABgAIAAAA&#10;IQAXTzAS2wAAAAgBAAAPAAAAAAAAAAAAAAAAAHAEAABkcnMvZG93bnJldi54bWxQSwUGAAAAAAQA&#10;BADzAAAAeAUAAAAA&#10;" strokeweight="1.5pt"/>
                  </w:pict>
                </mc:Fallback>
              </mc:AlternateContent>
            </w:r>
            <w:r w:rsidR="000B0170">
              <w:rPr>
                <w:b/>
                <w:bCs/>
                <w:szCs w:val="18"/>
              </w:rPr>
              <w:t>NOTES</w:t>
            </w:r>
          </w:p>
          <w:p w:rsidR="000B0170" w:rsidRDefault="000B0170" w:rsidP="000B0170">
            <w:pPr>
              <w:pStyle w:val="NotesText"/>
            </w:pPr>
          </w:p>
          <w:p w:rsidR="000B0170" w:rsidRDefault="000B0170" w:rsidP="000B0170">
            <w:pPr>
              <w:pStyle w:val="Notes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sidR="00BD3287">
              <w:t>The Clear Patient Merge Alert function is available only to t</w:t>
            </w:r>
            <w:r>
              <w:t xml:space="preserve">he Traditional Supervisor </w:t>
            </w:r>
            <w:r w:rsidR="00BD3287">
              <w:t>and above</w:t>
            </w:r>
            <w:r w:rsidR="00D57F25">
              <w:t>.</w:t>
            </w:r>
          </w:p>
        </w:tc>
      </w:tr>
      <w:tr w:rsidR="00342230">
        <w:tblPrEx>
          <w:tblCellMar>
            <w:top w:w="0" w:type="dxa"/>
            <w:bottom w:w="0" w:type="dxa"/>
          </w:tblCellMar>
        </w:tblPrEx>
        <w:tc>
          <w:tcPr>
            <w:tcW w:w="3240" w:type="dxa"/>
          </w:tcPr>
          <w:p w:rsidR="00342230" w:rsidRPr="00203F78" w:rsidRDefault="00342230" w:rsidP="000C6CEA">
            <w:pPr>
              <w:pStyle w:val="TableTextNumbers"/>
              <w:rPr>
                <w:vanish/>
              </w:rPr>
            </w:pPr>
            <w:r>
              <w:t xml:space="preserve">Click </w:t>
            </w:r>
            <w:r w:rsidRPr="00342230">
              <w:rPr>
                <w:b/>
              </w:rPr>
              <w:t>OK</w:t>
            </w:r>
            <w:r>
              <w:t xml:space="preserve"> to acknowledge the message.</w:t>
            </w:r>
          </w:p>
        </w:tc>
        <w:tc>
          <w:tcPr>
            <w:tcW w:w="6120" w:type="dxa"/>
          </w:tcPr>
          <w:p w:rsidR="00342230" w:rsidRDefault="00342230" w:rsidP="00203F78">
            <w:pPr>
              <w:pStyle w:val="TableTextBullet"/>
            </w:pPr>
            <w:r>
              <w:t>Clears the icon</w:t>
            </w:r>
            <w:r w:rsidR="00A1063F">
              <w:t xml:space="preserve"> when the user acknowledges the</w:t>
            </w:r>
            <w:r>
              <w:t xml:space="preserve"> message.</w:t>
            </w:r>
          </w:p>
        </w:tc>
      </w:tr>
      <w:tr w:rsidR="007A00DE">
        <w:tblPrEx>
          <w:tblCellMar>
            <w:top w:w="0" w:type="dxa"/>
            <w:bottom w:w="0" w:type="dxa"/>
          </w:tblCellMar>
        </w:tblPrEx>
        <w:tc>
          <w:tcPr>
            <w:tcW w:w="3240" w:type="dxa"/>
          </w:tcPr>
          <w:p w:rsidR="007A00DE" w:rsidRDefault="007A00DE" w:rsidP="007A00DE">
            <w:pPr>
              <w:pStyle w:val="TableTextNumbers"/>
            </w:pPr>
            <w:r>
              <w:t xml:space="preserve">Click </w:t>
            </w:r>
            <w:r w:rsidR="00D76C47">
              <w:rPr>
                <w:b/>
              </w:rPr>
              <w:t>Close</w:t>
            </w:r>
            <w:r w:rsidR="00D76C47">
              <w:t xml:space="preserve"> </w:t>
            </w:r>
            <w:r>
              <w:t xml:space="preserve">to exit, or return to Step 2.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rsidR="007A00DE" w:rsidRDefault="007A00DE" w:rsidP="007A00DE">
            <w:pPr>
              <w:pStyle w:val="TableText"/>
            </w:pPr>
          </w:p>
        </w:tc>
      </w:tr>
    </w:tbl>
    <w:p w:rsidR="00C74683" w:rsidRDefault="00C74683" w:rsidP="00C74683">
      <w:pPr>
        <w:pStyle w:val="Caption"/>
      </w:pPr>
      <w:bookmarkStart w:id="469" w:name="_Ref136786613"/>
      <w:r>
        <w:lastRenderedPageBreak/>
        <w:t xml:space="preserve">Figure </w:t>
      </w:r>
      <w:r w:rsidR="00C17F7C">
        <w:fldChar w:fldCharType="begin"/>
      </w:r>
      <w:r w:rsidR="00C17F7C">
        <w:instrText xml:space="preserve"> SEQ Figure \* ARABIC </w:instrText>
      </w:r>
      <w:r w:rsidR="00C17F7C">
        <w:fldChar w:fldCharType="separate"/>
      </w:r>
      <w:r w:rsidR="005F38BC">
        <w:rPr>
          <w:noProof/>
        </w:rPr>
        <w:t>115</w:t>
      </w:r>
      <w:r w:rsidR="00C17F7C">
        <w:fldChar w:fldCharType="end"/>
      </w:r>
      <w:bookmarkEnd w:id="468"/>
      <w:bookmarkEnd w:id="469"/>
      <w:r>
        <w:t>: Patient Merge</w:t>
      </w:r>
    </w:p>
    <w:p w:rsidR="00C74683" w:rsidRDefault="00634BFC" w:rsidP="00C74683">
      <w:pPr>
        <w:pStyle w:val="BodyText"/>
      </w:pPr>
      <w:r>
        <w:rPr>
          <w:noProof/>
        </w:rPr>
        <w:drawing>
          <wp:inline distT="0" distB="0" distL="0" distR="0">
            <wp:extent cx="5781675" cy="3486150"/>
            <wp:effectExtent l="0" t="0" r="9525" b="0"/>
            <wp:docPr id="223" name="Picture 223" descr="Fig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Figure 11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781675" cy="3486150"/>
                    </a:xfrm>
                    <a:prstGeom prst="rect">
                      <a:avLst/>
                    </a:prstGeom>
                    <a:noFill/>
                    <a:ln>
                      <a:noFill/>
                    </a:ln>
                  </pic:spPr>
                </pic:pic>
              </a:graphicData>
            </a:graphic>
          </wp:inline>
        </w:drawing>
      </w:r>
    </w:p>
    <w:p w:rsidR="002A21AE" w:rsidRDefault="00AC2D9E">
      <w:pPr>
        <w:pStyle w:val="Heading3"/>
      </w:pPr>
      <w:r>
        <w:br w:type="page"/>
      </w:r>
      <w:bookmarkStart w:id="470" w:name="_Toc459900143"/>
      <w:r w:rsidR="002A21AE">
        <w:lastRenderedPageBreak/>
        <w:t>Updated Patients and Deceased Patients</w:t>
      </w:r>
      <w:bookmarkEnd w:id="470"/>
      <w:r w:rsidR="002A21AE">
        <w:fldChar w:fldCharType="begin"/>
      </w:r>
      <w:r w:rsidR="002A21AE">
        <w:instrText xml:space="preserve"> XE </w:instrText>
      </w:r>
      <w:r w:rsidR="00FA7E65">
        <w:instrText>“</w:instrText>
      </w:r>
      <w:r w:rsidR="002A21AE">
        <w:instrText>Updated Patients and Deceased Patients</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UC_68</w:t>
      </w:r>
    </w:p>
    <w:p w:rsidR="002A21AE" w:rsidRDefault="002A21AE" w:rsidP="00FA7E65">
      <w:pPr>
        <w:pStyle w:val="BodyText"/>
      </w:pPr>
      <w:r>
        <w:rPr>
          <w:rFonts w:ascii="Arial" w:hAnsi="Arial" w:cs="Arial"/>
          <w:vanish/>
          <w:sz w:val="18"/>
        </w:rPr>
        <w:t xml:space="preserve">BR_68.02 </w:t>
      </w:r>
      <w:r>
        <w:t xml:space="preserve">The user views </w:t>
      </w:r>
      <w:r w:rsidR="000350E5">
        <w:t xml:space="preserve">patient </w:t>
      </w:r>
      <w:r>
        <w:t>update</w:t>
      </w:r>
      <w:r w:rsidR="00401847">
        <w:t>s</w:t>
      </w:r>
      <w:r>
        <w:t xml:space="preserve"> </w:t>
      </w:r>
      <w:r w:rsidR="00086F22">
        <w:t xml:space="preserve">and </w:t>
      </w:r>
      <w:r>
        <w:t>death events for patients with pending or active orders in VBECS.</w:t>
      </w:r>
    </w:p>
    <w:p w:rsidR="002A21AE" w:rsidRDefault="002A21AE">
      <w:pPr>
        <w:pStyle w:val="Heading4"/>
      </w:pPr>
      <w:r>
        <w:t>Assumptions</w:t>
      </w:r>
      <w:r>
        <w:rPr>
          <w:b w:val="0"/>
        </w:rPr>
        <w:t xml:space="preserve"> </w:t>
      </w:r>
    </w:p>
    <w:p w:rsidR="00422796" w:rsidRPr="00422796" w:rsidRDefault="00422796" w:rsidP="00422796">
      <w:pPr>
        <w:pStyle w:val="ListBullet"/>
      </w:pPr>
      <w:r w:rsidRPr="00422796">
        <w:t xml:space="preserve">The connection to </w:t>
      </w:r>
      <w:r w:rsidRPr="00422796">
        <w:rPr>
          <w:bCs/>
        </w:rPr>
        <w:t>VistA</w:t>
      </w:r>
      <w:r w:rsidRPr="00422796">
        <w:t xml:space="preserve"> is active.</w:t>
      </w:r>
    </w:p>
    <w:p w:rsidR="00422796" w:rsidRDefault="00422796" w:rsidP="00422796">
      <w:pPr>
        <w:pStyle w:val="ListBullet"/>
      </w:pPr>
      <w:r>
        <w:t xml:space="preserve">The patient record was updated in </w:t>
      </w:r>
      <w:r w:rsidRPr="00CA6E27">
        <w:rPr>
          <w:bCs/>
        </w:rPr>
        <w:t>VistA</w:t>
      </w:r>
      <w:r>
        <w:t>.</w:t>
      </w:r>
    </w:p>
    <w:p w:rsidR="002A21AE" w:rsidRDefault="002A21AE">
      <w:pPr>
        <w:pStyle w:val="ListBullet"/>
      </w:pPr>
      <w:r>
        <w:t xml:space="preserve">VBECS received a message </w:t>
      </w:r>
      <w:r w:rsidR="00086F22">
        <w:t xml:space="preserve">from VistA </w:t>
      </w:r>
      <w:r>
        <w:t>about a patient record update or death.</w:t>
      </w:r>
    </w:p>
    <w:p w:rsidR="002A21AE" w:rsidRDefault="002A21AE">
      <w:pPr>
        <w:pStyle w:val="ListBullet"/>
      </w:pPr>
      <w:r>
        <w:t>The affected patient’s records are in the VBECS database.</w:t>
      </w:r>
    </w:p>
    <w:p w:rsidR="002A21AE" w:rsidRDefault="002A21AE">
      <w:pPr>
        <w:pStyle w:val="ListBullet"/>
      </w:pPr>
      <w:r>
        <w:t>The affected patient has a pending or active order in VBECS for update</w:t>
      </w:r>
      <w:r w:rsidR="00E413E2">
        <w:t>s</w:t>
      </w:r>
      <w:r>
        <w:t xml:space="preserve"> and/or death event.</w:t>
      </w:r>
    </w:p>
    <w:p w:rsidR="002A21AE" w:rsidRDefault="002A21AE">
      <w:pPr>
        <w:pStyle w:val="Heading4"/>
      </w:pPr>
      <w:r>
        <w:t xml:space="preserve">Outcome </w:t>
      </w:r>
    </w:p>
    <w:p w:rsidR="002A21AE" w:rsidRDefault="002A21AE">
      <w:pPr>
        <w:pStyle w:val="ListBullet"/>
      </w:pPr>
      <w:r>
        <w:t>The user reviews updated patient records.</w:t>
      </w:r>
    </w:p>
    <w:p w:rsidR="002A21AE" w:rsidRDefault="002A21AE">
      <w:pPr>
        <w:pStyle w:val="Heading4"/>
      </w:pPr>
      <w:r>
        <w:t>Limitations and Restrictions</w:t>
      </w:r>
      <w:r>
        <w:rPr>
          <w:b w:val="0"/>
        </w:rPr>
        <w:t xml:space="preserve"> </w:t>
      </w:r>
    </w:p>
    <w:p w:rsidR="002A21AE" w:rsidRDefault="002A21AE">
      <w:pPr>
        <w:pStyle w:val="ListBullet"/>
      </w:pPr>
      <w:r>
        <w:t>Demographic and death event updates do not display information for patients without pending or active orders in VBECS.</w:t>
      </w:r>
      <w:r w:rsidR="00AB5121">
        <w:t xml:space="preserve"> Updates will occur without user input.</w:t>
      </w:r>
    </w:p>
    <w:p w:rsidR="00422796" w:rsidRDefault="00422796" w:rsidP="00422796">
      <w:pPr>
        <w:pStyle w:val="ListBullet"/>
      </w:pPr>
      <w:r>
        <w:t xml:space="preserve">VBECS does not notify users of additional VistA patient updates or merges while the icon is displayed. When a user views an update and there is an unprocessed patient merge, the Patient Alert icon remains on the screen until the Traditional Supervisor completes the update and clears the icon. </w:t>
      </w:r>
    </w:p>
    <w:p w:rsidR="00C805FB" w:rsidRDefault="00C805FB" w:rsidP="00422796">
      <w:pPr>
        <w:pStyle w:val="ListBullet"/>
      </w:pPr>
      <w:r>
        <w:t>When VBECS notifies a user of an update to a patient’s prefix or suffix, VBECS does not display the updated information: the user must access VistA to view the updated information</w:t>
      </w:r>
      <w:r w:rsidR="00EE1726">
        <w:t>.</w:t>
      </w:r>
      <w:r w:rsidRPr="00C805FB">
        <w:rPr>
          <w:vanish/>
        </w:rPr>
        <w:t xml:space="preserve"> </w:t>
      </w:r>
      <w:r w:rsidR="00EE1726">
        <w:rPr>
          <w:vanish/>
        </w:rPr>
        <w:t>DR 2,714</w:t>
      </w:r>
    </w:p>
    <w:p w:rsidR="002A21AE" w:rsidRDefault="002A21AE">
      <w:pPr>
        <w:pStyle w:val="Heading4"/>
      </w:pPr>
      <w:r>
        <w:t xml:space="preserve">Additional Information </w:t>
      </w:r>
    </w:p>
    <w:p w:rsidR="002A21AE" w:rsidRDefault="002A21AE">
      <w:pPr>
        <w:pStyle w:val="ListBullet"/>
      </w:pPr>
      <w:r>
        <w:t>None</w:t>
      </w:r>
    </w:p>
    <w:p w:rsidR="002A21AE" w:rsidRDefault="002A21AE">
      <w:pPr>
        <w:pStyle w:val="Heading4"/>
        <w:rPr>
          <w:b w:val="0"/>
        </w:rPr>
      </w:pPr>
      <w:r>
        <w:t>User Roles with Access to This Option</w:t>
      </w:r>
      <w:r>
        <w:rPr>
          <w:b w:val="0"/>
        </w:rPr>
        <w:t xml:space="preserve"> </w:t>
      </w:r>
    </w:p>
    <w:p w:rsidR="002A21AE" w:rsidRDefault="00A937B3">
      <w:pPr>
        <w:pStyle w:val="Roles"/>
        <w:rPr>
          <w:snapToGrid w:val="0"/>
        </w:rPr>
      </w:pPr>
      <w:r>
        <w:t>All users</w:t>
      </w:r>
    </w:p>
    <w:p w:rsidR="002A21AE" w:rsidRDefault="002A21AE">
      <w:pPr>
        <w:pStyle w:val="Heading4"/>
      </w:pPr>
      <w:r>
        <w:t>Updated Patients and Deceased Patients</w:t>
      </w:r>
    </w:p>
    <w:p w:rsidR="002A21AE" w:rsidRDefault="002A21AE" w:rsidP="00FA7E65">
      <w:pPr>
        <w:pStyle w:val="BodyText"/>
      </w:pPr>
      <w:r>
        <w:t>The user views updated patient records.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 xml:space="preserve">Select </w:t>
            </w:r>
            <w:r>
              <w:rPr>
                <w:b/>
              </w:rPr>
              <w:t>Patients</w:t>
            </w:r>
            <w:r>
              <w:t xml:space="preserve"> from the main menu.</w:t>
            </w:r>
          </w:p>
          <w:p w:rsidR="002A21AE" w:rsidRDefault="002A21AE">
            <w:pPr>
              <w:pStyle w:val="TableTextNumbersContinued"/>
            </w:pPr>
          </w:p>
          <w:p w:rsidR="002A21AE" w:rsidRDefault="002A21AE">
            <w:pPr>
              <w:pStyle w:val="TableTextNumbersContinued"/>
            </w:pPr>
            <w:r>
              <w:t xml:space="preserve">Select </w:t>
            </w:r>
            <w:r>
              <w:rPr>
                <w:b/>
              </w:rPr>
              <w:t>Patient Updates</w:t>
            </w:r>
            <w:r>
              <w:t>.</w:t>
            </w:r>
          </w:p>
          <w:p w:rsidR="002A21AE" w:rsidRDefault="002A21AE">
            <w:pPr>
              <w:pStyle w:val="TableTextNumbersContinued"/>
            </w:pPr>
          </w:p>
          <w:p w:rsidR="002A21AE" w:rsidRDefault="002A21AE">
            <w:pPr>
              <w:pStyle w:val="TableTextNumbersContinued"/>
            </w:pPr>
            <w:r>
              <w:t xml:space="preserve">Select </w:t>
            </w:r>
            <w:r>
              <w:rPr>
                <w:b/>
              </w:rPr>
              <w:t>Updated Patient</w:t>
            </w:r>
            <w:r>
              <w:t xml:space="preserve"> or </w:t>
            </w:r>
            <w:r>
              <w:rPr>
                <w:b/>
              </w:rPr>
              <w:t>Deceased Patient</w:t>
            </w:r>
            <w:r>
              <w:t>, or</w:t>
            </w:r>
          </w:p>
          <w:p w:rsidR="002A21AE" w:rsidRDefault="002A21AE">
            <w:pPr>
              <w:pStyle w:val="TableTextNumbersContinued"/>
            </w:pPr>
          </w:p>
          <w:p w:rsidR="002A21AE" w:rsidRDefault="002A21AE">
            <w:pPr>
              <w:pStyle w:val="TableTextNumbersContinued"/>
            </w:pPr>
            <w:r>
              <w:t xml:space="preserve">Click </w:t>
            </w:r>
            <w:r w:rsidR="00634BFC">
              <w:rPr>
                <w:noProof/>
              </w:rPr>
              <w:drawing>
                <wp:inline distT="0" distB="0" distL="0" distR="0">
                  <wp:extent cx="161925" cy="152400"/>
                  <wp:effectExtent l="0" t="0" r="9525" b="0"/>
                  <wp:docPr id="224" name="Picture 224"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patientale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in the Patient Information Toolbar, when it is active.</w:t>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Bullet"/>
            </w:pPr>
            <w:r>
              <w:t>Displays options for processing patient-related functions.</w:t>
            </w:r>
          </w:p>
          <w:p w:rsidR="002A21AE" w:rsidRDefault="002A21AE">
            <w:pPr>
              <w:pStyle w:val="TableTextBullet"/>
            </w:pPr>
            <w:r>
              <w:t>Lists updated or deceased patients (also lists these data after the update if they changed)</w:t>
            </w:r>
            <w:r w:rsidR="005F6016">
              <w:t>,</w:t>
            </w:r>
            <w:r>
              <w:t xml:space="preserve"> including:</w:t>
            </w:r>
          </w:p>
          <w:p w:rsidR="002A21AE" w:rsidRDefault="002A21AE">
            <w:pPr>
              <w:pStyle w:val="TableTextBullet1"/>
            </w:pPr>
            <w:r>
              <w:t xml:space="preserve">Patient name </w:t>
            </w:r>
          </w:p>
          <w:p w:rsidR="002A21AE" w:rsidRDefault="002A21AE">
            <w:pPr>
              <w:pStyle w:val="TableTextBullet1"/>
            </w:pPr>
            <w:r>
              <w:t xml:space="preserve">Patient ID </w:t>
            </w:r>
          </w:p>
          <w:p w:rsidR="002A21AE" w:rsidRDefault="002A21AE">
            <w:pPr>
              <w:pStyle w:val="TableTextBullet1"/>
            </w:pPr>
            <w:r>
              <w:t xml:space="preserve">Patient date of birth </w:t>
            </w:r>
          </w:p>
          <w:p w:rsidR="002A21AE" w:rsidRDefault="002A21AE">
            <w:pPr>
              <w:pStyle w:val="TableTextBullet1"/>
            </w:pPr>
            <w:r>
              <w:t>Date and time of the update, or date of death</w:t>
            </w:r>
          </w:p>
        </w:tc>
      </w:tr>
      <w:tr w:rsidR="002A21AE">
        <w:tblPrEx>
          <w:tblCellMar>
            <w:top w:w="0" w:type="dxa"/>
            <w:bottom w:w="0" w:type="dxa"/>
          </w:tblCellMar>
        </w:tblPrEx>
        <w:tc>
          <w:tcPr>
            <w:tcW w:w="3240" w:type="dxa"/>
          </w:tcPr>
          <w:p w:rsidR="002A21AE" w:rsidRDefault="002A21AE">
            <w:pPr>
              <w:pStyle w:val="TableTextNumbers"/>
            </w:pPr>
            <w:r>
              <w:t xml:space="preserve">Click </w:t>
            </w:r>
            <w:r>
              <w:rPr>
                <w:b/>
              </w:rPr>
              <w:t>Close</w:t>
            </w:r>
            <w:r>
              <w:t xml:space="preserve"> to exit, or return to Step 1 to view another patient’s data.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rsidR="002A21AE" w:rsidRDefault="002A21AE">
            <w:pPr>
              <w:pStyle w:val="TableText"/>
            </w:pPr>
          </w:p>
        </w:tc>
      </w:tr>
    </w:tbl>
    <w:p w:rsidR="002A21AE" w:rsidRDefault="002A21AE">
      <w:pPr>
        <w:pStyle w:val="Heading3"/>
        <w:sectPr w:rsidR="002A21AE" w:rsidSect="00EE771C">
          <w:pgSz w:w="12240" w:h="15840" w:code="1"/>
          <w:pgMar w:top="1440" w:right="1440" w:bottom="1440" w:left="1440" w:header="720" w:footer="720" w:gutter="0"/>
          <w:cols w:space="720"/>
          <w:docGrid w:linePitch="360"/>
        </w:sectPr>
      </w:pPr>
      <w:bookmarkStart w:id="471" w:name="_Patient_Testing:_Record_Patient Tes"/>
      <w:bookmarkStart w:id="472" w:name="_Patient_Testing:_Record"/>
      <w:bookmarkEnd w:id="471"/>
      <w:bookmarkEnd w:id="472"/>
    </w:p>
    <w:p w:rsidR="002A21AE" w:rsidRDefault="002A21AE">
      <w:pPr>
        <w:pStyle w:val="Heading3"/>
      </w:pPr>
      <w:bookmarkStart w:id="473" w:name="_Patient_Testing:_Record_1"/>
      <w:bookmarkStart w:id="474" w:name="_Toc459900144"/>
      <w:bookmarkEnd w:id="473"/>
      <w:r>
        <w:lastRenderedPageBreak/>
        <w:t xml:space="preserve">Patient Testing: </w:t>
      </w:r>
      <w:r w:rsidR="0064667E">
        <w:t>General Instructions</w:t>
      </w:r>
      <w:bookmarkEnd w:id="474"/>
      <w:r>
        <w:fldChar w:fldCharType="begin"/>
      </w:r>
      <w:r>
        <w:instrText xml:space="preserve"> XE </w:instrText>
      </w:r>
      <w:r w:rsidR="00FA7E65">
        <w:instrText>“</w:instrText>
      </w:r>
      <w:r>
        <w:instrText xml:space="preserve">Patient Testing\: </w:instrText>
      </w:r>
      <w:r w:rsidR="0064667E">
        <w:instrText>General Instructions</w:instrText>
      </w:r>
      <w:r w:rsidR="00FA7E65">
        <w:instrText>”</w:instrText>
      </w:r>
      <w:r>
        <w:instrText xml:space="preserve"> </w:instrText>
      </w:r>
      <w:r>
        <w:fldChar w:fldCharType="end"/>
      </w:r>
      <w:r>
        <w:t xml:space="preserve"> </w:t>
      </w:r>
      <w:r>
        <w:rPr>
          <w:rFonts w:ascii="Times New Roman" w:hAnsi="Times New Roman" w:cs="Times New Roman"/>
          <w:b w:val="0"/>
          <w:vanish/>
          <w:sz w:val="22"/>
        </w:rPr>
        <w:t>UC_56</w:t>
      </w:r>
    </w:p>
    <w:p w:rsidR="002A21AE" w:rsidRDefault="002A21AE" w:rsidP="00FA7E65">
      <w:pPr>
        <w:pStyle w:val="BodyText"/>
      </w:pPr>
      <w:bookmarkStart w:id="475" w:name="_Toc78036036"/>
      <w:r>
        <w:t>The user records a patient’s serologic test results.</w:t>
      </w:r>
    </w:p>
    <w:p w:rsidR="002A21AE" w:rsidRDefault="002A21AE">
      <w:pPr>
        <w:pStyle w:val="Heading4"/>
      </w:pPr>
      <w:r>
        <w:t>Assumptions</w:t>
      </w:r>
    </w:p>
    <w:p w:rsidR="002A21AE" w:rsidRDefault="002A21AE">
      <w:pPr>
        <w:pStyle w:val="ListBullet"/>
      </w:pPr>
      <w:r>
        <w:t xml:space="preserve">The patient specimen and order were processed and found satisfactory for testing. </w:t>
      </w:r>
    </w:p>
    <w:p w:rsidR="002A21AE" w:rsidRDefault="002A21AE">
      <w:pPr>
        <w:pStyle w:val="ListBullet"/>
      </w:pPr>
      <w:r>
        <w:t>The user selected one to four diagnostic and/or component tasks for testing from the Pending Task List (PTL).</w:t>
      </w:r>
    </w:p>
    <w:p w:rsidR="002A21AE" w:rsidRDefault="002A21AE">
      <w:pPr>
        <w:pStyle w:val="ListBullet"/>
      </w:pPr>
      <w:r>
        <w:t>The patient may or may not have a previous blood bank record. Previously saved VBECS data related to this patient are available for comparison with the user’s test results and interpretations.</w:t>
      </w:r>
    </w:p>
    <w:p w:rsidR="002A21AE" w:rsidRDefault="002A21AE">
      <w:pPr>
        <w:pStyle w:val="Heading4"/>
      </w:pPr>
      <w:r>
        <w:t>Outcome</w:t>
      </w:r>
    </w:p>
    <w:p w:rsidR="002A21AE" w:rsidRDefault="002A21AE">
      <w:pPr>
        <w:pStyle w:val="ListBullet"/>
      </w:pPr>
      <w:r>
        <w:t>The test record was filed, is unique, and is retrievable for the life of VBECS.</w:t>
      </w:r>
    </w:p>
    <w:p w:rsidR="002A21AE" w:rsidRDefault="002A21AE">
      <w:pPr>
        <w:pStyle w:val="ListBullet"/>
      </w:pPr>
      <w:r>
        <w:t>Partially completed testing is available for completion or invalidation but is not available to the patient record or reports.</w:t>
      </w:r>
    </w:p>
    <w:p w:rsidR="002A21AE" w:rsidRDefault="002A21AE">
      <w:pPr>
        <w:pStyle w:val="ListBullet"/>
      </w:pPr>
      <w:r>
        <w:t>Completed, current specimen test results are available for inclusion in various reports.</w:t>
      </w:r>
    </w:p>
    <w:p w:rsidR="002A21AE" w:rsidRDefault="002A21AE">
      <w:pPr>
        <w:pStyle w:val="ListBullet"/>
      </w:pPr>
      <w:r>
        <w:t>VBECS changes the task status to “completed” and triggers the generation of a message to CPRS that the order is complete.</w:t>
      </w:r>
    </w:p>
    <w:p w:rsidR="002A21AE" w:rsidRDefault="002A21AE">
      <w:pPr>
        <w:pStyle w:val="ListBullet"/>
      </w:pPr>
      <w:r>
        <w:t>The test record includes the details of the verified, completed testing.</w:t>
      </w:r>
    </w:p>
    <w:p w:rsidR="002A21AE" w:rsidRDefault="002A21AE">
      <w:pPr>
        <w:pStyle w:val="Heading4"/>
      </w:pPr>
      <w:r>
        <w:t>Limitations and Restrictions</w:t>
      </w:r>
    </w:p>
    <w:p w:rsidR="00D50784" w:rsidRDefault="00D50784" w:rsidP="00D50784">
      <w:pPr>
        <w:pStyle w:val="ListBullet"/>
      </w:pPr>
      <w:r>
        <w:t>This test record is not editable after the user completes a test and saves it to the database. When a correction needs to be filed, a corrected report must be generated, as described in Invalidating Patient Test Results.</w:t>
      </w:r>
    </w:p>
    <w:p w:rsidR="00E36CAB" w:rsidRDefault="00E36CAB" w:rsidP="00E36CAB">
      <w:pPr>
        <w:pStyle w:val="ListBullet"/>
      </w:pPr>
      <w:r>
        <w:t>User selection of partially completed testing grids with different phases of testing</w:t>
      </w:r>
      <w:r w:rsidRPr="008727C1">
        <w:t xml:space="preserve"> </w:t>
      </w:r>
      <w:r>
        <w:t xml:space="preserve">(All Phases or AHG Only) as previously selected creates a testing discrepancy in VBECS. </w:t>
      </w:r>
    </w:p>
    <w:p w:rsidR="00B90645" w:rsidRPr="000D669E" w:rsidRDefault="00E36CAB" w:rsidP="00E36CAB">
      <w:pPr>
        <w:pStyle w:val="ListBullet"/>
      </w:pPr>
      <w:r>
        <w:t>Limited batch testing to partially completed orders with the same testing grid selection, either All Phases or AHG Only.</w:t>
      </w:r>
      <w:r w:rsidR="00B90645">
        <w:t xml:space="preserve"> </w:t>
      </w:r>
      <w:r w:rsidR="00B90645">
        <w:rPr>
          <w:vanish/>
        </w:rPr>
        <w:t>DR 4218</w:t>
      </w:r>
    </w:p>
    <w:p w:rsidR="000D669E" w:rsidRDefault="000D669E" w:rsidP="00E36CAB">
      <w:pPr>
        <w:pStyle w:val="ListBullet"/>
      </w:pPr>
      <w:r>
        <w:t xml:space="preserve">VBECS cannot compare test results for a patient when two users are entering test results for the same patient at the same time. </w:t>
      </w:r>
      <w:r w:rsidRPr="000D669E">
        <w:rPr>
          <w:vanish/>
        </w:rPr>
        <w:t>DR 4817</w:t>
      </w:r>
    </w:p>
    <w:p w:rsidR="002A21AE" w:rsidRDefault="002A21AE">
      <w:pPr>
        <w:pStyle w:val="Heading4"/>
      </w:pPr>
      <w:r>
        <w:t>Additional Information</w:t>
      </w:r>
    </w:p>
    <w:p w:rsidR="002A21AE" w:rsidRDefault="002A21AE">
      <w:pPr>
        <w:pStyle w:val="ListBullet"/>
      </w:pPr>
      <w:r>
        <w:t>Partially completed tests may be invalidated within the testing option.</w:t>
      </w:r>
    </w:p>
    <w:p w:rsidR="002A21AE" w:rsidRDefault="002A21AE">
      <w:pPr>
        <w:pStyle w:val="Heading4"/>
      </w:pPr>
      <w:r>
        <w:t>User Roles with Access to This Option</w:t>
      </w:r>
    </w:p>
    <w:p w:rsidR="00A937B3" w:rsidRDefault="00A937B3" w:rsidP="00A937B3">
      <w:pPr>
        <w:pStyle w:val="Roles"/>
        <w:rPr>
          <w:snapToGrid w:val="0"/>
        </w:rPr>
      </w:pPr>
      <w:r>
        <w:t>All users</w:t>
      </w:r>
    </w:p>
    <w:bookmarkEnd w:id="475"/>
    <w:p w:rsidR="002A21AE" w:rsidRDefault="002A21AE">
      <w:pPr>
        <w:pStyle w:val="Heading4"/>
      </w:pPr>
      <w:r>
        <w:t xml:space="preserve">Patient Testing: </w:t>
      </w:r>
      <w:r w:rsidR="00260BEA">
        <w:t>General Instructions</w:t>
      </w:r>
    </w:p>
    <w:p w:rsidR="002A21AE" w:rsidRDefault="002A21AE" w:rsidP="00FA7E65">
      <w:pPr>
        <w:pStyle w:val="BodyText"/>
      </w:pPr>
      <w:r>
        <w:t xml:space="preserve">A user records a patient’s test results: Type &amp; Screen (TAS), ABO/Rh, </w:t>
      </w:r>
      <w:r w:rsidR="008E2E30">
        <w:t>Antibody Screen Test (ABS)</w:t>
      </w:r>
      <w:r>
        <w:t>, Direct Antiglobulin Test (DAT), and crossmatches (XMs) on units selected for a patient. This option describes the configuration of reflex or repeat testing and patient antigen typing.</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 xml:space="preserve">Select </w:t>
            </w:r>
            <w:r>
              <w:rPr>
                <w:b/>
              </w:rPr>
              <w:t>Patients</w:t>
            </w:r>
            <w:r>
              <w:t xml:space="preserve"> from the main menu.</w:t>
            </w:r>
          </w:p>
          <w:p w:rsidR="002A21AE" w:rsidRDefault="002A21AE">
            <w:pPr>
              <w:pStyle w:val="TableTextNumbersContinued"/>
            </w:pPr>
          </w:p>
          <w:p w:rsidR="002A21AE" w:rsidRDefault="002A21AE">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Bullet"/>
            </w:pPr>
            <w:r>
              <w:t xml:space="preserve">Displays options for processing patient-related functions. </w:t>
            </w:r>
          </w:p>
          <w:p w:rsidR="002A21AE" w:rsidRDefault="002A21AE">
            <w:pPr>
              <w:pStyle w:val="TableTextBullet"/>
            </w:pPr>
            <w:r>
              <w:t>Displays the Pending Task List (PTL) in the Diagnostic Tests tab.</w:t>
            </w:r>
          </w:p>
          <w:p w:rsidR="002A21AE" w:rsidRDefault="002A21AE">
            <w:pPr>
              <w:pStyle w:val="NotesText"/>
            </w:pPr>
          </w:p>
          <w:p w:rsidR="002A21AE" w:rsidRDefault="00634BFC">
            <w:pPr>
              <w:pStyle w:val="TableText"/>
              <w:rPr>
                <w:b/>
                <w:bCs/>
                <w:szCs w:val="18"/>
              </w:rPr>
            </w:pPr>
            <w:r>
              <w:rPr>
                <w:b/>
                <w:bCs/>
                <w:noProof/>
              </w:rPr>
              <mc:AlternateContent>
                <mc:Choice Requires="wps">
                  <w:drawing>
                    <wp:anchor distT="0" distB="0" distL="114300" distR="114300" simplePos="0" relativeHeight="25169561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82" name="Line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7"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7kWFgIAAC0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BO&#10;E7kWFgIAAC0EAAAOAAAAAAAAAAAAAAAAAC4CAABkcnMvZTJvRG9jLnhtbFBLAQItABQABgAIAAAA&#10;IQAXTzAS2wAAAAgBAAAPAAAAAAAAAAAAAAAAAHAEAABkcnMvZG93bnJldi54bWxQSwUGAAAAAAQA&#10;BADzAAAAeAUAAAAA&#10;" strokeweight="1.5pt"/>
                  </w:pict>
                </mc:Fallback>
              </mc:AlternateContent>
            </w:r>
            <w:r w:rsidR="002A21AE">
              <w:rPr>
                <w:b/>
                <w:bCs/>
                <w:szCs w:val="18"/>
              </w:rPr>
              <w:t>NOTES</w:t>
            </w:r>
          </w:p>
          <w:p w:rsidR="002A21AE" w:rsidRDefault="002A21AE">
            <w:pPr>
              <w:pStyle w:val="NotesText"/>
            </w:pPr>
          </w:p>
          <w:p w:rsidR="00CA495D" w:rsidRPr="00CA495D" w:rsidRDefault="002A21AE" w:rsidP="00CA495D">
            <w:pPr>
              <w:pStyle w:val="NotesText"/>
              <w:rPr>
                <w:snapToGrid w:val="0"/>
              </w:rPr>
            </w:pPr>
            <w:r>
              <w:lastRenderedPageBreak/>
              <w:t>A user may search for specific tasks using search criteria detailed in Pending Task List.</w:t>
            </w:r>
          </w:p>
        </w:tc>
      </w:tr>
      <w:tr w:rsidR="002A21AE">
        <w:tblPrEx>
          <w:tblCellMar>
            <w:top w:w="0" w:type="dxa"/>
            <w:bottom w:w="0" w:type="dxa"/>
          </w:tblCellMar>
        </w:tblPrEx>
        <w:tc>
          <w:tcPr>
            <w:tcW w:w="3240" w:type="dxa"/>
          </w:tcPr>
          <w:p w:rsidR="002A21AE" w:rsidRDefault="002A21AE">
            <w:pPr>
              <w:pStyle w:val="TableTextNumbers"/>
            </w:pPr>
            <w:r>
              <w:lastRenderedPageBreak/>
              <w:t>Click one to four check boxes in the Pending Task List to select tasks for testing</w:t>
            </w:r>
            <w:r w:rsidR="00883DE9">
              <w:t xml:space="preserve"> (</w:t>
            </w:r>
            <w:r w:rsidR="00883DE9">
              <w:fldChar w:fldCharType="begin"/>
            </w:r>
            <w:r w:rsidR="00883DE9">
              <w:instrText xml:space="preserve"> REF _Ref126724192 \h </w:instrText>
            </w:r>
            <w:r w:rsidR="00883DE9">
              <w:fldChar w:fldCharType="separate"/>
            </w:r>
            <w:r w:rsidR="005F38BC">
              <w:t xml:space="preserve">Figure </w:t>
            </w:r>
            <w:r w:rsidR="005F38BC">
              <w:rPr>
                <w:noProof/>
              </w:rPr>
              <w:t>111</w:t>
            </w:r>
            <w:r w:rsidR="00883DE9">
              <w:fldChar w:fldCharType="end"/>
            </w:r>
            <w:r w:rsidR="00883DE9">
              <w:t>)</w:t>
            </w:r>
            <w:r>
              <w:t xml:space="preserve">. </w:t>
            </w:r>
          </w:p>
          <w:p w:rsidR="002A21AE" w:rsidRDefault="002A21AE">
            <w:pPr>
              <w:pStyle w:val="TableTextNumbersContinued"/>
            </w:pPr>
          </w:p>
          <w:p w:rsidR="002A21AE" w:rsidRDefault="002A21AE">
            <w:pPr>
              <w:pStyle w:val="TableTextNumbersContinued"/>
            </w:pPr>
            <w:r>
              <w:t xml:space="preserve">Click </w:t>
            </w:r>
            <w:r>
              <w:rPr>
                <w:b/>
              </w:rPr>
              <w:t>OK</w:t>
            </w:r>
            <w:r>
              <w:t>.</w:t>
            </w:r>
          </w:p>
        </w:tc>
        <w:tc>
          <w:tcPr>
            <w:tcW w:w="6120" w:type="dxa"/>
          </w:tcPr>
          <w:p w:rsidR="002A21AE" w:rsidRDefault="002A21AE">
            <w:pPr>
              <w:pStyle w:val="TableTextBullet"/>
            </w:pPr>
            <w:r>
              <w:t>Displays patient names and associated task information.</w:t>
            </w:r>
          </w:p>
        </w:tc>
      </w:tr>
      <w:tr w:rsidR="0091416B">
        <w:tblPrEx>
          <w:tblCellMar>
            <w:top w:w="0" w:type="dxa"/>
            <w:bottom w:w="0" w:type="dxa"/>
          </w:tblCellMar>
        </w:tblPrEx>
        <w:tc>
          <w:tcPr>
            <w:tcW w:w="3240" w:type="dxa"/>
          </w:tcPr>
          <w:p w:rsidR="0091416B" w:rsidRDefault="0091416B" w:rsidP="0091416B">
            <w:pPr>
              <w:pStyle w:val="TableTextNumbers"/>
            </w:pPr>
            <w:r>
              <w:t>Click a check box to select a reagent rack.</w:t>
            </w:r>
          </w:p>
          <w:p w:rsidR="0091416B" w:rsidRDefault="0091416B" w:rsidP="0091416B">
            <w:pPr>
              <w:pStyle w:val="TableTextNumbersContinued"/>
            </w:pPr>
          </w:p>
          <w:p w:rsidR="0091416B" w:rsidRDefault="0091416B" w:rsidP="0091416B">
            <w:pPr>
              <w:pStyle w:val="TableTextNumbersContinued"/>
            </w:pPr>
            <w:r>
              <w:t xml:space="preserve">In the ABS or XM Testing Phases area, click the </w:t>
            </w:r>
            <w:r w:rsidRPr="00F3010E">
              <w:rPr>
                <w:b/>
              </w:rPr>
              <w:t>All Phases</w:t>
            </w:r>
            <w:r>
              <w:t xml:space="preserve"> or </w:t>
            </w:r>
            <w:r w:rsidRPr="00F3010E">
              <w:rPr>
                <w:b/>
              </w:rPr>
              <w:t xml:space="preserve">AHG Only </w:t>
            </w:r>
            <w:r w:rsidRPr="00BF2E41">
              <w:t>radio button</w:t>
            </w:r>
            <w:r w:rsidR="00883DE9" w:rsidRPr="00883DE9">
              <w:t xml:space="preserve"> (</w:t>
            </w:r>
            <w:r w:rsidR="002A2E1E">
              <w:fldChar w:fldCharType="begin"/>
            </w:r>
            <w:r w:rsidR="002A2E1E">
              <w:instrText xml:space="preserve"> REF _Ref126726451 \h </w:instrText>
            </w:r>
            <w:r w:rsidR="002A2E1E">
              <w:fldChar w:fldCharType="separate"/>
            </w:r>
            <w:r w:rsidR="005F38BC">
              <w:t xml:space="preserve">Figure </w:t>
            </w:r>
            <w:r w:rsidR="005F38BC">
              <w:rPr>
                <w:noProof/>
              </w:rPr>
              <w:t>116</w:t>
            </w:r>
            <w:r w:rsidR="002A2E1E">
              <w:fldChar w:fldCharType="end"/>
            </w:r>
            <w:r w:rsidR="00883DE9" w:rsidRPr="00883DE9">
              <w:t>)</w:t>
            </w:r>
            <w:r>
              <w:t>.</w:t>
            </w:r>
          </w:p>
          <w:p w:rsidR="0091416B" w:rsidRDefault="0091416B" w:rsidP="0091416B">
            <w:pPr>
              <w:pStyle w:val="TableTextNumbersContinued"/>
            </w:pPr>
          </w:p>
          <w:p w:rsidR="0091416B" w:rsidRDefault="0091416B" w:rsidP="0091416B">
            <w:pPr>
              <w:pStyle w:val="TableTextNumbersContinued"/>
            </w:pPr>
            <w:r>
              <w:t xml:space="preserve">Click </w:t>
            </w:r>
            <w:r>
              <w:rPr>
                <w:b/>
              </w:rPr>
              <w:t>OK</w:t>
            </w:r>
            <w:r>
              <w:t xml:space="preserve"> to continue with testing.</w:t>
            </w:r>
          </w:p>
        </w:tc>
        <w:tc>
          <w:tcPr>
            <w:tcW w:w="6120" w:type="dxa"/>
          </w:tcPr>
          <w:p w:rsidR="0091416B" w:rsidRDefault="001467B6" w:rsidP="001467B6">
            <w:pPr>
              <w:pStyle w:val="TableTextBullet"/>
            </w:pPr>
            <w:r>
              <w:t>Allows the user to s</w:t>
            </w:r>
            <w:r w:rsidRPr="001467B6">
              <w:t xml:space="preserve">elect the All Phases </w:t>
            </w:r>
            <w:r w:rsidR="00D50784">
              <w:t>or</w:t>
            </w:r>
            <w:r w:rsidRPr="001467B6">
              <w:t xml:space="preserve"> AHG Only radio buttons only when </w:t>
            </w:r>
            <w:r>
              <w:t>applicable.</w:t>
            </w:r>
          </w:p>
          <w:p w:rsidR="004A6E1E" w:rsidRDefault="004A6E1E" w:rsidP="004A6E1E">
            <w:pPr>
              <w:pStyle w:val="TableTextBullet"/>
            </w:pPr>
            <w:r>
              <w:t>Displays reagent rack names and associated information.</w:t>
            </w:r>
          </w:p>
          <w:p w:rsidR="004A6E1E" w:rsidRDefault="004A6E1E" w:rsidP="004A6E1E">
            <w:pPr>
              <w:pStyle w:val="TableTextBullet"/>
            </w:pPr>
            <w:r>
              <w:rPr>
                <w:rFonts w:cs="Arial"/>
                <w:vanish/>
              </w:rPr>
              <w:t xml:space="preserve">BR_56.15 </w:t>
            </w:r>
            <w:r>
              <w:t xml:space="preserve">Requires the user to select the </w:t>
            </w:r>
            <w:r w:rsidR="00DA7212">
              <w:t xml:space="preserve">reagent </w:t>
            </w:r>
            <w:r>
              <w:t>rack name</w:t>
            </w:r>
            <w:r w:rsidR="00DA7212">
              <w:t>. The testing</w:t>
            </w:r>
            <w:r>
              <w:t xml:space="preserve"> grid configuration </w:t>
            </w:r>
            <w:r w:rsidR="00DA7212">
              <w:t>for</w:t>
            </w:r>
            <w:r>
              <w:t xml:space="preserve"> serologic testing</w:t>
            </w:r>
            <w:r w:rsidR="00DA7212">
              <w:t xml:space="preserve"> defaults to the setting selected in the Configure Division option. The user is allowed </w:t>
            </w:r>
            <w:r>
              <w:t xml:space="preserve">to indicate whether an automated instrument was used. </w:t>
            </w:r>
          </w:p>
          <w:p w:rsidR="004A6E1E" w:rsidRDefault="004A6E1E" w:rsidP="004A6E1E">
            <w:pPr>
              <w:pStyle w:val="TableTextBullet"/>
            </w:pPr>
            <w:r>
              <w:t>Displays the date and time testing was performed.</w:t>
            </w:r>
          </w:p>
          <w:p w:rsidR="004A6E1E" w:rsidRDefault="004A6E1E" w:rsidP="004A6E1E">
            <w:pPr>
              <w:pStyle w:val="TableTextBullet"/>
            </w:pPr>
            <w:r>
              <w:t>Displays the testing technologist name.</w:t>
            </w:r>
          </w:p>
          <w:p w:rsidR="001467B6" w:rsidRDefault="001467B6" w:rsidP="0091416B">
            <w:pPr>
              <w:pStyle w:val="TableText"/>
            </w:pPr>
          </w:p>
          <w:p w:rsidR="0091416B" w:rsidRDefault="00634BFC" w:rsidP="0091416B">
            <w:pPr>
              <w:pStyle w:val="TableText"/>
              <w:rPr>
                <w:b/>
                <w:bCs/>
                <w:szCs w:val="18"/>
              </w:rPr>
            </w:pPr>
            <w:r>
              <w:rPr>
                <w:b/>
                <w:bCs/>
                <w:noProof/>
              </w:rPr>
              <mc:AlternateContent>
                <mc:Choice Requires="wps">
                  <w:drawing>
                    <wp:anchor distT="0" distB="0" distL="114300" distR="114300" simplePos="0" relativeHeight="25175808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81" name="Line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6" o:spid="_x0000_s1026" style="position:absolute;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Ib5FgIAAC4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AJ&#10;6Ib5FgIAAC4EAAAOAAAAAAAAAAAAAAAAAC4CAABkcnMvZTJvRG9jLnhtbFBLAQItABQABgAIAAAA&#10;IQAXTzAS2wAAAAgBAAAPAAAAAAAAAAAAAAAAAHAEAABkcnMvZG93bnJldi54bWxQSwUGAAAAAAQA&#10;BADzAAAAeAUAAAAA&#10;" strokeweight="1.5pt"/>
                  </w:pict>
                </mc:Fallback>
              </mc:AlternateContent>
            </w:r>
            <w:r w:rsidR="0091416B">
              <w:rPr>
                <w:b/>
                <w:bCs/>
                <w:szCs w:val="18"/>
              </w:rPr>
              <w:t>NOTES</w:t>
            </w:r>
          </w:p>
          <w:p w:rsidR="0091416B" w:rsidRDefault="0091416B" w:rsidP="0091416B">
            <w:pPr>
              <w:pStyle w:val="NotesText"/>
            </w:pPr>
          </w:p>
          <w:p w:rsidR="0091416B" w:rsidRDefault="0091416B" w:rsidP="0091416B">
            <w:pPr>
              <w:pStyle w:val="NotesText"/>
            </w:pPr>
            <w:r>
              <w:rPr>
                <w:rFonts w:cs="Arial"/>
                <w:vanish/>
              </w:rPr>
              <w:t xml:space="preserve">BR_40.04 </w:t>
            </w:r>
            <w:r>
              <w:t xml:space="preserve">When the testing method selected is AHG only, VBECS </w:t>
            </w:r>
            <w:r w:rsidR="00B16403">
              <w:t xml:space="preserve">enables specific phases for </w:t>
            </w:r>
            <w:r>
              <w:t xml:space="preserve">the </w:t>
            </w:r>
            <w:r w:rsidR="00B16403">
              <w:t xml:space="preserve">ABS and XM </w:t>
            </w:r>
            <w:r>
              <w:t>data grid</w:t>
            </w:r>
            <w:r w:rsidR="00B16403">
              <w:t xml:space="preserve"> boxes for:</w:t>
            </w:r>
          </w:p>
          <w:p w:rsidR="00B16403" w:rsidRDefault="00B16403" w:rsidP="002F6D7B">
            <w:pPr>
              <w:pStyle w:val="NotesText"/>
              <w:numPr>
                <w:ilvl w:val="0"/>
                <w:numId w:val="50"/>
              </w:numPr>
            </w:pPr>
            <w:r>
              <w:t xml:space="preserve">Antibody Screen (ABS): AHG phase </w:t>
            </w:r>
          </w:p>
          <w:p w:rsidR="00B16403" w:rsidRDefault="00B16403" w:rsidP="002F6D7B">
            <w:pPr>
              <w:pStyle w:val="NotesText"/>
              <w:numPr>
                <w:ilvl w:val="0"/>
                <w:numId w:val="50"/>
              </w:numPr>
            </w:pPr>
            <w:r>
              <w:t xml:space="preserve">Serologic crossmatch (XM): IS and AHG phases </w:t>
            </w:r>
          </w:p>
          <w:p w:rsidR="004A6E1E" w:rsidRDefault="004A6E1E" w:rsidP="004A6E1E">
            <w:pPr>
              <w:pStyle w:val="NotesText"/>
            </w:pPr>
          </w:p>
          <w:p w:rsidR="004A6E1E" w:rsidRDefault="004A6E1E" w:rsidP="004A6E1E">
            <w:pPr>
              <w:pStyle w:val="NotesText"/>
            </w:pPr>
            <w:r>
              <w:t>Rack configuration of AHG applies only to the antibody screen and crossmatch testing grids.</w:t>
            </w:r>
          </w:p>
          <w:p w:rsidR="004A6E1E" w:rsidRDefault="004A6E1E" w:rsidP="004A6E1E">
            <w:pPr>
              <w:pStyle w:val="NotesText"/>
            </w:pPr>
          </w:p>
          <w:p w:rsidR="004A6E1E" w:rsidRDefault="004A6E1E" w:rsidP="004A6E1E">
            <w:pPr>
              <w:pStyle w:val="NotesText"/>
            </w:pPr>
            <w:r>
              <w:t>The user may select another user’s name from the list, as appropriate.</w:t>
            </w:r>
            <w:r w:rsidR="00E36CAB">
              <w:t xml:space="preserve"> The logged on user’s name appears on the Testing Worklist Report as the Processing Tech in addition to the selected user name.</w:t>
            </w:r>
          </w:p>
          <w:p w:rsidR="004A6E1E" w:rsidRDefault="004A6E1E" w:rsidP="004A6E1E">
            <w:pPr>
              <w:pStyle w:val="NotesText"/>
            </w:pPr>
          </w:p>
          <w:p w:rsidR="004A6E1E" w:rsidRDefault="004A6E1E" w:rsidP="004A6E1E">
            <w:pPr>
              <w:pStyle w:val="NotesText"/>
            </w:pPr>
            <w:r>
              <w:t>The user may indicate that testing was performed at a past date and time.</w:t>
            </w:r>
          </w:p>
          <w:p w:rsidR="004A6E1E" w:rsidRDefault="004A6E1E" w:rsidP="00906AE3">
            <w:pPr>
              <w:pStyle w:val="NotesText"/>
            </w:pPr>
          </w:p>
          <w:p w:rsidR="004A6E1E" w:rsidRDefault="00906AE3" w:rsidP="00906AE3">
            <w:pPr>
              <w:pStyle w:val="NotesText"/>
            </w:pPr>
            <w:r w:rsidRPr="00896F17">
              <w:rPr>
                <w:rStyle w:val="BullhornChar"/>
              </w:rPr>
              <w:t></w:t>
            </w:r>
            <w:r w:rsidRPr="00C51C45">
              <w:t xml:space="preserve"> </w:t>
            </w:r>
            <w:r>
              <w:t xml:space="preserve">See </w:t>
            </w:r>
            <w:r>
              <w:fldChar w:fldCharType="begin"/>
            </w:r>
            <w:r>
              <w:instrText xml:space="preserve"> REF _Ref135568198 \h </w:instrText>
            </w:r>
            <w:r>
              <w:fldChar w:fldCharType="separate"/>
            </w:r>
            <w:r w:rsidR="005F38BC">
              <w:t xml:space="preserve">Table </w:t>
            </w:r>
            <w:r w:rsidR="005F38BC">
              <w:rPr>
                <w:noProof/>
              </w:rPr>
              <w:t>10</w:t>
            </w:r>
            <w:r>
              <w:fldChar w:fldCharType="end"/>
            </w:r>
            <w:r w:rsidR="003D71A3">
              <w:t xml:space="preserve"> </w:t>
            </w:r>
            <w:r w:rsidR="004A6E1E">
              <w:t>for alerts that may occur during this option.</w:t>
            </w:r>
          </w:p>
        </w:tc>
      </w:tr>
      <w:tr w:rsidR="002A21AE">
        <w:tblPrEx>
          <w:tblCellMar>
            <w:top w:w="0" w:type="dxa"/>
            <w:bottom w:w="0" w:type="dxa"/>
          </w:tblCellMar>
        </w:tblPrEx>
        <w:tc>
          <w:tcPr>
            <w:tcW w:w="3240" w:type="dxa"/>
          </w:tcPr>
          <w:p w:rsidR="002A21AE" w:rsidRDefault="002A21AE">
            <w:pPr>
              <w:pStyle w:val="TableTextNumbers"/>
            </w:pPr>
            <w:r>
              <w:t xml:space="preserve">Respond to warnings, which may include entering a comment and details, and click </w:t>
            </w:r>
            <w:r>
              <w:rPr>
                <w:b/>
              </w:rPr>
              <w:t>OK</w:t>
            </w:r>
            <w:r>
              <w:t xml:space="preserve"> to continue. </w:t>
            </w:r>
          </w:p>
        </w:tc>
        <w:tc>
          <w:tcPr>
            <w:tcW w:w="6120" w:type="dxa"/>
          </w:tcPr>
          <w:p w:rsidR="002A21AE" w:rsidRDefault="004D3195">
            <w:pPr>
              <w:pStyle w:val="TableTextBullet"/>
            </w:pPr>
            <w:r w:rsidRPr="00323744">
              <w:rPr>
                <w:rStyle w:val="BullhornChar"/>
              </w:rPr>
              <w:t></w:t>
            </w:r>
            <w:r>
              <w:rPr>
                <w:rFonts w:ascii="Webdings" w:hAnsi="Webdings"/>
              </w:rPr>
              <w:t></w:t>
            </w:r>
            <w:r w:rsidR="002A21AE">
              <w:t xml:space="preserve">Displays </w:t>
            </w:r>
            <w:r w:rsidR="00634BFC">
              <w:rPr>
                <w:noProof/>
              </w:rPr>
              <w:drawing>
                <wp:inline distT="0" distB="0" distL="0" distR="0">
                  <wp:extent cx="152400" cy="152400"/>
                  <wp:effectExtent l="0" t="0" r="0" b="0"/>
                  <wp:docPr id="225" name="Picture 225" descr="small_si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small_si_t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A21AE">
              <w:t xml:space="preserve"> and emits an audible alert when there are SIs or TRs for the patient.</w:t>
            </w:r>
          </w:p>
          <w:p w:rsidR="002A21AE" w:rsidRDefault="002A21AE">
            <w:pPr>
              <w:pStyle w:val="TableTextBullet"/>
            </w:pPr>
            <w:r>
              <w:t xml:space="preserve">Prepares a direct data entry </w:t>
            </w:r>
            <w:r w:rsidR="00917E9F">
              <w:t xml:space="preserve">(DDE) </w:t>
            </w:r>
            <w:r>
              <w:t>grid for the user to enter the serologic reaction results for testing associated with the selected tasks.</w:t>
            </w:r>
          </w:p>
          <w:p w:rsidR="002A21AE" w:rsidRDefault="002A21AE">
            <w:pPr>
              <w:pStyle w:val="TableTextBullet"/>
            </w:pPr>
            <w:r>
              <w:t>Displays testing results and entered interpretations until the user saves them.</w:t>
            </w:r>
          </w:p>
        </w:tc>
      </w:tr>
      <w:tr w:rsidR="002A21AE">
        <w:tblPrEx>
          <w:tblCellMar>
            <w:top w:w="0" w:type="dxa"/>
            <w:bottom w:w="0" w:type="dxa"/>
          </w:tblCellMar>
        </w:tblPrEx>
        <w:tc>
          <w:tcPr>
            <w:tcW w:w="3240" w:type="dxa"/>
          </w:tcPr>
          <w:p w:rsidR="00287C4D" w:rsidRDefault="00287C4D">
            <w:pPr>
              <w:pStyle w:val="TableTextNumbers"/>
            </w:pPr>
            <w:r>
              <w:t>Select a patient to begin entering his serologic reactions</w:t>
            </w:r>
            <w:r w:rsidR="002A2E1E">
              <w:t xml:space="preserve"> (</w:t>
            </w:r>
            <w:r w:rsidR="00B1560A">
              <w:fldChar w:fldCharType="begin"/>
            </w:r>
            <w:r w:rsidR="00B1560A">
              <w:instrText xml:space="preserve"> REF _Ref135568298 \h </w:instrText>
            </w:r>
            <w:r w:rsidR="00B1560A">
              <w:fldChar w:fldCharType="separate"/>
            </w:r>
            <w:r w:rsidR="005F38BC">
              <w:t xml:space="preserve">Figure </w:t>
            </w:r>
            <w:r w:rsidR="005F38BC">
              <w:rPr>
                <w:noProof/>
              </w:rPr>
              <w:t>117</w:t>
            </w:r>
            <w:r w:rsidR="00B1560A">
              <w:fldChar w:fldCharType="end"/>
            </w:r>
            <w:r w:rsidR="002A2E1E">
              <w:t>)</w:t>
            </w:r>
            <w:r>
              <w:t>.</w:t>
            </w:r>
          </w:p>
          <w:p w:rsidR="00287C4D" w:rsidRDefault="00287C4D" w:rsidP="00287C4D">
            <w:pPr>
              <w:pStyle w:val="TableTextNumbersContinued"/>
            </w:pPr>
          </w:p>
          <w:p w:rsidR="002A21AE" w:rsidRDefault="002A21AE" w:rsidP="00287C4D">
            <w:pPr>
              <w:pStyle w:val="TableTextNumbersContinued"/>
            </w:pPr>
            <w:r>
              <w:t>Repeat this step for each selected patient until all test results and interpretations are entered in the test grid.</w:t>
            </w:r>
          </w:p>
        </w:tc>
        <w:tc>
          <w:tcPr>
            <w:tcW w:w="6120" w:type="dxa"/>
          </w:tcPr>
          <w:p w:rsidR="00287C4D" w:rsidRDefault="00287C4D" w:rsidP="00287C4D">
            <w:pPr>
              <w:pStyle w:val="TableTextBullet"/>
            </w:pPr>
            <w:r>
              <w:t xml:space="preserve">Allows the user to select one patient at a time and enter a test result for that patient. </w:t>
            </w:r>
          </w:p>
          <w:p w:rsidR="00287C4D" w:rsidRDefault="00287C4D" w:rsidP="00287C4D">
            <w:pPr>
              <w:pStyle w:val="TableTextBullet"/>
            </w:pPr>
            <w:r>
              <w:t xml:space="preserve">Allows only valid data entries in the grid reaction result and interpretation cells. </w:t>
            </w:r>
          </w:p>
          <w:p w:rsidR="002A21AE" w:rsidRDefault="002A21AE">
            <w:pPr>
              <w:pStyle w:val="TableTextBullet"/>
            </w:pPr>
            <w:r>
              <w:rPr>
                <w:rFonts w:cs="Arial"/>
                <w:vanish/>
              </w:rPr>
              <w:t xml:space="preserve">BR_56.02 </w:t>
            </w:r>
            <w:r>
              <w:t xml:space="preserve">Allows a user to save </w:t>
            </w:r>
            <w:r w:rsidR="00F0003E">
              <w:t xml:space="preserve">partially completed tests. </w:t>
            </w:r>
          </w:p>
          <w:p w:rsidR="002A21AE" w:rsidRDefault="002A21AE">
            <w:pPr>
              <w:pStyle w:val="TableTextBullet"/>
            </w:pPr>
            <w:r>
              <w:t xml:space="preserve">When the user enters interpretation data, allows the save with or without warnings and overrides based on the test results entered for the patient and the user’s </w:t>
            </w:r>
            <w:r w:rsidR="00082F78">
              <w:t>security level</w:t>
            </w:r>
            <w:r>
              <w:t xml:space="preserve">. </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9459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80" name="Line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6"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IRmFQ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Ao8&#10;hGY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F0003E" w:rsidRDefault="002A21AE" w:rsidP="00F0003E">
            <w:pPr>
              <w:pStyle w:val="NotesText"/>
            </w:pPr>
            <w:r>
              <w:t xml:space="preserve">The user may order a reflex test and may update the patient’s </w:t>
            </w:r>
            <w:r>
              <w:lastRenderedPageBreak/>
              <w:t>TRs and SIs.</w:t>
            </w:r>
          </w:p>
          <w:p w:rsidR="00F0003E" w:rsidRDefault="00F0003E" w:rsidP="00F0003E">
            <w:pPr>
              <w:pStyle w:val="NotesText"/>
            </w:pPr>
          </w:p>
          <w:p w:rsidR="002A21AE" w:rsidRDefault="00F0003E" w:rsidP="00F0003E">
            <w:pPr>
              <w:pStyle w:val="NotesText"/>
            </w:pPr>
            <w:r>
              <w:rPr>
                <w:vanish/>
              </w:rPr>
              <w:t xml:space="preserve">BR_56.02 </w:t>
            </w:r>
            <w:r>
              <w:t>The ABO and Rh tests are considered one test and must be resulted together before a save is permitted.</w:t>
            </w:r>
            <w:r w:rsidR="002A21AE">
              <w:t xml:space="preserve"> </w:t>
            </w:r>
          </w:p>
        </w:tc>
      </w:tr>
      <w:tr w:rsidR="002A21AE">
        <w:tblPrEx>
          <w:tblCellMar>
            <w:top w:w="0" w:type="dxa"/>
            <w:bottom w:w="0" w:type="dxa"/>
          </w:tblCellMar>
        </w:tblPrEx>
        <w:tc>
          <w:tcPr>
            <w:tcW w:w="3240" w:type="dxa"/>
          </w:tcPr>
          <w:p w:rsidR="002A21AE" w:rsidRDefault="002A21AE">
            <w:pPr>
              <w:pStyle w:val="TableTextNumbers"/>
            </w:pPr>
            <w:r>
              <w:lastRenderedPageBreak/>
              <w:t xml:space="preserve">Respond to warnings for the selected patient and confirm that appropriate test results were entered. </w:t>
            </w:r>
          </w:p>
          <w:p w:rsidR="002A21AE" w:rsidRDefault="002A21AE">
            <w:pPr>
              <w:pStyle w:val="TableTextNumbersContinued"/>
            </w:pPr>
          </w:p>
          <w:p w:rsidR="002A21AE" w:rsidRDefault="002A21AE">
            <w:pPr>
              <w:pStyle w:val="TableTextNumbersContinued"/>
            </w:pPr>
            <w:r>
              <w:t>Repeat Steps 5–6 for each patient until all patient work is saved.</w:t>
            </w:r>
          </w:p>
        </w:tc>
        <w:tc>
          <w:tcPr>
            <w:tcW w:w="6120" w:type="dxa"/>
          </w:tcPr>
          <w:p w:rsidR="002A21AE" w:rsidRDefault="002A21AE">
            <w:pPr>
              <w:pStyle w:val="TableTextBullet"/>
            </w:pPr>
            <w:r>
              <w:rPr>
                <w:rFonts w:cs="Arial"/>
                <w:vanish/>
              </w:rPr>
              <w:t xml:space="preserve">BR_56.05 </w:t>
            </w:r>
            <w:r>
              <w:t xml:space="preserve">When a user enters a valid interpretation and saves it for a test, updates the order status to “completed.” </w:t>
            </w:r>
          </w:p>
          <w:p w:rsidR="002A21AE" w:rsidRDefault="002A21AE">
            <w:pPr>
              <w:pStyle w:val="TableTextBullet"/>
            </w:pPr>
            <w:r>
              <w:rPr>
                <w:rFonts w:cs="Arial"/>
                <w:vanish/>
              </w:rPr>
              <w:t xml:space="preserve">BR_56.11 </w:t>
            </w:r>
            <w:r>
              <w:t>Displays each patient’s data for review before allowing the user to save them.</w:t>
            </w:r>
          </w:p>
          <w:p w:rsidR="002A21AE" w:rsidRDefault="002A21AE">
            <w:pPr>
              <w:pStyle w:val="TableTextBullet"/>
            </w:pPr>
            <w:r>
              <w:t>Saves patient testing results for retrieval from completed tests.</w:t>
            </w:r>
          </w:p>
          <w:p w:rsidR="002A21AE" w:rsidRDefault="002A21AE">
            <w:pPr>
              <w:pStyle w:val="TableTextBullet"/>
            </w:pPr>
            <w:r>
              <w:t>Saves only the patient testing displayed.</w:t>
            </w:r>
          </w:p>
          <w:p w:rsidR="002A21AE" w:rsidRDefault="002A21AE">
            <w:pPr>
              <w:pStyle w:val="TableText"/>
              <w:rPr>
                <w:b/>
                <w:bCs/>
                <w:szCs w:val="18"/>
              </w:rPr>
            </w:pPr>
          </w:p>
          <w:p w:rsidR="002A21AE" w:rsidRDefault="00634BFC">
            <w:pPr>
              <w:pStyle w:val="TableText"/>
              <w:rPr>
                <w:b/>
                <w:bCs/>
                <w:szCs w:val="18"/>
              </w:rPr>
            </w:pPr>
            <w:r>
              <w:rPr>
                <w:b/>
                <w:bCs/>
                <w:noProof/>
              </w:rPr>
              <mc:AlternateContent>
                <mc:Choice Requires="wps">
                  <w:drawing>
                    <wp:anchor distT="0" distB="0" distL="114300" distR="114300" simplePos="0" relativeHeight="25169664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79" name="Line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8"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zhlFgIAAC0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Co&#10;uzhlFgIAAC0EAAAOAAAAAAAAAAAAAAAAAC4CAABkcnMvZTJvRG9jLnhtbFBLAQItABQABgAIAAAA&#10;IQAXTzAS2wAAAAgBAAAPAAAAAAAAAAAAAAAAAHAEAABkcnMvZG93bnJldi54bWxQSwUGAAAAAAQA&#10;BADzAAAAeAU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BR_56.04 </w:t>
            </w:r>
            <w:r>
              <w:t>The user may save part or all of one patient’s testing results at a time. When all data for a patient are saved, the patient tab is no longer visible.</w:t>
            </w:r>
          </w:p>
          <w:p w:rsidR="002A21AE" w:rsidRDefault="002A21AE">
            <w:pPr>
              <w:pStyle w:val="NotesText"/>
            </w:pPr>
          </w:p>
          <w:p w:rsidR="002A21AE" w:rsidRDefault="002A21AE">
            <w:pPr>
              <w:pStyle w:val="NotesText"/>
            </w:pPr>
            <w:r>
              <w:rPr>
                <w:rFonts w:cs="Arial"/>
                <w:vanish/>
              </w:rPr>
              <w:t xml:space="preserve">BR_56.27 </w:t>
            </w:r>
            <w:r>
              <w:t xml:space="preserve">When a user saves a test with a “correction” task status, VBECS saves the results and interpretations and adds </w:t>
            </w:r>
            <w:r w:rsidR="00EB2CC3">
              <w:t>a</w:t>
            </w:r>
            <w:r>
              <w:t xml:space="preserve"> comment </w:t>
            </w:r>
            <w:r w:rsidR="00EB2CC3">
              <w:t>to the Testing Worklist Report</w:t>
            </w:r>
            <w:r>
              <w:t xml:space="preserve">. </w:t>
            </w:r>
          </w:p>
          <w:p w:rsidR="00587EE2" w:rsidRDefault="00587EE2">
            <w:pPr>
              <w:pStyle w:val="NotesText"/>
              <w:rPr>
                <w:rFonts w:cs="Arial"/>
                <w:spacing w:val="-5"/>
              </w:rPr>
            </w:pPr>
          </w:p>
          <w:p w:rsidR="00587EE2" w:rsidRDefault="00587EE2">
            <w:pPr>
              <w:pStyle w:val="NotesText"/>
              <w:rPr>
                <w:rFonts w:cs="Arial"/>
                <w:spacing w:val="-5"/>
              </w:rPr>
            </w:pPr>
            <w:r w:rsidRPr="00587EE2">
              <w:rPr>
                <w:rFonts w:cs="Arial"/>
                <w:vanish/>
                <w:spacing w:val="-5"/>
              </w:rPr>
              <w:t xml:space="preserve">BR_56.30 </w:t>
            </w:r>
            <w:r>
              <w:rPr>
                <w:rFonts w:cs="Arial"/>
                <w:spacing w:val="-5"/>
              </w:rPr>
              <w:t>VBECS sends an order completion message to CPRS w</w:t>
            </w:r>
            <w:r w:rsidRPr="009B6526">
              <w:rPr>
                <w:rFonts w:cs="Arial"/>
                <w:spacing w:val="-5"/>
              </w:rPr>
              <w:t xml:space="preserve">hen the user </w:t>
            </w:r>
            <w:r>
              <w:rPr>
                <w:rFonts w:cs="Arial"/>
                <w:spacing w:val="-5"/>
              </w:rPr>
              <w:t>enters</w:t>
            </w:r>
            <w:r w:rsidRPr="009B6526">
              <w:rPr>
                <w:rFonts w:cs="Arial"/>
                <w:spacing w:val="-5"/>
              </w:rPr>
              <w:t xml:space="preserve"> and successfully save</w:t>
            </w:r>
            <w:r>
              <w:rPr>
                <w:rFonts w:cs="Arial"/>
                <w:spacing w:val="-5"/>
              </w:rPr>
              <w:t>s</w:t>
            </w:r>
            <w:r w:rsidRPr="009B6526">
              <w:rPr>
                <w:rFonts w:cs="Arial"/>
                <w:spacing w:val="-5"/>
              </w:rPr>
              <w:t xml:space="preserve"> all test results and interpretations for </w:t>
            </w:r>
            <w:r>
              <w:rPr>
                <w:rFonts w:cs="Arial"/>
                <w:spacing w:val="-5"/>
              </w:rPr>
              <w:t xml:space="preserve">a </w:t>
            </w:r>
            <w:r w:rsidRPr="009B6526">
              <w:rPr>
                <w:rFonts w:cs="Arial"/>
                <w:spacing w:val="-5"/>
              </w:rPr>
              <w:t>diagnostic test</w:t>
            </w:r>
            <w:r>
              <w:rPr>
                <w:rFonts w:cs="Arial"/>
                <w:spacing w:val="-5"/>
              </w:rPr>
              <w:t>.</w:t>
            </w:r>
            <w:r w:rsidRPr="00587EE2">
              <w:rPr>
                <w:rFonts w:cs="Arial"/>
                <w:vanish/>
                <w:spacing w:val="-5"/>
              </w:rPr>
              <w:t>DR 2,869</w:t>
            </w:r>
          </w:p>
          <w:p w:rsidR="00587EE2" w:rsidRDefault="00587EE2">
            <w:pPr>
              <w:pStyle w:val="NotesText"/>
            </w:pPr>
          </w:p>
          <w:p w:rsidR="002A21AE" w:rsidRDefault="00EC7489" w:rsidP="00EC7489">
            <w:pPr>
              <w:pStyle w:val="NotesText"/>
            </w:pPr>
            <w:r w:rsidRPr="00323744">
              <w:rPr>
                <w:rStyle w:val="BullhornChar"/>
              </w:rPr>
              <w:t></w:t>
            </w:r>
            <w:r>
              <w:rPr>
                <w:rFonts w:ascii="Webdings" w:hAnsi="Webdings"/>
              </w:rPr>
              <w:t></w:t>
            </w:r>
            <w:r w:rsidR="002A21AE">
              <w:t>May display multiple warning and override messages for the user’s response.</w:t>
            </w:r>
          </w:p>
        </w:tc>
      </w:tr>
      <w:tr w:rsidR="002A21AE">
        <w:tblPrEx>
          <w:tblCellMar>
            <w:top w:w="0" w:type="dxa"/>
            <w:bottom w:w="0" w:type="dxa"/>
          </w:tblCellMar>
        </w:tblPrEx>
        <w:tc>
          <w:tcPr>
            <w:tcW w:w="3240" w:type="dxa"/>
          </w:tcPr>
          <w:p w:rsidR="002A21AE" w:rsidRDefault="002A21AE">
            <w:pPr>
              <w:pStyle w:val="TableTextNumbers"/>
            </w:pPr>
            <w:r>
              <w:t xml:space="preserve">When the selected patient testing is complete, click </w:t>
            </w:r>
            <w:r>
              <w:rPr>
                <w:b/>
              </w:rPr>
              <w:t>OK</w:t>
            </w:r>
            <w:r>
              <w:t xml:space="preserve"> and </w:t>
            </w:r>
            <w:r>
              <w:rPr>
                <w:b/>
              </w:rPr>
              <w:t>Yes</w:t>
            </w:r>
            <w:r>
              <w:t xml:space="preserve"> to confirm changes and continue to the next patient, or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rsidR="002A21AE" w:rsidRDefault="002A21AE">
            <w:pPr>
              <w:pStyle w:val="TableText"/>
            </w:pPr>
            <w:r>
              <w:t xml:space="preserve"> </w:t>
            </w:r>
          </w:p>
        </w:tc>
      </w:tr>
    </w:tbl>
    <w:p w:rsidR="007810A1" w:rsidRDefault="002A2E1E" w:rsidP="007810A1">
      <w:pPr>
        <w:pStyle w:val="Caption"/>
      </w:pPr>
      <w:bookmarkStart w:id="476" w:name="_Ref126726451"/>
      <w:r>
        <w:t xml:space="preserve">Figure </w:t>
      </w:r>
      <w:r w:rsidR="00C17F7C">
        <w:fldChar w:fldCharType="begin"/>
      </w:r>
      <w:r w:rsidR="00C17F7C">
        <w:instrText xml:space="preserve"> SEQ Figure \* ARABIC </w:instrText>
      </w:r>
      <w:r w:rsidR="00C17F7C">
        <w:fldChar w:fldCharType="separate"/>
      </w:r>
      <w:r w:rsidR="005F38BC">
        <w:rPr>
          <w:noProof/>
        </w:rPr>
        <w:t>116</w:t>
      </w:r>
      <w:r w:rsidR="00C17F7C">
        <w:fldChar w:fldCharType="end"/>
      </w:r>
      <w:bookmarkEnd w:id="476"/>
      <w:r>
        <w:t>: Testing Details</w:t>
      </w:r>
      <w:bookmarkStart w:id="477" w:name="_Ref126726602"/>
    </w:p>
    <w:p w:rsidR="007810A1" w:rsidRPr="007810A1" w:rsidRDefault="00634BFC" w:rsidP="00D327A3">
      <w:pPr>
        <w:pStyle w:val="BodyText"/>
      </w:pPr>
      <w:r>
        <w:rPr>
          <w:noProof/>
        </w:rPr>
        <w:drawing>
          <wp:inline distT="0" distB="0" distL="0" distR="0">
            <wp:extent cx="4324350" cy="29622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324350" cy="2962275"/>
                    </a:xfrm>
                    <a:prstGeom prst="rect">
                      <a:avLst/>
                    </a:prstGeom>
                    <a:noFill/>
                    <a:ln>
                      <a:noFill/>
                    </a:ln>
                  </pic:spPr>
                </pic:pic>
              </a:graphicData>
            </a:graphic>
          </wp:inline>
        </w:drawing>
      </w:r>
    </w:p>
    <w:p w:rsidR="002A2E1E" w:rsidRDefault="002A2E1E" w:rsidP="007810A1">
      <w:pPr>
        <w:pStyle w:val="Caption"/>
      </w:pPr>
      <w:bookmarkStart w:id="478" w:name="_Ref135568298"/>
      <w:r>
        <w:lastRenderedPageBreak/>
        <w:t xml:space="preserve">Figure </w:t>
      </w:r>
      <w:r w:rsidR="00C17F7C">
        <w:fldChar w:fldCharType="begin"/>
      </w:r>
      <w:r w:rsidR="00C17F7C">
        <w:instrText xml:space="preserve"> SEQ Figure \* ARABIC </w:instrText>
      </w:r>
      <w:r w:rsidR="00C17F7C">
        <w:fldChar w:fldCharType="separate"/>
      </w:r>
      <w:r w:rsidR="005F38BC">
        <w:rPr>
          <w:noProof/>
        </w:rPr>
        <w:t>117</w:t>
      </w:r>
      <w:r w:rsidR="00C17F7C">
        <w:fldChar w:fldCharType="end"/>
      </w:r>
      <w:bookmarkEnd w:id="477"/>
      <w:bookmarkEnd w:id="478"/>
      <w:r>
        <w:t>: Patient Testing</w:t>
      </w:r>
    </w:p>
    <w:p w:rsidR="002A2E1E" w:rsidRPr="006A0A4A" w:rsidRDefault="00634BFC" w:rsidP="007810A1">
      <w:pPr>
        <w:pStyle w:val="BodyText"/>
      </w:pPr>
      <w:r>
        <w:rPr>
          <w:noProof/>
        </w:rPr>
        <w:drawing>
          <wp:inline distT="0" distB="0" distL="0" distR="0">
            <wp:extent cx="5943600" cy="44386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943600" cy="4438650"/>
                    </a:xfrm>
                    <a:prstGeom prst="rect">
                      <a:avLst/>
                    </a:prstGeom>
                    <a:noFill/>
                    <a:ln>
                      <a:noFill/>
                    </a:ln>
                  </pic:spPr>
                </pic:pic>
              </a:graphicData>
            </a:graphic>
          </wp:inline>
        </w:drawing>
      </w:r>
    </w:p>
    <w:p w:rsidR="007810A1" w:rsidRDefault="007810A1" w:rsidP="007810A1">
      <w:pPr>
        <w:pStyle w:val="Heading4"/>
      </w:pPr>
      <w:bookmarkStart w:id="479" w:name="_Toc97523624"/>
      <w:bookmarkStart w:id="480" w:name="_Toc97527594"/>
      <w:bookmarkStart w:id="481" w:name="_Ref126504310"/>
      <w:r w:rsidRPr="00323744">
        <w:rPr>
          <w:rStyle w:val="BullhornChar"/>
        </w:rPr>
        <w:t></w:t>
      </w:r>
      <w:r>
        <w:rPr>
          <w:rFonts w:ascii="Webdings" w:hAnsi="Webdings"/>
        </w:rPr>
        <w:t></w:t>
      </w:r>
      <w:r>
        <w:t>Alerts</w:t>
      </w:r>
    </w:p>
    <w:p w:rsidR="002A21AE" w:rsidRDefault="002A21AE">
      <w:pPr>
        <w:pStyle w:val="Caption"/>
      </w:pPr>
      <w:bookmarkStart w:id="482" w:name="_Ref135568198"/>
      <w:r>
        <w:t xml:space="preserve">Table </w:t>
      </w:r>
      <w:r>
        <w:fldChar w:fldCharType="begin"/>
      </w:r>
      <w:r>
        <w:instrText xml:space="preserve"> SEQ Table \* ARABIC </w:instrText>
      </w:r>
      <w:r>
        <w:fldChar w:fldCharType="separate"/>
      </w:r>
      <w:r w:rsidR="005F38BC">
        <w:rPr>
          <w:noProof/>
        </w:rPr>
        <w:t>10</w:t>
      </w:r>
      <w:r>
        <w:fldChar w:fldCharType="end"/>
      </w:r>
      <w:bookmarkEnd w:id="481"/>
      <w:bookmarkEnd w:id="482"/>
      <w:r>
        <w:t xml:space="preserve">: Alerts That May Occur in Patient Testing: </w:t>
      </w:r>
      <w:bookmarkEnd w:id="479"/>
      <w:bookmarkEnd w:id="480"/>
      <w:r w:rsidR="00260BEA">
        <w:t>General Instructions</w:t>
      </w:r>
      <w:r>
        <w:fldChar w:fldCharType="begin"/>
      </w:r>
      <w:r>
        <w:instrText xml:space="preserve"> XE </w:instrText>
      </w:r>
      <w:r w:rsidR="00FA7E65">
        <w:instrText>“</w:instrText>
      </w:r>
      <w:r>
        <w:instrText>Tables:Alerts That May Occur in Patient Testing:</w:instrText>
      </w:r>
      <w:r w:rsidR="00580422">
        <w:instrText xml:space="preserve"> </w:instrText>
      </w:r>
      <w:r w:rsidR="00260BEA">
        <w:instrText>General Instructions</w:instrText>
      </w:r>
      <w:r w:rsidR="00FA7E65">
        <w:instrText>”</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
        <w:gridCol w:w="8580"/>
      </w:tblGrid>
      <w:tr w:rsidR="002A21AE">
        <w:trPr>
          <w:tblHeader/>
        </w:trPr>
        <w:tc>
          <w:tcPr>
            <w:tcW w:w="780" w:type="dxa"/>
            <w:shd w:val="clear" w:color="auto" w:fill="B3B3B3"/>
          </w:tcPr>
          <w:p w:rsidR="002A21AE" w:rsidRDefault="00DB3377">
            <w:pPr>
              <w:pStyle w:val="TableText"/>
              <w:rPr>
                <w:b/>
              </w:rPr>
            </w:pPr>
            <w:r>
              <w:rPr>
                <w:b/>
              </w:rPr>
              <w:t>User Action Step</w:t>
            </w:r>
          </w:p>
        </w:tc>
        <w:tc>
          <w:tcPr>
            <w:tcW w:w="8580" w:type="dxa"/>
            <w:shd w:val="clear" w:color="auto" w:fill="B3B3B3"/>
          </w:tcPr>
          <w:p w:rsidR="002A21AE" w:rsidRDefault="002A21AE">
            <w:pPr>
              <w:pStyle w:val="TableText"/>
              <w:rPr>
                <w:b/>
              </w:rPr>
            </w:pPr>
            <w:r>
              <w:rPr>
                <w:b/>
              </w:rPr>
              <w:t>Alerts</w:t>
            </w:r>
          </w:p>
        </w:tc>
      </w:tr>
      <w:tr w:rsidR="002A21AE">
        <w:tblPrEx>
          <w:tblLook w:val="0000" w:firstRow="0" w:lastRow="0" w:firstColumn="0" w:lastColumn="0" w:noHBand="0" w:noVBand="0"/>
        </w:tblPrEx>
        <w:tc>
          <w:tcPr>
            <w:tcW w:w="780" w:type="dxa"/>
          </w:tcPr>
          <w:p w:rsidR="002A21AE" w:rsidRDefault="002A21AE">
            <w:pPr>
              <w:pStyle w:val="TableText"/>
            </w:pPr>
            <w:r>
              <w:t>4</w:t>
            </w:r>
          </w:p>
        </w:tc>
        <w:tc>
          <w:tcPr>
            <w:tcW w:w="8580" w:type="dxa"/>
          </w:tcPr>
          <w:p w:rsidR="002A21AE" w:rsidRDefault="002A21AE" w:rsidP="00214959">
            <w:pPr>
              <w:pStyle w:val="TableText"/>
              <w:ind w:left="288" w:hanging="288"/>
            </w:pPr>
            <w:r>
              <w:rPr>
                <w:rFonts w:cs="Arial"/>
                <w:vanish/>
              </w:rPr>
              <w:t xml:space="preserve">BR_41.04 </w:t>
            </w:r>
            <w:r>
              <w:t xml:space="preserve">When the division is configured as “full service” in </w:t>
            </w:r>
            <w:r w:rsidR="00D567C9">
              <w:t>Configure Division</w:t>
            </w:r>
            <w:r>
              <w:t xml:space="preserve">, VBECS displays data fields for the user to select or enter the lot number, and displays the manufacturer and expiration date of each antiserum to be used in this transaction to allow the user to choose the correct antiserum. VBECS displays in-date antisera and allows the user to select outdated antisera, if needed, emits an audible alert, and requires an override. VBECS captures details for inclusion in an Exception Report (exception type: expired antisera used). </w:t>
            </w:r>
          </w:p>
        </w:tc>
      </w:tr>
      <w:tr w:rsidR="002A21AE">
        <w:tblPrEx>
          <w:tblLook w:val="0000" w:firstRow="0" w:lastRow="0" w:firstColumn="0" w:lastColumn="0" w:noHBand="0" w:noVBand="0"/>
        </w:tblPrEx>
        <w:tc>
          <w:tcPr>
            <w:tcW w:w="780" w:type="dxa"/>
          </w:tcPr>
          <w:p w:rsidR="002A21AE" w:rsidRDefault="002A21AE">
            <w:pPr>
              <w:pStyle w:val="TableText"/>
            </w:pPr>
            <w:r>
              <w:t>5</w:t>
            </w:r>
          </w:p>
        </w:tc>
        <w:tc>
          <w:tcPr>
            <w:tcW w:w="8580" w:type="dxa"/>
          </w:tcPr>
          <w:p w:rsidR="002A21AE" w:rsidRDefault="002A21AE">
            <w:pPr>
              <w:pStyle w:val="TableText"/>
            </w:pPr>
            <w:r>
              <w:rPr>
                <w:rFonts w:cs="Arial"/>
                <w:vanish/>
              </w:rPr>
              <w:t xml:space="preserve">BR_56.03 </w:t>
            </w:r>
            <w:r>
              <w:t>The user may cancel or delete a partially</w:t>
            </w:r>
            <w:r>
              <w:rPr>
                <w:b/>
              </w:rPr>
              <w:t xml:space="preserve"> </w:t>
            </w:r>
            <w:r>
              <w:t>completed grid. VBECS:</w:t>
            </w:r>
          </w:p>
          <w:p w:rsidR="002A21AE" w:rsidRDefault="002A21AE">
            <w:pPr>
              <w:pStyle w:val="TableTextBullet"/>
            </w:pPr>
            <w:r>
              <w:t xml:space="preserve">Emits an audible alert and requires a comment. </w:t>
            </w:r>
          </w:p>
          <w:p w:rsidR="002A21AE" w:rsidRDefault="002A21AE">
            <w:pPr>
              <w:pStyle w:val="TableTextBullet"/>
            </w:pPr>
            <w:r>
              <w:t>Clears previously entered observed results from the data grid and allows the user to enter new data.</w:t>
            </w:r>
          </w:p>
          <w:p w:rsidR="002A21AE" w:rsidRDefault="002A21AE">
            <w:pPr>
              <w:pStyle w:val="TableTextBullet"/>
            </w:pPr>
            <w:r>
              <w:t xml:space="preserve">Captures details for inclusion in an Exception Report (exception type: previously recorded results invalidated). </w:t>
            </w:r>
          </w:p>
        </w:tc>
      </w:tr>
      <w:tr w:rsidR="002A21AE">
        <w:tblPrEx>
          <w:tblLook w:val="0000" w:firstRow="0" w:lastRow="0" w:firstColumn="0" w:lastColumn="0" w:noHBand="0" w:noVBand="0"/>
        </w:tblPrEx>
        <w:tc>
          <w:tcPr>
            <w:tcW w:w="780" w:type="dxa"/>
          </w:tcPr>
          <w:p w:rsidR="002A21AE" w:rsidRDefault="002A21AE">
            <w:pPr>
              <w:pStyle w:val="TableText"/>
            </w:pPr>
            <w:r>
              <w:t>6</w:t>
            </w:r>
          </w:p>
        </w:tc>
        <w:tc>
          <w:tcPr>
            <w:tcW w:w="8580" w:type="dxa"/>
          </w:tcPr>
          <w:p w:rsidR="002A21AE" w:rsidRDefault="002A21AE">
            <w:pPr>
              <w:pStyle w:val="TableText"/>
            </w:pPr>
            <w:r>
              <w:rPr>
                <w:rFonts w:cs="Arial"/>
                <w:vanish/>
              </w:rPr>
              <w:t xml:space="preserve">BR_56.01 </w:t>
            </w:r>
            <w:r>
              <w:t>Warns that the user is saving the first instance of a historic ABO/Rh.</w:t>
            </w:r>
          </w:p>
        </w:tc>
      </w:tr>
      <w:tr w:rsidR="002A21AE">
        <w:tblPrEx>
          <w:tblLook w:val="0000" w:firstRow="0" w:lastRow="0" w:firstColumn="0" w:lastColumn="0" w:noHBand="0" w:noVBand="0"/>
        </w:tblPrEx>
        <w:tc>
          <w:tcPr>
            <w:tcW w:w="780" w:type="dxa"/>
          </w:tcPr>
          <w:p w:rsidR="002A21AE" w:rsidRDefault="002A21AE">
            <w:pPr>
              <w:pStyle w:val="TableText"/>
            </w:pPr>
            <w:r>
              <w:t>6</w:t>
            </w:r>
          </w:p>
        </w:tc>
        <w:tc>
          <w:tcPr>
            <w:tcW w:w="8580" w:type="dxa"/>
          </w:tcPr>
          <w:p w:rsidR="004254A3" w:rsidRDefault="002A21AE">
            <w:pPr>
              <w:pStyle w:val="TableText"/>
            </w:pPr>
            <w:r>
              <w:rPr>
                <w:rFonts w:cs="Arial"/>
                <w:vanish/>
              </w:rPr>
              <w:t xml:space="preserve">BR_56.12 </w:t>
            </w:r>
            <w:r>
              <w:t xml:space="preserve">When the ABO/Rh interpretation matches observed results, is not inconclusive, and does not match the patient’s historic ABO/Rh (if any, including from database conversion), VBECS emits an audible alert, warns that the current ABO/Rh does not match previous results, and instructs the user to enter a </w:t>
            </w:r>
            <w:r>
              <w:lastRenderedPageBreak/>
              <w:t xml:space="preserve">comment to continue, or click </w:t>
            </w:r>
            <w:r>
              <w:rPr>
                <w:b/>
              </w:rPr>
              <w:t>Cancel</w:t>
            </w:r>
            <w:r>
              <w:t xml:space="preserve"> to clear the ABO/Rh testing results and interpretation from the screen. VBECS captures details for inclusion in an Exception Report (exception type: ABO/Rh discrepancy).</w:t>
            </w:r>
          </w:p>
        </w:tc>
      </w:tr>
      <w:tr w:rsidR="002A21AE">
        <w:tblPrEx>
          <w:tblLook w:val="0000" w:firstRow="0" w:lastRow="0" w:firstColumn="0" w:lastColumn="0" w:noHBand="0" w:noVBand="0"/>
        </w:tblPrEx>
        <w:tc>
          <w:tcPr>
            <w:tcW w:w="780" w:type="dxa"/>
          </w:tcPr>
          <w:p w:rsidR="002A21AE" w:rsidRDefault="002A21AE">
            <w:pPr>
              <w:pStyle w:val="TableText"/>
            </w:pPr>
            <w:r>
              <w:lastRenderedPageBreak/>
              <w:t>6</w:t>
            </w:r>
          </w:p>
        </w:tc>
        <w:tc>
          <w:tcPr>
            <w:tcW w:w="8580" w:type="dxa"/>
          </w:tcPr>
          <w:p w:rsidR="002A21AE" w:rsidRDefault="002A21AE">
            <w:pPr>
              <w:pStyle w:val="TableText"/>
            </w:pPr>
            <w:r>
              <w:rPr>
                <w:rFonts w:cs="Arial"/>
                <w:vanish/>
                <w:szCs w:val="18"/>
              </w:rPr>
              <w:t>BR_56.16</w:t>
            </w:r>
            <w:r w:rsidR="00CE3961">
              <w:rPr>
                <w:rFonts w:cs="Arial"/>
                <w:vanish/>
                <w:szCs w:val="18"/>
              </w:rPr>
              <w:t>,</w:t>
            </w:r>
            <w:r>
              <w:rPr>
                <w:rFonts w:cs="Arial"/>
                <w:vanish/>
                <w:szCs w:val="18"/>
              </w:rPr>
              <w:t xml:space="preserve"> </w:t>
            </w:r>
            <w:r>
              <w:rPr>
                <w:vanish/>
                <w:szCs w:val="18"/>
              </w:rPr>
              <w:t xml:space="preserve">BR_56.28 </w:t>
            </w:r>
            <w:r>
              <w:t>When the interpretation of a repeat ABO/Rh does not match the original interpretation, VBECS:</w:t>
            </w:r>
          </w:p>
          <w:p w:rsidR="002A21AE" w:rsidRDefault="002A21AE">
            <w:pPr>
              <w:pStyle w:val="TableTextBullet"/>
            </w:pPr>
            <w:r>
              <w:t>Verifies the retest results.</w:t>
            </w:r>
          </w:p>
          <w:p w:rsidR="002A21AE" w:rsidRDefault="002A21AE">
            <w:pPr>
              <w:pStyle w:val="TableTextBullet"/>
            </w:pPr>
            <w:r>
              <w:t>Emits an audible alert and warns the user.</w:t>
            </w:r>
          </w:p>
          <w:p w:rsidR="002A21AE" w:rsidRDefault="002A21AE">
            <w:pPr>
              <w:pStyle w:val="TableTextBullet"/>
            </w:pPr>
            <w:r>
              <w:t>Instructs the user to resolve the discrepancy before the specimen may be used.</w:t>
            </w:r>
          </w:p>
          <w:p w:rsidR="002A21AE" w:rsidRDefault="002A21AE">
            <w:pPr>
              <w:pStyle w:val="TableTextBullet"/>
            </w:pPr>
            <w:r>
              <w:t xml:space="preserve">Asks whether the user wishes to continue to save. </w:t>
            </w:r>
            <w:r>
              <w:rPr>
                <w:b/>
              </w:rPr>
              <w:t>No</w:t>
            </w:r>
            <w:r>
              <w:t xml:space="preserve"> clears the ABO/Rh testing results and interpretation from the screen. </w:t>
            </w:r>
            <w:r>
              <w:rPr>
                <w:b/>
              </w:rPr>
              <w:t>Yes</w:t>
            </w:r>
            <w:r>
              <w:t xml:space="preserve"> requires a comment and captures details for inclusion in an Exception Report (Exception type: ABO/Rh discrepancy). </w:t>
            </w:r>
          </w:p>
        </w:tc>
      </w:tr>
      <w:tr w:rsidR="002A21AE">
        <w:tblPrEx>
          <w:tblLook w:val="0000" w:firstRow="0" w:lastRow="0" w:firstColumn="0" w:lastColumn="0" w:noHBand="0" w:noVBand="0"/>
        </w:tblPrEx>
        <w:tc>
          <w:tcPr>
            <w:tcW w:w="780" w:type="dxa"/>
          </w:tcPr>
          <w:p w:rsidR="002A21AE" w:rsidRDefault="002A21AE">
            <w:pPr>
              <w:pStyle w:val="TableText"/>
            </w:pPr>
            <w:r>
              <w:t>6</w:t>
            </w:r>
          </w:p>
        </w:tc>
        <w:tc>
          <w:tcPr>
            <w:tcW w:w="8580" w:type="dxa"/>
          </w:tcPr>
          <w:p w:rsidR="003F73CA" w:rsidRPr="003F73CA" w:rsidRDefault="002A21AE">
            <w:pPr>
              <w:pStyle w:val="TableText"/>
            </w:pPr>
            <w:r>
              <w:rPr>
                <w:rFonts w:cs="Arial"/>
                <w:vanish/>
              </w:rPr>
              <w:t xml:space="preserve">BR_56.19 </w:t>
            </w:r>
            <w:r>
              <w:t>When a user documents an ABO/Rh discrepancy, VBECS releases units with “assigned” and “crossmatched” statuses associated with this specimen from the patient.</w:t>
            </w:r>
          </w:p>
        </w:tc>
      </w:tr>
      <w:tr w:rsidR="002A21AE">
        <w:tblPrEx>
          <w:tblLook w:val="0000" w:firstRow="0" w:lastRow="0" w:firstColumn="0" w:lastColumn="0" w:noHBand="0" w:noVBand="0"/>
        </w:tblPrEx>
        <w:tc>
          <w:tcPr>
            <w:tcW w:w="780" w:type="dxa"/>
          </w:tcPr>
          <w:p w:rsidR="002A21AE" w:rsidRDefault="002A21AE">
            <w:pPr>
              <w:pStyle w:val="TableText"/>
            </w:pPr>
            <w:r>
              <w:t>6</w:t>
            </w:r>
          </w:p>
        </w:tc>
        <w:tc>
          <w:tcPr>
            <w:tcW w:w="8580" w:type="dxa"/>
          </w:tcPr>
          <w:p w:rsidR="002A21AE" w:rsidRDefault="002A21AE">
            <w:pPr>
              <w:pStyle w:val="TableText"/>
            </w:pPr>
            <w:r>
              <w:rPr>
                <w:rFonts w:cs="Arial"/>
                <w:vanish/>
              </w:rPr>
              <w:t xml:space="preserve">BR_56.29 </w:t>
            </w:r>
            <w:r>
              <w:t>When a unit was emergency issued and a conflicting test result found that indicates a potential unit incompatibility with the patient, such as a patient ABO/Rh discrepancy, the unit XM is incompatible with the patient, the patient ABS is positive, the patient DAT is positive, or the unit is antigen positive where antigen negative is required on the tested specimen, VBECS warns the user and instructs him to notify the physician of this potential problem immediately, according to hospital policy. VBECS warns the user during the execution of the various tests related to the compatibility of a blood unit and captures details for inclusion in an Exception Report (exception type: unit ER issued, testing problem).</w:t>
            </w:r>
            <w:r w:rsidR="004C53EA">
              <w:t xml:space="preserve"> </w:t>
            </w:r>
          </w:p>
        </w:tc>
      </w:tr>
    </w:tbl>
    <w:p w:rsidR="0072673B" w:rsidRDefault="0072673B">
      <w:pPr>
        <w:pStyle w:val="Heading3"/>
      </w:pPr>
    </w:p>
    <w:p w:rsidR="002A21AE" w:rsidRDefault="0072673B" w:rsidP="0072673B">
      <w:pPr>
        <w:pStyle w:val="Heading3"/>
      </w:pPr>
      <w:r>
        <w:br w:type="page"/>
      </w:r>
      <w:bookmarkStart w:id="483" w:name="_Toc459900145"/>
      <w:r w:rsidR="002A21AE">
        <w:lastRenderedPageBreak/>
        <w:t>Patient Testing: Record a Patient ABO/Rh</w:t>
      </w:r>
      <w:bookmarkEnd w:id="483"/>
      <w:r w:rsidR="002A21AE">
        <w:fldChar w:fldCharType="begin"/>
      </w:r>
      <w:r w:rsidR="002A21AE">
        <w:instrText xml:space="preserve"> XE </w:instrText>
      </w:r>
      <w:r w:rsidR="00FA7E65">
        <w:instrText>“</w:instrText>
      </w:r>
      <w:r w:rsidR="002A21AE">
        <w:instrText>Patient Testing\: Record a Patient ABO/Rh</w:instrText>
      </w:r>
      <w:r w:rsidR="00FA7E65">
        <w:instrText>”</w:instrText>
      </w:r>
      <w:r w:rsidR="002A21AE">
        <w:instrText xml:space="preserve"> </w:instrText>
      </w:r>
      <w:r w:rsidR="002A21AE">
        <w:fldChar w:fldCharType="end"/>
      </w:r>
      <w:r w:rsidR="002A21AE">
        <w:t xml:space="preserve"> </w:t>
      </w:r>
      <w:r w:rsidR="002A21AE">
        <w:rPr>
          <w:vanish/>
          <w:sz w:val="22"/>
        </w:rPr>
        <w:t>UC_52</w:t>
      </w:r>
    </w:p>
    <w:p w:rsidR="002A21AE" w:rsidRDefault="002A21AE" w:rsidP="00FA7E65">
      <w:pPr>
        <w:pStyle w:val="BodyText"/>
      </w:pPr>
      <w:r>
        <w:t xml:space="preserve">The user records observed results when performing ABO/Rh blood typing. </w:t>
      </w:r>
    </w:p>
    <w:p w:rsidR="002A21AE" w:rsidRDefault="002A21AE">
      <w:pPr>
        <w:pStyle w:val="Heading4"/>
      </w:pPr>
      <w:r>
        <w:t>Assumptions</w:t>
      </w:r>
    </w:p>
    <w:p w:rsidR="002A21AE" w:rsidRDefault="002A21AE">
      <w:pPr>
        <w:pStyle w:val="ListBullet"/>
      </w:pPr>
      <w:r>
        <w:t xml:space="preserve">A CPRS order exists that includes an ABO/Rh typing [ABO/Rh Test or Type &amp; Screen (TAS)]. </w:t>
      </w:r>
    </w:p>
    <w:p w:rsidR="002A21AE" w:rsidRDefault="002A21AE">
      <w:pPr>
        <w:pStyle w:val="ListBullet"/>
      </w:pPr>
      <w:r>
        <w:t>The user accesses patient ABO/Rh grids through Patient Testing: Record Patient Test Results.</w:t>
      </w:r>
    </w:p>
    <w:p w:rsidR="002A21AE" w:rsidRDefault="002A21AE">
      <w:pPr>
        <w:pStyle w:val="Heading4"/>
      </w:pPr>
      <w:r>
        <w:t>Outcome</w:t>
      </w:r>
    </w:p>
    <w:p w:rsidR="002A21AE" w:rsidRDefault="002A21AE">
      <w:pPr>
        <w:pStyle w:val="ListBullet"/>
      </w:pPr>
      <w:r>
        <w:t>The ABO/Rh result is used to determine overall blood component compatibility.</w:t>
      </w:r>
    </w:p>
    <w:p w:rsidR="002A21AE" w:rsidRDefault="002A21AE">
      <w:pPr>
        <w:pStyle w:val="ListBullet"/>
      </w:pPr>
      <w:r>
        <w:t>When ABO/Rh is ordered as a stand-alone test, VBECS changes the task status to “completed” and triggers the generation of a message to CPRS that the order is completed.</w:t>
      </w:r>
    </w:p>
    <w:p w:rsidR="002A21AE" w:rsidRDefault="002A21AE">
      <w:pPr>
        <w:pStyle w:val="Heading4"/>
      </w:pPr>
      <w:r>
        <w:t>Limitations and Restrictions</w:t>
      </w:r>
    </w:p>
    <w:p w:rsidR="003F73CA" w:rsidRDefault="0084410F" w:rsidP="003F73CA">
      <w:pPr>
        <w:pStyle w:val="ListBullet"/>
      </w:pPr>
      <w:r>
        <w:t xml:space="preserve">VBECS does not allow entry of ABO or Rh subgroups as a 'group' and/or  'type' when the previous blood group/type is "NR", indicating no record of previous testing.  Please see the FAQ: ABO Subgroup Interpretation and contact the National Service Desk for assistance, prior to adding patient transfusion records in VBECS, when possible. </w:t>
      </w:r>
      <w:r w:rsidRPr="0084410F">
        <w:rPr>
          <w:vanish/>
        </w:rPr>
        <w:t>Defect 368207</w:t>
      </w:r>
    </w:p>
    <w:p w:rsidR="002A21AE" w:rsidRDefault="002A21AE">
      <w:pPr>
        <w:pStyle w:val="Heading4"/>
      </w:pPr>
      <w:r>
        <w:t>Additional Information</w:t>
      </w:r>
    </w:p>
    <w:p w:rsidR="00FC3A2C" w:rsidRDefault="00FC3A2C">
      <w:pPr>
        <w:pStyle w:val="ListBullet"/>
      </w:pPr>
      <w:r>
        <w:t>When an ABO/Rh discrepancy exists, VBECS releases assigned and crossmatched units. These units are then available for e</w:t>
      </w:r>
      <w:r w:rsidRPr="003F73CA">
        <w:t>mergency issue</w:t>
      </w:r>
      <w:r>
        <w:t xml:space="preserve"> based on system rules</w:t>
      </w:r>
      <w:r w:rsidRPr="003F73CA">
        <w:t>.</w:t>
      </w:r>
    </w:p>
    <w:p w:rsidR="002A21AE" w:rsidRDefault="002A21AE">
      <w:pPr>
        <w:pStyle w:val="ListBullet"/>
      </w:pPr>
      <w:r>
        <w:t>VBECS does not enforce local policies that require running a D control for AB positive patients.</w:t>
      </w:r>
    </w:p>
    <w:p w:rsidR="002A21AE" w:rsidRDefault="002A21AE">
      <w:pPr>
        <w:pStyle w:val="ListBullet"/>
      </w:pPr>
      <w:r>
        <w:t>The most recent instance of ABO/Rh testing in the database serves as the historic ABO/Rh record.</w:t>
      </w:r>
    </w:p>
    <w:p w:rsidR="002A21AE" w:rsidRDefault="002A21AE">
      <w:pPr>
        <w:pStyle w:val="Heading4"/>
      </w:pPr>
      <w:r>
        <w:t xml:space="preserve">User Roles with Access to This Option </w:t>
      </w:r>
    </w:p>
    <w:p w:rsidR="002A21AE" w:rsidRDefault="00A937B3">
      <w:pPr>
        <w:pStyle w:val="Roles"/>
      </w:pPr>
      <w:r>
        <w:t>All users</w:t>
      </w:r>
    </w:p>
    <w:p w:rsidR="002A21AE" w:rsidRDefault="002A21AE">
      <w:pPr>
        <w:pStyle w:val="Heading4"/>
      </w:pPr>
      <w:r>
        <w:t>Patient Testing: Record a Patient ABO/Rh</w:t>
      </w:r>
    </w:p>
    <w:p w:rsidR="002A21AE" w:rsidRDefault="002A21AE" w:rsidP="00FA7E65">
      <w:pPr>
        <w:pStyle w:val="BodyText"/>
      </w:pPr>
      <w:r>
        <w:t>This option describes a test to determine the patient’s ABO/Rh typing from a blood specimen. The user enters the serologic reaction results in the data entry grid using the instructions and rules in this option. The grid is used for the Confirm Patient ABO/Rh reflex test as part of a TAS and crossmatch (XM) test battery. VBECS monitors the user’s entries and interpretations and maintains the records for patient reports.</w:t>
      </w:r>
    </w:p>
    <w:p w:rsidR="002A21AE" w:rsidRDefault="002A21AE" w:rsidP="00FA7E65">
      <w:pPr>
        <w:pStyle w:val="BodyText"/>
      </w:pPr>
      <w:r>
        <w:t xml:space="preserve">These steps describe the entry of data for a patient ABO/Rh test when the test is ordered individually or as part of a TAS.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141448">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141448" w:rsidRDefault="00141448" w:rsidP="00141448">
            <w:pPr>
              <w:pStyle w:val="TableTextNumbers"/>
            </w:pPr>
            <w:r>
              <w:t xml:space="preserve">Select </w:t>
            </w:r>
            <w:r>
              <w:rPr>
                <w:b/>
              </w:rPr>
              <w:t>Patients</w:t>
            </w:r>
            <w:r>
              <w:t xml:space="preserve"> from the main menu.</w:t>
            </w:r>
          </w:p>
          <w:p w:rsidR="00141448" w:rsidRDefault="00141448" w:rsidP="00141448">
            <w:pPr>
              <w:pStyle w:val="TableTextNumbersContinued"/>
            </w:pPr>
          </w:p>
          <w:p w:rsidR="00141448" w:rsidRDefault="00141448" w:rsidP="00141448">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rsidR="00141448" w:rsidRDefault="00141448" w:rsidP="00141448">
            <w:pPr>
              <w:pStyle w:val="TableTextBullet"/>
            </w:pPr>
            <w:r>
              <w:t xml:space="preserve">Displays options for processing patient-related functions. </w:t>
            </w:r>
          </w:p>
          <w:p w:rsidR="00141448" w:rsidRDefault="00141448" w:rsidP="00141448">
            <w:pPr>
              <w:pStyle w:val="TableTextBullet"/>
            </w:pPr>
            <w:r>
              <w:t>Displays the Pending Task List (PTL) in the Diagnostic Tests tab.</w:t>
            </w:r>
          </w:p>
          <w:p w:rsidR="00141448" w:rsidRDefault="00141448" w:rsidP="00141448">
            <w:pPr>
              <w:pStyle w:val="NotesText"/>
            </w:pPr>
          </w:p>
          <w:p w:rsidR="00141448" w:rsidRDefault="00634BFC" w:rsidP="00141448">
            <w:pPr>
              <w:pStyle w:val="TableText"/>
              <w:rPr>
                <w:b/>
                <w:bCs/>
                <w:szCs w:val="18"/>
              </w:rPr>
            </w:pPr>
            <w:r>
              <w:rPr>
                <w:b/>
                <w:bCs/>
                <w:noProof/>
              </w:rPr>
              <mc:AlternateContent>
                <mc:Choice Requires="wps">
                  <w:drawing>
                    <wp:anchor distT="0" distB="0" distL="114300" distR="114300" simplePos="0" relativeHeight="25175193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78" name="Line 1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0" o:spid="_x0000_s1026" style="position:absolute;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" strokeweight="1.5pt"/>
                  </w:pict>
                </mc:Fallback>
              </mc:AlternateContent>
            </w:r>
            <w:r w:rsidR="00141448">
              <w:rPr>
                <w:b/>
                <w:bCs/>
                <w:szCs w:val="18"/>
              </w:rPr>
              <w:t>NOTES</w:t>
            </w:r>
          </w:p>
          <w:p w:rsidR="00141448" w:rsidRDefault="00141448" w:rsidP="00141448">
            <w:pPr>
              <w:pStyle w:val="NotesText"/>
            </w:pPr>
          </w:p>
          <w:p w:rsidR="00141448" w:rsidRDefault="00141448" w:rsidP="00141448">
            <w:pPr>
              <w:pStyle w:val="NotesText"/>
            </w:pPr>
            <w:r>
              <w:t>A user may search for specific tasks using search criteria detailed in Pending Task List.</w:t>
            </w:r>
          </w:p>
        </w:tc>
      </w:tr>
      <w:tr w:rsidR="00B1359E">
        <w:tblPrEx>
          <w:tblCellMar>
            <w:top w:w="0" w:type="dxa"/>
            <w:bottom w:w="0" w:type="dxa"/>
          </w:tblCellMar>
        </w:tblPrEx>
        <w:tc>
          <w:tcPr>
            <w:tcW w:w="3240" w:type="dxa"/>
          </w:tcPr>
          <w:p w:rsidR="00B1359E" w:rsidRDefault="00B1359E" w:rsidP="00150254">
            <w:pPr>
              <w:pStyle w:val="TableTextNumbers"/>
            </w:pPr>
            <w:r>
              <w:t xml:space="preserve">Click one to four check boxes in the Pending Task List to select tasks for testing. </w:t>
            </w:r>
          </w:p>
          <w:p w:rsidR="00B1359E" w:rsidRDefault="00B1359E" w:rsidP="00150254">
            <w:pPr>
              <w:pStyle w:val="TableTextNumbersContinued"/>
            </w:pPr>
          </w:p>
          <w:p w:rsidR="00B1359E" w:rsidRDefault="00B1359E" w:rsidP="00150254">
            <w:pPr>
              <w:pStyle w:val="TableTextNumbersContinued"/>
            </w:pPr>
            <w:r>
              <w:lastRenderedPageBreak/>
              <w:t xml:space="preserve">Click </w:t>
            </w:r>
            <w:r>
              <w:rPr>
                <w:b/>
              </w:rPr>
              <w:t>OK</w:t>
            </w:r>
            <w:r>
              <w:t>.</w:t>
            </w:r>
          </w:p>
        </w:tc>
        <w:tc>
          <w:tcPr>
            <w:tcW w:w="6120" w:type="dxa"/>
          </w:tcPr>
          <w:p w:rsidR="00B1359E" w:rsidRDefault="00B1359E" w:rsidP="00150254">
            <w:pPr>
              <w:pStyle w:val="TableTextBullet"/>
            </w:pPr>
            <w:r>
              <w:lastRenderedPageBreak/>
              <w:t>Displays patient names and associated task information.</w:t>
            </w:r>
          </w:p>
        </w:tc>
      </w:tr>
      <w:tr w:rsidR="002A21AE">
        <w:tblPrEx>
          <w:tblCellMar>
            <w:top w:w="0" w:type="dxa"/>
            <w:bottom w:w="0" w:type="dxa"/>
          </w:tblCellMar>
        </w:tblPrEx>
        <w:tc>
          <w:tcPr>
            <w:tcW w:w="3240" w:type="dxa"/>
          </w:tcPr>
          <w:p w:rsidR="002A21AE" w:rsidRDefault="0091416B">
            <w:pPr>
              <w:pStyle w:val="TableTextNumbers"/>
              <w:rPr>
                <w:b/>
                <w:bCs/>
              </w:rPr>
            </w:pPr>
            <w:r>
              <w:lastRenderedPageBreak/>
              <w:t>E</w:t>
            </w:r>
            <w:r w:rsidR="002A21AE">
              <w:rPr>
                <w:bCs/>
              </w:rPr>
              <w:t>nter patient ABO/Rh testing results.</w:t>
            </w:r>
            <w:r w:rsidR="002A21AE">
              <w:rPr>
                <w:b/>
                <w:bCs/>
              </w:rPr>
              <w:t xml:space="preserve"> </w:t>
            </w:r>
          </w:p>
        </w:tc>
        <w:tc>
          <w:tcPr>
            <w:tcW w:w="6120" w:type="dxa"/>
          </w:tcPr>
          <w:p w:rsidR="002A21AE" w:rsidRDefault="002A21AE">
            <w:pPr>
              <w:pStyle w:val="TableTextBullet"/>
            </w:pPr>
            <w:r>
              <w:t xml:space="preserve">Displays a direct data entry </w:t>
            </w:r>
            <w:r w:rsidR="00917E9F">
              <w:t xml:space="preserve">(DDE) </w:t>
            </w:r>
            <w:r>
              <w:t xml:space="preserve">grid for entering serologic reaction results for ABO/Rh patient testing. </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7273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77" name="Lin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2" o:spid="_x0000_s1026" style="position:absolute;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RVFgIAAC0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Cx&#10;jeRVFgIAAC0EAAAOAAAAAAAAAAAAAAAAAC4CAABkcnMvZTJvRG9jLnhtbFBLAQItABQABgAIAAAA&#10;IQAXTzAS2wAAAAgBAAAPAAAAAAAAAAAAAAAAAHAEAABkcnMvZG93bnJldi54bWxQSwUGAAAAAAQA&#10;BADzAAAAeAU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BR_52.09 </w:t>
            </w:r>
            <w:r>
              <w:t>The user may reenter valid results or delete entries and start over before saving the results. The user may invalidate, but not edit, data in a grid from a previous session by clicking the red “X” in the upper right corner of the testing grid, as described in Invalidate Test Results.</w:t>
            </w:r>
          </w:p>
          <w:p w:rsidR="002A21AE" w:rsidRDefault="002A21AE">
            <w:pPr>
              <w:pStyle w:val="NotesText"/>
            </w:pPr>
          </w:p>
          <w:p w:rsidR="002A21AE" w:rsidRDefault="002A21AE" w:rsidP="002B6B38">
            <w:pPr>
              <w:pStyle w:val="NotesText"/>
            </w:pPr>
            <w:r>
              <w:rPr>
                <w:rFonts w:cs="Arial"/>
                <w:vanish/>
              </w:rPr>
              <w:t xml:space="preserve">BR_52.07 </w:t>
            </w:r>
            <w:r>
              <w:t xml:space="preserve">VBECS determines the validity of the user-entered patient ABO/Rh interpretation by comparing the reaction results pattern of the row with the truth table and with the previous ABO/Rh entries for the patient. </w:t>
            </w:r>
          </w:p>
        </w:tc>
      </w:tr>
      <w:tr w:rsidR="002A21AE">
        <w:tblPrEx>
          <w:tblCellMar>
            <w:top w:w="0" w:type="dxa"/>
            <w:bottom w:w="0" w:type="dxa"/>
          </w:tblCellMar>
        </w:tblPrEx>
        <w:tc>
          <w:tcPr>
            <w:tcW w:w="3240" w:type="dxa"/>
          </w:tcPr>
          <w:p w:rsidR="002A21AE" w:rsidRDefault="002A21AE">
            <w:pPr>
              <w:pStyle w:val="TableTextNumbers"/>
            </w:pPr>
            <w:r>
              <w:t>Select a patient to begin entering his serologic reactions.</w:t>
            </w:r>
          </w:p>
        </w:tc>
        <w:tc>
          <w:tcPr>
            <w:tcW w:w="6120" w:type="dxa"/>
          </w:tcPr>
          <w:p w:rsidR="002A21AE" w:rsidRDefault="002A21AE">
            <w:pPr>
              <w:pStyle w:val="TableTextBullet"/>
            </w:pPr>
            <w:r>
              <w:t xml:space="preserve">Allows the user to select one patient at a time and enter a test result for that patient. </w:t>
            </w:r>
          </w:p>
          <w:p w:rsidR="002A21AE" w:rsidRDefault="002A21AE">
            <w:pPr>
              <w:pStyle w:val="TableTextBullet"/>
            </w:pPr>
            <w:r>
              <w:t xml:space="preserve">Allows only valid data entries in the grid reaction result and interpretation cells. </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73760" behindDoc="0" locked="0" layoutInCell="1" allowOverlap="1">
                      <wp:simplePos x="0" y="0"/>
                      <wp:positionH relativeFrom="column">
                        <wp:posOffset>457200</wp:posOffset>
                      </wp:positionH>
                      <wp:positionV relativeFrom="paragraph">
                        <wp:posOffset>17145</wp:posOffset>
                      </wp:positionV>
                      <wp:extent cx="3200400" cy="0"/>
                      <wp:effectExtent l="9525" t="17145" r="9525" b="11430"/>
                      <wp:wrapNone/>
                      <wp:docPr id="376" name="Lin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3" o:spid="_x0000_s1026" style="position:absolute;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35pt" to="4in,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XPTFgIAAC0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t xml:space="preserve">When A,B or D control is not part of the daily QC configuration, VBECS disables it in the ABO/Rh test grid. </w:t>
            </w:r>
          </w:p>
          <w:p w:rsidR="002A21AE" w:rsidRDefault="002A21AE">
            <w:pPr>
              <w:pStyle w:val="NotesText"/>
            </w:pPr>
          </w:p>
          <w:p w:rsidR="002A21AE" w:rsidRDefault="002A21AE">
            <w:pPr>
              <w:pStyle w:val="NotesText"/>
            </w:pPr>
            <w:r>
              <w:t xml:space="preserve">When an AB Positive patient requires the performance of a control cell, the user must order a repeat ABO/Rh test. </w:t>
            </w:r>
          </w:p>
          <w:p w:rsidR="002A21AE" w:rsidRPr="00760A4D" w:rsidRDefault="002A21AE" w:rsidP="00760A4D">
            <w:pPr>
              <w:pStyle w:val="NotesText"/>
            </w:pPr>
          </w:p>
          <w:p w:rsidR="002A21AE" w:rsidRDefault="002A21AE">
            <w:pPr>
              <w:pStyle w:val="NotesText"/>
            </w:pPr>
            <w:r>
              <w:t>When A,B is enabled, the user enters a result for Anti-A,B as part of the patient test, it is included in determining the interpretation for that patient test. “X” is an acceptable entry.</w:t>
            </w:r>
          </w:p>
          <w:p w:rsidR="002A21AE" w:rsidRDefault="002A21AE">
            <w:pPr>
              <w:pStyle w:val="NotesText"/>
            </w:pPr>
          </w:p>
          <w:p w:rsidR="002A21AE" w:rsidRDefault="002A21AE">
            <w:pPr>
              <w:pStyle w:val="NotesText"/>
            </w:pPr>
            <w:r>
              <w:t>A,B and D control are always enabled for the repeat ABO/Rh test grid, regardless of the QC configuration.</w:t>
            </w:r>
          </w:p>
          <w:p w:rsidR="002A21AE" w:rsidRDefault="002A21AE">
            <w:pPr>
              <w:pStyle w:val="NotesText"/>
            </w:pPr>
          </w:p>
          <w:p w:rsidR="002A21AE" w:rsidRDefault="002A21AE">
            <w:pPr>
              <w:pStyle w:val="NotesText"/>
            </w:pPr>
            <w:r>
              <w:rPr>
                <w:rFonts w:cs="Arial"/>
                <w:vanish/>
              </w:rPr>
              <w:t xml:space="preserve">BR_52.10 </w:t>
            </w:r>
            <w:r>
              <w:t>Reflex testing grid fields are available for data entry regardless of QC rack configuration.</w:t>
            </w:r>
          </w:p>
          <w:p w:rsidR="002A21AE" w:rsidRDefault="002A21AE">
            <w:pPr>
              <w:pStyle w:val="NotesText"/>
            </w:pPr>
          </w:p>
          <w:p w:rsidR="002A21AE" w:rsidRDefault="00F6394D">
            <w:pPr>
              <w:pStyle w:val="NotesText"/>
            </w:pPr>
            <w:r>
              <w:t xml:space="preserve">See </w:t>
            </w:r>
            <w:r w:rsidR="00AE2DC1">
              <w:fldChar w:fldCharType="begin"/>
            </w:r>
            <w:r w:rsidR="00AE2DC1">
              <w:instrText xml:space="preserve"> REF _Ref126504333 \h </w:instrText>
            </w:r>
            <w:r w:rsidR="00AE2DC1">
              <w:fldChar w:fldCharType="separate"/>
            </w:r>
            <w:r w:rsidR="005F38BC">
              <w:t xml:space="preserve">Table </w:t>
            </w:r>
            <w:r w:rsidR="005F38BC">
              <w:rPr>
                <w:noProof/>
              </w:rPr>
              <w:t>4</w:t>
            </w:r>
            <w:r w:rsidR="005F38BC">
              <w:t xml:space="preserve">: </w:t>
            </w:r>
            <w:r w:rsidR="005F38BC">
              <w:rPr>
                <w:rFonts w:cs="Arial"/>
                <w:b/>
                <w:vanish/>
              </w:rPr>
              <w:t xml:space="preserve">BR_2.10 </w:t>
            </w:r>
            <w:r w:rsidR="005F38BC">
              <w:t>Valid Interpretations</w:t>
            </w:r>
            <w:r w:rsidR="00AE2DC1">
              <w:fldChar w:fldCharType="end"/>
            </w:r>
            <w:r w:rsidR="002A21AE">
              <w:t>.</w:t>
            </w:r>
          </w:p>
          <w:p w:rsidR="002A21AE" w:rsidRDefault="002A21AE">
            <w:pPr>
              <w:pStyle w:val="NotesText"/>
              <w:rPr>
                <w:rFonts w:cs="Arial"/>
                <w:vanish/>
              </w:rPr>
            </w:pPr>
          </w:p>
          <w:p w:rsidR="002A21AE" w:rsidRDefault="002A21AE">
            <w:pPr>
              <w:pStyle w:val="NotesText"/>
            </w:pPr>
            <w:r>
              <w:rPr>
                <w:rFonts w:cs="Arial"/>
                <w:vanish/>
              </w:rPr>
              <w:t xml:space="preserve">BR_52.06 </w:t>
            </w:r>
            <w:r>
              <w:t>Row validation is established for the interpretation vs. reaction results pattern defined by system rules.</w:t>
            </w:r>
          </w:p>
        </w:tc>
      </w:tr>
      <w:tr w:rsidR="002A21AE">
        <w:tblPrEx>
          <w:tblCellMar>
            <w:top w:w="0" w:type="dxa"/>
            <w:bottom w:w="0" w:type="dxa"/>
          </w:tblCellMar>
        </w:tblPrEx>
        <w:tc>
          <w:tcPr>
            <w:tcW w:w="3240" w:type="dxa"/>
          </w:tcPr>
          <w:p w:rsidR="002A21AE" w:rsidRDefault="002A21AE">
            <w:pPr>
              <w:pStyle w:val="TableTextNumbers"/>
            </w:pPr>
            <w:r>
              <w:t>Repeat Steps 2–</w:t>
            </w:r>
            <w:r w:rsidR="00641529">
              <w:t>4</w:t>
            </w:r>
            <w:r>
              <w:t xml:space="preserve"> until some or all portions of the test grid for the selected patient are entered. </w:t>
            </w:r>
          </w:p>
          <w:p w:rsidR="002A21AE" w:rsidRDefault="002A21AE">
            <w:pPr>
              <w:pStyle w:val="TableTextNumbersContinued"/>
            </w:pPr>
          </w:p>
          <w:p w:rsidR="002A21AE" w:rsidRDefault="002A21AE">
            <w:pPr>
              <w:pStyle w:val="TableTextNumbersContinued"/>
            </w:pPr>
            <w:r>
              <w:t xml:space="preserve">Enter the interpretation for the patient ABO/Rh typing, if appropriate. </w:t>
            </w:r>
          </w:p>
        </w:tc>
        <w:tc>
          <w:tcPr>
            <w:tcW w:w="6120" w:type="dxa"/>
          </w:tcPr>
          <w:p w:rsidR="002A21AE" w:rsidRDefault="002A21AE">
            <w:pPr>
              <w:pStyle w:val="TableTextBullet"/>
            </w:pPr>
            <w:r>
              <w:t>Prompts the user to confirm that all results were reviewed and are acceptable.</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7478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75" name="Line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4" o:spid="_x0000_s1026" style="position:absolute;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U7QFQIAAC0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J1l&#10;TtA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865A02" w:rsidRDefault="00865A02">
            <w:pPr>
              <w:pStyle w:val="NotesText"/>
            </w:pPr>
            <w:r>
              <w:rPr>
                <w:rFonts w:cs="Arial"/>
                <w:vanish/>
              </w:rPr>
              <w:t xml:space="preserve">BR_56.12 </w:t>
            </w:r>
            <w:r>
              <w:t xml:space="preserve">When the ABO/Rh interpretation matches observed results, is not inconclusive, and does not match the patient’s historic ABO/Rh (if any, including from database conversion), VBECS emits an audible alert, warns that the current ABO/Rh does not match previous results, and instructs the user to enter a comment to continue, or click </w:t>
            </w:r>
            <w:r>
              <w:rPr>
                <w:b/>
              </w:rPr>
              <w:t>Cancel</w:t>
            </w:r>
            <w:r>
              <w:t xml:space="preserve"> to clear the ABO/Rh testing results and interpretation from the screen. VBECS captures details for inclusion in an Exception Report (exception type: ABO/Rh discrepancy).</w:t>
            </w:r>
          </w:p>
          <w:p w:rsidR="00865A02" w:rsidRDefault="00865A02">
            <w:pPr>
              <w:pStyle w:val="NotesText"/>
            </w:pPr>
          </w:p>
          <w:p w:rsidR="009D787A" w:rsidRDefault="002A21AE" w:rsidP="00562B7F">
            <w:pPr>
              <w:pStyle w:val="NotesText"/>
            </w:pPr>
            <w:r>
              <w:rPr>
                <w:vanish/>
                <w:szCs w:val="18"/>
              </w:rPr>
              <w:lastRenderedPageBreak/>
              <w:t>BR_52.08</w:t>
            </w:r>
            <w:r w:rsidR="00CE3961">
              <w:rPr>
                <w:vanish/>
                <w:szCs w:val="18"/>
              </w:rPr>
              <w:t>,</w:t>
            </w:r>
            <w:r w:rsidR="00562B7F">
              <w:rPr>
                <w:vanish/>
                <w:szCs w:val="18"/>
              </w:rPr>
              <w:t xml:space="preserve"> </w:t>
            </w:r>
            <w:r w:rsidR="00562B7F">
              <w:rPr>
                <w:snapToGrid w:val="0"/>
                <w:vanish/>
                <w:szCs w:val="18"/>
              </w:rPr>
              <w:t>BR_52.11</w:t>
            </w:r>
            <w:r>
              <w:rPr>
                <w:vanish/>
                <w:szCs w:val="18"/>
              </w:rPr>
              <w:t xml:space="preserve"> </w:t>
            </w:r>
            <w:r w:rsidR="004F5F28" w:rsidRPr="00323744">
              <w:rPr>
                <w:rStyle w:val="BullhornChar"/>
              </w:rPr>
              <w:t></w:t>
            </w:r>
            <w:r w:rsidR="004F5F28">
              <w:rPr>
                <w:rFonts w:ascii="Webdings" w:hAnsi="Webdings"/>
              </w:rPr>
              <w:t></w:t>
            </w:r>
            <w:r w:rsidR="00AA7C58" w:rsidRPr="00EC7489">
              <w:rPr>
                <w:rFonts w:ascii="Wingdings 3" w:hAnsi="Wingdings 3" w:cs="Wingdings"/>
              </w:rPr>
              <w:t></w:t>
            </w:r>
            <w:r w:rsidR="00AA7C58" w:rsidRPr="00EC7489">
              <w:rPr>
                <w:rFonts w:ascii="Wingdings 3" w:hAnsi="Wingdings 3" w:cs="Wingdings"/>
              </w:rPr>
              <w:t></w:t>
            </w:r>
            <w:r w:rsidR="00AA7C58">
              <w:t xml:space="preserve"> </w:t>
            </w:r>
            <w:r>
              <w:t>VBECS allows the</w:t>
            </w:r>
            <w:r w:rsidR="00562B7F">
              <w:t xml:space="preserve"> Enhanced Technologist</w:t>
            </w:r>
            <w:r>
              <w:t xml:space="preserve"> to enter an ABO/Rh interpretation that matches the patient’s previously recorded (historic) ABO/Rh interpretation when the system interpretation is inconclusive. This allows unit selection to continue based on the patient’s ABO/Rh interpretation entered by the user. VBECS requires the user to document the findings of any offline investigation, alerting the reviewer to appropriately follow up, according to local policy.</w:t>
            </w:r>
            <w:r>
              <w:rPr>
                <w:b/>
              </w:rPr>
              <w:t xml:space="preserve"> </w:t>
            </w:r>
            <w:r>
              <w:t>VBECS emits an audible alert and warns the user. VBECS allows an override with comment and captures details for inclusion in an Exception Report (exception type: discrepant ABO/Rh override) that includes all interpretations and historic patient information.</w:t>
            </w:r>
          </w:p>
        </w:tc>
      </w:tr>
      <w:tr w:rsidR="002A21AE">
        <w:tblPrEx>
          <w:tblCellMar>
            <w:top w:w="0" w:type="dxa"/>
            <w:bottom w:w="0" w:type="dxa"/>
          </w:tblCellMar>
        </w:tblPrEx>
        <w:tc>
          <w:tcPr>
            <w:tcW w:w="3240" w:type="dxa"/>
          </w:tcPr>
          <w:p w:rsidR="002A21AE" w:rsidRDefault="002A21AE">
            <w:pPr>
              <w:pStyle w:val="TableTextNumbers"/>
            </w:pPr>
            <w:r>
              <w:lastRenderedPageBreak/>
              <w:t xml:space="preserve">When all required fields are complete, click </w:t>
            </w:r>
            <w:r>
              <w:rPr>
                <w:b/>
              </w:rPr>
              <w:t>OK</w:t>
            </w:r>
            <w:r>
              <w:t xml:space="preserve"> to save and continue to the next patient, or exit.</w:t>
            </w:r>
            <w:r w:rsidR="00410757">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rsidR="002A21AE" w:rsidRDefault="002A21AE">
            <w:pPr>
              <w:pStyle w:val="TableTextBullet"/>
            </w:pPr>
            <w:r>
              <w:t>Saves the data.</w:t>
            </w:r>
          </w:p>
        </w:tc>
      </w:tr>
    </w:tbl>
    <w:p w:rsidR="002A21AE" w:rsidRDefault="002A21AE">
      <w:pPr>
        <w:pStyle w:val="BodyText"/>
        <w:rPr>
          <w:rFonts w:eastAsia="Symbol"/>
        </w:rPr>
      </w:pPr>
    </w:p>
    <w:p w:rsidR="002A21AE" w:rsidRDefault="002A21AE">
      <w:pPr>
        <w:pStyle w:val="Heading3"/>
      </w:pPr>
      <w:r>
        <w:br w:type="page"/>
      </w:r>
      <w:bookmarkStart w:id="484" w:name="_Toc459900146"/>
      <w:r>
        <w:lastRenderedPageBreak/>
        <w:t>Patient Testing: Record a Patient Antibody Screen</w:t>
      </w:r>
      <w:bookmarkEnd w:id="484"/>
      <w:r>
        <w:fldChar w:fldCharType="begin"/>
      </w:r>
      <w:r>
        <w:instrText xml:space="preserve"> XE </w:instrText>
      </w:r>
      <w:r w:rsidR="00FA7E65">
        <w:instrText>“</w:instrText>
      </w:r>
      <w:r>
        <w:instrText>Patient Testing\: Record a Patient Antibody Screen</w:instrText>
      </w:r>
      <w:r w:rsidR="00FA7E65">
        <w:instrText>”</w:instrText>
      </w:r>
      <w:r>
        <w:instrText xml:space="preserve"> </w:instrText>
      </w:r>
      <w:r>
        <w:fldChar w:fldCharType="end"/>
      </w:r>
      <w:r>
        <w:t xml:space="preserve"> </w:t>
      </w:r>
      <w:r>
        <w:rPr>
          <w:rFonts w:ascii="Times New Roman" w:hAnsi="Times New Roman" w:cs="Times New Roman"/>
          <w:b w:val="0"/>
          <w:vanish/>
          <w:sz w:val="22"/>
        </w:rPr>
        <w:t>UC_53</w:t>
      </w:r>
    </w:p>
    <w:p w:rsidR="002A21AE" w:rsidRDefault="002A21AE" w:rsidP="00FA7E65">
      <w:pPr>
        <w:pStyle w:val="BodyText"/>
      </w:pPr>
      <w:r>
        <w:t xml:space="preserve">The user records the serologic results when performing the </w:t>
      </w:r>
      <w:r w:rsidR="008E2E30">
        <w:t>Antibody Screen Test (ABS)</w:t>
      </w:r>
      <w:r>
        <w:t>.</w:t>
      </w:r>
    </w:p>
    <w:p w:rsidR="002A21AE" w:rsidRDefault="002A21AE">
      <w:pPr>
        <w:pStyle w:val="Heading4"/>
      </w:pPr>
      <w:r>
        <w:t>Assumptions</w:t>
      </w:r>
      <w:r>
        <w:rPr>
          <w:b w:val="0"/>
        </w:rPr>
        <w:t xml:space="preserve"> </w:t>
      </w:r>
    </w:p>
    <w:p w:rsidR="002A21AE" w:rsidRDefault="002A21AE">
      <w:pPr>
        <w:pStyle w:val="ListBullet"/>
      </w:pPr>
      <w:r>
        <w:t>The user accesses patient ABO/Rh grids through Patient Testing: Record Patient Test Results.</w:t>
      </w:r>
    </w:p>
    <w:p w:rsidR="002A21AE" w:rsidRDefault="002A21AE">
      <w:pPr>
        <w:pStyle w:val="ListBullet"/>
      </w:pPr>
      <w:r>
        <w:t>A CPRS order exists that includes an ABO/Rh typing [ABO/Rh Test or Type &amp; Screen (TAS)]. An ABS may also be ordered as a reflex patient test.</w:t>
      </w:r>
    </w:p>
    <w:p w:rsidR="002A21AE" w:rsidRDefault="002A21AE">
      <w:pPr>
        <w:pStyle w:val="ListBullet"/>
      </w:pPr>
      <w:r>
        <w:t>Configure Daily QC and Configure Testing are complete.</w:t>
      </w:r>
    </w:p>
    <w:p w:rsidR="002A21AE" w:rsidRDefault="002A21AE">
      <w:pPr>
        <w:pStyle w:val="Heading4"/>
      </w:pPr>
      <w:r>
        <w:t>Outcome</w:t>
      </w:r>
    </w:p>
    <w:p w:rsidR="002A21AE" w:rsidRDefault="002A21AE">
      <w:pPr>
        <w:pStyle w:val="ListBullet"/>
        <w:rPr>
          <w:b/>
        </w:rPr>
      </w:pPr>
      <w:r>
        <w:t xml:space="preserve">When an ABS is ordered as a stand-alone test, VBECS changes the task status to “completed” and triggers the generation of a message to CPRS that the order is complete. </w:t>
      </w:r>
    </w:p>
    <w:p w:rsidR="002A21AE" w:rsidRDefault="002A21AE">
      <w:pPr>
        <w:pStyle w:val="Heading4"/>
        <w:rPr>
          <w:b w:val="0"/>
        </w:rPr>
      </w:pPr>
      <w:r>
        <w:t>Limitations and Restrictions</w:t>
      </w:r>
      <w:r>
        <w:rPr>
          <w:b w:val="0"/>
        </w:rPr>
        <w:t xml:space="preserve"> </w:t>
      </w:r>
    </w:p>
    <w:p w:rsidR="002A21AE" w:rsidRDefault="002A21AE">
      <w:pPr>
        <w:pStyle w:val="ListBullet"/>
      </w:pPr>
      <w:r>
        <w:t xml:space="preserve">This </w:t>
      </w:r>
      <w:r>
        <w:rPr>
          <w:szCs w:val="20"/>
        </w:rPr>
        <w:t>option is for patient testing only</w:t>
      </w:r>
      <w:r w:rsidR="001E7158">
        <w:rPr>
          <w:szCs w:val="20"/>
        </w:rPr>
        <w:t>.</w:t>
      </w:r>
    </w:p>
    <w:p w:rsidR="002A21AE" w:rsidRDefault="002A21AE">
      <w:pPr>
        <w:pStyle w:val="Heading4"/>
      </w:pPr>
      <w:r>
        <w:t>Additional Information</w:t>
      </w:r>
      <w:r>
        <w:rPr>
          <w:rFonts w:ascii="Times New Roman" w:hAnsi="Times New Roman"/>
          <w:i/>
          <w:color w:val="0000FF"/>
          <w:sz w:val="24"/>
        </w:rPr>
        <w:t xml:space="preserve"> </w:t>
      </w:r>
    </w:p>
    <w:p w:rsidR="002A21AE" w:rsidRDefault="002A21AE">
      <w:pPr>
        <w:pStyle w:val="ListBullet"/>
      </w:pPr>
      <w:r>
        <w:t xml:space="preserve">The user performs lab tests and enters data simultaneously. </w:t>
      </w:r>
    </w:p>
    <w:p w:rsidR="002A21AE" w:rsidRDefault="002A21AE">
      <w:pPr>
        <w:pStyle w:val="Heading4"/>
      </w:pPr>
      <w:r>
        <w:t xml:space="preserve">User Roles with Access to This Option </w:t>
      </w:r>
    </w:p>
    <w:p w:rsidR="002A21AE" w:rsidRDefault="007934CF">
      <w:pPr>
        <w:pStyle w:val="Roles"/>
      </w:pPr>
      <w:r>
        <w:t>All users</w:t>
      </w:r>
    </w:p>
    <w:p w:rsidR="002A21AE" w:rsidRDefault="002A21AE">
      <w:pPr>
        <w:pStyle w:val="Heading4"/>
        <w:rPr>
          <w:bCs/>
        </w:rPr>
      </w:pPr>
      <w:r>
        <w:rPr>
          <w:bCs/>
        </w:rPr>
        <w:t>Patient Testing: Record a Patient Antibody Screen</w:t>
      </w:r>
    </w:p>
    <w:p w:rsidR="002A21AE" w:rsidRDefault="002A21AE" w:rsidP="00FA7E65">
      <w:pPr>
        <w:pStyle w:val="BodyText"/>
      </w:pPr>
      <w:r>
        <w:t xml:space="preserve">The user tests the patient’s specimen for the presence of antibodies-to-irregular red cell antigens. The user may perform this test alone or as part of a battery of tests. </w:t>
      </w:r>
    </w:p>
    <w:p w:rsidR="002A21AE" w:rsidRDefault="002A21AE" w:rsidP="00FA7E65">
      <w:pPr>
        <w:pStyle w:val="BodyText"/>
      </w:pPr>
      <w:r>
        <w:t>The user accesses patient antibody screen grids through Patient Testing: Record Patient Test Results and enters observations of the serologic reactions in the data entry grid during testing. VBECS makes the interpretation available to CPRS and patient reports.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141448">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141448" w:rsidRDefault="00141448" w:rsidP="00D71D64">
            <w:pPr>
              <w:pStyle w:val="TableTextNumbers"/>
            </w:pPr>
            <w:r>
              <w:t xml:space="preserve">Select </w:t>
            </w:r>
            <w:r>
              <w:rPr>
                <w:b/>
              </w:rPr>
              <w:t>Patients</w:t>
            </w:r>
            <w:r>
              <w:t xml:space="preserve"> from the main menu.</w:t>
            </w:r>
          </w:p>
          <w:p w:rsidR="00141448" w:rsidRDefault="00141448" w:rsidP="00141448">
            <w:pPr>
              <w:pStyle w:val="TableTextNumbersContinued"/>
            </w:pPr>
          </w:p>
          <w:p w:rsidR="00141448" w:rsidRDefault="00141448" w:rsidP="00141448">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rsidR="00141448" w:rsidRDefault="00141448" w:rsidP="00141448">
            <w:pPr>
              <w:pStyle w:val="TableTextBullet"/>
            </w:pPr>
            <w:r>
              <w:t xml:space="preserve">Displays options for processing patient-related functions. </w:t>
            </w:r>
          </w:p>
          <w:p w:rsidR="00141448" w:rsidRDefault="00141448" w:rsidP="00141448">
            <w:pPr>
              <w:pStyle w:val="TableTextBullet"/>
            </w:pPr>
            <w:r>
              <w:t>Displays the Pending Task List (PTL) in the Diagnostic Tests tab.</w:t>
            </w:r>
          </w:p>
          <w:p w:rsidR="00141448" w:rsidRDefault="00141448" w:rsidP="00141448">
            <w:pPr>
              <w:pStyle w:val="NotesText"/>
            </w:pPr>
          </w:p>
          <w:p w:rsidR="00141448" w:rsidRDefault="00634BFC" w:rsidP="00141448">
            <w:pPr>
              <w:pStyle w:val="TableText"/>
              <w:rPr>
                <w:b/>
                <w:bCs/>
                <w:szCs w:val="18"/>
              </w:rPr>
            </w:pPr>
            <w:r>
              <w:rPr>
                <w:b/>
                <w:bCs/>
                <w:noProof/>
              </w:rPr>
              <mc:AlternateContent>
                <mc:Choice Requires="wps">
                  <w:drawing>
                    <wp:anchor distT="0" distB="0" distL="114300" distR="114300" simplePos="0" relativeHeight="25175296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74" name="Line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1" o:spid="_x0000_s1026" style="position:absolute;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" strokeweight="1.5pt"/>
                  </w:pict>
                </mc:Fallback>
              </mc:AlternateContent>
            </w:r>
            <w:r w:rsidR="00141448">
              <w:rPr>
                <w:b/>
                <w:bCs/>
                <w:szCs w:val="18"/>
              </w:rPr>
              <w:t>NOTES</w:t>
            </w:r>
          </w:p>
          <w:p w:rsidR="00141448" w:rsidRDefault="00141448" w:rsidP="00141448">
            <w:pPr>
              <w:pStyle w:val="NotesText"/>
            </w:pPr>
          </w:p>
          <w:p w:rsidR="00141448" w:rsidRDefault="00141448" w:rsidP="00141448">
            <w:pPr>
              <w:pStyle w:val="NotesText"/>
            </w:pPr>
            <w:r>
              <w:t>A user may search for specific tasks using search criteria detailed in Pending Task List.</w:t>
            </w:r>
          </w:p>
        </w:tc>
      </w:tr>
      <w:tr w:rsidR="00B1359E">
        <w:tblPrEx>
          <w:tblCellMar>
            <w:top w:w="0" w:type="dxa"/>
            <w:bottom w:w="0" w:type="dxa"/>
          </w:tblCellMar>
        </w:tblPrEx>
        <w:tc>
          <w:tcPr>
            <w:tcW w:w="3240" w:type="dxa"/>
          </w:tcPr>
          <w:p w:rsidR="00B1359E" w:rsidRDefault="00B1359E" w:rsidP="00150254">
            <w:pPr>
              <w:pStyle w:val="TableTextNumbers"/>
            </w:pPr>
            <w:r>
              <w:t xml:space="preserve">Click one to four check boxes in the Pending Task List to select tasks for testing. </w:t>
            </w:r>
          </w:p>
          <w:p w:rsidR="00B1359E" w:rsidRDefault="00B1359E" w:rsidP="00150254">
            <w:pPr>
              <w:pStyle w:val="TableTextNumbersContinued"/>
            </w:pPr>
          </w:p>
          <w:p w:rsidR="00B1359E" w:rsidRDefault="00B1359E" w:rsidP="00150254">
            <w:pPr>
              <w:pStyle w:val="TableTextNumbersContinued"/>
            </w:pPr>
            <w:r>
              <w:t xml:space="preserve">Click </w:t>
            </w:r>
            <w:r>
              <w:rPr>
                <w:b/>
              </w:rPr>
              <w:t>OK</w:t>
            </w:r>
            <w:r>
              <w:t>.</w:t>
            </w:r>
          </w:p>
        </w:tc>
        <w:tc>
          <w:tcPr>
            <w:tcW w:w="6120" w:type="dxa"/>
          </w:tcPr>
          <w:p w:rsidR="00B1359E" w:rsidRDefault="00B1359E" w:rsidP="00150254">
            <w:pPr>
              <w:pStyle w:val="TableTextBullet"/>
            </w:pPr>
            <w:r>
              <w:t>Displays patient names and associated task information.</w:t>
            </w:r>
          </w:p>
        </w:tc>
      </w:tr>
      <w:tr w:rsidR="002A21AE">
        <w:tblPrEx>
          <w:tblCellMar>
            <w:top w:w="0" w:type="dxa"/>
            <w:bottom w:w="0" w:type="dxa"/>
          </w:tblCellMar>
        </w:tblPrEx>
        <w:tc>
          <w:tcPr>
            <w:tcW w:w="3240" w:type="dxa"/>
          </w:tcPr>
          <w:p w:rsidR="00F345F3" w:rsidRDefault="00F345F3">
            <w:pPr>
              <w:pStyle w:val="TableTextNumbers"/>
            </w:pPr>
            <w:r>
              <w:t>Click a check box to s</w:t>
            </w:r>
            <w:r w:rsidR="00F3010E">
              <w:t>elect a reagent rack</w:t>
            </w:r>
            <w:r>
              <w:t>.</w:t>
            </w:r>
          </w:p>
          <w:p w:rsidR="00F345F3" w:rsidRDefault="00F345F3" w:rsidP="00F345F3">
            <w:pPr>
              <w:pStyle w:val="TableTextNumbersContinued"/>
            </w:pPr>
          </w:p>
          <w:p w:rsidR="00F3010E" w:rsidRDefault="00F3010E" w:rsidP="00F345F3">
            <w:pPr>
              <w:pStyle w:val="TableTextNumbersContinued"/>
            </w:pPr>
            <w:r>
              <w:t xml:space="preserve">In the ABS or XM Testing Phases area, click the </w:t>
            </w:r>
            <w:r w:rsidRPr="00F3010E">
              <w:rPr>
                <w:b/>
              </w:rPr>
              <w:t>All Phases</w:t>
            </w:r>
            <w:r>
              <w:t xml:space="preserve"> or </w:t>
            </w:r>
            <w:r w:rsidRPr="00F3010E">
              <w:rPr>
                <w:b/>
              </w:rPr>
              <w:t xml:space="preserve">AHG Only </w:t>
            </w:r>
            <w:r w:rsidRPr="00BF2E41">
              <w:t>radio button</w:t>
            </w:r>
            <w:r>
              <w:t>.</w:t>
            </w:r>
          </w:p>
          <w:p w:rsidR="00F345F3" w:rsidRDefault="00F345F3" w:rsidP="00F345F3">
            <w:pPr>
              <w:pStyle w:val="TableTextNumbersContinued"/>
            </w:pPr>
          </w:p>
          <w:p w:rsidR="00F345F3" w:rsidRDefault="00F345F3" w:rsidP="00F345F3">
            <w:pPr>
              <w:pStyle w:val="TableTextNumbersContinued"/>
            </w:pPr>
            <w:r>
              <w:t xml:space="preserve">Click </w:t>
            </w:r>
            <w:r>
              <w:rPr>
                <w:b/>
              </w:rPr>
              <w:t>OK</w:t>
            </w:r>
            <w:r>
              <w:t xml:space="preserve"> to continue with testing.</w:t>
            </w:r>
          </w:p>
        </w:tc>
        <w:tc>
          <w:tcPr>
            <w:tcW w:w="6120" w:type="dxa"/>
          </w:tcPr>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7580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73" name="Line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6" o:spid="_x0000_s1026" style="position:absolute;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CgiFgIAAC0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Ay&#10;VCgiFgIAAC0EAAAOAAAAAAAAAAAAAAAAAC4CAABkcnMvZTJvRG9jLnhtbFBLAQItABQABgAIAAAA&#10;IQAXTzAS2wAAAAgBAAAPAAAAAAAAAAAAAAAAAHAEAABkcnMvZG93bnJldi54bWxQSwUGAAAAAAQA&#10;BADzAAAAeAU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BR_40.04 </w:t>
            </w:r>
            <w:r>
              <w:t>When the testing method selected is AHG only, VBECS disables the data grid boxes for phases IS, 37, and CC.</w:t>
            </w:r>
          </w:p>
        </w:tc>
      </w:tr>
      <w:tr w:rsidR="002A21AE">
        <w:tblPrEx>
          <w:tblCellMar>
            <w:top w:w="0" w:type="dxa"/>
            <w:bottom w:w="0" w:type="dxa"/>
          </w:tblCellMar>
        </w:tblPrEx>
        <w:tc>
          <w:tcPr>
            <w:tcW w:w="3240" w:type="dxa"/>
          </w:tcPr>
          <w:p w:rsidR="002A21AE" w:rsidRDefault="00F345F3">
            <w:pPr>
              <w:pStyle w:val="TableTextNumbers"/>
            </w:pPr>
            <w:r>
              <w:lastRenderedPageBreak/>
              <w:t>When processing more than one patient, s</w:t>
            </w:r>
            <w:r w:rsidR="002A21AE">
              <w:t xml:space="preserve">elect a </w:t>
            </w:r>
            <w:r>
              <w:t>name from the drop-down list in the Name field (or click the right or left arrow)</w:t>
            </w:r>
            <w:r w:rsidR="002A21AE">
              <w:t xml:space="preserve"> to </w:t>
            </w:r>
            <w:r>
              <w:t>record testing</w:t>
            </w:r>
            <w:r w:rsidR="00F9187A">
              <w:t xml:space="preserve"> for that patient</w:t>
            </w:r>
            <w:r w:rsidR="002A21AE">
              <w:t>.</w:t>
            </w:r>
          </w:p>
        </w:tc>
        <w:tc>
          <w:tcPr>
            <w:tcW w:w="6120" w:type="dxa"/>
          </w:tcPr>
          <w:p w:rsidR="002A21AE" w:rsidRDefault="002A21AE">
            <w:pPr>
              <w:pStyle w:val="TableTextBullet"/>
            </w:pPr>
            <w:r>
              <w:t xml:space="preserve">Allows the user to select a patient and enter a test result for the patient. </w:t>
            </w:r>
          </w:p>
          <w:p w:rsidR="002A21AE" w:rsidRDefault="002A21AE" w:rsidP="00380ACC">
            <w:pPr>
              <w:pStyle w:val="TableTextBullet"/>
            </w:pPr>
            <w:r>
              <w:t>Allows only valid data entries in the grid reaction result and interpretation cells.</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7683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72" name="Lin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7" o:spid="_x0000_s1026" style="position:absolute;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L+kFgIAAC0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Di&#10;oL+kFgIAAC0EAAAOAAAAAAAAAAAAAAAAAC4CAABkcnMvZTJvRG9jLnhtbFBLAQItABQABgAIAAAA&#10;IQAXTzAS2wAAAAgBAAAPAAAAAAAAAAAAAAAAAHAEAABkcnMvZG93bnJldi54bWxQSwUGAAAAAAQA&#10;BADzAAAAeAU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BR_53.02 </w:t>
            </w:r>
            <w:r>
              <w:t xml:space="preserve">The logic described in </w:t>
            </w:r>
            <w:r w:rsidR="00543DAF">
              <w:fldChar w:fldCharType="begin"/>
            </w:r>
            <w:r w:rsidR="00543DAF">
              <w:instrText xml:space="preserve"> REF _Ref170004931 \h </w:instrText>
            </w:r>
            <w:r w:rsidR="00543DAF">
              <w:fldChar w:fldCharType="separate"/>
            </w:r>
            <w:r w:rsidR="005F38BC">
              <w:t xml:space="preserve">Appendix </w:t>
            </w:r>
            <w:r w:rsidR="005F38BC">
              <w:rPr>
                <w:noProof/>
              </w:rPr>
              <w:t>B</w:t>
            </w:r>
            <w:r w:rsidR="00543DAF">
              <w:fldChar w:fldCharType="end"/>
            </w:r>
            <w:r>
              <w:t xml:space="preserve">: </w:t>
            </w:r>
            <w:r w:rsidR="00AE2DC1">
              <w:fldChar w:fldCharType="begin"/>
            </w:r>
            <w:r w:rsidR="00AE2DC1">
              <w:instrText xml:space="preserve"> REF _Ref126504351 \h </w:instrText>
            </w:r>
            <w:r w:rsidR="00AE2DC1">
              <w:fldChar w:fldCharType="separate"/>
            </w:r>
            <w:r w:rsidR="005F38BC">
              <w:t xml:space="preserve">Table </w:t>
            </w:r>
            <w:r w:rsidR="005F38BC">
              <w:rPr>
                <w:noProof/>
              </w:rPr>
              <w:t>16</w:t>
            </w:r>
            <w:r w:rsidR="005F38BC">
              <w:t xml:space="preserve">: </w:t>
            </w:r>
            <w:r w:rsidR="005F38BC">
              <w:rPr>
                <w:vanish/>
              </w:rPr>
              <w:t xml:space="preserve">TT_53.02 </w:t>
            </w:r>
            <w:r w:rsidR="005F38BC">
              <w:t>Antibody Screen Test Interpretation</w:t>
            </w:r>
            <w:r w:rsidR="00AE2DC1">
              <w:fldChar w:fldCharType="end"/>
            </w:r>
            <w:r w:rsidR="00AE2DC1">
              <w:t xml:space="preserve"> </w:t>
            </w:r>
            <w:r>
              <w:t>is an integral part of the configuration of the reaction result grid developed for Patient Testing: Record a Patient Antibody Screen.</w:t>
            </w:r>
          </w:p>
          <w:p w:rsidR="002A21AE" w:rsidRDefault="002A21AE">
            <w:pPr>
              <w:pStyle w:val="NotesText"/>
            </w:pPr>
          </w:p>
          <w:p w:rsidR="002A21AE" w:rsidRDefault="002A21AE">
            <w:pPr>
              <w:pStyle w:val="NotesText"/>
            </w:pPr>
            <w:r>
              <w:rPr>
                <w:rFonts w:cs="Arial"/>
                <w:vanish/>
              </w:rPr>
              <w:t xml:space="preserve">BR_53.04 </w:t>
            </w:r>
            <w:r>
              <w:t>There may be two to five rows of screening cells to be validated as a group (the ABS). The user enters only one interpretation for the combination of cells tested.</w:t>
            </w:r>
          </w:p>
          <w:p w:rsidR="002A21AE" w:rsidRDefault="002A21AE">
            <w:pPr>
              <w:pStyle w:val="NotesText"/>
            </w:pPr>
          </w:p>
          <w:p w:rsidR="002A21AE" w:rsidRDefault="002A21AE">
            <w:pPr>
              <w:pStyle w:val="NotesText"/>
            </w:pPr>
            <w:r>
              <w:rPr>
                <w:rFonts w:cs="Arial"/>
                <w:vanish/>
              </w:rPr>
              <w:t xml:space="preserve">BR_53.03 </w:t>
            </w:r>
            <w:r>
              <w:t>Valid interpretations of an ABS Test are positive or negative.</w:t>
            </w:r>
          </w:p>
        </w:tc>
      </w:tr>
      <w:tr w:rsidR="002A21AE">
        <w:tblPrEx>
          <w:tblCellMar>
            <w:top w:w="0" w:type="dxa"/>
            <w:bottom w:w="0" w:type="dxa"/>
          </w:tblCellMar>
        </w:tblPrEx>
        <w:tc>
          <w:tcPr>
            <w:tcW w:w="3240" w:type="dxa"/>
          </w:tcPr>
          <w:p w:rsidR="002A21AE" w:rsidRDefault="002A21AE">
            <w:pPr>
              <w:pStyle w:val="TableTextNumbers"/>
            </w:pPr>
            <w:r>
              <w:t>Repeat Step 4 until results are entered in some or all portions of the test grid for the selected patient. Enter the interpretation for the patient ABS Test, if desired.</w:t>
            </w:r>
          </w:p>
        </w:tc>
        <w:tc>
          <w:tcPr>
            <w:tcW w:w="6120" w:type="dxa"/>
          </w:tcPr>
          <w:p w:rsidR="002A21AE" w:rsidRDefault="002A21AE">
            <w:pPr>
              <w:pStyle w:val="TableTextBullet"/>
            </w:pPr>
            <w:r>
              <w:t>Verifies that appropriate tests are entered.</w:t>
            </w:r>
          </w:p>
          <w:p w:rsidR="002A21AE" w:rsidRDefault="002A21AE">
            <w:pPr>
              <w:pStyle w:val="TableTextBullet"/>
            </w:pPr>
            <w:r>
              <w:t>Prompts the user to confirm that results were reviewed and are acceptable.</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7785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71" name="Lin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8" o:spid="_x0000_s1026" style="position:absolute;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2oAFQIAAC0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ISz&#10;agA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rsidP="009874B8">
            <w:pPr>
              <w:pStyle w:val="NotesText"/>
            </w:pPr>
            <w:r>
              <w:rPr>
                <w:rFonts w:cs="Arial"/>
                <w:vanish/>
              </w:rPr>
              <w:t xml:space="preserve">BR_53.01 </w:t>
            </w:r>
            <w:r>
              <w:t xml:space="preserve">When the ABS Test interpretation must be consistent with observed test results based on </w:t>
            </w:r>
            <w:r w:rsidR="00AE2DC1">
              <w:fldChar w:fldCharType="begin"/>
            </w:r>
            <w:r w:rsidR="00AE2DC1">
              <w:instrText xml:space="preserve"> REF _Ref126504384 \h </w:instrText>
            </w:r>
            <w:r w:rsidR="00AE2DC1">
              <w:fldChar w:fldCharType="separate"/>
            </w:r>
            <w:r w:rsidR="005F38BC">
              <w:t xml:space="preserve">Table </w:t>
            </w:r>
            <w:r w:rsidR="005F38BC">
              <w:rPr>
                <w:noProof/>
              </w:rPr>
              <w:t>16</w:t>
            </w:r>
            <w:r w:rsidR="005F38BC">
              <w:t xml:space="preserve">: </w:t>
            </w:r>
            <w:r w:rsidR="005F38BC">
              <w:rPr>
                <w:vanish/>
              </w:rPr>
              <w:t xml:space="preserve">TT_53.02 </w:t>
            </w:r>
            <w:r w:rsidR="005F38BC">
              <w:t>Antibody Screen Test Interpretation</w:t>
            </w:r>
            <w:r w:rsidR="00AE2DC1">
              <w:fldChar w:fldCharType="end"/>
            </w:r>
            <w:r>
              <w:t>, discrepancies must be resolved before VBECS verifies the results and adds them to the database. The user may reenter valid results or delete the entries</w:t>
            </w:r>
            <w:r w:rsidR="009874B8">
              <w:t xml:space="preserve"> and start over before saving. </w:t>
            </w:r>
          </w:p>
        </w:tc>
      </w:tr>
      <w:tr w:rsidR="002A21AE">
        <w:tblPrEx>
          <w:tblCellMar>
            <w:top w:w="0" w:type="dxa"/>
            <w:bottom w:w="0" w:type="dxa"/>
          </w:tblCellMar>
        </w:tblPrEx>
        <w:tc>
          <w:tcPr>
            <w:tcW w:w="3240" w:type="dxa"/>
          </w:tcPr>
          <w:p w:rsidR="002A21AE" w:rsidRDefault="002A21AE">
            <w:pPr>
              <w:pStyle w:val="TableTextNumbers"/>
            </w:pPr>
            <w:r>
              <w:t>Enter test results in preparation for updating the database.</w:t>
            </w:r>
            <w:r w:rsidRPr="00B93B42">
              <w:rPr>
                <w:rStyle w:val="StyleTableTextNumbersWhite1Char"/>
              </w:rPr>
              <w:t xml:space="preserve"> </w:t>
            </w:r>
          </w:p>
        </w:tc>
        <w:tc>
          <w:tcPr>
            <w:tcW w:w="6120" w:type="dxa"/>
          </w:tcPr>
          <w:p w:rsidR="002A21AE" w:rsidRDefault="002A21AE">
            <w:pPr>
              <w:pStyle w:val="TableTextBullet"/>
            </w:pPr>
            <w:r>
              <w:t>Saves the data.</w:t>
            </w:r>
          </w:p>
        </w:tc>
      </w:tr>
      <w:tr w:rsidR="002A21AE">
        <w:tblPrEx>
          <w:tblCellMar>
            <w:top w:w="0" w:type="dxa"/>
            <w:bottom w:w="0" w:type="dxa"/>
          </w:tblCellMar>
        </w:tblPrEx>
        <w:tc>
          <w:tcPr>
            <w:tcW w:w="3240" w:type="dxa"/>
          </w:tcPr>
          <w:p w:rsidR="002A21AE" w:rsidRDefault="002A21AE">
            <w:pPr>
              <w:pStyle w:val="TableTextNumbers"/>
            </w:pPr>
            <w:r>
              <w:t xml:space="preserve">Click </w:t>
            </w:r>
            <w:r>
              <w:rPr>
                <w:b/>
              </w:rPr>
              <w:t xml:space="preserve">OK </w:t>
            </w:r>
            <w:r>
              <w:t xml:space="preserve">to </w:t>
            </w:r>
            <w:r w:rsidR="0095563F">
              <w:t xml:space="preserve">save, and </w:t>
            </w:r>
            <w:r w:rsidR="0095563F" w:rsidRPr="0095563F">
              <w:rPr>
                <w:b/>
              </w:rPr>
              <w:t>OK</w:t>
            </w:r>
            <w:r w:rsidR="0095563F">
              <w:t xml:space="preserve"> to confirm and </w:t>
            </w:r>
            <w:r>
              <w:t xml:space="preserve">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rsidR="002A21AE" w:rsidRDefault="002A21AE">
            <w:pPr>
              <w:pStyle w:val="TableText"/>
            </w:pPr>
          </w:p>
        </w:tc>
      </w:tr>
    </w:tbl>
    <w:p w:rsidR="00AC2D9E" w:rsidRDefault="00AC2D9E">
      <w:pPr>
        <w:pStyle w:val="Heading3"/>
      </w:pPr>
    </w:p>
    <w:p w:rsidR="002A21AE" w:rsidRDefault="00AC2D9E">
      <w:pPr>
        <w:pStyle w:val="Heading3"/>
      </w:pPr>
      <w:r>
        <w:br w:type="page"/>
      </w:r>
      <w:bookmarkStart w:id="485" w:name="_Toc459900147"/>
      <w:r w:rsidR="002A21AE">
        <w:lastRenderedPageBreak/>
        <w:t>Patient Testing: Record a Direct Antiglobulin Test</w:t>
      </w:r>
      <w:bookmarkEnd w:id="485"/>
      <w:r w:rsidR="002A21AE">
        <w:fldChar w:fldCharType="begin"/>
      </w:r>
      <w:r w:rsidR="002A21AE">
        <w:instrText xml:space="preserve"> XE </w:instrText>
      </w:r>
      <w:r w:rsidR="00FA7E65">
        <w:instrText>“</w:instrText>
      </w:r>
      <w:r w:rsidR="002A21AE">
        <w:instrText>Patient Testing\: Record a Direct Antiglobulin Test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UC_54</w:t>
      </w:r>
    </w:p>
    <w:p w:rsidR="002A21AE" w:rsidRDefault="002A21AE" w:rsidP="00FA7E65">
      <w:pPr>
        <w:pStyle w:val="BodyText"/>
      </w:pPr>
      <w:r>
        <w:t xml:space="preserve">The user records observed results when performing a Direct Antiglobulin Test (DAT). </w:t>
      </w:r>
    </w:p>
    <w:p w:rsidR="002A21AE" w:rsidRDefault="002A21AE">
      <w:pPr>
        <w:pStyle w:val="Heading4"/>
      </w:pPr>
      <w:r>
        <w:t>Assumptions</w:t>
      </w:r>
      <w:r>
        <w:rPr>
          <w:b w:val="0"/>
        </w:rPr>
        <w:t xml:space="preserve"> </w:t>
      </w:r>
    </w:p>
    <w:p w:rsidR="002A21AE" w:rsidRDefault="002A21AE">
      <w:pPr>
        <w:pStyle w:val="ListBullet"/>
      </w:pPr>
      <w:r>
        <w:t xml:space="preserve">A CPRS order exists that includes a DAT, which the user may also order as a reflex patient test. </w:t>
      </w:r>
    </w:p>
    <w:p w:rsidR="002A21AE" w:rsidRDefault="002A21AE">
      <w:pPr>
        <w:pStyle w:val="ListBullet"/>
      </w:pPr>
      <w:r>
        <w:t xml:space="preserve">The user is testing a patient specimen in Patient Testing: Record Patient Test Results. </w:t>
      </w:r>
    </w:p>
    <w:p w:rsidR="002A21AE" w:rsidRDefault="002A21AE">
      <w:pPr>
        <w:pStyle w:val="ListBullet"/>
      </w:pPr>
      <w:r>
        <w:t>VBECS is configured to accommodate the DAT as part of a Type &amp; Screen (TAS).</w:t>
      </w:r>
    </w:p>
    <w:p w:rsidR="002A21AE" w:rsidRDefault="002A21AE">
      <w:pPr>
        <w:pStyle w:val="Heading4"/>
      </w:pPr>
      <w:r>
        <w:t xml:space="preserve">Outcome </w:t>
      </w:r>
    </w:p>
    <w:p w:rsidR="002A21AE" w:rsidRDefault="002A21AE">
      <w:pPr>
        <w:pStyle w:val="ListBullet"/>
      </w:pPr>
      <w:r>
        <w:t>When a DAT is ordered as a stand-alone test, VBECS changes the task status to “completed” and triggers the generation of a message to CPRS that the order is complete.</w:t>
      </w:r>
    </w:p>
    <w:p w:rsidR="002A21AE" w:rsidRDefault="002A21AE">
      <w:pPr>
        <w:pStyle w:val="Heading4"/>
      </w:pPr>
      <w:r>
        <w:t>Limitations and Restrictions</w:t>
      </w:r>
      <w:r>
        <w:rPr>
          <w:b w:val="0"/>
        </w:rPr>
        <w:t xml:space="preserve"> </w:t>
      </w:r>
    </w:p>
    <w:p w:rsidR="002A21AE" w:rsidRDefault="002A21AE">
      <w:pPr>
        <w:pStyle w:val="ListBullet"/>
      </w:pPr>
      <w:r>
        <w:t>VBECS does not check whether the lot and vial numbers selected for the positive control cells are different from those of the negative control cells.</w:t>
      </w:r>
    </w:p>
    <w:p w:rsidR="002A21AE" w:rsidRDefault="002A21AE">
      <w:pPr>
        <w:pStyle w:val="Heading4"/>
      </w:pPr>
      <w:r>
        <w:t xml:space="preserve">Additional Information </w:t>
      </w:r>
    </w:p>
    <w:p w:rsidR="002A21AE" w:rsidRDefault="002A21AE">
      <w:pPr>
        <w:pStyle w:val="ListBullet"/>
      </w:pPr>
      <w:r>
        <w:rPr>
          <w:rFonts w:ascii="Arial" w:hAnsi="Arial" w:cs="Arial"/>
          <w:vanish/>
          <w:spacing w:val="0"/>
          <w:sz w:val="18"/>
        </w:rPr>
        <w:t xml:space="preserve">BR_28.11 </w:t>
      </w:r>
      <w:r>
        <w:t>The site settings determine which reagent types and lot numbers are available.</w:t>
      </w:r>
    </w:p>
    <w:p w:rsidR="002A21AE" w:rsidRDefault="002A21AE">
      <w:pPr>
        <w:pStyle w:val="ListBullet"/>
      </w:pPr>
      <w:r>
        <w:t xml:space="preserve">VBECS checks the rack for the DAT reagents in use. When the rack testing does not include Poly AHG, Anti-IgG, or anti-complement, VBECS displays additional positive and negative control rows with the test grid for the DAT sera. </w:t>
      </w:r>
    </w:p>
    <w:p w:rsidR="002A21AE" w:rsidRDefault="002A21AE">
      <w:pPr>
        <w:pStyle w:val="ListBullet"/>
      </w:pPr>
      <w:r>
        <w:rPr>
          <w:rFonts w:ascii="Arial" w:hAnsi="Arial" w:cs="Arial"/>
          <w:vanish/>
          <w:spacing w:val="0"/>
          <w:sz w:val="18"/>
        </w:rPr>
        <w:t xml:space="preserve">BR_41.25 </w:t>
      </w:r>
      <w:r>
        <w:t>The user may select reagent lot numbers for positive and negative control cells: Reverse ABO Typing Cells (Set), A2 cell (vial), Screening Cells (set), Check Cells (vial), Panel (set), and Other (set).</w:t>
      </w:r>
    </w:p>
    <w:p w:rsidR="002A21AE" w:rsidRDefault="002A21AE">
      <w:pPr>
        <w:pStyle w:val="Heading4"/>
      </w:pPr>
      <w:r>
        <w:t xml:space="preserve">User Roles with Access to This Option </w:t>
      </w:r>
    </w:p>
    <w:p w:rsidR="002A21AE" w:rsidRDefault="007934CF">
      <w:pPr>
        <w:pStyle w:val="Roles"/>
      </w:pPr>
      <w:r>
        <w:t>All users</w:t>
      </w:r>
    </w:p>
    <w:p w:rsidR="002A21AE" w:rsidRDefault="002A21AE">
      <w:pPr>
        <w:pStyle w:val="Heading4"/>
      </w:pPr>
      <w:r>
        <w:t>Patient Testing: Record a Direct Antiglobulin Test</w:t>
      </w:r>
    </w:p>
    <w:p w:rsidR="002A21AE" w:rsidRDefault="002A21AE" w:rsidP="00FA7E65">
      <w:pPr>
        <w:pStyle w:val="BodyText"/>
      </w:pPr>
      <w:r>
        <w:t xml:space="preserve">The user performs a DAT on a patient sample. </w:t>
      </w:r>
    </w:p>
    <w:p w:rsidR="002A21AE" w:rsidRDefault="002A21AE" w:rsidP="00FA7E65">
      <w:pPr>
        <w:pStyle w:val="BodyText"/>
      </w:pPr>
      <w:r>
        <w:t>The DAT may generate additional reflex test orders such as elution and antibody identification. VBECS saves the reactions and interpretation in the database as part of the patient’s record.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141448">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141448" w:rsidRDefault="00141448" w:rsidP="00141448">
            <w:pPr>
              <w:pStyle w:val="TableTextNumbers"/>
            </w:pPr>
            <w:r>
              <w:t xml:space="preserve">Select </w:t>
            </w:r>
            <w:r>
              <w:rPr>
                <w:b/>
              </w:rPr>
              <w:t>Patients</w:t>
            </w:r>
            <w:r>
              <w:t xml:space="preserve"> from the main menu.</w:t>
            </w:r>
          </w:p>
          <w:p w:rsidR="00141448" w:rsidRDefault="00141448" w:rsidP="00141448">
            <w:pPr>
              <w:pStyle w:val="TableTextNumbersContinued"/>
            </w:pPr>
          </w:p>
          <w:p w:rsidR="00141448" w:rsidRDefault="00141448" w:rsidP="00141448">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rsidR="00141448" w:rsidRDefault="00141448" w:rsidP="00141448">
            <w:pPr>
              <w:pStyle w:val="TableTextBullet"/>
            </w:pPr>
            <w:r>
              <w:t xml:space="preserve">Displays options for processing patient-related functions. </w:t>
            </w:r>
          </w:p>
          <w:p w:rsidR="00141448" w:rsidRDefault="00141448" w:rsidP="00141448">
            <w:pPr>
              <w:pStyle w:val="TableTextBullet"/>
            </w:pPr>
            <w:r>
              <w:t>Displays the Pending Task List (PTL) in the Diagnostic Tests tab.</w:t>
            </w:r>
          </w:p>
          <w:p w:rsidR="00141448" w:rsidRDefault="00141448" w:rsidP="00141448">
            <w:pPr>
              <w:pStyle w:val="NotesText"/>
            </w:pPr>
          </w:p>
          <w:p w:rsidR="00141448" w:rsidRDefault="00634BFC" w:rsidP="00141448">
            <w:pPr>
              <w:pStyle w:val="TableText"/>
              <w:rPr>
                <w:b/>
                <w:bCs/>
                <w:szCs w:val="18"/>
              </w:rPr>
            </w:pPr>
            <w:r>
              <w:rPr>
                <w:b/>
                <w:bCs/>
                <w:noProof/>
              </w:rPr>
              <mc:AlternateContent>
                <mc:Choice Requires="wps">
                  <w:drawing>
                    <wp:anchor distT="0" distB="0" distL="114300" distR="114300" simplePos="0" relativeHeight="25175398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70" name="Line 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2" o:spid="_x0000_s1026" style="position:absolute;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AO&#10;wmDsFgIAAC4EAAAOAAAAAAAAAAAAAAAAAC4CAABkcnMvZTJvRG9jLnhtbFBLAQItABQABgAIAAAA&#10;IQAXTzAS2wAAAAgBAAAPAAAAAAAAAAAAAAAAAHAEAABkcnMvZG93bnJldi54bWxQSwUGAAAAAAQA&#10;BADzAAAAeAUAAAAA&#10;" strokeweight="1.5pt"/>
                  </w:pict>
                </mc:Fallback>
              </mc:AlternateContent>
            </w:r>
            <w:r w:rsidR="00141448">
              <w:rPr>
                <w:b/>
                <w:bCs/>
                <w:szCs w:val="18"/>
              </w:rPr>
              <w:t>NOTES</w:t>
            </w:r>
          </w:p>
          <w:p w:rsidR="00141448" w:rsidRDefault="00141448" w:rsidP="00141448">
            <w:pPr>
              <w:pStyle w:val="NotesText"/>
            </w:pPr>
          </w:p>
          <w:p w:rsidR="00141448" w:rsidRDefault="00141448" w:rsidP="00141448">
            <w:pPr>
              <w:pStyle w:val="NotesText"/>
            </w:pPr>
            <w:r>
              <w:t>A user may search for specific tasks using search criteria detailed in Pending Task List.</w:t>
            </w:r>
          </w:p>
        </w:tc>
      </w:tr>
      <w:tr w:rsidR="00B1359E">
        <w:tblPrEx>
          <w:tblCellMar>
            <w:top w:w="0" w:type="dxa"/>
            <w:bottom w:w="0" w:type="dxa"/>
          </w:tblCellMar>
        </w:tblPrEx>
        <w:tc>
          <w:tcPr>
            <w:tcW w:w="3240" w:type="dxa"/>
          </w:tcPr>
          <w:p w:rsidR="00B1359E" w:rsidRDefault="00B1359E" w:rsidP="00150254">
            <w:pPr>
              <w:pStyle w:val="TableTextNumbers"/>
            </w:pPr>
            <w:r>
              <w:t xml:space="preserve">Click one to four check boxes in the Pending Task List to select tasks for testing. </w:t>
            </w:r>
          </w:p>
          <w:p w:rsidR="00B1359E" w:rsidRDefault="00B1359E" w:rsidP="00150254">
            <w:pPr>
              <w:pStyle w:val="TableTextNumbersContinued"/>
            </w:pPr>
          </w:p>
          <w:p w:rsidR="00B1359E" w:rsidRDefault="00B1359E" w:rsidP="00150254">
            <w:pPr>
              <w:pStyle w:val="TableTextNumbersContinued"/>
            </w:pPr>
            <w:r>
              <w:t xml:space="preserve">Click </w:t>
            </w:r>
            <w:r>
              <w:rPr>
                <w:b/>
              </w:rPr>
              <w:t>OK</w:t>
            </w:r>
            <w:r>
              <w:t>.</w:t>
            </w:r>
          </w:p>
        </w:tc>
        <w:tc>
          <w:tcPr>
            <w:tcW w:w="6120" w:type="dxa"/>
          </w:tcPr>
          <w:p w:rsidR="00B1359E" w:rsidRDefault="00B1359E" w:rsidP="00150254">
            <w:pPr>
              <w:pStyle w:val="TableTextBullet"/>
            </w:pPr>
            <w:r>
              <w:t>Displays patient names and associated task information.</w:t>
            </w:r>
          </w:p>
        </w:tc>
      </w:tr>
      <w:tr w:rsidR="002A21AE">
        <w:tblPrEx>
          <w:tblCellMar>
            <w:top w:w="0" w:type="dxa"/>
            <w:bottom w:w="0" w:type="dxa"/>
          </w:tblCellMar>
        </w:tblPrEx>
        <w:tc>
          <w:tcPr>
            <w:tcW w:w="3240" w:type="dxa"/>
          </w:tcPr>
          <w:p w:rsidR="002A21AE" w:rsidRDefault="00616B9E">
            <w:pPr>
              <w:pStyle w:val="TableTextNumbers"/>
            </w:pPr>
            <w:r>
              <w:t>When QC was not performed, e</w:t>
            </w:r>
            <w:r w:rsidR="002A21AE">
              <w:t>nter a lot number for the antiserum.</w:t>
            </w:r>
          </w:p>
        </w:tc>
        <w:tc>
          <w:tcPr>
            <w:tcW w:w="6120" w:type="dxa"/>
          </w:tcPr>
          <w:p w:rsidR="00BE013F" w:rsidRDefault="00BE013F" w:rsidP="00BE013F">
            <w:pPr>
              <w:pStyle w:val="TableTextBullet"/>
            </w:pPr>
            <w:r>
              <w:t xml:space="preserve">Displays reaction result grids for DAT tests for each patient. </w:t>
            </w:r>
          </w:p>
          <w:p w:rsidR="00BE013F" w:rsidRDefault="00BE013F" w:rsidP="00BE013F">
            <w:pPr>
              <w:pStyle w:val="TableTextBullet"/>
            </w:pPr>
            <w:r>
              <w:t>Lists the AHG antisera related to the test.</w:t>
            </w:r>
          </w:p>
          <w:p w:rsidR="002A21AE" w:rsidRDefault="002A21AE">
            <w:pPr>
              <w:pStyle w:val="TableTextBullet"/>
            </w:pPr>
            <w:r>
              <w:t xml:space="preserve">Displays information about the lot number, including the manufacturer </w:t>
            </w:r>
            <w:r>
              <w:lastRenderedPageBreak/>
              <w:t xml:space="preserve">and expiration date. </w:t>
            </w:r>
          </w:p>
          <w:p w:rsidR="002A21AE" w:rsidRDefault="002A21AE">
            <w:pPr>
              <w:pStyle w:val="TableTextBullet"/>
            </w:pPr>
            <w:r>
              <w:t>Prompts the user to select the correct antisera and possibly the control cell entry.</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7068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69" name="Lin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5" o:spid="_x0000_s1026" style="position:absolute;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TbPFg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AD&#10;bTbPFgIAAC0EAAAOAAAAAAAAAAAAAAAAAC4CAABkcnMvZTJvRG9jLnhtbFBLAQItABQABgAIAAAA&#10;IQAXTzAS2wAAAAgBAAAPAAAAAAAAAAAAAAAAAHAEAABkcnMvZG93bnJldi54bWxQSwUGAAAAAAQA&#10;BADzAAAAeAUAAAAA&#10;" strokeweight="1.5pt"/>
                  </w:pict>
                </mc:Fallback>
              </mc:AlternateContent>
            </w:r>
            <w:r w:rsidR="002A21AE">
              <w:rPr>
                <w:b/>
                <w:bCs/>
                <w:szCs w:val="18"/>
              </w:rPr>
              <w:t>NOTES</w:t>
            </w:r>
          </w:p>
          <w:p w:rsidR="002A21AE" w:rsidRDefault="002A21AE">
            <w:pPr>
              <w:pStyle w:val="TableText"/>
            </w:pPr>
          </w:p>
          <w:p w:rsidR="00B14E03" w:rsidRDefault="00B14E03" w:rsidP="00B14E03">
            <w:pPr>
              <w:pStyle w:val="NotesText"/>
            </w:pPr>
            <w:r>
              <w:rPr>
                <w:rFonts w:cs="Arial"/>
                <w:vanish/>
              </w:rPr>
              <w:t xml:space="preserve">BR_41.25 </w:t>
            </w:r>
            <w:r>
              <w:t xml:space="preserve">Reagent lot numbers that are selectable for positive and negative control cells: </w:t>
            </w:r>
          </w:p>
          <w:p w:rsidR="00B14E03" w:rsidRDefault="00B14E03" w:rsidP="00B14E03">
            <w:pPr>
              <w:pStyle w:val="NotesTextBullet"/>
            </w:pPr>
            <w:r>
              <w:t>Reverse ABO Typing Cells (set)</w:t>
            </w:r>
          </w:p>
          <w:p w:rsidR="00B14E03" w:rsidRDefault="00B14E03" w:rsidP="00B14E03">
            <w:pPr>
              <w:pStyle w:val="NotesTextBullet"/>
            </w:pPr>
            <w:r>
              <w:t>A2 cell (vial)</w:t>
            </w:r>
          </w:p>
          <w:p w:rsidR="00B14E03" w:rsidRDefault="00B14E03" w:rsidP="00B14E03">
            <w:pPr>
              <w:pStyle w:val="NotesTextBullet"/>
            </w:pPr>
            <w:r>
              <w:t>Screening Cells (set)</w:t>
            </w:r>
          </w:p>
          <w:p w:rsidR="00B14E03" w:rsidRDefault="00B14E03" w:rsidP="00B14E03">
            <w:pPr>
              <w:pStyle w:val="NotesTextBullet"/>
            </w:pPr>
            <w:r>
              <w:t>Check Cells (vial)</w:t>
            </w:r>
          </w:p>
          <w:p w:rsidR="00B14E03" w:rsidRDefault="00B14E03" w:rsidP="00B14E03">
            <w:pPr>
              <w:pStyle w:val="NotesTextBullet"/>
            </w:pPr>
            <w:r>
              <w:t>Panel (set)</w:t>
            </w:r>
          </w:p>
          <w:p w:rsidR="00B14E03" w:rsidRDefault="00B14E03" w:rsidP="00B14E03">
            <w:pPr>
              <w:pStyle w:val="NotesTextBullet"/>
            </w:pPr>
            <w:r>
              <w:t>Other (set)</w:t>
            </w:r>
          </w:p>
          <w:p w:rsidR="00B14E03" w:rsidRDefault="00B14E03">
            <w:pPr>
              <w:pStyle w:val="NotesText"/>
              <w:rPr>
                <w:rFonts w:cs="Arial"/>
                <w:vanish/>
              </w:rPr>
            </w:pPr>
          </w:p>
          <w:p w:rsidR="00BE013F" w:rsidRDefault="00BE013F">
            <w:pPr>
              <w:pStyle w:val="NotesText"/>
            </w:pPr>
            <w:r>
              <w:rPr>
                <w:rFonts w:cs="Arial"/>
                <w:vanish/>
              </w:rPr>
              <w:t xml:space="preserve">BR_54.02 </w:t>
            </w:r>
            <w:r>
              <w:t>VBECS lists the AHG antisera related to the test from previously entered inventory. When VBECS displays multiple DAT tests or the full battery, the user selects each DAT serum separately by repeating this step until all are selected.</w:t>
            </w:r>
          </w:p>
          <w:p w:rsidR="00BE013F" w:rsidRDefault="00BE013F">
            <w:pPr>
              <w:pStyle w:val="NotesText"/>
            </w:pPr>
          </w:p>
          <w:p w:rsidR="002A21AE" w:rsidRDefault="00BE013F">
            <w:pPr>
              <w:pStyle w:val="NotesText"/>
            </w:pPr>
            <w:r w:rsidRPr="00BE013F">
              <w:rPr>
                <w:vanish/>
                <w:szCs w:val="18"/>
              </w:rPr>
              <w:t>B</w:t>
            </w:r>
            <w:r w:rsidR="002A21AE">
              <w:rPr>
                <w:rFonts w:cs="Arial"/>
                <w:vanish/>
              </w:rPr>
              <w:t xml:space="preserve">R_54.06 </w:t>
            </w:r>
            <w:r w:rsidR="002A21AE">
              <w:t>Each positive and negative control cell requires the user to select a lot number.</w:t>
            </w:r>
          </w:p>
          <w:p w:rsidR="002A21AE" w:rsidRDefault="002A21AE">
            <w:pPr>
              <w:pStyle w:val="NotesText"/>
            </w:pPr>
          </w:p>
          <w:p w:rsidR="002A21AE" w:rsidRDefault="002A21AE">
            <w:pPr>
              <w:pStyle w:val="NotesText"/>
            </w:pPr>
            <w:r>
              <w:rPr>
                <w:vanish/>
                <w:szCs w:val="18"/>
              </w:rPr>
              <w:t>BR_54.04</w:t>
            </w:r>
            <w:r w:rsidR="009078D6">
              <w:rPr>
                <w:vanish/>
                <w:szCs w:val="18"/>
              </w:rPr>
              <w:t>,</w:t>
            </w:r>
            <w:r>
              <w:rPr>
                <w:vanish/>
                <w:szCs w:val="18"/>
              </w:rPr>
              <w:t xml:space="preserve"> BR_54.05 </w:t>
            </w:r>
            <w:r>
              <w:t>VBECS displays options to select the lot number of the antisera and check cells used for QC of the antiglobulin sera. The user must select complement check cells for Anti-Complement AHG tests.</w:t>
            </w:r>
          </w:p>
          <w:p w:rsidR="002A21AE" w:rsidRDefault="002A21AE">
            <w:pPr>
              <w:pStyle w:val="NotesText"/>
            </w:pPr>
          </w:p>
          <w:p w:rsidR="002A21AE" w:rsidRDefault="002A21AE">
            <w:pPr>
              <w:pStyle w:val="NotesText"/>
            </w:pPr>
            <w:r>
              <w:rPr>
                <w:rFonts w:cs="Arial"/>
                <w:vanish/>
              </w:rPr>
              <w:t>BR_28.12</w:t>
            </w:r>
            <w:r w:rsidR="004F5F28" w:rsidRPr="00323744">
              <w:rPr>
                <w:rStyle w:val="BullhornChar"/>
              </w:rPr>
              <w:t></w:t>
            </w:r>
            <w:r w:rsidR="004F5F28">
              <w:rPr>
                <w:rFonts w:ascii="Webdings" w:hAnsi="Webdings"/>
              </w:rPr>
              <w:t></w:t>
            </w:r>
            <w:r>
              <w:t xml:space="preserve">VBECS compares the </w:t>
            </w:r>
            <w:r w:rsidR="00FE64A7">
              <w:t xml:space="preserve">control cell </w:t>
            </w:r>
            <w:r>
              <w:t xml:space="preserve">results entered to those of the previous day for the same rack number and alerts the user when there is a decrease in reactivity of 2 or more within the acceptable limits for each reagent type by lot number. VBECS </w:t>
            </w:r>
            <w:r>
              <w:rPr>
                <w:noProof/>
                <w:color w:val="000000"/>
              </w:rPr>
              <w:t xml:space="preserve">emits an audible alert, warns that there is a </w:t>
            </w:r>
            <w:r w:rsidR="00191CFE">
              <w:rPr>
                <w:noProof/>
                <w:color w:val="000000"/>
              </w:rPr>
              <w:t>decrease</w:t>
            </w:r>
            <w:r>
              <w:t xml:space="preserve"> in reagent reactivity of two or more, and asks whether the user wishes to continue to use this vial.</w:t>
            </w:r>
          </w:p>
          <w:p w:rsidR="002A21AE" w:rsidRDefault="002A21AE">
            <w:pPr>
              <w:pStyle w:val="NotesText"/>
            </w:pPr>
          </w:p>
          <w:p w:rsidR="002A21AE" w:rsidRDefault="002A21AE">
            <w:pPr>
              <w:pStyle w:val="NotesText"/>
            </w:pPr>
            <w:r>
              <w:rPr>
                <w:b/>
              </w:rPr>
              <w:t>Yes</w:t>
            </w:r>
            <w:r>
              <w:t xml:space="preserve"> allows the user to continue, with comment. VBECS captures details for inclusion in an Exception Report (exception type: QC decrease reagent reactivity </w:t>
            </w:r>
            <w:r w:rsidR="00DE5EF3" w:rsidRPr="00DE5EF3">
              <w:rPr>
                <w:rStyle w:val="Char"/>
                <w:rFonts w:cs="Arial"/>
                <w:sz w:val="18"/>
                <w:szCs w:val="18"/>
              </w:rPr>
              <w:t>≥</w:t>
            </w:r>
            <w:r w:rsidR="00320118">
              <w:rPr>
                <w:rStyle w:val="Char"/>
                <w:rFonts w:cs="Arial"/>
                <w:sz w:val="18"/>
                <w:szCs w:val="18"/>
              </w:rPr>
              <w:t xml:space="preserve"> </w:t>
            </w:r>
            <w:r>
              <w:t xml:space="preserve">2). </w:t>
            </w:r>
          </w:p>
          <w:p w:rsidR="002A21AE" w:rsidRDefault="002A21AE">
            <w:pPr>
              <w:pStyle w:val="NotesText"/>
            </w:pPr>
          </w:p>
          <w:p w:rsidR="002A21AE" w:rsidRDefault="002A21AE">
            <w:pPr>
              <w:pStyle w:val="NotesText"/>
            </w:pPr>
            <w:r>
              <w:rPr>
                <w:b/>
              </w:rPr>
              <w:t>No</w:t>
            </w:r>
            <w:r>
              <w:t xml:space="preserve"> allows the user to reenter the lot number for this reagent type and allows the approval of this same lot number (different vial) or the entry of a new lot number, returning to the testing worksheet where the user left off. (The user may replace an individual vial that is losing its reactivity with one of the same lot number.) </w:t>
            </w:r>
          </w:p>
          <w:p w:rsidR="002A21AE" w:rsidRDefault="002A21AE">
            <w:pPr>
              <w:pStyle w:val="NotesText"/>
            </w:pPr>
          </w:p>
          <w:p w:rsidR="002A21AE" w:rsidRDefault="002A21AE">
            <w:pPr>
              <w:pStyle w:val="NotesText"/>
            </w:pPr>
            <w:r>
              <w:rPr>
                <w:vanish/>
                <w:szCs w:val="18"/>
              </w:rPr>
              <w:t xml:space="preserve">BR_28.20, BR_28.23 </w:t>
            </w:r>
            <w:r>
              <w:t>When the user-entered test results indicate a satisfactory interpretation, VBECS indicates that testing is satisfactory and allows the user to save the results. VBECS considers the affected QC incomplete until it is retested with satisfactory results. VBECS generates warnings through other options when QC testing is incomplete.</w:t>
            </w:r>
          </w:p>
          <w:p w:rsidR="002A21AE" w:rsidRDefault="002A21AE">
            <w:pPr>
              <w:pStyle w:val="NotesText"/>
            </w:pPr>
          </w:p>
          <w:p w:rsidR="002A21AE" w:rsidRDefault="002A21AE">
            <w:pPr>
              <w:pStyle w:val="NotesText"/>
            </w:pPr>
            <w:r>
              <w:rPr>
                <w:rFonts w:cs="Arial"/>
                <w:vanish/>
              </w:rPr>
              <w:t>BR_28.24</w:t>
            </w:r>
            <w:r w:rsidR="004F5F28" w:rsidRPr="00323744">
              <w:rPr>
                <w:rStyle w:val="BullhornChar"/>
              </w:rPr>
              <w:t></w:t>
            </w:r>
            <w:r w:rsidR="004F5F28">
              <w:rPr>
                <w:rFonts w:ascii="Webdings" w:hAnsi="Webdings"/>
              </w:rPr>
              <w:t></w:t>
            </w:r>
            <w:r>
              <w:t xml:space="preserve">VBECS compares the expiration date of the reagent on the selected reagent to the testing date. When the reagent is expired, VBECS emits an audible alert, warns the user and asks whether he still wishes to use this reagent. </w:t>
            </w:r>
            <w:r>
              <w:rPr>
                <w:b/>
              </w:rPr>
              <w:t>Yes</w:t>
            </w:r>
            <w:r>
              <w:t xml:space="preserve"> requires a </w:t>
            </w:r>
            <w:r>
              <w:lastRenderedPageBreak/>
              <w:t>comment and captures details for inclusion in an Exception Report (exception type: expired reagent QC’d).</w:t>
            </w:r>
          </w:p>
          <w:p w:rsidR="002A21AE" w:rsidRDefault="002A21AE">
            <w:pPr>
              <w:pStyle w:val="NotesText"/>
            </w:pPr>
          </w:p>
          <w:p w:rsidR="002A21AE" w:rsidRDefault="002A21AE">
            <w:pPr>
              <w:pStyle w:val="NotesText"/>
            </w:pPr>
            <w:r>
              <w:rPr>
                <w:b/>
              </w:rPr>
              <w:t>No</w:t>
            </w:r>
            <w:r>
              <w:t xml:space="preserve"> removes the unsatisfactory reagent and requires the user to enter a new one. Unsatisfactory lot numbers are never displayed. VBECS captures details for inclusion in an Exception Report (exception type: Expired reagent QC’d).</w:t>
            </w:r>
          </w:p>
          <w:p w:rsidR="002A21AE" w:rsidRDefault="002A21AE">
            <w:pPr>
              <w:pStyle w:val="NotesText"/>
            </w:pPr>
          </w:p>
          <w:p w:rsidR="002A21AE" w:rsidRDefault="002A21AE">
            <w:pPr>
              <w:pStyle w:val="NotesText"/>
            </w:pPr>
            <w:r>
              <w:rPr>
                <w:rFonts w:cs="Arial"/>
                <w:vanish/>
              </w:rPr>
              <w:t xml:space="preserve">BR_54.01 </w:t>
            </w:r>
            <w:r>
              <w:t>When the antisera QC is required, the user verifies the lot numbers, manufacturer name, and expiration date and saves them as part of the QC record for the associated test.</w:t>
            </w:r>
            <w:r>
              <w:tab/>
            </w:r>
          </w:p>
        </w:tc>
      </w:tr>
      <w:tr w:rsidR="002A21AE">
        <w:tblPrEx>
          <w:tblCellMar>
            <w:top w:w="0" w:type="dxa"/>
            <w:bottom w:w="0" w:type="dxa"/>
          </w:tblCellMar>
        </w:tblPrEx>
        <w:tc>
          <w:tcPr>
            <w:tcW w:w="3240" w:type="dxa"/>
          </w:tcPr>
          <w:p w:rsidR="002A21AE" w:rsidRDefault="002A21AE">
            <w:pPr>
              <w:pStyle w:val="TableTextNumbers"/>
            </w:pPr>
            <w:r>
              <w:lastRenderedPageBreak/>
              <w:t>Review and accept the selected reagent information.</w:t>
            </w:r>
          </w:p>
        </w:tc>
        <w:tc>
          <w:tcPr>
            <w:tcW w:w="6120" w:type="dxa"/>
          </w:tcPr>
          <w:p w:rsidR="002A21AE" w:rsidRDefault="002A21AE">
            <w:pPr>
              <w:pStyle w:val="TableTextBullet"/>
            </w:pPr>
            <w:r>
              <w:t>Displays the previously entered information for user review.</w:t>
            </w:r>
          </w:p>
        </w:tc>
      </w:tr>
      <w:tr w:rsidR="002A21AE">
        <w:tblPrEx>
          <w:tblCellMar>
            <w:top w:w="0" w:type="dxa"/>
            <w:bottom w:w="0" w:type="dxa"/>
          </w:tblCellMar>
        </w:tblPrEx>
        <w:tc>
          <w:tcPr>
            <w:tcW w:w="3240" w:type="dxa"/>
          </w:tcPr>
          <w:p w:rsidR="002A21AE" w:rsidRDefault="002A21AE">
            <w:pPr>
              <w:pStyle w:val="TableTextNumbers"/>
            </w:pPr>
            <w:r>
              <w:t xml:space="preserve">Respond to warnings and continue with DAT testing. </w:t>
            </w:r>
          </w:p>
        </w:tc>
        <w:tc>
          <w:tcPr>
            <w:tcW w:w="6120" w:type="dxa"/>
          </w:tcPr>
          <w:p w:rsidR="002A21AE" w:rsidRDefault="002A21AE">
            <w:pPr>
              <w:pStyle w:val="TableTextBullet"/>
            </w:pPr>
            <w:r>
              <w:t>Displays a direct data entry</w:t>
            </w:r>
            <w:r w:rsidR="00917E9F">
              <w:t xml:space="preserve"> (DDE)</w:t>
            </w:r>
            <w:r>
              <w:t xml:space="preserve"> grid for the user to enter serologic reaction results for DAT testing.</w:t>
            </w:r>
          </w:p>
          <w:p w:rsidR="002A21AE" w:rsidRDefault="002A21AE">
            <w:pPr>
              <w:pStyle w:val="TableText"/>
            </w:pPr>
          </w:p>
        </w:tc>
      </w:tr>
      <w:tr w:rsidR="002A21AE">
        <w:tblPrEx>
          <w:tblCellMar>
            <w:top w:w="0" w:type="dxa"/>
            <w:bottom w:w="0" w:type="dxa"/>
          </w:tblCellMar>
        </w:tblPrEx>
        <w:tc>
          <w:tcPr>
            <w:tcW w:w="3240" w:type="dxa"/>
          </w:tcPr>
          <w:p w:rsidR="002A21AE" w:rsidRDefault="002A21AE">
            <w:pPr>
              <w:pStyle w:val="TableTextNumbers"/>
            </w:pPr>
            <w:r>
              <w:t>Enter valid test serologic reactions in the data entry grid.</w:t>
            </w:r>
          </w:p>
        </w:tc>
        <w:tc>
          <w:tcPr>
            <w:tcW w:w="6120" w:type="dxa"/>
          </w:tcPr>
          <w:p w:rsidR="002A21AE" w:rsidRDefault="002A21AE">
            <w:pPr>
              <w:pStyle w:val="TableTextBullet"/>
            </w:pPr>
            <w:r>
              <w:t>Allows the user to enter valid data and test results in the interpretation cells.</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7171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68" name="Line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6" o:spid="_x0000_s1026" style="position:absolute;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ONFQIAAC0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BUZ&#10;440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BR_54.03 </w:t>
            </w:r>
            <w:r>
              <w:t xml:space="preserve">Row validation is established for the interpretation vs. reaction results pattern as </w:t>
            </w:r>
            <w:r w:rsidR="00922AD8">
              <w:t>defined by system rules</w:t>
            </w:r>
            <w:r>
              <w:rPr>
                <w:vanish/>
                <w:szCs w:val="18"/>
              </w:rPr>
              <w:t>TT_54.01 Direct Antiglobulin Testing</w:t>
            </w:r>
            <w:r>
              <w:t>.</w:t>
            </w:r>
          </w:p>
        </w:tc>
      </w:tr>
      <w:tr w:rsidR="002A21AE">
        <w:tblPrEx>
          <w:tblCellMar>
            <w:top w:w="0" w:type="dxa"/>
            <w:bottom w:w="0" w:type="dxa"/>
          </w:tblCellMar>
        </w:tblPrEx>
        <w:tc>
          <w:tcPr>
            <w:tcW w:w="3240" w:type="dxa"/>
          </w:tcPr>
          <w:p w:rsidR="002A21AE" w:rsidRDefault="002A21AE">
            <w:pPr>
              <w:pStyle w:val="TableTextNumbers"/>
            </w:pPr>
            <w:r>
              <w:t>Repeat Step 4 until some or all portions of the test grid for the selected patient are entered. When appropriate, enter the interpretation for the patient DAT testing.</w:t>
            </w:r>
          </w:p>
        </w:tc>
        <w:tc>
          <w:tcPr>
            <w:tcW w:w="6120" w:type="dxa"/>
          </w:tcPr>
          <w:p w:rsidR="002A21AE" w:rsidRDefault="002A21AE">
            <w:pPr>
              <w:pStyle w:val="TableTextBullet"/>
            </w:pPr>
            <w:r>
              <w:t>Prompts the user to confirm that all results were reviewed and are acceptable.</w:t>
            </w:r>
          </w:p>
        </w:tc>
      </w:tr>
      <w:tr w:rsidR="002A21AE">
        <w:tblPrEx>
          <w:tblCellMar>
            <w:top w:w="0" w:type="dxa"/>
            <w:bottom w:w="0" w:type="dxa"/>
          </w:tblCellMar>
        </w:tblPrEx>
        <w:tc>
          <w:tcPr>
            <w:tcW w:w="3240" w:type="dxa"/>
          </w:tcPr>
          <w:p w:rsidR="002A21AE" w:rsidRDefault="002A21AE">
            <w:pPr>
              <w:pStyle w:val="TableTextNumbers"/>
            </w:pPr>
            <w:r>
              <w:t xml:space="preserve">Enter test results in preparation for updating the database. </w:t>
            </w:r>
          </w:p>
        </w:tc>
        <w:tc>
          <w:tcPr>
            <w:tcW w:w="6120" w:type="dxa"/>
          </w:tcPr>
          <w:p w:rsidR="002A21AE" w:rsidRDefault="002A21AE">
            <w:pPr>
              <w:pStyle w:val="TableText"/>
            </w:pPr>
          </w:p>
        </w:tc>
      </w:tr>
      <w:tr w:rsidR="002A21AE">
        <w:tblPrEx>
          <w:tblCellMar>
            <w:top w:w="0" w:type="dxa"/>
            <w:bottom w:w="0" w:type="dxa"/>
          </w:tblCellMar>
        </w:tblPrEx>
        <w:tc>
          <w:tcPr>
            <w:tcW w:w="3240" w:type="dxa"/>
          </w:tcPr>
          <w:p w:rsidR="002A21AE" w:rsidRDefault="002A21AE">
            <w:pPr>
              <w:pStyle w:val="TableTextNumbers"/>
            </w:pPr>
            <w:r>
              <w:t xml:space="preserve">Click </w:t>
            </w:r>
            <w:r>
              <w:rPr>
                <w:b/>
              </w:rPr>
              <w:t xml:space="preserve">OK </w:t>
            </w:r>
            <w:r>
              <w:t xml:space="preserve">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rsidR="002A21AE" w:rsidRDefault="002A21AE">
            <w:pPr>
              <w:pStyle w:val="TableText"/>
            </w:pPr>
          </w:p>
        </w:tc>
      </w:tr>
    </w:tbl>
    <w:p w:rsidR="00AC2D9E" w:rsidRDefault="00AC2D9E">
      <w:pPr>
        <w:pStyle w:val="Heading3"/>
      </w:pPr>
    </w:p>
    <w:p w:rsidR="002A21AE" w:rsidRDefault="00AC2D9E">
      <w:pPr>
        <w:pStyle w:val="Heading3"/>
      </w:pPr>
      <w:r>
        <w:br w:type="page"/>
      </w:r>
      <w:bookmarkStart w:id="486" w:name="_Toc459900148"/>
      <w:r w:rsidR="002A21AE">
        <w:lastRenderedPageBreak/>
        <w:t>Patient Testing: Record a Crossmatch</w:t>
      </w:r>
      <w:bookmarkEnd w:id="486"/>
      <w:r w:rsidR="002A21AE">
        <w:fldChar w:fldCharType="begin"/>
      </w:r>
      <w:r w:rsidR="002A21AE">
        <w:instrText xml:space="preserve"> XE </w:instrText>
      </w:r>
      <w:r w:rsidR="00FA7E65">
        <w:instrText>“</w:instrText>
      </w:r>
      <w:r w:rsidR="002A21AE">
        <w:instrText>Patient Testing\: Record a Crossmatch</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UC_40</w:t>
      </w:r>
    </w:p>
    <w:p w:rsidR="002A21AE" w:rsidRDefault="002A21AE" w:rsidP="00FA7E65">
      <w:pPr>
        <w:pStyle w:val="BodyText"/>
      </w:pPr>
      <w:r>
        <w:t>The user records observed results and interpretations when performing a serologic crossmatch (XM) between a patient and one or more units of blood.</w:t>
      </w:r>
    </w:p>
    <w:p w:rsidR="002A21AE" w:rsidRDefault="002A21AE">
      <w:pPr>
        <w:pStyle w:val="Heading4"/>
      </w:pPr>
      <w:r>
        <w:t>Assumptions</w:t>
      </w:r>
      <w:r>
        <w:rPr>
          <w:b w:val="0"/>
        </w:rPr>
        <w:t xml:space="preserve"> </w:t>
      </w:r>
    </w:p>
    <w:p w:rsidR="002A21AE" w:rsidRDefault="002A21AE">
      <w:pPr>
        <w:pStyle w:val="ListBullet"/>
      </w:pPr>
      <w:r>
        <w:t>A CPRS order exists for a blood component that requires a serologic XM. The patient order and the selected units are in the same division as the user.</w:t>
      </w:r>
    </w:p>
    <w:p w:rsidR="002A21AE" w:rsidRDefault="002A21AE">
      <w:pPr>
        <w:pStyle w:val="ListBullet"/>
      </w:pPr>
      <w:r>
        <w:t xml:space="preserve">A blood unit that contains red blood cells, selected in Select Units, is acceptable for testing, according to the patient’s current or historic records and ABO/Rh. </w:t>
      </w:r>
    </w:p>
    <w:p w:rsidR="002A21AE" w:rsidRDefault="002A21AE">
      <w:pPr>
        <w:pStyle w:val="ListBullet"/>
      </w:pPr>
      <w:r>
        <w:t xml:space="preserve">A current specimen was accepted and is in process for ABO/Rh and </w:t>
      </w:r>
      <w:r w:rsidR="008E2E30">
        <w:t>Antibody Screen Test (ABS)</w:t>
      </w:r>
      <w:r>
        <w:t>, or was previously completed and is not expired.</w:t>
      </w:r>
    </w:p>
    <w:p w:rsidR="002A21AE" w:rsidRDefault="002A21AE">
      <w:pPr>
        <w:pStyle w:val="Heading4"/>
      </w:pPr>
      <w:r>
        <w:t xml:space="preserve">Outcome </w:t>
      </w:r>
    </w:p>
    <w:p w:rsidR="002A21AE" w:rsidRDefault="002A21AE">
      <w:pPr>
        <w:pStyle w:val="ListBullet"/>
      </w:pPr>
      <w:r>
        <w:t xml:space="preserve">When patient Transfusion Requirements (TRs), if any, are fulfilled and a user enters a </w:t>
      </w:r>
      <w:r w:rsidR="00045ED7">
        <w:t xml:space="preserve">compatible </w:t>
      </w:r>
      <w:r>
        <w:t>XM interpretation, VBECS makes units available for generating the Blood Transfusion Record Form (BTRF), for printing the Caution Tag, and for issue to the patient.</w:t>
      </w:r>
    </w:p>
    <w:p w:rsidR="002A21AE" w:rsidRDefault="002A21AE">
      <w:pPr>
        <w:pStyle w:val="ListBullet"/>
      </w:pPr>
      <w:r>
        <w:t>When a user enters an unacceptable XM interpretation, VBECS releases the selected units from the patient.</w:t>
      </w:r>
    </w:p>
    <w:p w:rsidR="002A21AE" w:rsidRDefault="002A21AE">
      <w:pPr>
        <w:pStyle w:val="Heading4"/>
      </w:pPr>
      <w:r>
        <w:t>Limitations and Restrictions</w:t>
      </w:r>
      <w:r>
        <w:rPr>
          <w:b w:val="0"/>
        </w:rPr>
        <w:t xml:space="preserve"> </w:t>
      </w:r>
    </w:p>
    <w:p w:rsidR="002A21AE" w:rsidRDefault="002A21AE">
      <w:pPr>
        <w:pStyle w:val="ListBullet"/>
      </w:pPr>
      <w:r>
        <w:rPr>
          <w:rFonts w:ascii="Arial" w:hAnsi="Arial" w:cs="Arial"/>
          <w:vanish/>
          <w:spacing w:val="0"/>
          <w:sz w:val="18"/>
        </w:rPr>
        <w:t xml:space="preserve">BR_40.01 </w:t>
      </w:r>
      <w:r>
        <w:t>The specimen associated with testing must have an expiration date and time that are later than the testing date and time entered in Patient Testing: Record Patient Test Results. When this is not the case, VBECS warns that the patient specimen expired. There is no override.</w:t>
      </w:r>
    </w:p>
    <w:p w:rsidR="002A21AE" w:rsidRDefault="002A21AE">
      <w:pPr>
        <w:pStyle w:val="ListBullet"/>
      </w:pPr>
      <w:r>
        <w:t xml:space="preserve">This option does not include electronic crossmatch (eXM). </w:t>
      </w:r>
    </w:p>
    <w:p w:rsidR="002A21AE" w:rsidRDefault="002A21AE">
      <w:pPr>
        <w:pStyle w:val="Heading4"/>
      </w:pPr>
      <w:r>
        <w:t xml:space="preserve">Additional Information </w:t>
      </w:r>
    </w:p>
    <w:p w:rsidR="002C3F2F" w:rsidRPr="002C3F2F" w:rsidRDefault="00634BFC" w:rsidP="002C3F2F">
      <w:pPr>
        <w:pStyle w:val="ListBullet"/>
      </w:pPr>
      <w:r>
        <w:rPr>
          <w:noProof/>
        </w:rPr>
        <w:drawing>
          <wp:inline distT="0" distB="0" distL="0" distR="0">
            <wp:extent cx="276225" cy="219075"/>
            <wp:effectExtent l="0" t="0" r="9525" b="9525"/>
            <wp:docPr id="2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002C3F2F">
        <w:t xml:space="preserve"> </w:t>
      </w:r>
      <w:r w:rsidR="002C3F2F" w:rsidRPr="00D52104">
        <w:t>AABB Standards (5.16.1)</w:t>
      </w:r>
      <w:r w:rsidR="002C3F2F">
        <w:t xml:space="preserve"> </w:t>
      </w:r>
      <w:r w:rsidR="002C3F2F" w:rsidRPr="00D52104">
        <w:t>requires a serological XM to detect ABO incompatibility</w:t>
      </w:r>
      <w:r w:rsidR="002C3F2F">
        <w:t>. A</w:t>
      </w:r>
      <w:r w:rsidR="002C3F2F" w:rsidRPr="00D52104">
        <w:t xml:space="preserve"> local policy must be in place if the site is not performing a IS AHG as part of their serologic crossmatch test, manual or using an instrument.</w:t>
      </w:r>
      <w:r w:rsidR="002C3F2F" w:rsidRPr="002C3F2F">
        <w:rPr>
          <w:vanish/>
        </w:rPr>
        <w:t xml:space="preserve"> Defect 362099</w:t>
      </w:r>
    </w:p>
    <w:p w:rsidR="002A21AE" w:rsidRDefault="002A21AE">
      <w:pPr>
        <w:pStyle w:val="ListBullet"/>
      </w:pPr>
      <w:r>
        <w:rPr>
          <w:rFonts w:ascii="Arial" w:hAnsi="Arial" w:cs="Arial"/>
          <w:vanish/>
          <w:spacing w:val="0"/>
          <w:sz w:val="18"/>
        </w:rPr>
        <w:t xml:space="preserve">BR_40.11 </w:t>
      </w:r>
      <w:r>
        <w:t>When the user saves a partially completed XM testing worklist, VBECS does not clear patient entries without results or release them from the worklist, which VBECS saves for completion later.</w:t>
      </w:r>
    </w:p>
    <w:p w:rsidR="002A21AE" w:rsidRDefault="002A21AE">
      <w:pPr>
        <w:pStyle w:val="ListBullet"/>
      </w:pPr>
      <w:r>
        <w:rPr>
          <w:rFonts w:ascii="Arial" w:hAnsi="Arial" w:cs="Arial"/>
          <w:vanish/>
          <w:spacing w:val="0"/>
          <w:sz w:val="18"/>
        </w:rPr>
        <w:t xml:space="preserve">BR_40.16 </w:t>
      </w:r>
      <w:r>
        <w:t xml:space="preserve">When VBECS saves a partially completed XM worksheet, </w:t>
      </w:r>
      <w:r w:rsidR="00CC69D1">
        <w:t xml:space="preserve">it </w:t>
      </w:r>
      <w:r>
        <w:t>maintains a status of “assigned” for selected units until the serologic XM is complete. When VBECS saves the XM test. including interpretation, to the database, it assigns “crossmatched” status to the unit. The user may correct verified patient data only through Invalidate Test Results.</w:t>
      </w:r>
    </w:p>
    <w:p w:rsidR="00D47D4A" w:rsidRPr="00D47D4A" w:rsidRDefault="002A21AE">
      <w:pPr>
        <w:pStyle w:val="ListBullet"/>
        <w:rPr>
          <w:b/>
          <w:bCs/>
        </w:rPr>
      </w:pPr>
      <w:r>
        <w:t>Units that require antigen typing and/or modification to fulfill a component requirement and/or Sickle Cell testing may be crossmatched pending the completion of further processing of the unit.</w:t>
      </w:r>
      <w:r w:rsidR="00D47D4A">
        <w:rPr>
          <w:bCs/>
        </w:rPr>
        <w:t xml:space="preserve"> </w:t>
      </w:r>
    </w:p>
    <w:p w:rsidR="002A21AE" w:rsidRDefault="00D47D4A">
      <w:pPr>
        <w:pStyle w:val="ListBullet"/>
        <w:rPr>
          <w:b/>
          <w:bCs/>
        </w:rPr>
      </w:pPr>
      <w:r>
        <w:rPr>
          <w:bCs/>
        </w:rPr>
        <w:t xml:space="preserve">VBECS does not allow users in a transfusion-only facility to save partially completed worksheets. The user must enter </w:t>
      </w:r>
      <w:r w:rsidR="00A10483" w:rsidRPr="00D47D4A">
        <w:rPr>
          <w:bCs/>
        </w:rPr>
        <w:t>interpretations</w:t>
      </w:r>
      <w:r w:rsidRPr="00D47D4A">
        <w:rPr>
          <w:bCs/>
        </w:rPr>
        <w:t xml:space="preserve"> for all selected units </w:t>
      </w:r>
      <w:r>
        <w:rPr>
          <w:bCs/>
        </w:rPr>
        <w:t>before VBECS enables</w:t>
      </w:r>
      <w:r w:rsidRPr="00D47D4A">
        <w:rPr>
          <w:bCs/>
        </w:rPr>
        <w:t xml:space="preserve"> the OK button</w:t>
      </w:r>
      <w:r>
        <w:rPr>
          <w:bCs/>
        </w:rPr>
        <w:t>.</w:t>
      </w:r>
    </w:p>
    <w:p w:rsidR="002A21AE" w:rsidRDefault="002A21AE">
      <w:pPr>
        <w:pStyle w:val="ListBullet"/>
      </w:pPr>
      <w:r>
        <w:t>XM compatibility is one aspect of blood unit compatibility. VBECS takes into account the known requirements for compatibility is taken into account when the user prints Caution Tags and BTRFs, and includes such issues as antigen negative requirements and component requirements.</w:t>
      </w:r>
    </w:p>
    <w:p w:rsidR="002A21AE" w:rsidRDefault="002A21AE">
      <w:pPr>
        <w:pStyle w:val="Heading4"/>
        <w:rPr>
          <w:b w:val="0"/>
        </w:rPr>
      </w:pPr>
      <w:r>
        <w:t>User Roles with Access to This Option</w:t>
      </w:r>
      <w:r>
        <w:rPr>
          <w:b w:val="0"/>
        </w:rPr>
        <w:t xml:space="preserve"> </w:t>
      </w:r>
    </w:p>
    <w:p w:rsidR="002A21AE" w:rsidRDefault="007934CF">
      <w:pPr>
        <w:pStyle w:val="Roles"/>
      </w:pPr>
      <w:r>
        <w:t>All users</w:t>
      </w:r>
    </w:p>
    <w:p w:rsidR="002A21AE" w:rsidRDefault="002A21AE">
      <w:pPr>
        <w:pStyle w:val="Heading4"/>
      </w:pPr>
      <w:r>
        <w:lastRenderedPageBreak/>
        <w:t>Patient Testing: Record a Crossmatch</w:t>
      </w:r>
    </w:p>
    <w:p w:rsidR="002A21AE" w:rsidRDefault="0044651B" w:rsidP="00FA7E65">
      <w:pPr>
        <w:pStyle w:val="BodyText"/>
      </w:pPr>
      <w:r>
        <w:t>During Select Units, the user selects a blood unit to fill a patient order.</w:t>
      </w:r>
      <w:r w:rsidR="002A21AE">
        <w:t xml:space="preserve"> If</w:t>
      </w:r>
      <w:r w:rsidR="00C170E4">
        <w:t xml:space="preserve"> </w:t>
      </w:r>
      <w:r>
        <w:t>the unit selected</w:t>
      </w:r>
      <w:r w:rsidR="002A21AE">
        <w:t xml:space="preserve"> contains red blood cells</w:t>
      </w:r>
      <w:r w:rsidR="00C170E4">
        <w:t xml:space="preserve"> and </w:t>
      </w:r>
      <w:r w:rsidR="002A21AE">
        <w:t>eXM is not enabled</w:t>
      </w:r>
      <w:r w:rsidR="00C170E4">
        <w:t xml:space="preserve">, or </w:t>
      </w:r>
      <w:r w:rsidR="002A21AE">
        <w:t xml:space="preserve">the patient </w:t>
      </w:r>
      <w:r w:rsidR="00C170E4">
        <w:t xml:space="preserve">or unit does </w:t>
      </w:r>
      <w:r w:rsidR="002A21AE">
        <w:t xml:space="preserve">not qualify, VBECS directs the user to enter serologic XM results. </w:t>
      </w:r>
      <w:r w:rsidR="00EB2CC3">
        <w:t>(When eXM is enabled, the user may select serologic XM.)</w:t>
      </w:r>
    </w:p>
    <w:p w:rsidR="002A21AE" w:rsidRDefault="002A21AE" w:rsidP="00FA7E65">
      <w:pPr>
        <w:pStyle w:val="BodyText"/>
      </w:pPr>
      <w:r>
        <w:t>The user performs the serologic XM test</w:t>
      </w:r>
      <w:r w:rsidR="002064C3">
        <w:t xml:space="preserve"> and records results in VBECS. VBECS monitors the user’s entries and interpretations</w:t>
      </w:r>
      <w:r>
        <w:t xml:space="preserve"> to determine </w:t>
      </w:r>
      <w:r w:rsidR="002064C3">
        <w:t xml:space="preserve">(with the user) </w:t>
      </w:r>
      <w:r>
        <w:t>compatibility for each cr</w:t>
      </w:r>
      <w:r w:rsidR="005548CE">
        <w:t>o</w:t>
      </w:r>
      <w:r>
        <w:t>ssmatched unit.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DA7A2E">
        <w:tblPrEx>
          <w:tblCellMar>
            <w:top w:w="0" w:type="dxa"/>
            <w:bottom w:w="0" w:type="dxa"/>
          </w:tblCellMar>
        </w:tblPrEx>
        <w:trPr>
          <w:cantSplit/>
          <w:tblHeader/>
        </w:trPr>
        <w:tc>
          <w:tcPr>
            <w:tcW w:w="3240" w:type="dxa"/>
            <w:shd w:val="pct30" w:color="auto" w:fill="FFFFFF"/>
            <w:vAlign w:val="bottom"/>
          </w:tcPr>
          <w:p w:rsidR="00DA7A2E" w:rsidRDefault="00DA7A2E" w:rsidP="00566A3F">
            <w:pPr>
              <w:pStyle w:val="TableText"/>
              <w:rPr>
                <w:b/>
              </w:rPr>
            </w:pPr>
            <w:r>
              <w:rPr>
                <w:b/>
              </w:rPr>
              <w:t>User Action</w:t>
            </w:r>
          </w:p>
        </w:tc>
        <w:tc>
          <w:tcPr>
            <w:tcW w:w="6120" w:type="dxa"/>
            <w:shd w:val="pct30" w:color="auto" w:fill="FFFFFF"/>
            <w:vAlign w:val="bottom"/>
          </w:tcPr>
          <w:p w:rsidR="00DA7A2E" w:rsidRDefault="00DA7A2E" w:rsidP="00566A3F">
            <w:pPr>
              <w:pStyle w:val="TableText"/>
              <w:rPr>
                <w:b/>
              </w:rPr>
            </w:pPr>
            <w:r>
              <w:rPr>
                <w:b/>
              </w:rPr>
              <w:t>VBECS</w:t>
            </w:r>
          </w:p>
        </w:tc>
      </w:tr>
      <w:tr w:rsidR="00DA7A2E">
        <w:tblPrEx>
          <w:tblCellMar>
            <w:top w:w="0" w:type="dxa"/>
            <w:bottom w:w="0" w:type="dxa"/>
          </w:tblCellMar>
        </w:tblPrEx>
        <w:tc>
          <w:tcPr>
            <w:tcW w:w="3240" w:type="dxa"/>
          </w:tcPr>
          <w:p w:rsidR="00DA7A2E" w:rsidRDefault="00DA7A2E" w:rsidP="00253B86">
            <w:pPr>
              <w:pStyle w:val="TableTextNumbers"/>
              <w:rPr>
                <w:b/>
              </w:rPr>
            </w:pPr>
            <w:r>
              <w:t xml:space="preserve">Select </w:t>
            </w:r>
            <w:r>
              <w:rPr>
                <w:b/>
              </w:rPr>
              <w:t>Patients</w:t>
            </w:r>
            <w:r>
              <w:t xml:space="preserve"> from the main menu and select </w:t>
            </w:r>
            <w:r>
              <w:rPr>
                <w:b/>
              </w:rPr>
              <w:t>Patient Testing</w:t>
            </w:r>
            <w:r>
              <w:t>, or</w:t>
            </w:r>
          </w:p>
          <w:p w:rsidR="00DA7A2E" w:rsidRDefault="00DA7A2E" w:rsidP="00566A3F">
            <w:pPr>
              <w:pStyle w:val="TableTextNumbersContinued"/>
            </w:pPr>
          </w:p>
          <w:p w:rsidR="00DA7A2E" w:rsidRDefault="00DA7A2E" w:rsidP="00566A3F">
            <w:pPr>
              <w:pStyle w:val="TableTextNumbersContinued"/>
            </w:pPr>
            <w:r>
              <w:t xml:space="preserve">Select </w:t>
            </w:r>
            <w:r>
              <w:rPr>
                <w:b/>
              </w:rPr>
              <w:t>Blood Units</w:t>
            </w:r>
            <w:r>
              <w:t xml:space="preserve"> from the main menu and select </w:t>
            </w:r>
            <w:r>
              <w:rPr>
                <w:b/>
              </w:rPr>
              <w:t>Select Units</w:t>
            </w:r>
            <w:r>
              <w:t>.</w:t>
            </w:r>
          </w:p>
        </w:tc>
        <w:tc>
          <w:tcPr>
            <w:tcW w:w="6120" w:type="dxa"/>
          </w:tcPr>
          <w:p w:rsidR="00DA7A2E" w:rsidRDefault="00DA7A2E" w:rsidP="00566A3F">
            <w:pPr>
              <w:pStyle w:val="TableTextBullet"/>
            </w:pPr>
            <w:r>
              <w:t>Displays options for processing patient-related functions.</w:t>
            </w:r>
          </w:p>
          <w:p w:rsidR="00DA7A2E" w:rsidRDefault="00DA7A2E" w:rsidP="00566A3F">
            <w:pPr>
              <w:pStyle w:val="TableTextBullet"/>
            </w:pPr>
            <w:r>
              <w:t>Displays the Pending Task List (PTL) and PTL search parameters in the Diagnostic Tests tab or in the Component Orders tab.</w:t>
            </w:r>
          </w:p>
        </w:tc>
      </w:tr>
      <w:tr w:rsidR="00DA7A2E">
        <w:tblPrEx>
          <w:tblCellMar>
            <w:top w:w="0" w:type="dxa"/>
            <w:bottom w:w="0" w:type="dxa"/>
          </w:tblCellMar>
        </w:tblPrEx>
        <w:tc>
          <w:tcPr>
            <w:tcW w:w="3240" w:type="dxa"/>
          </w:tcPr>
          <w:p w:rsidR="00DA7A2E" w:rsidRDefault="00DA7A2E" w:rsidP="00253B86">
            <w:pPr>
              <w:pStyle w:val="TableTextNumbers"/>
            </w:pPr>
            <w:r>
              <w:t xml:space="preserve">Enter or select PTL search parameters, if appropriate. </w:t>
            </w:r>
          </w:p>
          <w:p w:rsidR="00DA7A2E" w:rsidRDefault="00DA7A2E" w:rsidP="00566A3F">
            <w:pPr>
              <w:pStyle w:val="TableTextNumbersContinued"/>
            </w:pPr>
          </w:p>
          <w:p w:rsidR="00DA7A2E" w:rsidRDefault="00DA7A2E" w:rsidP="00566A3F">
            <w:pPr>
              <w:pStyle w:val="TableTextNumbersContinued"/>
            </w:pPr>
            <w:r>
              <w:t xml:space="preserve">Click the check boxes in the PTL to select </w:t>
            </w:r>
            <w:r w:rsidR="00810E0A">
              <w:t>one to four</w:t>
            </w:r>
            <w:r>
              <w:t xml:space="preserve"> component orders. </w:t>
            </w:r>
          </w:p>
          <w:p w:rsidR="00DA7A2E" w:rsidRDefault="00DA7A2E" w:rsidP="00566A3F">
            <w:pPr>
              <w:pStyle w:val="TableTextNumbersContinued"/>
            </w:pPr>
          </w:p>
          <w:p w:rsidR="00DA7A2E" w:rsidRDefault="00DA7A2E" w:rsidP="00566A3F">
            <w:pPr>
              <w:pStyle w:val="TableTextNumbersContinued"/>
            </w:pPr>
            <w:r>
              <w:t xml:space="preserve">Click </w:t>
            </w:r>
            <w:r>
              <w:rPr>
                <w:b/>
              </w:rPr>
              <w:t>OK</w:t>
            </w:r>
            <w:r>
              <w:t xml:space="preserve"> to continue.</w:t>
            </w:r>
          </w:p>
        </w:tc>
        <w:tc>
          <w:tcPr>
            <w:tcW w:w="6120" w:type="dxa"/>
          </w:tcPr>
          <w:p w:rsidR="00DA7A2E" w:rsidRDefault="00DA7A2E" w:rsidP="00566A3F">
            <w:pPr>
              <w:pStyle w:val="TableTextBullet"/>
            </w:pPr>
            <w:r>
              <w:t>Displays information for each component order.</w:t>
            </w:r>
          </w:p>
          <w:p w:rsidR="00DA7A2E" w:rsidRDefault="00DA7A2E" w:rsidP="00566A3F">
            <w:pPr>
              <w:pStyle w:val="TableTextBullet"/>
            </w:pPr>
            <w:r>
              <w:t>When the selected order class is RED BLOOD CELLS and the division enabled eXM, evaluates the patient for eXM unit processing.</w:t>
            </w:r>
          </w:p>
          <w:p w:rsidR="00DA7A2E" w:rsidRDefault="00DA7A2E" w:rsidP="00566A3F">
            <w:pPr>
              <w:pStyle w:val="TableText"/>
            </w:pPr>
          </w:p>
          <w:p w:rsidR="00DA7A2E" w:rsidRDefault="00634BFC" w:rsidP="00566A3F">
            <w:pPr>
              <w:pStyle w:val="TableText"/>
              <w:rPr>
                <w:b/>
                <w:bCs/>
                <w:szCs w:val="18"/>
              </w:rPr>
            </w:pPr>
            <w:r>
              <w:rPr>
                <w:b/>
                <w:bCs/>
                <w:noProof/>
              </w:rPr>
              <mc:AlternateContent>
                <mc:Choice Requires="wps">
                  <w:drawing>
                    <wp:anchor distT="0" distB="0" distL="114300" distR="114300" simplePos="0" relativeHeight="25172121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67" name="Lin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6"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fvrFgIAAC4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D8&#10;WfvrFgIAAC4EAAAOAAAAAAAAAAAAAAAAAC4CAABkcnMvZTJvRG9jLnhtbFBLAQItABQABgAIAAAA&#10;IQAXTzAS2wAAAAgBAAAPAAAAAAAAAAAAAAAAAHAEAABkcnMvZG93bnJldi54bWxQSwUGAAAAAAQA&#10;BADzAAAAeAUAAAAA&#10;" strokeweight="1.5pt"/>
                  </w:pict>
                </mc:Fallback>
              </mc:AlternateContent>
            </w:r>
            <w:r w:rsidR="00DA7A2E">
              <w:rPr>
                <w:b/>
                <w:bCs/>
                <w:szCs w:val="18"/>
              </w:rPr>
              <w:t>NOTES</w:t>
            </w:r>
          </w:p>
          <w:p w:rsidR="00DA7A2E" w:rsidRDefault="00DA7A2E" w:rsidP="00566A3F">
            <w:pPr>
              <w:pStyle w:val="NotesText"/>
            </w:pPr>
          </w:p>
          <w:p w:rsidR="00DA7A2E" w:rsidRDefault="00DA7A2E" w:rsidP="00566A3F">
            <w:pPr>
              <w:pStyle w:val="NotesText"/>
            </w:pPr>
            <w:r w:rsidRPr="00896F17">
              <w:rPr>
                <w:rStyle w:val="BullhornChar"/>
              </w:rPr>
              <w:t></w:t>
            </w:r>
            <w:r w:rsidRPr="00C51C45">
              <w:rPr>
                <w:rFonts w:ascii="Webdings" w:hAnsi="Webdings"/>
                <w:szCs w:val="22"/>
              </w:rPr>
              <w:t></w:t>
            </w:r>
            <w:r>
              <w:rPr>
                <w:rFonts w:cs="Arial"/>
                <w:szCs w:val="22"/>
              </w:rPr>
              <w:t xml:space="preserve">See </w:t>
            </w:r>
            <w:r w:rsidR="00302434">
              <w:rPr>
                <w:rFonts w:cs="Arial"/>
                <w:szCs w:val="22"/>
              </w:rPr>
              <w:fldChar w:fldCharType="begin"/>
            </w:r>
            <w:r w:rsidR="00302434">
              <w:rPr>
                <w:rFonts w:cs="Arial"/>
                <w:szCs w:val="22"/>
              </w:rPr>
              <w:instrText xml:space="preserve"> REF _Ref126504413 \h </w:instrText>
            </w:r>
            <w:r w:rsidR="0065062F" w:rsidRPr="00302434">
              <w:rPr>
                <w:rFonts w:cs="Arial"/>
                <w:szCs w:val="22"/>
              </w:rPr>
            </w:r>
            <w:r w:rsidR="00302434">
              <w:rPr>
                <w:rFonts w:cs="Arial"/>
                <w:szCs w:val="22"/>
              </w:rPr>
              <w:fldChar w:fldCharType="separate"/>
            </w:r>
            <w:r w:rsidR="005F38BC">
              <w:t xml:space="preserve">Table </w:t>
            </w:r>
            <w:r w:rsidR="005F38BC">
              <w:rPr>
                <w:noProof/>
              </w:rPr>
              <w:t>11</w:t>
            </w:r>
            <w:r w:rsidR="00302434">
              <w:rPr>
                <w:rFonts w:cs="Arial"/>
                <w:szCs w:val="22"/>
              </w:rPr>
              <w:fldChar w:fldCharType="end"/>
            </w:r>
            <w:r w:rsidR="00302434">
              <w:rPr>
                <w:rFonts w:cs="Arial"/>
                <w:szCs w:val="22"/>
              </w:rPr>
              <w:t xml:space="preserve"> </w:t>
            </w:r>
            <w:r>
              <w:rPr>
                <w:rFonts w:cs="Arial"/>
                <w:szCs w:val="22"/>
              </w:rPr>
              <w:t>for alerts that may occur during this option.</w:t>
            </w:r>
          </w:p>
        </w:tc>
      </w:tr>
      <w:tr w:rsidR="00DA7A2E">
        <w:tblPrEx>
          <w:tblCellMar>
            <w:top w:w="0" w:type="dxa"/>
            <w:bottom w:w="0" w:type="dxa"/>
          </w:tblCellMar>
        </w:tblPrEx>
        <w:tc>
          <w:tcPr>
            <w:tcW w:w="3240" w:type="dxa"/>
          </w:tcPr>
          <w:p w:rsidR="00DA7A2E" w:rsidRDefault="00DA7A2E" w:rsidP="00566A3F">
            <w:pPr>
              <w:pStyle w:val="TableTextNumbers"/>
            </w:pPr>
            <w:r>
              <w:t xml:space="preserve">Click </w:t>
            </w:r>
            <w:r>
              <w:rPr>
                <w:b/>
              </w:rPr>
              <w:t>Add Units</w:t>
            </w:r>
            <w:r>
              <w:t xml:space="preserve"> to add units to the component orders selected</w:t>
            </w:r>
            <w:r w:rsidR="00436668">
              <w:t xml:space="preserve"> (</w:t>
            </w:r>
            <w:r w:rsidR="00436668">
              <w:fldChar w:fldCharType="begin"/>
            </w:r>
            <w:r w:rsidR="00436668">
              <w:instrText xml:space="preserve"> REF _Ref126724700 \h </w:instrText>
            </w:r>
            <w:r w:rsidR="00436668">
              <w:fldChar w:fldCharType="separate"/>
            </w:r>
            <w:r w:rsidR="005F38BC">
              <w:t xml:space="preserve">Figure </w:t>
            </w:r>
            <w:r w:rsidR="005F38BC">
              <w:rPr>
                <w:noProof/>
              </w:rPr>
              <w:t>94</w:t>
            </w:r>
            <w:r w:rsidR="00436668">
              <w:fldChar w:fldCharType="end"/>
            </w:r>
            <w:r w:rsidR="00436668">
              <w:t>)</w:t>
            </w:r>
            <w:r>
              <w:t>.</w:t>
            </w:r>
          </w:p>
        </w:tc>
        <w:tc>
          <w:tcPr>
            <w:tcW w:w="6120" w:type="dxa"/>
          </w:tcPr>
          <w:p w:rsidR="00DA7A2E" w:rsidRDefault="00DA7A2E" w:rsidP="00566A3F">
            <w:pPr>
              <w:pStyle w:val="TableTextBullet"/>
            </w:pPr>
            <w:r>
              <w:t>Searches the database and displays available restricted autologous and directed units that the user must select before selecting allogeneic units of the same ICCBBA component class.</w:t>
            </w:r>
          </w:p>
          <w:p w:rsidR="00DA7A2E" w:rsidRDefault="00DA7A2E" w:rsidP="00566A3F">
            <w:pPr>
              <w:pStyle w:val="TableTextBullet"/>
            </w:pPr>
            <w:r>
              <w:t>Displays the unit ID, product type, unit ABO/Rh, unit expiration date, specimen UID, if applicable, of units assigned to the patient in the division’s blood bank on a different specimen or order. The user may release and reassign the units to the current order.</w:t>
            </w:r>
          </w:p>
          <w:p w:rsidR="00DA7A2E" w:rsidRDefault="00DA7A2E" w:rsidP="00566A3F">
            <w:pPr>
              <w:pStyle w:val="TableTextBullet"/>
            </w:pPr>
            <w:r>
              <w:t>When eXM was configured for the facility, displays the eXM status (eligible or not eligible) for the patient.</w:t>
            </w:r>
          </w:p>
          <w:p w:rsidR="00DA7A2E" w:rsidRDefault="00DA7A2E" w:rsidP="00566A3F">
            <w:pPr>
              <w:pStyle w:val="TableText"/>
            </w:pPr>
          </w:p>
          <w:p w:rsidR="00DA7A2E" w:rsidRDefault="00634BFC" w:rsidP="00566A3F">
            <w:pPr>
              <w:pStyle w:val="TableText"/>
              <w:rPr>
                <w:b/>
                <w:bCs/>
                <w:szCs w:val="18"/>
              </w:rPr>
            </w:pPr>
            <w:r>
              <w:rPr>
                <w:b/>
                <w:bCs/>
                <w:noProof/>
              </w:rPr>
              <mc:AlternateContent>
                <mc:Choice Requires="wps">
                  <w:drawing>
                    <wp:anchor distT="0" distB="0" distL="114300" distR="114300" simplePos="0" relativeHeight="25172224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66" name="Line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7"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VbbFgIAAC4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Ad&#10;TVbbFgIAAC4EAAAOAAAAAAAAAAAAAAAAAC4CAABkcnMvZTJvRG9jLnhtbFBLAQItABQABgAIAAAA&#10;IQAXTzAS2wAAAAgBAAAPAAAAAAAAAAAAAAAAAHAEAABkcnMvZG93bnJldi54bWxQSwUGAAAAAAQA&#10;BADzAAAAeAUAAAAA&#10;" strokeweight="1.5pt"/>
                  </w:pict>
                </mc:Fallback>
              </mc:AlternateContent>
            </w:r>
            <w:r w:rsidR="00DA7A2E">
              <w:rPr>
                <w:b/>
                <w:bCs/>
                <w:szCs w:val="18"/>
              </w:rPr>
              <w:t>NOTES</w:t>
            </w:r>
          </w:p>
          <w:p w:rsidR="00DA7A2E" w:rsidRDefault="00DA7A2E" w:rsidP="00566A3F">
            <w:pPr>
              <w:pStyle w:val="NotesText"/>
            </w:pPr>
          </w:p>
          <w:p w:rsidR="00DA7A2E" w:rsidRDefault="00DA7A2E" w:rsidP="00566A3F">
            <w:pPr>
              <w:pStyle w:val="NotesText"/>
            </w:pPr>
            <w:r w:rsidRPr="00896F17">
              <w:rPr>
                <w:rStyle w:val="BullhornChar"/>
              </w:rPr>
              <w:t></w:t>
            </w:r>
            <w:r w:rsidRPr="00C51C45">
              <w:rPr>
                <w:rFonts w:ascii="Webdings" w:hAnsi="Webdings"/>
                <w:szCs w:val="22"/>
              </w:rPr>
              <w:t></w:t>
            </w:r>
            <w:r w:rsidR="00302434">
              <w:rPr>
                <w:rFonts w:cs="Arial"/>
                <w:szCs w:val="22"/>
              </w:rPr>
              <w:t xml:space="preserve"> See </w:t>
            </w:r>
            <w:r w:rsidR="00302434">
              <w:rPr>
                <w:rFonts w:cs="Arial"/>
                <w:szCs w:val="22"/>
              </w:rPr>
              <w:fldChar w:fldCharType="begin"/>
            </w:r>
            <w:r w:rsidR="00302434">
              <w:rPr>
                <w:rFonts w:cs="Arial"/>
                <w:szCs w:val="22"/>
              </w:rPr>
              <w:instrText xml:space="preserve"> REF _Ref126504413 \h </w:instrText>
            </w:r>
            <w:r w:rsidR="00302434" w:rsidRPr="00302434">
              <w:rPr>
                <w:rFonts w:cs="Arial"/>
                <w:szCs w:val="22"/>
              </w:rPr>
            </w:r>
            <w:r w:rsidR="00302434">
              <w:rPr>
                <w:rFonts w:cs="Arial"/>
                <w:szCs w:val="22"/>
              </w:rPr>
              <w:fldChar w:fldCharType="separate"/>
            </w:r>
            <w:r w:rsidR="005F38BC">
              <w:t xml:space="preserve">Table </w:t>
            </w:r>
            <w:r w:rsidR="005F38BC">
              <w:rPr>
                <w:noProof/>
              </w:rPr>
              <w:t>11</w:t>
            </w:r>
            <w:r w:rsidR="00302434">
              <w:rPr>
                <w:rFonts w:cs="Arial"/>
                <w:szCs w:val="22"/>
              </w:rPr>
              <w:fldChar w:fldCharType="end"/>
            </w:r>
            <w:r w:rsidR="00302434">
              <w:rPr>
                <w:rFonts w:cs="Arial"/>
                <w:szCs w:val="22"/>
              </w:rPr>
              <w:t xml:space="preserve"> for alerts that may occur during this option.</w:t>
            </w:r>
          </w:p>
          <w:p w:rsidR="00DA7A2E" w:rsidRDefault="00DA7A2E" w:rsidP="00566A3F">
            <w:pPr>
              <w:pStyle w:val="NotesText"/>
            </w:pPr>
          </w:p>
          <w:p w:rsidR="00DA7A2E" w:rsidRDefault="00DA7A2E" w:rsidP="00566A3F">
            <w:pPr>
              <w:pStyle w:val="NotesText"/>
            </w:pPr>
            <w:r w:rsidRPr="00D80D5F">
              <w:rPr>
                <w:rFonts w:cs="Arial"/>
                <w:vanish/>
                <w:szCs w:val="18"/>
              </w:rPr>
              <w:t>BR_3.05</w:t>
            </w:r>
            <w:r>
              <w:rPr>
                <w:rFonts w:cs="Arial"/>
                <w:vanish/>
              </w:rPr>
              <w:t xml:space="preserve"> </w:t>
            </w:r>
            <w:r>
              <w:t xml:space="preserve">When no valid ABO exists for the patient, the user may select components, including autologous units: </w:t>
            </w:r>
          </w:p>
          <w:p w:rsidR="00DA7A2E" w:rsidRDefault="00DA7A2E" w:rsidP="00566A3F">
            <w:pPr>
              <w:pStyle w:val="NotesTextBullet"/>
            </w:pPr>
            <w:r>
              <w:t xml:space="preserve">For RBC or WB order: </w:t>
            </w:r>
          </w:p>
          <w:p w:rsidR="00DA7A2E" w:rsidRDefault="00DA7A2E" w:rsidP="00566A3F">
            <w:pPr>
              <w:pStyle w:val="NotesTextBullet1"/>
            </w:pPr>
            <w:r>
              <w:t>Group O, Rh positive or O Rh negative RBC</w:t>
            </w:r>
          </w:p>
          <w:p w:rsidR="00DA7A2E" w:rsidRDefault="00DA7A2E" w:rsidP="00566A3F">
            <w:pPr>
              <w:pStyle w:val="NotesTextBullet1"/>
            </w:pPr>
            <w:r>
              <w:t>WHOLE BLOOD is not selectable</w:t>
            </w:r>
          </w:p>
          <w:p w:rsidR="00DA7A2E" w:rsidRDefault="00DA7A2E" w:rsidP="00566A3F">
            <w:pPr>
              <w:pStyle w:val="NotesTextBullet"/>
            </w:pPr>
            <w:r>
              <w:t>For FFP order only, group AB, Rh positive or Rh negative</w:t>
            </w:r>
            <w:r w:rsidR="00D80D5F">
              <w:t>, or not specified.</w:t>
            </w:r>
          </w:p>
          <w:p w:rsidR="00DA7A2E" w:rsidRDefault="00E31C5D" w:rsidP="00566A3F">
            <w:pPr>
              <w:pStyle w:val="NotesTextBullet"/>
            </w:pPr>
            <w:r>
              <w:t>For PLT, CRYO, or OTHER order, all available units are selectable.</w:t>
            </w:r>
          </w:p>
        </w:tc>
      </w:tr>
      <w:tr w:rsidR="00DA7A2E">
        <w:tblPrEx>
          <w:tblCellMar>
            <w:top w:w="0" w:type="dxa"/>
            <w:bottom w:w="0" w:type="dxa"/>
          </w:tblCellMar>
        </w:tblPrEx>
        <w:tc>
          <w:tcPr>
            <w:tcW w:w="3240" w:type="dxa"/>
          </w:tcPr>
          <w:p w:rsidR="00D20E3E" w:rsidRDefault="00D20E3E" w:rsidP="00D20E3E">
            <w:pPr>
              <w:pStyle w:val="TableTextNumbers"/>
            </w:pPr>
            <w:r>
              <w:t xml:space="preserve">Scan or enter allogeneic units, select compatible units from the Order Group list, or click the </w:t>
            </w:r>
            <w:r w:rsidR="00A6373D">
              <w:rPr>
                <w:b/>
              </w:rPr>
              <w:t>find</w:t>
            </w:r>
            <w:r w:rsidRPr="00D509C6">
              <w:rPr>
                <w:b/>
              </w:rPr>
              <w:t xml:space="preserve"> </w:t>
            </w:r>
            <w:r w:rsidRPr="00D1100E">
              <w:t>button</w:t>
            </w:r>
            <w:r>
              <w:t xml:space="preserve"> to select units.</w:t>
            </w:r>
          </w:p>
          <w:p w:rsidR="00DA7A2E" w:rsidRDefault="00DA7A2E" w:rsidP="00566A3F">
            <w:pPr>
              <w:pStyle w:val="TableTextNumbersContinued"/>
            </w:pPr>
          </w:p>
          <w:p w:rsidR="00DA7A2E" w:rsidRDefault="00DA7A2E" w:rsidP="00566A3F">
            <w:pPr>
              <w:pStyle w:val="TableTextNumbersContinued"/>
            </w:pPr>
            <w:r>
              <w:t>Enter or select a date in the Selection Date field.</w:t>
            </w:r>
            <w:r w:rsidR="00C96BF6">
              <w:t xml:space="preserve"> </w:t>
            </w:r>
            <w:r>
              <w:t>Each unit may have its own selection date and time.</w:t>
            </w:r>
          </w:p>
          <w:p w:rsidR="00DA7A2E" w:rsidRDefault="00DA7A2E" w:rsidP="00566A3F">
            <w:pPr>
              <w:pStyle w:val="TableTextNumbersContinued"/>
            </w:pPr>
          </w:p>
          <w:p w:rsidR="00DA7A2E" w:rsidRDefault="00DA7A2E" w:rsidP="00566A3F">
            <w:pPr>
              <w:pStyle w:val="TableTextNumbersContinued"/>
            </w:pPr>
            <w:r>
              <w:t xml:space="preserve">Click </w:t>
            </w:r>
            <w:r>
              <w:rPr>
                <w:b/>
              </w:rPr>
              <w:t>Add Units</w:t>
            </w:r>
            <w:r>
              <w:t xml:space="preserve"> to display the </w:t>
            </w:r>
            <w:r>
              <w:lastRenderedPageBreak/>
              <w:t>unit selection form.</w:t>
            </w:r>
          </w:p>
          <w:p w:rsidR="00EA2FA8" w:rsidRDefault="00EA2FA8" w:rsidP="00566A3F">
            <w:pPr>
              <w:pStyle w:val="TableTextNumbersContinued"/>
            </w:pPr>
          </w:p>
          <w:p w:rsidR="00EA2FA8" w:rsidRDefault="00EA2FA8" w:rsidP="00566A3F">
            <w:pPr>
              <w:pStyle w:val="TableTextNumbersContinued"/>
            </w:pPr>
            <w:r>
              <w:t>To change the Assigned Date and Assigned By fields, click a unit in the Order Group list.</w:t>
            </w:r>
          </w:p>
        </w:tc>
        <w:tc>
          <w:tcPr>
            <w:tcW w:w="6120" w:type="dxa"/>
          </w:tcPr>
          <w:p w:rsidR="00DA7A2E" w:rsidRDefault="00DA7A2E" w:rsidP="00566A3F">
            <w:pPr>
              <w:pStyle w:val="TableTextBullet"/>
            </w:pPr>
            <w:r>
              <w:lastRenderedPageBreak/>
              <w:t>Maintains a list of selected units. The user may deselect selected units.</w:t>
            </w:r>
          </w:p>
          <w:p w:rsidR="00DA7A2E" w:rsidRDefault="00DA7A2E" w:rsidP="00566A3F">
            <w:pPr>
              <w:pStyle w:val="TableTextBullet"/>
            </w:pPr>
            <w:r>
              <w:t>Evaluates the selected unit:</w:t>
            </w:r>
          </w:p>
          <w:p w:rsidR="00DA7A2E" w:rsidRDefault="00DA7A2E" w:rsidP="00566A3F">
            <w:pPr>
              <w:pStyle w:val="TableTextBullet1"/>
              <w:tabs>
                <w:tab w:val="num" w:pos="648"/>
              </w:tabs>
              <w:ind w:left="648" w:hanging="360"/>
            </w:pPr>
            <w:r>
              <w:t>For the ABO/Rh compatibility of each unit and warns the user.</w:t>
            </w:r>
          </w:p>
          <w:p w:rsidR="00DA7A2E" w:rsidRDefault="00DA7A2E" w:rsidP="00566A3F">
            <w:pPr>
              <w:pStyle w:val="TableTextBullet1"/>
              <w:tabs>
                <w:tab w:val="num" w:pos="648"/>
              </w:tabs>
              <w:ind w:left="648" w:hanging="360"/>
            </w:pPr>
            <w:r>
              <w:t>Against patient Transfusion Requirements (TRs) and warns the user.</w:t>
            </w:r>
          </w:p>
          <w:p w:rsidR="00DA7A2E" w:rsidRDefault="00DA7A2E" w:rsidP="00566A3F">
            <w:pPr>
              <w:pStyle w:val="TableTextBullet1"/>
              <w:tabs>
                <w:tab w:val="num" w:pos="648"/>
              </w:tabs>
              <w:ind w:left="648" w:hanging="360"/>
            </w:pPr>
            <w:r>
              <w:t>For unit antigen negative compatibility and warns the user.</w:t>
            </w:r>
          </w:p>
          <w:p w:rsidR="00DA7A2E" w:rsidRDefault="00DA7A2E" w:rsidP="00566A3F">
            <w:pPr>
              <w:pStyle w:val="TableTextBullet"/>
            </w:pPr>
            <w:r>
              <w:t>Performs additional checks that include days remaining until the unit’s expiration date, the current status, assignments to other patients, quarantine and biohazard indicators, when applied, and associated special testing.</w:t>
            </w:r>
          </w:p>
          <w:p w:rsidR="00DA7A2E" w:rsidRDefault="00DA7A2E" w:rsidP="00566A3F">
            <w:pPr>
              <w:pStyle w:val="TableText"/>
            </w:pPr>
          </w:p>
          <w:p w:rsidR="00DA7A2E" w:rsidRDefault="00634BFC" w:rsidP="00566A3F">
            <w:pPr>
              <w:pStyle w:val="TableText"/>
              <w:rPr>
                <w:b/>
                <w:bCs/>
                <w:szCs w:val="18"/>
              </w:rPr>
            </w:pPr>
            <w:r>
              <w:rPr>
                <w:b/>
                <w:bCs/>
                <w:noProof/>
              </w:rPr>
              <mc:AlternateContent>
                <mc:Choice Requires="wps">
                  <w:drawing>
                    <wp:anchor distT="0" distB="0" distL="114300" distR="114300" simplePos="0" relativeHeight="25172326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65" name="Line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8"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1+FgIAAC4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Bp&#10;eL1+FgIAAC4EAAAOAAAAAAAAAAAAAAAAAC4CAABkcnMvZTJvRG9jLnhtbFBLAQItABQABgAIAAAA&#10;IQAXTzAS2wAAAAgBAAAPAAAAAAAAAAAAAAAAAHAEAABkcnMvZG93bnJldi54bWxQSwUGAAAAAAQA&#10;BADzAAAAeAUAAAAA&#10;" strokeweight="1.5pt"/>
                  </w:pict>
                </mc:Fallback>
              </mc:AlternateContent>
            </w:r>
            <w:r w:rsidR="00DA7A2E">
              <w:rPr>
                <w:b/>
                <w:bCs/>
                <w:szCs w:val="18"/>
              </w:rPr>
              <w:t>NOTES</w:t>
            </w:r>
          </w:p>
          <w:p w:rsidR="00DA7A2E" w:rsidRDefault="00DA7A2E" w:rsidP="00566A3F">
            <w:pPr>
              <w:pStyle w:val="NotesText"/>
            </w:pPr>
          </w:p>
          <w:p w:rsidR="00DA7A2E" w:rsidRDefault="00DA7A2E" w:rsidP="00566A3F">
            <w:pPr>
              <w:pStyle w:val="NotesText"/>
            </w:pPr>
            <w:r w:rsidRPr="00896F17">
              <w:rPr>
                <w:rStyle w:val="BullhornChar"/>
              </w:rPr>
              <w:t></w:t>
            </w:r>
            <w:r w:rsidRPr="00C51C45">
              <w:rPr>
                <w:rFonts w:ascii="Webdings" w:hAnsi="Webdings"/>
                <w:szCs w:val="22"/>
              </w:rPr>
              <w:t></w:t>
            </w:r>
            <w:r w:rsidR="00302434">
              <w:rPr>
                <w:rFonts w:cs="Arial"/>
                <w:szCs w:val="22"/>
              </w:rPr>
              <w:t xml:space="preserve"> See </w:t>
            </w:r>
            <w:r w:rsidR="00302434">
              <w:rPr>
                <w:rFonts w:cs="Arial"/>
                <w:szCs w:val="22"/>
              </w:rPr>
              <w:fldChar w:fldCharType="begin"/>
            </w:r>
            <w:r w:rsidR="00302434">
              <w:rPr>
                <w:rFonts w:cs="Arial"/>
                <w:szCs w:val="22"/>
              </w:rPr>
              <w:instrText xml:space="preserve"> REF _Ref126504413 \h </w:instrText>
            </w:r>
            <w:r w:rsidR="00302434" w:rsidRPr="00302434">
              <w:rPr>
                <w:rFonts w:cs="Arial"/>
                <w:szCs w:val="22"/>
              </w:rPr>
            </w:r>
            <w:r w:rsidR="00302434">
              <w:rPr>
                <w:rFonts w:cs="Arial"/>
                <w:szCs w:val="22"/>
              </w:rPr>
              <w:fldChar w:fldCharType="separate"/>
            </w:r>
            <w:r w:rsidR="005F38BC">
              <w:t xml:space="preserve">Table </w:t>
            </w:r>
            <w:r w:rsidR="005F38BC">
              <w:rPr>
                <w:noProof/>
              </w:rPr>
              <w:t>11</w:t>
            </w:r>
            <w:r w:rsidR="00302434">
              <w:rPr>
                <w:rFonts w:cs="Arial"/>
                <w:szCs w:val="22"/>
              </w:rPr>
              <w:fldChar w:fldCharType="end"/>
            </w:r>
            <w:r w:rsidR="00302434">
              <w:rPr>
                <w:rFonts w:cs="Arial"/>
                <w:szCs w:val="22"/>
              </w:rPr>
              <w:t xml:space="preserve"> for alerts that may occur during this option.</w:t>
            </w:r>
          </w:p>
          <w:p w:rsidR="00DA7A2E" w:rsidRDefault="00DA7A2E" w:rsidP="00566A3F">
            <w:pPr>
              <w:pStyle w:val="NotesText"/>
            </w:pPr>
          </w:p>
          <w:p w:rsidR="00DA7A2E" w:rsidRDefault="00DA7A2E" w:rsidP="00566A3F">
            <w:pPr>
              <w:pStyle w:val="NotesText"/>
            </w:pPr>
            <w:r>
              <w:t xml:space="preserve">The user may accept or edit the current date and time displayed; the date and time must be in the past. </w:t>
            </w:r>
          </w:p>
          <w:p w:rsidR="00DA7A2E" w:rsidRDefault="00DA7A2E" w:rsidP="00566A3F">
            <w:pPr>
              <w:pStyle w:val="NotesText"/>
            </w:pPr>
          </w:p>
          <w:p w:rsidR="00DA7A2E" w:rsidRDefault="00DA7A2E" w:rsidP="00566A3F">
            <w:pPr>
              <w:pStyle w:val="NotesText"/>
            </w:pPr>
            <w:r>
              <w:rPr>
                <w:rFonts w:cs="Arial"/>
                <w:vanish/>
                <w:szCs w:val="18"/>
              </w:rPr>
              <w:t>BR_3.25</w:t>
            </w:r>
            <w:r w:rsidR="005D400B">
              <w:rPr>
                <w:rFonts w:cs="Arial"/>
                <w:vanish/>
                <w:szCs w:val="18"/>
              </w:rPr>
              <w:t>,</w:t>
            </w:r>
            <w:r>
              <w:rPr>
                <w:rFonts w:cs="Arial"/>
                <w:vanish/>
                <w:szCs w:val="18"/>
              </w:rPr>
              <w:t xml:space="preserve"> </w:t>
            </w:r>
            <w:r>
              <w:rPr>
                <w:vanish/>
                <w:szCs w:val="18"/>
              </w:rPr>
              <w:t xml:space="preserve">BR_16.13 </w:t>
            </w:r>
            <w:r>
              <w:t>Restricted (autologous or directed) unit selection eligibility criteria:</w:t>
            </w:r>
          </w:p>
          <w:p w:rsidR="00DA7A2E" w:rsidRDefault="00DA7A2E" w:rsidP="00566A3F">
            <w:pPr>
              <w:pStyle w:val="NotesTextBullet"/>
            </w:pPr>
            <w:r>
              <w:t>Restricted For Patient ID: must match</w:t>
            </w:r>
          </w:p>
          <w:p w:rsidR="00DA7A2E" w:rsidRDefault="00DA7A2E" w:rsidP="00566A3F">
            <w:pPr>
              <w:pStyle w:val="NotesTextBullet"/>
            </w:pPr>
            <w:r>
              <w:t>Restricted For Patient Name: must match</w:t>
            </w:r>
          </w:p>
          <w:p w:rsidR="00DA7A2E" w:rsidRDefault="00DA7A2E" w:rsidP="00566A3F">
            <w:pPr>
              <w:pStyle w:val="NotesTextBullet"/>
            </w:pPr>
            <w:r>
              <w:t xml:space="preserve">Unit expiration date must be in the future. </w:t>
            </w:r>
          </w:p>
          <w:p w:rsidR="00DA7A2E" w:rsidRDefault="00DA7A2E" w:rsidP="00566A3F">
            <w:pPr>
              <w:pStyle w:val="NotesTextBullet"/>
            </w:pPr>
            <w:r>
              <w:t>Component class (transfusion only requires restriction of all units)</w:t>
            </w:r>
          </w:p>
          <w:p w:rsidR="00DA7A2E" w:rsidRDefault="00DA7A2E" w:rsidP="00566A3F">
            <w:pPr>
              <w:pStyle w:val="NotesTextBullet"/>
              <w:numPr>
                <w:ilvl w:val="0"/>
                <w:numId w:val="0"/>
              </w:numPr>
              <w:ind w:left="720"/>
            </w:pPr>
          </w:p>
          <w:p w:rsidR="00DA7A2E" w:rsidRDefault="00DA7A2E" w:rsidP="00566A3F">
            <w:pPr>
              <w:pStyle w:val="NotesText"/>
            </w:pPr>
            <w:r>
              <w:rPr>
                <w:rFonts w:cs="Arial"/>
                <w:vanish/>
              </w:rPr>
              <w:t xml:space="preserve">BR_3.19 </w:t>
            </w:r>
            <w:r>
              <w:t>The criteria for selecting or including an individual unit in a pick list include evaluating a unit for:</w:t>
            </w:r>
          </w:p>
          <w:p w:rsidR="00DA7A2E" w:rsidRDefault="00DA7A2E" w:rsidP="00566A3F">
            <w:pPr>
              <w:pStyle w:val="NotesTextBullet"/>
            </w:pPr>
            <w:r>
              <w:t>Considered substitutable for the order</w:t>
            </w:r>
          </w:p>
          <w:p w:rsidR="00DA7A2E" w:rsidRDefault="00DA7A2E" w:rsidP="00566A3F">
            <w:pPr>
              <w:pStyle w:val="NotesTextBullet"/>
            </w:pPr>
            <w:r>
              <w:t>Same division as the user</w:t>
            </w:r>
          </w:p>
          <w:p w:rsidR="00DA7A2E" w:rsidRDefault="00DA7A2E" w:rsidP="00566A3F">
            <w:pPr>
              <w:pStyle w:val="NotesTextBullet"/>
            </w:pPr>
            <w:r>
              <w:t xml:space="preserve">Current location is in the blood bank </w:t>
            </w:r>
          </w:p>
          <w:p w:rsidR="00DA7A2E" w:rsidRDefault="00DA7A2E" w:rsidP="00566A3F">
            <w:pPr>
              <w:pStyle w:val="NotesTextBullet"/>
            </w:pPr>
            <w:r>
              <w:t>Has no quarantine indicator</w:t>
            </w:r>
          </w:p>
          <w:p w:rsidR="00DA7A2E" w:rsidRDefault="00DA7A2E" w:rsidP="00566A3F">
            <w:pPr>
              <w:pStyle w:val="NotesTextBullet"/>
            </w:pPr>
            <w:r>
              <w:t>Is not already assigned or crossmatched to the patient</w:t>
            </w:r>
          </w:p>
          <w:p w:rsidR="00DA7A2E" w:rsidRDefault="00DA7A2E" w:rsidP="00566A3F">
            <w:pPr>
              <w:pStyle w:val="NotesTextBullet"/>
            </w:pPr>
            <w:r>
              <w:t>Is not “restricted” for a different patient</w:t>
            </w:r>
          </w:p>
          <w:p w:rsidR="00DA7A2E" w:rsidRDefault="00DA7A2E" w:rsidP="00566A3F">
            <w:pPr>
              <w:pStyle w:val="NotesTextBullet"/>
            </w:pPr>
            <w:r>
              <w:t xml:space="preserve">Meets ABO/Rh compatibility requirements specific to the component class </w:t>
            </w:r>
          </w:p>
          <w:p w:rsidR="00DA7A2E" w:rsidRDefault="00DA7A2E" w:rsidP="00566A3F">
            <w:pPr>
              <w:pStyle w:val="NotesTextBullet"/>
            </w:pPr>
            <w:r>
              <w:t>Future expiration date</w:t>
            </w:r>
          </w:p>
          <w:p w:rsidR="00DA7A2E" w:rsidRDefault="00DA7A2E" w:rsidP="00566A3F">
            <w:pPr>
              <w:pStyle w:val="NotesText"/>
            </w:pPr>
          </w:p>
          <w:p w:rsidR="00DA7A2E" w:rsidRDefault="00DA7A2E" w:rsidP="00566A3F">
            <w:pPr>
              <w:pStyle w:val="NotesText"/>
            </w:pPr>
            <w:r>
              <w:rPr>
                <w:rFonts w:cs="Arial"/>
                <w:vanish/>
              </w:rPr>
              <w:t xml:space="preserve">BR_3.04 </w:t>
            </w:r>
            <w:r>
              <w:t>VBECS lists only ABO/Rh compatible units for selection.</w:t>
            </w:r>
          </w:p>
          <w:p w:rsidR="00DA7A2E" w:rsidRDefault="00DA7A2E" w:rsidP="00566A3F">
            <w:pPr>
              <w:pStyle w:val="NotesText"/>
            </w:pPr>
          </w:p>
          <w:p w:rsidR="00DA7A2E" w:rsidRDefault="00DA7A2E" w:rsidP="00566A3F">
            <w:pPr>
              <w:pStyle w:val="NotesText"/>
            </w:pPr>
            <w:r w:rsidRPr="00CC6497">
              <w:rPr>
                <w:rFonts w:cs="Arial"/>
                <w:vanish/>
                <w:color w:val="0000FF"/>
              </w:rPr>
              <w:t>BR_3.11</w:t>
            </w:r>
            <w:r>
              <w:rPr>
                <w:rFonts w:cs="Arial"/>
                <w:vanish/>
              </w:rPr>
              <w:t xml:space="preserve"> </w:t>
            </w:r>
            <w:r>
              <w:t>When ABO/Rh results were not created for the specimen associated with the component order and the order is not designated “emergency issue,” VBECS allows the user to select units using historic records, and notifies the user that ABO/Rh testing must be performed at this division on this patient before any selected units can be issued.</w:t>
            </w:r>
          </w:p>
          <w:p w:rsidR="00DA7A2E" w:rsidRDefault="00DA7A2E" w:rsidP="00566A3F">
            <w:pPr>
              <w:pStyle w:val="NotesText"/>
            </w:pPr>
          </w:p>
          <w:p w:rsidR="00DA7A2E" w:rsidRDefault="00DA7A2E" w:rsidP="00566A3F">
            <w:pPr>
              <w:pStyle w:val="NotesText"/>
            </w:pPr>
            <w:r>
              <w:rPr>
                <w:rFonts w:cs="Arial"/>
                <w:vanish/>
              </w:rPr>
              <w:t xml:space="preserve">BR_3.55 </w:t>
            </w:r>
            <w:r>
              <w:t>VBECS displays and allows the user to complete a pending XM associated with a patient order without a final unit status.</w:t>
            </w:r>
          </w:p>
        </w:tc>
      </w:tr>
      <w:tr w:rsidR="00DA7A2E">
        <w:tblPrEx>
          <w:tblCellMar>
            <w:top w:w="0" w:type="dxa"/>
            <w:bottom w:w="0" w:type="dxa"/>
          </w:tblCellMar>
        </w:tblPrEx>
        <w:tc>
          <w:tcPr>
            <w:tcW w:w="3240" w:type="dxa"/>
          </w:tcPr>
          <w:p w:rsidR="00DA7A2E" w:rsidRDefault="00DA7A2E" w:rsidP="00566A3F">
            <w:pPr>
              <w:pStyle w:val="TableTextNumbers"/>
            </w:pPr>
            <w:r>
              <w:lastRenderedPageBreak/>
              <w:t>Repeat Step 4 until all units are selected.</w:t>
            </w:r>
          </w:p>
        </w:tc>
        <w:tc>
          <w:tcPr>
            <w:tcW w:w="6120" w:type="dxa"/>
          </w:tcPr>
          <w:p w:rsidR="00DA7A2E" w:rsidRDefault="00DA7A2E" w:rsidP="00566A3F">
            <w:pPr>
              <w:pStyle w:val="TableTextBullet"/>
            </w:pPr>
            <w:r>
              <w:t>Requests the user to confirm the list of selected blood units.</w:t>
            </w:r>
          </w:p>
          <w:p w:rsidR="00DA7A2E" w:rsidRDefault="00DA7A2E" w:rsidP="00566A3F">
            <w:pPr>
              <w:pStyle w:val="TableText"/>
            </w:pPr>
          </w:p>
          <w:p w:rsidR="00DA7A2E" w:rsidRDefault="00634BFC" w:rsidP="00566A3F">
            <w:pPr>
              <w:pStyle w:val="TableText"/>
              <w:rPr>
                <w:b/>
                <w:bCs/>
                <w:szCs w:val="18"/>
              </w:rPr>
            </w:pPr>
            <w:r>
              <w:rPr>
                <w:b/>
                <w:bCs/>
                <w:noProof/>
              </w:rPr>
              <mc:AlternateContent>
                <mc:Choice Requires="wps">
                  <w:drawing>
                    <wp:anchor distT="0" distB="0" distL="114300" distR="114300" simplePos="0" relativeHeight="25172531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64" name="Line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0"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BfFgIAAC4EAAAOAAAAZHJzL2Uyb0RvYy54bWysU8GO2jAQvVfqP1i+QxLIUo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DT&#10;MgBfFgIAAC4EAAAOAAAAAAAAAAAAAAAAAC4CAABkcnMvZTJvRG9jLnhtbFBLAQItABQABgAIAAAA&#10;IQAXTzAS2wAAAAgBAAAPAAAAAAAAAAAAAAAAAHAEAABkcnMvZG93bnJldi54bWxQSwUGAAAAAAQA&#10;BADzAAAAeAUAAAAA&#10;" strokeweight="1.5pt"/>
                  </w:pict>
                </mc:Fallback>
              </mc:AlternateContent>
            </w:r>
            <w:r w:rsidR="00DA7A2E">
              <w:rPr>
                <w:b/>
                <w:bCs/>
                <w:szCs w:val="18"/>
              </w:rPr>
              <w:t>NOTES</w:t>
            </w:r>
          </w:p>
          <w:p w:rsidR="00DA7A2E" w:rsidRDefault="00DA7A2E" w:rsidP="00566A3F">
            <w:pPr>
              <w:pStyle w:val="NotesText"/>
            </w:pPr>
          </w:p>
          <w:p w:rsidR="00DA7A2E" w:rsidRDefault="00DA7A2E" w:rsidP="00566A3F">
            <w:pPr>
              <w:pStyle w:val="NotesText"/>
            </w:pPr>
            <w:r>
              <w:t>The user may select or deselect additional units.</w:t>
            </w:r>
          </w:p>
        </w:tc>
      </w:tr>
      <w:tr w:rsidR="00DA7A2E">
        <w:tblPrEx>
          <w:tblCellMar>
            <w:top w:w="0" w:type="dxa"/>
            <w:bottom w:w="0" w:type="dxa"/>
          </w:tblCellMar>
        </w:tblPrEx>
        <w:tc>
          <w:tcPr>
            <w:tcW w:w="3240" w:type="dxa"/>
          </w:tcPr>
          <w:p w:rsidR="00DA7A2E" w:rsidRDefault="00DA7A2E" w:rsidP="00566A3F">
            <w:pPr>
              <w:pStyle w:val="TableTextNumbers"/>
            </w:pPr>
            <w:r>
              <w:t xml:space="preserve">Click </w:t>
            </w:r>
            <w:r>
              <w:rPr>
                <w:b/>
              </w:rPr>
              <w:t>OK</w:t>
            </w:r>
            <w:r>
              <w:t xml:space="preserve"> to confirm the selection of units.</w:t>
            </w:r>
          </w:p>
        </w:tc>
        <w:tc>
          <w:tcPr>
            <w:tcW w:w="6120" w:type="dxa"/>
          </w:tcPr>
          <w:p w:rsidR="00DA7A2E" w:rsidRDefault="00DA7A2E" w:rsidP="00566A3F">
            <w:pPr>
              <w:pStyle w:val="TableTextBullet"/>
            </w:pPr>
            <w:r>
              <w:t xml:space="preserve">Determines whether the units are available for issue or whether they require additional modification and/or testing based on the component class. </w:t>
            </w:r>
          </w:p>
          <w:p w:rsidR="00DA7A2E" w:rsidRDefault="00DA7A2E" w:rsidP="00566A3F">
            <w:pPr>
              <w:pStyle w:val="TableTextBullet"/>
            </w:pPr>
            <w:r>
              <w:t>Updates the database, as appropriate.</w:t>
            </w:r>
          </w:p>
          <w:p w:rsidR="00DA7A2E" w:rsidRDefault="00DA7A2E" w:rsidP="00566A3F">
            <w:pPr>
              <w:pStyle w:val="TableText"/>
            </w:pPr>
          </w:p>
          <w:p w:rsidR="00DA7A2E" w:rsidRDefault="00634BFC" w:rsidP="00566A3F">
            <w:pPr>
              <w:pStyle w:val="TableText"/>
              <w:rPr>
                <w:b/>
                <w:bCs/>
                <w:szCs w:val="18"/>
              </w:rPr>
            </w:pPr>
            <w:r>
              <w:rPr>
                <w:b/>
                <w:bCs/>
                <w:noProof/>
              </w:rPr>
              <mc:AlternateContent>
                <mc:Choice Requires="wps">
                  <w:drawing>
                    <wp:anchor distT="0" distB="0" distL="114300" distR="114300" simplePos="0" relativeHeight="25172428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63" name="Line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9"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cQoFQIAAC4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EfF&#10;xCgVAgAALgQAAA4AAAAAAAAAAAAAAAAALgIAAGRycy9lMm9Eb2MueG1sUEsBAi0AFAAGAAgAAAAh&#10;ABdPMBLbAAAACAEAAA8AAAAAAAAAAAAAAAAAbwQAAGRycy9kb3ducmV2LnhtbFBLBQYAAAAABAAE&#10;APMAAAB3BQAAAAA=&#10;" strokeweight="1.5pt"/>
                  </w:pict>
                </mc:Fallback>
              </mc:AlternateContent>
            </w:r>
            <w:r w:rsidR="00DA7A2E">
              <w:rPr>
                <w:b/>
                <w:bCs/>
                <w:szCs w:val="18"/>
              </w:rPr>
              <w:t>NOTES</w:t>
            </w:r>
          </w:p>
          <w:p w:rsidR="00DA7A2E" w:rsidRDefault="00DA7A2E" w:rsidP="00566A3F">
            <w:pPr>
              <w:pStyle w:val="NotesText"/>
            </w:pPr>
          </w:p>
          <w:p w:rsidR="0021365D" w:rsidRDefault="00DA7A2E" w:rsidP="0021365D">
            <w:pPr>
              <w:pStyle w:val="NotesText"/>
              <w:rPr>
                <w:rFonts w:cs="Arial"/>
                <w:szCs w:val="22"/>
              </w:rPr>
            </w:pPr>
            <w:r w:rsidRPr="00896F17">
              <w:rPr>
                <w:rStyle w:val="BullhornChar"/>
              </w:rPr>
              <w:t></w:t>
            </w:r>
            <w:r w:rsidRPr="00C51C45">
              <w:rPr>
                <w:rFonts w:ascii="Webdings" w:hAnsi="Webdings"/>
                <w:szCs w:val="22"/>
              </w:rPr>
              <w:t></w:t>
            </w:r>
            <w:r>
              <w:rPr>
                <w:rFonts w:cs="Arial"/>
                <w:szCs w:val="22"/>
              </w:rPr>
              <w:t xml:space="preserve">See </w:t>
            </w:r>
            <w:r w:rsidR="00AE2DC1">
              <w:rPr>
                <w:rFonts w:cs="Arial"/>
                <w:szCs w:val="22"/>
              </w:rPr>
              <w:fldChar w:fldCharType="begin"/>
            </w:r>
            <w:r w:rsidR="00AE2DC1">
              <w:rPr>
                <w:rFonts w:cs="Arial"/>
                <w:szCs w:val="22"/>
              </w:rPr>
              <w:instrText xml:space="preserve"> REF _Ref126504413 \h </w:instrText>
            </w:r>
            <w:r w:rsidR="0087272D" w:rsidRPr="00AE2DC1">
              <w:rPr>
                <w:rFonts w:cs="Arial"/>
                <w:szCs w:val="22"/>
              </w:rPr>
            </w:r>
            <w:r w:rsidR="00AE2DC1">
              <w:rPr>
                <w:rFonts w:cs="Arial"/>
                <w:szCs w:val="22"/>
              </w:rPr>
              <w:fldChar w:fldCharType="separate"/>
            </w:r>
            <w:r w:rsidR="005F38BC">
              <w:t xml:space="preserve">Table </w:t>
            </w:r>
            <w:r w:rsidR="005F38BC">
              <w:rPr>
                <w:noProof/>
              </w:rPr>
              <w:t>11</w:t>
            </w:r>
            <w:r w:rsidR="00AE2DC1">
              <w:rPr>
                <w:rFonts w:cs="Arial"/>
                <w:szCs w:val="22"/>
              </w:rPr>
              <w:fldChar w:fldCharType="end"/>
            </w:r>
            <w:r>
              <w:rPr>
                <w:rFonts w:cs="Arial"/>
                <w:szCs w:val="22"/>
              </w:rPr>
              <w:t xml:space="preserve"> for alerts that may occur during this option.</w:t>
            </w:r>
          </w:p>
          <w:p w:rsidR="0021365D" w:rsidRDefault="0021365D" w:rsidP="0021365D">
            <w:pPr>
              <w:pStyle w:val="NotesText"/>
              <w:rPr>
                <w:rFonts w:cs="Arial"/>
                <w:szCs w:val="22"/>
              </w:rPr>
            </w:pPr>
          </w:p>
          <w:p w:rsidR="0021365D" w:rsidRDefault="0021365D" w:rsidP="0021365D">
            <w:pPr>
              <w:pStyle w:val="NotesText"/>
            </w:pPr>
            <w:r>
              <w:rPr>
                <w:vanish/>
                <w:szCs w:val="18"/>
              </w:rPr>
              <w:t xml:space="preserve">BR_3.17, BR_3.27 </w:t>
            </w:r>
            <w:r>
              <w:t xml:space="preserve">When eXM is enabled at the division and blood units require XM, VBECS determines whether the patient and units are eligible for </w:t>
            </w:r>
            <w:r>
              <w:lastRenderedPageBreak/>
              <w:t xml:space="preserve">eXM. All parameters listed in </w:t>
            </w:r>
            <w:r>
              <w:fldChar w:fldCharType="begin"/>
            </w:r>
            <w:r>
              <w:instrText xml:space="preserve"> REF _Ref170004931 \h </w:instrText>
            </w:r>
            <w:r>
              <w:fldChar w:fldCharType="separate"/>
            </w:r>
            <w:r w:rsidR="005F38BC">
              <w:t xml:space="preserve">Appendix </w:t>
            </w:r>
            <w:r w:rsidR="005F38BC">
              <w:rPr>
                <w:noProof/>
              </w:rPr>
              <w:t>B</w:t>
            </w:r>
            <w:r>
              <w:fldChar w:fldCharType="end"/>
            </w:r>
            <w:r>
              <w:t xml:space="preserve">: </w:t>
            </w:r>
            <w:r>
              <w:fldChar w:fldCharType="begin"/>
            </w:r>
            <w:r>
              <w:instrText xml:space="preserve"> REF _Ref317762597 \h </w:instrText>
            </w:r>
            <w:r>
              <w:fldChar w:fldCharType="separate"/>
            </w:r>
            <w:r w:rsidR="005F38BC">
              <w:t xml:space="preserve">Table </w:t>
            </w:r>
            <w:r w:rsidR="005F38BC">
              <w:rPr>
                <w:noProof/>
              </w:rPr>
              <w:t>24</w:t>
            </w:r>
            <w:r w:rsidR="005F38BC">
              <w:t xml:space="preserve">: </w:t>
            </w:r>
            <w:r w:rsidR="005F38BC">
              <w:rPr>
                <w:vanish/>
              </w:rPr>
              <w:t xml:space="preserve">TT_3.05 </w:t>
            </w:r>
            <w:r w:rsidR="005F38BC">
              <w:t>Rules for Electronic and Serologic Crossmatch</w:t>
            </w:r>
            <w:r>
              <w:fldChar w:fldCharType="end"/>
            </w:r>
            <w:r>
              <w:t xml:space="preserve"> must be met. Units not eligible for eXM must have serologic XM performed. </w:t>
            </w:r>
          </w:p>
          <w:p w:rsidR="0021365D" w:rsidRDefault="0021365D" w:rsidP="0021365D">
            <w:pPr>
              <w:pStyle w:val="NotesText"/>
            </w:pPr>
          </w:p>
          <w:p w:rsidR="00DA7A2E" w:rsidRPr="0021365D" w:rsidRDefault="0021365D" w:rsidP="0021365D">
            <w:pPr>
              <w:pStyle w:val="NotesText"/>
              <w:rPr>
                <w:rFonts w:cs="Arial"/>
                <w:szCs w:val="22"/>
              </w:rPr>
            </w:pPr>
            <w:r>
              <w:t>When eXM is not enabled, the user must enter serologic XM results for red blood cell classes or when a user orders an optional XM for OTHER component classes. VBECS does not change the unit status to “crossmatched,” make units available for issue, or allow the Caution Tag or BTRF to be printed until a user enters a valid XM result, unless an emergency-issued unit is being processed.</w:t>
            </w:r>
            <w:r w:rsidR="00DA7A2E">
              <w:rPr>
                <w:vanish/>
                <w:szCs w:val="18"/>
              </w:rPr>
              <w:t>BR_3.17</w:t>
            </w:r>
            <w:r w:rsidR="005D400B">
              <w:rPr>
                <w:vanish/>
                <w:szCs w:val="18"/>
              </w:rPr>
              <w:t>,</w:t>
            </w:r>
            <w:r w:rsidR="00DA7A2E">
              <w:rPr>
                <w:vanish/>
                <w:szCs w:val="18"/>
              </w:rPr>
              <w:t xml:space="preserve"> BR_3.27 </w:t>
            </w:r>
          </w:p>
        </w:tc>
      </w:tr>
      <w:tr w:rsidR="00DA7A2E">
        <w:tblPrEx>
          <w:tblCellMar>
            <w:top w:w="0" w:type="dxa"/>
            <w:bottom w:w="0" w:type="dxa"/>
          </w:tblCellMar>
        </w:tblPrEx>
        <w:tc>
          <w:tcPr>
            <w:tcW w:w="3240" w:type="dxa"/>
          </w:tcPr>
          <w:p w:rsidR="00DA7A2E" w:rsidRDefault="00DA7A2E" w:rsidP="00566A3F">
            <w:pPr>
              <w:pStyle w:val="TableTextNumbers"/>
            </w:pPr>
            <w:r>
              <w:lastRenderedPageBreak/>
              <w:t xml:space="preserve">Select another component order to continue selecting units, or exit. </w:t>
            </w:r>
          </w:p>
        </w:tc>
        <w:tc>
          <w:tcPr>
            <w:tcW w:w="6120" w:type="dxa"/>
          </w:tcPr>
          <w:p w:rsidR="00DA7A2E" w:rsidRDefault="00DA7A2E" w:rsidP="00566A3F">
            <w:pPr>
              <w:pStyle w:val="TableTextBullet"/>
            </w:pPr>
            <w:r>
              <w:t>Displays orders for the next patient.</w:t>
            </w:r>
          </w:p>
        </w:tc>
      </w:tr>
      <w:tr w:rsidR="002A21AE">
        <w:tblPrEx>
          <w:tblCellMar>
            <w:top w:w="0" w:type="dxa"/>
            <w:bottom w:w="0" w:type="dxa"/>
          </w:tblCellMar>
        </w:tblPrEx>
        <w:tc>
          <w:tcPr>
            <w:tcW w:w="3240" w:type="dxa"/>
          </w:tcPr>
          <w:p w:rsidR="002A21AE" w:rsidRDefault="002A21AE">
            <w:pPr>
              <w:pStyle w:val="TableTextNumbers"/>
            </w:pPr>
            <w:r>
              <w:t>Select a unit to begin entering serologic reactions.</w:t>
            </w:r>
          </w:p>
          <w:p w:rsidR="002A21AE" w:rsidRDefault="002A21AE">
            <w:pPr>
              <w:pStyle w:val="TableTextNumbersContinued"/>
            </w:pPr>
          </w:p>
          <w:p w:rsidR="002A21AE" w:rsidRDefault="002A21AE">
            <w:pPr>
              <w:pStyle w:val="TableTextNumbersContinued"/>
              <w:rPr>
                <w:b/>
                <w:bCs/>
              </w:rPr>
            </w:pPr>
            <w:r>
              <w:rPr>
                <w:rFonts w:cs="Arial"/>
                <w:vanish/>
              </w:rPr>
              <w:t xml:space="preserve">BR_2.31 </w:t>
            </w:r>
            <w:r>
              <w:t>Enter valid text, then press</w:t>
            </w:r>
            <w:r w:rsidR="00DF74D1">
              <w:t xml:space="preserve"> the</w:t>
            </w:r>
            <w:r>
              <w:t xml:space="preserve"> </w:t>
            </w:r>
            <w:r>
              <w:rPr>
                <w:b/>
              </w:rPr>
              <w:t>Enter</w:t>
            </w:r>
            <w:r w:rsidR="00DF74D1">
              <w:rPr>
                <w:b/>
              </w:rPr>
              <w:t xml:space="preserve"> key</w:t>
            </w:r>
            <w:r>
              <w:t xml:space="preserve"> to move to the next data grid comment cell.</w:t>
            </w:r>
          </w:p>
        </w:tc>
        <w:tc>
          <w:tcPr>
            <w:tcW w:w="6120" w:type="dxa"/>
          </w:tcPr>
          <w:p w:rsidR="002A21AE" w:rsidRDefault="002A21AE">
            <w:pPr>
              <w:pStyle w:val="TableTextBullet"/>
            </w:pPr>
            <w:r>
              <w:t>Allows only valid data entries in the grid reaction result and interpretation cells.</w:t>
            </w:r>
          </w:p>
          <w:p w:rsidR="002A21AE" w:rsidRDefault="002A21AE">
            <w:pPr>
              <w:pStyle w:val="TableTextBullet"/>
            </w:pPr>
            <w:r>
              <w:t>Restricts data entry to valid selections for testing results. All testing results and entered interpretations remain on the screen.</w:t>
            </w:r>
          </w:p>
          <w:p w:rsidR="007A4C70" w:rsidRDefault="007A4C70" w:rsidP="007A4C70">
            <w:pPr>
              <w:pStyle w:val="TableText"/>
            </w:pPr>
          </w:p>
          <w:p w:rsidR="007A4C70" w:rsidRDefault="00634BFC" w:rsidP="007A4C70">
            <w:pPr>
              <w:pStyle w:val="TableText"/>
              <w:rPr>
                <w:b/>
                <w:bCs/>
                <w:szCs w:val="18"/>
              </w:rPr>
            </w:pPr>
            <w:r>
              <w:rPr>
                <w:b/>
                <w:bCs/>
                <w:noProof/>
              </w:rPr>
              <mc:AlternateContent>
                <mc:Choice Requires="wps">
                  <w:drawing>
                    <wp:anchor distT="0" distB="0" distL="114300" distR="114300" simplePos="0" relativeHeight="25176217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62" name="Line 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2" o:spid="_x0000_s1026" style="position:absolute;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X0ZFQIAAC4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Krp&#10;fRkVAgAALgQAAA4AAAAAAAAAAAAAAAAALgIAAGRycy9lMm9Eb2MueG1sUEsBAi0AFAAGAAgAAAAh&#10;ABdPMBLbAAAACAEAAA8AAAAAAAAAAAAAAAAAbwQAAGRycy9kb3ducmV2LnhtbFBLBQYAAAAABAAE&#10;APMAAAB3BQAAAAA=&#10;" strokeweight="1.5pt"/>
                  </w:pict>
                </mc:Fallback>
              </mc:AlternateContent>
            </w:r>
            <w:r w:rsidR="007A4C70">
              <w:rPr>
                <w:b/>
                <w:bCs/>
                <w:szCs w:val="18"/>
              </w:rPr>
              <w:t>NOTES</w:t>
            </w:r>
          </w:p>
          <w:p w:rsidR="007A4C70" w:rsidRDefault="007A4C70" w:rsidP="007A4C70">
            <w:pPr>
              <w:pStyle w:val="NotesText"/>
            </w:pPr>
          </w:p>
          <w:p w:rsidR="002A21AE" w:rsidRDefault="002A21AE">
            <w:pPr>
              <w:pStyle w:val="NotesText"/>
            </w:pPr>
            <w:r>
              <w:rPr>
                <w:vanish/>
                <w:szCs w:val="18"/>
              </w:rPr>
              <w:t>BR_40.03</w:t>
            </w:r>
            <w:r w:rsidR="005D400B">
              <w:rPr>
                <w:vanish/>
                <w:szCs w:val="18"/>
              </w:rPr>
              <w:t>,</w:t>
            </w:r>
            <w:r>
              <w:rPr>
                <w:vanish/>
                <w:szCs w:val="18"/>
              </w:rPr>
              <w:t xml:space="preserve"> BR_40.12 </w:t>
            </w:r>
            <w:r>
              <w:t>During XM result data entry within a given row, the IS phase result must be entered first. Once the IS phase has been entered, data entry may progress and an observed result or NT entered in each phase before the XM interpretation is validated by VBECS.</w:t>
            </w:r>
          </w:p>
          <w:p w:rsidR="002A21AE" w:rsidRDefault="002A21AE">
            <w:pPr>
              <w:pStyle w:val="NotesText"/>
            </w:pPr>
          </w:p>
          <w:p w:rsidR="002A21AE" w:rsidRDefault="002A21AE">
            <w:pPr>
              <w:pStyle w:val="NotesText"/>
            </w:pPr>
            <w:r>
              <w:t xml:space="preserve">XM interpretations must be consistent with observed test results based on system rules </w:t>
            </w:r>
            <w:r>
              <w:rPr>
                <w:vanish/>
                <w:szCs w:val="18"/>
              </w:rPr>
              <w:t xml:space="preserve">TT_40.01 Patient Crossmatch Testing </w:t>
            </w:r>
            <w:r>
              <w:t xml:space="preserve">for the testing method. Discrepancies must be resolved before VBECS can verify results and add them to the database. The user may </w:t>
            </w:r>
            <w:r w:rsidR="00EF69E2">
              <w:t>reenter</w:t>
            </w:r>
            <w:r>
              <w:t xml:space="preserve"> valid results or delete entries and start over.</w:t>
            </w:r>
          </w:p>
          <w:p w:rsidR="002A21AE" w:rsidRDefault="002A21AE">
            <w:pPr>
              <w:pStyle w:val="NotesText"/>
              <w:ind w:left="0"/>
            </w:pPr>
          </w:p>
          <w:p w:rsidR="002A21AE" w:rsidRDefault="002A21AE">
            <w:pPr>
              <w:pStyle w:val="NotesText"/>
            </w:pPr>
            <w:r>
              <w:rPr>
                <w:rFonts w:cs="Arial"/>
                <w:vanish/>
              </w:rPr>
              <w:t xml:space="preserve">BR_40.15 </w:t>
            </w:r>
            <w:r>
              <w:t>If the patient has a history of a clinically significant antibody or a persistent antigen negative requirement, VBECS warns that the patient is not eligible for IS XM and instructs the user to perform the antiglobulin transaction XM on the patient. There is no override. The user must complete all phases of the XM test.</w:t>
            </w:r>
          </w:p>
        </w:tc>
      </w:tr>
      <w:tr w:rsidR="002A21AE">
        <w:tblPrEx>
          <w:tblCellMar>
            <w:top w:w="0" w:type="dxa"/>
            <w:bottom w:w="0" w:type="dxa"/>
          </w:tblCellMar>
        </w:tblPrEx>
        <w:tc>
          <w:tcPr>
            <w:tcW w:w="3240" w:type="dxa"/>
          </w:tcPr>
          <w:p w:rsidR="002A21AE" w:rsidRDefault="002A21AE">
            <w:pPr>
              <w:pStyle w:val="TableTextNumbers"/>
            </w:pPr>
            <w:r>
              <w:t xml:space="preserve">Repeat Step 3 until the test grid for the selected patient is complete. </w:t>
            </w:r>
          </w:p>
          <w:p w:rsidR="002A21AE" w:rsidRDefault="002A21AE">
            <w:pPr>
              <w:pStyle w:val="TableTextNumbersContinued"/>
            </w:pPr>
          </w:p>
          <w:p w:rsidR="002A21AE" w:rsidRDefault="002A21AE">
            <w:pPr>
              <w:pStyle w:val="TableTextNumbersContinued"/>
            </w:pPr>
            <w:r>
              <w:t>Enter the interpretation for the patient XM test, if desired.</w:t>
            </w:r>
          </w:p>
          <w:p w:rsidR="002A21AE" w:rsidRDefault="002A21AE">
            <w:pPr>
              <w:pStyle w:val="TableTextNumbersContinued"/>
            </w:pPr>
          </w:p>
          <w:p w:rsidR="002A21AE" w:rsidRDefault="002A21AE">
            <w:pPr>
              <w:pStyle w:val="TableTextNumbersContinued"/>
              <w:rPr>
                <w:b/>
                <w:bCs/>
              </w:rPr>
            </w:pPr>
            <w:r>
              <w:t>Respond to warnings and enter comments, when indicated.</w:t>
            </w:r>
          </w:p>
        </w:tc>
        <w:tc>
          <w:tcPr>
            <w:tcW w:w="6120" w:type="dxa"/>
          </w:tcPr>
          <w:p w:rsidR="002A21AE" w:rsidRDefault="002A21AE">
            <w:pPr>
              <w:pStyle w:val="TableTextBullet"/>
            </w:pPr>
            <w:r>
              <w:t>Verifies that all appropriate test results have been entered for the patient and the selected unit(s).</w:t>
            </w:r>
          </w:p>
          <w:p w:rsidR="002A21AE" w:rsidRDefault="002A21AE">
            <w:pPr>
              <w:pStyle w:val="TableTextBullet"/>
            </w:pPr>
            <w:r>
              <w:t xml:space="preserve">Displays various warnings based on rules. </w:t>
            </w:r>
          </w:p>
          <w:p w:rsidR="002A21AE" w:rsidRDefault="002A21AE">
            <w:pPr>
              <w:pStyle w:val="TableTextBullet"/>
            </w:pPr>
            <w:r>
              <w:t>Prompts the user to confirm that results were reviewed and are acceptable.</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6966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61" name="Lin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3" o:spid="_x0000_s1026" style="position:absolute;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EQFQIAAC0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JRW&#10;8RA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szCs w:val="18"/>
              </w:rPr>
              <w:t>BR_40.18</w:t>
            </w:r>
            <w:r w:rsidR="005D400B">
              <w:rPr>
                <w:rFonts w:cs="Arial"/>
                <w:vanish/>
                <w:szCs w:val="18"/>
              </w:rPr>
              <w:t>,</w:t>
            </w:r>
            <w:r>
              <w:rPr>
                <w:rFonts w:cs="Arial"/>
                <w:vanish/>
                <w:szCs w:val="18"/>
              </w:rPr>
              <w:t xml:space="preserve"> </w:t>
            </w:r>
            <w:r>
              <w:rPr>
                <w:vanish/>
                <w:szCs w:val="18"/>
              </w:rPr>
              <w:t>BR_40.20</w:t>
            </w:r>
            <w:r w:rsidR="004F5F28" w:rsidRPr="00323744">
              <w:rPr>
                <w:rStyle w:val="BullhornChar"/>
              </w:rPr>
              <w:t></w:t>
            </w:r>
            <w:r w:rsidR="004F5F28">
              <w:rPr>
                <w:rFonts w:ascii="Webdings" w:hAnsi="Webdings"/>
              </w:rPr>
              <w:t></w:t>
            </w:r>
            <w:r w:rsidR="004F5F28" w:rsidRPr="00263B24">
              <w:t>Wh</w:t>
            </w:r>
            <w:r w:rsidR="004F5F28">
              <w:t>en</w:t>
            </w:r>
            <w:r>
              <w:t xml:space="preserve"> VBECS emits an audible alert and requires a comment, it captures details for inclusion in an Exception Report (exception type: </w:t>
            </w:r>
            <w:r w:rsidR="00427BD6">
              <w:t>inconclusive crossmatch</w:t>
            </w:r>
            <w:r>
              <w:t>).</w:t>
            </w:r>
          </w:p>
          <w:p w:rsidR="002A21AE" w:rsidRDefault="002A21AE">
            <w:pPr>
              <w:pStyle w:val="NotesText"/>
            </w:pPr>
          </w:p>
          <w:p w:rsidR="002A21AE" w:rsidRDefault="002A21AE">
            <w:pPr>
              <w:pStyle w:val="NotesText"/>
            </w:pPr>
            <w:r>
              <w:rPr>
                <w:rFonts w:cs="Arial"/>
                <w:vanish/>
              </w:rPr>
              <w:t xml:space="preserve">BR_40.05 </w:t>
            </w:r>
            <w:r>
              <w:t xml:space="preserve">A user may enter a “Compatible” XM interpretation only after entering an observed test result for the IS phase (other phases are NT) when the antibody screen on the current specimen is complete and negative </w:t>
            </w:r>
            <w:r>
              <w:rPr>
                <w:i/>
              </w:rPr>
              <w:t>and</w:t>
            </w:r>
            <w:r>
              <w:t xml:space="preserve"> when the patient has no calculated or persistent antigen negative requirement.</w:t>
            </w:r>
          </w:p>
          <w:p w:rsidR="002A21AE" w:rsidRDefault="002A21AE">
            <w:pPr>
              <w:pStyle w:val="NotesText"/>
            </w:pPr>
          </w:p>
          <w:p w:rsidR="002A21AE" w:rsidRDefault="002A21AE">
            <w:pPr>
              <w:pStyle w:val="NotesText"/>
            </w:pPr>
            <w:r>
              <w:rPr>
                <w:rFonts w:cs="Arial"/>
                <w:vanish/>
              </w:rPr>
              <w:t xml:space="preserve">BR_40.09 </w:t>
            </w:r>
            <w:r>
              <w:t xml:space="preserve">When observed test result patterns are invalid, VBECS warns that test results are invalid and that the user must repeat tests. </w:t>
            </w:r>
            <w:r>
              <w:lastRenderedPageBreak/>
              <w:t>VBECS stores these results as documentation and clears the grid for the user to begin again.</w:t>
            </w:r>
            <w:r>
              <w:tab/>
            </w:r>
          </w:p>
          <w:p w:rsidR="002A21AE" w:rsidRDefault="002A21AE">
            <w:pPr>
              <w:pStyle w:val="NotesText"/>
            </w:pPr>
          </w:p>
          <w:p w:rsidR="002A21AE" w:rsidRDefault="004F5F28">
            <w:pPr>
              <w:pStyle w:val="NotesText"/>
            </w:pPr>
            <w:r w:rsidRPr="00323744">
              <w:rPr>
                <w:rStyle w:val="BullhornChar"/>
              </w:rPr>
              <w:t></w:t>
            </w:r>
            <w:r>
              <w:rPr>
                <w:rFonts w:ascii="Webdings" w:hAnsi="Webdings"/>
              </w:rPr>
              <w:t></w:t>
            </w:r>
            <w:r w:rsidR="002A21AE">
              <w:t>VBECS emits an audible alert and requires a comment documenting medical director approval, according to site policy. VBECS captures details for inclusion in an Exception Report (exception type: Crossmatch Incompatible: Give Only with Medical Director Approval).</w:t>
            </w:r>
          </w:p>
        </w:tc>
      </w:tr>
      <w:tr w:rsidR="002A21AE">
        <w:tblPrEx>
          <w:tblCellMar>
            <w:top w:w="0" w:type="dxa"/>
            <w:bottom w:w="0" w:type="dxa"/>
          </w:tblCellMar>
        </w:tblPrEx>
        <w:tc>
          <w:tcPr>
            <w:tcW w:w="3240" w:type="dxa"/>
          </w:tcPr>
          <w:p w:rsidR="002A21AE" w:rsidRDefault="002A21AE">
            <w:pPr>
              <w:pStyle w:val="TableTextNumbers"/>
            </w:pPr>
            <w:r>
              <w:lastRenderedPageBreak/>
              <w:t>Enter test results in preparation for saving.</w:t>
            </w:r>
          </w:p>
        </w:tc>
        <w:tc>
          <w:tcPr>
            <w:tcW w:w="6120" w:type="dxa"/>
          </w:tcPr>
          <w:p w:rsidR="002A21AE" w:rsidRDefault="002A21AE">
            <w:pPr>
              <w:pStyle w:val="TableTextBullet"/>
            </w:pPr>
            <w:r>
              <w:t>Saves data.</w:t>
            </w:r>
          </w:p>
          <w:p w:rsidR="002A21AE" w:rsidRDefault="002A21AE">
            <w:pPr>
              <w:pStyle w:val="TableTextBullet"/>
            </w:pPr>
            <w:r>
              <w:t>Prompts the user to generate a BTRF and a Caution Tag during Patient Testing: Record Patient Test Results when the crossmatched unit is acceptable for issue.</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 xml:space="preserve">Click </w:t>
            </w:r>
            <w:r>
              <w:rPr>
                <w:b/>
              </w:rPr>
              <w:t>OK</w:t>
            </w:r>
            <w:r>
              <w:t xml:space="preserve"> to exit. </w:t>
            </w:r>
            <w:r w:rsidRPr="009660C3">
              <w:rPr>
                <w:vanish/>
                <w:szCs w:val="18"/>
              </w:rPr>
              <w:fldChar w:fldCharType="begin"/>
            </w:r>
            <w:r w:rsidRPr="009660C3">
              <w:rPr>
                <w:vanish/>
                <w:szCs w:val="18"/>
              </w:rPr>
              <w:instrText xml:space="preserve"> LISTNUM \l 1 \s 0 </w:instrText>
            </w:r>
            <w:r w:rsidRPr="009660C3">
              <w:rPr>
                <w:vanish/>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rsidR="002A21AE" w:rsidRDefault="002A21AE" w:rsidP="00E44B03">
            <w:pPr>
              <w:pStyle w:val="TableText"/>
            </w:pPr>
          </w:p>
        </w:tc>
      </w:tr>
    </w:tbl>
    <w:p w:rsidR="002A21AE" w:rsidRDefault="002A21AE">
      <w:pPr>
        <w:pStyle w:val="Heading4"/>
      </w:pPr>
      <w:r>
        <w:t>Crossmatch Interpretations</w:t>
      </w:r>
      <w:r>
        <w:fldChar w:fldCharType="begin"/>
      </w:r>
      <w:r>
        <w:instrText xml:space="preserve"> XE </w:instrText>
      </w:r>
      <w:r w:rsidR="00FA7E65">
        <w:instrText>“</w:instrText>
      </w:r>
      <w:r>
        <w:instrText>Crossmatch Interpretations</w:instrText>
      </w:r>
      <w:r w:rsidR="00FA7E65">
        <w:instrText>”</w:instrText>
      </w:r>
      <w:r>
        <w:instrText xml:space="preserve"> </w:instrText>
      </w:r>
      <w:r>
        <w:fldChar w:fldCharType="end"/>
      </w:r>
    </w:p>
    <w:p w:rsidR="002A21AE" w:rsidRDefault="002A21AE" w:rsidP="00FA7E65">
      <w:pPr>
        <w:pStyle w:val="BodyText"/>
      </w:pPr>
      <w:r>
        <w:t>In all cases, VBECS saves the crossmatch information to the database.</w:t>
      </w:r>
    </w:p>
    <w:p w:rsidR="002A21AE" w:rsidRDefault="002A21AE">
      <w:pPr>
        <w:pStyle w:val="Caption"/>
      </w:pPr>
      <w:bookmarkStart w:id="487" w:name="_Toc97523625"/>
      <w:bookmarkStart w:id="488" w:name="_Toc97527595"/>
      <w:bookmarkStart w:id="489" w:name="_Ref126504413"/>
      <w:bookmarkStart w:id="490" w:name="_Ref446945905"/>
      <w:r>
        <w:t xml:space="preserve">Table </w:t>
      </w:r>
      <w:r>
        <w:fldChar w:fldCharType="begin"/>
      </w:r>
      <w:r>
        <w:instrText xml:space="preserve"> SEQ Table \* ARABIC </w:instrText>
      </w:r>
      <w:r>
        <w:fldChar w:fldCharType="separate"/>
      </w:r>
      <w:r w:rsidR="005F38BC">
        <w:rPr>
          <w:noProof/>
        </w:rPr>
        <w:t>11</w:t>
      </w:r>
      <w:r>
        <w:fldChar w:fldCharType="end"/>
      </w:r>
      <w:bookmarkEnd w:id="489"/>
      <w:r>
        <w:t xml:space="preserve">: </w:t>
      </w:r>
      <w:r>
        <w:rPr>
          <w:rFonts w:ascii="Arial" w:hAnsi="Arial" w:cs="Arial"/>
          <w:b w:val="0"/>
          <w:vanish/>
          <w:sz w:val="18"/>
        </w:rPr>
        <w:t xml:space="preserve">BR_40.14 </w:t>
      </w:r>
      <w:r>
        <w:t>Crossmatch Interpretations for Print Unit Caution Tag &amp; Transfusion Record Form</w:t>
      </w:r>
      <w:bookmarkEnd w:id="487"/>
      <w:bookmarkEnd w:id="488"/>
      <w:bookmarkEnd w:id="490"/>
      <w:r>
        <w:fldChar w:fldCharType="begin"/>
      </w:r>
      <w:r>
        <w:instrText xml:space="preserve"> XE </w:instrText>
      </w:r>
      <w:r w:rsidR="00FA7E65">
        <w:instrText>“</w:instrText>
      </w:r>
      <w:r>
        <w:instrText>Tables:Crossmatch Interpretations for Print Unit Caution Tag &amp; Transfusion Record Form</w:instrText>
      </w:r>
      <w:r w:rsidR="00FA7E65">
        <w:instrText>”</w:instrText>
      </w:r>
      <w:r>
        <w:instrText xml:space="preserve"> </w:instrText>
      </w:r>
      <w:r>
        <w:fldChar w:fldCharType="end"/>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
        <w:gridCol w:w="2621"/>
        <w:gridCol w:w="1911"/>
        <w:gridCol w:w="1769"/>
        <w:gridCol w:w="1769"/>
        <w:gridCol w:w="697"/>
      </w:tblGrid>
      <w:tr w:rsidR="002A21AE">
        <w:trPr>
          <w:tblHeader/>
        </w:trPr>
        <w:tc>
          <w:tcPr>
            <w:tcW w:w="0" w:type="auto"/>
            <w:shd w:val="clear" w:color="auto" w:fill="B3B3B3"/>
            <w:vAlign w:val="bottom"/>
          </w:tcPr>
          <w:p w:rsidR="002A21AE" w:rsidRDefault="002A21AE">
            <w:pPr>
              <w:pStyle w:val="TableText"/>
              <w:rPr>
                <w:b/>
              </w:rPr>
            </w:pPr>
            <w:r>
              <w:rPr>
                <w:b/>
              </w:rPr>
              <w:t>User Entry</w:t>
            </w:r>
          </w:p>
        </w:tc>
        <w:tc>
          <w:tcPr>
            <w:tcW w:w="0" w:type="auto"/>
            <w:shd w:val="clear" w:color="auto" w:fill="B3B3B3"/>
            <w:vAlign w:val="bottom"/>
          </w:tcPr>
          <w:p w:rsidR="002A21AE" w:rsidRDefault="002A21AE">
            <w:pPr>
              <w:pStyle w:val="TableText"/>
              <w:rPr>
                <w:b/>
              </w:rPr>
            </w:pPr>
            <w:r>
              <w:rPr>
                <w:b/>
              </w:rPr>
              <w:t>Crossmatch Interpretation</w:t>
            </w:r>
          </w:p>
        </w:tc>
        <w:tc>
          <w:tcPr>
            <w:tcW w:w="0" w:type="auto"/>
            <w:shd w:val="clear" w:color="auto" w:fill="B3B3B3"/>
            <w:vAlign w:val="bottom"/>
          </w:tcPr>
          <w:p w:rsidR="002A21AE" w:rsidRDefault="002A21AE">
            <w:pPr>
              <w:pStyle w:val="TableText"/>
              <w:rPr>
                <w:b/>
              </w:rPr>
            </w:pPr>
            <w:r>
              <w:rPr>
                <w:b/>
              </w:rPr>
              <w:t>VBECS Updates the Unit Status to:</w:t>
            </w:r>
          </w:p>
        </w:tc>
        <w:tc>
          <w:tcPr>
            <w:tcW w:w="0" w:type="auto"/>
            <w:shd w:val="clear" w:color="auto" w:fill="B3B3B3"/>
            <w:vAlign w:val="bottom"/>
          </w:tcPr>
          <w:p w:rsidR="002A21AE" w:rsidRDefault="002A21AE">
            <w:pPr>
              <w:pStyle w:val="TableText"/>
              <w:rPr>
                <w:b/>
              </w:rPr>
            </w:pPr>
            <w:r>
              <w:rPr>
                <w:b/>
              </w:rPr>
              <w:t>Is Information Available to CPRS?</w:t>
            </w:r>
          </w:p>
        </w:tc>
        <w:tc>
          <w:tcPr>
            <w:tcW w:w="0" w:type="auto"/>
            <w:shd w:val="clear" w:color="auto" w:fill="B3B3B3"/>
            <w:vAlign w:val="bottom"/>
          </w:tcPr>
          <w:p w:rsidR="002A21AE" w:rsidRDefault="002A21AE">
            <w:pPr>
              <w:pStyle w:val="TableText"/>
              <w:rPr>
                <w:b/>
              </w:rPr>
            </w:pPr>
            <w:r>
              <w:rPr>
                <w:b/>
              </w:rPr>
              <w:t>May User Print the BTRF and Caution Tag?</w:t>
            </w:r>
          </w:p>
        </w:tc>
        <w:tc>
          <w:tcPr>
            <w:tcW w:w="0" w:type="auto"/>
            <w:tcBorders>
              <w:bottom w:val="single" w:sz="4" w:space="0" w:color="auto"/>
            </w:tcBorders>
            <w:shd w:val="clear" w:color="auto" w:fill="B3B3B3"/>
            <w:vAlign w:val="bottom"/>
          </w:tcPr>
          <w:p w:rsidR="002A21AE" w:rsidRDefault="002A21AE">
            <w:pPr>
              <w:pStyle w:val="TableText"/>
              <w:rPr>
                <w:b/>
              </w:rPr>
            </w:pPr>
            <w:r>
              <w:rPr>
                <w:b/>
              </w:rPr>
              <w:t>Other</w:t>
            </w:r>
          </w:p>
        </w:tc>
      </w:tr>
      <w:tr w:rsidR="002A21AE">
        <w:tc>
          <w:tcPr>
            <w:tcW w:w="0" w:type="auto"/>
            <w:vAlign w:val="bottom"/>
          </w:tcPr>
          <w:p w:rsidR="002A21AE" w:rsidRDefault="002A21AE">
            <w:pPr>
              <w:pStyle w:val="TableText"/>
            </w:pPr>
            <w:r>
              <w:t>C</w:t>
            </w:r>
          </w:p>
        </w:tc>
        <w:tc>
          <w:tcPr>
            <w:tcW w:w="0" w:type="auto"/>
            <w:vAlign w:val="bottom"/>
          </w:tcPr>
          <w:p w:rsidR="002A21AE" w:rsidRDefault="002A21AE">
            <w:pPr>
              <w:pStyle w:val="TableText"/>
            </w:pPr>
            <w:r>
              <w:t>Crossmatch Compatible</w:t>
            </w:r>
          </w:p>
        </w:tc>
        <w:tc>
          <w:tcPr>
            <w:tcW w:w="0" w:type="auto"/>
            <w:vAlign w:val="bottom"/>
          </w:tcPr>
          <w:p w:rsidR="002A21AE" w:rsidRDefault="002A21AE">
            <w:pPr>
              <w:pStyle w:val="TableText"/>
            </w:pPr>
            <w:r>
              <w:t>Crossmatched</w:t>
            </w:r>
          </w:p>
        </w:tc>
        <w:tc>
          <w:tcPr>
            <w:tcW w:w="0" w:type="auto"/>
            <w:vAlign w:val="bottom"/>
          </w:tcPr>
          <w:p w:rsidR="002A21AE" w:rsidRDefault="002A21AE">
            <w:pPr>
              <w:pStyle w:val="TableText"/>
            </w:pPr>
            <w:r>
              <w:t>Yes (unit is available)</w:t>
            </w:r>
          </w:p>
        </w:tc>
        <w:tc>
          <w:tcPr>
            <w:tcW w:w="0" w:type="auto"/>
            <w:vAlign w:val="bottom"/>
          </w:tcPr>
          <w:p w:rsidR="002A21AE" w:rsidRDefault="002A21AE">
            <w:pPr>
              <w:pStyle w:val="TableText"/>
            </w:pPr>
            <w:r>
              <w:t>Yes</w:t>
            </w:r>
          </w:p>
        </w:tc>
        <w:tc>
          <w:tcPr>
            <w:tcW w:w="0" w:type="auto"/>
            <w:shd w:val="clear" w:color="auto" w:fill="B3B3B3"/>
            <w:vAlign w:val="bottom"/>
          </w:tcPr>
          <w:p w:rsidR="002A21AE" w:rsidRDefault="002A21AE">
            <w:pPr>
              <w:pStyle w:val="TableText"/>
            </w:pPr>
          </w:p>
        </w:tc>
      </w:tr>
      <w:tr w:rsidR="002A21AE">
        <w:tc>
          <w:tcPr>
            <w:tcW w:w="0" w:type="auto"/>
            <w:vAlign w:val="bottom"/>
          </w:tcPr>
          <w:p w:rsidR="002A21AE" w:rsidRDefault="002A21AE">
            <w:pPr>
              <w:pStyle w:val="TableText"/>
            </w:pPr>
            <w:r>
              <w:t>D</w:t>
            </w:r>
          </w:p>
        </w:tc>
        <w:tc>
          <w:tcPr>
            <w:tcW w:w="0" w:type="auto"/>
            <w:vAlign w:val="bottom"/>
          </w:tcPr>
          <w:p w:rsidR="002A21AE" w:rsidRDefault="002A21AE">
            <w:pPr>
              <w:pStyle w:val="TableText"/>
            </w:pPr>
            <w:r>
              <w:t>Crossmatch Compatible: Don’t Transfuse</w:t>
            </w:r>
          </w:p>
        </w:tc>
        <w:tc>
          <w:tcPr>
            <w:tcW w:w="0" w:type="auto"/>
            <w:vAlign w:val="bottom"/>
          </w:tcPr>
          <w:p w:rsidR="002A21AE" w:rsidRDefault="002A21AE">
            <w:pPr>
              <w:pStyle w:val="TableText"/>
            </w:pPr>
            <w:r>
              <w:t>Available</w:t>
            </w:r>
          </w:p>
        </w:tc>
        <w:tc>
          <w:tcPr>
            <w:tcW w:w="0" w:type="auto"/>
            <w:vAlign w:val="bottom"/>
          </w:tcPr>
          <w:p w:rsidR="002A21AE" w:rsidRDefault="002A21AE">
            <w:pPr>
              <w:pStyle w:val="TableText"/>
            </w:pPr>
            <w:r>
              <w:t>No</w:t>
            </w:r>
          </w:p>
        </w:tc>
        <w:tc>
          <w:tcPr>
            <w:tcW w:w="0" w:type="auto"/>
            <w:vAlign w:val="bottom"/>
          </w:tcPr>
          <w:p w:rsidR="002A21AE" w:rsidRDefault="002A21AE">
            <w:pPr>
              <w:pStyle w:val="TableText"/>
            </w:pPr>
            <w:r>
              <w:t>No</w:t>
            </w:r>
          </w:p>
        </w:tc>
        <w:tc>
          <w:tcPr>
            <w:tcW w:w="0" w:type="auto"/>
            <w:shd w:val="clear" w:color="auto" w:fill="B3B3B3"/>
            <w:vAlign w:val="bottom"/>
          </w:tcPr>
          <w:p w:rsidR="002A21AE" w:rsidRDefault="002A21AE">
            <w:pPr>
              <w:pStyle w:val="TableText"/>
            </w:pPr>
          </w:p>
        </w:tc>
      </w:tr>
      <w:tr w:rsidR="002A21AE">
        <w:tc>
          <w:tcPr>
            <w:tcW w:w="0" w:type="auto"/>
            <w:vAlign w:val="bottom"/>
          </w:tcPr>
          <w:p w:rsidR="002A21AE" w:rsidRDefault="002A21AE">
            <w:pPr>
              <w:pStyle w:val="TableText"/>
            </w:pPr>
            <w:r>
              <w:t>G</w:t>
            </w:r>
          </w:p>
        </w:tc>
        <w:tc>
          <w:tcPr>
            <w:tcW w:w="0" w:type="auto"/>
            <w:vAlign w:val="bottom"/>
          </w:tcPr>
          <w:p w:rsidR="002A21AE" w:rsidRDefault="002A21AE">
            <w:pPr>
              <w:pStyle w:val="TableText"/>
            </w:pPr>
            <w:r>
              <w:t>Crossmatch Incompatible: Give Only with Medical Director Approval</w:t>
            </w:r>
          </w:p>
        </w:tc>
        <w:tc>
          <w:tcPr>
            <w:tcW w:w="0" w:type="auto"/>
            <w:vAlign w:val="bottom"/>
          </w:tcPr>
          <w:p w:rsidR="002A21AE" w:rsidRDefault="008723D3">
            <w:pPr>
              <w:pStyle w:val="TableText"/>
            </w:pPr>
            <w:r>
              <w:t>Crossmatched</w:t>
            </w:r>
          </w:p>
        </w:tc>
        <w:tc>
          <w:tcPr>
            <w:tcW w:w="0" w:type="auto"/>
            <w:vAlign w:val="bottom"/>
          </w:tcPr>
          <w:p w:rsidR="002A21AE" w:rsidRDefault="002A21AE">
            <w:pPr>
              <w:pStyle w:val="TableText"/>
            </w:pPr>
            <w:r>
              <w:t>Yes (unit is available)</w:t>
            </w:r>
          </w:p>
        </w:tc>
        <w:tc>
          <w:tcPr>
            <w:tcW w:w="0" w:type="auto"/>
            <w:vAlign w:val="bottom"/>
          </w:tcPr>
          <w:p w:rsidR="002A21AE" w:rsidRDefault="002A21AE">
            <w:pPr>
              <w:pStyle w:val="TableText"/>
            </w:pPr>
            <w:r>
              <w:t xml:space="preserve">Yes </w:t>
            </w:r>
          </w:p>
        </w:tc>
        <w:tc>
          <w:tcPr>
            <w:tcW w:w="0" w:type="auto"/>
            <w:tcBorders>
              <w:bottom w:val="single" w:sz="4" w:space="0" w:color="auto"/>
            </w:tcBorders>
            <w:vAlign w:val="bottom"/>
          </w:tcPr>
          <w:p w:rsidR="002A21AE" w:rsidRDefault="00EC7489" w:rsidP="00323744">
            <w:pPr>
              <w:pStyle w:val="Bullhorn"/>
            </w:pPr>
            <w:r>
              <w:t></w:t>
            </w:r>
          </w:p>
        </w:tc>
      </w:tr>
      <w:tr w:rsidR="002A21AE">
        <w:tc>
          <w:tcPr>
            <w:tcW w:w="0" w:type="auto"/>
            <w:vAlign w:val="bottom"/>
          </w:tcPr>
          <w:p w:rsidR="002A21AE" w:rsidRDefault="00A138D2" w:rsidP="00A138D2">
            <w:pPr>
              <w:pStyle w:val="TableText"/>
            </w:pPr>
            <w:r>
              <w:t xml:space="preserve"> </w:t>
            </w:r>
            <w:r w:rsidR="002A21AE">
              <w:t>I</w:t>
            </w:r>
          </w:p>
        </w:tc>
        <w:tc>
          <w:tcPr>
            <w:tcW w:w="0" w:type="auto"/>
            <w:vAlign w:val="bottom"/>
          </w:tcPr>
          <w:p w:rsidR="002A21AE" w:rsidRDefault="002A21AE">
            <w:pPr>
              <w:pStyle w:val="TableText"/>
            </w:pPr>
            <w:r>
              <w:t>Crossmatch Incompatible</w:t>
            </w:r>
          </w:p>
        </w:tc>
        <w:tc>
          <w:tcPr>
            <w:tcW w:w="0" w:type="auto"/>
            <w:vAlign w:val="bottom"/>
          </w:tcPr>
          <w:p w:rsidR="002A21AE" w:rsidRDefault="002A21AE">
            <w:pPr>
              <w:pStyle w:val="TableText"/>
            </w:pPr>
            <w:r>
              <w:t>Available</w:t>
            </w:r>
          </w:p>
        </w:tc>
        <w:tc>
          <w:tcPr>
            <w:tcW w:w="0" w:type="auto"/>
            <w:vAlign w:val="bottom"/>
          </w:tcPr>
          <w:p w:rsidR="002A21AE" w:rsidRDefault="002A21AE">
            <w:pPr>
              <w:pStyle w:val="TableText"/>
            </w:pPr>
            <w:r>
              <w:t>No</w:t>
            </w:r>
          </w:p>
        </w:tc>
        <w:tc>
          <w:tcPr>
            <w:tcW w:w="0" w:type="auto"/>
            <w:vAlign w:val="bottom"/>
          </w:tcPr>
          <w:p w:rsidR="002A21AE" w:rsidRDefault="002A21AE">
            <w:pPr>
              <w:pStyle w:val="TableText"/>
            </w:pPr>
            <w:r>
              <w:t>No</w:t>
            </w:r>
          </w:p>
        </w:tc>
        <w:tc>
          <w:tcPr>
            <w:tcW w:w="0" w:type="auto"/>
            <w:shd w:val="clear" w:color="auto" w:fill="B3B3B3"/>
            <w:vAlign w:val="bottom"/>
          </w:tcPr>
          <w:p w:rsidR="002A21AE" w:rsidRDefault="002A21AE">
            <w:pPr>
              <w:pStyle w:val="TableText"/>
            </w:pPr>
          </w:p>
        </w:tc>
      </w:tr>
      <w:tr w:rsidR="002A21AE">
        <w:tc>
          <w:tcPr>
            <w:tcW w:w="0" w:type="auto"/>
            <w:vAlign w:val="bottom"/>
          </w:tcPr>
          <w:p w:rsidR="002A21AE" w:rsidRDefault="002A21AE">
            <w:pPr>
              <w:pStyle w:val="TableText"/>
            </w:pPr>
            <w:r>
              <w:t>V</w:t>
            </w:r>
          </w:p>
        </w:tc>
        <w:tc>
          <w:tcPr>
            <w:tcW w:w="0" w:type="auto"/>
            <w:vAlign w:val="bottom"/>
          </w:tcPr>
          <w:p w:rsidR="002A21AE" w:rsidRDefault="002A21AE">
            <w:pPr>
              <w:pStyle w:val="TableText"/>
            </w:pPr>
            <w:r>
              <w:t>Inconclusive</w:t>
            </w:r>
          </w:p>
        </w:tc>
        <w:tc>
          <w:tcPr>
            <w:tcW w:w="0" w:type="auto"/>
            <w:vAlign w:val="bottom"/>
          </w:tcPr>
          <w:p w:rsidR="002A21AE" w:rsidRDefault="002A21AE">
            <w:pPr>
              <w:pStyle w:val="TableText"/>
            </w:pPr>
            <w:r>
              <w:t>Available</w:t>
            </w:r>
          </w:p>
        </w:tc>
        <w:tc>
          <w:tcPr>
            <w:tcW w:w="0" w:type="auto"/>
            <w:vAlign w:val="bottom"/>
          </w:tcPr>
          <w:p w:rsidR="002A21AE" w:rsidRDefault="002A21AE">
            <w:pPr>
              <w:pStyle w:val="TableText"/>
            </w:pPr>
            <w:r>
              <w:t>No</w:t>
            </w:r>
          </w:p>
        </w:tc>
        <w:tc>
          <w:tcPr>
            <w:tcW w:w="0" w:type="auto"/>
            <w:vAlign w:val="bottom"/>
          </w:tcPr>
          <w:p w:rsidR="002A21AE" w:rsidRDefault="002A21AE">
            <w:pPr>
              <w:pStyle w:val="TableText"/>
            </w:pPr>
            <w:r>
              <w:t>No</w:t>
            </w:r>
          </w:p>
        </w:tc>
        <w:tc>
          <w:tcPr>
            <w:tcW w:w="0" w:type="auto"/>
            <w:shd w:val="clear" w:color="auto" w:fill="B3B3B3"/>
            <w:vAlign w:val="bottom"/>
          </w:tcPr>
          <w:p w:rsidR="002A21AE" w:rsidRDefault="002A21AE">
            <w:pPr>
              <w:pStyle w:val="TableText"/>
            </w:pPr>
          </w:p>
        </w:tc>
      </w:tr>
    </w:tbl>
    <w:p w:rsidR="002118B0" w:rsidRPr="002118B0" w:rsidRDefault="002118B0" w:rsidP="002118B0">
      <w:pPr>
        <w:pStyle w:val="Caption"/>
      </w:pPr>
    </w:p>
    <w:p w:rsidR="002A21AE" w:rsidRDefault="002A21AE">
      <w:pPr>
        <w:pStyle w:val="Heading3"/>
      </w:pPr>
      <w:r>
        <w:br w:type="page"/>
      </w:r>
      <w:bookmarkStart w:id="491" w:name="_Toc459900149"/>
      <w:r>
        <w:lastRenderedPageBreak/>
        <w:t>Patient Testing: Record a Patient Antigen Typing</w:t>
      </w:r>
      <w:bookmarkEnd w:id="491"/>
      <w:r>
        <w:fldChar w:fldCharType="begin"/>
      </w:r>
      <w:r>
        <w:instrText xml:space="preserve"> XE </w:instrText>
      </w:r>
      <w:r w:rsidR="00FA7E65">
        <w:instrText>“</w:instrText>
      </w:r>
      <w:r>
        <w:instrText>Patient Testing\: Record a Patient Antigen Typing</w:instrText>
      </w:r>
      <w:r w:rsidR="00FA7E65">
        <w:instrText>”</w:instrText>
      </w:r>
      <w:r>
        <w:instrText xml:space="preserve"> </w:instrText>
      </w:r>
      <w:r>
        <w:fldChar w:fldCharType="end"/>
      </w:r>
      <w:r>
        <w:t xml:space="preserve"> </w:t>
      </w:r>
      <w:r>
        <w:rPr>
          <w:rFonts w:ascii="Times New Roman" w:hAnsi="Times New Roman" w:cs="Times New Roman"/>
          <w:b w:val="0"/>
          <w:vanish/>
          <w:sz w:val="22"/>
        </w:rPr>
        <w:t>UC_98</w:t>
      </w:r>
    </w:p>
    <w:p w:rsidR="002A21AE" w:rsidRDefault="002A21AE" w:rsidP="00FA7E65">
      <w:pPr>
        <w:pStyle w:val="BodyText"/>
      </w:pPr>
      <w:bookmarkStart w:id="492" w:name="_Toc75225904"/>
      <w:bookmarkStart w:id="493" w:name="_Toc79560671"/>
      <w:r>
        <w:t xml:space="preserve">The user records observed results when performing a patient antigen typing test other than the ABO/Rh test. </w:t>
      </w:r>
    </w:p>
    <w:p w:rsidR="002A21AE" w:rsidRDefault="002A21AE">
      <w:pPr>
        <w:pStyle w:val="Heading4"/>
      </w:pPr>
      <w:r>
        <w:t>Assumptions</w:t>
      </w:r>
    </w:p>
    <w:p w:rsidR="002A21AE" w:rsidRDefault="002A21AE">
      <w:pPr>
        <w:pStyle w:val="ListBullet"/>
      </w:pPr>
      <w:r>
        <w:t>Patient antigen typing is ord</w:t>
      </w:r>
      <w:r w:rsidR="00047C2D">
        <w:t>ered through Order Reflex Tests</w:t>
      </w:r>
      <w:r>
        <w:t>.</w:t>
      </w:r>
    </w:p>
    <w:p w:rsidR="002A21AE" w:rsidRDefault="002A21AE">
      <w:pPr>
        <w:pStyle w:val="ListBullet"/>
      </w:pPr>
      <w:r>
        <w:t>The user accesses patient antigen typing grids through Patient Testing: Record Patient Test Results.</w:t>
      </w:r>
    </w:p>
    <w:p w:rsidR="002A21AE" w:rsidRDefault="002A21AE">
      <w:pPr>
        <w:pStyle w:val="ListBullet"/>
      </w:pPr>
      <w:r>
        <w:t xml:space="preserve">Reagent inventory was entered in </w:t>
      </w:r>
      <w:r w:rsidR="005F6016">
        <w:t>Maintain Minimum Levels</w:t>
      </w:r>
      <w:r>
        <w:t>.</w:t>
      </w:r>
    </w:p>
    <w:p w:rsidR="002A21AE" w:rsidRDefault="002A21AE">
      <w:pPr>
        <w:pStyle w:val="Heading4"/>
      </w:pPr>
      <w:r>
        <w:t>Outcome</w:t>
      </w:r>
      <w:r>
        <w:rPr>
          <w:rFonts w:ascii="Times New Roman" w:hAnsi="Times New Roman"/>
          <w:i/>
          <w:color w:val="0000FF"/>
          <w:sz w:val="24"/>
        </w:rPr>
        <w:t xml:space="preserve"> </w:t>
      </w:r>
    </w:p>
    <w:p w:rsidR="002A21AE" w:rsidRDefault="002A21AE">
      <w:pPr>
        <w:pStyle w:val="ListBullet"/>
      </w:pPr>
      <w:r>
        <w:rPr>
          <w:rFonts w:ascii="Arial" w:hAnsi="Arial" w:cs="Arial"/>
          <w:vanish/>
          <w:spacing w:val="0"/>
          <w:sz w:val="18"/>
        </w:rPr>
        <w:t xml:space="preserve">BR_41.06 </w:t>
      </w:r>
      <w:r>
        <w:t xml:space="preserve">The testing record includes the patient’s antigen typing and the control cell information. </w:t>
      </w:r>
    </w:p>
    <w:p w:rsidR="002A21AE" w:rsidRDefault="002A21AE">
      <w:pPr>
        <w:pStyle w:val="Heading4"/>
      </w:pPr>
      <w:r>
        <w:t>Limitations and Restrictions</w:t>
      </w:r>
      <w:r>
        <w:rPr>
          <w:b w:val="0"/>
        </w:rPr>
        <w:t xml:space="preserve"> </w:t>
      </w:r>
    </w:p>
    <w:p w:rsidR="002A21AE" w:rsidRDefault="002A21AE">
      <w:pPr>
        <w:pStyle w:val="ListBullet"/>
      </w:pPr>
      <w:r>
        <w:t>Antigen typing applies only to red blood cell antigens. (This option does not address platelet, HLA, or IgA antigens.)</w:t>
      </w:r>
    </w:p>
    <w:p w:rsidR="00FC3A2C" w:rsidRDefault="002A21AE">
      <w:pPr>
        <w:pStyle w:val="ListBullet"/>
      </w:pPr>
      <w:r>
        <w:t>VBECS does not check</w:t>
      </w:r>
      <w:r w:rsidR="00FC3A2C">
        <w:t>:</w:t>
      </w:r>
    </w:p>
    <w:p w:rsidR="00B84DA4" w:rsidRDefault="00B84DA4" w:rsidP="00FC3A2C">
      <w:pPr>
        <w:pStyle w:val="ListBullet2"/>
      </w:pPr>
      <w:r>
        <w:t>The patient antigen typing with the specificity of a</w:t>
      </w:r>
      <w:r w:rsidR="005C1078">
        <w:t>ny patient’s antibodies entered.</w:t>
      </w:r>
    </w:p>
    <w:p w:rsidR="002A21AE" w:rsidRDefault="00FC3A2C" w:rsidP="00FC3A2C">
      <w:pPr>
        <w:pStyle w:val="ListBullet2"/>
      </w:pPr>
      <w:r>
        <w:t>W</w:t>
      </w:r>
      <w:r w:rsidR="002A21AE">
        <w:t>hether the lot and vial numbers selected for the positive control cells differ from those of the negative control cells</w:t>
      </w:r>
      <w:r w:rsidR="005C1078">
        <w:t>.</w:t>
      </w:r>
    </w:p>
    <w:p w:rsidR="002A21AE" w:rsidRDefault="002A21AE">
      <w:pPr>
        <w:pStyle w:val="ListBullet"/>
      </w:pPr>
      <w:r>
        <w:t>The patient antigen typing result is not available to CPRS.</w:t>
      </w:r>
    </w:p>
    <w:p w:rsidR="002A21AE" w:rsidRDefault="002A21AE">
      <w:pPr>
        <w:pStyle w:val="Heading4"/>
      </w:pPr>
      <w:r>
        <w:t>Additional Information</w:t>
      </w:r>
      <w:r>
        <w:rPr>
          <w:rFonts w:ascii="Times New Roman" w:hAnsi="Times New Roman"/>
          <w:i/>
          <w:color w:val="0000FF"/>
          <w:sz w:val="24"/>
        </w:rPr>
        <w:t xml:space="preserve"> </w:t>
      </w:r>
    </w:p>
    <w:p w:rsidR="00956196" w:rsidRDefault="00956196" w:rsidP="00956196">
      <w:pPr>
        <w:pStyle w:val="ListBullet"/>
      </w:pPr>
      <w:r>
        <w:t xml:space="preserve">Clinical significance and availability of typing reagents are not implied when antigens are included in the list of </w:t>
      </w:r>
      <w:r w:rsidR="00E32E71">
        <w:t>antigen type tests</w:t>
      </w:r>
      <w:r>
        <w:t>.</w:t>
      </w:r>
    </w:p>
    <w:p w:rsidR="00956196" w:rsidRDefault="00FC0074" w:rsidP="00956196">
      <w:pPr>
        <w:pStyle w:val="ListBullet"/>
      </w:pPr>
      <w:r>
        <w:t>U</w:t>
      </w:r>
      <w:r w:rsidR="00956196">
        <w:t>nit antigen tests may be added th</w:t>
      </w:r>
      <w:r>
        <w:t>rough</w:t>
      </w:r>
      <w:r w:rsidR="00956196">
        <w:t xml:space="preserve"> </w:t>
      </w:r>
      <w:r w:rsidR="00CA67F2">
        <w:t>Incoming Shipment</w:t>
      </w:r>
      <w:r w:rsidR="00155471">
        <w:t xml:space="preserve"> </w:t>
      </w:r>
      <w:r>
        <w:t>and</w:t>
      </w:r>
      <w:r w:rsidR="00155471">
        <w:t xml:space="preserve"> </w:t>
      </w:r>
      <w:r w:rsidR="00CA67F2">
        <w:t>Edit Unit Information</w:t>
      </w:r>
      <w:r w:rsidR="00956196">
        <w:t>.</w:t>
      </w:r>
    </w:p>
    <w:p w:rsidR="002A21AE" w:rsidRDefault="002A21AE">
      <w:pPr>
        <w:pStyle w:val="ListBullet"/>
      </w:pPr>
      <w:r>
        <w:t>The patient antigen typing test is associated with a CPRS patient order.</w:t>
      </w:r>
    </w:p>
    <w:p w:rsidR="002A21AE" w:rsidRDefault="002A21AE">
      <w:pPr>
        <w:pStyle w:val="ListBullet"/>
      </w:pPr>
      <w:r>
        <w:t>The patient’s antigen typing information does not appear as part of the Transfusion Requirements or Special Instructions in the Patient Information Toolbar.</w:t>
      </w:r>
    </w:p>
    <w:p w:rsidR="002A21AE" w:rsidRDefault="002A21AE">
      <w:pPr>
        <w:pStyle w:val="ListBullet"/>
      </w:pPr>
      <w:r>
        <w:rPr>
          <w:rFonts w:ascii="Arial" w:hAnsi="Arial" w:cs="Arial"/>
          <w:vanish/>
          <w:spacing w:val="0"/>
          <w:sz w:val="18"/>
        </w:rPr>
        <w:t xml:space="preserve">BR_28.23 </w:t>
      </w:r>
      <w:r>
        <w:t>When VBECS displays lot numbers for selection, it checks the inventory for the reagent name and lot numbers in use in a rack. VBECS does not offer reagents with an “unsatisfactory” value in the Inspection field or with a quantity of zero as a selectable reagent. The user may not enter a lot number that VBECS disallowed on the selection list. The user must choose a different reagent.</w:t>
      </w:r>
    </w:p>
    <w:p w:rsidR="002A21AE" w:rsidRDefault="004A7FC2">
      <w:pPr>
        <w:pStyle w:val="ListBullet"/>
      </w:pPr>
      <w:r>
        <w:rPr>
          <w:rFonts w:ascii="Arial" w:hAnsi="Arial" w:cs="Arial"/>
          <w:vanish/>
          <w:spacing w:val="0"/>
          <w:sz w:val="18"/>
        </w:rPr>
        <w:t>BR_41.</w:t>
      </w:r>
      <w:r w:rsidR="002A21AE">
        <w:rPr>
          <w:rFonts w:ascii="Arial" w:hAnsi="Arial" w:cs="Arial"/>
          <w:vanish/>
          <w:spacing w:val="0"/>
          <w:sz w:val="18"/>
        </w:rPr>
        <w:t>3</w:t>
      </w:r>
      <w:r>
        <w:rPr>
          <w:rFonts w:ascii="Arial" w:hAnsi="Arial" w:cs="Arial"/>
          <w:vanish/>
          <w:spacing w:val="0"/>
          <w:sz w:val="18"/>
        </w:rPr>
        <w:t>0</w:t>
      </w:r>
      <w:r w:rsidR="002A21AE">
        <w:rPr>
          <w:rFonts w:ascii="Arial" w:hAnsi="Arial" w:cs="Arial"/>
          <w:vanish/>
          <w:spacing w:val="0"/>
          <w:sz w:val="18"/>
        </w:rPr>
        <w:t xml:space="preserve"> </w:t>
      </w:r>
      <w:r w:rsidR="002A21AE">
        <w:t>When a user selects a reagent rack that was never QC’d, VBECS warns the user, clears the selection, and allows the user to select a different rack.</w:t>
      </w:r>
    </w:p>
    <w:p w:rsidR="004A7FC2" w:rsidRDefault="004A7FC2">
      <w:pPr>
        <w:pStyle w:val="ListBullet"/>
      </w:pPr>
      <w:r>
        <w:rPr>
          <w:rFonts w:ascii="Arial" w:hAnsi="Arial" w:cs="Arial"/>
          <w:vanish/>
          <w:spacing w:val="0"/>
          <w:sz w:val="18"/>
        </w:rPr>
        <w:t xml:space="preserve">BR_41.03 </w:t>
      </w:r>
      <w:r>
        <w:t xml:space="preserve"> VBECS automatically adds the positive and negative control tests to the selected reagent type worklist if they have not been tested on that calendar date for the selected antisera lot number.</w:t>
      </w:r>
      <w:r w:rsidR="009439F8">
        <w:rPr>
          <w:vanish/>
        </w:rPr>
        <w:t xml:space="preserve"> DR 3717</w:t>
      </w:r>
    </w:p>
    <w:p w:rsidR="002A21AE" w:rsidRDefault="002A21AE">
      <w:pPr>
        <w:pStyle w:val="ListBullet"/>
      </w:pPr>
      <w:r>
        <w:rPr>
          <w:rFonts w:ascii="Arial" w:hAnsi="Arial" w:cs="Arial"/>
          <w:vanish/>
          <w:spacing w:val="0"/>
          <w:sz w:val="18"/>
        </w:rPr>
        <w:t xml:space="preserve">BR_41.06 </w:t>
      </w:r>
      <w:r>
        <w:t>VBECS stores the lot number, vial identifier, manufacturer, and expiration date of the positive and negative control cells with the testing record.</w:t>
      </w:r>
    </w:p>
    <w:p w:rsidR="002A21AE" w:rsidRDefault="002A21AE">
      <w:pPr>
        <w:pStyle w:val="ListBullet"/>
      </w:pPr>
      <w:r>
        <w:t>The user may not enter “H” (hemolysis) in antigen typing testing.</w:t>
      </w:r>
    </w:p>
    <w:p w:rsidR="002A21AE" w:rsidRDefault="002A21AE">
      <w:pPr>
        <w:pStyle w:val="Heading4"/>
        <w:rPr>
          <w:b w:val="0"/>
        </w:rPr>
      </w:pPr>
      <w:r>
        <w:t>User Roles with Access to This Option</w:t>
      </w:r>
      <w:r>
        <w:rPr>
          <w:b w:val="0"/>
        </w:rPr>
        <w:t xml:space="preserve"> </w:t>
      </w:r>
    </w:p>
    <w:p w:rsidR="002A21AE" w:rsidRDefault="007934CF">
      <w:pPr>
        <w:pStyle w:val="Roles"/>
        <w:rPr>
          <w:snapToGrid w:val="0"/>
        </w:rPr>
      </w:pPr>
      <w:r>
        <w:t>All users</w:t>
      </w:r>
    </w:p>
    <w:p w:rsidR="002A21AE" w:rsidRDefault="002A21AE">
      <w:pPr>
        <w:pStyle w:val="Heading4"/>
        <w:rPr>
          <w:rStyle w:val="Heading3Char"/>
        </w:rPr>
      </w:pPr>
      <w:r>
        <w:rPr>
          <w:rStyle w:val="Heading3Char"/>
        </w:rPr>
        <w:t>Patient Testing: Record a Patient Antigen Typing</w:t>
      </w:r>
    </w:p>
    <w:p w:rsidR="002A21AE" w:rsidRDefault="002A21AE" w:rsidP="00FA7E65">
      <w:pPr>
        <w:pStyle w:val="BodyText"/>
      </w:pPr>
      <w:r>
        <w:t xml:space="preserve">This option describes a test to determine the patient antigen typing from a blood specimen.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FFFFFF"/>
            <w:vAlign w:val="bottom"/>
          </w:tcPr>
          <w:p w:rsidR="002A21AE" w:rsidRDefault="002A21AE">
            <w:pPr>
              <w:pStyle w:val="TableText"/>
              <w:rPr>
                <w:b/>
              </w:rPr>
            </w:pPr>
            <w:r>
              <w:rPr>
                <w:b/>
              </w:rPr>
              <w:lastRenderedPageBreak/>
              <w:t>User Action</w:t>
            </w:r>
          </w:p>
        </w:tc>
        <w:tc>
          <w:tcPr>
            <w:tcW w:w="6120" w:type="dxa"/>
            <w:shd w:val="pct30" w:color="auto" w:fill="FFFFFF"/>
            <w:vAlign w:val="bottom"/>
          </w:tcPr>
          <w:p w:rsidR="002A21AE" w:rsidRDefault="002A21AE">
            <w:pPr>
              <w:pStyle w:val="TableText"/>
              <w:rPr>
                <w:b/>
              </w:rPr>
            </w:pPr>
            <w:r>
              <w:rPr>
                <w:b/>
              </w:rPr>
              <w:t>VBECS</w:t>
            </w:r>
          </w:p>
        </w:tc>
      </w:tr>
      <w:tr w:rsidR="00141448">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141448" w:rsidRDefault="00141448" w:rsidP="00141448">
            <w:pPr>
              <w:pStyle w:val="TableTextNumbers"/>
            </w:pPr>
            <w:r>
              <w:t xml:space="preserve">Select </w:t>
            </w:r>
            <w:r>
              <w:rPr>
                <w:b/>
              </w:rPr>
              <w:t>Patients</w:t>
            </w:r>
            <w:r>
              <w:t xml:space="preserve"> from the main menu.</w:t>
            </w:r>
          </w:p>
          <w:p w:rsidR="00141448" w:rsidRDefault="00141448" w:rsidP="00141448">
            <w:pPr>
              <w:pStyle w:val="TableTextNumbersContinued"/>
            </w:pPr>
          </w:p>
          <w:p w:rsidR="00141448" w:rsidRDefault="00141448" w:rsidP="00141448">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rsidR="00141448" w:rsidRDefault="00141448" w:rsidP="00141448">
            <w:pPr>
              <w:pStyle w:val="TableTextBullet"/>
            </w:pPr>
            <w:r>
              <w:t xml:space="preserve">Displays options for processing patient-related functions. </w:t>
            </w:r>
          </w:p>
          <w:p w:rsidR="00141448" w:rsidRDefault="00141448" w:rsidP="00141448">
            <w:pPr>
              <w:pStyle w:val="TableTextBullet"/>
            </w:pPr>
            <w:r>
              <w:t>Displays the Pending Task List (PTL) in the Diagnostic Tests tab.</w:t>
            </w:r>
          </w:p>
          <w:p w:rsidR="00141448" w:rsidRDefault="00141448" w:rsidP="00141448">
            <w:pPr>
              <w:pStyle w:val="NotesText"/>
            </w:pPr>
          </w:p>
          <w:p w:rsidR="00141448" w:rsidRDefault="00634BFC" w:rsidP="00141448">
            <w:pPr>
              <w:pStyle w:val="TableText"/>
              <w:rPr>
                <w:b/>
                <w:bCs/>
                <w:szCs w:val="18"/>
              </w:rPr>
            </w:pPr>
            <w:r>
              <w:rPr>
                <w:b/>
                <w:bCs/>
                <w:noProof/>
              </w:rPr>
              <mc:AlternateContent>
                <mc:Choice Requires="wps">
                  <w:drawing>
                    <wp:anchor distT="0" distB="0" distL="114300" distR="114300" simplePos="0" relativeHeight="25175500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60" name="Line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3" o:spid="_x0000_s1026" style="position:absolute;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KWNFgIAAC4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A1&#10;7KWNFgIAAC4EAAAOAAAAAAAAAAAAAAAAAC4CAABkcnMvZTJvRG9jLnhtbFBLAQItABQABgAIAAAA&#10;IQAXTzAS2wAAAAgBAAAPAAAAAAAAAAAAAAAAAHAEAABkcnMvZG93bnJldi54bWxQSwUGAAAAAAQA&#10;BADzAAAAeAUAAAAA&#10;" strokeweight="1.5pt"/>
                  </w:pict>
                </mc:Fallback>
              </mc:AlternateContent>
            </w:r>
            <w:r w:rsidR="00141448">
              <w:rPr>
                <w:b/>
                <w:bCs/>
                <w:szCs w:val="18"/>
              </w:rPr>
              <w:t>NOTES</w:t>
            </w:r>
          </w:p>
          <w:p w:rsidR="00141448" w:rsidRDefault="00141448" w:rsidP="00141448">
            <w:pPr>
              <w:pStyle w:val="NotesText"/>
            </w:pPr>
          </w:p>
          <w:p w:rsidR="00141448" w:rsidRDefault="00141448" w:rsidP="00141448">
            <w:pPr>
              <w:pStyle w:val="NotesText"/>
            </w:pPr>
            <w:r>
              <w:t>A user may search for specific tasks using search criteria detailed in Pending Task List.</w:t>
            </w:r>
          </w:p>
        </w:tc>
      </w:tr>
      <w:tr w:rsidR="006D7FC0">
        <w:tblPrEx>
          <w:tblCellMar>
            <w:top w:w="0" w:type="dxa"/>
            <w:bottom w:w="0" w:type="dxa"/>
          </w:tblCellMar>
        </w:tblPrEx>
        <w:tc>
          <w:tcPr>
            <w:tcW w:w="3240" w:type="dxa"/>
          </w:tcPr>
          <w:p w:rsidR="006D7FC0" w:rsidRDefault="006D7FC0">
            <w:pPr>
              <w:pStyle w:val="TableTextNumbers"/>
            </w:pPr>
            <w:r>
              <w:t>Click one to four check boxes in the Pending Task List to select tasks for testing.</w:t>
            </w:r>
          </w:p>
          <w:p w:rsidR="006D7FC0" w:rsidRDefault="006D7FC0" w:rsidP="006D7FC0">
            <w:pPr>
              <w:pStyle w:val="TableTextNumbersContinued"/>
            </w:pPr>
          </w:p>
          <w:p w:rsidR="006D7FC0" w:rsidRDefault="006D7FC0" w:rsidP="006D7FC0">
            <w:pPr>
              <w:pStyle w:val="TableTextNumbersContinued"/>
            </w:pPr>
            <w:r>
              <w:t xml:space="preserve">Click </w:t>
            </w:r>
            <w:r w:rsidRPr="006D7FC0">
              <w:rPr>
                <w:b/>
              </w:rPr>
              <w:t>OK</w:t>
            </w:r>
            <w:r>
              <w:t>.</w:t>
            </w:r>
          </w:p>
        </w:tc>
        <w:tc>
          <w:tcPr>
            <w:tcW w:w="6120" w:type="dxa"/>
          </w:tcPr>
          <w:p w:rsidR="006D7FC0" w:rsidRDefault="006D7FC0" w:rsidP="006D7FC0">
            <w:pPr>
              <w:pStyle w:val="TableTextBullet"/>
            </w:pPr>
            <w:r>
              <w:t>Displays patient names and associated task information.</w:t>
            </w:r>
          </w:p>
          <w:p w:rsidR="006D7FC0" w:rsidRDefault="006D7FC0" w:rsidP="006D7FC0">
            <w:pPr>
              <w:pStyle w:val="TableTextBullet"/>
            </w:pPr>
            <w:r>
              <w:t xml:space="preserve">Displays a direct data entry </w:t>
            </w:r>
            <w:r w:rsidR="00917E9F">
              <w:t xml:space="preserve">(DDE) </w:t>
            </w:r>
            <w:r>
              <w:t>grid for entering serologic reaction results for antigen typing testing. This grid may be partially populated from a previous session.</w:t>
            </w:r>
          </w:p>
          <w:p w:rsidR="006D7FC0" w:rsidRDefault="006D7FC0" w:rsidP="006D7FC0">
            <w:pPr>
              <w:pStyle w:val="TableTextBullet"/>
            </w:pPr>
            <w:r>
              <w:t>Allows the user to select a unit and enter a test result for the unit.</w:t>
            </w:r>
          </w:p>
          <w:p w:rsidR="006D7FC0" w:rsidRDefault="006D7FC0" w:rsidP="006D7FC0">
            <w:pPr>
              <w:pStyle w:val="TableTextBullet"/>
            </w:pPr>
            <w:r>
              <w:t>Displays options for finding and selecting tests to process.</w:t>
            </w:r>
          </w:p>
          <w:p w:rsidR="006D7FC0" w:rsidRDefault="006D7FC0" w:rsidP="006D7FC0">
            <w:pPr>
              <w:pStyle w:val="TableText"/>
            </w:pPr>
          </w:p>
          <w:p w:rsidR="006D7FC0" w:rsidRDefault="00634BFC" w:rsidP="006D7FC0">
            <w:pPr>
              <w:pStyle w:val="TableText"/>
              <w:rPr>
                <w:b/>
                <w:bCs/>
                <w:szCs w:val="18"/>
              </w:rPr>
            </w:pPr>
            <w:r>
              <w:rPr>
                <w:b/>
                <w:bCs/>
                <w:noProof/>
              </w:rPr>
              <mc:AlternateContent>
                <mc:Choice Requires="wps">
                  <w:drawing>
                    <wp:anchor distT="0" distB="0" distL="114300" distR="114300" simplePos="0" relativeHeight="25175910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59" name="Line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8" o:spid="_x0000_s1026" style="position:absolute;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38jFgIAAC4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Cz&#10;a38jFgIAAC4EAAAOAAAAAAAAAAAAAAAAAC4CAABkcnMvZTJvRG9jLnhtbFBLAQItABQABgAIAAAA&#10;IQAXTzAS2wAAAAgBAAAPAAAAAAAAAAAAAAAAAHAEAABkcnMvZG93bnJldi54bWxQSwUGAAAAAAQA&#10;BADzAAAAeAUAAAAA&#10;" strokeweight="1.5pt"/>
                  </w:pict>
                </mc:Fallback>
              </mc:AlternateContent>
            </w:r>
            <w:r w:rsidR="006D7FC0">
              <w:rPr>
                <w:b/>
                <w:bCs/>
                <w:szCs w:val="18"/>
              </w:rPr>
              <w:t>NOTES</w:t>
            </w:r>
          </w:p>
          <w:p w:rsidR="006D7FC0" w:rsidRDefault="006D7FC0" w:rsidP="009368F1">
            <w:pPr>
              <w:pStyle w:val="NotesText"/>
            </w:pPr>
          </w:p>
          <w:p w:rsidR="006D7FC0" w:rsidRDefault="006D7FC0" w:rsidP="009368F1">
            <w:pPr>
              <w:pStyle w:val="NotesText"/>
            </w:pPr>
            <w:r>
              <w:rPr>
                <w:rFonts w:cs="Arial"/>
                <w:vanish/>
              </w:rPr>
              <w:t xml:space="preserve">BR_41.15 </w:t>
            </w:r>
            <w:r>
              <w:t>When the user selects a partially completed worksheet, he must verify the lot numbers, manufacturer name, and expiration date of the antiserum and control cells previously selected. These fields may not be edited. (A user who finds a discrepancy must delete the worksheet and start over.)</w:t>
            </w:r>
          </w:p>
        </w:tc>
      </w:tr>
      <w:tr w:rsidR="002A21AE">
        <w:tblPrEx>
          <w:tblCellMar>
            <w:top w:w="0" w:type="dxa"/>
            <w:bottom w:w="0" w:type="dxa"/>
          </w:tblCellMar>
        </w:tblPrEx>
        <w:tc>
          <w:tcPr>
            <w:tcW w:w="3240" w:type="dxa"/>
          </w:tcPr>
          <w:p w:rsidR="002A21AE" w:rsidRDefault="002A21AE">
            <w:pPr>
              <w:pStyle w:val="TableTextNumbers"/>
            </w:pPr>
            <w:r>
              <w:t>Confirm the selected patient.</w:t>
            </w:r>
          </w:p>
          <w:p w:rsidR="002A21AE" w:rsidRDefault="002A21AE">
            <w:pPr>
              <w:pStyle w:val="TableTextNumbersContinued"/>
            </w:pPr>
          </w:p>
          <w:p w:rsidR="002A21AE" w:rsidRDefault="002A21AE">
            <w:pPr>
              <w:pStyle w:val="TableTextNumbersContinued"/>
            </w:pPr>
            <w:r>
              <w:t xml:space="preserve">When control cells were tested for the antiserum, go to Step </w:t>
            </w:r>
            <w:r w:rsidR="00502986">
              <w:t>7</w:t>
            </w:r>
            <w:r>
              <w:t>.</w:t>
            </w:r>
          </w:p>
        </w:tc>
        <w:tc>
          <w:tcPr>
            <w:tcW w:w="6120" w:type="dxa"/>
          </w:tcPr>
          <w:p w:rsidR="002A21AE" w:rsidRDefault="002A21AE">
            <w:pPr>
              <w:pStyle w:val="TableTextBullet"/>
            </w:pPr>
            <w:r>
              <w:t xml:space="preserve">Displays an option to select a lot number for each of the antiserum types selected. </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7888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58" name="Lin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5" o:spid="_x0000_s1026" style="position:absolute;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1FLFQIAAC0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DlL&#10;UUs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t>VBECS displays grids and quality control cells for each antiserum type.</w:t>
            </w:r>
          </w:p>
        </w:tc>
      </w:tr>
      <w:tr w:rsidR="002A21AE">
        <w:tblPrEx>
          <w:tblCellMar>
            <w:top w:w="0" w:type="dxa"/>
            <w:bottom w:w="0" w:type="dxa"/>
          </w:tblCellMar>
        </w:tblPrEx>
        <w:tc>
          <w:tcPr>
            <w:tcW w:w="3240" w:type="dxa"/>
          </w:tcPr>
          <w:p w:rsidR="002A21AE" w:rsidRDefault="002A21AE">
            <w:pPr>
              <w:pStyle w:val="TableTextNumbers"/>
            </w:pPr>
            <w:r>
              <w:t>Select a lot number for each antiserum specificity.</w:t>
            </w:r>
          </w:p>
        </w:tc>
        <w:tc>
          <w:tcPr>
            <w:tcW w:w="6120" w:type="dxa"/>
          </w:tcPr>
          <w:p w:rsidR="002A21AE" w:rsidRDefault="002A21AE">
            <w:pPr>
              <w:pStyle w:val="TableTextBullet"/>
            </w:pPr>
            <w:r>
              <w:rPr>
                <w:rFonts w:cs="Arial"/>
                <w:vanish/>
              </w:rPr>
              <w:t>BR_41.04</w:t>
            </w:r>
            <w:r w:rsidR="004F5F28" w:rsidRPr="00323744">
              <w:rPr>
                <w:rStyle w:val="BullhornChar"/>
              </w:rPr>
              <w:t></w:t>
            </w:r>
            <w:r w:rsidR="004F5F28">
              <w:rPr>
                <w:rFonts w:ascii="Webdings" w:hAnsi="Webdings"/>
              </w:rPr>
              <w:t></w:t>
            </w:r>
            <w:r w:rsidR="00AA089C">
              <w:t>A</w:t>
            </w:r>
            <w:r>
              <w:t>llows the user to select or enter the lot number and displays the manufacturer and expiration date of each antiserum to be used in this transaction so the user can select the correct antiserum. VBECS displays in-date antisera. When the user selects outdated antisera, VBECS emits an audible alert and requires a comment and an override. VBECS captures details for inclusion in an Exception Report (exception type: expired antisera used).</w:t>
            </w:r>
          </w:p>
          <w:p w:rsidR="002A21AE" w:rsidRDefault="002A21AE">
            <w:pPr>
              <w:pStyle w:val="TableTextBullet"/>
            </w:pPr>
            <w:r>
              <w:t>Prompts the user to select the correct antiserum entry for the specificity selected.</w:t>
            </w:r>
          </w:p>
          <w:p w:rsidR="002A21AE" w:rsidRDefault="002A21AE">
            <w:pPr>
              <w:pStyle w:val="TableTextBullet"/>
            </w:pPr>
            <w:r>
              <w:t xml:space="preserve">Displays the lot number information. </w:t>
            </w:r>
          </w:p>
          <w:p w:rsidR="00AA089C" w:rsidRDefault="00AA089C" w:rsidP="00AA089C">
            <w:pPr>
              <w:pStyle w:val="TableText"/>
            </w:pPr>
          </w:p>
          <w:p w:rsidR="00AA089C" w:rsidRDefault="00634BFC" w:rsidP="00AA089C">
            <w:pPr>
              <w:pStyle w:val="TableText"/>
              <w:rPr>
                <w:b/>
                <w:bCs/>
                <w:szCs w:val="18"/>
              </w:rPr>
            </w:pPr>
            <w:r>
              <w:rPr>
                <w:b/>
                <w:bCs/>
                <w:noProof/>
              </w:rPr>
              <mc:AlternateContent>
                <mc:Choice Requires="wps">
                  <w:drawing>
                    <wp:anchor distT="0" distB="0" distL="114300" distR="114300" simplePos="0" relativeHeight="25178060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57" name="Line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1" o:spid="_x0000_s1026" style="position:absolute;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SuUFwIAAC4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" strokeweight="1.5pt"/>
                  </w:pict>
                </mc:Fallback>
              </mc:AlternateContent>
            </w:r>
            <w:r w:rsidR="00AA089C">
              <w:rPr>
                <w:b/>
                <w:bCs/>
                <w:szCs w:val="18"/>
              </w:rPr>
              <w:t>NOTES</w:t>
            </w:r>
          </w:p>
          <w:p w:rsidR="00AA089C" w:rsidRDefault="00AA089C" w:rsidP="00AA089C">
            <w:pPr>
              <w:pStyle w:val="NotesText"/>
            </w:pPr>
          </w:p>
          <w:p w:rsidR="00AA089C" w:rsidRDefault="00AA089C" w:rsidP="00AA089C">
            <w:pPr>
              <w:pStyle w:val="NotesText"/>
            </w:pPr>
            <w:r>
              <w:t>VBECS r</w:t>
            </w:r>
            <w:r w:rsidRPr="00AA089C">
              <w:t>equest</w:t>
            </w:r>
            <w:r>
              <w:t>s</w:t>
            </w:r>
            <w:r w:rsidRPr="00AA089C">
              <w:t xml:space="preserve"> information about </w:t>
            </w:r>
            <w:r>
              <w:t>an antigen</w:t>
            </w:r>
            <w:r w:rsidRPr="00AA089C">
              <w:t xml:space="preserve"> lot number </w:t>
            </w:r>
            <w:r>
              <w:t xml:space="preserve">only </w:t>
            </w:r>
            <w:r w:rsidRPr="00AA089C">
              <w:t xml:space="preserve">the first time it is used </w:t>
            </w:r>
            <w:r>
              <w:t>on a specific</w:t>
            </w:r>
            <w:r w:rsidRPr="00AA089C">
              <w:t xml:space="preserve"> day. </w:t>
            </w:r>
          </w:p>
          <w:p w:rsidR="00AA089C" w:rsidRDefault="00AA089C" w:rsidP="00AA089C">
            <w:pPr>
              <w:pStyle w:val="NotesText"/>
            </w:pPr>
          </w:p>
          <w:p w:rsidR="00AA089C" w:rsidRDefault="00AA089C" w:rsidP="00AA089C">
            <w:pPr>
              <w:pStyle w:val="NotesText"/>
            </w:pPr>
            <w:r w:rsidRPr="00AA089C">
              <w:t xml:space="preserve">If there are multiple test tabs, </w:t>
            </w:r>
            <w:r>
              <w:t>VBECS displays a</w:t>
            </w:r>
            <w:r w:rsidRPr="00AA089C">
              <w:t xml:space="preserve"> </w:t>
            </w:r>
            <w:r>
              <w:t>message</w:t>
            </w:r>
            <w:r w:rsidRPr="00AA089C">
              <w:t xml:space="preserve"> </w:t>
            </w:r>
            <w:r>
              <w:t xml:space="preserve">that </w:t>
            </w:r>
            <w:r w:rsidRPr="00AA089C">
              <w:t xml:space="preserve">may not </w:t>
            </w:r>
            <w:r>
              <w:t>correspond to</w:t>
            </w:r>
            <w:r w:rsidRPr="00AA089C">
              <w:t xml:space="preserve"> the</w:t>
            </w:r>
            <w:r>
              <w:t xml:space="preserve"> selected</w:t>
            </w:r>
            <w:r w:rsidRPr="00AA089C">
              <w:t xml:space="preserve"> tab, but will </w:t>
            </w:r>
            <w:r>
              <w:t xml:space="preserve">correspond to </w:t>
            </w:r>
            <w:r w:rsidRPr="00AA089C">
              <w:t xml:space="preserve">information </w:t>
            </w:r>
            <w:r>
              <w:t xml:space="preserve">required by </w:t>
            </w:r>
            <w:r w:rsidRPr="00AA089C">
              <w:t>one of the requested tests.</w:t>
            </w:r>
          </w:p>
        </w:tc>
      </w:tr>
      <w:tr w:rsidR="002A21AE">
        <w:tblPrEx>
          <w:tblCellMar>
            <w:top w:w="0" w:type="dxa"/>
            <w:bottom w:w="0" w:type="dxa"/>
          </w:tblCellMar>
        </w:tblPrEx>
        <w:tc>
          <w:tcPr>
            <w:tcW w:w="3240" w:type="dxa"/>
          </w:tcPr>
          <w:p w:rsidR="002A21AE" w:rsidRDefault="002A21AE" w:rsidP="00AA3667">
            <w:pPr>
              <w:pStyle w:val="TableTextNumbers"/>
            </w:pPr>
            <w:r>
              <w:t>Verify the antiserum lot number selected</w:t>
            </w:r>
            <w:r w:rsidR="00AA3667">
              <w:t xml:space="preserve"> (</w:t>
            </w:r>
            <w:r w:rsidR="00AA3667">
              <w:fldChar w:fldCharType="begin"/>
            </w:r>
            <w:r w:rsidR="00AA3667">
              <w:instrText xml:space="preserve"> REF _Ref126727198 \h </w:instrText>
            </w:r>
            <w:r w:rsidR="00AA3667">
              <w:fldChar w:fldCharType="separate"/>
            </w:r>
            <w:r w:rsidR="005F38BC">
              <w:t xml:space="preserve">Figure </w:t>
            </w:r>
            <w:r w:rsidR="005F38BC">
              <w:rPr>
                <w:noProof/>
              </w:rPr>
              <w:t>118</w:t>
            </w:r>
            <w:r w:rsidR="00AA3667">
              <w:fldChar w:fldCharType="end"/>
            </w:r>
            <w:r w:rsidR="00AA3667">
              <w:t>)</w:t>
            </w:r>
            <w:r>
              <w:t xml:space="preserve">. </w:t>
            </w:r>
          </w:p>
        </w:tc>
        <w:tc>
          <w:tcPr>
            <w:tcW w:w="6120" w:type="dxa"/>
          </w:tcPr>
          <w:p w:rsidR="002A21AE" w:rsidRDefault="002A21AE">
            <w:pPr>
              <w:pStyle w:val="TableTextBullet"/>
            </w:pPr>
            <w:r>
              <w:t xml:space="preserve">Allows the user to select the testing phases for the antiserum specificity by lot number. </w:t>
            </w:r>
          </w:p>
          <w:p w:rsidR="002A21AE" w:rsidRDefault="002A21AE">
            <w:pPr>
              <w:pStyle w:val="TableTextBullet"/>
            </w:pPr>
            <w:r>
              <w:t xml:space="preserve">Displays a testing grid and disables the phases that are not to be completed. </w:t>
            </w:r>
          </w:p>
          <w:p w:rsidR="002A21AE" w:rsidRDefault="002A21AE">
            <w:pPr>
              <w:pStyle w:val="TableTextBullet"/>
            </w:pPr>
            <w:r>
              <w:t>Stores the antiserum information and checks whether the positive and negative controls are needed.</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7990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56" name="Lin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6" o:spid="_x0000_s1026" style="position:absolute;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meTFQ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GmG&#10;Z5M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lastRenderedPageBreak/>
              <w:t xml:space="preserve">BR_41.02 </w:t>
            </w:r>
            <w:r>
              <w:t xml:space="preserve">The user must indicate the phases of reactivity for each antiserum specificity: </w:t>
            </w:r>
          </w:p>
          <w:p w:rsidR="002A21AE" w:rsidRDefault="002A21AE">
            <w:pPr>
              <w:pStyle w:val="NotesTextBullet"/>
              <w:tabs>
                <w:tab w:val="clear" w:pos="1008"/>
                <w:tab w:val="num" w:pos="1260"/>
              </w:tabs>
              <w:ind w:left="1188"/>
            </w:pPr>
            <w:r>
              <w:t>IS</w:t>
            </w:r>
          </w:p>
          <w:p w:rsidR="002A21AE" w:rsidRDefault="002A21AE">
            <w:pPr>
              <w:pStyle w:val="NotesTextBullet"/>
              <w:tabs>
                <w:tab w:val="clear" w:pos="1008"/>
                <w:tab w:val="num" w:pos="1260"/>
              </w:tabs>
              <w:ind w:left="1188"/>
            </w:pPr>
            <w:r>
              <w:t>IS/RT</w:t>
            </w:r>
          </w:p>
          <w:p w:rsidR="002A21AE" w:rsidRDefault="002A21AE">
            <w:pPr>
              <w:pStyle w:val="NotesTextBullet"/>
              <w:tabs>
                <w:tab w:val="clear" w:pos="1008"/>
                <w:tab w:val="num" w:pos="1260"/>
              </w:tabs>
              <w:ind w:left="1188"/>
            </w:pPr>
            <w:r>
              <w:t>IS/37</w:t>
            </w:r>
          </w:p>
          <w:p w:rsidR="002A21AE" w:rsidRDefault="002A21AE">
            <w:pPr>
              <w:pStyle w:val="NotesTextBullet"/>
              <w:tabs>
                <w:tab w:val="clear" w:pos="1008"/>
                <w:tab w:val="num" w:pos="1260"/>
              </w:tabs>
              <w:ind w:left="1188"/>
            </w:pPr>
            <w:r>
              <w:t>AHG/CC</w:t>
            </w:r>
          </w:p>
          <w:p w:rsidR="002A21AE" w:rsidRDefault="002A21AE">
            <w:pPr>
              <w:pStyle w:val="NotesText"/>
            </w:pPr>
          </w:p>
          <w:p w:rsidR="002A21AE" w:rsidRDefault="002A21AE">
            <w:pPr>
              <w:pStyle w:val="NotesText"/>
            </w:pPr>
            <w:r>
              <w:t>VBECS enables the Rack Identifier field when the user selects the weak D or AHG/CC phase. VBECS disables the rack identifier field when the user selects other phases.</w:t>
            </w:r>
          </w:p>
          <w:p w:rsidR="002A21AE" w:rsidRDefault="002A21AE">
            <w:pPr>
              <w:pStyle w:val="NotesText"/>
            </w:pPr>
          </w:p>
          <w:p w:rsidR="002A21AE" w:rsidRDefault="002A21AE">
            <w:pPr>
              <w:pStyle w:val="NotesText"/>
            </w:pPr>
            <w:r>
              <w:rPr>
                <w:rFonts w:cs="Arial"/>
                <w:vanish/>
              </w:rPr>
              <w:t xml:space="preserve">BR_41.27 </w:t>
            </w:r>
            <w:r>
              <w:t>When the user QC’d the antigen typing reagent lot number and performed patient antigen typing on the same date under different testing phases, VBECS enables the QC grid for the antisera in the phases the user selected.</w:t>
            </w:r>
          </w:p>
          <w:p w:rsidR="002A21AE" w:rsidRDefault="002A21AE">
            <w:pPr>
              <w:pStyle w:val="NotesText"/>
            </w:pPr>
          </w:p>
          <w:p w:rsidR="002A21AE" w:rsidRDefault="002A21AE">
            <w:pPr>
              <w:pStyle w:val="NotesText"/>
            </w:pPr>
            <w:r>
              <w:rPr>
                <w:rFonts w:cs="Arial"/>
                <w:vanish/>
              </w:rPr>
              <w:t>BR_41.26</w:t>
            </w:r>
            <w:r w:rsidR="004F5F28" w:rsidRPr="00323744">
              <w:rPr>
                <w:rStyle w:val="BullhornChar"/>
              </w:rPr>
              <w:t></w:t>
            </w:r>
            <w:r w:rsidR="004F5F28">
              <w:rPr>
                <w:rFonts w:ascii="Webdings" w:hAnsi="Webdings"/>
              </w:rPr>
              <w:t></w:t>
            </w:r>
            <w:r w:rsidR="004F5F28" w:rsidRPr="00263B24">
              <w:t>Wh</w:t>
            </w:r>
            <w:r w:rsidR="004F5F28">
              <w:t>en</w:t>
            </w:r>
            <w:r>
              <w:t xml:space="preserve"> the user attempts to change the phases of reactivity previously recorded for the lot number, VBECS emits an audible alert, warns that the user selected phases that were not used previously for this reagent, and asks whether the user wishes to continue. </w:t>
            </w:r>
            <w:r>
              <w:rPr>
                <w:b/>
              </w:rPr>
              <w:t>No</w:t>
            </w:r>
            <w:r>
              <w:t xml:space="preserve"> requires the user to select the correct testing phases. </w:t>
            </w:r>
            <w:r>
              <w:rPr>
                <w:b/>
              </w:rPr>
              <w:t>Yes</w:t>
            </w:r>
            <w:r>
              <w:t xml:space="preserve"> requires the user to enter a comment explaining why he is selecting different testing phases. VBECS captures details for inclusion in an Exception Report (exception type: antigen testing phase change). VBECS requires a comment and captures details for inclusion in an Exception Report. Antigen testing phase change</w:t>
            </w:r>
          </w:p>
        </w:tc>
      </w:tr>
      <w:tr w:rsidR="002A21AE">
        <w:tblPrEx>
          <w:tblCellMar>
            <w:top w:w="0" w:type="dxa"/>
            <w:bottom w:w="0" w:type="dxa"/>
          </w:tblCellMar>
        </w:tblPrEx>
        <w:tc>
          <w:tcPr>
            <w:tcW w:w="3240" w:type="dxa"/>
          </w:tcPr>
          <w:p w:rsidR="00B6515C" w:rsidRDefault="00B6515C" w:rsidP="00B6515C">
            <w:pPr>
              <w:pStyle w:val="TableTextNumbers"/>
            </w:pPr>
            <w:r>
              <w:lastRenderedPageBreak/>
              <w:t>Select the lot number for the reagent and the positive and negative control cells. Enter the vial identifiers, if required. Enter “0” when not using panel cells.</w:t>
            </w:r>
          </w:p>
          <w:p w:rsidR="00B6515C" w:rsidRDefault="00B6515C" w:rsidP="00B6515C">
            <w:pPr>
              <w:pStyle w:val="TableTextNumbersContinued"/>
            </w:pPr>
          </w:p>
          <w:p w:rsidR="00B6515C" w:rsidRDefault="00B6515C" w:rsidP="00B6515C">
            <w:pPr>
              <w:pStyle w:val="TableTextNumbersContinued"/>
            </w:pPr>
            <w:r>
              <w:t>Verify the reagent type and the positive and negative control cell lot numbers selected and vial identifiers entered, if required</w:t>
            </w:r>
            <w:r w:rsidR="001E3E16">
              <w:t xml:space="preserve"> (</w:t>
            </w:r>
            <w:r w:rsidR="001E3E16">
              <w:fldChar w:fldCharType="begin"/>
            </w:r>
            <w:r w:rsidR="001E3E16">
              <w:instrText xml:space="preserve"> REF _Ref126727469 \h </w:instrText>
            </w:r>
            <w:r w:rsidR="001E3E16">
              <w:fldChar w:fldCharType="separate"/>
            </w:r>
            <w:r w:rsidR="005F38BC">
              <w:t xml:space="preserve">Figure </w:t>
            </w:r>
            <w:r w:rsidR="005F38BC">
              <w:rPr>
                <w:noProof/>
              </w:rPr>
              <w:t>119</w:t>
            </w:r>
            <w:r w:rsidR="001E3E16">
              <w:fldChar w:fldCharType="end"/>
            </w:r>
            <w:r w:rsidR="001E3E16">
              <w:t>)</w:t>
            </w:r>
            <w:r>
              <w:t>.</w:t>
            </w:r>
          </w:p>
        </w:tc>
        <w:tc>
          <w:tcPr>
            <w:tcW w:w="6120" w:type="dxa"/>
          </w:tcPr>
          <w:p w:rsidR="002A21AE" w:rsidRDefault="002A21AE">
            <w:pPr>
              <w:pStyle w:val="TableTextBullet"/>
            </w:pPr>
            <w:r>
              <w:t xml:space="preserve">Displays the lot number information, including the vial identifier. </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8092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55" name="Lin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7" o:spid="_x0000_s1026" style="position:absolute;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ewHFQIAAC0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J4d&#10;7Ac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BR_41.25 </w:t>
            </w:r>
            <w:r>
              <w:t xml:space="preserve">Selectable reagent lot numbers for positive and negative control cells are: </w:t>
            </w:r>
          </w:p>
          <w:p w:rsidR="002A21AE" w:rsidRDefault="002A21AE">
            <w:pPr>
              <w:pStyle w:val="NotesTextBullet"/>
              <w:tabs>
                <w:tab w:val="clear" w:pos="1008"/>
                <w:tab w:val="num" w:pos="1260"/>
              </w:tabs>
              <w:ind w:left="1188"/>
            </w:pPr>
            <w:r>
              <w:t>Reverse ABO Typing Cells</w:t>
            </w:r>
          </w:p>
          <w:p w:rsidR="002A21AE" w:rsidRDefault="002A21AE">
            <w:pPr>
              <w:pStyle w:val="NotesTextBullet"/>
              <w:tabs>
                <w:tab w:val="clear" w:pos="1008"/>
                <w:tab w:val="num" w:pos="1260"/>
              </w:tabs>
              <w:ind w:left="1188"/>
            </w:pPr>
            <w:r>
              <w:t>A2 cell</w:t>
            </w:r>
          </w:p>
          <w:p w:rsidR="002A21AE" w:rsidRDefault="002A21AE">
            <w:pPr>
              <w:pStyle w:val="NotesTextBullet"/>
              <w:tabs>
                <w:tab w:val="clear" w:pos="1008"/>
                <w:tab w:val="num" w:pos="1260"/>
              </w:tabs>
              <w:ind w:left="1188"/>
            </w:pPr>
            <w:r>
              <w:t xml:space="preserve">Screening Cells </w:t>
            </w:r>
          </w:p>
          <w:p w:rsidR="002A21AE" w:rsidRDefault="002A21AE">
            <w:pPr>
              <w:pStyle w:val="NotesTextBullet"/>
              <w:tabs>
                <w:tab w:val="clear" w:pos="1008"/>
                <w:tab w:val="num" w:pos="1260"/>
              </w:tabs>
              <w:ind w:left="1188"/>
            </w:pPr>
            <w:r>
              <w:t>Check Cells</w:t>
            </w:r>
          </w:p>
          <w:p w:rsidR="002A21AE" w:rsidRDefault="002A21AE">
            <w:pPr>
              <w:pStyle w:val="NotesTextBullet"/>
              <w:tabs>
                <w:tab w:val="clear" w:pos="1008"/>
                <w:tab w:val="num" w:pos="1260"/>
              </w:tabs>
              <w:ind w:left="1188"/>
            </w:pPr>
            <w:r>
              <w:t>Panel</w:t>
            </w:r>
          </w:p>
          <w:p w:rsidR="002A21AE" w:rsidRDefault="002A21AE">
            <w:pPr>
              <w:pStyle w:val="NotesTextBullet"/>
              <w:tabs>
                <w:tab w:val="clear" w:pos="1008"/>
                <w:tab w:val="num" w:pos="1260"/>
              </w:tabs>
              <w:ind w:left="1188"/>
            </w:pPr>
            <w:r>
              <w:t>Other (set)</w:t>
            </w:r>
          </w:p>
          <w:p w:rsidR="002A21AE" w:rsidRDefault="002A21AE">
            <w:pPr>
              <w:pStyle w:val="TableText"/>
            </w:pPr>
          </w:p>
          <w:p w:rsidR="002A21AE" w:rsidRDefault="00DD6197">
            <w:pPr>
              <w:pStyle w:val="NotesText"/>
            </w:pPr>
            <w:r>
              <w:t xml:space="preserve">The vial identifier, comprising one or two digits, identifies the vial contained in a kit of reagent red blood cells. A vial contains antigen positive or antigen negative blood cells to be used in quality control of the antisera. </w:t>
            </w:r>
          </w:p>
        </w:tc>
      </w:tr>
      <w:tr w:rsidR="002A21AE">
        <w:tblPrEx>
          <w:tblCellMar>
            <w:top w:w="0" w:type="dxa"/>
            <w:bottom w:w="0" w:type="dxa"/>
          </w:tblCellMar>
        </w:tblPrEx>
        <w:tc>
          <w:tcPr>
            <w:tcW w:w="3240" w:type="dxa"/>
          </w:tcPr>
          <w:p w:rsidR="002A21AE" w:rsidRDefault="002A21AE">
            <w:pPr>
              <w:pStyle w:val="TableTextNumbers"/>
            </w:pPr>
            <w:r>
              <w:t xml:space="preserve">Respond to warnings and continue with antigen typing. </w:t>
            </w:r>
          </w:p>
        </w:tc>
        <w:tc>
          <w:tcPr>
            <w:tcW w:w="6120" w:type="dxa"/>
          </w:tcPr>
          <w:p w:rsidR="002A21AE" w:rsidRDefault="002A21AE">
            <w:pPr>
              <w:pStyle w:val="TableTextBullet"/>
            </w:pPr>
            <w:r>
              <w:t xml:space="preserve">Displays a </w:t>
            </w:r>
            <w:r w:rsidR="00917E9F">
              <w:t>DDE</w:t>
            </w:r>
            <w:r>
              <w:t xml:space="preserve"> grid for entering serologic reaction results for antigen typing testing. This grid may be partially populated with results from a previous session.</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8195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54"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8" o:spid="_x0000_s1026" style="position:absolute;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SWxFg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Df&#10;YSWxFgIAAC0EAAAOAAAAAAAAAAAAAAAAAC4CAABkcnMvZTJvRG9jLnhtbFBLAQItABQABgAIAAAA&#10;IQAXTzAS2wAAAAgBAAAPAAAAAAAAAAAAAAAAAHAEAABkcnMvZG93bnJldi54bWxQSwUGAAAAAAQA&#10;BADzAAAAeAU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BR_41.07 </w:t>
            </w:r>
            <w:r>
              <w:t>VBECS organizes the worklist for the grids by antiserum types.</w:t>
            </w:r>
          </w:p>
          <w:p w:rsidR="002A21AE" w:rsidRDefault="002A21AE">
            <w:pPr>
              <w:pStyle w:val="NotesText"/>
            </w:pPr>
          </w:p>
          <w:p w:rsidR="002A21AE" w:rsidRDefault="002A21AE">
            <w:pPr>
              <w:pStyle w:val="NotesText"/>
            </w:pPr>
            <w:r>
              <w:rPr>
                <w:vanish/>
                <w:szCs w:val="18"/>
              </w:rPr>
              <w:t xml:space="preserve">BR_98.06, </w:t>
            </w:r>
            <w:r>
              <w:rPr>
                <w:rFonts w:cs="Arial"/>
                <w:vanish/>
              </w:rPr>
              <w:t xml:space="preserve">BR_41.17 </w:t>
            </w:r>
            <w:r>
              <w:t>The row title of the data grid specifies the positive and negative control cells; the column title specifies the phases of reactivity that may be used in the test. VBECS fills in this information; the user may not edit it.</w:t>
            </w:r>
          </w:p>
        </w:tc>
      </w:tr>
      <w:tr w:rsidR="002A21AE">
        <w:tblPrEx>
          <w:tblCellMar>
            <w:top w:w="0" w:type="dxa"/>
            <w:bottom w:w="0" w:type="dxa"/>
          </w:tblCellMar>
        </w:tblPrEx>
        <w:tc>
          <w:tcPr>
            <w:tcW w:w="3240" w:type="dxa"/>
          </w:tcPr>
          <w:p w:rsidR="002A21AE" w:rsidRDefault="002A21AE">
            <w:pPr>
              <w:pStyle w:val="TableTextNumbers"/>
            </w:pPr>
            <w:r>
              <w:lastRenderedPageBreak/>
              <w:t>Select one control cell or patient to begin entering serologic reactions and interpretations.</w:t>
            </w:r>
          </w:p>
        </w:tc>
        <w:tc>
          <w:tcPr>
            <w:tcW w:w="6120" w:type="dxa"/>
          </w:tcPr>
          <w:p w:rsidR="002A21AE" w:rsidRDefault="002A21AE">
            <w:pPr>
              <w:pStyle w:val="TableTextBullet"/>
            </w:pPr>
            <w:r>
              <w:t>Allows the user to select a patient or control cell and enter test results.</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8297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53" name="Lin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9" o:spid="_x0000_s1026" style="position:absolute;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JYBFg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Bm&#10;JJYBFgIAAC0EAAAOAAAAAAAAAAAAAAAAAC4CAABkcnMvZTJvRG9jLnhtbFBLAQItABQABgAIAAAA&#10;IQAXTzAS2wAAAAgBAAAPAAAAAAAAAAAAAAAAAHAEAABkcnMvZG93bnJldi54bWxQSwUGAAAAAAQA&#10;BADzAAAAeAU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BR_41.09 </w:t>
            </w:r>
            <w:r>
              <w:t xml:space="preserve">Valid observed test results include: </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520"/>
              <w:gridCol w:w="1260"/>
            </w:tblGrid>
            <w:tr w:rsidR="002A21AE">
              <w:trPr>
                <w:tblHeader/>
              </w:trPr>
              <w:tc>
                <w:tcPr>
                  <w:tcW w:w="720" w:type="dxa"/>
                  <w:shd w:val="clear" w:color="auto" w:fill="B3B3B3"/>
                </w:tcPr>
                <w:p w:rsidR="002A21AE" w:rsidRDefault="002A21AE">
                  <w:pPr>
                    <w:pStyle w:val="TableText"/>
                    <w:jc w:val="center"/>
                    <w:rPr>
                      <w:b/>
                    </w:rPr>
                  </w:pPr>
                  <w:r>
                    <w:rPr>
                      <w:b/>
                    </w:rPr>
                    <w:t>Entry</w:t>
                  </w:r>
                </w:p>
              </w:tc>
              <w:tc>
                <w:tcPr>
                  <w:tcW w:w="3780" w:type="dxa"/>
                  <w:gridSpan w:val="2"/>
                  <w:shd w:val="clear" w:color="auto" w:fill="B3B3B3"/>
                </w:tcPr>
                <w:p w:rsidR="002A21AE" w:rsidRDefault="002A21AE">
                  <w:pPr>
                    <w:pStyle w:val="TableText"/>
                    <w:jc w:val="center"/>
                    <w:rPr>
                      <w:b/>
                    </w:rPr>
                  </w:pPr>
                  <w:r>
                    <w:rPr>
                      <w:b/>
                    </w:rPr>
                    <w:t>VBECS Translation</w:t>
                  </w:r>
                </w:p>
              </w:tc>
            </w:tr>
            <w:tr w:rsidR="002A21AE">
              <w:tc>
                <w:tcPr>
                  <w:tcW w:w="720" w:type="dxa"/>
                </w:tcPr>
                <w:p w:rsidR="002A21AE" w:rsidRDefault="002A21AE">
                  <w:pPr>
                    <w:pStyle w:val="TableText"/>
                    <w:jc w:val="center"/>
                  </w:pPr>
                  <w:r>
                    <w:t>1</w:t>
                  </w:r>
                </w:p>
              </w:tc>
              <w:tc>
                <w:tcPr>
                  <w:tcW w:w="2520" w:type="dxa"/>
                </w:tcPr>
                <w:p w:rsidR="002A21AE" w:rsidRDefault="002A21AE">
                  <w:pPr>
                    <w:pStyle w:val="TableText"/>
                  </w:pPr>
                  <w:r>
                    <w:t>1+</w:t>
                  </w:r>
                </w:p>
              </w:tc>
              <w:tc>
                <w:tcPr>
                  <w:tcW w:w="1260" w:type="dxa"/>
                </w:tcPr>
                <w:p w:rsidR="002A21AE" w:rsidRDefault="002A21AE">
                  <w:pPr>
                    <w:pStyle w:val="TableText"/>
                  </w:pPr>
                  <w:r>
                    <w:t>Positive</w:t>
                  </w:r>
                </w:p>
              </w:tc>
            </w:tr>
            <w:tr w:rsidR="002A21AE">
              <w:tc>
                <w:tcPr>
                  <w:tcW w:w="720" w:type="dxa"/>
                </w:tcPr>
                <w:p w:rsidR="002A21AE" w:rsidRDefault="002A21AE">
                  <w:pPr>
                    <w:pStyle w:val="TableText"/>
                    <w:jc w:val="center"/>
                  </w:pPr>
                  <w:r>
                    <w:t>2</w:t>
                  </w:r>
                </w:p>
              </w:tc>
              <w:tc>
                <w:tcPr>
                  <w:tcW w:w="2520" w:type="dxa"/>
                </w:tcPr>
                <w:p w:rsidR="002A21AE" w:rsidRDefault="002A21AE">
                  <w:pPr>
                    <w:pStyle w:val="TableText"/>
                  </w:pPr>
                  <w:r>
                    <w:t>2+</w:t>
                  </w:r>
                </w:p>
              </w:tc>
              <w:tc>
                <w:tcPr>
                  <w:tcW w:w="1260" w:type="dxa"/>
                </w:tcPr>
                <w:p w:rsidR="002A21AE" w:rsidRDefault="002A21AE">
                  <w:pPr>
                    <w:pStyle w:val="TableText"/>
                  </w:pPr>
                  <w:r>
                    <w:t>Positive</w:t>
                  </w:r>
                </w:p>
              </w:tc>
            </w:tr>
            <w:tr w:rsidR="002A21AE">
              <w:tc>
                <w:tcPr>
                  <w:tcW w:w="720" w:type="dxa"/>
                </w:tcPr>
                <w:p w:rsidR="002A21AE" w:rsidRDefault="002A21AE">
                  <w:pPr>
                    <w:pStyle w:val="TableText"/>
                    <w:jc w:val="center"/>
                  </w:pPr>
                  <w:r>
                    <w:t>3</w:t>
                  </w:r>
                </w:p>
              </w:tc>
              <w:tc>
                <w:tcPr>
                  <w:tcW w:w="2520" w:type="dxa"/>
                </w:tcPr>
                <w:p w:rsidR="002A21AE" w:rsidRDefault="002A21AE">
                  <w:pPr>
                    <w:pStyle w:val="TableText"/>
                  </w:pPr>
                  <w:r>
                    <w:t>3+</w:t>
                  </w:r>
                </w:p>
              </w:tc>
              <w:tc>
                <w:tcPr>
                  <w:tcW w:w="1260" w:type="dxa"/>
                </w:tcPr>
                <w:p w:rsidR="002A21AE" w:rsidRDefault="002A21AE">
                  <w:pPr>
                    <w:pStyle w:val="TableText"/>
                  </w:pPr>
                  <w:r>
                    <w:t>Positive</w:t>
                  </w:r>
                </w:p>
              </w:tc>
            </w:tr>
            <w:tr w:rsidR="002A21AE">
              <w:tc>
                <w:tcPr>
                  <w:tcW w:w="720" w:type="dxa"/>
                </w:tcPr>
                <w:p w:rsidR="002A21AE" w:rsidRDefault="002A21AE">
                  <w:pPr>
                    <w:pStyle w:val="TableText"/>
                    <w:jc w:val="center"/>
                  </w:pPr>
                  <w:r>
                    <w:t>4</w:t>
                  </w:r>
                </w:p>
              </w:tc>
              <w:tc>
                <w:tcPr>
                  <w:tcW w:w="2520" w:type="dxa"/>
                </w:tcPr>
                <w:p w:rsidR="002A21AE" w:rsidRDefault="002A21AE">
                  <w:pPr>
                    <w:pStyle w:val="TableText"/>
                  </w:pPr>
                  <w:r>
                    <w:t>4+</w:t>
                  </w:r>
                </w:p>
              </w:tc>
              <w:tc>
                <w:tcPr>
                  <w:tcW w:w="1260" w:type="dxa"/>
                </w:tcPr>
                <w:p w:rsidR="002A21AE" w:rsidRDefault="002A21AE">
                  <w:pPr>
                    <w:pStyle w:val="TableText"/>
                  </w:pPr>
                  <w:r>
                    <w:t>Positive</w:t>
                  </w:r>
                </w:p>
              </w:tc>
            </w:tr>
            <w:tr w:rsidR="006D384A">
              <w:tc>
                <w:tcPr>
                  <w:tcW w:w="720" w:type="dxa"/>
                </w:tcPr>
                <w:p w:rsidR="006D384A" w:rsidRDefault="006D384A">
                  <w:pPr>
                    <w:pStyle w:val="TableText"/>
                    <w:jc w:val="center"/>
                  </w:pPr>
                  <w:r>
                    <w:t>W</w:t>
                  </w:r>
                </w:p>
              </w:tc>
              <w:tc>
                <w:tcPr>
                  <w:tcW w:w="2520" w:type="dxa"/>
                </w:tcPr>
                <w:p w:rsidR="006D384A" w:rsidRDefault="006D384A">
                  <w:pPr>
                    <w:pStyle w:val="TableText"/>
                  </w:pPr>
                  <w:r>
                    <w:t>Weak</w:t>
                  </w:r>
                </w:p>
              </w:tc>
              <w:tc>
                <w:tcPr>
                  <w:tcW w:w="1260" w:type="dxa"/>
                </w:tcPr>
                <w:p w:rsidR="006D384A" w:rsidRDefault="006D384A" w:rsidP="0079413B">
                  <w:pPr>
                    <w:pStyle w:val="TableText"/>
                  </w:pPr>
                  <w:r>
                    <w:t>Positive</w:t>
                  </w:r>
                </w:p>
              </w:tc>
            </w:tr>
            <w:tr w:rsidR="006D384A">
              <w:tc>
                <w:tcPr>
                  <w:tcW w:w="720" w:type="dxa"/>
                </w:tcPr>
                <w:p w:rsidR="006D384A" w:rsidRDefault="006D384A">
                  <w:pPr>
                    <w:pStyle w:val="TableText"/>
                    <w:jc w:val="center"/>
                  </w:pPr>
                  <w:r>
                    <w:t>F</w:t>
                  </w:r>
                </w:p>
              </w:tc>
              <w:tc>
                <w:tcPr>
                  <w:tcW w:w="2520" w:type="dxa"/>
                </w:tcPr>
                <w:p w:rsidR="006D384A" w:rsidRDefault="006D384A">
                  <w:pPr>
                    <w:pStyle w:val="TableText"/>
                  </w:pPr>
                  <w:r>
                    <w:t>Mixed Field</w:t>
                  </w:r>
                </w:p>
              </w:tc>
              <w:tc>
                <w:tcPr>
                  <w:tcW w:w="1260" w:type="dxa"/>
                </w:tcPr>
                <w:p w:rsidR="006D384A" w:rsidRDefault="006D384A" w:rsidP="0079413B">
                  <w:pPr>
                    <w:pStyle w:val="TableText"/>
                  </w:pPr>
                  <w:r>
                    <w:t>Positive</w:t>
                  </w:r>
                </w:p>
              </w:tc>
            </w:tr>
            <w:tr w:rsidR="006D384A">
              <w:tc>
                <w:tcPr>
                  <w:tcW w:w="720" w:type="dxa"/>
                </w:tcPr>
                <w:p w:rsidR="006D384A" w:rsidRDefault="006D384A">
                  <w:pPr>
                    <w:pStyle w:val="TableText"/>
                    <w:jc w:val="center"/>
                  </w:pPr>
                  <w:r>
                    <w:t>M</w:t>
                  </w:r>
                </w:p>
              </w:tc>
              <w:tc>
                <w:tcPr>
                  <w:tcW w:w="2520" w:type="dxa"/>
                </w:tcPr>
                <w:p w:rsidR="006D384A" w:rsidRDefault="006D384A">
                  <w:pPr>
                    <w:pStyle w:val="TableText"/>
                  </w:pPr>
                  <w:r>
                    <w:t>Microscopic</w:t>
                  </w:r>
                </w:p>
              </w:tc>
              <w:tc>
                <w:tcPr>
                  <w:tcW w:w="1260" w:type="dxa"/>
                </w:tcPr>
                <w:p w:rsidR="006D384A" w:rsidRDefault="006D384A" w:rsidP="0079413B">
                  <w:pPr>
                    <w:pStyle w:val="TableText"/>
                  </w:pPr>
                  <w:r>
                    <w:t>Positive</w:t>
                  </w:r>
                </w:p>
              </w:tc>
            </w:tr>
            <w:tr w:rsidR="002A21AE">
              <w:tc>
                <w:tcPr>
                  <w:tcW w:w="720" w:type="dxa"/>
                </w:tcPr>
                <w:p w:rsidR="002A21AE" w:rsidRDefault="002A21AE">
                  <w:pPr>
                    <w:pStyle w:val="TableText"/>
                    <w:jc w:val="center"/>
                  </w:pPr>
                  <w:r>
                    <w:t>X</w:t>
                  </w:r>
                </w:p>
              </w:tc>
              <w:tc>
                <w:tcPr>
                  <w:tcW w:w="2520" w:type="dxa"/>
                </w:tcPr>
                <w:p w:rsidR="002A21AE" w:rsidRDefault="002A21AE">
                  <w:pPr>
                    <w:pStyle w:val="TableText"/>
                  </w:pPr>
                  <w:r>
                    <w:t>Not Tested</w:t>
                  </w:r>
                  <w:r w:rsidR="002F7FF1">
                    <w:t xml:space="preserve"> X (Not Tested) (does not indicate a disabled cell)</w:t>
                  </w:r>
                </w:p>
              </w:tc>
              <w:tc>
                <w:tcPr>
                  <w:tcW w:w="1260" w:type="dxa"/>
                </w:tcPr>
                <w:p w:rsidR="002A21AE" w:rsidRDefault="002A21AE">
                  <w:pPr>
                    <w:pStyle w:val="TableText"/>
                  </w:pPr>
                  <w:r>
                    <w:t>Not Tested</w:t>
                  </w:r>
                </w:p>
              </w:tc>
            </w:tr>
            <w:tr w:rsidR="002A21AE">
              <w:tc>
                <w:tcPr>
                  <w:tcW w:w="720" w:type="dxa"/>
                </w:tcPr>
                <w:p w:rsidR="002A21AE" w:rsidRDefault="002A21AE">
                  <w:pPr>
                    <w:pStyle w:val="TableText"/>
                    <w:jc w:val="center"/>
                  </w:pPr>
                  <w:r>
                    <w:t>0</w:t>
                  </w:r>
                </w:p>
              </w:tc>
              <w:tc>
                <w:tcPr>
                  <w:tcW w:w="2520" w:type="dxa"/>
                </w:tcPr>
                <w:p w:rsidR="002A21AE" w:rsidRDefault="002A21AE">
                  <w:pPr>
                    <w:pStyle w:val="TableText"/>
                  </w:pPr>
                  <w:r>
                    <w:t>No Agglutination</w:t>
                  </w:r>
                </w:p>
              </w:tc>
              <w:tc>
                <w:tcPr>
                  <w:tcW w:w="1260" w:type="dxa"/>
                </w:tcPr>
                <w:p w:rsidR="002A21AE" w:rsidRDefault="002A21AE">
                  <w:pPr>
                    <w:pStyle w:val="TableText"/>
                  </w:pPr>
                  <w:r>
                    <w:t>Negative</w:t>
                  </w:r>
                </w:p>
              </w:tc>
            </w:tr>
            <w:tr w:rsidR="002A21AE">
              <w:tc>
                <w:tcPr>
                  <w:tcW w:w="720" w:type="dxa"/>
                </w:tcPr>
                <w:p w:rsidR="002A21AE" w:rsidRDefault="002A21AE">
                  <w:pPr>
                    <w:pStyle w:val="TableText"/>
                    <w:jc w:val="center"/>
                  </w:pPr>
                  <w:r>
                    <w:t>R</w:t>
                  </w:r>
                </w:p>
              </w:tc>
              <w:tc>
                <w:tcPr>
                  <w:tcW w:w="2520" w:type="dxa"/>
                </w:tcPr>
                <w:p w:rsidR="002A21AE" w:rsidRDefault="002A21AE">
                  <w:pPr>
                    <w:pStyle w:val="TableText"/>
                  </w:pPr>
                  <w:r>
                    <w:t>Rouleaux, No Agglutination</w:t>
                  </w:r>
                </w:p>
              </w:tc>
              <w:tc>
                <w:tcPr>
                  <w:tcW w:w="1260" w:type="dxa"/>
                </w:tcPr>
                <w:p w:rsidR="002A21AE" w:rsidRDefault="002A21AE">
                  <w:pPr>
                    <w:pStyle w:val="TableText"/>
                  </w:pPr>
                  <w:r>
                    <w:t>Negative</w:t>
                  </w:r>
                </w:p>
              </w:tc>
            </w:tr>
          </w:tbl>
          <w:p w:rsidR="002A21AE" w:rsidRDefault="002A21AE">
            <w:pPr>
              <w:pStyle w:val="NotesText"/>
            </w:pPr>
          </w:p>
          <w:p w:rsidR="002A21AE" w:rsidRDefault="002A21AE">
            <w:pPr>
              <w:pStyle w:val="NotesText"/>
            </w:pPr>
            <w:r>
              <w:rPr>
                <w:rFonts w:cs="Arial"/>
                <w:vanish/>
              </w:rPr>
              <w:t>BR_41.19</w:t>
            </w:r>
            <w:r>
              <w:t>System rules establish row validation for the interpretation vs. reaction results pattern [for all user-indicated phase(s) of reactivity] for blood unit and quality control tests.</w:t>
            </w:r>
          </w:p>
          <w:p w:rsidR="002A21AE" w:rsidRDefault="002A21AE">
            <w:pPr>
              <w:pStyle w:val="NotesText"/>
            </w:pPr>
          </w:p>
          <w:p w:rsidR="002A21AE" w:rsidRDefault="002A21AE">
            <w:pPr>
              <w:pStyle w:val="NotesText"/>
            </w:pPr>
            <w:r>
              <w:rPr>
                <w:rFonts w:cs="Arial"/>
                <w:vanish/>
              </w:rPr>
              <w:t xml:space="preserve">BR_41.13 </w:t>
            </w:r>
            <w:r>
              <w:t>When completing previously saved partially completed testing, the user may not change the antiserum lot number, manufacturer name, or expiration date. The user must invalidate the antiserum testing and start over.</w:t>
            </w:r>
          </w:p>
        </w:tc>
      </w:tr>
      <w:tr w:rsidR="002A21AE">
        <w:tblPrEx>
          <w:tblCellMar>
            <w:top w:w="0" w:type="dxa"/>
            <w:bottom w:w="0" w:type="dxa"/>
          </w:tblCellMar>
        </w:tblPrEx>
        <w:tc>
          <w:tcPr>
            <w:tcW w:w="3240" w:type="dxa"/>
          </w:tcPr>
          <w:p w:rsidR="002A21AE" w:rsidRDefault="002A21AE">
            <w:pPr>
              <w:pStyle w:val="TableTextNumbers"/>
            </w:pPr>
            <w:r>
              <w:t>Enter results for selected patients and control cells.</w:t>
            </w:r>
          </w:p>
        </w:tc>
        <w:tc>
          <w:tcPr>
            <w:tcW w:w="6120" w:type="dxa"/>
          </w:tcPr>
          <w:p w:rsidR="002A21AE" w:rsidRDefault="002A21AE">
            <w:pPr>
              <w:pStyle w:val="TableTextBullet"/>
            </w:pPr>
            <w:r>
              <w:t>Prompts the user to confirm that results were reviewed and are acceptable.</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8400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52" name="Lin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0" o:spid="_x0000_s1026" style="position:absolute;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CL&#10;6/OGFgIAAC0EAAAOAAAAAAAAAAAAAAAAAC4CAABkcnMvZTJvRG9jLnhtbFBLAQItABQABgAIAAAA&#10;IQAXTzAS2wAAAAgBAAAPAAAAAAAAAAAAAAAAAHAEAABkcnMvZG93bnJldi54bWxQSwUGAAAAAAQA&#10;BADzAAAAeAUAAAAA&#10;" strokeweight="1.5pt"/>
                  </w:pict>
                </mc:Fallback>
              </mc:AlternateContent>
            </w:r>
            <w:r w:rsidR="002A21AE">
              <w:rPr>
                <w:b/>
                <w:bCs/>
                <w:szCs w:val="18"/>
              </w:rPr>
              <w:t>NOTES</w:t>
            </w:r>
          </w:p>
          <w:p w:rsidR="002A21AE" w:rsidRDefault="002A21AE">
            <w:pPr>
              <w:pStyle w:val="NotesText"/>
            </w:pPr>
          </w:p>
          <w:p w:rsidR="002A21AE" w:rsidRDefault="002A21AE">
            <w:pPr>
              <w:pStyle w:val="NotesText"/>
              <w:rPr>
                <w:rFonts w:eastAsia="Symbol"/>
              </w:rPr>
            </w:pPr>
            <w:r>
              <w:rPr>
                <w:rFonts w:cs="Arial"/>
                <w:vanish/>
              </w:rPr>
              <w:t>BR_98.01</w:t>
            </w:r>
            <w:r w:rsidR="004F5F28" w:rsidRPr="00323744">
              <w:rPr>
                <w:rStyle w:val="BullhornChar"/>
              </w:rPr>
              <w:t></w:t>
            </w:r>
            <w:r w:rsidR="004F5F28">
              <w:rPr>
                <w:rFonts w:ascii="Webdings" w:hAnsi="Webdings"/>
              </w:rPr>
              <w:t></w:t>
            </w:r>
            <w:r>
              <w:rPr>
                <w:rFonts w:eastAsia="Symbol"/>
              </w:rPr>
              <w:t xml:space="preserve">VBECS searches the current order and the patient’s historical record for previously entered red cell antigen results for each specificity within the user’s division and compares the results to prevent a discrepancy with previous test entries. When a discrepancy is found, VBECS </w:t>
            </w:r>
            <w:r>
              <w:t>emits an audible alert, notifies the user that t</w:t>
            </w:r>
            <w:r>
              <w:rPr>
                <w:rFonts w:eastAsia="Symbol"/>
              </w:rPr>
              <w:t>he current specimen and a previously entered antigen typing on this patient do not match, and asks whether the user wishes to save the current result.</w:t>
            </w:r>
          </w:p>
          <w:p w:rsidR="002A21AE" w:rsidRDefault="002A21AE">
            <w:pPr>
              <w:pStyle w:val="NotesText"/>
              <w:rPr>
                <w:rFonts w:eastAsia="Symbol"/>
                <w:b/>
              </w:rPr>
            </w:pPr>
          </w:p>
          <w:p w:rsidR="002A21AE" w:rsidRDefault="002A21AE">
            <w:pPr>
              <w:pStyle w:val="NotesText"/>
            </w:pPr>
            <w:r>
              <w:rPr>
                <w:rFonts w:eastAsia="Symbol"/>
                <w:b/>
              </w:rPr>
              <w:t>No</w:t>
            </w:r>
            <w:r>
              <w:rPr>
                <w:rFonts w:eastAsia="Symbol"/>
              </w:rPr>
              <w:t xml:space="preserve"> closes the form and returns to the grid. </w:t>
            </w:r>
            <w:r>
              <w:rPr>
                <w:rFonts w:eastAsia="Symbol"/>
                <w:b/>
              </w:rPr>
              <w:t>Yes</w:t>
            </w:r>
            <w:r>
              <w:rPr>
                <w:rFonts w:eastAsia="Symbol"/>
              </w:rPr>
              <w:t xml:space="preserve"> allows the user to update the conflicting results in the database and/or enter a comment explaining why he is accepting this result. VBECS captures details for inclusion in an Exception Report (</w:t>
            </w:r>
            <w:r>
              <w:rPr>
                <w:rFonts w:eastAsia="Symbol"/>
                <w:lang w:val="fr-CA"/>
              </w:rPr>
              <w:t>exception type: discrepant patient antigen typing).</w:t>
            </w:r>
          </w:p>
        </w:tc>
      </w:tr>
      <w:tr w:rsidR="002A21AE">
        <w:tblPrEx>
          <w:tblCellMar>
            <w:top w:w="0" w:type="dxa"/>
            <w:bottom w:w="0" w:type="dxa"/>
          </w:tblCellMar>
        </w:tblPrEx>
        <w:tc>
          <w:tcPr>
            <w:tcW w:w="3240" w:type="dxa"/>
          </w:tcPr>
          <w:p w:rsidR="002A21AE" w:rsidRDefault="002A21AE">
            <w:pPr>
              <w:pStyle w:val="TableTextNumbers"/>
            </w:pPr>
            <w:r>
              <w:t>Repeat Steps 5–9 for each antiserum type.</w:t>
            </w:r>
          </w:p>
        </w:tc>
        <w:tc>
          <w:tcPr>
            <w:tcW w:w="6120" w:type="dxa"/>
          </w:tcPr>
          <w:p w:rsidR="002A21AE" w:rsidRDefault="002A21AE">
            <w:pPr>
              <w:pStyle w:val="TableTextBullet"/>
            </w:pPr>
            <w:r>
              <w:t>Allows the user to save.</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8502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51" name="Lin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1" o:spid="_x0000_s1026" style="position:absolute;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HgSFgIAAC0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B8&#10;cHgSFgIAAC0EAAAOAAAAAAAAAAAAAAAAAC4CAABkcnMvZTJvRG9jLnhtbFBLAQItABQABgAIAAAA&#10;IQAXTzAS2wAAAAgBAAAPAAAAAAAAAAAAAAAAAHAEAABkcnMvZG93bnJldi54bWxQSwUGAAAAAAQA&#10;BADzAAAAeAUAAAAA&#10;" strokeweight="1.5pt"/>
                  </w:pict>
                </mc:Fallback>
              </mc:AlternateContent>
            </w:r>
            <w:r w:rsidR="002A21AE">
              <w:rPr>
                <w:b/>
                <w:bCs/>
                <w:szCs w:val="18"/>
              </w:rPr>
              <w:t>NOTES</w:t>
            </w:r>
          </w:p>
          <w:p w:rsidR="002A21AE" w:rsidRDefault="002A21AE">
            <w:pPr>
              <w:pStyle w:val="NotesText"/>
            </w:pPr>
          </w:p>
          <w:p w:rsidR="009256FE" w:rsidRDefault="009256FE" w:rsidP="009256FE">
            <w:pPr>
              <w:pStyle w:val="NotesText"/>
            </w:pPr>
            <w:r>
              <w:t>The positive and/or negative control cell test results on the date of testing must be a valid positive or negative.</w:t>
            </w:r>
          </w:p>
          <w:p w:rsidR="002A21AE" w:rsidRDefault="002A21AE" w:rsidP="009256FE">
            <w:pPr>
              <w:pStyle w:val="NotesText"/>
              <w:ind w:left="0"/>
            </w:pPr>
          </w:p>
        </w:tc>
      </w:tr>
      <w:tr w:rsidR="002A21AE">
        <w:tblPrEx>
          <w:tblCellMar>
            <w:top w:w="0" w:type="dxa"/>
            <w:bottom w:w="0" w:type="dxa"/>
          </w:tblCellMar>
        </w:tblPrEx>
        <w:tc>
          <w:tcPr>
            <w:tcW w:w="3240" w:type="dxa"/>
          </w:tcPr>
          <w:p w:rsidR="002A21AE" w:rsidRDefault="002A21AE">
            <w:pPr>
              <w:pStyle w:val="TableTextNumbers"/>
            </w:pPr>
            <w:r>
              <w:t xml:space="preserve">Respond to warnings and click </w:t>
            </w:r>
            <w:r>
              <w:rPr>
                <w:b/>
              </w:rPr>
              <w:t>OK</w:t>
            </w:r>
            <w:r>
              <w:t xml:space="preserve"> to save the data.</w:t>
            </w:r>
          </w:p>
        </w:tc>
        <w:tc>
          <w:tcPr>
            <w:tcW w:w="6120" w:type="dxa"/>
          </w:tcPr>
          <w:p w:rsidR="002A21AE" w:rsidRDefault="002A21AE">
            <w:pPr>
              <w:pStyle w:val="TableTextBullet"/>
            </w:pPr>
            <w:r>
              <w:t xml:space="preserve">Reconfirms that all appropriate test results are entered, repeats all data validation, and saves the data. </w:t>
            </w:r>
          </w:p>
        </w:tc>
      </w:tr>
      <w:tr w:rsidR="002A21AE">
        <w:tblPrEx>
          <w:tblCellMar>
            <w:top w:w="0" w:type="dxa"/>
            <w:bottom w:w="0" w:type="dxa"/>
          </w:tblCellMar>
        </w:tblPrEx>
        <w:tc>
          <w:tcPr>
            <w:tcW w:w="3240" w:type="dxa"/>
          </w:tcPr>
          <w:p w:rsidR="002A21AE" w:rsidRDefault="002A21AE">
            <w:pPr>
              <w:pStyle w:val="TableTextNumbers"/>
            </w:pPr>
            <w:r>
              <w:t xml:space="preserve">Click </w:t>
            </w:r>
            <w:r>
              <w:rPr>
                <w:b/>
              </w:rPr>
              <w:t>OK</w:t>
            </w:r>
            <w:r>
              <w:t xml:space="preserve"> to exit.</w:t>
            </w:r>
            <w:r w:rsidRPr="00B93B42">
              <w:rPr>
                <w:rStyle w:val="StyleTableTextNumbersWhite1Char"/>
              </w:rP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rsidR="002A21AE" w:rsidRDefault="002A21AE">
            <w:pPr>
              <w:pStyle w:val="TableTextBullet"/>
            </w:pPr>
            <w:r>
              <w:t>Saves the data.</w:t>
            </w:r>
          </w:p>
        </w:tc>
      </w:tr>
    </w:tbl>
    <w:p w:rsidR="002A21AE" w:rsidRDefault="00AA3667" w:rsidP="00AA3667">
      <w:pPr>
        <w:pStyle w:val="Caption"/>
      </w:pPr>
      <w:bookmarkStart w:id="494" w:name="_Ref126727198"/>
      <w:r>
        <w:lastRenderedPageBreak/>
        <w:t xml:space="preserve">Figure </w:t>
      </w:r>
      <w:r w:rsidR="00C17F7C">
        <w:fldChar w:fldCharType="begin"/>
      </w:r>
      <w:r w:rsidR="00C17F7C">
        <w:instrText xml:space="preserve"> SEQ Figure \* ARABIC </w:instrText>
      </w:r>
      <w:r w:rsidR="00C17F7C">
        <w:fldChar w:fldCharType="separate"/>
      </w:r>
      <w:r w:rsidR="005F38BC">
        <w:rPr>
          <w:noProof/>
        </w:rPr>
        <w:t>118</w:t>
      </w:r>
      <w:r w:rsidR="00C17F7C">
        <w:fldChar w:fldCharType="end"/>
      </w:r>
      <w:bookmarkEnd w:id="494"/>
      <w:r>
        <w:t>: Patient Testing Antigen Typing</w:t>
      </w:r>
      <w:r w:rsidR="001E3E16">
        <w:t xml:space="preserve"> (1)</w:t>
      </w:r>
    </w:p>
    <w:p w:rsidR="00AA3667" w:rsidRPr="00AA3667" w:rsidRDefault="00634BFC" w:rsidP="00AA3667">
      <w:pPr>
        <w:pStyle w:val="BodyText"/>
      </w:pPr>
      <w:r>
        <w:rPr>
          <w:noProof/>
        </w:rPr>
        <w:drawing>
          <wp:inline distT="0" distB="0" distL="0" distR="0">
            <wp:extent cx="5781675" cy="3552825"/>
            <wp:effectExtent l="0" t="0" r="9525" b="9525"/>
            <wp:docPr id="229" name="Picture 229" descr="Fig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Figure 11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781675" cy="3552825"/>
                    </a:xfrm>
                    <a:prstGeom prst="rect">
                      <a:avLst/>
                    </a:prstGeom>
                    <a:noFill/>
                    <a:ln>
                      <a:noFill/>
                    </a:ln>
                  </pic:spPr>
                </pic:pic>
              </a:graphicData>
            </a:graphic>
          </wp:inline>
        </w:drawing>
      </w:r>
    </w:p>
    <w:p w:rsidR="002A21AE" w:rsidRDefault="002A21AE">
      <w:pPr>
        <w:pStyle w:val="BodyText"/>
      </w:pPr>
    </w:p>
    <w:p w:rsidR="001E3E16" w:rsidRDefault="001E3E16" w:rsidP="001E3E16">
      <w:pPr>
        <w:pStyle w:val="Caption"/>
      </w:pPr>
      <w:bookmarkStart w:id="495" w:name="_Ref126727469"/>
      <w:r>
        <w:lastRenderedPageBreak/>
        <w:t xml:space="preserve">Figure </w:t>
      </w:r>
      <w:r w:rsidR="00C17F7C">
        <w:fldChar w:fldCharType="begin"/>
      </w:r>
      <w:r w:rsidR="00C17F7C">
        <w:instrText xml:space="preserve"> SEQ Figure \* ARABIC </w:instrText>
      </w:r>
      <w:r w:rsidR="00C17F7C">
        <w:fldChar w:fldCharType="separate"/>
      </w:r>
      <w:r w:rsidR="005F38BC">
        <w:rPr>
          <w:noProof/>
        </w:rPr>
        <w:t>119</w:t>
      </w:r>
      <w:r w:rsidR="00C17F7C">
        <w:fldChar w:fldCharType="end"/>
      </w:r>
      <w:bookmarkEnd w:id="495"/>
      <w:r>
        <w:t>: Patient Testing Antigen Typing (2)</w:t>
      </w:r>
    </w:p>
    <w:p w:rsidR="007810A1" w:rsidRDefault="00634BFC" w:rsidP="007810A1">
      <w:pPr>
        <w:pStyle w:val="BodyText"/>
      </w:pPr>
      <w:r>
        <w:rPr>
          <w:noProof/>
        </w:rPr>
        <w:drawing>
          <wp:inline distT="0" distB="0" distL="0" distR="0">
            <wp:extent cx="5934075" cy="444817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2A21AE" w:rsidRDefault="002A21AE">
      <w:pPr>
        <w:pStyle w:val="Heading3"/>
      </w:pPr>
      <w:r>
        <w:br w:type="page"/>
      </w:r>
      <w:bookmarkStart w:id="496" w:name="_Toc459900150"/>
      <w:r>
        <w:lastRenderedPageBreak/>
        <w:t xml:space="preserve">Patient Testing: </w:t>
      </w:r>
      <w:r w:rsidR="00244FCD">
        <w:t>Enter Antibody Identification Results</w:t>
      </w:r>
      <w:bookmarkEnd w:id="493"/>
      <w:bookmarkEnd w:id="496"/>
      <w:r>
        <w:fldChar w:fldCharType="begin"/>
      </w:r>
      <w:r>
        <w:instrText xml:space="preserve"> XE </w:instrText>
      </w:r>
      <w:r w:rsidR="00FA7E65">
        <w:instrText>“</w:instrText>
      </w:r>
      <w:r>
        <w:instrText xml:space="preserve">Patient Testing\: </w:instrText>
      </w:r>
      <w:r w:rsidR="00244FCD">
        <w:instrText>Enter Antibody Identification Results</w:instrText>
      </w:r>
      <w:r w:rsidR="00FA7E65">
        <w:instrText>”</w:instrText>
      </w:r>
      <w:r>
        <w:instrText xml:space="preserve"> </w:instrText>
      </w:r>
      <w:r>
        <w:fldChar w:fldCharType="end"/>
      </w:r>
      <w:r>
        <w:t xml:space="preserve"> </w:t>
      </w:r>
      <w:r>
        <w:rPr>
          <w:rFonts w:ascii="Times New Roman" w:hAnsi="Times New Roman" w:cs="Times New Roman"/>
          <w:b w:val="0"/>
          <w:vanish/>
          <w:sz w:val="22"/>
        </w:rPr>
        <w:t>UC_57</w:t>
      </w:r>
    </w:p>
    <w:p w:rsidR="002A21AE" w:rsidRDefault="002A21AE" w:rsidP="00FA7E65">
      <w:pPr>
        <w:pStyle w:val="BodyText"/>
      </w:pPr>
      <w:r>
        <w:t>The user records results of reflex tests needed to complete a patient blood bank antibody workup.</w:t>
      </w:r>
    </w:p>
    <w:p w:rsidR="002A21AE" w:rsidRDefault="002A21AE">
      <w:pPr>
        <w:pStyle w:val="Heading4"/>
      </w:pPr>
      <w:r>
        <w:t>Assumptions</w:t>
      </w:r>
    </w:p>
    <w:p w:rsidR="002A21AE" w:rsidRDefault="002A21AE">
      <w:pPr>
        <w:pStyle w:val="ListBullet"/>
      </w:pPr>
      <w:r>
        <w:t>An order for an antibody identification (ABID) was placed and is opened in the Pending Task List (PTL).</w:t>
      </w:r>
    </w:p>
    <w:p w:rsidR="002A21AE" w:rsidRDefault="002A21AE">
      <w:pPr>
        <w:pStyle w:val="Heading4"/>
      </w:pPr>
      <w:r>
        <w:t>Outcome</w:t>
      </w:r>
    </w:p>
    <w:p w:rsidR="002A21AE" w:rsidRDefault="002A21AE">
      <w:pPr>
        <w:pStyle w:val="ListBullet"/>
      </w:pPr>
      <w:r>
        <w:t>VBECS displays the ABID in the patient’s record, which the user may review by clicking an icon in the Patient Information Toolbar.</w:t>
      </w:r>
    </w:p>
    <w:p w:rsidR="002A21AE" w:rsidRDefault="002A21AE">
      <w:pPr>
        <w:pStyle w:val="ListBullet"/>
      </w:pPr>
      <w:r>
        <w:t>Entry of antibody specificity through this option may automatically set an antigen negative requirement [Transfusion Requirement (TR)] based on the division-specific parameters.</w:t>
      </w:r>
    </w:p>
    <w:p w:rsidR="002A21AE" w:rsidRDefault="002A21AE">
      <w:pPr>
        <w:pStyle w:val="Heading4"/>
      </w:pPr>
      <w:r>
        <w:t>Limitations and Restrictions</w:t>
      </w:r>
    </w:p>
    <w:p w:rsidR="002A21AE" w:rsidRDefault="00FC0A61">
      <w:pPr>
        <w:pStyle w:val="ListBullet"/>
      </w:pPr>
      <w:r>
        <w:t xml:space="preserve">When an antigen negative requirement is not </w:t>
      </w:r>
      <w:r w:rsidR="00FC3A2C">
        <w:t xml:space="preserve">configured </w:t>
      </w:r>
      <w:r>
        <w:t>for an antibody, the user may enter the requirement for a patient through Special Instructions &amp; Transfusion Requirements: Enter a Transfusion Requirement.</w:t>
      </w:r>
    </w:p>
    <w:p w:rsidR="002A21AE" w:rsidRDefault="002A21AE">
      <w:pPr>
        <w:pStyle w:val="Heading4"/>
      </w:pPr>
      <w:r>
        <w:t>Additional Information</w:t>
      </w:r>
    </w:p>
    <w:p w:rsidR="002A21AE" w:rsidRDefault="002A21AE">
      <w:pPr>
        <w:pStyle w:val="ListBullet"/>
      </w:pPr>
      <w:r>
        <w:t xml:space="preserve">Correction to verified patient data may be accessed only through </w:t>
      </w:r>
      <w:r>
        <w:rPr>
          <w:snapToGrid w:val="0"/>
        </w:rPr>
        <w:t>Invalidate Test Results</w:t>
      </w:r>
      <w:r>
        <w:t>.</w:t>
      </w:r>
    </w:p>
    <w:p w:rsidR="002A21AE" w:rsidRDefault="002A21AE">
      <w:pPr>
        <w:pStyle w:val="ListBullet"/>
      </w:pPr>
      <w:r>
        <w:t>Only one technologist at a time can enter test results for a selected PTL task.</w:t>
      </w:r>
    </w:p>
    <w:p w:rsidR="002A21AE" w:rsidRDefault="002A21AE">
      <w:pPr>
        <w:pStyle w:val="ListBullet"/>
      </w:pPr>
      <w:r>
        <w:t>Patient antigen testing is not included in this option.</w:t>
      </w:r>
    </w:p>
    <w:p w:rsidR="002A21AE" w:rsidRDefault="002A21AE">
      <w:pPr>
        <w:pStyle w:val="Heading4"/>
      </w:pPr>
      <w:r>
        <w:t>User Roles with Access to This Option</w:t>
      </w:r>
    </w:p>
    <w:p w:rsidR="002A21AE" w:rsidRDefault="0062763B">
      <w:pPr>
        <w:pStyle w:val="Roles"/>
        <w:rPr>
          <w:snapToGrid w:val="0"/>
        </w:rPr>
      </w:pPr>
      <w:r>
        <w:t>All users</w:t>
      </w:r>
    </w:p>
    <w:bookmarkEnd w:id="492"/>
    <w:p w:rsidR="002A21AE" w:rsidRDefault="002A21AE">
      <w:pPr>
        <w:pStyle w:val="Heading4"/>
      </w:pPr>
      <w:r>
        <w:t xml:space="preserve">Patient Testing: </w:t>
      </w:r>
      <w:r w:rsidR="00244FCD">
        <w:t>Enter Antibody Identification Results</w:t>
      </w:r>
    </w:p>
    <w:p w:rsidR="002A21AE" w:rsidRDefault="002A21AE" w:rsidP="00FA7E65">
      <w:pPr>
        <w:pStyle w:val="BodyText"/>
      </w:pPr>
      <w:r>
        <w:t>The user may select workload codes for work performed on-site during the ABID workup. When the ABID is performed off-site, the user enters the associated charges.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141448">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141448" w:rsidRDefault="00141448" w:rsidP="00141448">
            <w:pPr>
              <w:pStyle w:val="TableTextNumbers"/>
            </w:pPr>
            <w:r>
              <w:t xml:space="preserve">Select </w:t>
            </w:r>
            <w:r>
              <w:rPr>
                <w:b/>
              </w:rPr>
              <w:t>Patients</w:t>
            </w:r>
            <w:r>
              <w:t xml:space="preserve"> from the main menu.</w:t>
            </w:r>
          </w:p>
          <w:p w:rsidR="00141448" w:rsidRDefault="00141448" w:rsidP="00141448">
            <w:pPr>
              <w:pStyle w:val="TableTextNumbersContinued"/>
            </w:pPr>
          </w:p>
          <w:p w:rsidR="00141448" w:rsidRDefault="00141448" w:rsidP="00141448">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rsidR="00141448" w:rsidRDefault="00141448" w:rsidP="00141448">
            <w:pPr>
              <w:pStyle w:val="TableTextBullet"/>
            </w:pPr>
            <w:r>
              <w:t xml:space="preserve">Displays options for processing patient-related functions. </w:t>
            </w:r>
          </w:p>
          <w:p w:rsidR="00141448" w:rsidRDefault="00141448" w:rsidP="00141448">
            <w:pPr>
              <w:pStyle w:val="TableTextBullet"/>
            </w:pPr>
            <w:r>
              <w:t>Displays the Pending Task List (PTL) in the Diagnostic Tests tab.</w:t>
            </w:r>
          </w:p>
          <w:p w:rsidR="00141448" w:rsidRDefault="00141448" w:rsidP="00141448">
            <w:pPr>
              <w:pStyle w:val="NotesText"/>
            </w:pPr>
          </w:p>
          <w:p w:rsidR="00141448" w:rsidRDefault="00634BFC" w:rsidP="00141448">
            <w:pPr>
              <w:pStyle w:val="TableText"/>
              <w:rPr>
                <w:b/>
                <w:bCs/>
                <w:szCs w:val="18"/>
              </w:rPr>
            </w:pPr>
            <w:r>
              <w:rPr>
                <w:b/>
                <w:bCs/>
                <w:noProof/>
              </w:rPr>
              <mc:AlternateContent>
                <mc:Choice Requires="wps">
                  <w:drawing>
                    <wp:anchor distT="0" distB="0" distL="114300" distR="114300" simplePos="0" relativeHeight="25175603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50" name="Line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4" o:spid="_x0000_s1026" style="position:absolute;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" strokeweight="1.5pt"/>
                  </w:pict>
                </mc:Fallback>
              </mc:AlternateContent>
            </w:r>
            <w:r w:rsidR="00141448">
              <w:rPr>
                <w:b/>
                <w:bCs/>
                <w:szCs w:val="18"/>
              </w:rPr>
              <w:t>NOTES</w:t>
            </w:r>
          </w:p>
          <w:p w:rsidR="00141448" w:rsidRDefault="00141448" w:rsidP="00141448">
            <w:pPr>
              <w:pStyle w:val="NotesText"/>
            </w:pPr>
          </w:p>
          <w:p w:rsidR="00141448" w:rsidRDefault="00141448" w:rsidP="00141448">
            <w:pPr>
              <w:pStyle w:val="NotesText"/>
            </w:pPr>
            <w:r>
              <w:t>A user may search for specific tasks using search criteria detailed in Pending Task List.</w:t>
            </w:r>
          </w:p>
        </w:tc>
      </w:tr>
      <w:tr w:rsidR="00082F78">
        <w:tblPrEx>
          <w:tblCellMar>
            <w:top w:w="0" w:type="dxa"/>
            <w:bottom w:w="0" w:type="dxa"/>
          </w:tblCellMar>
        </w:tblPrEx>
        <w:tc>
          <w:tcPr>
            <w:tcW w:w="3240" w:type="dxa"/>
          </w:tcPr>
          <w:p w:rsidR="00082F78" w:rsidRDefault="00082F78" w:rsidP="00150254">
            <w:pPr>
              <w:pStyle w:val="TableTextNumbers"/>
            </w:pPr>
            <w:r>
              <w:t xml:space="preserve">Click one to four check boxes in the Pending Task List to select tasks for testing. </w:t>
            </w:r>
          </w:p>
          <w:p w:rsidR="00082F78" w:rsidRDefault="00082F78" w:rsidP="00150254">
            <w:pPr>
              <w:pStyle w:val="TableTextNumbersContinued"/>
            </w:pPr>
          </w:p>
          <w:p w:rsidR="00082F78" w:rsidRDefault="00082F78" w:rsidP="00150254">
            <w:pPr>
              <w:pStyle w:val="TableTextNumbersContinued"/>
            </w:pPr>
            <w:r>
              <w:t xml:space="preserve">Click </w:t>
            </w:r>
            <w:r>
              <w:rPr>
                <w:b/>
              </w:rPr>
              <w:t>OK</w:t>
            </w:r>
            <w:r>
              <w:t>.</w:t>
            </w:r>
          </w:p>
        </w:tc>
        <w:tc>
          <w:tcPr>
            <w:tcW w:w="6120" w:type="dxa"/>
          </w:tcPr>
          <w:p w:rsidR="00082F78" w:rsidRDefault="00082F78" w:rsidP="00150254">
            <w:pPr>
              <w:pStyle w:val="TableTextBullet"/>
            </w:pPr>
            <w:r>
              <w:t>Displays patient names and associated task information.</w:t>
            </w:r>
          </w:p>
        </w:tc>
      </w:tr>
      <w:tr w:rsidR="004216FC">
        <w:tblPrEx>
          <w:tblCellMar>
            <w:top w:w="0" w:type="dxa"/>
            <w:bottom w:w="0" w:type="dxa"/>
          </w:tblCellMar>
        </w:tblPrEx>
        <w:tc>
          <w:tcPr>
            <w:tcW w:w="3240" w:type="dxa"/>
          </w:tcPr>
          <w:p w:rsidR="004216FC" w:rsidRDefault="004216FC" w:rsidP="00142D18">
            <w:pPr>
              <w:pStyle w:val="TableTextNumbers"/>
            </w:pPr>
            <w:r>
              <w:t>Click a check box to select a reagent rack.</w:t>
            </w:r>
          </w:p>
          <w:p w:rsidR="004216FC" w:rsidRDefault="004216FC" w:rsidP="00142D18">
            <w:pPr>
              <w:pStyle w:val="TableTextNumbersContinued"/>
            </w:pPr>
          </w:p>
          <w:p w:rsidR="004216FC" w:rsidRDefault="004216FC" w:rsidP="00142D18">
            <w:pPr>
              <w:pStyle w:val="TableTextNumbersContinued"/>
            </w:pPr>
            <w:r>
              <w:t xml:space="preserve">Click </w:t>
            </w:r>
            <w:r>
              <w:rPr>
                <w:b/>
              </w:rPr>
              <w:t>OK</w:t>
            </w:r>
            <w:r>
              <w:t xml:space="preserve"> to continue with testing.</w:t>
            </w:r>
          </w:p>
        </w:tc>
        <w:tc>
          <w:tcPr>
            <w:tcW w:w="6120" w:type="dxa"/>
          </w:tcPr>
          <w:p w:rsidR="004216FC" w:rsidRDefault="004216FC" w:rsidP="00142D18">
            <w:pPr>
              <w:pStyle w:val="TableText"/>
            </w:pPr>
          </w:p>
          <w:p w:rsidR="004216FC" w:rsidRDefault="00634BFC" w:rsidP="00142D18">
            <w:pPr>
              <w:pStyle w:val="TableText"/>
              <w:rPr>
                <w:b/>
                <w:bCs/>
                <w:szCs w:val="18"/>
              </w:rPr>
            </w:pPr>
            <w:r>
              <w:rPr>
                <w:b/>
                <w:bCs/>
                <w:noProof/>
              </w:rPr>
              <mc:AlternateContent>
                <mc:Choice Requires="wps">
                  <w:drawing>
                    <wp:anchor distT="0" distB="0" distL="114300" distR="114300" simplePos="0" relativeHeight="25176012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49" name="Line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9" o:spid="_x0000_s1026" style="position:absolute;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bpCFgIAAC4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CI&#10;RbpCFgIAAC4EAAAOAAAAAAAAAAAAAAAAAC4CAABkcnMvZTJvRG9jLnhtbFBLAQItABQABgAIAAAA&#10;IQAXTzAS2wAAAAgBAAAPAAAAAAAAAAAAAAAAAHAEAABkcnMvZG93bnJldi54bWxQSwUGAAAAAAQA&#10;BADzAAAAeAUAAAAA&#10;" strokeweight="1.5pt"/>
                  </w:pict>
                </mc:Fallback>
              </mc:AlternateContent>
            </w:r>
            <w:r w:rsidR="004216FC">
              <w:rPr>
                <w:b/>
                <w:bCs/>
                <w:szCs w:val="18"/>
              </w:rPr>
              <w:t>NOTES</w:t>
            </w:r>
          </w:p>
          <w:p w:rsidR="004216FC" w:rsidRPr="004216FC" w:rsidRDefault="004216FC" w:rsidP="00142D18">
            <w:pPr>
              <w:pStyle w:val="NotesText"/>
              <w:rPr>
                <w:szCs w:val="18"/>
              </w:rPr>
            </w:pPr>
          </w:p>
          <w:p w:rsidR="004216FC" w:rsidRDefault="004216FC" w:rsidP="00142D18">
            <w:pPr>
              <w:pStyle w:val="NotesText"/>
            </w:pPr>
            <w:r w:rsidRPr="004216FC">
              <w:rPr>
                <w:rFonts w:cs="Arial"/>
                <w:szCs w:val="18"/>
              </w:rPr>
              <w:t>No</w:t>
            </w:r>
            <w:r w:rsidR="00EB1438">
              <w:rPr>
                <w:rFonts w:cs="Arial"/>
                <w:szCs w:val="18"/>
              </w:rPr>
              <w:t xml:space="preserve"> serologic</w:t>
            </w:r>
            <w:r w:rsidRPr="004216FC">
              <w:rPr>
                <w:rFonts w:cs="Arial"/>
                <w:szCs w:val="18"/>
              </w:rPr>
              <w:t xml:space="preserve"> testing is recorded for ABID.</w:t>
            </w:r>
          </w:p>
        </w:tc>
      </w:tr>
      <w:tr w:rsidR="002A21AE">
        <w:tblPrEx>
          <w:tblCellMar>
            <w:top w:w="0" w:type="dxa"/>
            <w:bottom w:w="0" w:type="dxa"/>
          </w:tblCellMar>
        </w:tblPrEx>
        <w:tc>
          <w:tcPr>
            <w:tcW w:w="3240" w:type="dxa"/>
          </w:tcPr>
          <w:p w:rsidR="002A21AE" w:rsidRDefault="002A21AE">
            <w:pPr>
              <w:pStyle w:val="TableTextNumbers"/>
            </w:pPr>
            <w:r>
              <w:t>Select antibodies.</w:t>
            </w:r>
          </w:p>
          <w:p w:rsidR="002A21AE" w:rsidRDefault="002A21AE">
            <w:pPr>
              <w:pStyle w:val="TableTextNumbersContinued"/>
            </w:pPr>
          </w:p>
          <w:p w:rsidR="002A21AE" w:rsidRDefault="002A21AE">
            <w:pPr>
              <w:pStyle w:val="TableTextNumbersContinued"/>
            </w:pPr>
            <w:r>
              <w:t>Enter associated testing details.</w:t>
            </w:r>
          </w:p>
          <w:p w:rsidR="002A21AE" w:rsidRDefault="002A21AE">
            <w:pPr>
              <w:pStyle w:val="TableTextNumbersContinued"/>
            </w:pPr>
          </w:p>
          <w:p w:rsidR="002A21AE" w:rsidRDefault="002A21AE">
            <w:pPr>
              <w:pStyle w:val="TableTextNumbersContinued"/>
            </w:pPr>
            <w:r>
              <w:t>Respond to comments and continue.</w:t>
            </w:r>
          </w:p>
          <w:p w:rsidR="002A21AE" w:rsidRDefault="002A21AE">
            <w:pPr>
              <w:pStyle w:val="TableTextNumbersContinued"/>
            </w:pPr>
          </w:p>
          <w:p w:rsidR="002A21AE" w:rsidRDefault="002A21AE">
            <w:pPr>
              <w:pStyle w:val="TableTextNumbersContinued"/>
            </w:pPr>
            <w:r>
              <w:t>Verify Patient information.</w:t>
            </w:r>
          </w:p>
          <w:p w:rsidR="002A21AE" w:rsidRDefault="002A21AE">
            <w:pPr>
              <w:pStyle w:val="TableTextNumbersContinued"/>
            </w:pPr>
          </w:p>
          <w:p w:rsidR="002A21AE" w:rsidRDefault="002A21AE">
            <w:pPr>
              <w:pStyle w:val="TableTextNumbersContinued"/>
            </w:pPr>
            <w:r>
              <w:t xml:space="preserve">Click </w:t>
            </w:r>
            <w:r>
              <w:rPr>
                <w:b/>
              </w:rPr>
              <w:t>OK</w:t>
            </w:r>
            <w:r>
              <w:t xml:space="preserve">. </w:t>
            </w:r>
          </w:p>
        </w:tc>
        <w:tc>
          <w:tcPr>
            <w:tcW w:w="6120" w:type="dxa"/>
          </w:tcPr>
          <w:p w:rsidR="002A21AE" w:rsidRDefault="002A21AE">
            <w:pPr>
              <w:pStyle w:val="TableTextBullet"/>
            </w:pPr>
            <w:r>
              <w:rPr>
                <w:rFonts w:cs="Arial"/>
                <w:vanish/>
              </w:rPr>
              <w:lastRenderedPageBreak/>
              <w:t xml:space="preserve">BR_57.02 </w:t>
            </w:r>
            <w:r>
              <w:t xml:space="preserve">Displays the list of antibodies and allows the user to select from the identified specificities and to add antibodies or to indicate that no antibody was identified. </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9014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48" name="Line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4" o:spid="_x0000_s1026" style="position:absolute;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j8JFQIAAC0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N16&#10;Pwk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BR_57.03 </w:t>
            </w:r>
            <w:r>
              <w:t>Multiple workload codes may apply when work is performed on-site.</w:t>
            </w:r>
          </w:p>
        </w:tc>
      </w:tr>
      <w:tr w:rsidR="002A21AE">
        <w:tblPrEx>
          <w:tblCellMar>
            <w:top w:w="0" w:type="dxa"/>
            <w:bottom w:w="0" w:type="dxa"/>
          </w:tblCellMar>
        </w:tblPrEx>
        <w:tc>
          <w:tcPr>
            <w:tcW w:w="3240" w:type="dxa"/>
          </w:tcPr>
          <w:p w:rsidR="002A21AE" w:rsidRDefault="002A21AE">
            <w:pPr>
              <w:pStyle w:val="TableTextNumbers"/>
            </w:pPr>
            <w:r>
              <w:lastRenderedPageBreak/>
              <w:t xml:space="preserve">Review the selections displayed. Return to Step 1 to change selections when necessary. </w:t>
            </w:r>
          </w:p>
          <w:p w:rsidR="002A21AE" w:rsidRDefault="002A21AE">
            <w:pPr>
              <w:pStyle w:val="TableTextNumbersContinued"/>
            </w:pPr>
          </w:p>
          <w:p w:rsidR="002A21AE" w:rsidRDefault="002A21AE">
            <w:pPr>
              <w:pStyle w:val="TableTextNumbersContinued"/>
            </w:pPr>
            <w:r>
              <w:t>Accept the reviewed entries.</w:t>
            </w:r>
          </w:p>
        </w:tc>
        <w:tc>
          <w:tcPr>
            <w:tcW w:w="6120" w:type="dxa"/>
          </w:tcPr>
          <w:p w:rsidR="002A21AE" w:rsidRDefault="002A21AE">
            <w:pPr>
              <w:pStyle w:val="TableTextBullet"/>
            </w:pPr>
            <w:r>
              <w:t>Displays applicable data fields for the ordered ABID.</w:t>
            </w:r>
          </w:p>
          <w:p w:rsidR="002A21AE" w:rsidRDefault="002A21AE">
            <w:pPr>
              <w:pStyle w:val="TableTextBullet"/>
            </w:pPr>
            <w:r>
              <w:t>Allows the user to indicate the testing site and associated billing from outside sources.</w:t>
            </w:r>
          </w:p>
        </w:tc>
      </w:tr>
      <w:tr w:rsidR="002A21AE">
        <w:tblPrEx>
          <w:tblCellMar>
            <w:top w:w="0" w:type="dxa"/>
            <w:bottom w:w="0" w:type="dxa"/>
          </w:tblCellMar>
        </w:tblPrEx>
        <w:tc>
          <w:tcPr>
            <w:tcW w:w="3240" w:type="dxa"/>
          </w:tcPr>
          <w:p w:rsidR="002A21AE" w:rsidRDefault="002A21AE">
            <w:pPr>
              <w:pStyle w:val="TableTextNumbers"/>
            </w:pPr>
            <w:r>
              <w:t>Enter the location where testing was performed and cost, when off-site.</w:t>
            </w:r>
          </w:p>
        </w:tc>
        <w:tc>
          <w:tcPr>
            <w:tcW w:w="6120" w:type="dxa"/>
          </w:tcPr>
          <w:p w:rsidR="002A21AE" w:rsidRDefault="002A21AE">
            <w:pPr>
              <w:pStyle w:val="TableTextBullet"/>
            </w:pPr>
            <w:r>
              <w:t>Requires the user to indicate whether the ABID was performed at the division and/or off-site and saves that information with the ABID.</w:t>
            </w:r>
          </w:p>
          <w:p w:rsidR="002A21AE" w:rsidRDefault="002A21AE">
            <w:pPr>
              <w:pStyle w:val="TableTextBullet"/>
            </w:pPr>
            <w:r>
              <w:rPr>
                <w:rFonts w:cs="Arial"/>
                <w:vanish/>
              </w:rPr>
              <w:t xml:space="preserve">BR_57.04 </w:t>
            </w:r>
            <w:r>
              <w:t xml:space="preserve">Allows the user to enter a charge, but not the workload, when the ABID work was performed off-site. </w:t>
            </w:r>
          </w:p>
          <w:p w:rsidR="002A21AE" w:rsidRDefault="002A21AE">
            <w:pPr>
              <w:pStyle w:val="TableTextBullet"/>
            </w:pPr>
            <w:r>
              <w:t>Allows the user to indicate multiples of any processes when a test was performed on-site.</w:t>
            </w:r>
          </w:p>
          <w:p w:rsidR="002A21AE" w:rsidRDefault="002A21AE">
            <w:pPr>
              <w:pStyle w:val="TableTextBullet"/>
            </w:pPr>
            <w:r>
              <w:t xml:space="preserve">Allows the user to enter comments. </w:t>
            </w:r>
          </w:p>
        </w:tc>
      </w:tr>
      <w:tr w:rsidR="002A21AE">
        <w:tblPrEx>
          <w:tblCellMar>
            <w:top w:w="0" w:type="dxa"/>
            <w:bottom w:w="0" w:type="dxa"/>
          </w:tblCellMar>
        </w:tblPrEx>
        <w:tc>
          <w:tcPr>
            <w:tcW w:w="3240" w:type="dxa"/>
          </w:tcPr>
          <w:p w:rsidR="002A21AE" w:rsidRDefault="002A21AE">
            <w:pPr>
              <w:pStyle w:val="TableTextNumbers"/>
            </w:pPr>
            <w:r>
              <w:t>Review the antibody tests entered and comments selected and, when necessary, change them before accepting</w:t>
            </w:r>
            <w:r w:rsidR="005D0D2B">
              <w:t xml:space="preserve"> (</w:t>
            </w:r>
            <w:r w:rsidR="005D0D2B">
              <w:fldChar w:fldCharType="begin"/>
            </w:r>
            <w:r w:rsidR="005D0D2B">
              <w:instrText xml:space="preserve"> REF _Ref127092401 \h </w:instrText>
            </w:r>
            <w:r w:rsidR="005D0D2B">
              <w:fldChar w:fldCharType="separate"/>
            </w:r>
            <w:r w:rsidR="005F38BC">
              <w:t>Figur</w:t>
            </w:r>
            <w:r w:rsidR="005F38BC">
              <w:t>e</w:t>
            </w:r>
            <w:r w:rsidR="005F38BC">
              <w:t xml:space="preserve"> </w:t>
            </w:r>
            <w:r w:rsidR="005F38BC">
              <w:rPr>
                <w:noProof/>
              </w:rPr>
              <w:t>120</w:t>
            </w:r>
            <w:r w:rsidR="005D0D2B">
              <w:fldChar w:fldCharType="end"/>
            </w:r>
            <w:r w:rsidR="005D0D2B">
              <w:t>)</w:t>
            </w:r>
            <w:r>
              <w:t xml:space="preserve">. </w:t>
            </w:r>
          </w:p>
        </w:tc>
        <w:tc>
          <w:tcPr>
            <w:tcW w:w="6120" w:type="dxa"/>
          </w:tcPr>
          <w:p w:rsidR="002A21AE" w:rsidRDefault="002A21AE">
            <w:pPr>
              <w:pStyle w:val="TableTextBullet"/>
            </w:pPr>
            <w:r>
              <w:t>Displays the requirements for antigen negative blood components, if any, based on the antibody entered.</w:t>
            </w:r>
          </w:p>
          <w:p w:rsidR="002A21AE" w:rsidRDefault="002A21AE">
            <w:pPr>
              <w:pStyle w:val="TableText"/>
            </w:pPr>
          </w:p>
        </w:tc>
      </w:tr>
      <w:tr w:rsidR="002A21AE">
        <w:tblPrEx>
          <w:tblCellMar>
            <w:top w:w="0" w:type="dxa"/>
            <w:bottom w:w="0" w:type="dxa"/>
          </w:tblCellMar>
        </w:tblPrEx>
        <w:tc>
          <w:tcPr>
            <w:tcW w:w="3240" w:type="dxa"/>
          </w:tcPr>
          <w:p w:rsidR="002A21AE" w:rsidRDefault="002A21AE">
            <w:pPr>
              <w:pStyle w:val="TableTextNumbers"/>
            </w:pPr>
            <w:r>
              <w:t xml:space="preserve">Click </w:t>
            </w:r>
            <w:r>
              <w:rPr>
                <w:b/>
              </w:rPr>
              <w:t>OK</w:t>
            </w:r>
            <w:r>
              <w:t xml:space="preserve"> to save the information to the database.</w:t>
            </w:r>
          </w:p>
        </w:tc>
        <w:tc>
          <w:tcPr>
            <w:tcW w:w="6120" w:type="dxa"/>
          </w:tcPr>
          <w:p w:rsidR="002A21AE" w:rsidRDefault="00B6515C" w:rsidP="00B6515C">
            <w:pPr>
              <w:pStyle w:val="TableTextBullet"/>
            </w:pPr>
            <w:r>
              <w:t>Saves the data.</w:t>
            </w:r>
          </w:p>
        </w:tc>
      </w:tr>
      <w:tr w:rsidR="002A21AE">
        <w:tblPrEx>
          <w:tblCellMar>
            <w:top w:w="0" w:type="dxa"/>
            <w:bottom w:w="0" w:type="dxa"/>
          </w:tblCellMar>
        </w:tblPrEx>
        <w:tc>
          <w:tcPr>
            <w:tcW w:w="3240" w:type="dxa"/>
          </w:tcPr>
          <w:p w:rsidR="002A21AE" w:rsidRDefault="002A21AE">
            <w:pPr>
              <w:pStyle w:val="TableTextNumbers"/>
            </w:pPr>
            <w:r>
              <w:t xml:space="preserve">Click </w:t>
            </w:r>
            <w:r>
              <w:rPr>
                <w:b/>
              </w:rPr>
              <w:t xml:space="preserve">OK </w:t>
            </w:r>
            <w:r>
              <w:t xml:space="preserve">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rsidR="002A21AE" w:rsidRDefault="002A21AE">
            <w:pPr>
              <w:pStyle w:val="TableText"/>
            </w:pPr>
          </w:p>
        </w:tc>
      </w:tr>
    </w:tbl>
    <w:p w:rsidR="005D0D2B" w:rsidRDefault="005D0D2B" w:rsidP="005D0D2B">
      <w:pPr>
        <w:pStyle w:val="Caption"/>
      </w:pPr>
      <w:bookmarkStart w:id="497" w:name="_Ref127092401"/>
      <w:r>
        <w:t xml:space="preserve">Figure </w:t>
      </w:r>
      <w:r w:rsidR="00C17F7C">
        <w:fldChar w:fldCharType="begin"/>
      </w:r>
      <w:r w:rsidR="00C17F7C">
        <w:instrText xml:space="preserve"> SEQ Figure \* ARABIC </w:instrText>
      </w:r>
      <w:r w:rsidR="00C17F7C">
        <w:fldChar w:fldCharType="separate"/>
      </w:r>
      <w:r w:rsidR="005F38BC">
        <w:rPr>
          <w:noProof/>
        </w:rPr>
        <w:t>120</w:t>
      </w:r>
      <w:r w:rsidR="00C17F7C">
        <w:fldChar w:fldCharType="end"/>
      </w:r>
      <w:bookmarkEnd w:id="497"/>
      <w:r>
        <w:t>: Patient Testing Antibody Identification</w:t>
      </w:r>
    </w:p>
    <w:p w:rsidR="002A21AE" w:rsidRDefault="00634BFC" w:rsidP="005D0D2B">
      <w:pPr>
        <w:pStyle w:val="BodyText"/>
      </w:pPr>
      <w:r>
        <w:rPr>
          <w:noProof/>
        </w:rPr>
        <w:drawing>
          <wp:inline distT="0" distB="0" distL="0" distR="0">
            <wp:extent cx="5791200" cy="3552825"/>
            <wp:effectExtent l="0" t="0" r="0" b="9525"/>
            <wp:docPr id="231" name="Picture 231" descr="Fig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Figure 12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791200" cy="3552825"/>
                    </a:xfrm>
                    <a:prstGeom prst="rect">
                      <a:avLst/>
                    </a:prstGeom>
                    <a:noFill/>
                    <a:ln>
                      <a:noFill/>
                    </a:ln>
                  </pic:spPr>
                </pic:pic>
              </a:graphicData>
            </a:graphic>
          </wp:inline>
        </w:drawing>
      </w:r>
    </w:p>
    <w:p w:rsidR="002A21AE" w:rsidRDefault="00746454">
      <w:pPr>
        <w:pStyle w:val="Heading3"/>
      </w:pPr>
      <w:r>
        <w:br w:type="page"/>
      </w:r>
      <w:bookmarkStart w:id="498" w:name="_Toc459900151"/>
      <w:r w:rsidR="002A21AE">
        <w:lastRenderedPageBreak/>
        <w:t>Patient Testing: Record a Transfusion Reaction Workup</w:t>
      </w:r>
      <w:bookmarkEnd w:id="498"/>
      <w:r w:rsidR="002A21AE">
        <w:fldChar w:fldCharType="begin"/>
      </w:r>
      <w:r w:rsidR="002A21AE">
        <w:instrText xml:space="preserve"> XE </w:instrText>
      </w:r>
      <w:r w:rsidR="00FA7E65">
        <w:instrText>“</w:instrText>
      </w:r>
      <w:r w:rsidR="002A21AE">
        <w:instrText>Patient Testing\: Record a Transfusion Reaction Workup</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UC_21</w:t>
      </w:r>
    </w:p>
    <w:p w:rsidR="002A21AE" w:rsidRDefault="002A21AE" w:rsidP="00FA7E65">
      <w:pPr>
        <w:pStyle w:val="BodyText"/>
      </w:pPr>
      <w:r>
        <w:t xml:space="preserve">The user documents a transfusion reaction workup (TRW). </w:t>
      </w:r>
    </w:p>
    <w:p w:rsidR="002A21AE" w:rsidRDefault="002A21AE">
      <w:pPr>
        <w:pStyle w:val="Heading4"/>
      </w:pPr>
      <w:r>
        <w:t>Assumptions</w:t>
      </w:r>
      <w:r>
        <w:rPr>
          <w:b w:val="0"/>
        </w:rPr>
        <w:t xml:space="preserve"> </w:t>
      </w:r>
    </w:p>
    <w:p w:rsidR="002A21AE" w:rsidRDefault="002A21AE">
      <w:pPr>
        <w:pStyle w:val="ListBullet"/>
      </w:pPr>
      <w:r>
        <w:t>A TRW is ordered and is “not started” or “in progress” on the Pending Task List (PTL).</w:t>
      </w:r>
    </w:p>
    <w:p w:rsidR="002A21AE" w:rsidRDefault="002A21AE">
      <w:pPr>
        <w:pStyle w:val="Heading4"/>
      </w:pPr>
      <w:r>
        <w:t xml:space="preserve">Outcome </w:t>
      </w:r>
    </w:p>
    <w:p w:rsidR="002A21AE" w:rsidRDefault="002A21AE">
      <w:pPr>
        <w:pStyle w:val="ListBullet"/>
      </w:pPr>
      <w:r>
        <w:t>The user views or prints a preliminary TRW report of findings.</w:t>
      </w:r>
    </w:p>
    <w:p w:rsidR="002A21AE" w:rsidRDefault="002A21AE">
      <w:pPr>
        <w:pStyle w:val="ListBullet"/>
      </w:pPr>
      <w:r>
        <w:t>Preliminary report findings are available for display in CPRS.</w:t>
      </w:r>
    </w:p>
    <w:p w:rsidR="002A21AE" w:rsidRDefault="002A21AE">
      <w:pPr>
        <w:pStyle w:val="Heading4"/>
      </w:pPr>
      <w:r>
        <w:t>Limitations and Restrictions</w:t>
      </w:r>
      <w:r>
        <w:rPr>
          <w:b w:val="0"/>
        </w:rPr>
        <w:t xml:space="preserve"> </w:t>
      </w:r>
    </w:p>
    <w:p w:rsidR="002A21AE" w:rsidRDefault="002A21AE">
      <w:pPr>
        <w:pStyle w:val="ListBullet"/>
      </w:pPr>
      <w:r>
        <w:t xml:space="preserve">Adverse reactions to transfusion detected at a later time (disease transmission) are </w:t>
      </w:r>
      <w:r w:rsidR="00814F27">
        <w:t>not recorded</w:t>
      </w:r>
      <w:r>
        <w:t xml:space="preserve"> through </w:t>
      </w:r>
      <w:r w:rsidR="00814F27">
        <w:t xml:space="preserve">this option. Refer </w:t>
      </w:r>
      <w:r w:rsidR="00357A19">
        <w:t>to Transfusion</w:t>
      </w:r>
      <w:r>
        <w:t xml:space="preserve"> Complications Report.</w:t>
      </w:r>
    </w:p>
    <w:p w:rsidR="002A21AE" w:rsidRDefault="002A21AE">
      <w:pPr>
        <w:pStyle w:val="Heading4"/>
      </w:pPr>
      <w:r>
        <w:t xml:space="preserve">Additional Information </w:t>
      </w:r>
    </w:p>
    <w:p w:rsidR="002A21AE" w:rsidRDefault="002A21AE">
      <w:pPr>
        <w:pStyle w:val="ListBullet"/>
      </w:pPr>
      <w:r>
        <w:t xml:space="preserve">All implicated units are added to data grids. </w:t>
      </w:r>
    </w:p>
    <w:p w:rsidR="002A21AE" w:rsidRDefault="002A21AE">
      <w:pPr>
        <w:pStyle w:val="ListBullet"/>
      </w:pPr>
      <w:r>
        <w:t>Testing is based on local policies.</w:t>
      </w:r>
    </w:p>
    <w:p w:rsidR="002A21AE" w:rsidRDefault="002A21AE">
      <w:pPr>
        <w:pStyle w:val="ListBullet"/>
      </w:pPr>
      <w:r>
        <w:rPr>
          <w:rFonts w:ascii="Arial" w:hAnsi="Arial" w:cs="Arial"/>
          <w:vanish/>
          <w:spacing w:val="0"/>
          <w:sz w:val="18"/>
        </w:rPr>
        <w:t xml:space="preserve">BR_21.30 </w:t>
      </w:r>
      <w:r>
        <w:rPr>
          <w:color w:val="000000"/>
          <w:szCs w:val="18"/>
        </w:rPr>
        <w:t xml:space="preserve">VBECS allows the user to invalidate previously entered and saved information. When the user invalidates specimen data entered, VBECS invalidates </w:t>
      </w:r>
      <w:r w:rsidR="005B0C5A">
        <w:rPr>
          <w:color w:val="000000"/>
          <w:szCs w:val="18"/>
        </w:rPr>
        <w:t>the TRW</w:t>
      </w:r>
      <w:r>
        <w:rPr>
          <w:color w:val="000000"/>
          <w:szCs w:val="18"/>
        </w:rPr>
        <w:t>.</w:t>
      </w:r>
    </w:p>
    <w:p w:rsidR="002A21AE" w:rsidRDefault="002A21AE">
      <w:pPr>
        <w:pStyle w:val="ListBullet"/>
      </w:pPr>
      <w:r>
        <w:t>A delayed hemolytic transfusion reaction is typically identified about 7 to 10 days post-transfusion</w:t>
      </w:r>
      <w:r w:rsidR="0015352F">
        <w:t xml:space="preserve">. It may be </w:t>
      </w:r>
      <w:r>
        <w:t>addressed in this option</w:t>
      </w:r>
      <w:r w:rsidR="003F3A76">
        <w:t xml:space="preserve"> or as an</w:t>
      </w:r>
      <w:r>
        <w:t xml:space="preserve"> antibody identification.</w:t>
      </w:r>
      <w:r w:rsidR="00BF0C0F">
        <w:t xml:space="preserve"> (See Patient Testing: Enter Antibody Identification Results.)</w:t>
      </w:r>
    </w:p>
    <w:p w:rsidR="002A21AE" w:rsidRDefault="002A21AE">
      <w:pPr>
        <w:pStyle w:val="ListBullet"/>
      </w:pPr>
      <w:r>
        <w:t>This test record is not editable after the user saves it to the database. When a correction needs to be filed, a corrected report must be generated, as described in Invalidate Test Results.</w:t>
      </w:r>
    </w:p>
    <w:p w:rsidR="002A21AE" w:rsidRDefault="002A21AE">
      <w:pPr>
        <w:pStyle w:val="ListBullet"/>
      </w:pPr>
      <w:r>
        <w:t>See the printed chart copy for the medical director’s signature and TRW interpretation, as described in Finalize/Print TRW.</w:t>
      </w:r>
    </w:p>
    <w:p w:rsidR="002A21AE" w:rsidRDefault="002A21AE">
      <w:pPr>
        <w:pStyle w:val="ListBullet"/>
      </w:pPr>
      <w:r>
        <w:t xml:space="preserve">A </w:t>
      </w:r>
      <w:r w:rsidR="00BF0C0F">
        <w:t xml:space="preserve">user may order a </w:t>
      </w:r>
      <w:r>
        <w:t>TRW</w:t>
      </w:r>
      <w:r w:rsidR="005B0C5A">
        <w:t xml:space="preserve"> </w:t>
      </w:r>
      <w:r>
        <w:t>prior to the completion of a unit’s transfusion record.</w:t>
      </w:r>
    </w:p>
    <w:p w:rsidR="005B0C5A" w:rsidRDefault="005B0C5A" w:rsidP="005B0C5A">
      <w:pPr>
        <w:pStyle w:val="ListBullet"/>
      </w:pPr>
      <w:r>
        <w:t xml:space="preserve">The </w:t>
      </w:r>
      <w:r w:rsidR="009771E4">
        <w:t xml:space="preserve">user must complete the </w:t>
      </w:r>
      <w:r>
        <w:t>unit’s transfusion record prior to implicating a unit in a TRW.</w:t>
      </w:r>
    </w:p>
    <w:p w:rsidR="002A21AE" w:rsidRDefault="002A21AE">
      <w:pPr>
        <w:pStyle w:val="ListBullet"/>
      </w:pPr>
      <w:r>
        <w:t xml:space="preserve">These data remain encapsulated as part of the TRW and </w:t>
      </w:r>
      <w:r w:rsidR="00855A2D">
        <w:t xml:space="preserve">are not saved, compared to the patient record, or </w:t>
      </w:r>
      <w:r>
        <w:t>associated with other pre-transfusion grid testing.</w:t>
      </w:r>
    </w:p>
    <w:p w:rsidR="002A21AE" w:rsidRDefault="002A21AE">
      <w:pPr>
        <w:pStyle w:val="ListBullet"/>
      </w:pPr>
      <w:r>
        <w:rPr>
          <w:rFonts w:ascii="Arial" w:hAnsi="Arial" w:cs="Arial"/>
          <w:vanish/>
          <w:spacing w:val="0"/>
          <w:sz w:val="18"/>
        </w:rPr>
        <w:t xml:space="preserve">BR_21.26 </w:t>
      </w:r>
      <w:r>
        <w:t>TRW ABO/Rh typing results are not saved as historical ABO/Rh typing results. These test records are maintained as part of the TRW only.</w:t>
      </w:r>
    </w:p>
    <w:p w:rsidR="002A21AE" w:rsidRDefault="002A21AE">
      <w:pPr>
        <w:pStyle w:val="Heading4"/>
        <w:rPr>
          <w:b w:val="0"/>
        </w:rPr>
      </w:pPr>
      <w:r>
        <w:t>User Roles with Access to This Option</w:t>
      </w:r>
      <w:r>
        <w:rPr>
          <w:b w:val="0"/>
        </w:rPr>
        <w:t xml:space="preserve"> </w:t>
      </w:r>
    </w:p>
    <w:p w:rsidR="002A21AE" w:rsidRDefault="00A13077">
      <w:pPr>
        <w:pStyle w:val="Roles"/>
        <w:rPr>
          <w:snapToGrid w:val="0"/>
        </w:rPr>
      </w:pPr>
      <w:r>
        <w:t>All users</w:t>
      </w:r>
    </w:p>
    <w:p w:rsidR="002A21AE" w:rsidRDefault="00746454">
      <w:pPr>
        <w:pStyle w:val="Heading4"/>
      </w:pPr>
      <w:r>
        <w:br w:type="page"/>
      </w:r>
      <w:r w:rsidR="002A21AE">
        <w:lastRenderedPageBreak/>
        <w:t xml:space="preserve">Patient Testing: Record a Transfusion Reaction Workup </w:t>
      </w:r>
    </w:p>
    <w:p w:rsidR="002A21AE" w:rsidRDefault="002A21AE" w:rsidP="00FA7E65">
      <w:pPr>
        <w:pStyle w:val="BodyText"/>
      </w:pPr>
      <w:r>
        <w:t xml:space="preserve">The user accepts the TRW order, inspects the sample for hemolysis, and performs implicated clerical checks. The TRW may require entry of patient data, including vital signs and serologic test results. A signed, printed TRW report must be filed with the patient’s chart. </w:t>
      </w:r>
    </w:p>
    <w:p w:rsidR="002A21AE" w:rsidRDefault="002A21AE" w:rsidP="00FA7E65">
      <w:pPr>
        <w:pStyle w:val="BodyText"/>
      </w:pPr>
      <w:r>
        <w:t>Transfusion reactions may be worked up in stages depending on patient symptoms and serologic findings. The first stage includes the initial clerical and specimen checks. The second stage includes serologic test interpretations, including pre- and post-patient testing, ABO/Rh, ABS, XM, and DAT.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8E6E94">
        <w:tblPrEx>
          <w:tblCellMar>
            <w:top w:w="0" w:type="dxa"/>
            <w:bottom w:w="0" w:type="dxa"/>
          </w:tblCellMar>
        </w:tblPrEx>
        <w:trPr>
          <w:cantSplit/>
          <w:tblHeader/>
        </w:trPr>
        <w:tc>
          <w:tcPr>
            <w:tcW w:w="3240" w:type="dxa"/>
            <w:shd w:val="pct30" w:color="auto" w:fill="FFFFFF"/>
            <w:vAlign w:val="bottom"/>
          </w:tcPr>
          <w:p w:rsidR="008E6E94" w:rsidRDefault="008E6E94" w:rsidP="007A413F">
            <w:pPr>
              <w:pStyle w:val="TableText"/>
              <w:rPr>
                <w:b/>
              </w:rPr>
            </w:pPr>
            <w:r>
              <w:rPr>
                <w:b/>
              </w:rPr>
              <w:t>User Action</w:t>
            </w:r>
          </w:p>
        </w:tc>
        <w:tc>
          <w:tcPr>
            <w:tcW w:w="6120" w:type="dxa"/>
            <w:shd w:val="pct30" w:color="auto" w:fill="FFFFFF"/>
            <w:vAlign w:val="bottom"/>
          </w:tcPr>
          <w:p w:rsidR="008E6E94" w:rsidRDefault="008E6E94" w:rsidP="007A413F">
            <w:pPr>
              <w:pStyle w:val="TableText"/>
              <w:rPr>
                <w:b/>
              </w:rPr>
            </w:pPr>
            <w:r>
              <w:rPr>
                <w:b/>
              </w:rPr>
              <w:t>VBECS</w:t>
            </w:r>
          </w:p>
        </w:tc>
      </w:tr>
      <w:tr w:rsidR="00413A92">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413A92" w:rsidRDefault="00413A92" w:rsidP="00644B37">
            <w:pPr>
              <w:pStyle w:val="TableTextNumbers"/>
            </w:pPr>
            <w:r>
              <w:t xml:space="preserve">Select </w:t>
            </w:r>
            <w:r>
              <w:rPr>
                <w:b/>
              </w:rPr>
              <w:t>Patients</w:t>
            </w:r>
            <w:r>
              <w:t xml:space="preserve"> from the main menu.</w:t>
            </w:r>
          </w:p>
          <w:p w:rsidR="00413A92" w:rsidRDefault="00413A92" w:rsidP="00644B37">
            <w:pPr>
              <w:pStyle w:val="TableTextNumbersContinued"/>
            </w:pPr>
          </w:p>
          <w:p w:rsidR="00413A92" w:rsidRDefault="00413A92" w:rsidP="00644B37">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rsidR="00413A92" w:rsidRDefault="00413A92" w:rsidP="00644B37">
            <w:pPr>
              <w:pStyle w:val="TableTextBullet"/>
            </w:pPr>
            <w:r>
              <w:t xml:space="preserve">Displays options for processing patient-related functions. </w:t>
            </w:r>
          </w:p>
          <w:p w:rsidR="00413A92" w:rsidRDefault="00413A92" w:rsidP="00644B37">
            <w:pPr>
              <w:pStyle w:val="TableTextBullet"/>
            </w:pPr>
            <w:r>
              <w:t>Displays the Pending Task List (PTL) in the Diagnostic Tests tab.</w:t>
            </w:r>
          </w:p>
          <w:p w:rsidR="00413A92" w:rsidRDefault="00413A92" w:rsidP="00644B37">
            <w:pPr>
              <w:pStyle w:val="NotesText"/>
            </w:pPr>
          </w:p>
          <w:p w:rsidR="00413A92" w:rsidRDefault="00634BFC" w:rsidP="00644B37">
            <w:pPr>
              <w:pStyle w:val="TableText"/>
              <w:rPr>
                <w:b/>
                <w:bCs/>
                <w:szCs w:val="18"/>
              </w:rPr>
            </w:pPr>
            <w:r>
              <w:rPr>
                <w:b/>
                <w:bCs/>
                <w:noProof/>
              </w:rPr>
              <mc:AlternateContent>
                <mc:Choice Requires="wps">
                  <w:drawing>
                    <wp:anchor distT="0" distB="0" distL="114300" distR="114300" simplePos="0" relativeHeight="25175705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47" name="Line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5" o:spid="_x0000_s1026" style="position:absolute;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97FgIAAC4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BB&#10;Hg97FgIAAC4EAAAOAAAAAAAAAAAAAAAAAC4CAABkcnMvZTJvRG9jLnhtbFBLAQItABQABgAIAAAA&#10;IQAXTzAS2wAAAAgBAAAPAAAAAAAAAAAAAAAAAHAEAABkcnMvZG93bnJldi54bWxQSwUGAAAAAAQA&#10;BADzAAAAeAUAAAAA&#10;" strokeweight="1.5pt"/>
                  </w:pict>
                </mc:Fallback>
              </mc:AlternateContent>
            </w:r>
            <w:r w:rsidR="00413A92">
              <w:rPr>
                <w:b/>
                <w:bCs/>
                <w:szCs w:val="18"/>
              </w:rPr>
              <w:t>NOTES</w:t>
            </w:r>
          </w:p>
          <w:p w:rsidR="00413A92" w:rsidRDefault="00413A92" w:rsidP="00644B37">
            <w:pPr>
              <w:pStyle w:val="NotesText"/>
            </w:pPr>
          </w:p>
          <w:p w:rsidR="00413A92" w:rsidRDefault="00413A92" w:rsidP="00644B37">
            <w:pPr>
              <w:pStyle w:val="NotesText"/>
            </w:pPr>
            <w:r>
              <w:t>A user may search for specific tasks using search criteria detailed in Pending Task List.</w:t>
            </w:r>
          </w:p>
        </w:tc>
      </w:tr>
      <w:tr w:rsidR="008E6E94">
        <w:tblPrEx>
          <w:tblCellMar>
            <w:top w:w="0" w:type="dxa"/>
            <w:bottom w:w="0" w:type="dxa"/>
          </w:tblCellMar>
        </w:tblPrEx>
        <w:tc>
          <w:tcPr>
            <w:tcW w:w="3240" w:type="dxa"/>
          </w:tcPr>
          <w:p w:rsidR="008E6E94" w:rsidRDefault="008E6E94" w:rsidP="007A413F">
            <w:pPr>
              <w:pStyle w:val="TableTextNumbers"/>
            </w:pPr>
            <w:r>
              <w:t>Click a check box in the PTL to select a task.</w:t>
            </w:r>
          </w:p>
          <w:p w:rsidR="00432A30" w:rsidRDefault="00432A30" w:rsidP="00432A30">
            <w:pPr>
              <w:pStyle w:val="TableTextNumbersContinued"/>
            </w:pPr>
          </w:p>
          <w:p w:rsidR="00432A30" w:rsidRDefault="00432A30" w:rsidP="00432A30">
            <w:pPr>
              <w:pStyle w:val="TableTextNumbersContinued"/>
            </w:pPr>
            <w:r>
              <w:t xml:space="preserve">Click </w:t>
            </w:r>
            <w:r w:rsidRPr="00432A30">
              <w:rPr>
                <w:b/>
              </w:rPr>
              <w:t>OK</w:t>
            </w:r>
            <w:r>
              <w:t>.</w:t>
            </w:r>
          </w:p>
        </w:tc>
        <w:tc>
          <w:tcPr>
            <w:tcW w:w="6120" w:type="dxa"/>
          </w:tcPr>
          <w:p w:rsidR="008E6E94" w:rsidRDefault="008E6E94" w:rsidP="001E4DCC">
            <w:pPr>
              <w:pStyle w:val="TableTextBullet"/>
            </w:pPr>
            <w:r>
              <w:t>Displays TRW patient order information and allows the user to indicate which portion of the TRW to perform</w:t>
            </w:r>
            <w:r w:rsidR="001E4DCC">
              <w:t xml:space="preserve"> (i</w:t>
            </w:r>
            <w:r>
              <w:t>nitial clerical and specimen checks</w:t>
            </w:r>
            <w:r w:rsidR="001E4DCC">
              <w:t>).</w:t>
            </w:r>
          </w:p>
          <w:p w:rsidR="008E6E94" w:rsidRDefault="008E6E94" w:rsidP="007A413F">
            <w:pPr>
              <w:pStyle w:val="TableText"/>
            </w:pPr>
          </w:p>
          <w:p w:rsidR="008E6E94" w:rsidRDefault="00634BFC" w:rsidP="007A413F">
            <w:pPr>
              <w:pStyle w:val="TableText"/>
              <w:rPr>
                <w:b/>
                <w:bCs/>
                <w:szCs w:val="18"/>
              </w:rPr>
            </w:pPr>
            <w:r>
              <w:rPr>
                <w:b/>
                <w:bCs/>
                <w:noProof/>
              </w:rPr>
              <mc:AlternateContent>
                <mc:Choice Requires="wps">
                  <w:drawing>
                    <wp:anchor distT="0" distB="0" distL="114300" distR="114300" simplePos="0" relativeHeight="25174067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46" name="Line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5" o:spid="_x0000_s1026" style="position:absolute;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0BbFQIAAC4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MZv&#10;QFsVAgAALgQAAA4AAAAAAAAAAAAAAAAALgIAAGRycy9lMm9Eb2MueG1sUEsBAi0AFAAGAAgAAAAh&#10;ABdPMBLbAAAACAEAAA8AAAAAAAAAAAAAAAAAbwQAAGRycy9kb3ducmV2LnhtbFBLBQYAAAAABAAE&#10;APMAAAB3BQAAAAA=&#10;" strokeweight="1.5pt"/>
                  </w:pict>
                </mc:Fallback>
              </mc:AlternateContent>
            </w:r>
            <w:r w:rsidR="008E6E94">
              <w:rPr>
                <w:b/>
                <w:bCs/>
                <w:szCs w:val="18"/>
              </w:rPr>
              <w:t>NOTES</w:t>
            </w:r>
          </w:p>
          <w:p w:rsidR="008E6E94" w:rsidRDefault="008E6E94" w:rsidP="007A413F">
            <w:pPr>
              <w:pStyle w:val="NotesText"/>
            </w:pPr>
          </w:p>
          <w:p w:rsidR="008E6E94" w:rsidRDefault="008E6E94" w:rsidP="007A413F">
            <w:pPr>
              <w:pStyle w:val="NotesText"/>
            </w:pPr>
            <w:r>
              <w:rPr>
                <w:rFonts w:cs="Arial"/>
                <w:vanish/>
              </w:rPr>
              <w:t xml:space="preserve">BR_21.08 </w:t>
            </w:r>
            <w:r>
              <w:t>The TRW patient name and patient ID are visible at all times.</w:t>
            </w:r>
          </w:p>
          <w:p w:rsidR="008E6E94" w:rsidRDefault="008E6E94" w:rsidP="007A413F">
            <w:pPr>
              <w:pStyle w:val="NotesText"/>
            </w:pPr>
          </w:p>
          <w:p w:rsidR="008E6E94" w:rsidRDefault="008E6E94" w:rsidP="007A413F">
            <w:pPr>
              <w:pStyle w:val="NotesText"/>
            </w:pPr>
            <w:r>
              <w:rPr>
                <w:rFonts w:cs="Arial"/>
                <w:vanish/>
              </w:rPr>
              <w:t xml:space="preserve">BR_21.09 </w:t>
            </w:r>
            <w:r>
              <w:t>Initial clerical and specimen checks must be performed before TRW serologic testing is available.</w:t>
            </w:r>
          </w:p>
        </w:tc>
      </w:tr>
      <w:tr w:rsidR="008E6E94">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8E6E94" w:rsidRDefault="00A01C54" w:rsidP="00C92B1A">
            <w:pPr>
              <w:pStyle w:val="TableTextNumbers"/>
            </w:pPr>
            <w:r>
              <w:t>Enter the date</w:t>
            </w:r>
            <w:r w:rsidR="00750760">
              <w:t xml:space="preserve"> the</w:t>
            </w:r>
            <w:r>
              <w:t xml:space="preserve"> transfusion reaction was noted and the date it was investigated.</w:t>
            </w:r>
          </w:p>
        </w:tc>
        <w:tc>
          <w:tcPr>
            <w:tcW w:w="6120" w:type="dxa"/>
            <w:tcBorders>
              <w:top w:val="single" w:sz="4" w:space="0" w:color="auto"/>
              <w:left w:val="single" w:sz="4" w:space="0" w:color="auto"/>
              <w:bottom w:val="single" w:sz="4" w:space="0" w:color="auto"/>
              <w:right w:val="single" w:sz="4" w:space="0" w:color="auto"/>
            </w:tcBorders>
          </w:tcPr>
          <w:p w:rsidR="008E6E94" w:rsidRDefault="008E6E94" w:rsidP="007A413F">
            <w:pPr>
              <w:pStyle w:val="TableTextBullet"/>
            </w:pPr>
            <w:r>
              <w:t>Allows the user to document observations about the pre- and post-transfusion specimens.</w:t>
            </w:r>
          </w:p>
        </w:tc>
      </w:tr>
      <w:tr w:rsidR="008E6E94">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C92B1A" w:rsidRDefault="00C92B1A" w:rsidP="00C92B1A">
            <w:pPr>
              <w:pStyle w:val="TableTextNumbers"/>
            </w:pPr>
            <w:r>
              <w:t>Click a radio button in the Specimen Checks tab to indicate whether pre- and post-transfusion specimens are available</w:t>
            </w:r>
            <w:r w:rsidR="00750760">
              <w:t xml:space="preserve"> (</w:t>
            </w:r>
            <w:r w:rsidR="008534C3">
              <w:fldChar w:fldCharType="begin"/>
            </w:r>
            <w:r w:rsidR="008534C3">
              <w:instrText xml:space="preserve"> REF _Ref127771180 \h </w:instrText>
            </w:r>
            <w:r w:rsidR="008534C3">
              <w:fldChar w:fldCharType="separate"/>
            </w:r>
            <w:r w:rsidR="005F38BC">
              <w:t xml:space="preserve">Figure </w:t>
            </w:r>
            <w:r w:rsidR="005F38BC">
              <w:rPr>
                <w:noProof/>
              </w:rPr>
              <w:t>121</w:t>
            </w:r>
            <w:r w:rsidR="008534C3">
              <w:fldChar w:fldCharType="end"/>
            </w:r>
            <w:r w:rsidR="00750760">
              <w:t>)</w:t>
            </w:r>
            <w:r>
              <w:t>.</w:t>
            </w:r>
          </w:p>
          <w:p w:rsidR="00C92B1A" w:rsidRPr="00C92B1A" w:rsidRDefault="00C92B1A" w:rsidP="00C92B1A">
            <w:pPr>
              <w:pStyle w:val="TableTextNumbersContinued"/>
            </w:pPr>
          </w:p>
          <w:p w:rsidR="008E6E94" w:rsidRDefault="00C92B1A" w:rsidP="00C92B1A">
            <w:pPr>
              <w:pStyle w:val="TableTextNumbersContinued"/>
            </w:pPr>
            <w:r>
              <w:t>Scan or enter specimen UIDs in the Specimen UID field</w:t>
            </w:r>
            <w:r w:rsidR="00880C72">
              <w:t>s</w:t>
            </w:r>
            <w:r>
              <w:t xml:space="preserve"> and enter comments, as required. </w:t>
            </w:r>
          </w:p>
          <w:p w:rsidR="00A36884" w:rsidRDefault="00A36884" w:rsidP="00C92B1A">
            <w:pPr>
              <w:pStyle w:val="TableTextNumbersContinued"/>
            </w:pPr>
          </w:p>
          <w:p w:rsidR="00A36884" w:rsidRDefault="00A36884" w:rsidP="00C92B1A">
            <w:pPr>
              <w:pStyle w:val="TableTextNumbersContinued"/>
            </w:pPr>
            <w:r>
              <w:t>Select an item from the drop-down menu in the Hemolysis Inspection field.</w:t>
            </w:r>
          </w:p>
        </w:tc>
        <w:tc>
          <w:tcPr>
            <w:tcW w:w="6120" w:type="dxa"/>
            <w:tcBorders>
              <w:top w:val="single" w:sz="4" w:space="0" w:color="auto"/>
              <w:left w:val="single" w:sz="4" w:space="0" w:color="auto"/>
              <w:bottom w:val="single" w:sz="4" w:space="0" w:color="auto"/>
              <w:right w:val="single" w:sz="4" w:space="0" w:color="auto"/>
            </w:tcBorders>
          </w:tcPr>
          <w:p w:rsidR="008E6E94" w:rsidRDefault="008E6E94" w:rsidP="007A413F">
            <w:pPr>
              <w:pStyle w:val="TableTextBullet"/>
            </w:pPr>
            <w:r>
              <w:t xml:space="preserve">Allows the user to enter the date and time the transfusion reaction was noted (provided by the clinician) and the date and time of the investigation (default: current date and time). </w:t>
            </w:r>
          </w:p>
          <w:p w:rsidR="008E6E94" w:rsidRDefault="008E6E94" w:rsidP="007A413F">
            <w:pPr>
              <w:pStyle w:val="TableText"/>
            </w:pPr>
          </w:p>
          <w:p w:rsidR="008E6E94" w:rsidRDefault="00634BFC" w:rsidP="007A413F">
            <w:pPr>
              <w:pStyle w:val="TableText"/>
              <w:rPr>
                <w:b/>
                <w:bCs/>
                <w:szCs w:val="18"/>
              </w:rPr>
            </w:pPr>
            <w:r>
              <w:rPr>
                <w:b/>
                <w:bCs/>
                <w:noProof/>
              </w:rPr>
              <mc:AlternateContent>
                <mc:Choice Requires="wps">
                  <w:drawing>
                    <wp:anchor distT="0" distB="0" distL="114300" distR="114300" simplePos="0" relativeHeight="25174476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45" name="Line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9" o:spid="_x0000_s1026" style="position:absolute;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hYFQIAAC4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Bea&#10;yFgVAgAALgQAAA4AAAAAAAAAAAAAAAAALgIAAGRycy9lMm9Eb2MueG1sUEsBAi0AFAAGAAgAAAAh&#10;ABdPMBLbAAAACAEAAA8AAAAAAAAAAAAAAAAAbwQAAGRycy9kb3ducmV2LnhtbFBLBQYAAAAABAAE&#10;APMAAAB3BQAAAAA=&#10;" strokeweight="1.5pt"/>
                  </w:pict>
                </mc:Fallback>
              </mc:AlternateContent>
            </w:r>
            <w:r w:rsidR="008E6E94">
              <w:rPr>
                <w:b/>
                <w:bCs/>
                <w:szCs w:val="18"/>
              </w:rPr>
              <w:t>NOTES</w:t>
            </w:r>
          </w:p>
          <w:p w:rsidR="008E6E94" w:rsidRDefault="008E6E94" w:rsidP="007A413F">
            <w:pPr>
              <w:pStyle w:val="NotesText"/>
            </w:pPr>
          </w:p>
          <w:p w:rsidR="008E6E94" w:rsidRDefault="008E6E94" w:rsidP="007A413F">
            <w:pPr>
              <w:pStyle w:val="NotesText"/>
            </w:pPr>
            <w:r>
              <w:rPr>
                <w:rFonts w:cs="Arial"/>
                <w:vanish/>
              </w:rPr>
              <w:t xml:space="preserve">BR_21.15 </w:t>
            </w:r>
            <w:r>
              <w:t>When the pre- and/or post-transfusion samples are available to perform the clerical check, VBECS requires the user to indicate whether the clerical check is okay.</w:t>
            </w:r>
          </w:p>
          <w:p w:rsidR="008E6E94" w:rsidRDefault="008E6E94" w:rsidP="007A413F">
            <w:pPr>
              <w:pStyle w:val="NotesText"/>
            </w:pPr>
          </w:p>
          <w:p w:rsidR="008E6E94" w:rsidRDefault="008E6E94" w:rsidP="007A413F">
            <w:pPr>
              <w:pStyle w:val="NotesText"/>
            </w:pPr>
            <w:r>
              <w:rPr>
                <w:rFonts w:cs="Arial"/>
                <w:vanish/>
              </w:rPr>
              <w:t xml:space="preserve">BR_21.17 </w:t>
            </w:r>
            <w:r>
              <w:t xml:space="preserve">VBECS allows the user to scan or enter the pre- and post-transfusion specimen UIDs. VBECS compares the patient name and ID associated with each specimen UID to those associated with the TRW workup. </w:t>
            </w:r>
          </w:p>
          <w:p w:rsidR="008E6E94" w:rsidRDefault="008E6E94" w:rsidP="007A413F">
            <w:pPr>
              <w:pStyle w:val="NotesText"/>
            </w:pPr>
          </w:p>
          <w:p w:rsidR="008E6E94" w:rsidRDefault="008E6E94" w:rsidP="007A413F">
            <w:pPr>
              <w:pStyle w:val="NotesText"/>
            </w:pPr>
            <w:r>
              <w:rPr>
                <w:rFonts w:cs="Arial"/>
                <w:vanish/>
              </w:rPr>
              <w:t>BR_21.33</w:t>
            </w:r>
            <w:r w:rsidRPr="00323744">
              <w:rPr>
                <w:rStyle w:val="BullhornChar"/>
              </w:rPr>
              <w:t></w:t>
            </w:r>
            <w:r>
              <w:rPr>
                <w:rFonts w:ascii="Webdings" w:hAnsi="Webdings"/>
              </w:rPr>
              <w:t></w:t>
            </w:r>
            <w:r w:rsidRPr="00263B24">
              <w:t>Wh</w:t>
            </w:r>
            <w:r>
              <w:t>en the patient name does not match VBECS data for the TRW patient, VBECS emits an audible alert, warns the user, and instructs him to notify the physician immediately. VBECS allows the user to reenter the specimen UID or verify that the data are correct. VBECS requires a comment when there is no match and captures details for inclusion in an Exception Report (exception type: Transfusion Reaction Workup Specimen).</w:t>
            </w:r>
          </w:p>
          <w:p w:rsidR="008E6E94" w:rsidRDefault="008E6E94" w:rsidP="007A413F">
            <w:pPr>
              <w:pStyle w:val="NotesText"/>
            </w:pPr>
          </w:p>
          <w:p w:rsidR="008E6E94" w:rsidRDefault="008E6E94" w:rsidP="007A413F">
            <w:pPr>
              <w:pStyle w:val="NotesText"/>
            </w:pPr>
            <w:r>
              <w:rPr>
                <w:rFonts w:cs="Arial"/>
                <w:vanish/>
              </w:rPr>
              <w:t xml:space="preserve">BR_21.18 </w:t>
            </w:r>
            <w:r>
              <w:t xml:space="preserve">The user may enter “icteric,” “absent,” “1+,” “2+,” “3+,” or “4+” in the Hemolysis Inspection field to identify the presence or absence of hemolysis in the pre- and post-transfusion patient </w:t>
            </w:r>
            <w:r>
              <w:lastRenderedPageBreak/>
              <w:t xml:space="preserve">specimens or blood container, when available. </w:t>
            </w:r>
          </w:p>
        </w:tc>
      </w:tr>
      <w:tr w:rsidR="00C92B1A">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C92B1A" w:rsidRDefault="00C92B1A" w:rsidP="00A12663">
            <w:pPr>
              <w:pStyle w:val="TableTextNumbers"/>
            </w:pPr>
            <w:r>
              <w:lastRenderedPageBreak/>
              <w:t xml:space="preserve">Click the </w:t>
            </w:r>
            <w:r>
              <w:rPr>
                <w:b/>
              </w:rPr>
              <w:t>Clerical Check OK</w:t>
            </w:r>
            <w:r>
              <w:t xml:space="preserve"> or </w:t>
            </w:r>
            <w:r>
              <w:rPr>
                <w:b/>
              </w:rPr>
              <w:t xml:space="preserve">Clerical Check Failed </w:t>
            </w:r>
            <w:r w:rsidRPr="00BF2E41">
              <w:t>radio button</w:t>
            </w:r>
            <w:r>
              <w:t xml:space="preserve"> to perform initial clerical and identification checks</w:t>
            </w:r>
            <w:r w:rsidR="00750760">
              <w:t xml:space="preserve"> (</w:t>
            </w:r>
            <w:r w:rsidR="007B0EF4">
              <w:fldChar w:fldCharType="begin"/>
            </w:r>
            <w:r w:rsidR="007B0EF4">
              <w:instrText xml:space="preserve"> REF _Ref127771990 \h </w:instrText>
            </w:r>
            <w:r w:rsidR="007B0EF4">
              <w:fldChar w:fldCharType="separate"/>
            </w:r>
            <w:r w:rsidR="005F38BC">
              <w:t xml:space="preserve">Figure </w:t>
            </w:r>
            <w:r w:rsidR="005F38BC">
              <w:rPr>
                <w:noProof/>
              </w:rPr>
              <w:t>122</w:t>
            </w:r>
            <w:r w:rsidR="007B0EF4">
              <w:fldChar w:fldCharType="end"/>
            </w:r>
            <w:r w:rsidR="00750760">
              <w:t>)</w:t>
            </w:r>
            <w:r>
              <w:t>.</w:t>
            </w:r>
          </w:p>
        </w:tc>
        <w:tc>
          <w:tcPr>
            <w:tcW w:w="6120" w:type="dxa"/>
            <w:tcBorders>
              <w:top w:val="single" w:sz="4" w:space="0" w:color="auto"/>
              <w:left w:val="single" w:sz="4" w:space="0" w:color="auto"/>
              <w:bottom w:val="single" w:sz="4" w:space="0" w:color="auto"/>
              <w:right w:val="single" w:sz="4" w:space="0" w:color="auto"/>
            </w:tcBorders>
          </w:tcPr>
          <w:p w:rsidR="00C92B1A" w:rsidRDefault="00C92B1A" w:rsidP="007A413F">
            <w:pPr>
              <w:pStyle w:val="TableText"/>
            </w:pPr>
          </w:p>
        </w:tc>
      </w:tr>
      <w:tr w:rsidR="00A12663">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A12663" w:rsidRDefault="00A12663" w:rsidP="007A413F">
            <w:pPr>
              <w:pStyle w:val="TableTextNumbers"/>
            </w:pPr>
            <w:r>
              <w:t xml:space="preserve">Click </w:t>
            </w:r>
            <w:r w:rsidRPr="00C92B1A">
              <w:rPr>
                <w:b/>
              </w:rPr>
              <w:t>OK</w:t>
            </w:r>
            <w:r>
              <w:t xml:space="preserve"> to save, and </w:t>
            </w:r>
            <w:r>
              <w:rPr>
                <w:b/>
              </w:rPr>
              <w:t>Yes</w:t>
            </w:r>
            <w:r>
              <w:t xml:space="preserve"> to confirm the save.</w:t>
            </w:r>
          </w:p>
        </w:tc>
        <w:tc>
          <w:tcPr>
            <w:tcW w:w="6120" w:type="dxa"/>
            <w:tcBorders>
              <w:top w:val="single" w:sz="4" w:space="0" w:color="auto"/>
              <w:left w:val="single" w:sz="4" w:space="0" w:color="auto"/>
              <w:bottom w:val="single" w:sz="4" w:space="0" w:color="auto"/>
              <w:right w:val="single" w:sz="4" w:space="0" w:color="auto"/>
            </w:tcBorders>
          </w:tcPr>
          <w:p w:rsidR="00120B78" w:rsidRDefault="00120B78" w:rsidP="00120B78">
            <w:pPr>
              <w:pStyle w:val="TableText"/>
            </w:pPr>
          </w:p>
          <w:p w:rsidR="00A12663" w:rsidRDefault="00634BFC" w:rsidP="00A12663">
            <w:pPr>
              <w:pStyle w:val="TableText"/>
              <w:rPr>
                <w:b/>
                <w:bCs/>
                <w:szCs w:val="18"/>
              </w:rPr>
            </w:pPr>
            <w:r>
              <w:rPr>
                <w:b/>
                <w:bCs/>
                <w:noProof/>
              </w:rPr>
              <mc:AlternateContent>
                <mc:Choice Requires="wps">
                  <w:drawing>
                    <wp:anchor distT="0" distB="0" distL="114300" distR="114300" simplePos="0" relativeHeight="25174886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44" name="Line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5" o:spid="_x0000_s1026" style="position:absolute;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kJYFQIAAC4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GXy&#10;QlgVAgAALgQAAA4AAAAAAAAAAAAAAAAALgIAAGRycy9lMm9Eb2MueG1sUEsBAi0AFAAGAAgAAAAh&#10;ABdPMBLbAAAACAEAAA8AAAAAAAAAAAAAAAAAbwQAAGRycy9kb3ducmV2LnhtbFBLBQYAAAAABAAE&#10;APMAAAB3BQAAAAA=&#10;" strokeweight="1.5pt"/>
                  </w:pict>
                </mc:Fallback>
              </mc:AlternateContent>
            </w:r>
            <w:r w:rsidR="00A12663">
              <w:rPr>
                <w:b/>
                <w:bCs/>
                <w:szCs w:val="18"/>
              </w:rPr>
              <w:t>NOTES</w:t>
            </w:r>
          </w:p>
          <w:p w:rsidR="00A12663" w:rsidRDefault="00A12663" w:rsidP="00120B78">
            <w:pPr>
              <w:pStyle w:val="NotesText"/>
            </w:pPr>
          </w:p>
          <w:p w:rsidR="00120B78" w:rsidRDefault="00120B78" w:rsidP="00120B78">
            <w:pPr>
              <w:pStyle w:val="NotesText"/>
            </w:pPr>
            <w:r>
              <w:rPr>
                <w:rFonts w:cs="Arial"/>
                <w:vanish/>
              </w:rPr>
              <w:t xml:space="preserve">BR_21.11 </w:t>
            </w:r>
            <w:r>
              <w:t>When the user exits and saves the data, VBECS changes the task status of the TRW to “partially completed.”</w:t>
            </w:r>
          </w:p>
          <w:p w:rsidR="00120B78" w:rsidRDefault="00120B78" w:rsidP="00120B78">
            <w:pPr>
              <w:pStyle w:val="NotesText"/>
            </w:pPr>
          </w:p>
          <w:p w:rsidR="00A12663" w:rsidRDefault="00A12663" w:rsidP="00A12663">
            <w:pPr>
              <w:pStyle w:val="NotesText"/>
            </w:pPr>
            <w:r>
              <w:t>A partially completed TRW may be corrected only by invalidating and reentering the TRW.</w:t>
            </w:r>
          </w:p>
        </w:tc>
      </w:tr>
      <w:tr w:rsidR="008E6E94">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8E6E94" w:rsidRDefault="008E6E94" w:rsidP="007A413F">
            <w:pPr>
              <w:pStyle w:val="TableTextNumbers"/>
            </w:pPr>
            <w:r>
              <w:t xml:space="preserve">Enter the date and time of the transfusion reaction </w:t>
            </w:r>
            <w:r w:rsidR="00685492">
              <w:t>noted</w:t>
            </w:r>
            <w:r>
              <w:t xml:space="preserve"> by the clinician and the date and time of the reaction investigation.</w:t>
            </w:r>
          </w:p>
        </w:tc>
        <w:tc>
          <w:tcPr>
            <w:tcW w:w="6120" w:type="dxa"/>
            <w:tcBorders>
              <w:top w:val="single" w:sz="4" w:space="0" w:color="auto"/>
              <w:left w:val="single" w:sz="4" w:space="0" w:color="auto"/>
              <w:bottom w:val="single" w:sz="4" w:space="0" w:color="auto"/>
              <w:right w:val="single" w:sz="4" w:space="0" w:color="auto"/>
            </w:tcBorders>
          </w:tcPr>
          <w:p w:rsidR="008E6E94" w:rsidRDefault="008E6E94" w:rsidP="007A413F">
            <w:pPr>
              <w:pStyle w:val="TableText"/>
            </w:pPr>
          </w:p>
          <w:p w:rsidR="008E6E94" w:rsidRDefault="00634BFC" w:rsidP="007A413F">
            <w:pPr>
              <w:pStyle w:val="TableText"/>
              <w:rPr>
                <w:b/>
                <w:bCs/>
                <w:szCs w:val="18"/>
              </w:rPr>
            </w:pPr>
            <w:r>
              <w:rPr>
                <w:b/>
                <w:bCs/>
                <w:noProof/>
              </w:rPr>
              <mc:AlternateContent>
                <mc:Choice Requires="wps">
                  <w:drawing>
                    <wp:anchor distT="0" distB="0" distL="114300" distR="114300" simplePos="0" relativeHeight="25174579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43" name="Line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0"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EMPFgIAAC4EAAAOAAAAZHJzL2Uyb0RvYy54bWysU8GO2jAQvVfqP1i+QxLIUo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AE&#10;HEMPFgIAAC4EAAAOAAAAAAAAAAAAAAAAAC4CAABkcnMvZTJvRG9jLnhtbFBLAQItABQABgAIAAAA&#10;IQAXTzAS2wAAAAgBAAAPAAAAAAAAAAAAAAAAAHAEAABkcnMvZG93bnJldi54bWxQSwUGAAAAAAQA&#10;BADzAAAAeAUAAAAA&#10;" strokeweight="1.5pt"/>
                  </w:pict>
                </mc:Fallback>
              </mc:AlternateContent>
            </w:r>
            <w:r w:rsidR="008E6E94">
              <w:rPr>
                <w:b/>
                <w:bCs/>
                <w:szCs w:val="18"/>
              </w:rPr>
              <w:t>NOTES</w:t>
            </w:r>
          </w:p>
          <w:p w:rsidR="008E6E94" w:rsidRDefault="008E6E94" w:rsidP="007A413F">
            <w:pPr>
              <w:pStyle w:val="NotesText"/>
            </w:pPr>
          </w:p>
          <w:p w:rsidR="008E6E94" w:rsidRDefault="008E6E94" w:rsidP="007A413F">
            <w:pPr>
              <w:pStyle w:val="NotesText"/>
            </w:pPr>
            <w:r>
              <w:rPr>
                <w:rFonts w:cs="Arial"/>
                <w:vanish/>
              </w:rPr>
              <w:t xml:space="preserve">BR_21.01 </w:t>
            </w:r>
            <w:r>
              <w:t xml:space="preserve">VBECS allows the user to enter the date and time of the reaction noted by the clinician. </w:t>
            </w:r>
          </w:p>
          <w:p w:rsidR="008E6E94" w:rsidRDefault="008E6E94" w:rsidP="007A413F">
            <w:pPr>
              <w:pStyle w:val="NotesText"/>
            </w:pPr>
          </w:p>
          <w:p w:rsidR="008E6E94" w:rsidRDefault="008E6E94" w:rsidP="007A413F">
            <w:pPr>
              <w:pStyle w:val="NotesText"/>
            </w:pPr>
            <w:r>
              <w:rPr>
                <w:rFonts w:cs="Arial"/>
                <w:vanish/>
              </w:rPr>
              <w:t xml:space="preserve">BR_21.02 </w:t>
            </w:r>
            <w:r>
              <w:t>When the implicated unit is unknown, VBECS allows the user to continue without identifying a unit or entering implicated unit information.</w:t>
            </w:r>
          </w:p>
          <w:p w:rsidR="008E6E94" w:rsidRDefault="008E6E94" w:rsidP="007A413F">
            <w:pPr>
              <w:pStyle w:val="NotesText"/>
            </w:pPr>
          </w:p>
          <w:p w:rsidR="008E6E94" w:rsidRDefault="008E6E94" w:rsidP="007A413F">
            <w:pPr>
              <w:pStyle w:val="NotesText"/>
            </w:pPr>
            <w:r>
              <w:rPr>
                <w:rFonts w:cs="Arial"/>
                <w:vanish/>
              </w:rPr>
              <w:t xml:space="preserve">BR_21.19 </w:t>
            </w:r>
            <w:r>
              <w:t>VBECS requires the user to enter the date and time of the TRW investigation (default: current date and time), including a date and time in the past for retrospective data entry. The user may not enter a future date and time.</w:t>
            </w:r>
          </w:p>
          <w:p w:rsidR="008E6E94" w:rsidRDefault="008E6E94" w:rsidP="007A413F">
            <w:pPr>
              <w:pStyle w:val="NotesText"/>
            </w:pPr>
          </w:p>
          <w:p w:rsidR="008E6E94" w:rsidRDefault="008E6E94" w:rsidP="00E61994">
            <w:pPr>
              <w:pStyle w:val="NotesText"/>
            </w:pPr>
            <w:r>
              <w:t xml:space="preserve">If the user indicates that implicated units are unknown, he continues at Step </w:t>
            </w:r>
            <w:r w:rsidR="00E61994">
              <w:t>10</w:t>
            </w:r>
            <w:r>
              <w:t>.</w:t>
            </w:r>
          </w:p>
        </w:tc>
      </w:tr>
      <w:tr w:rsidR="008E6E94">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8F4AA6" w:rsidRDefault="00B44A92" w:rsidP="007A413F">
            <w:pPr>
              <w:pStyle w:val="TableTextNumbers"/>
            </w:pPr>
            <w:r>
              <w:t>In the Implicated Units tab, c</w:t>
            </w:r>
            <w:r w:rsidR="008E6E94">
              <w:t>lick the</w:t>
            </w:r>
            <w:r w:rsidR="008E6E94">
              <w:rPr>
                <w:b/>
              </w:rPr>
              <w:t xml:space="preserve"> Implicated Unit</w:t>
            </w:r>
            <w:r w:rsidR="00025A9B">
              <w:rPr>
                <w:b/>
              </w:rPr>
              <w:t>(</w:t>
            </w:r>
            <w:r w:rsidR="008E6E94">
              <w:rPr>
                <w:b/>
              </w:rPr>
              <w:t>s</w:t>
            </w:r>
            <w:r w:rsidR="00025A9B">
              <w:rPr>
                <w:b/>
              </w:rPr>
              <w:t>)</w:t>
            </w:r>
            <w:r w:rsidR="008E6E94">
              <w:rPr>
                <w:b/>
              </w:rPr>
              <w:t xml:space="preserve"> Identified </w:t>
            </w:r>
            <w:r w:rsidR="008E6E94" w:rsidRPr="00BF2E41">
              <w:t>radio button</w:t>
            </w:r>
            <w:r w:rsidR="0045387D">
              <w:t xml:space="preserve"> to select an implicated unit.</w:t>
            </w:r>
          </w:p>
          <w:p w:rsidR="0045387D" w:rsidRDefault="0045387D" w:rsidP="0045387D">
            <w:pPr>
              <w:pStyle w:val="TableTextNumbersContinued"/>
            </w:pPr>
          </w:p>
          <w:p w:rsidR="0045387D" w:rsidRDefault="0045387D" w:rsidP="0045387D">
            <w:pPr>
              <w:pStyle w:val="TableTextNumbersContinued"/>
            </w:pPr>
            <w:r>
              <w:t>Scan or enter the unit ID and product code.</w:t>
            </w:r>
          </w:p>
          <w:p w:rsidR="0045387D" w:rsidRDefault="0045387D" w:rsidP="0045387D">
            <w:pPr>
              <w:pStyle w:val="TableTextNumbersContinued"/>
            </w:pPr>
          </w:p>
          <w:p w:rsidR="0045387D" w:rsidRDefault="0045387D" w:rsidP="0045387D">
            <w:pPr>
              <w:pStyle w:val="TableTextNumbersContinued"/>
            </w:pPr>
            <w:r>
              <w:t xml:space="preserve">Click the </w:t>
            </w:r>
            <w:r w:rsidRPr="0045387D">
              <w:rPr>
                <w:b/>
              </w:rPr>
              <w:t>Blood Bag Returned</w:t>
            </w:r>
            <w:r>
              <w:t xml:space="preserve"> or </w:t>
            </w:r>
            <w:r w:rsidRPr="0045387D">
              <w:rPr>
                <w:b/>
              </w:rPr>
              <w:t xml:space="preserve">Blood Bank Not Returned </w:t>
            </w:r>
            <w:r w:rsidRPr="00BF2E41">
              <w:t>radio button</w:t>
            </w:r>
            <w:r>
              <w:t>.</w:t>
            </w:r>
          </w:p>
          <w:p w:rsidR="00880C72" w:rsidRDefault="00880C72" w:rsidP="0045387D">
            <w:pPr>
              <w:pStyle w:val="TableTextNumbersContinued"/>
            </w:pPr>
          </w:p>
          <w:p w:rsidR="00880C72" w:rsidRDefault="00880C72" w:rsidP="00880C72">
            <w:pPr>
              <w:pStyle w:val="TableTextNumbersContinued"/>
            </w:pPr>
            <w:r>
              <w:t>Select an item from the drop-down menu in the Hemolysis Inspection field.</w:t>
            </w:r>
          </w:p>
          <w:p w:rsidR="00880C72" w:rsidRDefault="00880C72" w:rsidP="00880C72">
            <w:pPr>
              <w:pStyle w:val="TableTextNumbersContinued"/>
            </w:pPr>
          </w:p>
          <w:p w:rsidR="00880C72" w:rsidRDefault="00880C72" w:rsidP="00880C72">
            <w:pPr>
              <w:pStyle w:val="TableTextNumbersContinued"/>
            </w:pPr>
            <w:r>
              <w:t xml:space="preserve">Click the </w:t>
            </w:r>
            <w:r>
              <w:rPr>
                <w:b/>
              </w:rPr>
              <w:t>Clerical Check OK</w:t>
            </w:r>
            <w:r>
              <w:t xml:space="preserve"> or </w:t>
            </w:r>
            <w:r>
              <w:rPr>
                <w:b/>
              </w:rPr>
              <w:t xml:space="preserve">Clerical Check Failed </w:t>
            </w:r>
            <w:r w:rsidRPr="00BF2E41">
              <w:t>radio button</w:t>
            </w:r>
            <w:r>
              <w:t xml:space="preserve"> to perform initial clerical and identification checks.</w:t>
            </w:r>
          </w:p>
          <w:p w:rsidR="008F4AA6" w:rsidRDefault="008F4AA6" w:rsidP="008F4AA6">
            <w:pPr>
              <w:pStyle w:val="TableTextNumbersContinued"/>
            </w:pPr>
          </w:p>
          <w:p w:rsidR="00AA7470" w:rsidRDefault="00AA7470" w:rsidP="008F4AA6">
            <w:pPr>
              <w:pStyle w:val="TableTextNumbersContinued"/>
            </w:pPr>
            <w:r>
              <w:t>Enter a comment and details, as required</w:t>
            </w:r>
            <w:r w:rsidR="00750760">
              <w:t xml:space="preserve"> (</w:t>
            </w:r>
            <w:r w:rsidR="00D418A4">
              <w:fldChar w:fldCharType="begin"/>
            </w:r>
            <w:r w:rsidR="00D418A4">
              <w:instrText xml:space="preserve"> REF _Ref127774070 \h </w:instrText>
            </w:r>
            <w:r w:rsidR="00D418A4">
              <w:fldChar w:fldCharType="separate"/>
            </w:r>
            <w:r w:rsidR="005F38BC">
              <w:t xml:space="preserve">Figure </w:t>
            </w:r>
            <w:r w:rsidR="005F38BC">
              <w:rPr>
                <w:noProof/>
              </w:rPr>
              <w:t>123</w:t>
            </w:r>
            <w:r w:rsidR="00D418A4">
              <w:fldChar w:fldCharType="end"/>
            </w:r>
            <w:r w:rsidR="00750760">
              <w:t>)</w:t>
            </w:r>
            <w:r>
              <w:t>.</w:t>
            </w:r>
          </w:p>
          <w:p w:rsidR="00006D86" w:rsidRDefault="00006D86" w:rsidP="008F4AA6">
            <w:pPr>
              <w:pStyle w:val="TableTextNumbersContinued"/>
            </w:pPr>
          </w:p>
          <w:p w:rsidR="00006D86" w:rsidRDefault="00006D86" w:rsidP="008F4AA6">
            <w:pPr>
              <w:pStyle w:val="TableTextNumbersContinued"/>
            </w:pPr>
            <w:r>
              <w:t xml:space="preserve">Click </w:t>
            </w:r>
            <w:r w:rsidRPr="00006D86">
              <w:rPr>
                <w:b/>
              </w:rPr>
              <w:t>Add</w:t>
            </w:r>
            <w:r>
              <w:t xml:space="preserve"> to add the unit.</w:t>
            </w:r>
          </w:p>
          <w:p w:rsidR="00AA7470" w:rsidRDefault="00AA7470" w:rsidP="008F4AA6">
            <w:pPr>
              <w:pStyle w:val="TableTextNumbersContinued"/>
            </w:pPr>
          </w:p>
          <w:p w:rsidR="00025A9B" w:rsidRDefault="008E6E94" w:rsidP="008F4AA6">
            <w:pPr>
              <w:pStyle w:val="TableTextNumbersContinued"/>
            </w:pPr>
            <w:r>
              <w:t xml:space="preserve">or </w:t>
            </w:r>
          </w:p>
          <w:p w:rsidR="00025A9B" w:rsidRDefault="00025A9B" w:rsidP="008F4AA6">
            <w:pPr>
              <w:pStyle w:val="TableTextNumbersContinued"/>
            </w:pPr>
          </w:p>
          <w:p w:rsidR="00025A9B" w:rsidRDefault="007B5D98" w:rsidP="008F4AA6">
            <w:pPr>
              <w:pStyle w:val="TableTextNumbersContinued"/>
            </w:pPr>
            <w:r>
              <w:t>C</w:t>
            </w:r>
            <w:r w:rsidR="008E6E94">
              <w:t xml:space="preserve">lick the </w:t>
            </w:r>
            <w:r w:rsidR="008E6E94">
              <w:rPr>
                <w:b/>
              </w:rPr>
              <w:t xml:space="preserve">No Implicated Units </w:t>
            </w:r>
            <w:r w:rsidR="008E6E94" w:rsidRPr="00BF2E41">
              <w:t>radio button</w:t>
            </w:r>
            <w:r w:rsidR="00025A9B">
              <w:t>.</w:t>
            </w:r>
          </w:p>
          <w:p w:rsidR="00025A9B" w:rsidRDefault="00025A9B" w:rsidP="008F4AA6">
            <w:pPr>
              <w:pStyle w:val="TableTextNumbersContinued"/>
            </w:pPr>
          </w:p>
          <w:p w:rsidR="008E6E94" w:rsidRDefault="00025A9B" w:rsidP="008F4AA6">
            <w:pPr>
              <w:pStyle w:val="TableTextNumbersContinued"/>
            </w:pPr>
            <w:r>
              <w:t xml:space="preserve">Click </w:t>
            </w:r>
            <w:r w:rsidRPr="00025A9B">
              <w:rPr>
                <w:b/>
              </w:rPr>
              <w:t>OK</w:t>
            </w:r>
            <w:r>
              <w:t xml:space="preserve"> to save</w:t>
            </w:r>
            <w:r w:rsidR="00006D86">
              <w:t xml:space="preserve">, and </w:t>
            </w:r>
            <w:r w:rsidR="00006D86" w:rsidRPr="00006D86">
              <w:rPr>
                <w:b/>
              </w:rPr>
              <w:t>Yes</w:t>
            </w:r>
            <w:r w:rsidR="00006D86">
              <w:t xml:space="preserve"> to confirm the save</w:t>
            </w:r>
            <w:r>
              <w:t>.</w:t>
            </w:r>
          </w:p>
        </w:tc>
        <w:tc>
          <w:tcPr>
            <w:tcW w:w="6120" w:type="dxa"/>
            <w:tcBorders>
              <w:top w:val="single" w:sz="4" w:space="0" w:color="auto"/>
              <w:left w:val="single" w:sz="4" w:space="0" w:color="auto"/>
              <w:bottom w:val="single" w:sz="4" w:space="0" w:color="auto"/>
              <w:right w:val="single" w:sz="4" w:space="0" w:color="auto"/>
            </w:tcBorders>
          </w:tcPr>
          <w:p w:rsidR="008E6E94" w:rsidRDefault="008E6E94" w:rsidP="007A413F">
            <w:pPr>
              <w:pStyle w:val="TableTextBullet"/>
            </w:pPr>
            <w:r>
              <w:rPr>
                <w:rFonts w:cs="Arial"/>
                <w:vanish/>
              </w:rPr>
              <w:lastRenderedPageBreak/>
              <w:t xml:space="preserve">BR_21.03 </w:t>
            </w:r>
            <w:r>
              <w:t>Allows the user to:</w:t>
            </w:r>
          </w:p>
          <w:p w:rsidR="0045387D" w:rsidRDefault="0045387D" w:rsidP="0045387D">
            <w:pPr>
              <w:pStyle w:val="TableTextBullet1"/>
            </w:pPr>
            <w:r>
              <w:t>Enter implicated unit information.</w:t>
            </w:r>
          </w:p>
          <w:p w:rsidR="008E6E94" w:rsidRDefault="008E6E94" w:rsidP="007A413F">
            <w:pPr>
              <w:pStyle w:val="TableTextBullet1"/>
            </w:pPr>
            <w:r>
              <w:t>Indicate whether the bag and infusion set were returned.</w:t>
            </w:r>
          </w:p>
          <w:p w:rsidR="008E6E94" w:rsidRDefault="008E6E94" w:rsidP="007A413F">
            <w:pPr>
              <w:pStyle w:val="TableTextBullet1"/>
            </w:pPr>
            <w:r>
              <w:t>Review and/or edit the entered information.</w:t>
            </w:r>
          </w:p>
          <w:p w:rsidR="008E6E94" w:rsidRDefault="008E6E94" w:rsidP="007A413F">
            <w:pPr>
              <w:pStyle w:val="TableText"/>
            </w:pPr>
          </w:p>
          <w:p w:rsidR="008E6E94" w:rsidRDefault="00634BFC" w:rsidP="007A413F">
            <w:pPr>
              <w:pStyle w:val="TableText"/>
              <w:rPr>
                <w:b/>
                <w:bCs/>
                <w:szCs w:val="18"/>
              </w:rPr>
            </w:pPr>
            <w:r>
              <w:rPr>
                <w:b/>
                <w:bCs/>
                <w:noProof/>
              </w:rPr>
              <mc:AlternateContent>
                <mc:Choice Requires="wps">
                  <w:drawing>
                    <wp:anchor distT="0" distB="0" distL="114300" distR="114300" simplePos="0" relativeHeight="25174681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42" name="Line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1" o:spid="_x0000_s1026" style="position:absolute;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" strokeweight="1.5pt"/>
                  </w:pict>
                </mc:Fallback>
              </mc:AlternateContent>
            </w:r>
            <w:r w:rsidR="008E6E94">
              <w:rPr>
                <w:b/>
                <w:bCs/>
                <w:szCs w:val="18"/>
              </w:rPr>
              <w:t>NOTES</w:t>
            </w:r>
          </w:p>
          <w:p w:rsidR="008E6E94" w:rsidRDefault="008E6E94" w:rsidP="007A413F">
            <w:pPr>
              <w:pStyle w:val="NotesText"/>
            </w:pPr>
          </w:p>
          <w:p w:rsidR="008E6E94" w:rsidRDefault="008E6E94" w:rsidP="007A413F">
            <w:pPr>
              <w:pStyle w:val="NotesText"/>
            </w:pPr>
            <w:r>
              <w:rPr>
                <w:rFonts w:cs="Arial"/>
                <w:vanish/>
              </w:rPr>
              <w:t xml:space="preserve">BR_21.10 </w:t>
            </w:r>
            <w:r>
              <w:t>When the user indicates that the blood bag was not returned, VBECS disables the hemolysis and clerical checks.</w:t>
            </w:r>
          </w:p>
          <w:p w:rsidR="008E6E94" w:rsidRDefault="008E6E94" w:rsidP="007A413F">
            <w:pPr>
              <w:pStyle w:val="NotesText"/>
            </w:pPr>
          </w:p>
          <w:p w:rsidR="008E6E94" w:rsidRDefault="008E6E94" w:rsidP="007A413F">
            <w:pPr>
              <w:pStyle w:val="NotesText"/>
            </w:pPr>
            <w:r>
              <w:rPr>
                <w:rFonts w:cs="Arial"/>
                <w:vanish/>
              </w:rPr>
              <w:t xml:space="preserve">BR_21.22 </w:t>
            </w:r>
            <w:r>
              <w:t>All implicated units entered are available for TRW ABO/Rh and TRW crossmatching. Actual data entry of test results for any entries is optional, based on a facility’s local policies and procedures.</w:t>
            </w:r>
          </w:p>
          <w:p w:rsidR="008E6E94" w:rsidRDefault="008E6E94" w:rsidP="007A413F">
            <w:pPr>
              <w:pStyle w:val="NotesText"/>
            </w:pPr>
          </w:p>
          <w:p w:rsidR="008E6E94" w:rsidRDefault="008E6E94" w:rsidP="007A413F">
            <w:pPr>
              <w:pStyle w:val="NotesText"/>
            </w:pPr>
            <w:r>
              <w:t>The user may enter a free-text comment to document site-specific information such as other solutions or additives, urinary hemoglobin checks, and whether the product was warmed during transfusion.</w:t>
            </w:r>
          </w:p>
        </w:tc>
      </w:tr>
      <w:tr w:rsidR="008E6E94">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8E6E94" w:rsidRDefault="008E6E94" w:rsidP="007A413F">
            <w:pPr>
              <w:pStyle w:val="TableTextNumbers"/>
            </w:pPr>
            <w:r>
              <w:lastRenderedPageBreak/>
              <w:t xml:space="preserve">Repeat Step </w:t>
            </w:r>
            <w:r w:rsidR="00006D86">
              <w:t>8</w:t>
            </w:r>
            <w:r w:rsidR="00BF2379">
              <w:t xml:space="preserve"> for each implicated unit</w:t>
            </w:r>
            <w:r>
              <w:t>.</w:t>
            </w:r>
          </w:p>
        </w:tc>
        <w:tc>
          <w:tcPr>
            <w:tcW w:w="6120" w:type="dxa"/>
            <w:tcBorders>
              <w:top w:val="single" w:sz="4" w:space="0" w:color="auto"/>
              <w:left w:val="single" w:sz="4" w:space="0" w:color="auto"/>
              <w:bottom w:val="single" w:sz="4" w:space="0" w:color="auto"/>
              <w:right w:val="single" w:sz="4" w:space="0" w:color="auto"/>
            </w:tcBorders>
          </w:tcPr>
          <w:p w:rsidR="008E6E94" w:rsidRDefault="008E6E94" w:rsidP="007A413F">
            <w:pPr>
              <w:pStyle w:val="TableTextBullet"/>
            </w:pPr>
            <w:r>
              <w:t>Allows the user to enter the patient’s symptoms.</w:t>
            </w:r>
          </w:p>
          <w:p w:rsidR="008E6E94" w:rsidRDefault="008E6E94" w:rsidP="007A413F">
            <w:pPr>
              <w:pStyle w:val="TableText"/>
            </w:pPr>
          </w:p>
          <w:p w:rsidR="008E6E94" w:rsidRDefault="00634BFC" w:rsidP="007A413F">
            <w:pPr>
              <w:pStyle w:val="TableText"/>
              <w:rPr>
                <w:b/>
                <w:bCs/>
                <w:szCs w:val="18"/>
              </w:rPr>
            </w:pPr>
            <w:r>
              <w:rPr>
                <w:b/>
                <w:bCs/>
                <w:noProof/>
              </w:rPr>
              <mc:AlternateContent>
                <mc:Choice Requires="wps">
                  <w:drawing>
                    <wp:anchor distT="0" distB="0" distL="114300" distR="114300" simplePos="0" relativeHeight="25174784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41" name="Line 1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2" o:spid="_x0000_s1026" style="position:absolute;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RluFQIAAC4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MY1&#10;GW4VAgAALgQAAA4AAAAAAAAAAAAAAAAALgIAAGRycy9lMm9Eb2MueG1sUEsBAi0AFAAGAAgAAAAh&#10;ABdPMBLbAAAACAEAAA8AAAAAAAAAAAAAAAAAbwQAAGRycy9kb3ducmV2LnhtbFBLBQYAAAAABAAE&#10;APMAAAB3BQAAAAA=&#10;" strokeweight="1.5pt"/>
                  </w:pict>
                </mc:Fallback>
              </mc:AlternateContent>
            </w:r>
            <w:r w:rsidR="008E6E94">
              <w:rPr>
                <w:b/>
                <w:bCs/>
                <w:szCs w:val="18"/>
              </w:rPr>
              <w:t>NOTES</w:t>
            </w:r>
          </w:p>
          <w:p w:rsidR="008E6E94" w:rsidRDefault="008E6E94" w:rsidP="007A413F">
            <w:pPr>
              <w:pStyle w:val="NotesText"/>
            </w:pPr>
          </w:p>
          <w:p w:rsidR="008E6E94" w:rsidRDefault="008E6E94" w:rsidP="007A413F">
            <w:pPr>
              <w:pStyle w:val="NotesText"/>
            </w:pPr>
            <w:r>
              <w:rPr>
                <w:rFonts w:cs="Arial"/>
                <w:vanish/>
              </w:rPr>
              <w:t xml:space="preserve">BR_21.07 </w:t>
            </w:r>
            <w:r>
              <w:t>VBECS accepts data for multiple implicated units and stores and reports them as part of the clerical check. When the user enters implicated unit data, VBECS adds the unit to TRW serologic testing.</w:t>
            </w:r>
          </w:p>
        </w:tc>
      </w:tr>
      <w:tr w:rsidR="008E6E94">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69720B" w:rsidRDefault="0069720B" w:rsidP="007A413F">
            <w:pPr>
              <w:pStyle w:val="TableTextNumbers"/>
            </w:pPr>
            <w:r>
              <w:t xml:space="preserve">In the Symptoms tab, click the </w:t>
            </w:r>
            <w:r w:rsidRPr="0069720B">
              <w:rPr>
                <w:b/>
              </w:rPr>
              <w:t xml:space="preserve">Patient Symptoms Identified </w:t>
            </w:r>
            <w:r w:rsidRPr="00BF2E41">
              <w:t>radio button</w:t>
            </w:r>
            <w:r>
              <w:t>.</w:t>
            </w:r>
          </w:p>
          <w:p w:rsidR="0069720B" w:rsidRDefault="0069720B" w:rsidP="0069720B">
            <w:pPr>
              <w:pStyle w:val="TableTextNumbersContinued"/>
            </w:pPr>
          </w:p>
          <w:p w:rsidR="0069720B" w:rsidRDefault="0069720B" w:rsidP="0069720B">
            <w:pPr>
              <w:pStyle w:val="TableTextNumbersContinued"/>
            </w:pPr>
            <w:r>
              <w:t>C</w:t>
            </w:r>
            <w:r w:rsidR="008E6E94">
              <w:t>lick the check boxes to select one or more</w:t>
            </w:r>
            <w:r>
              <w:t xml:space="preserve"> patient symptoms</w:t>
            </w:r>
            <w:r w:rsidR="00750760">
              <w:t xml:space="preserve"> (</w:t>
            </w:r>
            <w:r w:rsidR="00D418A4">
              <w:fldChar w:fldCharType="begin"/>
            </w:r>
            <w:r w:rsidR="00D418A4">
              <w:instrText xml:space="preserve"> REF _Ref127774158 \h </w:instrText>
            </w:r>
            <w:r w:rsidR="00D418A4">
              <w:fldChar w:fldCharType="separate"/>
            </w:r>
            <w:r w:rsidR="005F38BC">
              <w:t xml:space="preserve">Figure </w:t>
            </w:r>
            <w:r w:rsidR="005F38BC">
              <w:rPr>
                <w:noProof/>
              </w:rPr>
              <w:t>124</w:t>
            </w:r>
            <w:r w:rsidR="00D418A4">
              <w:fldChar w:fldCharType="end"/>
            </w:r>
            <w:r w:rsidR="00750760">
              <w:t>)</w:t>
            </w:r>
            <w:r w:rsidR="00F911DD">
              <w:t>,</w:t>
            </w:r>
          </w:p>
          <w:p w:rsidR="0069720B" w:rsidRDefault="0069720B" w:rsidP="0069720B">
            <w:pPr>
              <w:pStyle w:val="TableTextNumbersContinued"/>
            </w:pPr>
          </w:p>
          <w:p w:rsidR="008E6E94" w:rsidRDefault="0069720B" w:rsidP="0069720B">
            <w:pPr>
              <w:pStyle w:val="TableTextNumbersContinued"/>
            </w:pPr>
            <w:r>
              <w:t>or</w:t>
            </w:r>
          </w:p>
          <w:p w:rsidR="0069720B" w:rsidRDefault="0069720B" w:rsidP="0069720B">
            <w:pPr>
              <w:pStyle w:val="TableTextNumbersContinued"/>
            </w:pPr>
          </w:p>
          <w:p w:rsidR="0069720B" w:rsidRDefault="0069720B" w:rsidP="0069720B">
            <w:pPr>
              <w:pStyle w:val="TableTextNumbersContinued"/>
            </w:pPr>
            <w:r>
              <w:t xml:space="preserve">Click the </w:t>
            </w:r>
            <w:r w:rsidRPr="0069720B">
              <w:rPr>
                <w:b/>
              </w:rPr>
              <w:t xml:space="preserve">No Patient Symptoms Identified </w:t>
            </w:r>
            <w:r w:rsidRPr="00BF2E41">
              <w:t>radio button</w:t>
            </w:r>
            <w:r>
              <w:t>.</w:t>
            </w:r>
          </w:p>
          <w:p w:rsidR="00F911DD" w:rsidRDefault="00F911DD" w:rsidP="0069720B">
            <w:pPr>
              <w:pStyle w:val="TableTextNumbersContinued"/>
            </w:pPr>
          </w:p>
          <w:p w:rsidR="00F911DD" w:rsidRDefault="00F911DD" w:rsidP="0069720B">
            <w:pPr>
              <w:pStyle w:val="TableTextNumbersContinued"/>
            </w:pPr>
            <w:r>
              <w:t xml:space="preserve">Click </w:t>
            </w:r>
            <w:r w:rsidRPr="0069720B">
              <w:rPr>
                <w:b/>
              </w:rPr>
              <w:t>OK</w:t>
            </w:r>
            <w:r>
              <w:t xml:space="preserve"> to save, and </w:t>
            </w:r>
            <w:r w:rsidRPr="0069720B">
              <w:rPr>
                <w:b/>
              </w:rPr>
              <w:t>Yes</w:t>
            </w:r>
            <w:r>
              <w:t xml:space="preserve"> to confirm the save.</w:t>
            </w:r>
          </w:p>
        </w:tc>
        <w:tc>
          <w:tcPr>
            <w:tcW w:w="6120" w:type="dxa"/>
            <w:tcBorders>
              <w:top w:val="single" w:sz="4" w:space="0" w:color="auto"/>
              <w:left w:val="single" w:sz="4" w:space="0" w:color="auto"/>
              <w:bottom w:val="single" w:sz="4" w:space="0" w:color="auto"/>
              <w:right w:val="single" w:sz="4" w:space="0" w:color="auto"/>
            </w:tcBorders>
          </w:tcPr>
          <w:p w:rsidR="008E6E94" w:rsidRDefault="008E6E94" w:rsidP="007A413F">
            <w:pPr>
              <w:pStyle w:val="TableTextBullet"/>
            </w:pPr>
            <w:r>
              <w:t xml:space="preserve">Allows the user to review and/or edit the entered data before it saves the record. </w:t>
            </w:r>
          </w:p>
          <w:p w:rsidR="008E6E94" w:rsidRDefault="008E6E94" w:rsidP="007A413F">
            <w:pPr>
              <w:pStyle w:val="TableTextBullet"/>
            </w:pPr>
            <w:r>
              <w:rPr>
                <w:rFonts w:cs="Arial"/>
                <w:vanish/>
              </w:rPr>
              <w:t xml:space="preserve">BR_21.12 </w:t>
            </w:r>
            <w:r>
              <w:t xml:space="preserve">Allows the user to indicate that the TRW is complete. </w:t>
            </w:r>
          </w:p>
          <w:p w:rsidR="008E6E94" w:rsidRDefault="008E6E94" w:rsidP="009B1E9C">
            <w:pPr>
              <w:pStyle w:val="NotesText"/>
              <w:ind w:left="0"/>
            </w:pPr>
          </w:p>
        </w:tc>
      </w:tr>
      <w:tr w:rsidR="008E6E94">
        <w:tblPrEx>
          <w:tblCellMar>
            <w:top w:w="0" w:type="dxa"/>
            <w:bottom w:w="0" w:type="dxa"/>
          </w:tblCellMar>
        </w:tblPrEx>
        <w:tc>
          <w:tcPr>
            <w:tcW w:w="3240" w:type="dxa"/>
          </w:tcPr>
          <w:p w:rsidR="00470DA1" w:rsidRDefault="00470DA1" w:rsidP="007A413F">
            <w:pPr>
              <w:pStyle w:val="TableTextNumbers"/>
            </w:pPr>
            <w:r>
              <w:t>In the Serologic Tests tab, click a check box to select which tests to perform.</w:t>
            </w:r>
          </w:p>
          <w:p w:rsidR="00470DA1" w:rsidRDefault="00470DA1" w:rsidP="00120B78">
            <w:pPr>
              <w:pStyle w:val="TableTextNumbersContinued"/>
            </w:pPr>
          </w:p>
          <w:p w:rsidR="00B81464" w:rsidRDefault="00B81464" w:rsidP="00120B78">
            <w:pPr>
              <w:pStyle w:val="TableTextNumbersContinued"/>
            </w:pPr>
            <w:r>
              <w:t>Select a rack from the drop-down list in the Rack field.</w:t>
            </w:r>
          </w:p>
          <w:p w:rsidR="00B81464" w:rsidRDefault="00B81464" w:rsidP="00120B78">
            <w:pPr>
              <w:pStyle w:val="TableTextNumbersContinued"/>
            </w:pPr>
          </w:p>
          <w:p w:rsidR="00120B78" w:rsidRDefault="00120B78" w:rsidP="00120B78">
            <w:pPr>
              <w:pStyle w:val="TableTextNumbersContinued"/>
            </w:pPr>
            <w:r>
              <w:t xml:space="preserve">Click the </w:t>
            </w:r>
            <w:r w:rsidRPr="00120B78">
              <w:rPr>
                <w:b/>
              </w:rPr>
              <w:t xml:space="preserve">Using Automated Instrument </w:t>
            </w:r>
            <w:r w:rsidRPr="00D1100E">
              <w:t>check box</w:t>
            </w:r>
            <w:r>
              <w:t xml:space="preserve">, as required. </w:t>
            </w:r>
          </w:p>
          <w:p w:rsidR="00120B78" w:rsidRDefault="00120B78" w:rsidP="00120B78">
            <w:pPr>
              <w:pStyle w:val="TableTextNumbersContinued"/>
            </w:pPr>
          </w:p>
          <w:p w:rsidR="00120B78" w:rsidRDefault="00120B78" w:rsidP="00120B78">
            <w:pPr>
              <w:pStyle w:val="TableTextNumbersContinued"/>
            </w:pPr>
            <w:r>
              <w:t>Enter the name of the instrument in the Name field.</w:t>
            </w:r>
          </w:p>
          <w:p w:rsidR="00120B78" w:rsidRDefault="00120B78" w:rsidP="00120B78">
            <w:pPr>
              <w:pStyle w:val="TableTextNumbersContinued"/>
            </w:pPr>
          </w:p>
          <w:p w:rsidR="00120B78" w:rsidRDefault="00120B78" w:rsidP="00120B78">
            <w:pPr>
              <w:pStyle w:val="TableTextNumbersContinued"/>
            </w:pPr>
            <w:r>
              <w:t xml:space="preserve">Click the </w:t>
            </w:r>
            <w:r w:rsidRPr="00120B78">
              <w:rPr>
                <w:b/>
              </w:rPr>
              <w:t xml:space="preserve">Instrument QC’d? </w:t>
            </w:r>
            <w:r w:rsidRPr="00D1100E">
              <w:t>check box</w:t>
            </w:r>
            <w:r>
              <w:t>, as appropriate.</w:t>
            </w:r>
          </w:p>
          <w:p w:rsidR="00120B78" w:rsidRDefault="00120B78" w:rsidP="00120B78">
            <w:pPr>
              <w:pStyle w:val="TableTextNumbersContinued"/>
            </w:pPr>
          </w:p>
          <w:p w:rsidR="008E6E94" w:rsidRDefault="008E6E94" w:rsidP="00120B78">
            <w:pPr>
              <w:pStyle w:val="TableTextNumbersContinued"/>
            </w:pPr>
            <w:r>
              <w:t>Enter interpretations for TRW testing</w:t>
            </w:r>
            <w:r w:rsidR="00750760">
              <w:t xml:space="preserve"> (</w:t>
            </w:r>
            <w:r w:rsidR="00D418A4">
              <w:fldChar w:fldCharType="begin"/>
            </w:r>
            <w:r w:rsidR="00D418A4">
              <w:instrText xml:space="preserve"> REF _Ref127774192 \h </w:instrText>
            </w:r>
            <w:r w:rsidR="00D418A4">
              <w:fldChar w:fldCharType="separate"/>
            </w:r>
            <w:r w:rsidR="005F38BC">
              <w:t xml:space="preserve">Figure </w:t>
            </w:r>
            <w:r w:rsidR="005F38BC">
              <w:rPr>
                <w:noProof/>
              </w:rPr>
              <w:t>125</w:t>
            </w:r>
            <w:r w:rsidR="00D418A4">
              <w:fldChar w:fldCharType="end"/>
            </w:r>
            <w:r w:rsidR="00750760">
              <w:t>)</w:t>
            </w:r>
            <w:r>
              <w:t>.</w:t>
            </w:r>
          </w:p>
          <w:p w:rsidR="00120B78" w:rsidRDefault="00120B78" w:rsidP="00120B78">
            <w:pPr>
              <w:pStyle w:val="TableTextNumbersContinued"/>
              <w:ind w:left="0"/>
            </w:pPr>
          </w:p>
        </w:tc>
        <w:tc>
          <w:tcPr>
            <w:tcW w:w="6120" w:type="dxa"/>
          </w:tcPr>
          <w:p w:rsidR="008E6E94" w:rsidRDefault="008E6E94" w:rsidP="007A413F">
            <w:pPr>
              <w:pStyle w:val="TableTextBullet"/>
            </w:pPr>
            <w:r>
              <w:t xml:space="preserve">Allows the user to enter one or more additional TRW test interpretations: </w:t>
            </w:r>
          </w:p>
          <w:p w:rsidR="008E6E94" w:rsidRDefault="008E6E94" w:rsidP="007A413F">
            <w:pPr>
              <w:pStyle w:val="TableTextBullet1"/>
            </w:pPr>
            <w:r>
              <w:t>TRW ABO/Rh testing</w:t>
            </w:r>
          </w:p>
          <w:p w:rsidR="008E6E94" w:rsidRDefault="008E6E94" w:rsidP="007A413F">
            <w:pPr>
              <w:pStyle w:val="TableTextBullet1"/>
            </w:pPr>
            <w:r>
              <w:t>TRW ABS testing</w:t>
            </w:r>
          </w:p>
          <w:p w:rsidR="008E6E94" w:rsidRDefault="008E6E94" w:rsidP="007A413F">
            <w:pPr>
              <w:pStyle w:val="TableTextBullet1"/>
            </w:pPr>
            <w:r>
              <w:t xml:space="preserve">TRW DAT testing </w:t>
            </w:r>
          </w:p>
          <w:p w:rsidR="008E6E94" w:rsidRDefault="008E6E94" w:rsidP="007A413F">
            <w:pPr>
              <w:pStyle w:val="TableTextBullet1"/>
            </w:pPr>
            <w:r>
              <w:t>TRW XM testing</w:t>
            </w:r>
          </w:p>
          <w:p w:rsidR="008E6E94" w:rsidRDefault="008E6E94" w:rsidP="007A413F">
            <w:pPr>
              <w:pStyle w:val="TableTextBullet"/>
            </w:pPr>
            <w:r>
              <w:t xml:space="preserve">Requires the user to enter the rack name and test method to be </w:t>
            </w:r>
            <w:r>
              <w:rPr>
                <w:iCs/>
              </w:rPr>
              <w:t xml:space="preserve">applied to </w:t>
            </w:r>
            <w:r>
              <w:t>the specimens selected in this testing group for serologic testing. The user must also indicate whether an automated instrument was used in testing.</w:t>
            </w:r>
          </w:p>
          <w:p w:rsidR="008E6E94" w:rsidRDefault="008E6E94" w:rsidP="007A413F">
            <w:pPr>
              <w:pStyle w:val="TableTextBullet"/>
            </w:pPr>
            <w:r>
              <w:t>Displays the date and time the testing was performed (default: current date and time), which the user may edit retrospectively.</w:t>
            </w:r>
          </w:p>
          <w:p w:rsidR="008E6E94" w:rsidRDefault="008E6E94" w:rsidP="007A413F">
            <w:pPr>
              <w:pStyle w:val="TableTextBullet"/>
            </w:pPr>
            <w:r>
              <w:t>Displays the testing technologist’s identification (default: current user). Lists valid division users for the user’s selection.</w:t>
            </w:r>
          </w:p>
          <w:p w:rsidR="008E6E94" w:rsidRDefault="008E6E94" w:rsidP="007A413F">
            <w:pPr>
              <w:pStyle w:val="TableText"/>
            </w:pPr>
          </w:p>
          <w:p w:rsidR="008E6E94" w:rsidRDefault="00634BFC" w:rsidP="007A413F">
            <w:pPr>
              <w:pStyle w:val="TableText"/>
              <w:rPr>
                <w:b/>
                <w:bCs/>
                <w:szCs w:val="18"/>
              </w:rPr>
            </w:pPr>
            <w:r>
              <w:rPr>
                <w:b/>
                <w:bCs/>
                <w:noProof/>
              </w:rPr>
              <mc:AlternateContent>
                <mc:Choice Requires="wps">
                  <w:drawing>
                    <wp:anchor distT="0" distB="0" distL="114300" distR="114300" simplePos="0" relativeHeight="25174169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40" name="Line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6" o:spid="_x0000_s1026"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nvJFQIAAC4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C5S&#10;e8kVAgAALgQAAA4AAAAAAAAAAAAAAAAALgIAAGRycy9lMm9Eb2MueG1sUEsBAi0AFAAGAAgAAAAh&#10;ABdPMBLbAAAACAEAAA8AAAAAAAAAAAAAAAAAbwQAAGRycy9kb3ducmV2LnhtbFBLBQYAAAAABAAE&#10;APMAAAB3BQAAAAA=&#10;" strokeweight="1.5pt"/>
                  </w:pict>
                </mc:Fallback>
              </mc:AlternateContent>
            </w:r>
            <w:r w:rsidR="008E6E94">
              <w:rPr>
                <w:b/>
                <w:bCs/>
                <w:szCs w:val="18"/>
              </w:rPr>
              <w:t>NOTES</w:t>
            </w:r>
          </w:p>
          <w:p w:rsidR="008E6E94" w:rsidRDefault="008E6E94" w:rsidP="007A413F">
            <w:pPr>
              <w:pStyle w:val="NotesText"/>
            </w:pPr>
          </w:p>
          <w:p w:rsidR="008E6E94" w:rsidRDefault="008E6E94" w:rsidP="007A413F">
            <w:pPr>
              <w:pStyle w:val="NotesText"/>
            </w:pPr>
            <w:r>
              <w:rPr>
                <w:vanish/>
                <w:szCs w:val="18"/>
              </w:rPr>
              <w:t>BR_21.16</w:t>
            </w:r>
            <w:r w:rsidR="005D400B">
              <w:rPr>
                <w:vanish/>
                <w:szCs w:val="18"/>
              </w:rPr>
              <w:t>,</w:t>
            </w:r>
            <w:r>
              <w:rPr>
                <w:vanish/>
                <w:szCs w:val="18"/>
              </w:rPr>
              <w:t xml:space="preserve"> BR_21.24 </w:t>
            </w:r>
            <w:r>
              <w:t>When no units were implicated or no</w:t>
            </w:r>
            <w:r>
              <w:rPr>
                <w:color w:val="000000"/>
                <w:szCs w:val="18"/>
              </w:rPr>
              <w:t xml:space="preserve"> pre- or post-transfusion specimens are available, VBECS disables those</w:t>
            </w:r>
            <w:r>
              <w:t xml:space="preserve"> portions of the grid.</w:t>
            </w:r>
          </w:p>
          <w:p w:rsidR="008E6E94" w:rsidRDefault="008E6E94" w:rsidP="007A413F">
            <w:pPr>
              <w:pStyle w:val="NotesText"/>
            </w:pPr>
          </w:p>
          <w:p w:rsidR="008E6E94" w:rsidRDefault="008E6E94" w:rsidP="007A413F">
            <w:pPr>
              <w:pStyle w:val="NotesText"/>
            </w:pPr>
            <w:r>
              <w:rPr>
                <w:rFonts w:cs="Arial"/>
                <w:vanish/>
              </w:rPr>
              <w:t xml:space="preserve">BR_21.13 </w:t>
            </w:r>
            <w:r>
              <w:t>VBECS displays the standard TRW tests for the user to select to perform some</w:t>
            </w:r>
            <w:r w:rsidR="00DB68D8">
              <w:t>, none</w:t>
            </w:r>
            <w:r>
              <w:t xml:space="preserve"> or all.</w:t>
            </w:r>
            <w:r w:rsidR="00DB68D8">
              <w:t xml:space="preserve"> </w:t>
            </w:r>
            <w:r w:rsidR="00DB68D8" w:rsidRPr="00DB68D8">
              <w:rPr>
                <w:vanish/>
              </w:rPr>
              <w:t>DR 5100</w:t>
            </w:r>
          </w:p>
          <w:p w:rsidR="008E6E94" w:rsidRDefault="008E6E94" w:rsidP="007A413F">
            <w:pPr>
              <w:pStyle w:val="NotesText"/>
            </w:pPr>
          </w:p>
          <w:p w:rsidR="008E6E94" w:rsidRDefault="008E6E94" w:rsidP="007A413F">
            <w:pPr>
              <w:pStyle w:val="NotesText"/>
            </w:pPr>
            <w:r>
              <w:rPr>
                <w:rFonts w:cs="Arial"/>
                <w:vanish/>
              </w:rPr>
              <w:t xml:space="preserve">BR_56.14 </w:t>
            </w:r>
            <w:r>
              <w:t>When a facility is “full service” and an automated instrument was used for testing, a user must enter the name of the instrument and may indicate that successful quality control testing was done for the testing date.</w:t>
            </w:r>
          </w:p>
          <w:p w:rsidR="008E6E94" w:rsidRDefault="008E6E94" w:rsidP="007A413F">
            <w:pPr>
              <w:pStyle w:val="NotesText"/>
            </w:pPr>
          </w:p>
          <w:p w:rsidR="008E6E94" w:rsidRDefault="008E6E94" w:rsidP="007A413F">
            <w:pPr>
              <w:pStyle w:val="NotesText"/>
            </w:pPr>
            <w:r>
              <w:rPr>
                <w:vanish/>
                <w:szCs w:val="18"/>
              </w:rPr>
              <w:t>BR_21.04</w:t>
            </w:r>
            <w:r w:rsidR="009078D6">
              <w:rPr>
                <w:vanish/>
                <w:szCs w:val="18"/>
              </w:rPr>
              <w:t>,</w:t>
            </w:r>
            <w:r>
              <w:rPr>
                <w:vanish/>
                <w:szCs w:val="18"/>
              </w:rPr>
              <w:t xml:space="preserve"> BR_21.22 </w:t>
            </w:r>
            <w:r>
              <w:t>For implicated units, the ABO/Rh TRW, ABS TRW, DAT TRW, and Crossmatch TRW testing data grids are pre-populated with pre- and post-specimen data. Data entry of test results is optional, based on a facility’s local policies and procedures.</w:t>
            </w:r>
          </w:p>
        </w:tc>
      </w:tr>
      <w:tr w:rsidR="008E6E94">
        <w:tblPrEx>
          <w:tblCellMar>
            <w:top w:w="0" w:type="dxa"/>
            <w:bottom w:w="0" w:type="dxa"/>
          </w:tblCellMar>
        </w:tblPrEx>
        <w:tc>
          <w:tcPr>
            <w:tcW w:w="3240" w:type="dxa"/>
          </w:tcPr>
          <w:p w:rsidR="00120B78" w:rsidRDefault="008E6E94" w:rsidP="007A413F">
            <w:pPr>
              <w:pStyle w:val="TableTextNumbers"/>
            </w:pPr>
            <w:r>
              <w:lastRenderedPageBreak/>
              <w:t>Review the entries</w:t>
            </w:r>
            <w:r w:rsidR="00120B78">
              <w:t>.</w:t>
            </w:r>
          </w:p>
          <w:p w:rsidR="00120B78" w:rsidRDefault="00120B78" w:rsidP="00120B78">
            <w:pPr>
              <w:pStyle w:val="TableTextNumbersContinued"/>
            </w:pPr>
          </w:p>
          <w:p w:rsidR="008E6E94" w:rsidRDefault="00120B78" w:rsidP="00120B78">
            <w:pPr>
              <w:pStyle w:val="TableTextNumbersContinued"/>
            </w:pPr>
            <w:r>
              <w:t xml:space="preserve">Click </w:t>
            </w:r>
            <w:r w:rsidRPr="0069720B">
              <w:rPr>
                <w:b/>
              </w:rPr>
              <w:t>OK</w:t>
            </w:r>
            <w:r>
              <w:t xml:space="preserve"> to save, and </w:t>
            </w:r>
            <w:r w:rsidRPr="0069720B">
              <w:rPr>
                <w:b/>
              </w:rPr>
              <w:t>Yes</w:t>
            </w:r>
            <w:r>
              <w:t xml:space="preserve"> to confirm the save.</w:t>
            </w:r>
          </w:p>
        </w:tc>
        <w:tc>
          <w:tcPr>
            <w:tcW w:w="6120" w:type="dxa"/>
          </w:tcPr>
          <w:p w:rsidR="008E6E94" w:rsidRDefault="008E6E94" w:rsidP="007A413F">
            <w:pPr>
              <w:pStyle w:val="TableTextBullet"/>
            </w:pPr>
            <w:r>
              <w:t>Stores data for retrieval.</w:t>
            </w:r>
          </w:p>
          <w:p w:rsidR="008E6E94" w:rsidRDefault="008E6E94" w:rsidP="007A413F">
            <w:pPr>
              <w:pStyle w:val="TableTextBullet"/>
            </w:pPr>
            <w:r>
              <w:t>Makes the findings viewable through a CPRS query.</w:t>
            </w:r>
          </w:p>
          <w:p w:rsidR="008E6E94" w:rsidRDefault="008E6E94" w:rsidP="007A413F">
            <w:pPr>
              <w:pStyle w:val="TableText"/>
            </w:pPr>
          </w:p>
          <w:p w:rsidR="008E6E94" w:rsidRDefault="00634BFC" w:rsidP="007A413F">
            <w:pPr>
              <w:pStyle w:val="TableText"/>
              <w:rPr>
                <w:b/>
                <w:bCs/>
                <w:szCs w:val="18"/>
              </w:rPr>
            </w:pPr>
            <w:r>
              <w:rPr>
                <w:b/>
                <w:bCs/>
                <w:noProof/>
              </w:rPr>
              <mc:AlternateContent>
                <mc:Choice Requires="wps">
                  <w:drawing>
                    <wp:anchor distT="0" distB="0" distL="114300" distR="114300" simplePos="0" relativeHeight="25174272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39" name="Line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7" o:spid="_x0000_s1026" style="position:absolute;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5oLFgIAAC4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CU&#10;45oLFgIAAC4EAAAOAAAAAAAAAAAAAAAAAC4CAABkcnMvZTJvRG9jLnhtbFBLAQItABQABgAIAAAA&#10;IQAXTzAS2wAAAAgBAAAPAAAAAAAAAAAAAAAAAHAEAABkcnMvZG93bnJldi54bWxQSwUGAAAAAAQA&#10;BADzAAAAeAUAAAAA&#10;" strokeweight="1.5pt"/>
                  </w:pict>
                </mc:Fallback>
              </mc:AlternateContent>
            </w:r>
            <w:r w:rsidR="008E6E94">
              <w:rPr>
                <w:b/>
                <w:bCs/>
                <w:szCs w:val="18"/>
              </w:rPr>
              <w:t>NOTES</w:t>
            </w:r>
          </w:p>
          <w:p w:rsidR="008E6E94" w:rsidRDefault="008E6E94" w:rsidP="007A413F">
            <w:pPr>
              <w:pStyle w:val="NotesText"/>
            </w:pPr>
          </w:p>
          <w:p w:rsidR="008E6E94" w:rsidRDefault="008E6E94" w:rsidP="007A413F">
            <w:pPr>
              <w:pStyle w:val="NotesText"/>
            </w:pPr>
            <w:r>
              <w:rPr>
                <w:rFonts w:cs="Arial"/>
                <w:vanish/>
              </w:rPr>
              <w:t xml:space="preserve">BR_21.12 </w:t>
            </w:r>
            <w:r>
              <w:t>VBECS allows the user to indicate that the TRW is complete, then updates the TRW task status to “complete.”</w:t>
            </w:r>
          </w:p>
          <w:p w:rsidR="008E6E94" w:rsidRDefault="008E6E94" w:rsidP="007A413F">
            <w:pPr>
              <w:pStyle w:val="NotesText"/>
            </w:pPr>
          </w:p>
          <w:p w:rsidR="008E6E94" w:rsidRDefault="008E6E94" w:rsidP="007A413F">
            <w:pPr>
              <w:pStyle w:val="NotesText"/>
            </w:pPr>
            <w:r>
              <w:rPr>
                <w:rFonts w:cs="Arial"/>
                <w:vanish/>
              </w:rPr>
              <w:t xml:space="preserve">BR_21.06 </w:t>
            </w:r>
            <w:r>
              <w:t>Once the TRW is completed, the summary of results and observations includes the comment, “Final report to follow in hard copy with medical director evaluation of the transfusion reaction workup.”</w:t>
            </w:r>
          </w:p>
          <w:p w:rsidR="008E6E94" w:rsidRDefault="008E6E94" w:rsidP="007A413F">
            <w:pPr>
              <w:pStyle w:val="NotesText"/>
            </w:pPr>
          </w:p>
          <w:p w:rsidR="008E6E94" w:rsidRDefault="008E6E94" w:rsidP="007A413F">
            <w:pPr>
              <w:pStyle w:val="NotesText"/>
              <w:rPr>
                <w:color w:val="000000"/>
                <w:szCs w:val="18"/>
              </w:rPr>
            </w:pPr>
            <w:r>
              <w:rPr>
                <w:rFonts w:cs="Arial"/>
                <w:vanish/>
              </w:rPr>
              <w:t xml:space="preserve">BR_21.21 </w:t>
            </w:r>
            <w:r>
              <w:t xml:space="preserve">VBECS indicates on the </w:t>
            </w:r>
            <w:r>
              <w:rPr>
                <w:color w:val="000000"/>
                <w:szCs w:val="18"/>
              </w:rPr>
              <w:t>implicated unit’s patient transfusion record that it was implicated in a transfusion reaction and notes the patient’s name and ID and the date and time.</w:t>
            </w:r>
          </w:p>
          <w:p w:rsidR="008E6E94" w:rsidRDefault="008E6E94" w:rsidP="007A413F">
            <w:pPr>
              <w:pStyle w:val="NotesText"/>
            </w:pPr>
          </w:p>
          <w:p w:rsidR="008E6E94" w:rsidRDefault="008E6E94" w:rsidP="007A413F">
            <w:pPr>
              <w:pStyle w:val="NotesText"/>
              <w:rPr>
                <w:szCs w:val="18"/>
              </w:rPr>
            </w:pPr>
            <w:r>
              <w:rPr>
                <w:rFonts w:cs="Arial"/>
                <w:vanish/>
              </w:rPr>
              <w:t>BR_21.28</w:t>
            </w:r>
            <w:r w:rsidRPr="00323744">
              <w:rPr>
                <w:rStyle w:val="BullhornChar"/>
              </w:rPr>
              <w:t></w:t>
            </w:r>
            <w:r>
              <w:rPr>
                <w:rFonts w:ascii="Webdings" w:hAnsi="Webdings"/>
              </w:rPr>
              <w:t></w:t>
            </w:r>
            <w:r>
              <w:rPr>
                <w:szCs w:val="18"/>
              </w:rPr>
              <w:t>VBECS saves the record and one or more clerical checks are marked “failed,” VBECS emits an audible alert, requires a comment, and captures details for inclusion in an Exception Report (exception type: Transfusion Reaction Workup).</w:t>
            </w:r>
          </w:p>
        </w:tc>
      </w:tr>
      <w:tr w:rsidR="008E6E94">
        <w:tblPrEx>
          <w:tblCellMar>
            <w:top w:w="0" w:type="dxa"/>
            <w:bottom w:w="0" w:type="dxa"/>
          </w:tblCellMar>
        </w:tblPrEx>
        <w:tc>
          <w:tcPr>
            <w:tcW w:w="3240" w:type="dxa"/>
          </w:tcPr>
          <w:p w:rsidR="00F676B6" w:rsidRDefault="00F676B6" w:rsidP="007A413F">
            <w:pPr>
              <w:pStyle w:val="TableTextNumbers"/>
            </w:pPr>
            <w:r>
              <w:t xml:space="preserve">Click </w:t>
            </w:r>
            <w:r w:rsidRPr="00F676B6">
              <w:rPr>
                <w:b/>
              </w:rPr>
              <w:t>Finalize/Print TRW</w:t>
            </w:r>
            <w:r>
              <w:t xml:space="preserve"> and continue at Finalize/Print TRW to finalize the TRW</w:t>
            </w:r>
            <w:r w:rsidR="00750760">
              <w:t xml:space="preserve"> (</w:t>
            </w:r>
            <w:r w:rsidR="00D418A4">
              <w:fldChar w:fldCharType="begin"/>
            </w:r>
            <w:r w:rsidR="00D418A4">
              <w:instrText xml:space="preserve"> REF _Ref127774218 \h </w:instrText>
            </w:r>
            <w:r w:rsidR="00D418A4">
              <w:fldChar w:fldCharType="separate"/>
            </w:r>
            <w:r w:rsidR="005F38BC">
              <w:t xml:space="preserve">Figure </w:t>
            </w:r>
            <w:r w:rsidR="005F38BC">
              <w:rPr>
                <w:noProof/>
              </w:rPr>
              <w:t>126</w:t>
            </w:r>
            <w:r w:rsidR="00D418A4">
              <w:fldChar w:fldCharType="end"/>
            </w:r>
            <w:r w:rsidR="00750760">
              <w:t>)</w:t>
            </w:r>
            <w:r>
              <w:t>, or</w:t>
            </w:r>
          </w:p>
          <w:p w:rsidR="00F676B6" w:rsidRDefault="00F676B6" w:rsidP="00F676B6">
            <w:pPr>
              <w:pStyle w:val="TableTextNumbersContinued"/>
            </w:pPr>
          </w:p>
          <w:p w:rsidR="008E6E94" w:rsidRDefault="00F676B6" w:rsidP="00F676B6">
            <w:pPr>
              <w:pStyle w:val="TableTextNumbersContinued"/>
            </w:pPr>
            <w:r>
              <w:t>Click</w:t>
            </w:r>
            <w:r w:rsidR="00AA6C54">
              <w:t xml:space="preserve"> </w:t>
            </w:r>
            <w:r w:rsidRPr="00F676B6">
              <w:rPr>
                <w:b/>
              </w:rPr>
              <w:t>Cancel</w:t>
            </w:r>
            <w:r>
              <w:t xml:space="preserve"> to complete the TRW and exit</w:t>
            </w:r>
            <w:r w:rsidR="008E6E94">
              <w:t xml:space="preserve">. </w:t>
            </w:r>
            <w:r w:rsidR="008E6E94">
              <w:rPr>
                <w:vanish/>
                <w:color w:val="FFFFFF"/>
                <w:szCs w:val="18"/>
              </w:rPr>
              <w:fldChar w:fldCharType="begin"/>
            </w:r>
            <w:r w:rsidR="008E6E94">
              <w:rPr>
                <w:vanish/>
                <w:color w:val="FFFFFF"/>
                <w:szCs w:val="18"/>
              </w:rPr>
              <w:instrText xml:space="preserve"> LISTNUM \l 1 \s 0 </w:instrText>
            </w:r>
            <w:r w:rsidR="008E6E94">
              <w:rPr>
                <w:vanish/>
                <w:color w:val="FFFFFF"/>
                <w:szCs w:val="18"/>
              </w:rPr>
              <w:fldChar w:fldCharType="end"/>
            </w:r>
          </w:p>
        </w:tc>
        <w:tc>
          <w:tcPr>
            <w:tcW w:w="6120" w:type="dxa"/>
          </w:tcPr>
          <w:p w:rsidR="00503680" w:rsidRPr="00503680" w:rsidRDefault="00503680" w:rsidP="00503680">
            <w:pPr>
              <w:pStyle w:val="TableText"/>
            </w:pPr>
          </w:p>
          <w:p w:rsidR="008E6E94" w:rsidRDefault="00634BFC" w:rsidP="007A413F">
            <w:pPr>
              <w:pStyle w:val="TableText"/>
              <w:rPr>
                <w:b/>
                <w:bCs/>
                <w:szCs w:val="18"/>
              </w:rPr>
            </w:pPr>
            <w:r>
              <w:rPr>
                <w:b/>
                <w:bCs/>
                <w:noProof/>
              </w:rPr>
              <mc:AlternateContent>
                <mc:Choice Requires="wps">
                  <w:drawing>
                    <wp:anchor distT="0" distB="0" distL="114300" distR="114300" simplePos="0" relativeHeight="25174374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38" name="Line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8" o:spid="_x0000_s1026" style="position:absolute;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2kLFQIAAC4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OR/&#10;aQsVAgAALgQAAA4AAAAAAAAAAAAAAAAALgIAAGRycy9lMm9Eb2MueG1sUEsBAi0AFAAGAAgAAAAh&#10;ABdPMBLbAAAACAEAAA8AAAAAAAAAAAAAAAAAbwQAAGRycy9kb3ducmV2LnhtbFBLBQYAAAAABAAE&#10;APMAAAB3BQAAAAA=&#10;" strokeweight="1.5pt"/>
                  </w:pict>
                </mc:Fallback>
              </mc:AlternateContent>
            </w:r>
            <w:r w:rsidR="008E6E94">
              <w:rPr>
                <w:b/>
                <w:bCs/>
                <w:szCs w:val="18"/>
              </w:rPr>
              <w:t>NOTES</w:t>
            </w:r>
          </w:p>
          <w:p w:rsidR="008E6E94" w:rsidRPr="007F427E" w:rsidRDefault="008E6E94" w:rsidP="007F427E">
            <w:pPr>
              <w:pStyle w:val="NotesText"/>
            </w:pPr>
          </w:p>
          <w:p w:rsidR="00F676B6" w:rsidRDefault="00F676B6" w:rsidP="007F427E">
            <w:pPr>
              <w:pStyle w:val="NotesText"/>
              <w:rPr>
                <w:color w:val="3366FF"/>
              </w:rPr>
            </w:pPr>
            <w:r w:rsidRPr="007F427E">
              <w:t>A completed TRW indicates that serologic testing was completed. A finalized TRW indicates that the medical director reviewed the TRW, classified the rea</w:t>
            </w:r>
            <w:r w:rsidR="007F427E" w:rsidRPr="007F427E">
              <w:t>ction, and may make recommendations for future transfusions.</w:t>
            </w:r>
          </w:p>
        </w:tc>
      </w:tr>
    </w:tbl>
    <w:p w:rsidR="008534C3" w:rsidRDefault="00772DD7" w:rsidP="008534C3">
      <w:pPr>
        <w:pStyle w:val="Caption"/>
      </w:pPr>
      <w:bookmarkStart w:id="499" w:name="_Ref127771180"/>
      <w:r>
        <w:lastRenderedPageBreak/>
        <w:t xml:space="preserve">Figure </w:t>
      </w:r>
      <w:r w:rsidR="00C17F7C">
        <w:fldChar w:fldCharType="begin"/>
      </w:r>
      <w:r w:rsidR="00C17F7C">
        <w:instrText xml:space="preserve"> SEQ Figure \* ARABIC </w:instrText>
      </w:r>
      <w:r w:rsidR="00C17F7C">
        <w:fldChar w:fldCharType="separate"/>
      </w:r>
      <w:r w:rsidR="005F38BC">
        <w:rPr>
          <w:noProof/>
        </w:rPr>
        <w:t>121</w:t>
      </w:r>
      <w:r w:rsidR="00C17F7C">
        <w:fldChar w:fldCharType="end"/>
      </w:r>
      <w:bookmarkEnd w:id="499"/>
      <w:r>
        <w:t>:</w:t>
      </w:r>
      <w:r w:rsidR="008534C3">
        <w:t xml:space="preserve"> Transfusion Reaction Workup</w:t>
      </w:r>
      <w:r w:rsidR="004645AA">
        <w:t>: Specimen</w:t>
      </w:r>
      <w:r w:rsidR="00A73927">
        <w:t xml:space="preserve"> Check</w:t>
      </w:r>
    </w:p>
    <w:p w:rsidR="00772DD7" w:rsidRDefault="00634BFC" w:rsidP="008534C3">
      <w:pPr>
        <w:pStyle w:val="BodyText"/>
      </w:pPr>
      <w:r>
        <w:rPr>
          <w:noProof/>
        </w:rPr>
        <w:drawing>
          <wp:inline distT="0" distB="0" distL="0" distR="0">
            <wp:extent cx="4343400" cy="33528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343400" cy="3352800"/>
                    </a:xfrm>
                    <a:prstGeom prst="rect">
                      <a:avLst/>
                    </a:prstGeom>
                    <a:noFill/>
                    <a:ln>
                      <a:noFill/>
                    </a:ln>
                  </pic:spPr>
                </pic:pic>
              </a:graphicData>
            </a:graphic>
          </wp:inline>
        </w:drawing>
      </w:r>
    </w:p>
    <w:p w:rsidR="00772DD7" w:rsidRDefault="00772DD7" w:rsidP="00772DD7">
      <w:pPr>
        <w:pStyle w:val="Caption"/>
      </w:pPr>
      <w:bookmarkStart w:id="500" w:name="_Ref127771990"/>
      <w:r>
        <w:t xml:space="preserve">Figure </w:t>
      </w:r>
      <w:r w:rsidR="00C17F7C">
        <w:fldChar w:fldCharType="begin"/>
      </w:r>
      <w:r w:rsidR="00C17F7C">
        <w:instrText xml:space="preserve"> SEQ Figure \* ARABIC </w:instrText>
      </w:r>
      <w:r w:rsidR="00C17F7C">
        <w:fldChar w:fldCharType="separate"/>
      </w:r>
      <w:r w:rsidR="005F38BC">
        <w:rPr>
          <w:noProof/>
        </w:rPr>
        <w:t>122</w:t>
      </w:r>
      <w:r w:rsidR="00C17F7C">
        <w:fldChar w:fldCharType="end"/>
      </w:r>
      <w:bookmarkEnd w:id="500"/>
      <w:r>
        <w:t>:</w:t>
      </w:r>
      <w:r w:rsidR="004645AA">
        <w:t xml:space="preserve"> Transfusion </w:t>
      </w:r>
      <w:r w:rsidR="00A73927">
        <w:t>Reaction Workup: Clerical Check</w:t>
      </w:r>
    </w:p>
    <w:p w:rsidR="00772DD7" w:rsidRPr="00772DD7" w:rsidRDefault="00634BFC" w:rsidP="00772DD7">
      <w:pPr>
        <w:pStyle w:val="BodyText"/>
      </w:pPr>
      <w:r>
        <w:rPr>
          <w:noProof/>
        </w:rPr>
        <w:drawing>
          <wp:inline distT="0" distB="0" distL="0" distR="0">
            <wp:extent cx="4343400" cy="33528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343400" cy="3352800"/>
                    </a:xfrm>
                    <a:prstGeom prst="rect">
                      <a:avLst/>
                    </a:prstGeom>
                    <a:noFill/>
                    <a:ln>
                      <a:noFill/>
                    </a:ln>
                  </pic:spPr>
                </pic:pic>
              </a:graphicData>
            </a:graphic>
          </wp:inline>
        </w:drawing>
      </w:r>
    </w:p>
    <w:p w:rsidR="00772DD7" w:rsidRDefault="00772DD7" w:rsidP="00772DD7">
      <w:pPr>
        <w:pStyle w:val="Caption"/>
      </w:pPr>
      <w:bookmarkStart w:id="501" w:name="_Ref127774070"/>
      <w:r>
        <w:lastRenderedPageBreak/>
        <w:t xml:space="preserve">Figure </w:t>
      </w:r>
      <w:r w:rsidR="00C17F7C">
        <w:fldChar w:fldCharType="begin"/>
      </w:r>
      <w:r w:rsidR="00C17F7C">
        <w:instrText xml:space="preserve"> SEQ Figure \* ARABIC </w:instrText>
      </w:r>
      <w:r w:rsidR="00C17F7C">
        <w:fldChar w:fldCharType="separate"/>
      </w:r>
      <w:r w:rsidR="005F38BC">
        <w:rPr>
          <w:noProof/>
        </w:rPr>
        <w:t>123</w:t>
      </w:r>
      <w:r w:rsidR="00C17F7C">
        <w:fldChar w:fldCharType="end"/>
      </w:r>
      <w:bookmarkEnd w:id="501"/>
      <w:r>
        <w:t>:</w:t>
      </w:r>
      <w:r w:rsidR="00390AEF">
        <w:t xml:space="preserve"> Transfusion Reaction Workup: Implicated Units</w:t>
      </w:r>
    </w:p>
    <w:p w:rsidR="004A2487" w:rsidRPr="004A2487" w:rsidRDefault="00634BFC" w:rsidP="004A2487">
      <w:pPr>
        <w:pStyle w:val="BodyText"/>
      </w:pPr>
      <w:r>
        <w:rPr>
          <w:noProof/>
        </w:rPr>
        <w:drawing>
          <wp:inline distT="0" distB="0" distL="0" distR="0">
            <wp:extent cx="4343400" cy="333375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343400" cy="3333750"/>
                    </a:xfrm>
                    <a:prstGeom prst="rect">
                      <a:avLst/>
                    </a:prstGeom>
                    <a:noFill/>
                    <a:ln>
                      <a:noFill/>
                    </a:ln>
                  </pic:spPr>
                </pic:pic>
              </a:graphicData>
            </a:graphic>
          </wp:inline>
        </w:drawing>
      </w:r>
    </w:p>
    <w:p w:rsidR="00772DD7" w:rsidRDefault="00772DD7" w:rsidP="00772DD7">
      <w:pPr>
        <w:pStyle w:val="Caption"/>
      </w:pPr>
      <w:bookmarkStart w:id="502" w:name="_Ref127774158"/>
      <w:r>
        <w:t xml:space="preserve">Figure </w:t>
      </w:r>
      <w:r w:rsidR="00C17F7C">
        <w:fldChar w:fldCharType="begin"/>
      </w:r>
      <w:r w:rsidR="00C17F7C">
        <w:instrText xml:space="preserve"> SEQ Figure \* ARABIC </w:instrText>
      </w:r>
      <w:r w:rsidR="00C17F7C">
        <w:fldChar w:fldCharType="separate"/>
      </w:r>
      <w:r w:rsidR="005F38BC">
        <w:rPr>
          <w:noProof/>
        </w:rPr>
        <w:t>124</w:t>
      </w:r>
      <w:r w:rsidR="00C17F7C">
        <w:fldChar w:fldCharType="end"/>
      </w:r>
      <w:bookmarkEnd w:id="502"/>
      <w:r>
        <w:t>:</w:t>
      </w:r>
      <w:r w:rsidR="00390AEF">
        <w:t xml:space="preserve"> Transfusion Reaction Workup: Symptoms</w:t>
      </w:r>
    </w:p>
    <w:p w:rsidR="00772DD7" w:rsidRPr="00772DD7" w:rsidRDefault="00634BFC" w:rsidP="00772DD7">
      <w:pPr>
        <w:pStyle w:val="BodyText"/>
      </w:pPr>
      <w:r>
        <w:rPr>
          <w:noProof/>
        </w:rPr>
        <w:drawing>
          <wp:inline distT="0" distB="0" distL="0" distR="0">
            <wp:extent cx="4343400" cy="33528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343400" cy="3352800"/>
                    </a:xfrm>
                    <a:prstGeom prst="rect">
                      <a:avLst/>
                    </a:prstGeom>
                    <a:noFill/>
                    <a:ln>
                      <a:noFill/>
                    </a:ln>
                  </pic:spPr>
                </pic:pic>
              </a:graphicData>
            </a:graphic>
          </wp:inline>
        </w:drawing>
      </w:r>
    </w:p>
    <w:p w:rsidR="00772DD7" w:rsidRDefault="00772DD7" w:rsidP="00772DD7">
      <w:pPr>
        <w:pStyle w:val="Caption"/>
      </w:pPr>
      <w:bookmarkStart w:id="503" w:name="_Ref127774192"/>
      <w:r>
        <w:lastRenderedPageBreak/>
        <w:t xml:space="preserve">Figure </w:t>
      </w:r>
      <w:r w:rsidR="00C17F7C">
        <w:fldChar w:fldCharType="begin"/>
      </w:r>
      <w:r w:rsidR="00C17F7C">
        <w:instrText xml:space="preserve"> SEQ Figure \* ARABIC </w:instrText>
      </w:r>
      <w:r w:rsidR="00C17F7C">
        <w:fldChar w:fldCharType="separate"/>
      </w:r>
      <w:r w:rsidR="005F38BC">
        <w:rPr>
          <w:noProof/>
        </w:rPr>
        <w:t>125</w:t>
      </w:r>
      <w:r w:rsidR="00C17F7C">
        <w:fldChar w:fldCharType="end"/>
      </w:r>
      <w:bookmarkEnd w:id="503"/>
      <w:r>
        <w:t>:</w:t>
      </w:r>
      <w:r w:rsidR="00390AEF">
        <w:t xml:space="preserve"> Transfusion Reaction Workup: Serologic Tests</w:t>
      </w:r>
    </w:p>
    <w:p w:rsidR="00772DD7" w:rsidRPr="00772DD7" w:rsidRDefault="00634BFC" w:rsidP="00772DD7">
      <w:pPr>
        <w:pStyle w:val="BodyText"/>
      </w:pPr>
      <w:r>
        <w:rPr>
          <w:noProof/>
        </w:rPr>
        <w:drawing>
          <wp:inline distT="0" distB="0" distL="0" distR="0">
            <wp:extent cx="4343400" cy="333375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343400" cy="3333750"/>
                    </a:xfrm>
                    <a:prstGeom prst="rect">
                      <a:avLst/>
                    </a:prstGeom>
                    <a:noFill/>
                    <a:ln>
                      <a:noFill/>
                    </a:ln>
                  </pic:spPr>
                </pic:pic>
              </a:graphicData>
            </a:graphic>
          </wp:inline>
        </w:drawing>
      </w:r>
    </w:p>
    <w:p w:rsidR="00772DD7" w:rsidRDefault="00772DD7" w:rsidP="00772DD7">
      <w:pPr>
        <w:pStyle w:val="Caption"/>
      </w:pPr>
      <w:bookmarkStart w:id="504" w:name="_Ref127774218"/>
      <w:r>
        <w:t xml:space="preserve">Figure </w:t>
      </w:r>
      <w:r w:rsidR="00C17F7C">
        <w:fldChar w:fldCharType="begin"/>
      </w:r>
      <w:r w:rsidR="00C17F7C">
        <w:instrText xml:space="preserve"> SEQ Figure \* ARABIC </w:instrText>
      </w:r>
      <w:r w:rsidR="00C17F7C">
        <w:fldChar w:fldCharType="separate"/>
      </w:r>
      <w:r w:rsidR="005F38BC">
        <w:rPr>
          <w:noProof/>
        </w:rPr>
        <w:t>126</w:t>
      </w:r>
      <w:r w:rsidR="00C17F7C">
        <w:fldChar w:fldCharType="end"/>
      </w:r>
      <w:bookmarkEnd w:id="504"/>
      <w:r>
        <w:t>:</w:t>
      </w:r>
      <w:r w:rsidR="00453B6E">
        <w:t xml:space="preserve"> Transfusion Reaction Workup Report</w:t>
      </w:r>
    </w:p>
    <w:p w:rsidR="00772DD7" w:rsidRPr="00772DD7" w:rsidRDefault="00634BFC" w:rsidP="00772DD7">
      <w:pPr>
        <w:pStyle w:val="BodyText"/>
      </w:pPr>
      <w:r>
        <w:rPr>
          <w:noProof/>
        </w:rPr>
        <w:drawing>
          <wp:inline distT="0" distB="0" distL="0" distR="0">
            <wp:extent cx="4343400" cy="3343275"/>
            <wp:effectExtent l="0" t="0" r="0"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343400" cy="3343275"/>
                    </a:xfrm>
                    <a:prstGeom prst="rect">
                      <a:avLst/>
                    </a:prstGeom>
                    <a:noFill/>
                    <a:ln>
                      <a:noFill/>
                    </a:ln>
                  </pic:spPr>
                </pic:pic>
              </a:graphicData>
            </a:graphic>
          </wp:inline>
        </w:drawing>
      </w:r>
    </w:p>
    <w:p w:rsidR="002A21AE" w:rsidRDefault="00AA0019">
      <w:pPr>
        <w:pStyle w:val="Heading3"/>
      </w:pPr>
      <w:bookmarkStart w:id="505" w:name="_Toc63680366"/>
      <w:bookmarkStart w:id="506" w:name="_Toc94938926"/>
      <w:r>
        <w:br w:type="page"/>
      </w:r>
      <w:bookmarkStart w:id="507" w:name="_Toc459900152"/>
      <w:r w:rsidR="002A21AE">
        <w:lastRenderedPageBreak/>
        <w:t>Finalize/Print TRW</w:t>
      </w:r>
      <w:bookmarkEnd w:id="507"/>
      <w:r w:rsidR="002A21AE">
        <w:fldChar w:fldCharType="begin"/>
      </w:r>
      <w:r w:rsidR="002A21AE">
        <w:instrText xml:space="preserve"> XE </w:instrText>
      </w:r>
      <w:r w:rsidR="00FA7E65">
        <w:instrText>“</w:instrText>
      </w:r>
      <w:r w:rsidR="002A21AE">
        <w:instrText>Finalize/Print TRW</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UC_78</w:t>
      </w:r>
      <w:bookmarkEnd w:id="506"/>
    </w:p>
    <w:p w:rsidR="002A21AE" w:rsidRDefault="002A21AE" w:rsidP="00FA7E65">
      <w:pPr>
        <w:pStyle w:val="BodyText"/>
      </w:pPr>
      <w:r>
        <w:t>The user finalizes</w:t>
      </w:r>
      <w:r w:rsidR="00EB1E5A">
        <w:t xml:space="preserve"> and</w:t>
      </w:r>
      <w:r>
        <w:t xml:space="preserve"> views </w:t>
      </w:r>
      <w:r w:rsidR="00EB1E5A">
        <w:t xml:space="preserve">and/or </w:t>
      </w:r>
      <w:r>
        <w:t>prints the Transfusion Reaction Workup Report.</w:t>
      </w:r>
    </w:p>
    <w:p w:rsidR="002A21AE" w:rsidRDefault="002A21AE">
      <w:pPr>
        <w:pStyle w:val="Heading4"/>
      </w:pPr>
      <w:r>
        <w:t>Assumptions</w:t>
      </w:r>
      <w:r>
        <w:rPr>
          <w:b w:val="0"/>
        </w:rPr>
        <w:t xml:space="preserve"> </w:t>
      </w:r>
    </w:p>
    <w:p w:rsidR="002A21AE" w:rsidRDefault="002A21AE">
      <w:pPr>
        <w:pStyle w:val="ListBullet"/>
      </w:pPr>
      <w:r>
        <w:t>Patient Testing: Record a Transfusion Reaction Workup was completed.</w:t>
      </w:r>
    </w:p>
    <w:p w:rsidR="002A21AE" w:rsidRDefault="002A21AE">
      <w:pPr>
        <w:pStyle w:val="Heading4"/>
      </w:pPr>
      <w:r>
        <w:t xml:space="preserve">Outcome </w:t>
      </w:r>
    </w:p>
    <w:p w:rsidR="002A21AE" w:rsidRDefault="002A21AE">
      <w:pPr>
        <w:pStyle w:val="ListBullet"/>
      </w:pPr>
      <w:r>
        <w:t>The Transfusion Reaction Workup Report is available for printing and signing.</w:t>
      </w:r>
    </w:p>
    <w:p w:rsidR="0015352F" w:rsidRDefault="0015352F" w:rsidP="0015352F">
      <w:pPr>
        <w:pStyle w:val="ListBullet"/>
      </w:pPr>
      <w:r>
        <w:t>Final report findings are available for display in CPRS.</w:t>
      </w:r>
    </w:p>
    <w:p w:rsidR="002A21AE" w:rsidRDefault="002A21AE">
      <w:pPr>
        <w:pStyle w:val="Heading4"/>
        <w:rPr>
          <w:b w:val="0"/>
        </w:rPr>
      </w:pPr>
      <w:r>
        <w:t>Limitations and Restrictions</w:t>
      </w:r>
      <w:r>
        <w:rPr>
          <w:b w:val="0"/>
        </w:rPr>
        <w:t xml:space="preserve"> </w:t>
      </w:r>
    </w:p>
    <w:p w:rsidR="002A21AE" w:rsidRDefault="00D3121D">
      <w:pPr>
        <w:pStyle w:val="ListBullet"/>
      </w:pPr>
      <w:r>
        <w:t>The user cannot</w:t>
      </w:r>
      <w:r w:rsidR="00D23EF9" w:rsidRPr="00D23EF9">
        <w:t xml:space="preserve"> invalidate </w:t>
      </w:r>
      <w:r w:rsidR="00D23EF9">
        <w:t xml:space="preserve">or change </w:t>
      </w:r>
      <w:r w:rsidR="00D23EF9" w:rsidRPr="00D23EF9">
        <w:t>a finalized TRW.</w:t>
      </w:r>
    </w:p>
    <w:p w:rsidR="003E5C27" w:rsidRDefault="003E5C27">
      <w:pPr>
        <w:pStyle w:val="ListBullet"/>
      </w:pPr>
      <w:r>
        <w:t>Transfusion reaction reports are not available to clinicians through CPRS: they must be printed and filed with patient charts.</w:t>
      </w:r>
    </w:p>
    <w:p w:rsidR="00FF5006" w:rsidRPr="00764EF1" w:rsidRDefault="00FF5006" w:rsidP="00FF5006">
      <w:pPr>
        <w:pStyle w:val="ListBullet"/>
      </w:pPr>
      <w:r>
        <w:t>VBECS displays these default values for transfusion reactions converted from VistA to VBECS. They do not reflect actual interpretations or results:</w:t>
      </w:r>
      <w:r>
        <w:rPr>
          <w:vanish/>
        </w:rPr>
        <w:t xml:space="preserve"> (DR 2,</w:t>
      </w:r>
      <w:r w:rsidRPr="00FF5006">
        <w:rPr>
          <w:vanish/>
        </w:rPr>
        <w:t>724)</w:t>
      </w:r>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4"/>
        <w:gridCol w:w="3326"/>
      </w:tblGrid>
      <w:tr w:rsidR="00764EF1" w:rsidRPr="00887834">
        <w:trPr>
          <w:tblHeader/>
        </w:trPr>
        <w:tc>
          <w:tcPr>
            <w:tcW w:w="4428" w:type="dxa"/>
            <w:shd w:val="clear" w:color="auto" w:fill="B3B3B3"/>
          </w:tcPr>
          <w:p w:rsidR="00764EF1" w:rsidRPr="00887834" w:rsidRDefault="00764EF1" w:rsidP="00722031">
            <w:pPr>
              <w:pStyle w:val="TableText"/>
              <w:rPr>
                <w:b/>
              </w:rPr>
            </w:pPr>
            <w:r w:rsidRPr="00887834">
              <w:rPr>
                <w:b/>
              </w:rPr>
              <w:t>Converted Transfusion Reaction</w:t>
            </w:r>
          </w:p>
        </w:tc>
        <w:tc>
          <w:tcPr>
            <w:tcW w:w="2772" w:type="dxa"/>
            <w:shd w:val="clear" w:color="auto" w:fill="B3B3B3"/>
          </w:tcPr>
          <w:p w:rsidR="00764EF1" w:rsidRPr="00887834" w:rsidRDefault="00764EF1" w:rsidP="00722031">
            <w:pPr>
              <w:pStyle w:val="TableText"/>
              <w:rPr>
                <w:b/>
              </w:rPr>
            </w:pPr>
            <w:r w:rsidRPr="00887834">
              <w:rPr>
                <w:b/>
              </w:rPr>
              <w:t>Default</w:t>
            </w:r>
          </w:p>
        </w:tc>
      </w:tr>
      <w:tr w:rsidR="00764EF1">
        <w:tc>
          <w:tcPr>
            <w:tcW w:w="4428" w:type="dxa"/>
          </w:tcPr>
          <w:p w:rsidR="00764EF1" w:rsidRDefault="00764EF1" w:rsidP="00722031">
            <w:pPr>
              <w:pStyle w:val="TableText"/>
            </w:pPr>
            <w:r>
              <w:t xml:space="preserve">Pre-Transfusion Specimen Checks, Hemolysis Checks OK? </w:t>
            </w:r>
          </w:p>
        </w:tc>
        <w:tc>
          <w:tcPr>
            <w:tcW w:w="2772" w:type="dxa"/>
          </w:tcPr>
          <w:p w:rsidR="00764EF1" w:rsidRDefault="00764EF1" w:rsidP="00722031">
            <w:pPr>
              <w:pStyle w:val="TableText"/>
            </w:pPr>
            <w:r>
              <w:t>Yes</w:t>
            </w:r>
          </w:p>
        </w:tc>
      </w:tr>
      <w:tr w:rsidR="00764EF1">
        <w:tc>
          <w:tcPr>
            <w:tcW w:w="4428" w:type="dxa"/>
          </w:tcPr>
          <w:p w:rsidR="00764EF1" w:rsidRDefault="00764EF1" w:rsidP="00722031">
            <w:pPr>
              <w:pStyle w:val="TableText"/>
            </w:pPr>
            <w:r>
              <w:t xml:space="preserve">Post-Transfusion Specimen Checks, Hemolysis Checks OK? </w:t>
            </w:r>
          </w:p>
        </w:tc>
        <w:tc>
          <w:tcPr>
            <w:tcW w:w="2772" w:type="dxa"/>
          </w:tcPr>
          <w:p w:rsidR="00764EF1" w:rsidRDefault="00764EF1" w:rsidP="00722031">
            <w:pPr>
              <w:pStyle w:val="TableText"/>
            </w:pPr>
            <w:r>
              <w:t>Yes</w:t>
            </w:r>
          </w:p>
        </w:tc>
      </w:tr>
      <w:tr w:rsidR="00764EF1">
        <w:tc>
          <w:tcPr>
            <w:tcW w:w="4428" w:type="dxa"/>
          </w:tcPr>
          <w:p w:rsidR="00764EF1" w:rsidRDefault="00D35B68" w:rsidP="00722031">
            <w:pPr>
              <w:pStyle w:val="TableText"/>
            </w:pPr>
            <w:r>
              <w:t>Symptom</w:t>
            </w:r>
            <w:r w:rsidR="00764EF1">
              <w:t>s</w:t>
            </w:r>
          </w:p>
        </w:tc>
        <w:tc>
          <w:tcPr>
            <w:tcW w:w="2772" w:type="dxa"/>
          </w:tcPr>
          <w:p w:rsidR="00764EF1" w:rsidRDefault="00764EF1" w:rsidP="00722031">
            <w:pPr>
              <w:pStyle w:val="TableText"/>
            </w:pPr>
            <w:r>
              <w:t>No symptoms identified.</w:t>
            </w:r>
          </w:p>
        </w:tc>
      </w:tr>
      <w:tr w:rsidR="00764EF1">
        <w:tc>
          <w:tcPr>
            <w:tcW w:w="4428" w:type="dxa"/>
          </w:tcPr>
          <w:p w:rsidR="00764EF1" w:rsidRDefault="00764EF1" w:rsidP="00722031">
            <w:pPr>
              <w:pStyle w:val="TableText"/>
            </w:pPr>
            <w:r>
              <w:t>Implicated units</w:t>
            </w:r>
          </w:p>
        </w:tc>
        <w:tc>
          <w:tcPr>
            <w:tcW w:w="2772" w:type="dxa"/>
          </w:tcPr>
          <w:p w:rsidR="00764EF1" w:rsidRDefault="00764EF1" w:rsidP="00722031">
            <w:pPr>
              <w:pStyle w:val="TableText"/>
            </w:pPr>
            <w:r>
              <w:t>No units implicated in reaction.</w:t>
            </w:r>
          </w:p>
        </w:tc>
      </w:tr>
      <w:tr w:rsidR="00764EF1">
        <w:tc>
          <w:tcPr>
            <w:tcW w:w="4428" w:type="dxa"/>
          </w:tcPr>
          <w:p w:rsidR="00764EF1" w:rsidRDefault="00764EF1" w:rsidP="00722031">
            <w:pPr>
              <w:pStyle w:val="TableText"/>
            </w:pPr>
            <w:r>
              <w:t>Serologic tests</w:t>
            </w:r>
          </w:p>
        </w:tc>
        <w:tc>
          <w:tcPr>
            <w:tcW w:w="2772" w:type="dxa"/>
          </w:tcPr>
          <w:p w:rsidR="00764EF1" w:rsidRDefault="00764EF1" w:rsidP="00722031">
            <w:pPr>
              <w:pStyle w:val="TableText"/>
            </w:pPr>
            <w:r>
              <w:t>No serologic tests performed.</w:t>
            </w:r>
          </w:p>
        </w:tc>
      </w:tr>
    </w:tbl>
    <w:p w:rsidR="002A21AE" w:rsidRDefault="002A21AE">
      <w:pPr>
        <w:pStyle w:val="Heading4"/>
      </w:pPr>
      <w:r>
        <w:t xml:space="preserve">Additional Information </w:t>
      </w:r>
    </w:p>
    <w:p w:rsidR="002A21AE" w:rsidRDefault="002A21AE">
      <w:pPr>
        <w:pStyle w:val="ListBullet"/>
      </w:pPr>
      <w:r>
        <w:t>The medical director’s signature is on the patient’s printed chart.</w:t>
      </w:r>
    </w:p>
    <w:p w:rsidR="002A21AE" w:rsidRDefault="002A21AE">
      <w:pPr>
        <w:pStyle w:val="ListBullet"/>
      </w:pPr>
      <w:r>
        <w:t>If a report needs to be replaced, the user may retrieve this report after it is complete. The final report is a printed document with the medical director’s signature.</w:t>
      </w:r>
    </w:p>
    <w:p w:rsidR="002A21AE" w:rsidRDefault="002A21AE">
      <w:pPr>
        <w:pStyle w:val="Heading4"/>
        <w:rPr>
          <w:b w:val="0"/>
        </w:rPr>
      </w:pPr>
      <w:r>
        <w:t>User Roles with Access to This Option</w:t>
      </w:r>
      <w:r>
        <w:rPr>
          <w:b w:val="0"/>
        </w:rPr>
        <w:t xml:space="preserve"> </w:t>
      </w:r>
    </w:p>
    <w:p w:rsidR="00A13077" w:rsidRDefault="00A13077" w:rsidP="00A13077">
      <w:pPr>
        <w:pStyle w:val="Roles"/>
      </w:pPr>
      <w:r>
        <w:t>All users</w:t>
      </w:r>
    </w:p>
    <w:p w:rsidR="002A21AE" w:rsidRDefault="002A21AE">
      <w:pPr>
        <w:pStyle w:val="Heading4"/>
      </w:pPr>
      <w:r>
        <w:t>Finalize Transfusion Reaction Workup Report</w:t>
      </w:r>
      <w:r>
        <w:fldChar w:fldCharType="begin"/>
      </w:r>
      <w:r>
        <w:instrText xml:space="preserve"> XE </w:instrText>
      </w:r>
      <w:r w:rsidR="00FA7E65">
        <w:instrText>“</w:instrText>
      </w:r>
      <w:r>
        <w:instrText>Finalize Transfusion Reaction Workup Report</w:instrText>
      </w:r>
      <w:r w:rsidR="00FA7E65">
        <w:instrText>”</w:instrText>
      </w:r>
      <w:r>
        <w:instrText xml:space="preserve"> </w:instrText>
      </w:r>
      <w:r>
        <w:fldChar w:fldCharType="end"/>
      </w:r>
    </w:p>
    <w:p w:rsidR="002A21AE" w:rsidRDefault="005C768D" w:rsidP="001C322D">
      <w:pPr>
        <w:pStyle w:val="Body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sidR="001C322D">
        <w:t xml:space="preserve">The Lead Technologist </w:t>
      </w:r>
      <w:r w:rsidR="002A21AE">
        <w:t>reviews the TRW details, identifies the type of reaction, and add</w:t>
      </w:r>
      <w:r w:rsidR="00B948D2">
        <w:t>s</w:t>
      </w:r>
      <w:r w:rsidR="002A21AE">
        <w:t xml:space="preserve"> comments, according to the medical director’s instructions. The user prints a copy for the medical director’s signature and </w:t>
      </w:r>
      <w:r w:rsidR="00B948D2">
        <w:t xml:space="preserve">the Lead Technologist </w:t>
      </w:r>
      <w:r w:rsidR="002A21AE">
        <w:t xml:space="preserve">finalizes the TRW, generating a preliminary report. The final printed report requires the signature of the medical director.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auto"/>
            <w:vAlign w:val="bottom"/>
          </w:tcPr>
          <w:p w:rsidR="002A21AE" w:rsidRDefault="002A21AE">
            <w:pPr>
              <w:pStyle w:val="TableText"/>
              <w:rPr>
                <w:b/>
              </w:rPr>
            </w:pPr>
            <w:r>
              <w:rPr>
                <w:b/>
              </w:rPr>
              <w:t>User Action</w:t>
            </w:r>
          </w:p>
        </w:tc>
        <w:tc>
          <w:tcPr>
            <w:tcW w:w="6120" w:type="dxa"/>
            <w:shd w:val="pct30" w:color="auto" w:fill="auto"/>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 xml:space="preserve">Select </w:t>
            </w:r>
            <w:r>
              <w:rPr>
                <w:b/>
              </w:rPr>
              <w:t>Reports</w:t>
            </w:r>
            <w:r>
              <w:t xml:space="preserve"> from the main menu.</w:t>
            </w:r>
          </w:p>
          <w:p w:rsidR="002A21AE" w:rsidRDefault="002A21AE">
            <w:pPr>
              <w:pStyle w:val="TableTextNumbersContinued"/>
            </w:pPr>
          </w:p>
          <w:p w:rsidR="002A21AE" w:rsidRDefault="002A21AE">
            <w:pPr>
              <w:pStyle w:val="TableTextNumbersContinued"/>
            </w:pPr>
            <w:r>
              <w:t xml:space="preserve">Select </w:t>
            </w:r>
            <w:r>
              <w:rPr>
                <w:b/>
              </w:rPr>
              <w:t>Finalize/Print TRW</w:t>
            </w:r>
            <w:r>
              <w:t>.</w:t>
            </w:r>
          </w:p>
          <w:p w:rsidR="002A21AE" w:rsidRDefault="002A21AE">
            <w:pPr>
              <w:pStyle w:val="TableTextNumbersContinued"/>
            </w:pPr>
          </w:p>
          <w:p w:rsidR="00741357" w:rsidRDefault="00741357">
            <w:pPr>
              <w:pStyle w:val="TableTextNumbersContinued"/>
            </w:pPr>
            <w:r>
              <w:t xml:space="preserve">Click the </w:t>
            </w:r>
            <w:r w:rsidRPr="00741357">
              <w:rPr>
                <w:b/>
              </w:rPr>
              <w:t xml:space="preserve">Include Non-Finalized TRW Reports </w:t>
            </w:r>
            <w:r w:rsidRPr="00D1100E">
              <w:t>check box</w:t>
            </w:r>
            <w:r w:rsidR="00F40F83" w:rsidRPr="00F40F83">
              <w:t xml:space="preserve"> (</w:t>
            </w:r>
            <w:r w:rsidR="00373926">
              <w:fldChar w:fldCharType="begin"/>
            </w:r>
            <w:r w:rsidR="00373926">
              <w:instrText xml:space="preserve"> REF _Ref127777058 \h </w:instrText>
            </w:r>
            <w:r w:rsidR="00373926">
              <w:fldChar w:fldCharType="separate"/>
            </w:r>
            <w:r w:rsidR="005F38BC">
              <w:t xml:space="preserve">Figure </w:t>
            </w:r>
            <w:r w:rsidR="005F38BC">
              <w:rPr>
                <w:noProof/>
              </w:rPr>
              <w:t>127</w:t>
            </w:r>
            <w:r w:rsidR="00373926">
              <w:fldChar w:fldCharType="end"/>
            </w:r>
            <w:r w:rsidR="00F40F83" w:rsidRPr="00F40F83">
              <w:t>)</w:t>
            </w:r>
            <w:r>
              <w:t>.</w:t>
            </w:r>
          </w:p>
          <w:p w:rsidR="00741357" w:rsidRDefault="00741357">
            <w:pPr>
              <w:pStyle w:val="TableTextNumbersContinued"/>
            </w:pPr>
          </w:p>
          <w:p w:rsidR="002A21AE" w:rsidRDefault="002A21AE">
            <w:pPr>
              <w:pStyle w:val="TableTextNumbersContinued"/>
            </w:pPr>
            <w:r>
              <w:t>Select a completed TRW</w:t>
            </w:r>
            <w:r w:rsidR="00741357">
              <w:t xml:space="preserve"> to finalize</w:t>
            </w:r>
            <w:r>
              <w:t>.</w:t>
            </w:r>
          </w:p>
          <w:p w:rsidR="00373926" w:rsidRDefault="00373926">
            <w:pPr>
              <w:pStyle w:val="TableTextNumbersContinued"/>
            </w:pPr>
          </w:p>
          <w:p w:rsidR="00373926" w:rsidRDefault="00373926">
            <w:pPr>
              <w:pStyle w:val="TableTextNumbersContinued"/>
            </w:pPr>
            <w:r>
              <w:t xml:space="preserve">Click </w:t>
            </w:r>
            <w:r w:rsidRPr="00373926">
              <w:rPr>
                <w:b/>
              </w:rPr>
              <w:t>OK</w:t>
            </w:r>
            <w:r>
              <w:t>.</w:t>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Bullet"/>
            </w:pPr>
            <w:r>
              <w:lastRenderedPageBreak/>
              <w:t>Lists report names.</w:t>
            </w:r>
          </w:p>
          <w:p w:rsidR="00741357" w:rsidRDefault="00741357">
            <w:pPr>
              <w:pStyle w:val="TableTextBullet"/>
            </w:pPr>
            <w:r>
              <w:t>Lists the completed TRWs for selection.</w:t>
            </w:r>
          </w:p>
          <w:p w:rsidR="002A21AE" w:rsidRDefault="002A21AE" w:rsidP="00741357">
            <w:pPr>
              <w:pStyle w:val="TableText"/>
            </w:pPr>
            <w:r>
              <w:t xml:space="preserve"> </w:t>
            </w:r>
          </w:p>
          <w:p w:rsidR="002A21AE" w:rsidRDefault="00634BFC">
            <w:pPr>
              <w:pStyle w:val="TableText"/>
              <w:rPr>
                <w:b/>
                <w:bCs/>
                <w:szCs w:val="18"/>
              </w:rPr>
            </w:pPr>
            <w:r>
              <w:rPr>
                <w:b/>
                <w:bCs/>
                <w:noProof/>
              </w:rPr>
              <mc:AlternateContent>
                <mc:Choice Requires="wps">
                  <w:drawing>
                    <wp:anchor distT="0" distB="0" distL="114300" distR="114300" simplePos="0" relativeHeight="25168537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37" name="Line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4"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IMFg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BG&#10;z/IMFgIAAC0EAAAOAAAAAAAAAAAAAAAAAC4CAABkcnMvZTJvRG9jLnhtbFBLAQItABQABgAIAAAA&#10;IQAXTzAS2wAAAAgBAAAPAAAAAAAAAAAAAAAAAHAEAABkcnMvZG93bnJldi54bWxQSwUGAAAAAAQA&#10;BADzAAAAeAUAAAAA&#10;" strokeweight="1.5pt"/>
                  </w:pict>
                </mc:Fallback>
              </mc:AlternateContent>
            </w:r>
            <w:r w:rsidR="002A21AE">
              <w:rPr>
                <w:b/>
                <w:bCs/>
                <w:szCs w:val="18"/>
              </w:rPr>
              <w:t>NOTES</w:t>
            </w:r>
          </w:p>
          <w:p w:rsidR="002A21AE" w:rsidRDefault="002A21AE">
            <w:pPr>
              <w:pStyle w:val="NotesText"/>
            </w:pPr>
          </w:p>
          <w:p w:rsidR="002A21AE" w:rsidRDefault="0080656D">
            <w:pPr>
              <w:pStyle w:val="NotesText"/>
            </w:pPr>
            <w:r>
              <w:rPr>
                <w:rFonts w:cs="Arial"/>
                <w:vanish/>
              </w:rPr>
              <w:t xml:space="preserve">BR_78.04 </w:t>
            </w:r>
            <w:r w:rsidR="004C00DF">
              <w:t>When the user enters and saves the portion recorded in Patient Testing: Record a Transfusion Reaction Workup, the TRW status is “completed.” When the Transfusion Reaction Workup Report is complete, the TRW status is “finalized.”</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F74A56">
            <w:pPr>
              <w:pStyle w:val="TableTextNumbers"/>
            </w:pPr>
            <w:r>
              <w:lastRenderedPageBreak/>
              <w:t xml:space="preserve">Click the </w:t>
            </w:r>
            <w:r w:rsidRPr="00F74A56">
              <w:rPr>
                <w:b/>
              </w:rPr>
              <w:t xml:space="preserve">Finalize Transfusion Reaction Workup Report </w:t>
            </w:r>
            <w:r w:rsidRPr="00D1100E">
              <w:t>check box</w:t>
            </w:r>
            <w:r w:rsidR="002A21AE">
              <w:t>.</w:t>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Bullet"/>
            </w:pPr>
            <w:r>
              <w:t>Prepares the completed report for review.</w:t>
            </w:r>
          </w:p>
          <w:p w:rsidR="00F26AD6" w:rsidRDefault="00F74A56" w:rsidP="00F26AD6">
            <w:pPr>
              <w:pStyle w:val="TableTextBullet"/>
            </w:pPr>
            <w:r>
              <w:t xml:space="preserve">Displays the name of the blood bank medical director to sign the final report. </w:t>
            </w:r>
          </w:p>
          <w:p w:rsidR="002A21AE" w:rsidRDefault="00F26AD6" w:rsidP="00247208">
            <w:pPr>
              <w:pStyle w:val="TableTextBullet"/>
            </w:pPr>
            <w:r>
              <w:rPr>
                <w:rFonts w:cs="Arial"/>
                <w:vanish/>
              </w:rPr>
              <w:t xml:space="preserve">BR_78.03 </w:t>
            </w:r>
            <w:r>
              <w:t>VBECS recreates the final report for viewing or printing in the future.</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DC6C19">
            <w:pPr>
              <w:pStyle w:val="TableTextNumbers"/>
            </w:pPr>
            <w:r>
              <w:t>Select the Transfusion Reaction Type and complete the Transfusion Reaction Comments required fields</w:t>
            </w:r>
            <w:r w:rsidR="00F40F83">
              <w:t xml:space="preserve"> (</w:t>
            </w:r>
            <w:r w:rsidR="00373926">
              <w:fldChar w:fldCharType="begin"/>
            </w:r>
            <w:r w:rsidR="00373926">
              <w:instrText xml:space="preserve"> REF _Ref127777300 \h </w:instrText>
            </w:r>
            <w:r w:rsidR="00373926">
              <w:fldChar w:fldCharType="separate"/>
            </w:r>
            <w:r w:rsidR="005F38BC">
              <w:t xml:space="preserve">Figure </w:t>
            </w:r>
            <w:r w:rsidR="005F38BC">
              <w:rPr>
                <w:noProof/>
              </w:rPr>
              <w:t>128</w:t>
            </w:r>
            <w:r w:rsidR="00373926">
              <w:fldChar w:fldCharType="end"/>
            </w:r>
            <w:r w:rsidR="00F40F83">
              <w:t>)</w:t>
            </w:r>
            <w:r>
              <w:t>.</w:t>
            </w:r>
          </w:p>
        </w:tc>
        <w:tc>
          <w:tcPr>
            <w:tcW w:w="6120" w:type="dxa"/>
            <w:tcBorders>
              <w:top w:val="single" w:sz="4" w:space="0" w:color="auto"/>
              <w:left w:val="single" w:sz="4" w:space="0" w:color="auto"/>
              <w:bottom w:val="single" w:sz="4" w:space="0" w:color="auto"/>
              <w:right w:val="single" w:sz="4" w:space="0" w:color="auto"/>
            </w:tcBorders>
          </w:tcPr>
          <w:p w:rsidR="00741357" w:rsidRDefault="00741357" w:rsidP="00741357">
            <w:pPr>
              <w:pStyle w:val="TableTextBullet"/>
            </w:pPr>
            <w:r>
              <w:t xml:space="preserve">Displays the selected Transfusion Reaction Workup Report data. </w:t>
            </w:r>
          </w:p>
          <w:p w:rsidR="00741357" w:rsidRDefault="00741357" w:rsidP="00741357">
            <w:pPr>
              <w:pStyle w:val="TableTextBullet"/>
            </w:pPr>
            <w:r>
              <w:t xml:space="preserve">Requires the user to select a transfusion reaction type listed in </w:t>
            </w:r>
            <w:r w:rsidR="00AE2DC1">
              <w:fldChar w:fldCharType="begin"/>
            </w:r>
            <w:r w:rsidR="00AE2DC1">
              <w:instrText xml:space="preserve"> REF _Ref126504463 \h </w:instrText>
            </w:r>
            <w:r w:rsidR="00AE2DC1">
              <w:fldChar w:fldCharType="separate"/>
            </w:r>
            <w:r w:rsidR="005F38BC">
              <w:t xml:space="preserve">Table </w:t>
            </w:r>
            <w:r w:rsidR="005F38BC">
              <w:rPr>
                <w:noProof/>
              </w:rPr>
              <w:t>12</w:t>
            </w:r>
            <w:r w:rsidR="005F38BC">
              <w:t xml:space="preserve">: </w:t>
            </w:r>
            <w:r w:rsidR="005F38BC">
              <w:rPr>
                <w:vanish/>
              </w:rPr>
              <w:t xml:space="preserve">PT_78.01 </w:t>
            </w:r>
            <w:r w:rsidR="005F38BC">
              <w:t>Transfusion Reaction Types</w:t>
            </w:r>
            <w:r w:rsidR="00AE2DC1">
              <w:fldChar w:fldCharType="end"/>
            </w:r>
            <w:r>
              <w:t>.</w:t>
            </w:r>
          </w:p>
          <w:p w:rsidR="00741357" w:rsidRDefault="00741357" w:rsidP="00741357">
            <w:pPr>
              <w:pStyle w:val="TableTextBullet"/>
            </w:pPr>
            <w:r>
              <w:t xml:space="preserve">Allows the user to enter </w:t>
            </w:r>
            <w:r w:rsidR="009C033B">
              <w:t xml:space="preserve">a TRW comment (maximum 1,000 characters). </w:t>
            </w:r>
            <w:r w:rsidR="009C033B" w:rsidRPr="009C033B">
              <w:rPr>
                <w:vanish/>
              </w:rPr>
              <w:t>DR 4788</w:t>
            </w:r>
          </w:p>
          <w:p w:rsidR="00F74A56" w:rsidRDefault="00F74A56" w:rsidP="00F74A56">
            <w:pPr>
              <w:pStyle w:val="TableTextBullet"/>
            </w:pPr>
            <w:r>
              <w:t>Allows the user to save the data entered.</w:t>
            </w:r>
          </w:p>
          <w:p w:rsidR="00E62B9E" w:rsidRDefault="00E62B9E" w:rsidP="00E62B9E">
            <w:pPr>
              <w:pStyle w:val="TableText"/>
            </w:pPr>
          </w:p>
          <w:p w:rsidR="00E62B9E" w:rsidRDefault="00634BFC" w:rsidP="00E62B9E">
            <w:pPr>
              <w:pStyle w:val="TableText"/>
              <w:rPr>
                <w:b/>
                <w:bCs/>
                <w:szCs w:val="18"/>
              </w:rPr>
            </w:pPr>
            <w:r>
              <w:rPr>
                <w:b/>
                <w:bCs/>
                <w:noProof/>
              </w:rPr>
              <mc:AlternateContent>
                <mc:Choice Requires="wps">
                  <w:drawing>
                    <wp:anchor distT="0" distB="0" distL="114300" distR="114300" simplePos="0" relativeHeight="25173964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36" name="Line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5" o:spid="_x0000_s1026" style="position:absolute;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SSEFQIAAC4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Ox1&#10;JIQVAgAALgQAAA4AAAAAAAAAAAAAAAAALgIAAGRycy9lMm9Eb2MueG1sUEsBAi0AFAAGAAgAAAAh&#10;ABdPMBLbAAAACAEAAA8AAAAAAAAAAAAAAAAAbwQAAGRycy9kb3ducmV2LnhtbFBLBQYAAAAABAAE&#10;APMAAAB3BQAAAAA=&#10;" strokeweight="1.5pt"/>
                  </w:pict>
                </mc:Fallback>
              </mc:AlternateContent>
            </w:r>
            <w:r w:rsidR="00E62B9E">
              <w:rPr>
                <w:b/>
                <w:bCs/>
                <w:szCs w:val="18"/>
              </w:rPr>
              <w:t>NOTES</w:t>
            </w:r>
          </w:p>
          <w:p w:rsidR="00E62B9E" w:rsidRDefault="00E62B9E" w:rsidP="00E62B9E">
            <w:pPr>
              <w:pStyle w:val="NotesText"/>
            </w:pPr>
          </w:p>
          <w:p w:rsidR="00741357" w:rsidRDefault="00E62B9E" w:rsidP="00E62B9E">
            <w:pPr>
              <w:pStyle w:val="NotesText"/>
            </w:pPr>
            <w:r>
              <w:rPr>
                <w:rFonts w:cs="Arial"/>
                <w:vanish/>
              </w:rPr>
              <w:t xml:space="preserve">BR_78.02 </w:t>
            </w:r>
            <w:r>
              <w:t>The user must indicate one transfusion reaction type. Entry of a comment is optional for all types except O (other), which requires details to be entered.</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80656D">
            <w:pPr>
              <w:pStyle w:val="TableTextNumbers"/>
            </w:pPr>
            <w:r>
              <w:t xml:space="preserve">Click </w:t>
            </w:r>
            <w:r w:rsidRPr="0080656D">
              <w:rPr>
                <w:b/>
              </w:rPr>
              <w:t>OK</w:t>
            </w:r>
            <w:r>
              <w:t xml:space="preserve"> and </w:t>
            </w:r>
            <w:r w:rsidRPr="0080656D">
              <w:rPr>
                <w:b/>
              </w:rPr>
              <w:t>Yes</w:t>
            </w:r>
            <w:r>
              <w:t xml:space="preserve"> to save.</w:t>
            </w:r>
          </w:p>
        </w:tc>
        <w:tc>
          <w:tcPr>
            <w:tcW w:w="6120" w:type="dxa"/>
            <w:tcBorders>
              <w:top w:val="single" w:sz="4" w:space="0" w:color="auto"/>
              <w:left w:val="single" w:sz="4" w:space="0" w:color="auto"/>
              <w:bottom w:val="single" w:sz="4" w:space="0" w:color="auto"/>
              <w:right w:val="single" w:sz="4" w:space="0" w:color="auto"/>
            </w:tcBorders>
          </w:tcPr>
          <w:p w:rsidR="0080656D" w:rsidRDefault="00DC6C19" w:rsidP="00A902A8">
            <w:pPr>
              <w:pStyle w:val="TableTextBullet"/>
            </w:pPr>
            <w:r>
              <w:t>Updates the transfusion reaction to “finalized” in the database and prints a report for the medical director’s signature.</w:t>
            </w:r>
          </w:p>
          <w:p w:rsidR="00840DB0" w:rsidRDefault="00840DB0" w:rsidP="00840DB0">
            <w:pPr>
              <w:pStyle w:val="TableTextBullet"/>
              <w:numPr>
                <w:ilvl w:val="0"/>
                <w:numId w:val="0"/>
              </w:numPr>
            </w:pPr>
          </w:p>
          <w:p w:rsidR="00840DB0" w:rsidRDefault="00634BFC" w:rsidP="00840DB0">
            <w:pPr>
              <w:pStyle w:val="TableText"/>
              <w:rPr>
                <w:b/>
                <w:bCs/>
                <w:szCs w:val="18"/>
              </w:rPr>
            </w:pPr>
            <w:r>
              <w:rPr>
                <w:b/>
                <w:bCs/>
                <w:noProof/>
              </w:rPr>
              <mc:AlternateContent>
                <mc:Choice Requires="wps">
                  <w:drawing>
                    <wp:anchor distT="0" distB="0" distL="114300" distR="114300" simplePos="0" relativeHeight="25178572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35" name="Line 1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8" o:spid="_x0000_s1026" style="position:absolute;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qP8FgIAAC4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B2&#10;EqP8FgIAAC4EAAAOAAAAAAAAAAAAAAAAAC4CAABkcnMvZTJvRG9jLnhtbFBLAQItABQABgAIAAAA&#10;IQAXTzAS2wAAAAgBAAAPAAAAAAAAAAAAAAAAAHAEAABkcnMvZG93bnJldi54bWxQSwUGAAAAAAQA&#10;BADzAAAAeAUAAAAA&#10;" strokeweight="1.5pt"/>
                  </w:pict>
                </mc:Fallback>
              </mc:AlternateContent>
            </w:r>
            <w:r w:rsidR="00840DB0">
              <w:rPr>
                <w:b/>
                <w:bCs/>
                <w:szCs w:val="18"/>
              </w:rPr>
              <w:t>NOTES</w:t>
            </w:r>
          </w:p>
          <w:p w:rsidR="00D702AF" w:rsidRDefault="00D702AF" w:rsidP="00D702AF">
            <w:pPr>
              <w:pStyle w:val="NotesText"/>
            </w:pPr>
            <w:r w:rsidRPr="00F91233">
              <w:rPr>
                <w:vanish/>
              </w:rPr>
              <w:t xml:space="preserve">BR_78.06 </w:t>
            </w:r>
            <w:r>
              <w:t>VBECS notifies the user when DSS updates cannot be sent because VistALink is not active.</w:t>
            </w:r>
          </w:p>
          <w:p w:rsidR="00D702AF" w:rsidRDefault="00D702AF" w:rsidP="00D702AF">
            <w:pPr>
              <w:pStyle w:val="NotesText"/>
            </w:pPr>
          </w:p>
          <w:p w:rsidR="00840DB0" w:rsidRDefault="00D702AF" w:rsidP="00D702AF">
            <w:pPr>
              <w:pStyle w:val="NotesText"/>
            </w:pPr>
            <w:r w:rsidRPr="00CE602E">
              <w:rPr>
                <w:vanish/>
              </w:rPr>
              <w:t xml:space="preserve">BR_102.09 </w:t>
            </w:r>
            <w:r>
              <w:t xml:space="preserve">VBECS will attempt to resend the DSS information when </w:t>
            </w:r>
            <w:r w:rsidR="00A2613A">
              <w:t>VistALink</w:t>
            </w:r>
            <w:r>
              <w:t xml:space="preserve"> is available after any user logs into the VBECS application’s </w:t>
            </w:r>
            <w:r w:rsidR="00A2613A">
              <w:t>VistALink</w:t>
            </w:r>
            <w:r>
              <w:t xml:space="preserve"> connection.</w:t>
            </w:r>
          </w:p>
        </w:tc>
      </w:tr>
      <w:tr w:rsidR="0080656D">
        <w:tblPrEx>
          <w:tblCellMar>
            <w:top w:w="0" w:type="dxa"/>
            <w:bottom w:w="0" w:type="dxa"/>
          </w:tblCellMar>
        </w:tblPrEx>
        <w:tc>
          <w:tcPr>
            <w:tcW w:w="3240" w:type="dxa"/>
          </w:tcPr>
          <w:p w:rsidR="0080656D" w:rsidRDefault="0080656D">
            <w:pPr>
              <w:pStyle w:val="TableTextNumbers"/>
            </w:pPr>
            <w:r>
              <w:t xml:space="preserve">Select </w:t>
            </w:r>
            <w:r w:rsidRPr="0080656D">
              <w:rPr>
                <w:b/>
              </w:rPr>
              <w:t>Schedule Print</w:t>
            </w:r>
            <w:r>
              <w:t xml:space="preserve"> or </w:t>
            </w:r>
            <w:r w:rsidRPr="0080656D">
              <w:rPr>
                <w:b/>
              </w:rPr>
              <w:t>Print Now</w:t>
            </w:r>
            <w:r>
              <w:t xml:space="preserve"> and follow the instructions to print.</w:t>
            </w:r>
          </w:p>
        </w:tc>
        <w:tc>
          <w:tcPr>
            <w:tcW w:w="6120" w:type="dxa"/>
          </w:tcPr>
          <w:p w:rsidR="0080656D" w:rsidRDefault="00A902A8" w:rsidP="00A902A8">
            <w:pPr>
              <w:pStyle w:val="TableTextBullet"/>
            </w:pPr>
            <w:r>
              <w:t>Prints the report on the selected printer.</w:t>
            </w:r>
          </w:p>
        </w:tc>
      </w:tr>
      <w:tr w:rsidR="002A21AE">
        <w:tblPrEx>
          <w:tblCellMar>
            <w:top w:w="0" w:type="dxa"/>
            <w:bottom w:w="0" w:type="dxa"/>
          </w:tblCellMar>
        </w:tblPrEx>
        <w:tc>
          <w:tcPr>
            <w:tcW w:w="3240" w:type="dxa"/>
          </w:tcPr>
          <w:p w:rsidR="002A21AE" w:rsidRDefault="0080656D">
            <w:pPr>
              <w:pStyle w:val="TableTextNumbers"/>
            </w:pPr>
            <w:r>
              <w:t xml:space="preserve">Click </w:t>
            </w:r>
            <w:r w:rsidRPr="0080656D">
              <w:rPr>
                <w:b/>
              </w:rPr>
              <w:t>Close</w:t>
            </w:r>
            <w:r>
              <w:t xml:space="preserve"> to e</w:t>
            </w:r>
            <w:r w:rsidR="002A21AE">
              <w:t>xit.</w:t>
            </w:r>
            <w:r w:rsidR="002A21AE">
              <w:rPr>
                <w:vanish/>
                <w:szCs w:val="18"/>
              </w:rPr>
              <w:fldChar w:fldCharType="begin"/>
            </w:r>
            <w:r w:rsidR="002A21AE">
              <w:rPr>
                <w:vanish/>
                <w:szCs w:val="18"/>
              </w:rPr>
              <w:instrText xml:space="preserve"> LISTNUM \l 1 \s 0 </w:instrText>
            </w:r>
            <w:r w:rsidR="002A21AE">
              <w:rPr>
                <w:vanish/>
                <w:szCs w:val="18"/>
              </w:rPr>
              <w:fldChar w:fldCharType="end"/>
            </w:r>
          </w:p>
        </w:tc>
        <w:tc>
          <w:tcPr>
            <w:tcW w:w="6120" w:type="dxa"/>
          </w:tcPr>
          <w:p w:rsidR="002A21AE" w:rsidRDefault="002A21AE">
            <w:pPr>
              <w:pStyle w:val="NotesText"/>
              <w:ind w:left="0"/>
            </w:pPr>
          </w:p>
        </w:tc>
      </w:tr>
    </w:tbl>
    <w:p w:rsidR="00772DD7" w:rsidRDefault="00772DD7" w:rsidP="00772DD7">
      <w:pPr>
        <w:pStyle w:val="Caption"/>
      </w:pPr>
      <w:bookmarkStart w:id="508" w:name="_Ref127777058"/>
      <w:r>
        <w:t xml:space="preserve">Figure </w:t>
      </w:r>
      <w:r w:rsidR="00C17F7C">
        <w:fldChar w:fldCharType="begin"/>
      </w:r>
      <w:r w:rsidR="00C17F7C">
        <w:instrText xml:space="preserve"> SEQ Figure \* ARABIC </w:instrText>
      </w:r>
      <w:r w:rsidR="00C17F7C">
        <w:fldChar w:fldCharType="separate"/>
      </w:r>
      <w:r w:rsidR="005F38BC">
        <w:rPr>
          <w:noProof/>
        </w:rPr>
        <w:t>127</w:t>
      </w:r>
      <w:r w:rsidR="00C17F7C">
        <w:fldChar w:fldCharType="end"/>
      </w:r>
      <w:bookmarkEnd w:id="508"/>
      <w:r>
        <w:t>:</w:t>
      </w:r>
      <w:r w:rsidR="00373926">
        <w:t xml:space="preserve"> Select Transfusion Reaction Workup</w:t>
      </w:r>
    </w:p>
    <w:p w:rsidR="00772DD7" w:rsidRPr="00772DD7" w:rsidRDefault="00634BFC" w:rsidP="00772DD7">
      <w:pPr>
        <w:pStyle w:val="BodyText"/>
      </w:pPr>
      <w:r>
        <w:rPr>
          <w:noProof/>
        </w:rPr>
        <w:drawing>
          <wp:inline distT="0" distB="0" distL="0" distR="0">
            <wp:extent cx="4114800" cy="25336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114800" cy="2533650"/>
                    </a:xfrm>
                    <a:prstGeom prst="rect">
                      <a:avLst/>
                    </a:prstGeom>
                    <a:noFill/>
                    <a:ln>
                      <a:noFill/>
                    </a:ln>
                  </pic:spPr>
                </pic:pic>
              </a:graphicData>
            </a:graphic>
          </wp:inline>
        </w:drawing>
      </w:r>
    </w:p>
    <w:p w:rsidR="00772DD7" w:rsidRDefault="00772DD7" w:rsidP="00772DD7">
      <w:pPr>
        <w:pStyle w:val="Caption"/>
      </w:pPr>
      <w:bookmarkStart w:id="509" w:name="_Ref127777300"/>
      <w:r>
        <w:lastRenderedPageBreak/>
        <w:t xml:space="preserve">Figure </w:t>
      </w:r>
      <w:r w:rsidR="00C17F7C">
        <w:fldChar w:fldCharType="begin"/>
      </w:r>
      <w:r w:rsidR="00C17F7C">
        <w:instrText xml:space="preserve"> SEQ Figure \* ARABIC </w:instrText>
      </w:r>
      <w:r w:rsidR="00C17F7C">
        <w:fldChar w:fldCharType="separate"/>
      </w:r>
      <w:r w:rsidR="005F38BC">
        <w:rPr>
          <w:noProof/>
        </w:rPr>
        <w:t>128</w:t>
      </w:r>
      <w:r w:rsidR="00C17F7C">
        <w:fldChar w:fldCharType="end"/>
      </w:r>
      <w:bookmarkEnd w:id="509"/>
      <w:r>
        <w:t>:</w:t>
      </w:r>
      <w:r w:rsidR="00373926">
        <w:t xml:space="preserve"> Finalize TRW Report </w:t>
      </w:r>
      <w:r w:rsidR="002D59D6" w:rsidRPr="002D59D6">
        <w:rPr>
          <w:vanish/>
        </w:rPr>
        <w:t>DR 5107</w:t>
      </w:r>
    </w:p>
    <w:p w:rsidR="00772DD7" w:rsidRPr="00772DD7" w:rsidRDefault="00634BFC" w:rsidP="00772DD7">
      <w:pPr>
        <w:pStyle w:val="BodyText"/>
      </w:pPr>
      <w:r>
        <w:rPr>
          <w:noProof/>
        </w:rPr>
        <w:drawing>
          <wp:inline distT="0" distB="0" distL="0" distR="0">
            <wp:extent cx="5133975" cy="3686175"/>
            <wp:effectExtent l="0" t="0" r="9525" b="9525"/>
            <wp:docPr id="239" name="Picture 1" descr="cid:image001.jpg@01CFF8D3.98CB1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F8D3.98CB1E30"/>
                    <pic:cNvPicPr>
                      <a:picLocks noChangeAspect="1" noChangeArrowheads="1"/>
                    </pic:cNvPicPr>
                  </pic:nvPicPr>
                  <pic:blipFill>
                    <a:blip r:embed="rId225" r:link="rId226">
                      <a:extLst>
                        <a:ext uri="{28A0092B-C50C-407E-A947-70E740481C1C}">
                          <a14:useLocalDpi xmlns:a14="http://schemas.microsoft.com/office/drawing/2010/main" val="0"/>
                        </a:ext>
                      </a:extLst>
                    </a:blip>
                    <a:srcRect/>
                    <a:stretch>
                      <a:fillRect/>
                    </a:stretch>
                  </pic:blipFill>
                  <pic:spPr bwMode="auto">
                    <a:xfrm>
                      <a:off x="0" y="0"/>
                      <a:ext cx="5133975" cy="3686175"/>
                    </a:xfrm>
                    <a:prstGeom prst="rect">
                      <a:avLst/>
                    </a:prstGeom>
                    <a:noFill/>
                    <a:ln>
                      <a:noFill/>
                    </a:ln>
                  </pic:spPr>
                </pic:pic>
              </a:graphicData>
            </a:graphic>
          </wp:inline>
        </w:drawing>
      </w:r>
    </w:p>
    <w:p w:rsidR="002A21AE" w:rsidRDefault="002A21AE">
      <w:pPr>
        <w:pStyle w:val="Heading4"/>
      </w:pPr>
      <w:r>
        <w:t>View/Print a Finalized Transfusion Reaction Workup Report</w:t>
      </w:r>
      <w:r>
        <w:fldChar w:fldCharType="begin"/>
      </w:r>
      <w:r>
        <w:instrText xml:space="preserve"> XE </w:instrText>
      </w:r>
      <w:r w:rsidR="00FA7E65">
        <w:instrText>“</w:instrText>
      </w:r>
      <w:r>
        <w:instrText>View/Print a Finalized Transfusion Reaction Workup Report</w:instrText>
      </w:r>
      <w:r w:rsidR="00FA7E65">
        <w:instrText>”</w:instrText>
      </w:r>
      <w:r>
        <w:instrText xml:space="preserve"> </w:instrText>
      </w:r>
      <w:r>
        <w:fldChar w:fldCharType="end"/>
      </w:r>
    </w:p>
    <w:p w:rsidR="002624D5" w:rsidRPr="002624D5" w:rsidRDefault="002624D5" w:rsidP="00DD75E5">
      <w:pPr>
        <w:pStyle w:val="BodyText"/>
      </w:pPr>
      <w:r>
        <w:t>The user views and/or prints the</w:t>
      </w:r>
      <w:r w:rsidR="0016517C">
        <w:t xml:space="preserve"> finalized</w:t>
      </w:r>
      <w:r>
        <w:t xml:space="preserve"> Transfusion Reaction Workup Report.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tblHeader/>
        </w:trPr>
        <w:tc>
          <w:tcPr>
            <w:tcW w:w="3240" w:type="dxa"/>
            <w:tcBorders>
              <w:top w:val="single" w:sz="4" w:space="0" w:color="auto"/>
              <w:left w:val="single" w:sz="4" w:space="0" w:color="auto"/>
              <w:bottom w:val="single" w:sz="4" w:space="0" w:color="auto"/>
              <w:right w:val="single" w:sz="4" w:space="0" w:color="auto"/>
            </w:tcBorders>
            <w:shd w:val="pct30" w:color="auto" w:fill="auto"/>
            <w:vAlign w:val="bottom"/>
          </w:tcPr>
          <w:p w:rsidR="002A21AE" w:rsidRDefault="002A21AE">
            <w:pPr>
              <w:pStyle w:val="TableText"/>
              <w:rPr>
                <w:b/>
              </w:rPr>
            </w:pPr>
            <w:r>
              <w:rPr>
                <w:b/>
              </w:rPr>
              <w:t>User Action</w:t>
            </w:r>
          </w:p>
        </w:tc>
        <w:tc>
          <w:tcPr>
            <w:tcW w:w="6120" w:type="dxa"/>
            <w:tcBorders>
              <w:top w:val="single" w:sz="4" w:space="0" w:color="auto"/>
              <w:left w:val="single" w:sz="4" w:space="0" w:color="auto"/>
              <w:bottom w:val="single" w:sz="4" w:space="0" w:color="auto"/>
              <w:right w:val="single" w:sz="4" w:space="0" w:color="auto"/>
            </w:tcBorders>
            <w:shd w:val="pct30" w:color="auto" w:fill="auto"/>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 xml:space="preserve">Select </w:t>
            </w:r>
            <w:r>
              <w:rPr>
                <w:b/>
              </w:rPr>
              <w:t>Reports</w:t>
            </w:r>
            <w:r>
              <w:t xml:space="preserve"> from the main menu.</w:t>
            </w:r>
          </w:p>
          <w:p w:rsidR="002A21AE" w:rsidRDefault="002A21AE">
            <w:pPr>
              <w:pStyle w:val="TableTextNumbersContinued"/>
            </w:pPr>
          </w:p>
          <w:p w:rsidR="002A21AE" w:rsidRDefault="002A21AE">
            <w:pPr>
              <w:pStyle w:val="TableTextNumbersContinued"/>
            </w:pPr>
            <w:r>
              <w:t xml:space="preserve">Select </w:t>
            </w:r>
            <w:r>
              <w:rPr>
                <w:b/>
              </w:rPr>
              <w:t>Finalize/Print TRW</w:t>
            </w:r>
            <w:r>
              <w:t>.</w:t>
            </w:r>
          </w:p>
          <w:p w:rsidR="002A21AE" w:rsidRDefault="002A21AE">
            <w:pPr>
              <w:pStyle w:val="TableTextNumbersContinued"/>
            </w:pPr>
          </w:p>
          <w:p w:rsidR="002A21AE" w:rsidRDefault="002A21AE">
            <w:pPr>
              <w:pStyle w:val="TableTextNumbersContinued"/>
            </w:pPr>
            <w:r>
              <w:t>Select a completed TRW</w:t>
            </w:r>
            <w:r w:rsidR="00F40F83">
              <w:t xml:space="preserve"> (</w:t>
            </w:r>
            <w:r w:rsidR="00EE2299">
              <w:fldChar w:fldCharType="begin"/>
            </w:r>
            <w:r w:rsidR="00EE2299">
              <w:instrText xml:space="preserve"> REF _Ref127774218 \h </w:instrText>
            </w:r>
            <w:r w:rsidR="00EE2299">
              <w:fldChar w:fldCharType="separate"/>
            </w:r>
            <w:r w:rsidR="005F38BC">
              <w:t xml:space="preserve">Figure </w:t>
            </w:r>
            <w:r w:rsidR="005F38BC">
              <w:rPr>
                <w:noProof/>
              </w:rPr>
              <w:t>126</w:t>
            </w:r>
            <w:r w:rsidR="00EE2299">
              <w:fldChar w:fldCharType="end"/>
            </w:r>
            <w:r w:rsidR="00F40F83">
              <w:t>)</w:t>
            </w:r>
            <w:r>
              <w:t>.</w:t>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Bullet"/>
            </w:pPr>
            <w:r>
              <w:t>Lists report names.</w:t>
            </w:r>
          </w:p>
          <w:p w:rsidR="002A21AE" w:rsidRDefault="002A21AE">
            <w:pPr>
              <w:pStyle w:val="TableTextBullet"/>
            </w:pPr>
            <w:r>
              <w:t xml:space="preserve">Displays the selected Transfusion Reaction Workup Report data. </w:t>
            </w:r>
          </w:p>
          <w:p w:rsidR="002A21AE" w:rsidRDefault="002A21AE">
            <w:pPr>
              <w:pStyle w:val="TableTextBullet"/>
            </w:pPr>
            <w:r>
              <w:t>Displays an option to view and/or print a finalized TRW by selecting a patient.</w:t>
            </w:r>
          </w:p>
          <w:p w:rsidR="002A21AE" w:rsidRDefault="002A21AE">
            <w:pPr>
              <w:pStyle w:val="TableText"/>
            </w:pPr>
          </w:p>
          <w:p w:rsidR="002A21AE" w:rsidRDefault="00634BFC">
            <w:pPr>
              <w:pStyle w:val="TableText"/>
              <w:rPr>
                <w:b/>
                <w:bCs/>
              </w:rPr>
            </w:pPr>
            <w:r>
              <w:rPr>
                <w:b/>
                <w:bCs/>
                <w:noProof/>
              </w:rPr>
              <mc:AlternateContent>
                <mc:Choice Requires="wps">
                  <w:drawing>
                    <wp:anchor distT="0" distB="0" distL="114300" distR="114300" simplePos="0" relativeHeight="25168640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34" name="Line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6"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o+FQ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BSU&#10;Gj4VAgAALQQAAA4AAAAAAAAAAAAAAAAALgIAAGRycy9lMm9Eb2MueG1sUEsBAi0AFAAGAAgAAAAh&#10;ABdPMBLbAAAACAEAAA8AAAAAAAAAAAAAAAAAbwQAAGRycy9kb3ducmV2LnhtbFBLBQYAAAAABAAE&#10;APMAAAB3BQAAAAA=&#10;" strokeweight="1.5pt"/>
                  </w:pict>
                </mc:Fallback>
              </mc:AlternateContent>
            </w:r>
            <w:r w:rsidR="002A21AE">
              <w:rPr>
                <w:b/>
                <w:bCs/>
              </w:rPr>
              <w:t>NOTES</w:t>
            </w:r>
          </w:p>
          <w:p w:rsidR="002A21AE" w:rsidRDefault="002A21AE">
            <w:pPr>
              <w:pStyle w:val="NotesText"/>
            </w:pPr>
          </w:p>
          <w:p w:rsidR="002A21AE" w:rsidRDefault="002A21AE">
            <w:pPr>
              <w:pStyle w:val="NotesText"/>
            </w:pPr>
            <w:r>
              <w:rPr>
                <w:rFonts w:cs="Arial"/>
                <w:vanish/>
              </w:rPr>
              <w:t xml:space="preserve">BR_78.01 </w:t>
            </w:r>
            <w:r>
              <w:t>The user finalizing the report may not edit previously entered TRW data.</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Select a patient.</w:t>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Bullet"/>
            </w:pPr>
            <w:r>
              <w:t>Compiles the report and displays an option to print the report or exit.</w:t>
            </w:r>
          </w:p>
          <w:p w:rsidR="002A21AE" w:rsidRDefault="002A21AE">
            <w:pPr>
              <w:pStyle w:val="TableText"/>
            </w:pPr>
          </w:p>
          <w:p w:rsidR="002A21AE" w:rsidRDefault="00634BFC">
            <w:pPr>
              <w:pStyle w:val="TableText"/>
              <w:rPr>
                <w:b/>
                <w:bCs/>
              </w:rPr>
            </w:pPr>
            <w:r>
              <w:rPr>
                <w:b/>
                <w:bCs/>
                <w:noProof/>
              </w:rPr>
              <mc:AlternateContent>
                <mc:Choice Requires="wps">
                  <w:drawing>
                    <wp:anchor distT="0" distB="0" distL="114300" distR="114300" simplePos="0" relativeHeight="25168435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33" name="Line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2"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ny/FQ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AOW&#10;fL8VAgAALQQAAA4AAAAAAAAAAAAAAAAALgIAAGRycy9lMm9Eb2MueG1sUEsBAi0AFAAGAAgAAAAh&#10;ABdPMBLbAAAACAEAAA8AAAAAAAAAAAAAAAAAbwQAAGRycy9kb3ducmV2LnhtbFBLBQYAAAAABAAE&#10;APMAAAB3BQAAAAA=&#10;" strokeweight="1.5pt"/>
                  </w:pict>
                </mc:Fallback>
              </mc:AlternateContent>
            </w:r>
            <w:r w:rsidR="002A21AE">
              <w:rPr>
                <w:b/>
                <w:bCs/>
              </w:rPr>
              <w:t>NOTES</w:t>
            </w:r>
          </w:p>
          <w:p w:rsidR="002A21AE" w:rsidRDefault="002A21AE">
            <w:pPr>
              <w:pStyle w:val="NotesText"/>
            </w:pPr>
          </w:p>
          <w:p w:rsidR="002A21AE" w:rsidRDefault="002A21AE">
            <w:pPr>
              <w:pStyle w:val="NotesText"/>
            </w:pPr>
            <w:r>
              <w:rPr>
                <w:rFonts w:cs="Arial"/>
                <w:vanish/>
              </w:rPr>
              <w:t xml:space="preserve">BR_78.05 </w:t>
            </w:r>
            <w:r>
              <w:t>Details included in the finalized TRW report:</w:t>
            </w:r>
          </w:p>
          <w:p w:rsidR="002A21AE" w:rsidRDefault="002A21AE">
            <w:pPr>
              <w:pStyle w:val="NotesTextBullet"/>
            </w:pPr>
            <w:r>
              <w:t>Patient name</w:t>
            </w:r>
          </w:p>
          <w:p w:rsidR="002A21AE" w:rsidRDefault="002A21AE">
            <w:pPr>
              <w:pStyle w:val="NotesTextBullet"/>
            </w:pPr>
            <w:r>
              <w:t>Patient ID</w:t>
            </w:r>
          </w:p>
          <w:p w:rsidR="002A21AE" w:rsidRDefault="002A21AE">
            <w:pPr>
              <w:pStyle w:val="NotesTextBullet"/>
            </w:pPr>
            <w:r>
              <w:t>Specimen UID</w:t>
            </w:r>
          </w:p>
          <w:p w:rsidR="002A21AE" w:rsidRDefault="002A21AE">
            <w:pPr>
              <w:pStyle w:val="NotesTextBullet"/>
            </w:pPr>
            <w:r>
              <w:t>Reported symptoms</w:t>
            </w:r>
          </w:p>
          <w:p w:rsidR="002A21AE" w:rsidRDefault="002A21AE">
            <w:pPr>
              <w:pStyle w:val="NotesTextBullet"/>
            </w:pPr>
            <w:r>
              <w:t>Specimen clerical checks (pre-, post-, and unit)</w:t>
            </w:r>
          </w:p>
          <w:p w:rsidR="002A21AE" w:rsidRDefault="002A21AE">
            <w:pPr>
              <w:pStyle w:val="NotesTextBullet"/>
            </w:pPr>
            <w:r>
              <w:t>Serologic testing (if performed, interpretations only)</w:t>
            </w:r>
          </w:p>
          <w:p w:rsidR="002A21AE" w:rsidRDefault="002A21AE">
            <w:pPr>
              <w:pStyle w:val="NotesTextBullet"/>
            </w:pPr>
            <w:r>
              <w:t>Transfusion reaction type</w:t>
            </w:r>
          </w:p>
          <w:p w:rsidR="002A21AE" w:rsidRDefault="002A21AE">
            <w:pPr>
              <w:pStyle w:val="NotesTextBullet"/>
            </w:pPr>
            <w:r>
              <w:t>Comment</w:t>
            </w:r>
          </w:p>
          <w:p w:rsidR="002A21AE" w:rsidRDefault="002A21AE">
            <w:pPr>
              <w:pStyle w:val="NotesTextBullet"/>
            </w:pPr>
            <w:r>
              <w:t xml:space="preserve">Implicated units (include from Patient Testing: Record a </w:t>
            </w:r>
            <w:r>
              <w:lastRenderedPageBreak/>
              <w:t>Transfusion Reaction Workup )</w:t>
            </w:r>
          </w:p>
          <w:p w:rsidR="002A21AE" w:rsidRDefault="002A21AE">
            <w:pPr>
              <w:pStyle w:val="NotesTextBullet"/>
            </w:pPr>
            <w:r>
              <w:t>TRW report completed by:</w:t>
            </w:r>
          </w:p>
          <w:p w:rsidR="002A21AE" w:rsidRDefault="002A21AE">
            <w:pPr>
              <w:pStyle w:val="NotesTextBullet1"/>
            </w:pPr>
            <w:r>
              <w:t>Date and time the report was completed</w:t>
            </w:r>
          </w:p>
          <w:p w:rsidR="002A21AE" w:rsidRDefault="002A21AE">
            <w:pPr>
              <w:pStyle w:val="NotesTextBullet1"/>
            </w:pPr>
            <w:r>
              <w:t>Signature line for the medical director</w:t>
            </w:r>
          </w:p>
          <w:p w:rsidR="002A21AE" w:rsidRDefault="002A21AE">
            <w:pPr>
              <w:pStyle w:val="NotesTextBullet1"/>
            </w:pPr>
            <w:r>
              <w:t>Line for the date and time the medical director completed the review</w:t>
            </w:r>
          </w:p>
          <w:p w:rsidR="002A21AE" w:rsidRDefault="002A21AE">
            <w:pPr>
              <w:pStyle w:val="NotesTextBullet1"/>
            </w:pPr>
            <w:r>
              <w:t>Finalized by</w:t>
            </w:r>
          </w:p>
          <w:p w:rsidR="002A21AE" w:rsidRDefault="002A21AE">
            <w:pPr>
              <w:pStyle w:val="NotesTextBullet1"/>
            </w:pPr>
            <w:r>
              <w:t>Finalized date and time</w:t>
            </w:r>
          </w:p>
        </w:tc>
      </w:tr>
      <w:tr w:rsidR="00A902A8">
        <w:tblPrEx>
          <w:tblCellMar>
            <w:top w:w="0" w:type="dxa"/>
            <w:bottom w:w="0" w:type="dxa"/>
          </w:tblCellMar>
        </w:tblPrEx>
        <w:tc>
          <w:tcPr>
            <w:tcW w:w="3240" w:type="dxa"/>
          </w:tcPr>
          <w:p w:rsidR="00A902A8" w:rsidRDefault="00A902A8" w:rsidP="00E21A6B">
            <w:pPr>
              <w:pStyle w:val="TableTextNumbers"/>
            </w:pPr>
            <w:r>
              <w:lastRenderedPageBreak/>
              <w:t xml:space="preserve">Select </w:t>
            </w:r>
            <w:r w:rsidRPr="0080656D">
              <w:rPr>
                <w:b/>
              </w:rPr>
              <w:t>Schedule Print</w:t>
            </w:r>
            <w:r>
              <w:t xml:space="preserve"> or </w:t>
            </w:r>
            <w:r w:rsidRPr="0080656D">
              <w:rPr>
                <w:b/>
              </w:rPr>
              <w:t>Print Now</w:t>
            </w:r>
            <w:r>
              <w:t xml:space="preserve"> and follow the instructions to print.</w:t>
            </w:r>
          </w:p>
        </w:tc>
        <w:tc>
          <w:tcPr>
            <w:tcW w:w="6120" w:type="dxa"/>
          </w:tcPr>
          <w:p w:rsidR="00A902A8" w:rsidRDefault="00A902A8" w:rsidP="00E21A6B">
            <w:pPr>
              <w:pStyle w:val="TableTextBullet"/>
            </w:pPr>
            <w:r>
              <w:t>Prints the report on the selected printer.</w:t>
            </w:r>
          </w:p>
        </w:tc>
      </w:tr>
      <w:tr w:rsidR="00A902A8">
        <w:tblPrEx>
          <w:tblCellMar>
            <w:top w:w="0" w:type="dxa"/>
            <w:bottom w:w="0" w:type="dxa"/>
          </w:tblCellMar>
        </w:tblPrEx>
        <w:tc>
          <w:tcPr>
            <w:tcW w:w="3240" w:type="dxa"/>
          </w:tcPr>
          <w:p w:rsidR="00A902A8" w:rsidRDefault="00A902A8" w:rsidP="00E21A6B">
            <w:pPr>
              <w:pStyle w:val="TableTextNumbers"/>
            </w:pPr>
            <w:r>
              <w:t xml:space="preserve">Click </w:t>
            </w:r>
            <w:r w:rsidRPr="0080656D">
              <w:rPr>
                <w:b/>
              </w:rPr>
              <w:t>Close</w:t>
            </w:r>
            <w:r>
              <w:t xml:space="preserve"> to exit.</w:t>
            </w:r>
            <w:r>
              <w:rPr>
                <w:vanish/>
                <w:szCs w:val="18"/>
              </w:rPr>
              <w:fldChar w:fldCharType="begin"/>
            </w:r>
            <w:r>
              <w:rPr>
                <w:vanish/>
                <w:szCs w:val="18"/>
              </w:rPr>
              <w:instrText xml:space="preserve"> LISTNUM \l 1 \s 0 </w:instrText>
            </w:r>
            <w:r>
              <w:rPr>
                <w:vanish/>
                <w:szCs w:val="18"/>
              </w:rPr>
              <w:fldChar w:fldCharType="end"/>
            </w:r>
          </w:p>
        </w:tc>
        <w:tc>
          <w:tcPr>
            <w:tcW w:w="6120" w:type="dxa"/>
          </w:tcPr>
          <w:p w:rsidR="00A902A8" w:rsidRDefault="00A902A8" w:rsidP="00E21A6B">
            <w:pPr>
              <w:pStyle w:val="NotesText"/>
              <w:ind w:left="0"/>
            </w:pPr>
          </w:p>
        </w:tc>
      </w:tr>
    </w:tbl>
    <w:p w:rsidR="002A21AE" w:rsidRDefault="002A21AE">
      <w:pPr>
        <w:pStyle w:val="Caption"/>
      </w:pPr>
      <w:bookmarkStart w:id="510" w:name="_Toc97523627"/>
      <w:bookmarkStart w:id="511" w:name="_Toc97527597"/>
      <w:bookmarkStart w:id="512" w:name="_Ref126504463"/>
      <w:r>
        <w:t xml:space="preserve">Table </w:t>
      </w:r>
      <w:r>
        <w:fldChar w:fldCharType="begin"/>
      </w:r>
      <w:r>
        <w:instrText xml:space="preserve"> SEQ Table \* ARABIC </w:instrText>
      </w:r>
      <w:r>
        <w:fldChar w:fldCharType="separate"/>
      </w:r>
      <w:r w:rsidR="005F38BC">
        <w:rPr>
          <w:noProof/>
        </w:rPr>
        <w:t>12</w:t>
      </w:r>
      <w:r>
        <w:fldChar w:fldCharType="end"/>
      </w:r>
      <w:r>
        <w:t xml:space="preserve">: </w:t>
      </w:r>
      <w:r>
        <w:rPr>
          <w:vanish/>
        </w:rPr>
        <w:t xml:space="preserve">PT_78.01 </w:t>
      </w:r>
      <w:r>
        <w:t>Transfusion Reaction Types</w:t>
      </w:r>
      <w:bookmarkEnd w:id="510"/>
      <w:bookmarkEnd w:id="511"/>
      <w:bookmarkEnd w:id="512"/>
      <w:r>
        <w:t xml:space="preserve"> </w:t>
      </w:r>
      <w:r>
        <w:fldChar w:fldCharType="begin"/>
      </w:r>
      <w:r>
        <w:instrText xml:space="preserve"> XE </w:instrText>
      </w:r>
      <w:r w:rsidR="00FA7E65">
        <w:instrText>“</w:instrText>
      </w:r>
      <w:r>
        <w:instrText>Tables:Transfusion Reaction Types</w:instrText>
      </w:r>
      <w:r w:rsidR="00FA7E65">
        <w:instrText>”</w:instrText>
      </w:r>
      <w:r>
        <w:instrText xml:space="preserve"> </w:instrText>
      </w:r>
      <w:r>
        <w:fldChar w:fldCharType="end"/>
      </w:r>
    </w:p>
    <w:tbl>
      <w:tblPr>
        <w:tblW w:w="0" w:type="auto"/>
        <w:tblInd w:w="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320"/>
      </w:tblGrid>
      <w:tr w:rsidR="008E18C4">
        <w:tblPrEx>
          <w:tblCellMar>
            <w:top w:w="0" w:type="dxa"/>
            <w:bottom w:w="0" w:type="dxa"/>
          </w:tblCellMar>
        </w:tblPrEx>
        <w:trPr>
          <w:tblHeader/>
        </w:trPr>
        <w:tc>
          <w:tcPr>
            <w:tcW w:w="4320" w:type="dxa"/>
            <w:tcBorders>
              <w:top w:val="single" w:sz="4" w:space="0" w:color="auto"/>
              <w:bottom w:val="single" w:sz="6" w:space="0" w:color="auto"/>
            </w:tcBorders>
            <w:shd w:val="clear" w:color="auto" w:fill="B3B3B3"/>
            <w:vAlign w:val="bottom"/>
          </w:tcPr>
          <w:p w:rsidR="008E18C4" w:rsidRDefault="008E18C4">
            <w:pPr>
              <w:pStyle w:val="TableText"/>
              <w:rPr>
                <w:b/>
              </w:rPr>
            </w:pPr>
            <w:bookmarkStart w:id="513" w:name="_Toc72723354"/>
            <w:r>
              <w:rPr>
                <w:b/>
              </w:rPr>
              <w:t>Transfusion Reaction Type Text</w:t>
            </w:r>
            <w:bookmarkEnd w:id="513"/>
          </w:p>
        </w:tc>
      </w:tr>
      <w:tr w:rsidR="008E18C4">
        <w:tblPrEx>
          <w:tblCellMar>
            <w:top w:w="0" w:type="dxa"/>
            <w:bottom w:w="0" w:type="dxa"/>
          </w:tblCellMar>
        </w:tblPrEx>
        <w:tc>
          <w:tcPr>
            <w:tcW w:w="4320" w:type="dxa"/>
            <w:tcBorders>
              <w:top w:val="single" w:sz="6" w:space="0" w:color="auto"/>
            </w:tcBorders>
            <w:vAlign w:val="bottom"/>
          </w:tcPr>
          <w:p w:rsidR="008E18C4" w:rsidRPr="00B70590" w:rsidRDefault="008E18C4">
            <w:pPr>
              <w:pStyle w:val="TableText"/>
            </w:pPr>
            <w:r w:rsidRPr="00B70590">
              <w:t>Anaphylaxis</w:t>
            </w:r>
          </w:p>
        </w:tc>
      </w:tr>
      <w:tr w:rsidR="00B05CCE">
        <w:tblPrEx>
          <w:tblCellMar>
            <w:top w:w="0" w:type="dxa"/>
            <w:bottom w:w="0" w:type="dxa"/>
          </w:tblCellMar>
        </w:tblPrEx>
        <w:tc>
          <w:tcPr>
            <w:tcW w:w="4320" w:type="dxa"/>
            <w:vAlign w:val="bottom"/>
          </w:tcPr>
          <w:p w:rsidR="00B05CCE" w:rsidRPr="00B70590" w:rsidRDefault="00B05CCE">
            <w:pPr>
              <w:pStyle w:val="TableText"/>
            </w:pPr>
            <w:r w:rsidRPr="00B70590">
              <w:t>Citrate Toxicity</w:t>
            </w:r>
          </w:p>
        </w:tc>
      </w:tr>
      <w:tr w:rsidR="008E18C4">
        <w:tblPrEx>
          <w:tblCellMar>
            <w:top w:w="0" w:type="dxa"/>
            <w:bottom w:w="0" w:type="dxa"/>
          </w:tblCellMar>
        </w:tblPrEx>
        <w:tc>
          <w:tcPr>
            <w:tcW w:w="4320" w:type="dxa"/>
            <w:vAlign w:val="bottom"/>
          </w:tcPr>
          <w:p w:rsidR="008E18C4" w:rsidRPr="00B70590" w:rsidRDefault="008E18C4">
            <w:pPr>
              <w:pStyle w:val="TableText"/>
            </w:pPr>
            <w:r w:rsidRPr="00B70590">
              <w:t>Delayed Hemolytic</w:t>
            </w:r>
          </w:p>
        </w:tc>
      </w:tr>
      <w:tr w:rsidR="008E18C4">
        <w:tblPrEx>
          <w:tblCellMar>
            <w:top w:w="0" w:type="dxa"/>
            <w:bottom w:w="0" w:type="dxa"/>
          </w:tblCellMar>
        </w:tblPrEx>
        <w:tc>
          <w:tcPr>
            <w:tcW w:w="4320" w:type="dxa"/>
            <w:vAlign w:val="bottom"/>
          </w:tcPr>
          <w:p w:rsidR="008E18C4" w:rsidRPr="00B70590" w:rsidRDefault="008E18C4">
            <w:pPr>
              <w:pStyle w:val="TableText"/>
            </w:pPr>
            <w:r w:rsidRPr="00B70590">
              <w:t>Febrile Nonhemolytic</w:t>
            </w:r>
          </w:p>
        </w:tc>
      </w:tr>
      <w:tr w:rsidR="008E18C4">
        <w:tblPrEx>
          <w:tblCellMar>
            <w:top w:w="0" w:type="dxa"/>
            <w:bottom w:w="0" w:type="dxa"/>
          </w:tblCellMar>
        </w:tblPrEx>
        <w:tc>
          <w:tcPr>
            <w:tcW w:w="4320" w:type="dxa"/>
            <w:vAlign w:val="bottom"/>
          </w:tcPr>
          <w:p w:rsidR="008E18C4" w:rsidRPr="00B70590" w:rsidRDefault="008E18C4">
            <w:pPr>
              <w:pStyle w:val="TableText"/>
            </w:pPr>
            <w:r w:rsidRPr="00B70590">
              <w:t>Graft vs. Host Disease</w:t>
            </w:r>
          </w:p>
        </w:tc>
      </w:tr>
      <w:tr w:rsidR="008E18C4">
        <w:tblPrEx>
          <w:tblCellMar>
            <w:top w:w="0" w:type="dxa"/>
            <w:bottom w:w="0" w:type="dxa"/>
          </w:tblCellMar>
        </w:tblPrEx>
        <w:tc>
          <w:tcPr>
            <w:tcW w:w="4320" w:type="dxa"/>
            <w:vAlign w:val="bottom"/>
          </w:tcPr>
          <w:p w:rsidR="008E18C4" w:rsidRPr="00B70590" w:rsidRDefault="00B05CCE">
            <w:pPr>
              <w:pStyle w:val="TableText"/>
            </w:pPr>
            <w:r w:rsidRPr="00B70590">
              <w:t>Acute Hemolysis (non ABO)</w:t>
            </w:r>
          </w:p>
        </w:tc>
      </w:tr>
      <w:tr w:rsidR="00B05CCE">
        <w:tblPrEx>
          <w:tblCellMar>
            <w:top w:w="0" w:type="dxa"/>
            <w:bottom w:w="0" w:type="dxa"/>
          </w:tblCellMar>
        </w:tblPrEx>
        <w:tc>
          <w:tcPr>
            <w:tcW w:w="4320" w:type="dxa"/>
            <w:vAlign w:val="bottom"/>
          </w:tcPr>
          <w:p w:rsidR="00B05CCE" w:rsidRPr="00B70590" w:rsidRDefault="00B05CCE">
            <w:pPr>
              <w:pStyle w:val="TableText"/>
            </w:pPr>
            <w:r w:rsidRPr="00B70590">
              <w:t>Acute Hemolysis (ABO Incompatibility)</w:t>
            </w:r>
          </w:p>
        </w:tc>
      </w:tr>
      <w:tr w:rsidR="00B05CCE">
        <w:tblPrEx>
          <w:tblCellMar>
            <w:top w:w="0" w:type="dxa"/>
            <w:bottom w:w="0" w:type="dxa"/>
          </w:tblCellMar>
        </w:tblPrEx>
        <w:tc>
          <w:tcPr>
            <w:tcW w:w="4320" w:type="dxa"/>
            <w:vAlign w:val="bottom"/>
          </w:tcPr>
          <w:p w:rsidR="00B05CCE" w:rsidRPr="00B70590" w:rsidRDefault="00B05CCE">
            <w:pPr>
              <w:pStyle w:val="TableText"/>
            </w:pPr>
            <w:r w:rsidRPr="00B70590">
              <w:t>Transfusion Associated Circulatory Overload (TACO)</w:t>
            </w:r>
          </w:p>
        </w:tc>
      </w:tr>
      <w:tr w:rsidR="008E18C4">
        <w:tblPrEx>
          <w:tblCellMar>
            <w:top w:w="0" w:type="dxa"/>
            <w:bottom w:w="0" w:type="dxa"/>
          </w:tblCellMar>
        </w:tblPrEx>
        <w:tc>
          <w:tcPr>
            <w:tcW w:w="4320" w:type="dxa"/>
            <w:vAlign w:val="bottom"/>
          </w:tcPr>
          <w:p w:rsidR="008E18C4" w:rsidRPr="00B70590" w:rsidRDefault="008E18C4">
            <w:pPr>
              <w:pStyle w:val="TableText"/>
            </w:pPr>
            <w:r w:rsidRPr="00B70590">
              <w:t>Transfusion Related Acute Lung Injury</w:t>
            </w:r>
            <w:r w:rsidR="00B05CCE" w:rsidRPr="00B70590">
              <w:t xml:space="preserve"> (TRALI)</w:t>
            </w:r>
          </w:p>
        </w:tc>
      </w:tr>
      <w:tr w:rsidR="00B05CCE">
        <w:tblPrEx>
          <w:tblCellMar>
            <w:top w:w="0" w:type="dxa"/>
            <w:bottom w:w="0" w:type="dxa"/>
          </w:tblCellMar>
        </w:tblPrEx>
        <w:tc>
          <w:tcPr>
            <w:tcW w:w="4320" w:type="dxa"/>
            <w:vAlign w:val="bottom"/>
          </w:tcPr>
          <w:p w:rsidR="00B05CCE" w:rsidRPr="00B70590" w:rsidRDefault="00B05CCE">
            <w:pPr>
              <w:pStyle w:val="TableText"/>
            </w:pPr>
            <w:r w:rsidRPr="00B70590">
              <w:t>Transfusion Related Microbial Infection</w:t>
            </w:r>
          </w:p>
        </w:tc>
      </w:tr>
      <w:tr w:rsidR="008E18C4">
        <w:tblPrEx>
          <w:tblCellMar>
            <w:top w:w="0" w:type="dxa"/>
            <w:bottom w:w="0" w:type="dxa"/>
          </w:tblCellMar>
        </w:tblPrEx>
        <w:tc>
          <w:tcPr>
            <w:tcW w:w="4320" w:type="dxa"/>
            <w:vAlign w:val="bottom"/>
          </w:tcPr>
          <w:p w:rsidR="008E18C4" w:rsidRPr="00B70590" w:rsidRDefault="008E18C4">
            <w:pPr>
              <w:pStyle w:val="TableText"/>
            </w:pPr>
            <w:r w:rsidRPr="00B70590">
              <w:t>Post-Transfusion: Associated Disease</w:t>
            </w:r>
          </w:p>
        </w:tc>
      </w:tr>
      <w:tr w:rsidR="00B05CCE">
        <w:tblPrEx>
          <w:tblCellMar>
            <w:top w:w="0" w:type="dxa"/>
            <w:bottom w:w="0" w:type="dxa"/>
          </w:tblCellMar>
        </w:tblPrEx>
        <w:tc>
          <w:tcPr>
            <w:tcW w:w="4320" w:type="dxa"/>
            <w:vAlign w:val="bottom"/>
          </w:tcPr>
          <w:p w:rsidR="00B05CCE" w:rsidRPr="00B70590" w:rsidRDefault="00B05CCE">
            <w:pPr>
              <w:pStyle w:val="TableText"/>
            </w:pPr>
            <w:r w:rsidRPr="00B70590">
              <w:t>Unrelated to Transfusion</w:t>
            </w:r>
          </w:p>
        </w:tc>
      </w:tr>
      <w:tr w:rsidR="008E18C4">
        <w:tblPrEx>
          <w:tblCellMar>
            <w:top w:w="0" w:type="dxa"/>
            <w:bottom w:w="0" w:type="dxa"/>
          </w:tblCellMar>
        </w:tblPrEx>
        <w:tc>
          <w:tcPr>
            <w:tcW w:w="4320" w:type="dxa"/>
            <w:vAlign w:val="bottom"/>
          </w:tcPr>
          <w:p w:rsidR="008E18C4" w:rsidRPr="00B70590" w:rsidRDefault="008E18C4">
            <w:pPr>
              <w:pStyle w:val="TableText"/>
            </w:pPr>
            <w:r w:rsidRPr="00B70590">
              <w:t>Urticaria</w:t>
            </w:r>
          </w:p>
        </w:tc>
      </w:tr>
      <w:tr w:rsidR="008E18C4">
        <w:tblPrEx>
          <w:tblCellMar>
            <w:top w:w="0" w:type="dxa"/>
            <w:bottom w:w="0" w:type="dxa"/>
          </w:tblCellMar>
        </w:tblPrEx>
        <w:tc>
          <w:tcPr>
            <w:tcW w:w="4320" w:type="dxa"/>
            <w:vAlign w:val="bottom"/>
          </w:tcPr>
          <w:p w:rsidR="008E18C4" w:rsidRPr="00B70590" w:rsidRDefault="008E18C4">
            <w:pPr>
              <w:pStyle w:val="TableText"/>
            </w:pPr>
            <w:r w:rsidRPr="00B70590">
              <w:t>Other: free-text data required on new entries</w:t>
            </w:r>
          </w:p>
        </w:tc>
      </w:tr>
    </w:tbl>
    <w:p w:rsidR="00EE2299" w:rsidRDefault="00EE2299">
      <w:pPr>
        <w:pStyle w:val="Heading2"/>
      </w:pPr>
      <w:bookmarkStart w:id="514" w:name="_Maintain_Specimen"/>
      <w:bookmarkStart w:id="515" w:name="_Maintain_Specimen_1"/>
      <w:bookmarkStart w:id="516" w:name="_Toc63680372"/>
      <w:bookmarkEnd w:id="505"/>
      <w:bookmarkEnd w:id="514"/>
      <w:bookmarkEnd w:id="515"/>
    </w:p>
    <w:p w:rsidR="002A21AE" w:rsidRDefault="00EE2299">
      <w:pPr>
        <w:pStyle w:val="Heading2"/>
      </w:pPr>
      <w:r>
        <w:br w:type="page"/>
      </w:r>
      <w:bookmarkStart w:id="517" w:name="_Toc459900153"/>
      <w:r w:rsidR="002A21AE">
        <w:lastRenderedPageBreak/>
        <w:t>Maintain Patient Records</w:t>
      </w:r>
      <w:bookmarkEnd w:id="516"/>
      <w:bookmarkEnd w:id="517"/>
      <w:r w:rsidR="002A21AE">
        <w:fldChar w:fldCharType="begin"/>
      </w:r>
      <w:r w:rsidR="002A21AE">
        <w:instrText xml:space="preserve"> XE </w:instrText>
      </w:r>
      <w:r w:rsidR="00FA7E65">
        <w:instrText>“</w:instrText>
      </w:r>
      <w:r w:rsidR="002A21AE">
        <w:instrText>Maintain Patient Records</w:instrText>
      </w:r>
      <w:r w:rsidR="00FA7E65">
        <w:instrText>”</w:instrText>
      </w:r>
      <w:r w:rsidR="002A21AE">
        <w:instrText xml:space="preserve"> </w:instrText>
      </w:r>
      <w:r w:rsidR="002A21AE">
        <w:fldChar w:fldCharType="end"/>
      </w:r>
    </w:p>
    <w:p w:rsidR="002A21AE" w:rsidRDefault="002A21AE">
      <w:pPr>
        <w:pStyle w:val="Heading3"/>
      </w:pPr>
      <w:bookmarkStart w:id="518" w:name="_Toc459900154"/>
      <w:r>
        <w:t>Special Instructions &amp; Transfusion Requirements: Enter a Transfusion Requirement</w:t>
      </w:r>
      <w:bookmarkEnd w:id="518"/>
      <w:r w:rsidRPr="00523956">
        <w:rPr>
          <w:rFonts w:ascii="Arial Bold" w:hAnsi="Arial Bold"/>
          <w:vanish/>
        </w:rPr>
        <w:fldChar w:fldCharType="begin"/>
      </w:r>
      <w:r w:rsidRPr="00523956">
        <w:rPr>
          <w:rFonts w:ascii="Arial Bold" w:hAnsi="Arial Bold"/>
          <w:vanish/>
        </w:rPr>
        <w:instrText xml:space="preserve"> XE </w:instrText>
      </w:r>
      <w:r w:rsidR="00FA7E65" w:rsidRPr="00523956">
        <w:rPr>
          <w:rFonts w:ascii="Arial Bold" w:hAnsi="Arial Bold"/>
          <w:vanish/>
        </w:rPr>
        <w:instrText>“</w:instrText>
      </w:r>
      <w:r w:rsidRPr="00523956">
        <w:rPr>
          <w:rFonts w:ascii="Arial Bold" w:hAnsi="Arial Bold"/>
          <w:vanish/>
        </w:rPr>
        <w:instrText>Special Instructions &amp; Transfusion Requirements\: Enter a Transfusion Requirement</w:instrText>
      </w:r>
      <w:r w:rsidR="00FA7E65" w:rsidRPr="00523956">
        <w:rPr>
          <w:rFonts w:ascii="Arial Bold" w:hAnsi="Arial Bold"/>
          <w:vanish/>
        </w:rPr>
        <w:instrText>”</w:instrText>
      </w:r>
      <w:r w:rsidRPr="00523956">
        <w:rPr>
          <w:rFonts w:ascii="Arial Bold" w:hAnsi="Arial Bold"/>
          <w:vanish/>
        </w:rPr>
        <w:instrText xml:space="preserve"> </w:instrText>
      </w:r>
      <w:r w:rsidRPr="00523956">
        <w:rPr>
          <w:rFonts w:ascii="Arial Bold" w:hAnsi="Arial Bold"/>
          <w:vanish/>
        </w:rPr>
        <w:fldChar w:fldCharType="end"/>
      </w:r>
      <w:r w:rsidRPr="00523956">
        <w:rPr>
          <w:rFonts w:ascii="Arial Bold" w:hAnsi="Arial Bold"/>
          <w:vanish/>
        </w:rPr>
        <w:t xml:space="preserve"> UC_38</w:t>
      </w:r>
    </w:p>
    <w:p w:rsidR="002A21AE" w:rsidRDefault="002A21AE" w:rsidP="00FA7E65">
      <w:pPr>
        <w:pStyle w:val="BodyText"/>
      </w:pPr>
      <w:r>
        <w:t>The user enter</w:t>
      </w:r>
      <w:r w:rsidR="007C7B3C">
        <w:t>s</w:t>
      </w:r>
      <w:r>
        <w:t xml:space="preserve"> or inactivate</w:t>
      </w:r>
      <w:r w:rsidR="007C7B3C">
        <w:t>s</w:t>
      </w:r>
      <w:r>
        <w:t xml:space="preserve"> the Transfusion Requirements (TRs) in the patient’s record by division. </w:t>
      </w:r>
    </w:p>
    <w:p w:rsidR="002A21AE" w:rsidRDefault="002A21AE">
      <w:pPr>
        <w:pStyle w:val="Heading4"/>
      </w:pPr>
      <w:r>
        <w:t>Assumptions</w:t>
      </w:r>
      <w:r>
        <w:rPr>
          <w:b w:val="0"/>
        </w:rPr>
        <w:t xml:space="preserve"> </w:t>
      </w:r>
    </w:p>
    <w:p w:rsidR="002A21AE" w:rsidRDefault="002A21AE">
      <w:pPr>
        <w:pStyle w:val="ListBullet"/>
      </w:pPr>
      <w:r>
        <w:t>The patient exists in the VBECS database.</w:t>
      </w:r>
    </w:p>
    <w:p w:rsidR="002A21AE" w:rsidRDefault="002A21AE">
      <w:pPr>
        <w:pStyle w:val="Heading4"/>
      </w:pPr>
      <w:r>
        <w:t>Outcome</w:t>
      </w:r>
    </w:p>
    <w:p w:rsidR="002A21AE" w:rsidRDefault="002A21AE">
      <w:pPr>
        <w:pStyle w:val="ListBullet"/>
      </w:pPr>
      <w:r>
        <w:t>VBECS displays TRs to all divisions within a multidivisional database. The division in which they were entered maintains and controls them.</w:t>
      </w:r>
    </w:p>
    <w:p w:rsidR="002A21AE" w:rsidRDefault="002A21AE">
      <w:pPr>
        <w:pStyle w:val="ListBullet"/>
      </w:pPr>
      <w:r>
        <w:t>VBECS maintains a historic record of changes to the patient’s TRs.</w:t>
      </w:r>
    </w:p>
    <w:p w:rsidR="002A21AE" w:rsidRDefault="002A21AE">
      <w:pPr>
        <w:pStyle w:val="Heading4"/>
      </w:pPr>
      <w:r>
        <w:t>Limitations and Restrictions</w:t>
      </w:r>
      <w:r>
        <w:rPr>
          <w:b w:val="0"/>
        </w:rPr>
        <w:t xml:space="preserve"> </w:t>
      </w:r>
    </w:p>
    <w:p w:rsidR="002A21AE" w:rsidRDefault="002A21AE">
      <w:pPr>
        <w:pStyle w:val="ListBullet"/>
      </w:pPr>
      <w:r>
        <w:t>Inactivation is defined and restricted by security level.</w:t>
      </w:r>
    </w:p>
    <w:p w:rsidR="002A21AE" w:rsidRDefault="00CA6E27">
      <w:pPr>
        <w:pStyle w:val="ListBullet"/>
      </w:pPr>
      <w:r w:rsidRPr="00CA6E27">
        <w:rPr>
          <w:bCs/>
        </w:rPr>
        <w:t>VistA</w:t>
      </w:r>
      <w:r w:rsidR="002A21AE">
        <w:t xml:space="preserve"> Special Instructions (SIs) from </w:t>
      </w:r>
      <w:r w:rsidR="00150930">
        <w:t>database conversion</w:t>
      </w:r>
      <w:r w:rsidR="002A21AE">
        <w:t xml:space="preserve"> do not become TRs: they remain SIs. SIs are information only and are not enforced unless entered in </w:t>
      </w:r>
      <w:r w:rsidR="001F561F">
        <w:t xml:space="preserve">the </w:t>
      </w:r>
      <w:r w:rsidR="0077268F">
        <w:t>Component</w:t>
      </w:r>
      <w:r w:rsidR="001F561F">
        <w:t xml:space="preserve"> </w:t>
      </w:r>
      <w:r w:rsidR="002A21AE">
        <w:t>R</w:t>
      </w:r>
      <w:r w:rsidR="001F561F">
        <w:t>equirement</w:t>
      </w:r>
      <w:r w:rsidR="002A21AE">
        <w:t>s</w:t>
      </w:r>
      <w:r w:rsidR="001F561F">
        <w:t xml:space="preserve"> tab in Special Instructions &amp; Transfusion Requirements</w:t>
      </w:r>
      <w:r w:rsidR="002A21AE">
        <w:t>.</w:t>
      </w:r>
    </w:p>
    <w:p w:rsidR="002A21AE" w:rsidRDefault="002A21AE">
      <w:pPr>
        <w:pStyle w:val="Heading4"/>
      </w:pPr>
      <w:r>
        <w:t>Additional Information</w:t>
      </w:r>
    </w:p>
    <w:p w:rsidR="002A21AE" w:rsidRDefault="002A21AE">
      <w:pPr>
        <w:pStyle w:val="ListBullet"/>
      </w:pPr>
      <w:r>
        <w:t>No current patient specimen or order is required to access this option.</w:t>
      </w:r>
    </w:p>
    <w:p w:rsidR="002A21AE" w:rsidRDefault="002A21AE">
      <w:pPr>
        <w:pStyle w:val="ListBullet"/>
      </w:pPr>
      <w:r>
        <w:t>When TRs are not met, VBECS prohibits the printing of the Caution Tag and Blood Transfusion Record Form (BTRF) and prevents issue of the blood unit.</w:t>
      </w:r>
    </w:p>
    <w:p w:rsidR="002A21AE" w:rsidRDefault="002A21AE">
      <w:pPr>
        <w:pStyle w:val="ListBullet"/>
      </w:pPr>
      <w:r>
        <w:rPr>
          <w:rFonts w:ascii="Arial" w:hAnsi="Arial" w:cs="Arial"/>
          <w:vanish/>
          <w:spacing w:val="0"/>
          <w:sz w:val="18"/>
        </w:rPr>
        <w:t xml:space="preserve">BR_38.04 </w:t>
      </w:r>
      <w:r>
        <w:t xml:space="preserve">User-entered antigen negative requirements are persistent. VBECS enforces them even when they are in conflict with the division’s antibody table settings. </w:t>
      </w:r>
    </w:p>
    <w:p w:rsidR="002A21AE" w:rsidRDefault="002A21AE">
      <w:pPr>
        <w:pStyle w:val="ListBullet"/>
      </w:pPr>
      <w:r>
        <w:t xml:space="preserve">Patient antibody identifications from </w:t>
      </w:r>
      <w:r w:rsidR="00CA6E27" w:rsidRPr="00CA6E27">
        <w:rPr>
          <w:bCs/>
        </w:rPr>
        <w:t>VistA</w:t>
      </w:r>
      <w:r>
        <w:t xml:space="preserve"> are included in the database conversion. </w:t>
      </w:r>
    </w:p>
    <w:p w:rsidR="002A21AE" w:rsidRDefault="002A21AE">
      <w:pPr>
        <w:pStyle w:val="ListBullet"/>
      </w:pPr>
      <w:r>
        <w:t xml:space="preserve">By default, inactivation of an antibody removes requirements for antigen negative blood derived from the antibody entry. </w:t>
      </w:r>
    </w:p>
    <w:p w:rsidR="002A21AE" w:rsidRDefault="002A21AE">
      <w:pPr>
        <w:pStyle w:val="Heading4"/>
        <w:rPr>
          <w:b w:val="0"/>
        </w:rPr>
      </w:pPr>
      <w:r>
        <w:t>User Roles with Access to This Option</w:t>
      </w:r>
      <w:r>
        <w:rPr>
          <w:b w:val="0"/>
        </w:rPr>
        <w:t xml:space="preserve"> </w:t>
      </w:r>
    </w:p>
    <w:p w:rsidR="00AE271A" w:rsidRDefault="00AE271A" w:rsidP="00AE271A">
      <w:pPr>
        <w:pStyle w:val="Roles"/>
      </w:pPr>
      <w:r>
        <w:rPr>
          <w:snapToGrid w:val="0"/>
        </w:rPr>
        <w:t>All users</w:t>
      </w:r>
    </w:p>
    <w:p w:rsidR="002A21AE" w:rsidRDefault="002A21AE">
      <w:pPr>
        <w:pStyle w:val="Heading4"/>
      </w:pPr>
      <w:r>
        <w:t>Special Instructions &amp; Transfusion Requirements: Enter a Transfusion Requirement</w:t>
      </w:r>
    </w:p>
    <w:p w:rsidR="002A21AE" w:rsidRDefault="002A21AE" w:rsidP="00FA7E65">
      <w:pPr>
        <w:pStyle w:val="BodyText"/>
      </w:pPr>
      <w:r>
        <w:t xml:space="preserve">The user assigns patient blood component requirements or indicates the need for antigen negative blood to be applied during blood component selection and issue. </w:t>
      </w:r>
    </w:p>
    <w:p w:rsidR="002A21AE" w:rsidRDefault="002A21AE" w:rsidP="00FA7E65">
      <w:pPr>
        <w:pStyle w:val="BodyText"/>
      </w:pPr>
      <w:r>
        <w:t xml:space="preserve">VBECS displays TR data and applies requirements during blood unit selection. </w:t>
      </w:r>
    </w:p>
    <w:p w:rsidR="002A21AE" w:rsidRDefault="002A21AE" w:rsidP="00FA7E65">
      <w:pPr>
        <w:pStyle w:val="BodyText"/>
        <w:rPr>
          <w:b/>
        </w:rPr>
      </w:pPr>
      <w:r>
        <w:t xml:space="preserve">All items in these TR categories indicate the need for pre-transfusion processing of a unit before the unit may be issued to the patient. All users may activate entries. </w:t>
      </w:r>
      <w:r w:rsidR="00E57896" w:rsidRPr="00EC7489">
        <w:rPr>
          <w:rFonts w:ascii="Wingdings 3" w:hAnsi="Wingdings 3" w:cs="Wingdings"/>
        </w:rPr>
        <w:t></w:t>
      </w:r>
      <w:r w:rsidR="00E57896" w:rsidRPr="00EC7489">
        <w:rPr>
          <w:rFonts w:ascii="Wingdings 3" w:hAnsi="Wingdings 3" w:cs="Wingdings"/>
        </w:rPr>
        <w:t></w:t>
      </w:r>
      <w:r w:rsidR="00E57896" w:rsidRPr="00EC7489">
        <w:rPr>
          <w:rFonts w:ascii="Wingdings 3" w:hAnsi="Wingdings 3" w:cs="Wingdings"/>
        </w:rPr>
        <w:t></w:t>
      </w:r>
      <w:r w:rsidR="00E57896" w:rsidRPr="00EC7489">
        <w:rPr>
          <w:rFonts w:ascii="Wingdings 3" w:hAnsi="Wingdings 3" w:cs="Wingdings"/>
        </w:rPr>
        <w:t></w:t>
      </w:r>
      <w:r w:rsidR="00E57896">
        <w:t xml:space="preserve"> </w:t>
      </w:r>
      <w:r>
        <w:t xml:space="preserve">Only a </w:t>
      </w:r>
      <w:r>
        <w:rPr>
          <w:snapToGrid w:val="0"/>
        </w:rPr>
        <w:t xml:space="preserve">Traditional Supervisor </w:t>
      </w:r>
      <w:r>
        <w:t xml:space="preserve">may inactivate a component requirement for a patient. A patient may have one or more TRs: </w:t>
      </w:r>
      <w:r>
        <w:rPr>
          <w:vanish/>
        </w:rPr>
        <w:t>BR_38.01</w:t>
      </w:r>
    </w:p>
    <w:p w:rsidR="002A21AE" w:rsidRDefault="002A21AE">
      <w:pPr>
        <w:pStyle w:val="ListBullet"/>
      </w:pPr>
      <w:r>
        <w:t>Irradiate cellular products</w:t>
      </w:r>
      <w:r w:rsidR="00550AB5">
        <w:t>*</w:t>
      </w:r>
      <w:r>
        <w:t xml:space="preserve"> </w:t>
      </w:r>
    </w:p>
    <w:p w:rsidR="002A21AE" w:rsidRDefault="002A21AE">
      <w:pPr>
        <w:pStyle w:val="ListBullet"/>
      </w:pPr>
      <w:r>
        <w:t>Leukoreduce cellular products</w:t>
      </w:r>
    </w:p>
    <w:p w:rsidR="002A21AE" w:rsidRDefault="002A21AE">
      <w:pPr>
        <w:pStyle w:val="ListBullet"/>
      </w:pPr>
      <w:r>
        <w:t>Washed RBC products</w:t>
      </w:r>
    </w:p>
    <w:p w:rsidR="002A21AE" w:rsidRDefault="002A21AE">
      <w:pPr>
        <w:pStyle w:val="ListBullet"/>
      </w:pPr>
      <w:r>
        <w:lastRenderedPageBreak/>
        <w:t>Washed PLT products</w:t>
      </w:r>
    </w:p>
    <w:p w:rsidR="002A21AE" w:rsidRDefault="002A21AE">
      <w:pPr>
        <w:pStyle w:val="ListBullet"/>
      </w:pPr>
      <w:r>
        <w:t>Sickle Cell Negative RBC products</w:t>
      </w:r>
    </w:p>
    <w:p w:rsidR="002A21AE" w:rsidRDefault="002A21AE">
      <w:pPr>
        <w:pStyle w:val="ListBullet"/>
      </w:pPr>
      <w:r>
        <w:t>CMV negative cellular products</w:t>
      </w:r>
      <w:r w:rsidR="00550AB5">
        <w:t>*</w:t>
      </w:r>
    </w:p>
    <w:p w:rsidR="002A21AE" w:rsidRDefault="002A21AE">
      <w:pPr>
        <w:pStyle w:val="ListBullet"/>
      </w:pPr>
      <w:r>
        <w:t>Antibodies Identified</w:t>
      </w:r>
    </w:p>
    <w:p w:rsidR="002A21AE" w:rsidRDefault="00550AB5">
      <w:pPr>
        <w:pStyle w:val="ListBullet"/>
      </w:pPr>
      <w:r>
        <w:t>Antigen Negative RBC</w:t>
      </w:r>
      <w:r w:rsidR="002A21AE">
        <w:t>: A user or VBECS may create an antigen negative requirement.</w:t>
      </w:r>
    </w:p>
    <w:p w:rsidR="002A21AE" w:rsidRDefault="00550AB5">
      <w:pPr>
        <w:pStyle w:val="BodyText"/>
      </w:pPr>
      <w:r>
        <w:t>*All product types in OTHER are evaluated for the requirement including those that are non-cellular.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pPr>
              <w:pStyle w:val="TableTextNumbers"/>
            </w:pPr>
            <w:r>
              <w:t xml:space="preserve">Select </w:t>
            </w:r>
            <w:r>
              <w:rPr>
                <w:b/>
              </w:rPr>
              <w:t>Patients</w:t>
            </w:r>
            <w:r>
              <w:t xml:space="preserve"> from the main menu.</w:t>
            </w:r>
          </w:p>
          <w:p w:rsidR="002A21AE" w:rsidRDefault="002A21AE">
            <w:pPr>
              <w:pStyle w:val="TableTextNumbersContinued"/>
            </w:pPr>
          </w:p>
          <w:p w:rsidR="002A21AE" w:rsidRDefault="002A21AE" w:rsidP="0044084A">
            <w:pPr>
              <w:pStyle w:val="TableTextNumbersContinued"/>
            </w:pPr>
            <w:r>
              <w:t xml:space="preserve">Select </w:t>
            </w:r>
            <w:r>
              <w:rPr>
                <w:b/>
              </w:rPr>
              <w:t>Special Instructions &amp; Transfusion Requirements</w:t>
            </w:r>
            <w:r>
              <w:t>,</w:t>
            </w:r>
            <w:r w:rsidR="0044084A">
              <w:t xml:space="preserve"> or</w:t>
            </w:r>
          </w:p>
          <w:p w:rsidR="0044084A" w:rsidRDefault="0044084A" w:rsidP="0044084A">
            <w:pPr>
              <w:pStyle w:val="TableTextNumbersContinued"/>
            </w:pPr>
          </w:p>
          <w:p w:rsidR="0044084A" w:rsidRPr="0044084A" w:rsidRDefault="00B3702D" w:rsidP="00B3702D">
            <w:pPr>
              <w:pStyle w:val="TableTextNumbersContinued"/>
            </w:pPr>
            <w:r>
              <w:t xml:space="preserve">Click </w:t>
            </w:r>
            <w:r w:rsidR="00634BFC">
              <w:rPr>
                <w:noProof/>
              </w:rPr>
              <w:drawing>
                <wp:inline distT="0" distB="0" distL="0" distR="0">
                  <wp:extent cx="152400" cy="152400"/>
                  <wp:effectExtent l="0" t="0" r="0" b="0"/>
                  <wp:docPr id="240" name="Picture 240" descr="small_si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small_si_t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in the Patient Information Toolbar, when it is active.</w:t>
            </w:r>
          </w:p>
        </w:tc>
        <w:tc>
          <w:tcPr>
            <w:tcW w:w="6120" w:type="dxa"/>
          </w:tcPr>
          <w:p w:rsidR="002A21AE" w:rsidRDefault="002A21AE">
            <w:pPr>
              <w:pStyle w:val="TableTextBullet"/>
            </w:pPr>
            <w:r>
              <w:t>Displays options for processing patient-related functions.</w:t>
            </w:r>
          </w:p>
          <w:p w:rsidR="002A21AE" w:rsidRDefault="002A21AE">
            <w:pPr>
              <w:pStyle w:val="TableTextBullet"/>
            </w:pPr>
            <w:r>
              <w:t xml:space="preserve">Displays the option to select a patient, if one is not already selected. </w:t>
            </w:r>
          </w:p>
          <w:p w:rsidR="002A21AE" w:rsidRDefault="002A21AE">
            <w:pPr>
              <w:pStyle w:val="TableText"/>
              <w:rPr>
                <w:b/>
                <w:bCs/>
                <w:szCs w:val="18"/>
              </w:rPr>
            </w:pPr>
          </w:p>
          <w:p w:rsidR="002A21AE" w:rsidRDefault="00634BFC">
            <w:pPr>
              <w:pStyle w:val="TableText"/>
              <w:rPr>
                <w:b/>
                <w:bCs/>
                <w:szCs w:val="18"/>
              </w:rPr>
            </w:pPr>
            <w:r>
              <w:rPr>
                <w:b/>
                <w:bCs/>
                <w:noProof/>
              </w:rPr>
              <mc:AlternateContent>
                <mc:Choice Requires="wps">
                  <w:drawing>
                    <wp:anchor distT="0" distB="0" distL="114300" distR="114300" simplePos="0" relativeHeight="25160140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32" name="Lin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2"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plSFQIAAC0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M1i&#10;mVI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t xml:space="preserve">The user may also click </w:t>
            </w:r>
            <w:r>
              <w:rPr>
                <w:b/>
              </w:rPr>
              <w:t>New SI or TR</w:t>
            </w:r>
            <w:r>
              <w:t xml:space="preserve"> in Patient Testing to access this option.</w:t>
            </w:r>
          </w:p>
          <w:p w:rsidR="0044084A" w:rsidRDefault="0044084A" w:rsidP="00266B50">
            <w:pPr>
              <w:pStyle w:val="NotesText"/>
            </w:pPr>
            <w:r>
              <w:t xml:space="preserve"> </w:t>
            </w:r>
          </w:p>
        </w:tc>
      </w:tr>
      <w:tr w:rsidR="002A21AE">
        <w:tblPrEx>
          <w:tblCellMar>
            <w:top w:w="0" w:type="dxa"/>
            <w:bottom w:w="0" w:type="dxa"/>
          </w:tblCellMar>
        </w:tblPrEx>
        <w:tc>
          <w:tcPr>
            <w:tcW w:w="3240" w:type="dxa"/>
          </w:tcPr>
          <w:p w:rsidR="002A21AE" w:rsidRDefault="002A21AE">
            <w:pPr>
              <w:pStyle w:val="TableTextNumbers"/>
            </w:pPr>
            <w:r>
              <w:t xml:space="preserve">Select the </w:t>
            </w:r>
            <w:r>
              <w:rPr>
                <w:b/>
              </w:rPr>
              <w:t>Antigen Negative RBCs</w:t>
            </w:r>
            <w:r>
              <w:t>,</w:t>
            </w:r>
            <w:r>
              <w:rPr>
                <w:b/>
              </w:rPr>
              <w:t xml:space="preserve"> Component Requirements</w:t>
            </w:r>
            <w:r>
              <w:t>,</w:t>
            </w:r>
            <w:r>
              <w:rPr>
                <w:b/>
              </w:rPr>
              <w:t xml:space="preserve"> </w:t>
            </w:r>
            <w:r>
              <w:t xml:space="preserve">or </w:t>
            </w:r>
            <w:r>
              <w:rPr>
                <w:b/>
              </w:rPr>
              <w:t xml:space="preserve">Antibodies Identified </w:t>
            </w:r>
            <w:r w:rsidRPr="00CC3C89">
              <w:t>tab</w:t>
            </w:r>
            <w:r w:rsidR="00994FF2" w:rsidRPr="00CC3C89">
              <w:t xml:space="preserve"> </w:t>
            </w:r>
            <w:r w:rsidR="00994FF2" w:rsidRPr="00994FF2">
              <w:t>(</w:t>
            </w:r>
            <w:r w:rsidR="00994FF2">
              <w:fldChar w:fldCharType="begin"/>
            </w:r>
            <w:r w:rsidR="00994FF2">
              <w:instrText xml:space="preserve"> REF _Ref127094922 \h </w:instrText>
            </w:r>
            <w:r w:rsidR="00994FF2">
              <w:fldChar w:fldCharType="separate"/>
            </w:r>
            <w:r w:rsidR="005F38BC">
              <w:t xml:space="preserve">Figure </w:t>
            </w:r>
            <w:r w:rsidR="005F38BC">
              <w:rPr>
                <w:noProof/>
              </w:rPr>
              <w:t>129</w:t>
            </w:r>
            <w:r w:rsidR="00994FF2">
              <w:fldChar w:fldCharType="end"/>
            </w:r>
            <w:r w:rsidR="00994FF2" w:rsidRPr="00994FF2">
              <w:t>)</w:t>
            </w:r>
            <w:r>
              <w:t>.</w:t>
            </w:r>
          </w:p>
          <w:p w:rsidR="002A21AE" w:rsidRDefault="002A21AE">
            <w:pPr>
              <w:pStyle w:val="TableTextNumbersContinued"/>
              <w:rPr>
                <w:b/>
                <w:bCs/>
              </w:rPr>
            </w:pPr>
          </w:p>
          <w:p w:rsidR="002A21AE" w:rsidRDefault="002A21AE">
            <w:pPr>
              <w:pStyle w:val="TableText"/>
            </w:pPr>
          </w:p>
        </w:tc>
        <w:tc>
          <w:tcPr>
            <w:tcW w:w="6120" w:type="dxa"/>
          </w:tcPr>
          <w:p w:rsidR="002A21AE" w:rsidRDefault="002A21AE">
            <w:pPr>
              <w:pStyle w:val="TableTextBullet"/>
            </w:pPr>
            <w:r>
              <w:t>Displays the patient’s TRs.</w:t>
            </w:r>
          </w:p>
          <w:p w:rsidR="002A21AE" w:rsidRDefault="002A21AE">
            <w:pPr>
              <w:pStyle w:val="TableTextBullet"/>
            </w:pPr>
            <w:r>
              <w:t>Allows the user to add or inactivate information based on his security level.</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0243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31" name="Line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3" o:spid="_x0000_s1026"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LGFQIAAC0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Dr5&#10;EsY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1E4DCC" w:rsidRDefault="002A21AE" w:rsidP="00DB7814">
            <w:pPr>
              <w:pStyle w:val="NotesText"/>
            </w:pPr>
            <w:r>
              <w:rPr>
                <w:rFonts w:cs="Arial"/>
                <w:vanish/>
              </w:rPr>
              <w:t xml:space="preserve">BR_38.10 </w:t>
            </w:r>
            <w:r>
              <w:t xml:space="preserve">When a user accesses antigen negative requirements, </w:t>
            </w:r>
            <w:r w:rsidR="00C93B6B">
              <w:t xml:space="preserve">VBECS </w:t>
            </w:r>
            <w:r w:rsidR="005B2FFA">
              <w:t xml:space="preserve">displays and enforces the antigen negative requirement </w:t>
            </w:r>
            <w:r w:rsidR="00C93B6B">
              <w:t>for the patient, regardless of the division setting for the antibody.</w:t>
            </w:r>
          </w:p>
          <w:p w:rsidR="001E4DCC" w:rsidRDefault="001E4DCC" w:rsidP="00DB7814">
            <w:pPr>
              <w:pStyle w:val="NotesText"/>
            </w:pPr>
          </w:p>
          <w:p w:rsidR="002A21AE" w:rsidRDefault="00C93B6B" w:rsidP="00DB7814">
            <w:pPr>
              <w:pStyle w:val="NotesText"/>
            </w:pPr>
            <w:r>
              <w:t xml:space="preserve">When a user accesses </w:t>
            </w:r>
            <w:r w:rsidR="00AB225C">
              <w:t xml:space="preserve">the </w:t>
            </w:r>
            <w:r>
              <w:t>Antibodies Identified</w:t>
            </w:r>
            <w:r w:rsidR="00AB225C">
              <w:t xml:space="preserve"> tab</w:t>
            </w:r>
            <w:r>
              <w:t xml:space="preserve">, </w:t>
            </w:r>
            <w:r w:rsidR="00AB225C">
              <w:t>VBECS compares the patient’s a</w:t>
            </w:r>
            <w:r w:rsidR="002A21AE">
              <w:t xml:space="preserve">ntibodies with the division’s antibody table setting. When the antibody is set to require antigen negative blood at issue, VBECS displays and enforces the antigen negative requirement. </w:t>
            </w:r>
          </w:p>
        </w:tc>
      </w:tr>
      <w:tr w:rsidR="002A21AE">
        <w:tblPrEx>
          <w:tblCellMar>
            <w:top w:w="0" w:type="dxa"/>
            <w:bottom w:w="0" w:type="dxa"/>
          </w:tblCellMar>
        </w:tblPrEx>
        <w:tc>
          <w:tcPr>
            <w:tcW w:w="3240" w:type="dxa"/>
          </w:tcPr>
          <w:p w:rsidR="002A21AE" w:rsidRDefault="002A21AE">
            <w:pPr>
              <w:pStyle w:val="TableTextNumbers"/>
            </w:pPr>
            <w:r>
              <w:t>Select a TR from the pick list, or enter an antigen or antibody, as the tab allows.</w:t>
            </w:r>
          </w:p>
          <w:p w:rsidR="002A21AE" w:rsidRDefault="002A21AE">
            <w:pPr>
              <w:pStyle w:val="TableTextNumbersContinued"/>
            </w:pPr>
          </w:p>
          <w:p w:rsidR="002A21AE" w:rsidRDefault="002A21AE">
            <w:pPr>
              <w:pStyle w:val="TableTextNumbersContinued"/>
            </w:pPr>
            <w:r>
              <w:t xml:space="preserve">Click </w:t>
            </w:r>
            <w:r>
              <w:rPr>
                <w:b/>
              </w:rPr>
              <w:t>Add</w:t>
            </w:r>
            <w:r>
              <w:t xml:space="preserve"> to move the selection to the patient’s record.</w:t>
            </w:r>
          </w:p>
          <w:p w:rsidR="002A21AE" w:rsidRDefault="002A21AE">
            <w:pPr>
              <w:pStyle w:val="TableTextNumbersContinued"/>
            </w:pPr>
          </w:p>
          <w:p w:rsidR="002A21AE" w:rsidRDefault="002A21AE">
            <w:pPr>
              <w:pStyle w:val="TableTextNumbersContinued"/>
            </w:pPr>
            <w:r>
              <w:t xml:space="preserve">Click </w:t>
            </w:r>
            <w:r>
              <w:rPr>
                <w:b/>
              </w:rPr>
              <w:t>OK</w:t>
            </w:r>
            <w:r>
              <w:t xml:space="preserve"> when all TRs are selected to save them to the patient’s record.</w:t>
            </w:r>
          </w:p>
          <w:p w:rsidR="002A21AE" w:rsidRDefault="002A21AE">
            <w:pPr>
              <w:pStyle w:val="TableTextNumbersContinued"/>
            </w:pPr>
          </w:p>
          <w:p w:rsidR="002A21AE" w:rsidRDefault="002A21AE">
            <w:pPr>
              <w:pStyle w:val="TableTextNumbersContinued"/>
            </w:pPr>
            <w:r>
              <w:t xml:space="preserve">Click </w:t>
            </w:r>
            <w:r>
              <w:rPr>
                <w:b/>
              </w:rPr>
              <w:t>Yes</w:t>
            </w:r>
            <w:r>
              <w:t xml:space="preserve"> to confirm changes and exit.</w:t>
            </w:r>
          </w:p>
        </w:tc>
        <w:tc>
          <w:tcPr>
            <w:tcW w:w="6120" w:type="dxa"/>
          </w:tcPr>
          <w:p w:rsidR="002A21AE" w:rsidRDefault="002A21AE">
            <w:pPr>
              <w:pStyle w:val="TableTextBullet"/>
            </w:pPr>
            <w:r>
              <w:rPr>
                <w:rFonts w:cs="Arial"/>
                <w:vanish/>
              </w:rPr>
              <w:t xml:space="preserve">BR_38.06 </w:t>
            </w:r>
            <w:r>
              <w:t xml:space="preserve">Allows multiple selections from the Component Requirements, Antibodies Identified, and Antigen Negative tabs. </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9936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30" name="Lin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0" o:spid="_x0000_s1026" style="position:absolute;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CyN&#10;x4Q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TableText"/>
            </w:pPr>
          </w:p>
          <w:p w:rsidR="002A21AE" w:rsidRDefault="002A21AE">
            <w:pPr>
              <w:pStyle w:val="NotesText"/>
            </w:pPr>
            <w:r>
              <w:t>VBECS applies the TR to component classes, as indicated.</w:t>
            </w:r>
          </w:p>
          <w:p w:rsidR="002A21AE" w:rsidRDefault="002A21AE">
            <w:pPr>
              <w:pStyle w:val="NotesText"/>
            </w:pPr>
          </w:p>
          <w:p w:rsidR="002A21AE" w:rsidRDefault="002A21AE">
            <w:pPr>
              <w:pStyle w:val="NotesText"/>
            </w:pPr>
            <w:r>
              <w:rPr>
                <w:rFonts w:cs="Arial"/>
                <w:vanish/>
              </w:rPr>
              <w:t xml:space="preserve">BR_38.16 </w:t>
            </w:r>
            <w:r>
              <w:t xml:space="preserve">The user may not add duplicate SIs or TRs in the same session, but may duplicate them in another session. </w:t>
            </w:r>
          </w:p>
          <w:p w:rsidR="002A21AE" w:rsidRDefault="002A21AE">
            <w:pPr>
              <w:pStyle w:val="NotesText"/>
            </w:pPr>
          </w:p>
          <w:p w:rsidR="002A21AE" w:rsidRDefault="002A21AE">
            <w:pPr>
              <w:pStyle w:val="NotesText"/>
            </w:pPr>
            <w:r>
              <w:rPr>
                <w:rFonts w:cs="Arial"/>
                <w:vanish/>
              </w:rPr>
              <w:t xml:space="preserve">BR_38.07 </w:t>
            </w:r>
            <w:r>
              <w:t xml:space="preserve">The division code and date of entry are associated with the entered component or antigen negative requirement, or antibody specificity so that other divisions will to know whom to contact for further information, when needed. The original entries may have been made through Patient Testing (associated with an antibody identification) or TRs from any division within a multidivisional database. </w:t>
            </w:r>
          </w:p>
        </w:tc>
      </w:tr>
      <w:tr w:rsidR="002A21AE">
        <w:tblPrEx>
          <w:tblCellMar>
            <w:top w:w="0" w:type="dxa"/>
            <w:bottom w:w="0" w:type="dxa"/>
          </w:tblCellMar>
        </w:tblPrEx>
        <w:tc>
          <w:tcPr>
            <w:tcW w:w="3240" w:type="dxa"/>
          </w:tcPr>
          <w:p w:rsidR="002A21AE" w:rsidRDefault="002A21AE">
            <w:pPr>
              <w:pStyle w:val="TableTextNumbers"/>
            </w:pPr>
            <w:r>
              <w:t>Select the TR to be inactivated</w:t>
            </w:r>
            <w:r w:rsidR="005346F4">
              <w:t xml:space="preserve"> (</w:t>
            </w:r>
            <w:r w:rsidR="005346F4">
              <w:fldChar w:fldCharType="begin"/>
            </w:r>
            <w:r w:rsidR="005346F4">
              <w:instrText xml:space="preserve"> REF _Ref127095162 \h </w:instrText>
            </w:r>
            <w:r w:rsidR="005346F4">
              <w:fldChar w:fldCharType="separate"/>
            </w:r>
            <w:r w:rsidR="005F38BC">
              <w:t xml:space="preserve">Figure </w:t>
            </w:r>
            <w:r w:rsidR="005F38BC">
              <w:rPr>
                <w:noProof/>
              </w:rPr>
              <w:t>130</w:t>
            </w:r>
            <w:r w:rsidR="005346F4">
              <w:fldChar w:fldCharType="end"/>
            </w:r>
            <w:r w:rsidR="005346F4">
              <w:t>)</w:t>
            </w:r>
            <w:r>
              <w:t>.</w:t>
            </w:r>
          </w:p>
          <w:p w:rsidR="002A21AE" w:rsidRDefault="002A21AE">
            <w:pPr>
              <w:pStyle w:val="TableTextNumbersContinued"/>
            </w:pPr>
          </w:p>
          <w:p w:rsidR="002A21AE" w:rsidRDefault="002A21AE">
            <w:pPr>
              <w:pStyle w:val="TableTextNumbersContinued"/>
            </w:pPr>
            <w:r>
              <w:t xml:space="preserve">Select and/or enter an explanatory comment and click </w:t>
            </w:r>
            <w:r>
              <w:rPr>
                <w:b/>
              </w:rPr>
              <w:t>OK</w:t>
            </w:r>
            <w:r>
              <w:t xml:space="preserve">. </w:t>
            </w:r>
          </w:p>
        </w:tc>
        <w:tc>
          <w:tcPr>
            <w:tcW w:w="6120" w:type="dxa"/>
          </w:tcPr>
          <w:p w:rsidR="002A21AE" w:rsidRDefault="002A21AE">
            <w:pPr>
              <w:pStyle w:val="TableTextBullet"/>
            </w:pPr>
            <w:r>
              <w:t>Allows the user to enter a comment.</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0038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29"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1" o:spid="_x0000_s1026" style="position:absolute;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a0YFgIAAC0EAAAOAAAAZHJzL2Uyb0RvYy54bWysU8uu2jAQ3VfqP1jeQxLIpR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Di&#10;ka0YFgIAAC0EAAAOAAAAAAAAAAAAAAAAAC4CAABkcnMvZTJvRG9jLnhtbFBLAQItABQABgAIAAAA&#10;IQAXTzAS2wAAAAgBAAAPAAAAAAAAAAAAAAAAAHAEAABkcnMvZG93bnJldi54bWxQSwUGAAAAAAQA&#10;BADzAAAAeAUAAAAA&#10;" strokeweight="1.5pt"/>
                  </w:pict>
                </mc:Fallback>
              </mc:AlternateContent>
            </w:r>
            <w:r w:rsidR="002A21AE">
              <w:rPr>
                <w:b/>
                <w:bCs/>
                <w:szCs w:val="18"/>
              </w:rPr>
              <w:t>NOTES</w:t>
            </w:r>
          </w:p>
          <w:p w:rsidR="002A21AE" w:rsidRPr="00B31C95" w:rsidRDefault="002A21AE">
            <w:pPr>
              <w:pStyle w:val="NotesText"/>
              <w:rPr>
                <w:rFonts w:cs="Arial"/>
                <w:szCs w:val="18"/>
              </w:rPr>
            </w:pPr>
          </w:p>
          <w:p w:rsidR="002D516C" w:rsidRPr="00B31C95" w:rsidRDefault="002A21AE" w:rsidP="002D516C">
            <w:pPr>
              <w:pStyle w:val="TableText"/>
              <w:ind w:left="720"/>
              <w:rPr>
                <w:rFonts w:cs="Arial"/>
                <w:szCs w:val="18"/>
              </w:rPr>
            </w:pPr>
            <w:r w:rsidRPr="00B31C95">
              <w:rPr>
                <w:rFonts w:cs="Arial"/>
                <w:vanish/>
                <w:szCs w:val="18"/>
              </w:rPr>
              <w:t xml:space="preserve">BR_38.13 </w:t>
            </w:r>
            <w:r w:rsidR="002D516C" w:rsidRPr="00B31C95">
              <w:rPr>
                <w:rFonts w:cs="Arial"/>
                <w:szCs w:val="18"/>
              </w:rPr>
              <w:t xml:space="preserve">When a Transfusion Requirement is inactivated in any division in a multidivisional configuration, a comment (free text or from a canned comment with the context: </w:t>
            </w:r>
            <w:r w:rsidR="00B31C95" w:rsidRPr="00B31C95">
              <w:rPr>
                <w:rStyle w:val="StyleTableText9ptCharChar"/>
                <w:rFonts w:cs="Arial"/>
                <w:szCs w:val="18"/>
              </w:rPr>
              <w:t>Transfusion Requirement Inactivation)</w:t>
            </w:r>
            <w:r w:rsidR="00B31C95" w:rsidRPr="00B31C95">
              <w:rPr>
                <w:rFonts w:cs="Arial"/>
                <w:szCs w:val="18"/>
              </w:rPr>
              <w:t xml:space="preserve"> must be added that will be saved and printed on the audit trail of originating division alerting the originating division of </w:t>
            </w:r>
            <w:r w:rsidR="00B31C95" w:rsidRPr="00B31C95">
              <w:rPr>
                <w:rFonts w:cs="Arial"/>
                <w:szCs w:val="18"/>
              </w:rPr>
              <w:lastRenderedPageBreak/>
              <w:t xml:space="preserve">the change to the patient’s TR setting if they were not consulted regarding that change. </w:t>
            </w:r>
            <w:r w:rsidR="00B31C95" w:rsidRPr="00B31C95">
              <w:rPr>
                <w:rFonts w:cs="Arial"/>
                <w:vanish/>
                <w:szCs w:val="18"/>
              </w:rPr>
              <w:t>DR 4598</w:t>
            </w:r>
          </w:p>
          <w:p w:rsidR="002D516C" w:rsidRPr="00B31C95" w:rsidRDefault="002D516C" w:rsidP="002D516C">
            <w:pPr>
              <w:pStyle w:val="TableText"/>
              <w:rPr>
                <w:rFonts w:cs="Arial"/>
                <w:szCs w:val="18"/>
              </w:rPr>
            </w:pPr>
          </w:p>
          <w:p w:rsidR="002A21AE" w:rsidRPr="00B31C95" w:rsidRDefault="002D516C" w:rsidP="002D516C">
            <w:pPr>
              <w:pStyle w:val="NotesText"/>
              <w:rPr>
                <w:rFonts w:cs="Arial"/>
                <w:szCs w:val="18"/>
              </w:rPr>
            </w:pPr>
            <w:r w:rsidRPr="00B31C95">
              <w:rPr>
                <w:rFonts w:cs="Arial"/>
                <w:szCs w:val="18"/>
              </w:rPr>
              <w:t xml:space="preserve">Note:  It is best practice that inactivating a TR in the non-originating division involves a consultation with the originating division and allowing the originating to make the change with any </w:t>
            </w:r>
            <w:r w:rsidR="00B31C95" w:rsidRPr="00B31C95">
              <w:rPr>
                <w:rFonts w:cs="Arial"/>
                <w:szCs w:val="18"/>
              </w:rPr>
              <w:t>locally required documentation.</w:t>
            </w:r>
          </w:p>
          <w:p w:rsidR="00DB7814" w:rsidRPr="00B31C95" w:rsidRDefault="00DB7814">
            <w:pPr>
              <w:pStyle w:val="NotesText"/>
              <w:rPr>
                <w:rFonts w:cs="Arial"/>
                <w:szCs w:val="18"/>
              </w:rPr>
            </w:pPr>
          </w:p>
          <w:p w:rsidR="00DB7814" w:rsidRPr="00B31C95" w:rsidRDefault="00DB7814" w:rsidP="00DB7814">
            <w:pPr>
              <w:pStyle w:val="NotesText"/>
              <w:rPr>
                <w:rFonts w:cs="Arial"/>
                <w:szCs w:val="18"/>
              </w:rPr>
            </w:pPr>
            <w:r w:rsidRPr="00B31C95">
              <w:rPr>
                <w:rFonts w:cs="Arial"/>
                <w:szCs w:val="18"/>
              </w:rPr>
              <w:t>For inactivation of an item:</w:t>
            </w:r>
          </w:p>
          <w:p w:rsidR="00DB7814" w:rsidRPr="00B31C95" w:rsidRDefault="00DB7814" w:rsidP="00DB7814">
            <w:pPr>
              <w:pStyle w:val="NotesTextBullet"/>
              <w:rPr>
                <w:rFonts w:cs="Arial"/>
                <w:szCs w:val="18"/>
              </w:rPr>
            </w:pPr>
            <w:r w:rsidRPr="00B31C95">
              <w:rPr>
                <w:rFonts w:cs="Arial"/>
                <w:vanish/>
                <w:szCs w:val="18"/>
              </w:rPr>
              <w:t xml:space="preserve">BR_38.09, BR_38.12, BR_38.14 </w:t>
            </w:r>
            <w:r w:rsidR="00B578C9" w:rsidRPr="00AE271A">
              <w:rPr>
                <w:rFonts w:ascii="Wingdings 3" w:hAnsi="Wingdings 3"/>
              </w:rPr>
              <w:t></w:t>
            </w:r>
            <w:r w:rsidR="00B578C9" w:rsidRPr="00AE271A">
              <w:rPr>
                <w:rFonts w:ascii="Wingdings 3" w:hAnsi="Wingdings 3"/>
              </w:rPr>
              <w:t></w:t>
            </w:r>
            <w:r w:rsidR="00B578C9" w:rsidRPr="00AE271A">
              <w:rPr>
                <w:rFonts w:ascii="Wingdings 3" w:hAnsi="Wingdings 3"/>
              </w:rPr>
              <w:t></w:t>
            </w:r>
            <w:r w:rsidR="00B578C9" w:rsidRPr="00AE271A">
              <w:rPr>
                <w:rFonts w:ascii="Wingdings 3" w:hAnsi="Wingdings 3"/>
              </w:rPr>
              <w:t></w:t>
            </w:r>
            <w:r w:rsidR="00B578C9">
              <w:t xml:space="preserve"> </w:t>
            </w:r>
            <w:r w:rsidRPr="00B31C95">
              <w:rPr>
                <w:rFonts w:cs="Arial"/>
                <w:szCs w:val="18"/>
              </w:rPr>
              <w:t xml:space="preserve">A Traditional Supervisor from any division may inactivate TRs and persistent antigen negative requirements in a multidivisional database regardless of the source of the TR. </w:t>
            </w:r>
          </w:p>
          <w:p w:rsidR="00994FF2" w:rsidRPr="00B31C95" w:rsidRDefault="00DB7814" w:rsidP="00994FF2">
            <w:pPr>
              <w:pStyle w:val="NotesTextBullet"/>
              <w:rPr>
                <w:rFonts w:cs="Arial"/>
                <w:szCs w:val="18"/>
              </w:rPr>
            </w:pPr>
            <w:r w:rsidRPr="00B31C95">
              <w:rPr>
                <w:rFonts w:cs="Arial"/>
                <w:vanish/>
                <w:szCs w:val="18"/>
              </w:rPr>
              <w:t xml:space="preserve">BR_38.15 </w:t>
            </w:r>
            <w:r w:rsidRPr="00B31C95">
              <w:rPr>
                <w:rFonts w:cs="Arial"/>
                <w:szCs w:val="18"/>
              </w:rPr>
              <w:t>When an antibody specificity is inactivated, VBECS inactivates the corresponding calculated (VBECS-generated) antigen negative requirement.</w:t>
            </w:r>
          </w:p>
          <w:p w:rsidR="00DB7814" w:rsidRDefault="00DB7814" w:rsidP="00994FF2">
            <w:pPr>
              <w:pStyle w:val="NotesTextBullet"/>
            </w:pPr>
            <w:r w:rsidRPr="00B31C95">
              <w:rPr>
                <w:rFonts w:cs="Arial"/>
                <w:vanish/>
                <w:szCs w:val="18"/>
              </w:rPr>
              <w:t xml:space="preserve">BR_38.11, BR_38.03 </w:t>
            </w:r>
            <w:r w:rsidRPr="00B31C95">
              <w:rPr>
                <w:rFonts w:cs="Arial"/>
                <w:szCs w:val="18"/>
              </w:rPr>
              <w:t>For antibodies identified, VBECS displays a summary of antibodies currently associated with the patient and identifies their source. Additional antibodies may be added and previously identified antibodies may be inactivated.</w:t>
            </w:r>
          </w:p>
        </w:tc>
      </w:tr>
      <w:tr w:rsidR="002A21AE">
        <w:tblPrEx>
          <w:tblCellMar>
            <w:top w:w="0" w:type="dxa"/>
            <w:bottom w:w="0" w:type="dxa"/>
          </w:tblCellMar>
        </w:tblPrEx>
        <w:tc>
          <w:tcPr>
            <w:tcW w:w="3240" w:type="dxa"/>
          </w:tcPr>
          <w:p w:rsidR="002A21AE" w:rsidRDefault="002A21AE">
            <w:pPr>
              <w:pStyle w:val="TableTextNumbers"/>
            </w:pPr>
            <w:r>
              <w:lastRenderedPageBreak/>
              <w:t>Return to Step 2 to continue editing the patient’s TRs.</w:t>
            </w:r>
          </w:p>
        </w:tc>
        <w:tc>
          <w:tcPr>
            <w:tcW w:w="6120" w:type="dxa"/>
          </w:tcPr>
          <w:p w:rsidR="002A21AE" w:rsidRDefault="002A21AE">
            <w:pPr>
              <w:pStyle w:val="TableText"/>
            </w:pPr>
          </w:p>
        </w:tc>
      </w:tr>
      <w:tr w:rsidR="002A21AE">
        <w:tblPrEx>
          <w:tblCellMar>
            <w:top w:w="0" w:type="dxa"/>
            <w:bottom w:w="0" w:type="dxa"/>
          </w:tblCellMar>
        </w:tblPrEx>
        <w:tc>
          <w:tcPr>
            <w:tcW w:w="3240" w:type="dxa"/>
          </w:tcPr>
          <w:p w:rsidR="002A21AE" w:rsidRDefault="002A21AE">
            <w:pPr>
              <w:pStyle w:val="TableTextNumbers"/>
            </w:pPr>
            <w:r>
              <w:t xml:space="preserve">Accept entries and exit, or </w:t>
            </w:r>
          </w:p>
          <w:p w:rsidR="002A21AE" w:rsidRDefault="002A21AE">
            <w:pPr>
              <w:pStyle w:val="TableTextNumbersContinued"/>
            </w:pPr>
          </w:p>
          <w:p w:rsidR="002A21AE" w:rsidRDefault="002A21AE">
            <w:pPr>
              <w:pStyle w:val="TableTextNumbersContinued"/>
            </w:pPr>
            <w:r>
              <w:t xml:space="preserve">Return to Step 1 to make entries for a different patient.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rsidR="002A21AE" w:rsidRDefault="002A21AE">
            <w:pPr>
              <w:pStyle w:val="TableText"/>
            </w:pPr>
          </w:p>
        </w:tc>
      </w:tr>
    </w:tbl>
    <w:p w:rsidR="00994FF2" w:rsidRDefault="00994FF2" w:rsidP="00994FF2">
      <w:pPr>
        <w:pStyle w:val="Caption"/>
      </w:pPr>
      <w:bookmarkStart w:id="519" w:name="_Ref127094922"/>
      <w:r>
        <w:lastRenderedPageBreak/>
        <w:t xml:space="preserve">Figure </w:t>
      </w:r>
      <w:r w:rsidR="00C17F7C">
        <w:fldChar w:fldCharType="begin"/>
      </w:r>
      <w:r w:rsidR="00C17F7C">
        <w:instrText xml:space="preserve"> SEQ Figure \* ARABIC </w:instrText>
      </w:r>
      <w:r w:rsidR="00C17F7C">
        <w:fldChar w:fldCharType="separate"/>
      </w:r>
      <w:r w:rsidR="005F38BC">
        <w:rPr>
          <w:noProof/>
        </w:rPr>
        <w:t>129</w:t>
      </w:r>
      <w:r w:rsidR="00C17F7C">
        <w:fldChar w:fldCharType="end"/>
      </w:r>
      <w:bookmarkEnd w:id="519"/>
      <w:r>
        <w:t>: Enter Patient Special Instructions and Transfusion Requirements</w:t>
      </w:r>
    </w:p>
    <w:p w:rsidR="00994FF2" w:rsidRDefault="00634BFC" w:rsidP="00994FF2">
      <w:pPr>
        <w:pStyle w:val="BodyText"/>
      </w:pPr>
      <w:r>
        <w:rPr>
          <w:noProof/>
        </w:rPr>
        <w:drawing>
          <wp:inline distT="0" distB="0" distL="0" distR="0">
            <wp:extent cx="5600700" cy="4314825"/>
            <wp:effectExtent l="0" t="0" r="0"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600700" cy="4314825"/>
                    </a:xfrm>
                    <a:prstGeom prst="rect">
                      <a:avLst/>
                    </a:prstGeom>
                    <a:noFill/>
                    <a:ln>
                      <a:noFill/>
                    </a:ln>
                  </pic:spPr>
                </pic:pic>
              </a:graphicData>
            </a:graphic>
          </wp:inline>
        </w:drawing>
      </w:r>
    </w:p>
    <w:p w:rsidR="005346F4" w:rsidRDefault="005346F4" w:rsidP="005346F4">
      <w:pPr>
        <w:pStyle w:val="Caption"/>
      </w:pPr>
      <w:bookmarkStart w:id="520" w:name="_Ref127095162"/>
      <w:r>
        <w:lastRenderedPageBreak/>
        <w:t xml:space="preserve">Figure </w:t>
      </w:r>
      <w:r w:rsidR="00C17F7C">
        <w:fldChar w:fldCharType="begin"/>
      </w:r>
      <w:r w:rsidR="00C17F7C">
        <w:instrText xml:space="preserve"> SEQ Figure \* ARABIC </w:instrText>
      </w:r>
      <w:r w:rsidR="00C17F7C">
        <w:fldChar w:fldCharType="separate"/>
      </w:r>
      <w:r w:rsidR="005F38BC">
        <w:rPr>
          <w:noProof/>
        </w:rPr>
        <w:t>130</w:t>
      </w:r>
      <w:r w:rsidR="00C17F7C">
        <w:fldChar w:fldCharType="end"/>
      </w:r>
      <w:bookmarkEnd w:id="520"/>
      <w:r>
        <w:t>: Inactivate Component Requirements</w:t>
      </w:r>
    </w:p>
    <w:p w:rsidR="005346F4" w:rsidRDefault="00634BFC" w:rsidP="00994FF2">
      <w:pPr>
        <w:pStyle w:val="BodyText"/>
      </w:pPr>
      <w:r>
        <w:rPr>
          <w:noProof/>
        </w:rPr>
        <w:drawing>
          <wp:inline distT="0" distB="0" distL="0" distR="0">
            <wp:extent cx="5715000" cy="508635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715000" cy="5086350"/>
                    </a:xfrm>
                    <a:prstGeom prst="rect">
                      <a:avLst/>
                    </a:prstGeom>
                    <a:noFill/>
                    <a:ln>
                      <a:noFill/>
                    </a:ln>
                  </pic:spPr>
                </pic:pic>
              </a:graphicData>
            </a:graphic>
          </wp:inline>
        </w:drawing>
      </w:r>
    </w:p>
    <w:p w:rsidR="002A21AE" w:rsidRDefault="002A21AE">
      <w:pPr>
        <w:pStyle w:val="Heading3"/>
      </w:pPr>
      <w:r>
        <w:br w:type="page"/>
      </w:r>
      <w:bookmarkStart w:id="521" w:name="_Toc459900155"/>
      <w:r>
        <w:lastRenderedPageBreak/>
        <w:t>Special Instructions &amp; Transfusion Requirements: Enter and Remove Special Instructions</w:t>
      </w:r>
      <w:bookmarkEnd w:id="521"/>
      <w:r>
        <w:fldChar w:fldCharType="begin"/>
      </w:r>
      <w:r>
        <w:instrText xml:space="preserve"> XE </w:instrText>
      </w:r>
      <w:r w:rsidR="00FA7E65">
        <w:instrText>“</w:instrText>
      </w:r>
      <w:r>
        <w:instrText>Special Instructions &amp; Transfusion Requirements\: Enter and Remove Special Instructions</w:instrText>
      </w:r>
      <w:r w:rsidR="00FA7E65">
        <w:instrText>”</w:instrText>
      </w:r>
      <w:r>
        <w:instrText xml:space="preserve"> </w:instrText>
      </w:r>
      <w:r>
        <w:fldChar w:fldCharType="end"/>
      </w:r>
      <w:r>
        <w:t xml:space="preserve"> </w:t>
      </w:r>
      <w:r>
        <w:rPr>
          <w:rFonts w:ascii="Times New Roman" w:hAnsi="Times New Roman" w:cs="Times New Roman"/>
          <w:b w:val="0"/>
          <w:vanish/>
          <w:sz w:val="22"/>
        </w:rPr>
        <w:t>UC_37</w:t>
      </w:r>
    </w:p>
    <w:p w:rsidR="002A21AE" w:rsidRDefault="002A21AE" w:rsidP="00FA7E65">
      <w:pPr>
        <w:pStyle w:val="BodyText"/>
      </w:pPr>
      <w:r>
        <w:t>The user enter</w:t>
      </w:r>
      <w:r w:rsidR="007C7B3C">
        <w:t>s</w:t>
      </w:r>
      <w:r>
        <w:t xml:space="preserve"> comments in a patient’s file that are not enforced by VBECS.</w:t>
      </w:r>
    </w:p>
    <w:p w:rsidR="002A21AE" w:rsidRDefault="002A21AE">
      <w:pPr>
        <w:pStyle w:val="Heading4"/>
      </w:pPr>
      <w:r>
        <w:t>Assumptions</w:t>
      </w:r>
      <w:r>
        <w:rPr>
          <w:b w:val="0"/>
        </w:rPr>
        <w:t xml:space="preserve"> </w:t>
      </w:r>
    </w:p>
    <w:p w:rsidR="002A21AE" w:rsidRDefault="002A21AE">
      <w:pPr>
        <w:pStyle w:val="ListBullet"/>
      </w:pPr>
      <w:r>
        <w:t>Fields containing Special Instructions (SIs) may be populated during database conversion.</w:t>
      </w:r>
    </w:p>
    <w:p w:rsidR="002A21AE" w:rsidRDefault="002A21AE">
      <w:pPr>
        <w:pStyle w:val="Heading4"/>
      </w:pPr>
      <w:r>
        <w:t xml:space="preserve">Outcome </w:t>
      </w:r>
    </w:p>
    <w:p w:rsidR="002A21AE" w:rsidRDefault="002A21AE">
      <w:pPr>
        <w:pStyle w:val="ListBullet"/>
      </w:pPr>
      <w:r>
        <w:t xml:space="preserve">When the user searches for a patient or when the Patient Information Toolbar is displayed, VBECS displays </w:t>
      </w:r>
      <w:r w:rsidR="00634BFC">
        <w:rPr>
          <w:noProof/>
        </w:rPr>
        <w:drawing>
          <wp:inline distT="0" distB="0" distL="0" distR="0">
            <wp:extent cx="152400" cy="152400"/>
            <wp:effectExtent l="0" t="0" r="0" b="0"/>
            <wp:docPr id="243" name="Picture 243" descr="small_si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small_si_t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to alert the user to view the patient’s SI entries.</w:t>
      </w:r>
    </w:p>
    <w:p w:rsidR="002A21AE" w:rsidRDefault="002A21AE">
      <w:pPr>
        <w:pStyle w:val="ListBullet"/>
      </w:pPr>
      <w:r>
        <w:t>When a user retrieves a patient record and is in a multidivisional setting, he may view SIs created in all divisions within the database.</w:t>
      </w:r>
    </w:p>
    <w:p w:rsidR="002A21AE" w:rsidRDefault="002A21AE">
      <w:pPr>
        <w:pStyle w:val="Heading4"/>
      </w:pPr>
      <w:r>
        <w:t>Limitations and Restrictions</w:t>
      </w:r>
      <w:r>
        <w:rPr>
          <w:b w:val="0"/>
        </w:rPr>
        <w:t xml:space="preserve"> </w:t>
      </w:r>
    </w:p>
    <w:p w:rsidR="002A21AE" w:rsidRDefault="00F632F2">
      <w:pPr>
        <w:pStyle w:val="ListBullet"/>
      </w:pPr>
      <w:r>
        <w:t xml:space="preserve">VBECS does not enforce </w:t>
      </w:r>
      <w:r w:rsidR="002A21AE">
        <w:t xml:space="preserve">Transfusion Requirements (TRs) or antigen negative requirements </w:t>
      </w:r>
      <w:r>
        <w:t xml:space="preserve">entered </w:t>
      </w:r>
      <w:r w:rsidR="002A21AE">
        <w:t>through this option.</w:t>
      </w:r>
    </w:p>
    <w:p w:rsidR="002A21AE" w:rsidRDefault="002A21AE">
      <w:pPr>
        <w:pStyle w:val="ListBullet"/>
      </w:pPr>
      <w:r>
        <w:t xml:space="preserve">SIs moved to VBECS during the </w:t>
      </w:r>
      <w:r w:rsidR="00150930">
        <w:t>database conversion</w:t>
      </w:r>
      <w:r>
        <w:t xml:space="preserve"> </w:t>
      </w:r>
      <w:r w:rsidR="009A4A6D">
        <w:t xml:space="preserve">may contain information that must </w:t>
      </w:r>
      <w:r>
        <w:t xml:space="preserve">be entered as TRs in VBECS. Inactivate the old SI and create a TR and new updated SI: the </w:t>
      </w:r>
      <w:r w:rsidR="00150930">
        <w:t>database conversion</w:t>
      </w:r>
      <w:r>
        <w:t xml:space="preserve"> software cannot automatically translate the SI from database conversion into a rule-based TR.</w:t>
      </w:r>
    </w:p>
    <w:p w:rsidR="002A21AE" w:rsidRDefault="009333B1">
      <w:pPr>
        <w:pStyle w:val="ListBullet"/>
      </w:pPr>
      <w:r>
        <w:t xml:space="preserve">VBECS will truncate </w:t>
      </w:r>
      <w:r w:rsidR="00DB7814">
        <w:t xml:space="preserve">SI text from </w:t>
      </w:r>
      <w:r w:rsidR="00837204">
        <w:t xml:space="preserve">the </w:t>
      </w:r>
      <w:r w:rsidR="00DB7814">
        <w:t xml:space="preserve">VistA </w:t>
      </w:r>
      <w:r w:rsidR="00150930">
        <w:t>database conversion</w:t>
      </w:r>
      <w:r w:rsidR="002A21AE">
        <w:t>.</w:t>
      </w:r>
    </w:p>
    <w:p w:rsidR="002A21AE" w:rsidRDefault="002A21AE">
      <w:pPr>
        <w:pStyle w:val="Heading4"/>
      </w:pPr>
      <w:r>
        <w:t>Additional Information</w:t>
      </w:r>
    </w:p>
    <w:p w:rsidR="002A21AE" w:rsidRDefault="002A21AE">
      <w:pPr>
        <w:pStyle w:val="ListBullet"/>
      </w:pPr>
      <w:r>
        <w:t xml:space="preserve">Inactivation of patient SI entries is allowed only in the division of entry. </w:t>
      </w:r>
    </w:p>
    <w:p w:rsidR="002A21AE" w:rsidRDefault="002A21AE">
      <w:pPr>
        <w:pStyle w:val="ListBullet"/>
      </w:pPr>
      <w:r>
        <w:t xml:space="preserve">Only currently active SIs at a division will automatically display via the database to all divisions. </w:t>
      </w:r>
    </w:p>
    <w:p w:rsidR="002A21AE" w:rsidRDefault="002A21AE">
      <w:pPr>
        <w:pStyle w:val="ListBullet"/>
      </w:pPr>
      <w:r>
        <w:t xml:space="preserve">Inactive SIs are not deleted from the VBECS database. They may not be reactivated but may be viewed in the maintenance fields when requested. </w:t>
      </w:r>
    </w:p>
    <w:p w:rsidR="002A21AE" w:rsidRDefault="002A21AE">
      <w:pPr>
        <w:pStyle w:val="ListBullet"/>
      </w:pPr>
      <w:r>
        <w:t xml:space="preserve">Canned comments in the Special Instructions context must be entered by the division before they can be selected for use. </w:t>
      </w:r>
    </w:p>
    <w:p w:rsidR="002A21AE" w:rsidRDefault="002A21AE">
      <w:pPr>
        <w:pStyle w:val="ListBullet"/>
      </w:pPr>
      <w:r>
        <w:rPr>
          <w:rFonts w:ascii="Arial" w:hAnsi="Arial" w:cs="Arial"/>
          <w:vanish/>
          <w:spacing w:val="0"/>
          <w:sz w:val="18"/>
        </w:rPr>
        <w:t xml:space="preserve">BR_37.03 </w:t>
      </w:r>
      <w:r>
        <w:t>Previously saved Special Instructions that require editing due to context or spelling errors must be inactivated and reentered in total.</w:t>
      </w:r>
    </w:p>
    <w:p w:rsidR="002A21AE" w:rsidRDefault="00150930">
      <w:pPr>
        <w:pStyle w:val="ListBullet"/>
      </w:pPr>
      <w:r>
        <w:t>Database conversion</w:t>
      </w:r>
      <w:r w:rsidR="002A21AE">
        <w:t xml:space="preserve"> entries are labeled as such. </w:t>
      </w:r>
      <w:r w:rsidR="002A21AE">
        <w:rPr>
          <w:rFonts w:ascii="Arial" w:hAnsi="Arial" w:cs="Arial"/>
          <w:vanish/>
          <w:spacing w:val="0"/>
          <w:sz w:val="18"/>
        </w:rPr>
        <w:t xml:space="preserve">BR_37.05 </w:t>
      </w:r>
    </w:p>
    <w:p w:rsidR="002A21AE" w:rsidRDefault="002A21AE">
      <w:pPr>
        <w:pStyle w:val="ListBullet"/>
      </w:pPr>
      <w:r>
        <w:t>SIs from database conversion may include component or antigen negative requirements that must be entered in TRs so that VBECS can enforce them.</w:t>
      </w:r>
    </w:p>
    <w:p w:rsidR="002A21AE" w:rsidRDefault="002A21AE">
      <w:pPr>
        <w:pStyle w:val="Heading4"/>
        <w:rPr>
          <w:b w:val="0"/>
        </w:rPr>
      </w:pPr>
      <w:r>
        <w:t>User Roles with Access to This Option</w:t>
      </w:r>
      <w:r>
        <w:rPr>
          <w:b w:val="0"/>
        </w:rPr>
        <w:t xml:space="preserve"> </w:t>
      </w:r>
    </w:p>
    <w:p w:rsidR="001C7911" w:rsidRDefault="001C7911" w:rsidP="001C7911">
      <w:pPr>
        <w:pStyle w:val="Roles"/>
      </w:pPr>
      <w:r>
        <w:t>All users</w:t>
      </w:r>
    </w:p>
    <w:p w:rsidR="002A21AE" w:rsidRDefault="002A21AE">
      <w:pPr>
        <w:pStyle w:val="Heading4"/>
      </w:pPr>
      <w:r>
        <w:t>Special Instructions &amp; Transfusion Requirements: Enter a Special Instruction</w:t>
      </w:r>
    </w:p>
    <w:p w:rsidR="002A21AE" w:rsidRDefault="002A21AE" w:rsidP="00FA7E65">
      <w:pPr>
        <w:pStyle w:val="BodyText"/>
      </w:pPr>
      <w:r>
        <w:t>A user may add to and inactivate SI comments in a patient’s blood bank record. Users in all divisions in a multidivisional database may view these comments.</w:t>
      </w:r>
    </w:p>
    <w:tbl>
      <w:tblPr>
        <w:tblpPr w:leftFromText="180" w:rightFromText="180" w:vertAnchor="text" w:tblpY="1"/>
        <w:tblOverlap w:val="neve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pPr>
              <w:pStyle w:val="TableTextNumbers"/>
            </w:pPr>
            <w:r>
              <w:t xml:space="preserve">Select </w:t>
            </w:r>
            <w:r>
              <w:rPr>
                <w:b/>
              </w:rPr>
              <w:t>Patients</w:t>
            </w:r>
            <w:r>
              <w:t xml:space="preserve"> from the main menu.</w:t>
            </w:r>
          </w:p>
          <w:p w:rsidR="002A21AE" w:rsidRDefault="002A21AE">
            <w:pPr>
              <w:pStyle w:val="TableTextNumbersContinued"/>
            </w:pPr>
          </w:p>
          <w:p w:rsidR="002A21AE" w:rsidRDefault="002A21AE">
            <w:pPr>
              <w:pStyle w:val="TableTextNumbersContinued"/>
            </w:pPr>
            <w:r>
              <w:t xml:space="preserve">Select </w:t>
            </w:r>
            <w:r>
              <w:rPr>
                <w:b/>
              </w:rPr>
              <w:t>Special Instructions &amp; Transfusion Requirements</w:t>
            </w:r>
            <w:r>
              <w:t>, or</w:t>
            </w:r>
          </w:p>
          <w:p w:rsidR="002A21AE" w:rsidRDefault="002A21AE">
            <w:pPr>
              <w:pStyle w:val="TableTextNumbersContinued"/>
            </w:pPr>
          </w:p>
          <w:p w:rsidR="002A21AE" w:rsidRDefault="002A21AE">
            <w:pPr>
              <w:pStyle w:val="TableTextNumbersContinued"/>
            </w:pPr>
            <w:r>
              <w:t xml:space="preserve">Click </w:t>
            </w:r>
            <w:r w:rsidR="00634BFC">
              <w:rPr>
                <w:noProof/>
              </w:rPr>
              <w:drawing>
                <wp:inline distT="0" distB="0" distL="0" distR="0">
                  <wp:extent cx="152400" cy="152400"/>
                  <wp:effectExtent l="0" t="0" r="0" b="0"/>
                  <wp:docPr id="244" name="Picture 244" descr="small_si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small_si_t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in the Patient Information Toolbar, when displayed.</w:t>
            </w:r>
          </w:p>
        </w:tc>
        <w:tc>
          <w:tcPr>
            <w:tcW w:w="6120" w:type="dxa"/>
          </w:tcPr>
          <w:p w:rsidR="002A21AE" w:rsidRDefault="002A21AE">
            <w:pPr>
              <w:pStyle w:val="TableTextBullet"/>
            </w:pPr>
            <w:r>
              <w:lastRenderedPageBreak/>
              <w:t>Displays options for processing patient-related functions.</w:t>
            </w:r>
          </w:p>
          <w:p w:rsidR="002A21AE" w:rsidRDefault="002A21AE">
            <w:pPr>
              <w:pStyle w:val="TableTextBullet"/>
            </w:pPr>
            <w:r>
              <w:t xml:space="preserve">Displays the option to select a patient, if one is not already selected. </w:t>
            </w:r>
          </w:p>
          <w:p w:rsidR="002A21AE" w:rsidRDefault="002A21AE">
            <w:pPr>
              <w:pStyle w:val="TableText"/>
              <w:rPr>
                <w:b/>
                <w:bCs/>
                <w:szCs w:val="18"/>
              </w:rPr>
            </w:pPr>
          </w:p>
          <w:p w:rsidR="002A21AE" w:rsidRDefault="00634BFC">
            <w:pPr>
              <w:pStyle w:val="TableText"/>
              <w:rPr>
                <w:b/>
                <w:bCs/>
                <w:szCs w:val="18"/>
              </w:rPr>
            </w:pPr>
            <w:r>
              <w:rPr>
                <w:b/>
                <w:bCs/>
                <w:noProof/>
              </w:rPr>
              <mc:AlternateContent>
                <mc:Choice Requires="wps">
                  <w:drawing>
                    <wp:anchor distT="0" distB="0" distL="114300" distR="114300" simplePos="0" relativeHeight="25159833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28" name="Lin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9" o:spid="_x0000_s1026" style="position:absolute;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IsFQIAAC0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P4y&#10;Yiw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lastRenderedPageBreak/>
              <w:t xml:space="preserve">The user may also click </w:t>
            </w:r>
            <w:r>
              <w:rPr>
                <w:b/>
              </w:rPr>
              <w:t>New SI or TR</w:t>
            </w:r>
            <w:r>
              <w:t xml:space="preserve"> in Patient Testing to access this option.</w:t>
            </w:r>
          </w:p>
        </w:tc>
      </w:tr>
      <w:tr w:rsidR="002A21AE">
        <w:tblPrEx>
          <w:tblCellMar>
            <w:top w:w="0" w:type="dxa"/>
            <w:bottom w:w="0" w:type="dxa"/>
          </w:tblCellMar>
        </w:tblPrEx>
        <w:tc>
          <w:tcPr>
            <w:tcW w:w="3240" w:type="dxa"/>
          </w:tcPr>
          <w:p w:rsidR="002A21AE" w:rsidRDefault="002A21AE">
            <w:pPr>
              <w:pStyle w:val="TableTextNumbers"/>
            </w:pPr>
            <w:r>
              <w:lastRenderedPageBreak/>
              <w:t>Select a patient.</w:t>
            </w:r>
          </w:p>
          <w:p w:rsidR="00DA5ED4" w:rsidRDefault="00DA5ED4" w:rsidP="00DA5ED4">
            <w:pPr>
              <w:pStyle w:val="TableTextNumbersContinued"/>
            </w:pPr>
          </w:p>
          <w:p w:rsidR="00DA5ED4" w:rsidRDefault="00DA5ED4" w:rsidP="00DA5ED4">
            <w:pPr>
              <w:pStyle w:val="TableTextNumbersContinued"/>
            </w:pPr>
            <w:r>
              <w:t xml:space="preserve">Click </w:t>
            </w:r>
            <w:r w:rsidRPr="00DA5ED4">
              <w:rPr>
                <w:b/>
              </w:rPr>
              <w:t>OK</w:t>
            </w:r>
            <w:r>
              <w:t>.</w:t>
            </w:r>
          </w:p>
        </w:tc>
        <w:tc>
          <w:tcPr>
            <w:tcW w:w="6120" w:type="dxa"/>
          </w:tcPr>
          <w:p w:rsidR="002A21AE" w:rsidRDefault="002A21AE">
            <w:pPr>
              <w:pStyle w:val="TableTextBullet"/>
            </w:pPr>
            <w:r>
              <w:t>Displays options to select a patient.</w:t>
            </w:r>
          </w:p>
          <w:p w:rsidR="002A21AE" w:rsidRDefault="002A21AE">
            <w:pPr>
              <w:pStyle w:val="TableTextBullet"/>
            </w:pPr>
            <w:r>
              <w:t>Displays the option to enter a new comment or remove an existing comment in the division.</w:t>
            </w:r>
          </w:p>
          <w:p w:rsidR="002A21AE" w:rsidRDefault="002A21AE">
            <w:pPr>
              <w:pStyle w:val="TableTextBullet"/>
            </w:pPr>
            <w:r>
              <w:t>Displays the active SI entries in reverse chronological order with all active SIs first, along with date, division code, and text of the entry.</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9628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27" name="Lin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7" o:spid="_x0000_s1026" style="position:absolute;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9+GFgIAAC0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Ap&#10;A9+GFgIAAC0EAAAOAAAAAAAAAAAAAAAAAC4CAABkcnMvZTJvRG9jLnhtbFBLAQItABQABgAIAAAA&#10;IQAXTzAS2wAAAAgBAAAPAAAAAAAAAAAAAAAAAHAEAABkcnMvZG93bnJldi54bWxQSwUGAAAAAAQA&#10;BADzAAAAeAU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t>The need for SIs is usually temporary and may not be required for all transfusions.</w:t>
            </w:r>
          </w:p>
          <w:p w:rsidR="002A21AE" w:rsidRDefault="002A21AE">
            <w:pPr>
              <w:pStyle w:val="NotesText"/>
            </w:pPr>
          </w:p>
          <w:p w:rsidR="002A21AE" w:rsidRDefault="002A21AE">
            <w:pPr>
              <w:pStyle w:val="NotesText"/>
            </w:pPr>
            <w:r>
              <w:t>The user may choose to display inactivated SI comments.</w:t>
            </w:r>
          </w:p>
        </w:tc>
      </w:tr>
      <w:tr w:rsidR="002A21AE">
        <w:tblPrEx>
          <w:tblCellMar>
            <w:top w:w="0" w:type="dxa"/>
            <w:bottom w:w="0" w:type="dxa"/>
          </w:tblCellMar>
        </w:tblPrEx>
        <w:tc>
          <w:tcPr>
            <w:tcW w:w="3240" w:type="dxa"/>
          </w:tcPr>
          <w:p w:rsidR="002A21AE" w:rsidRDefault="002A21AE">
            <w:pPr>
              <w:pStyle w:val="TableTextNumbers"/>
            </w:pPr>
            <w:r>
              <w:t xml:space="preserve">Select the </w:t>
            </w:r>
            <w:r>
              <w:rPr>
                <w:b/>
              </w:rPr>
              <w:t xml:space="preserve">Special Instructions </w:t>
            </w:r>
            <w:r w:rsidRPr="00CC3C89">
              <w:t>tab</w:t>
            </w:r>
            <w:r w:rsidR="00DA5ED4" w:rsidRPr="00CC3C89">
              <w:t xml:space="preserve"> </w:t>
            </w:r>
            <w:r w:rsidR="00DA5ED4" w:rsidRPr="00DA5ED4">
              <w:t>(</w:t>
            </w:r>
            <w:r w:rsidR="009142E5">
              <w:fldChar w:fldCharType="begin"/>
            </w:r>
            <w:r w:rsidR="009142E5">
              <w:instrText xml:space="preserve"> REF _Ref127262439 \h </w:instrText>
            </w:r>
            <w:r w:rsidR="009142E5">
              <w:fldChar w:fldCharType="separate"/>
            </w:r>
            <w:r w:rsidR="005F38BC">
              <w:t xml:space="preserve">Figure </w:t>
            </w:r>
            <w:r w:rsidR="005F38BC">
              <w:rPr>
                <w:noProof/>
              </w:rPr>
              <w:t>131</w:t>
            </w:r>
            <w:r w:rsidR="009142E5">
              <w:fldChar w:fldCharType="end"/>
            </w:r>
            <w:r w:rsidR="00DA5ED4" w:rsidRPr="00DA5ED4">
              <w:t>)</w:t>
            </w:r>
            <w:r>
              <w:t>.</w:t>
            </w:r>
          </w:p>
          <w:p w:rsidR="00595334" w:rsidRDefault="00595334" w:rsidP="00595334">
            <w:pPr>
              <w:pStyle w:val="TableTextNumbersContinued"/>
            </w:pPr>
          </w:p>
          <w:p w:rsidR="00595334" w:rsidRDefault="00595334" w:rsidP="00595334">
            <w:pPr>
              <w:pStyle w:val="TableTextNumbersContinued"/>
            </w:pPr>
            <w:r>
              <w:t xml:space="preserve">Click the </w:t>
            </w:r>
            <w:r>
              <w:rPr>
                <w:b/>
              </w:rPr>
              <w:t>Show inactive special instructions</w:t>
            </w:r>
            <w:r>
              <w:t xml:space="preserve"> </w:t>
            </w:r>
            <w:r w:rsidRPr="00D1100E">
              <w:t>check box</w:t>
            </w:r>
            <w:r>
              <w:t xml:space="preserve"> to display inactivated SI entries.</w:t>
            </w:r>
          </w:p>
          <w:p w:rsidR="00595334" w:rsidRDefault="00595334" w:rsidP="005A1FF9">
            <w:pPr>
              <w:pStyle w:val="TableTextNumbers"/>
              <w:numPr>
                <w:ilvl w:val="0"/>
                <w:numId w:val="0"/>
              </w:numPr>
            </w:pPr>
          </w:p>
        </w:tc>
        <w:tc>
          <w:tcPr>
            <w:tcW w:w="6120" w:type="dxa"/>
          </w:tcPr>
          <w:p w:rsidR="002A21AE" w:rsidRDefault="002A21AE">
            <w:pPr>
              <w:pStyle w:val="TableTextBullet"/>
            </w:pPr>
            <w:r>
              <w:t>Allows the user to enter or inactivate comments.</w:t>
            </w:r>
          </w:p>
          <w:p w:rsidR="00595334" w:rsidRDefault="00595334">
            <w:pPr>
              <w:pStyle w:val="TableTextBullet"/>
            </w:pPr>
            <w:r>
              <w:t xml:space="preserve">Displays inactive Special Instructions </w:t>
            </w:r>
            <w:r w:rsidR="00E12CB9">
              <w:t>but</w:t>
            </w:r>
            <w:r>
              <w:t xml:space="preserve"> </w:t>
            </w:r>
            <w:r w:rsidR="00E12CB9">
              <w:t>does not allow</w:t>
            </w:r>
            <w:r>
              <w:t xml:space="preserve"> the user to reactivate them.</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9731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26" name="Lin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8"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xYwFgIAAC0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Bo&#10;fxYwFgIAAC0EAAAOAAAAAAAAAAAAAAAAAC4CAABkcnMvZTJvRG9jLnhtbFBLAQItABQABgAIAAAA&#10;IQAXTzAS2wAAAAgBAAAPAAAAAAAAAAAAAAAAAHAEAABkcnMvZG93bnJldi54bWxQSwUGAAAAAAQA&#10;BADzAAAAeAU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BR_37.01 </w:t>
            </w:r>
            <w:r>
              <w:t xml:space="preserve">A user may add or inactivate a patient-specific comment at any time in the division in which it was entered. </w:t>
            </w:r>
          </w:p>
          <w:p w:rsidR="002A21AE" w:rsidRDefault="002A21AE">
            <w:pPr>
              <w:pStyle w:val="NotesText"/>
            </w:pPr>
          </w:p>
          <w:p w:rsidR="002A21AE" w:rsidRDefault="002A21AE">
            <w:pPr>
              <w:pStyle w:val="NotesText"/>
            </w:pPr>
            <w:r>
              <w:rPr>
                <w:rFonts w:cs="Arial"/>
                <w:vanish/>
              </w:rPr>
              <w:t xml:space="preserve">BR_37.06 </w:t>
            </w:r>
            <w:r w:rsidRPr="00E4754E">
              <w:rPr>
                <w:rStyle w:val="RolesChar1"/>
                <w:rFonts w:ascii="Wingdings 3" w:hAnsi="Wingdings 3"/>
              </w:rPr>
              <w:t></w:t>
            </w:r>
            <w:r w:rsidRPr="00E4754E">
              <w:rPr>
                <w:rStyle w:val="RolesChar1"/>
                <w:rFonts w:ascii="Wingdings 3" w:hAnsi="Wingdings 3"/>
              </w:rPr>
              <w:t></w:t>
            </w:r>
            <w:r w:rsidRPr="00E4754E">
              <w:rPr>
                <w:rStyle w:val="RolesChar1"/>
                <w:rFonts w:ascii="Wingdings 3" w:hAnsi="Wingdings 3"/>
              </w:rPr>
              <w:t></w:t>
            </w:r>
            <w:r w:rsidRPr="00E4754E">
              <w:rPr>
                <w:rStyle w:val="RolesChar1"/>
                <w:rFonts w:ascii="Wingdings 3" w:hAnsi="Wingdings 3"/>
              </w:rPr>
              <w:t></w:t>
            </w:r>
            <w:r w:rsidRPr="00E4754E">
              <w:t xml:space="preserve"> </w:t>
            </w:r>
            <w:r>
              <w:t>A Traditional Supervisor may inactivate SIs from database conversion.</w:t>
            </w:r>
          </w:p>
        </w:tc>
      </w:tr>
      <w:tr w:rsidR="002A21AE">
        <w:tblPrEx>
          <w:tblCellMar>
            <w:top w:w="0" w:type="dxa"/>
            <w:bottom w:w="0" w:type="dxa"/>
          </w:tblCellMar>
        </w:tblPrEx>
        <w:trPr>
          <w:trHeight w:val="1988"/>
        </w:trPr>
        <w:tc>
          <w:tcPr>
            <w:tcW w:w="3240" w:type="dxa"/>
          </w:tcPr>
          <w:p w:rsidR="002A21AE" w:rsidRDefault="002A21AE">
            <w:pPr>
              <w:pStyle w:val="TableTextNumbers"/>
            </w:pPr>
            <w:r>
              <w:t>Confirm the activation of the entry and enter a comment.</w:t>
            </w:r>
          </w:p>
          <w:p w:rsidR="002A21AE" w:rsidRDefault="002A21AE">
            <w:pPr>
              <w:pStyle w:val="TableTextNumbersContinued"/>
            </w:pPr>
          </w:p>
          <w:p w:rsidR="002A21AE" w:rsidRDefault="002A21AE">
            <w:pPr>
              <w:pStyle w:val="TableTextNumbersContinued"/>
            </w:pPr>
            <w:r>
              <w:t xml:space="preserve">Click </w:t>
            </w:r>
            <w:r>
              <w:rPr>
                <w:b/>
              </w:rPr>
              <w:t>OK</w:t>
            </w:r>
            <w:r>
              <w:t xml:space="preserve">. </w:t>
            </w:r>
          </w:p>
          <w:p w:rsidR="002A21AE" w:rsidRDefault="002A21AE">
            <w:pPr>
              <w:pStyle w:val="TableTextNumbersContinued"/>
            </w:pPr>
          </w:p>
          <w:p w:rsidR="002A21AE" w:rsidRDefault="002A21AE">
            <w:pPr>
              <w:pStyle w:val="TableTextNumbersContinued"/>
            </w:pPr>
            <w:r>
              <w:t>Return to Step 2 to add more SIs for this patient.</w:t>
            </w:r>
          </w:p>
          <w:p w:rsidR="002A21AE" w:rsidRDefault="002A21AE">
            <w:pPr>
              <w:pStyle w:val="TableTextNumbersContinued"/>
            </w:pPr>
          </w:p>
          <w:p w:rsidR="002A21AE" w:rsidRDefault="002A21AE">
            <w:pPr>
              <w:pStyle w:val="TableTextNumbersContinued"/>
            </w:pPr>
            <w:r>
              <w:t>Select another patient and return to Step 1, if desired</w:t>
            </w:r>
            <w:r w:rsidR="00DA12E9">
              <w:t>.</w:t>
            </w:r>
          </w:p>
          <w:p w:rsidR="002A21AE" w:rsidRDefault="002A21AE">
            <w:pPr>
              <w:pStyle w:val="TableTextNumbersContinued"/>
            </w:pPr>
          </w:p>
          <w:p w:rsidR="002A21AE" w:rsidRDefault="002A21AE">
            <w:pPr>
              <w:pStyle w:val="TableTextNumbersContinued"/>
              <w:rPr>
                <w:b/>
                <w:bCs/>
              </w:rPr>
            </w:pPr>
            <w:r>
              <w:t xml:space="preserve">Exit.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rsidR="002A21AE" w:rsidRDefault="002A21AE">
            <w:pPr>
              <w:pStyle w:val="TableTextBullet"/>
            </w:pPr>
            <w:r>
              <w:t>Saves the entry in the database.</w:t>
            </w:r>
          </w:p>
        </w:tc>
      </w:tr>
    </w:tbl>
    <w:p w:rsidR="009142E5" w:rsidRDefault="009142E5" w:rsidP="009142E5">
      <w:pPr>
        <w:pStyle w:val="Caption"/>
      </w:pPr>
      <w:bookmarkStart w:id="522" w:name="_Toc63680371"/>
      <w:r>
        <w:br w:type="page"/>
      </w:r>
      <w:bookmarkStart w:id="523" w:name="_Ref127262439"/>
      <w:r>
        <w:lastRenderedPageBreak/>
        <w:t xml:space="preserve">Figure </w:t>
      </w:r>
      <w:r w:rsidR="00C17F7C">
        <w:fldChar w:fldCharType="begin"/>
      </w:r>
      <w:r w:rsidR="00C17F7C">
        <w:instrText xml:space="preserve"> SEQ Figure \* ARABIC </w:instrText>
      </w:r>
      <w:r w:rsidR="00C17F7C">
        <w:fldChar w:fldCharType="separate"/>
      </w:r>
      <w:r w:rsidR="005F38BC">
        <w:rPr>
          <w:noProof/>
        </w:rPr>
        <w:t>131</w:t>
      </w:r>
      <w:r w:rsidR="00C17F7C">
        <w:fldChar w:fldCharType="end"/>
      </w:r>
      <w:bookmarkEnd w:id="523"/>
      <w:r>
        <w:t xml:space="preserve">: </w:t>
      </w:r>
      <w:r w:rsidRPr="00AB6967">
        <w:t>Enter Patient Special Instructions and Transfusion Requirements</w:t>
      </w:r>
    </w:p>
    <w:p w:rsidR="002A21AE" w:rsidRDefault="00634BFC" w:rsidP="00FA7E65">
      <w:pPr>
        <w:pStyle w:val="BodyText"/>
      </w:pPr>
      <w:r>
        <w:rPr>
          <w:noProof/>
        </w:rPr>
        <w:drawing>
          <wp:inline distT="0" distB="0" distL="0" distR="0">
            <wp:extent cx="5934075" cy="3771900"/>
            <wp:effectExtent l="0" t="0" r="952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934075" cy="3771900"/>
                    </a:xfrm>
                    <a:prstGeom prst="rect">
                      <a:avLst/>
                    </a:prstGeom>
                    <a:noFill/>
                    <a:ln>
                      <a:noFill/>
                    </a:ln>
                  </pic:spPr>
                </pic:pic>
              </a:graphicData>
            </a:graphic>
          </wp:inline>
        </w:drawing>
      </w:r>
    </w:p>
    <w:p w:rsidR="00DA5ED4" w:rsidRDefault="00DA5ED4" w:rsidP="00FA7E65">
      <w:pPr>
        <w:pStyle w:val="BodyText"/>
        <w:sectPr w:rsidR="00DA5ED4" w:rsidSect="00EE771C">
          <w:pgSz w:w="12240" w:h="15840" w:code="1"/>
          <w:pgMar w:top="1440" w:right="1440" w:bottom="1440" w:left="1440" w:header="720" w:footer="720" w:gutter="0"/>
          <w:cols w:space="720"/>
          <w:docGrid w:linePitch="360"/>
        </w:sectPr>
      </w:pPr>
    </w:p>
    <w:p w:rsidR="002A21AE" w:rsidRDefault="002A21AE">
      <w:pPr>
        <w:pStyle w:val="Heading2"/>
      </w:pPr>
      <w:bookmarkStart w:id="524" w:name="_Toc63680369"/>
      <w:bookmarkStart w:id="525" w:name="_Post-Transfusion_Information"/>
      <w:bookmarkStart w:id="526" w:name="_Toc459900156"/>
      <w:bookmarkEnd w:id="363"/>
      <w:bookmarkEnd w:id="522"/>
      <w:bookmarkEnd w:id="525"/>
      <w:r>
        <w:lastRenderedPageBreak/>
        <w:t>Post-Transfusion Information</w:t>
      </w:r>
      <w:bookmarkEnd w:id="526"/>
      <w:r>
        <w:fldChar w:fldCharType="begin"/>
      </w:r>
      <w:r>
        <w:instrText xml:space="preserve"> XE </w:instrText>
      </w:r>
      <w:r w:rsidR="00FA7E65">
        <w:instrText>“</w:instrText>
      </w:r>
      <w:r>
        <w:instrText>Post-Transfusion Information</w:instrText>
      </w:r>
      <w:r w:rsidR="00FA7E65">
        <w:instrText>”</w:instrText>
      </w:r>
      <w:r>
        <w:instrText xml:space="preserve"> </w:instrText>
      </w:r>
      <w:r>
        <w:fldChar w:fldCharType="end"/>
      </w:r>
      <w:r>
        <w:rPr>
          <w:snapToGrid w:val="0"/>
        </w:rPr>
        <w:t xml:space="preserve"> </w:t>
      </w:r>
      <w:r w:rsidRPr="00DA5ED4">
        <w:rPr>
          <w:rFonts w:ascii="Arial Bold" w:hAnsi="Arial Bold"/>
          <w:vanish/>
        </w:rPr>
        <w:t>UC_69</w:t>
      </w:r>
    </w:p>
    <w:p w:rsidR="002A21AE" w:rsidRDefault="002A21AE" w:rsidP="00FA7E65">
      <w:pPr>
        <w:pStyle w:val="BodyText"/>
      </w:pPr>
      <w:r>
        <w:t>The user enters post-transfusion details from the Blood Transfusion Record Form (BTRF)</w:t>
      </w:r>
      <w:r w:rsidR="00EE44F1" w:rsidRPr="00EE44F1">
        <w:t xml:space="preserve"> </w:t>
      </w:r>
      <w:r w:rsidR="00EE44F1">
        <w:t>or VBECS saves post-transfusion det</w:t>
      </w:r>
      <w:r w:rsidR="007163E2">
        <w:t xml:space="preserve">ails received from the Transfusion Verification </w:t>
      </w:r>
      <w:r w:rsidR="00EE44F1">
        <w:t>System</w:t>
      </w:r>
      <w:r>
        <w:t xml:space="preserve">. </w:t>
      </w:r>
    </w:p>
    <w:p w:rsidR="002A21AE" w:rsidRDefault="002A21AE">
      <w:pPr>
        <w:pStyle w:val="Heading4"/>
      </w:pPr>
      <w:r>
        <w:t>Assumptions</w:t>
      </w:r>
    </w:p>
    <w:p w:rsidR="002A21AE" w:rsidRDefault="002A21AE">
      <w:pPr>
        <w:pStyle w:val="ListBullet"/>
        <w:ind w:left="720"/>
      </w:pPr>
      <w:r>
        <w:t>The BTRF is returned and completed for each unit.</w:t>
      </w:r>
    </w:p>
    <w:p w:rsidR="002A21AE" w:rsidRDefault="002A21AE">
      <w:pPr>
        <w:pStyle w:val="ListBullet"/>
        <w:ind w:left="720"/>
      </w:pPr>
      <w:r>
        <w:t>The unit status is “issued” or “presumed transfused” in VBECS.</w:t>
      </w:r>
    </w:p>
    <w:p w:rsidR="00EE44F1" w:rsidRDefault="00EE44F1" w:rsidP="00EE44F1">
      <w:pPr>
        <w:pStyle w:val="ListBullet"/>
        <w:ind w:left="720"/>
      </w:pPr>
      <w:r>
        <w:t>Interface connections to the BCE COTS system are enabled to receive transfusion update messages.</w:t>
      </w:r>
    </w:p>
    <w:p w:rsidR="002A21AE" w:rsidRDefault="002A21AE">
      <w:pPr>
        <w:pStyle w:val="Heading4"/>
      </w:pPr>
      <w:r>
        <w:t>Outcome</w:t>
      </w:r>
    </w:p>
    <w:p w:rsidR="002A21AE" w:rsidRDefault="002A21AE" w:rsidP="004D0C24">
      <w:pPr>
        <w:pStyle w:val="ListBullet"/>
        <w:ind w:left="720"/>
      </w:pPr>
      <w:r>
        <w:t>The unit status is updated to “transfused.”</w:t>
      </w:r>
    </w:p>
    <w:p w:rsidR="002A21AE" w:rsidRDefault="002A21AE">
      <w:pPr>
        <w:pStyle w:val="ListBullet"/>
        <w:ind w:left="720"/>
      </w:pPr>
      <w:r>
        <w:t>The VBECS patient record includes the blood transfusion information.</w:t>
      </w:r>
    </w:p>
    <w:p w:rsidR="002A21AE" w:rsidRDefault="002A21AE">
      <w:pPr>
        <w:pStyle w:val="Heading4"/>
      </w:pPr>
      <w:r>
        <w:t>Limitations and Restrictions</w:t>
      </w:r>
    </w:p>
    <w:p w:rsidR="00EE44F1" w:rsidRDefault="006D40D4" w:rsidP="004D0C24">
      <w:pPr>
        <w:pStyle w:val="ListBullet"/>
      </w:pPr>
      <w:r>
        <w:t xml:space="preserve">VBECS cannot update a unit record to presumed transfused when a </w:t>
      </w:r>
      <w:r w:rsidR="004D0C24" w:rsidRPr="004D0C24">
        <w:t xml:space="preserve">user has </w:t>
      </w:r>
      <w:r>
        <w:t xml:space="preserve">that </w:t>
      </w:r>
      <w:r w:rsidR="004D0C24" w:rsidRPr="004D0C24">
        <w:t>unit record open (locked) in Enter Post Transfusion Information</w:t>
      </w:r>
      <w:r>
        <w:t xml:space="preserve">. VBECS will attempt to update the unit the next </w:t>
      </w:r>
      <w:r w:rsidR="004D0C24" w:rsidRPr="004D0C24">
        <w:t xml:space="preserve">time the </w:t>
      </w:r>
      <w:r>
        <w:t xml:space="preserve">presumed transfused background routing </w:t>
      </w:r>
      <w:r w:rsidR="004D0C24" w:rsidRPr="004D0C24">
        <w:t>runs if the unit remains in an issued status.</w:t>
      </w:r>
      <w:r w:rsidR="004309FB" w:rsidRPr="004309FB">
        <w:rPr>
          <w:vanish/>
        </w:rPr>
        <w:t xml:space="preserve"> </w:t>
      </w:r>
      <w:r w:rsidR="004309FB" w:rsidRPr="00EE44F1">
        <w:rPr>
          <w:vanish/>
        </w:rPr>
        <w:t>DR 3089</w:t>
      </w:r>
    </w:p>
    <w:p w:rsidR="00F854CF" w:rsidRDefault="00EE44F1" w:rsidP="00EE44F1">
      <w:pPr>
        <w:pStyle w:val="ListBullet"/>
      </w:pPr>
      <w:r>
        <w:t>If post-transfusion information is not transmitted to VBECS</w:t>
      </w:r>
      <w:r w:rsidR="007163E2">
        <w:t xml:space="preserve"> by the BCE COTS interface</w:t>
      </w:r>
      <w:r>
        <w:t>, the user will need to enter that information to update the record from presumed transfused to transfused.</w:t>
      </w:r>
    </w:p>
    <w:p w:rsidR="000E2D6A" w:rsidRDefault="000E2D6A" w:rsidP="00EE44F1">
      <w:pPr>
        <w:pStyle w:val="ListBullet"/>
      </w:pPr>
      <w:r>
        <w:t xml:space="preserve">The transfusion comments and volume transfused entered in the Transfusion Verification </w:t>
      </w:r>
      <w:r w:rsidR="00E20BD6">
        <w:t xml:space="preserve">application as an update to a completed transfusion </w:t>
      </w:r>
      <w:r>
        <w:t>are not sent to VBECS.</w:t>
      </w:r>
      <w:r>
        <w:rPr>
          <w:vanish/>
        </w:rPr>
        <w:t xml:space="preserve"> DR 4173</w:t>
      </w:r>
      <w:r>
        <w:t xml:space="preserve"> </w:t>
      </w:r>
    </w:p>
    <w:p w:rsidR="00D26DD7" w:rsidRDefault="00D26DD7" w:rsidP="00EE44F1">
      <w:pPr>
        <w:pStyle w:val="ListBullet"/>
      </w:pPr>
      <w:r>
        <w:t>Transfu</w:t>
      </w:r>
      <w:r w:rsidR="00A6148D">
        <w:t>sion reaction symptoms are not provided</w:t>
      </w:r>
      <w:r>
        <w:t xml:space="preserve"> to VBECS by the Transfusion Verification application unless a transfusion reaction has also been indicated for that event.</w:t>
      </w:r>
      <w:r>
        <w:rPr>
          <w:vanish/>
        </w:rPr>
        <w:t xml:space="preserve"> DR 4217</w:t>
      </w:r>
    </w:p>
    <w:p w:rsidR="002A21AE" w:rsidRDefault="002A21AE">
      <w:pPr>
        <w:pStyle w:val="Heading4"/>
      </w:pPr>
      <w:r>
        <w:t>Additional Information</w:t>
      </w:r>
    </w:p>
    <w:p w:rsidR="005F07D8" w:rsidRPr="004C51FE" w:rsidRDefault="00F854CF" w:rsidP="005F07D8">
      <w:pPr>
        <w:pStyle w:val="ListBullet"/>
      </w:pPr>
      <w:r>
        <w:rPr>
          <w:rFonts w:eastAsia="Arial Unicode MS"/>
        </w:rPr>
        <w:t>A</w:t>
      </w:r>
      <w:r w:rsidR="005F07D8">
        <w:rPr>
          <w:rFonts w:eastAsia="Arial Unicode MS"/>
        </w:rPr>
        <w:t xml:space="preserve"> user </w:t>
      </w:r>
      <w:r>
        <w:rPr>
          <w:rFonts w:eastAsia="Arial Unicode MS"/>
        </w:rPr>
        <w:t xml:space="preserve">with the appropriate security level </w:t>
      </w:r>
      <w:r w:rsidR="005F07D8">
        <w:rPr>
          <w:rFonts w:eastAsia="Arial Unicode MS"/>
        </w:rPr>
        <w:t xml:space="preserve">may </w:t>
      </w:r>
      <w:r w:rsidR="005F07D8" w:rsidRPr="005F07D8">
        <w:rPr>
          <w:rFonts w:eastAsia="Arial Unicode MS"/>
        </w:rPr>
        <w:t>enter</w:t>
      </w:r>
      <w:r w:rsidR="005F07D8">
        <w:rPr>
          <w:rFonts w:eastAsia="Arial Unicode MS"/>
        </w:rPr>
        <w:t xml:space="preserve"> </w:t>
      </w:r>
      <w:r>
        <w:rPr>
          <w:rFonts w:eastAsia="Arial Unicode MS"/>
        </w:rPr>
        <w:t xml:space="preserve">or edit </w:t>
      </w:r>
      <w:r w:rsidR="005F07D8">
        <w:rPr>
          <w:rFonts w:eastAsia="Arial Unicode MS"/>
        </w:rPr>
        <w:t>bedside verification information unless it is re</w:t>
      </w:r>
      <w:r w:rsidR="005109EB">
        <w:rPr>
          <w:rFonts w:eastAsia="Arial Unicode MS"/>
        </w:rPr>
        <w:t>ceiv</w:t>
      </w:r>
      <w:r w:rsidR="00CC58D8">
        <w:rPr>
          <w:rFonts w:eastAsia="Arial Unicode MS"/>
        </w:rPr>
        <w:t>ed from BCE COTS interface</w:t>
      </w:r>
      <w:r w:rsidR="005F07D8">
        <w:rPr>
          <w:rFonts w:eastAsia="Arial Unicode MS"/>
        </w:rPr>
        <w:t>.</w:t>
      </w:r>
    </w:p>
    <w:p w:rsidR="002A21AE" w:rsidRPr="004C51FE" w:rsidRDefault="002A21AE" w:rsidP="004C51FE">
      <w:pPr>
        <w:pStyle w:val="ListBullet"/>
      </w:pPr>
      <w:r w:rsidRPr="00D5161F">
        <w:rPr>
          <w:vanish/>
        </w:rPr>
        <w:t xml:space="preserve">BR_69.09 </w:t>
      </w:r>
      <w:r w:rsidRPr="004C51FE">
        <w:t>The user may indicate that a transfusion reaction and symptoms were noted on the BTRF as free text. Noting a transfusion reaction does not create an order for a transfusion reaction workup (TRW).</w:t>
      </w:r>
    </w:p>
    <w:p w:rsidR="004C51FE" w:rsidRDefault="00776AAE" w:rsidP="004C51FE">
      <w:pPr>
        <w:pStyle w:val="ListBullet"/>
      </w:pPr>
      <w:r>
        <w:t>R</w:t>
      </w:r>
      <w:r w:rsidR="004C51FE">
        <w:t>emove a “transfused” status</w:t>
      </w:r>
      <w:r>
        <w:t xml:space="preserve"> through</w:t>
      </w:r>
      <w:r w:rsidR="004C51FE">
        <w:t xml:space="preserve"> Remove Final Status</w:t>
      </w:r>
      <w:r w:rsidR="00A6148D">
        <w:t xml:space="preserve"> unless that unit was transfused by the Transfusion Verification application. See limitations in Remove Final Status</w:t>
      </w:r>
      <w:r w:rsidR="004C51FE">
        <w:t>.</w:t>
      </w:r>
    </w:p>
    <w:p w:rsidR="002A21AE" w:rsidRDefault="002A21AE">
      <w:pPr>
        <w:pStyle w:val="Heading4"/>
      </w:pPr>
      <w:r>
        <w:t>User Roles with Access to This Option</w:t>
      </w:r>
    </w:p>
    <w:p w:rsidR="007D4E77" w:rsidRDefault="007D4E77" w:rsidP="007D4E77">
      <w:pPr>
        <w:pStyle w:val="Roles"/>
        <w:rPr>
          <w:snapToGrid w:val="0"/>
        </w:rPr>
      </w:pPr>
      <w:r>
        <w:t>All users</w:t>
      </w:r>
    </w:p>
    <w:p w:rsidR="002A21AE" w:rsidRDefault="002A21AE">
      <w:pPr>
        <w:pStyle w:val="Heading4"/>
      </w:pPr>
      <w:r>
        <w:t>Post-Transfusion Information</w:t>
      </w:r>
    </w:p>
    <w:p w:rsidR="002A21AE" w:rsidRDefault="002A21AE" w:rsidP="00FA7E65">
      <w:pPr>
        <w:pStyle w:val="BodyText"/>
      </w:pPr>
      <w:r>
        <w:t>The user verifies the date and time transfused with a returned BTRF, adds other transfusion details, initiates a system check of the bedside verification information, enters that information, and indicates whether a</w:t>
      </w:r>
      <w:r w:rsidR="00A10483">
        <w:t xml:space="preserve"> </w:t>
      </w:r>
      <w:r>
        <w:t xml:space="preserve">reaction occurred during or immediately after the transfusion, as documented on the BTRF. </w:t>
      </w:r>
      <w:r w:rsidR="006B7AA9">
        <w:t xml:space="preserve">VBECS does not require entry of post-transfusion information: </w:t>
      </w:r>
      <w:r w:rsidR="00CA57D7">
        <w:t xml:space="preserve">once a day, </w:t>
      </w:r>
      <w:r w:rsidR="006B7AA9">
        <w:t xml:space="preserve">without user input, </w:t>
      </w:r>
      <w:r w:rsidR="00CA57D7">
        <w:t>VBECS moves units 48 hours after issue to</w:t>
      </w:r>
      <w:r w:rsidR="006B7AA9">
        <w:t xml:space="preserve"> “presumed transfused” status</w:t>
      </w:r>
      <w:r w:rsidR="005C7822" w:rsidRPr="00FE1F14">
        <w:rPr>
          <w:vanish/>
        </w:rPr>
        <w:t>UserDoc Task 1098</w:t>
      </w:r>
      <w:r w:rsidR="006B7AA9">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 xml:space="preserve">Select </w:t>
            </w:r>
            <w:r>
              <w:rPr>
                <w:b/>
              </w:rPr>
              <w:t>Patients</w:t>
            </w:r>
            <w:r>
              <w:t xml:space="preserve"> from the main menu.</w:t>
            </w:r>
          </w:p>
          <w:p w:rsidR="002A21AE" w:rsidRDefault="002A21AE">
            <w:pPr>
              <w:pStyle w:val="TableTextNumbersContinued"/>
            </w:pPr>
          </w:p>
          <w:p w:rsidR="002A21AE" w:rsidRDefault="002A21AE">
            <w:pPr>
              <w:pStyle w:val="TableTextNumbersContinued"/>
            </w:pPr>
            <w:r>
              <w:t xml:space="preserve">Select </w:t>
            </w:r>
            <w:r>
              <w:rPr>
                <w:b/>
              </w:rPr>
              <w:t xml:space="preserve">Post-Transfusion </w:t>
            </w:r>
            <w:r>
              <w:rPr>
                <w:b/>
              </w:rPr>
              <w:lastRenderedPageBreak/>
              <w:t>Information</w:t>
            </w:r>
            <w:r>
              <w:t xml:space="preserve">. </w:t>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Bullet"/>
            </w:pPr>
            <w:r>
              <w:lastRenderedPageBreak/>
              <w:t>Displays options for processing patient-related functions.</w:t>
            </w:r>
          </w:p>
          <w:p w:rsidR="002A21AE" w:rsidRDefault="002A21AE">
            <w:pPr>
              <w:pStyle w:val="TableTextBullet"/>
            </w:pPr>
            <w:r>
              <w:t>Displays an option to scan the Caution Tag or enter a patient name or ID.</w:t>
            </w:r>
          </w:p>
        </w:tc>
      </w:tr>
      <w:tr w:rsidR="002A21AE">
        <w:tblPrEx>
          <w:tblCellMar>
            <w:top w:w="0" w:type="dxa"/>
            <w:bottom w:w="0" w:type="dxa"/>
          </w:tblCellMar>
        </w:tblPrEx>
        <w:tc>
          <w:tcPr>
            <w:tcW w:w="3240" w:type="dxa"/>
          </w:tcPr>
          <w:p w:rsidR="002A21AE" w:rsidRDefault="002A21AE">
            <w:pPr>
              <w:pStyle w:val="TableTextNumbers"/>
            </w:pPr>
            <w:r>
              <w:lastRenderedPageBreak/>
              <w:t xml:space="preserve">Select a patient and click </w:t>
            </w:r>
            <w:r>
              <w:rPr>
                <w:b/>
              </w:rPr>
              <w:t>OK</w:t>
            </w:r>
            <w:r>
              <w:t>.</w:t>
            </w:r>
          </w:p>
        </w:tc>
        <w:tc>
          <w:tcPr>
            <w:tcW w:w="6120" w:type="dxa"/>
          </w:tcPr>
          <w:p w:rsidR="002A21AE" w:rsidRDefault="002A21AE">
            <w:pPr>
              <w:pStyle w:val="TableTextBullet"/>
            </w:pPr>
            <w:r>
              <w:rPr>
                <w:rFonts w:cs="Arial"/>
                <w:vanish/>
              </w:rPr>
              <w:t xml:space="preserve">BR_69.02 </w:t>
            </w:r>
            <w:r>
              <w:t xml:space="preserve">Lists the units issued to the selected patient. </w:t>
            </w:r>
          </w:p>
          <w:p w:rsidR="002A21AE" w:rsidRDefault="002A21AE">
            <w:pPr>
              <w:pStyle w:val="TableTextBullet"/>
            </w:pPr>
            <w:r>
              <w:t>Displays the issue date and time.</w:t>
            </w:r>
          </w:p>
          <w:p w:rsidR="002A21AE" w:rsidRDefault="002A21AE">
            <w:pPr>
              <w:pStyle w:val="TableTextBullet"/>
            </w:pPr>
            <w:r>
              <w:t>Displays the units one at a time for update in the order in which the user selected them.</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4134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25" name="Lin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8"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rHyFg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Bk&#10;wrHyFgIAAC0EAAAOAAAAAAAAAAAAAAAAAC4CAABkcnMvZTJvRG9jLnhtbFBLAQItABQABgAIAAAA&#10;IQAXTzAS2wAAAAgBAAAPAAAAAAAAAAAAAAAAAHAEAABkcnMvZG93bnJldi54bWxQSwUGAAAAAAQA&#10;BADzAAAAeAUAAAAA&#10;" strokeweight="1.5pt"/>
                  </w:pict>
                </mc:Fallback>
              </mc:AlternateContent>
            </w:r>
            <w:r w:rsidR="002A21AE">
              <w:rPr>
                <w:b/>
                <w:bCs/>
                <w:szCs w:val="18"/>
              </w:rPr>
              <w:t>NOTES</w:t>
            </w:r>
          </w:p>
          <w:p w:rsidR="002A21AE" w:rsidRDefault="002A21AE">
            <w:pPr>
              <w:pStyle w:val="NotesText"/>
            </w:pPr>
          </w:p>
          <w:p w:rsidR="00C341A6" w:rsidRDefault="00C341A6" w:rsidP="00C341A6">
            <w:pPr>
              <w:pStyle w:val="NotesText"/>
            </w:pPr>
            <w:r>
              <w:rPr>
                <w:rFonts w:cs="Arial"/>
                <w:vanish/>
              </w:rPr>
              <w:t xml:space="preserve">BR_69.03 </w:t>
            </w:r>
            <w:r w:rsidRPr="007D4E77">
              <w:rPr>
                <w:rFonts w:ascii="Wingdings 3" w:hAnsi="Wingdings 3"/>
              </w:rPr>
              <w:t></w:t>
            </w:r>
            <w:r w:rsidRPr="007D4E77">
              <w:rPr>
                <w:rFonts w:ascii="Wingdings 3" w:hAnsi="Wingdings 3"/>
              </w:rPr>
              <w:t></w:t>
            </w:r>
            <w:r w:rsidRPr="007D4E77">
              <w:rPr>
                <w:rFonts w:ascii="Wingdings 3" w:hAnsi="Wingdings 3"/>
              </w:rPr>
              <w:t></w:t>
            </w:r>
            <w:r w:rsidRPr="007D4E77">
              <w:rPr>
                <w:rFonts w:ascii="Wingdings 3" w:hAnsi="Wingdings 3"/>
              </w:rPr>
              <w:t></w:t>
            </w:r>
            <w:r>
              <w:t xml:space="preserve"> VBECS displays an option to obtain a list of transfused (those not received by BCE COTS) units for the patient when the user is a Traditional Supervisor or above.</w:t>
            </w:r>
          </w:p>
          <w:p w:rsidR="002A21AE" w:rsidRDefault="002A21AE">
            <w:pPr>
              <w:pStyle w:val="NotesText"/>
            </w:pPr>
          </w:p>
          <w:p w:rsidR="00C341A6" w:rsidRDefault="00C341A6">
            <w:pPr>
              <w:pStyle w:val="NotesText"/>
            </w:pPr>
            <w:r w:rsidRPr="00E34E31">
              <w:rPr>
                <w:vanish/>
              </w:rPr>
              <w:t xml:space="preserve">BR_69.01 </w:t>
            </w:r>
            <w:r w:rsidRPr="00E34E31">
              <w:t>When post-transfusion information is not entered into VBECS within 48 hours from the date/time the unit was recorded as “issued”, VBECS will change the unit status to “transfused” with a presumed indicator after the execution of a scheduled background job. The unit will then be considered transfused by the system regarding report generation. If post-transfusion information is entered later, the presumed indicator is deactivated.</w:t>
            </w:r>
          </w:p>
        </w:tc>
      </w:tr>
      <w:tr w:rsidR="00D51EEA">
        <w:tblPrEx>
          <w:tblCellMar>
            <w:top w:w="0" w:type="dxa"/>
            <w:bottom w:w="0" w:type="dxa"/>
          </w:tblCellMar>
        </w:tblPrEx>
        <w:tc>
          <w:tcPr>
            <w:tcW w:w="3240" w:type="dxa"/>
          </w:tcPr>
          <w:p w:rsidR="00D51EEA" w:rsidRDefault="00D51EEA">
            <w:pPr>
              <w:pStyle w:val="TableTextNumbers"/>
            </w:pPr>
            <w:r>
              <w:t>Click one or more check boxes to select units</w:t>
            </w:r>
            <w:r w:rsidR="00DA5ED4">
              <w:t xml:space="preserve"> (</w:t>
            </w:r>
            <w:r w:rsidR="00AF4568">
              <w:fldChar w:fldCharType="begin"/>
            </w:r>
            <w:r w:rsidR="00AF4568">
              <w:instrText xml:space="preserve"> REF _Ref127607637 \h </w:instrText>
            </w:r>
            <w:r w:rsidR="00AF4568">
              <w:fldChar w:fldCharType="separate"/>
            </w:r>
            <w:r w:rsidR="005F38BC">
              <w:t xml:space="preserve">Figure </w:t>
            </w:r>
            <w:r w:rsidR="005F38BC">
              <w:rPr>
                <w:noProof/>
              </w:rPr>
              <w:t>132</w:t>
            </w:r>
            <w:r w:rsidR="00AF4568">
              <w:fldChar w:fldCharType="end"/>
            </w:r>
            <w:r w:rsidR="00DA5ED4">
              <w:t>)</w:t>
            </w:r>
            <w:r>
              <w:t>.</w:t>
            </w:r>
          </w:p>
          <w:p w:rsidR="00AB0C95" w:rsidRDefault="00AB0C95" w:rsidP="00AB0C95">
            <w:pPr>
              <w:pStyle w:val="TableTextNumbersContinued"/>
            </w:pPr>
          </w:p>
          <w:p w:rsidR="00AB0C95" w:rsidRDefault="00AB0C95" w:rsidP="00AB0C95">
            <w:pPr>
              <w:pStyle w:val="TableTextNumbersContinued"/>
            </w:pPr>
            <w:r>
              <w:t xml:space="preserve">Click </w:t>
            </w:r>
            <w:r w:rsidRPr="00AB0C95">
              <w:rPr>
                <w:b/>
              </w:rPr>
              <w:t>OK</w:t>
            </w:r>
            <w:r>
              <w:t>.</w:t>
            </w:r>
          </w:p>
        </w:tc>
        <w:tc>
          <w:tcPr>
            <w:tcW w:w="6120" w:type="dxa"/>
          </w:tcPr>
          <w:p w:rsidR="00D51EEA" w:rsidRDefault="00D51EEA" w:rsidP="00D51EEA">
            <w:pPr>
              <w:pStyle w:val="TableTextBullet"/>
            </w:pPr>
            <w:r>
              <w:t>Allows the user to select units for which to enter post-transfusion information.</w:t>
            </w:r>
          </w:p>
          <w:p w:rsidR="00D51EEA" w:rsidRDefault="00D51EEA" w:rsidP="00D51EEA">
            <w:pPr>
              <w:pStyle w:val="TableText"/>
            </w:pPr>
          </w:p>
          <w:p w:rsidR="00D51EEA" w:rsidRDefault="00634BFC" w:rsidP="00D51EEA">
            <w:pPr>
              <w:pStyle w:val="TableText"/>
              <w:rPr>
                <w:b/>
                <w:bCs/>
                <w:szCs w:val="18"/>
              </w:rPr>
            </w:pPr>
            <w:r>
              <w:rPr>
                <w:b/>
                <w:bCs/>
                <w:noProof/>
              </w:rPr>
              <mc:AlternateContent>
                <mc:Choice Requires="wps">
                  <w:drawing>
                    <wp:anchor distT="0" distB="0" distL="114300" distR="114300" simplePos="0" relativeHeight="25176627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24" name="Line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0" o:spid="_x0000_s1026" style="position:absolute;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8yFgIAAC4EAAAOAAAAZHJzL2Uyb0RvYy54bWysU8GO2jAQvVfqP1i+QxLIUo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Dj&#10;PC8yFgIAAC4EAAAOAAAAAAAAAAAAAAAAAC4CAABkcnMvZTJvRG9jLnhtbFBLAQItABQABgAIAAAA&#10;IQAXTzAS2wAAAAgBAAAPAAAAAAAAAAAAAAAAAHAEAABkcnMvZG93bnJldi54bWxQSwUGAAAAAAQA&#10;BADzAAAAeAUAAAAA&#10;" strokeweight="1.5pt"/>
                  </w:pict>
                </mc:Fallback>
              </mc:AlternateContent>
            </w:r>
            <w:r w:rsidR="00D51EEA">
              <w:rPr>
                <w:b/>
                <w:bCs/>
                <w:szCs w:val="18"/>
              </w:rPr>
              <w:t>NOTES</w:t>
            </w:r>
          </w:p>
          <w:p w:rsidR="00D51EEA" w:rsidRDefault="00D51EEA" w:rsidP="00D51EEA">
            <w:pPr>
              <w:pStyle w:val="NotesText"/>
            </w:pPr>
          </w:p>
          <w:p w:rsidR="00D51EEA" w:rsidRDefault="00D51EEA" w:rsidP="00D51EEA">
            <w:pPr>
              <w:pStyle w:val="NotesText"/>
            </w:pPr>
            <w:r w:rsidRPr="00896F17">
              <w:rPr>
                <w:rStyle w:val="BullhornChar"/>
              </w:rPr>
              <w:t></w:t>
            </w:r>
            <w:r>
              <w:rPr>
                <w:color w:val="000000"/>
                <w:szCs w:val="18"/>
              </w:rPr>
              <w:t xml:space="preserve"> </w:t>
            </w:r>
            <w:r>
              <w:rPr>
                <w:rFonts w:cs="Arial"/>
                <w:vanish/>
              </w:rPr>
              <w:t xml:space="preserve">BR_70.06 </w:t>
            </w:r>
            <w:r>
              <w:t xml:space="preserve">VBECS does not list units (for selection) with a final status. When a user enters a unit with a final status, VBECS </w:t>
            </w:r>
            <w:r w:rsidR="007826D2">
              <w:t>alerts</w:t>
            </w:r>
            <w:r>
              <w:t xml:space="preserve"> the user and clears the screen. The user may select another unit.</w:t>
            </w:r>
          </w:p>
        </w:tc>
      </w:tr>
      <w:tr w:rsidR="002A21AE">
        <w:tblPrEx>
          <w:tblCellMar>
            <w:top w:w="0" w:type="dxa"/>
            <w:bottom w:w="0" w:type="dxa"/>
          </w:tblCellMar>
        </w:tblPrEx>
        <w:tc>
          <w:tcPr>
            <w:tcW w:w="3240" w:type="dxa"/>
          </w:tcPr>
          <w:p w:rsidR="002A21AE" w:rsidRDefault="002A21AE">
            <w:pPr>
              <w:pStyle w:val="TableTextNumbers"/>
            </w:pPr>
            <w:r>
              <w:t xml:space="preserve">Enter transfusion details for a blood unit. </w:t>
            </w:r>
          </w:p>
          <w:p w:rsidR="002A21AE" w:rsidRDefault="002A21AE">
            <w:pPr>
              <w:pStyle w:val="TableTextNumbersContinued"/>
            </w:pPr>
          </w:p>
          <w:p w:rsidR="002A21AE" w:rsidRDefault="002A21AE">
            <w:pPr>
              <w:pStyle w:val="TableTextNumbersContinued"/>
            </w:pPr>
            <w:r>
              <w:t>Verify the unit selection.</w:t>
            </w:r>
          </w:p>
        </w:tc>
        <w:tc>
          <w:tcPr>
            <w:tcW w:w="6120" w:type="dxa"/>
          </w:tcPr>
          <w:p w:rsidR="00557C79" w:rsidRDefault="00557C79" w:rsidP="00557C79">
            <w:pPr>
              <w:pStyle w:val="TableTextBullet"/>
            </w:pPr>
            <w:r>
              <w:t xml:space="preserve">Displays the unit information entered by the bedside verification check and allows the user to enter to edit the information. </w:t>
            </w:r>
          </w:p>
          <w:p w:rsidR="00132628" w:rsidRDefault="00132628" w:rsidP="00557C79">
            <w:pPr>
              <w:pStyle w:val="TableTextBullet"/>
            </w:pPr>
            <w:r>
              <w:t>Displays an option to enter or edit unit data.</w:t>
            </w:r>
          </w:p>
          <w:p w:rsidR="00557C79" w:rsidRDefault="00557C79" w:rsidP="00557C79">
            <w:pPr>
              <w:pStyle w:val="TableText"/>
            </w:pPr>
          </w:p>
          <w:p w:rsidR="00557C79" w:rsidRDefault="00634BFC" w:rsidP="00557C79">
            <w:pPr>
              <w:pStyle w:val="TableText"/>
              <w:rPr>
                <w:b/>
                <w:bCs/>
                <w:szCs w:val="18"/>
              </w:rPr>
            </w:pPr>
            <w:r>
              <w:rPr>
                <w:b/>
                <w:bCs/>
                <w:noProof/>
              </w:rPr>
              <mc:AlternateContent>
                <mc:Choice Requires="wps">
                  <w:drawing>
                    <wp:anchor distT="0" distB="0" distL="114300" distR="114300" simplePos="0" relativeHeight="25176729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23" name="Line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1" o:spid="_x0000_s1026" style="position:absolute;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do2FwIAAC4EAAAOAAAAZHJzL2Uyb0RvYy54bWysU8uu2jAQ3VfqP1jeQxLIpR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" strokeweight="1.5pt"/>
                  </w:pict>
                </mc:Fallback>
              </mc:AlternateContent>
            </w:r>
            <w:r w:rsidR="00557C79">
              <w:rPr>
                <w:b/>
                <w:bCs/>
                <w:szCs w:val="18"/>
              </w:rPr>
              <w:t>NOTES</w:t>
            </w:r>
          </w:p>
          <w:p w:rsidR="00557C79" w:rsidRDefault="00557C79" w:rsidP="00557C79">
            <w:pPr>
              <w:pStyle w:val="NotesText"/>
            </w:pPr>
          </w:p>
          <w:p w:rsidR="002A21AE" w:rsidRDefault="00557C79" w:rsidP="00557C79">
            <w:pPr>
              <w:pStyle w:val="NotesText"/>
            </w:pPr>
            <w:r>
              <w:rPr>
                <w:rFonts w:cs="Arial"/>
                <w:vanish/>
              </w:rPr>
              <w:t xml:space="preserve">BR_69.05 </w:t>
            </w:r>
            <w:r w:rsidR="006D571D" w:rsidRPr="007D4E77">
              <w:rPr>
                <w:rFonts w:ascii="Wingdings 3" w:hAnsi="Wingdings 3"/>
              </w:rPr>
              <w:t></w:t>
            </w:r>
            <w:r w:rsidR="006D571D" w:rsidRPr="007D4E77">
              <w:rPr>
                <w:rFonts w:ascii="Wingdings 3" w:hAnsi="Wingdings 3"/>
              </w:rPr>
              <w:t></w:t>
            </w:r>
            <w:r w:rsidR="006D571D" w:rsidRPr="007D4E77">
              <w:rPr>
                <w:rFonts w:ascii="Wingdings 3" w:hAnsi="Wingdings 3"/>
              </w:rPr>
              <w:t></w:t>
            </w:r>
            <w:r w:rsidR="006D571D" w:rsidRPr="007D4E77">
              <w:rPr>
                <w:rFonts w:ascii="Wingdings 3" w:hAnsi="Wingdings 3"/>
              </w:rPr>
              <w:t></w:t>
            </w:r>
            <w:r w:rsidR="006D571D">
              <w:t xml:space="preserve"> </w:t>
            </w:r>
            <w:r>
              <w:t xml:space="preserve">A user with a security setting of Traditional Supervisor may edit </w:t>
            </w:r>
            <w:r w:rsidR="00DA747E">
              <w:t>user</w:t>
            </w:r>
            <w:r>
              <w:t xml:space="preserve"> entered bedside verification, transfusion reaction, or post-transfusion detail information.</w:t>
            </w:r>
          </w:p>
          <w:p w:rsidR="00132628" w:rsidRDefault="00132628" w:rsidP="00132628">
            <w:pPr>
              <w:pStyle w:val="NotesText"/>
            </w:pPr>
          </w:p>
          <w:p w:rsidR="003427EE" w:rsidRPr="003427EE" w:rsidRDefault="00132628" w:rsidP="003427EE">
            <w:pPr>
              <w:pStyle w:val="NotesText"/>
            </w:pPr>
            <w:r>
              <w:rPr>
                <w:rFonts w:cs="Arial"/>
                <w:vanish/>
              </w:rPr>
              <w:t xml:space="preserve">BR_69.08 </w:t>
            </w:r>
            <w:r>
              <w:t>VBECS displays an option to enter information for each unit.</w:t>
            </w:r>
            <w:r w:rsidR="00FE3062">
              <w:t xml:space="preserve"> This information is available for patient record retrieval.</w:t>
            </w:r>
          </w:p>
        </w:tc>
      </w:tr>
      <w:tr w:rsidR="002A21AE">
        <w:tblPrEx>
          <w:tblCellMar>
            <w:top w:w="0" w:type="dxa"/>
            <w:bottom w:w="0" w:type="dxa"/>
          </w:tblCellMar>
        </w:tblPrEx>
        <w:tc>
          <w:tcPr>
            <w:tcW w:w="3240" w:type="dxa"/>
          </w:tcPr>
          <w:p w:rsidR="002A21AE" w:rsidRDefault="002A21AE">
            <w:pPr>
              <w:pStyle w:val="TableTextNumbers"/>
            </w:pPr>
            <w:r>
              <w:t>Select one or more units. Enter or edit the bedside verification check information with the proper security level.</w:t>
            </w:r>
          </w:p>
        </w:tc>
        <w:tc>
          <w:tcPr>
            <w:tcW w:w="6120" w:type="dxa"/>
          </w:tcPr>
          <w:p w:rsidR="002A21AE" w:rsidRDefault="002A21AE">
            <w:pPr>
              <w:pStyle w:val="TableTextBullet"/>
            </w:pPr>
            <w:r>
              <w:t>Displays the entries for review, including the comment, until all details are entered.</w:t>
            </w:r>
          </w:p>
          <w:p w:rsidR="002A21AE" w:rsidRDefault="002A21AE">
            <w:pPr>
              <w:pStyle w:val="TableTextBullet"/>
            </w:pPr>
            <w:r>
              <w:t>Displays an option to save the data and exit.</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4032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22" name="Lin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6"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30QFgIAAC0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Av&#10;T30QFgIAAC0EAAAOAAAAAAAAAAAAAAAAAC4CAABkcnMvZTJvRG9jLnhtbFBLAQItABQABgAIAAAA&#10;IQAXTzAS2wAAAAgBAAAPAAAAAAAAAAAAAAAAAHAEAABkcnMvZG93bnJldi54bWxQSwUGAAAAAAQA&#10;BADzAAAAeAUAAAAA&#10;" strokeweight="1.5pt"/>
                  </w:pict>
                </mc:Fallback>
              </mc:AlternateContent>
            </w:r>
            <w:r w:rsidR="002A21AE">
              <w:rPr>
                <w:b/>
                <w:bCs/>
                <w:szCs w:val="18"/>
              </w:rPr>
              <w:t>NOTES</w:t>
            </w:r>
          </w:p>
          <w:p w:rsidR="002A21AE" w:rsidRDefault="002A21AE">
            <w:pPr>
              <w:pStyle w:val="NotesText"/>
            </w:pPr>
          </w:p>
          <w:p w:rsidR="002A21AE" w:rsidRPr="00D6556D" w:rsidRDefault="002A21AE" w:rsidP="00D6556D">
            <w:pPr>
              <w:pStyle w:val="NotesText"/>
            </w:pPr>
            <w:r>
              <w:rPr>
                <w:rFonts w:cs="Arial"/>
                <w:vanish/>
              </w:rPr>
              <w:t xml:space="preserve">BR_69.12 </w:t>
            </w:r>
            <w:r>
              <w:t>Upon data entry and saving of the post-transfusion information, VBECS assigns a status of “transfused” for the unit of blood assigned to the indicated patient.</w:t>
            </w:r>
          </w:p>
        </w:tc>
      </w:tr>
      <w:tr w:rsidR="002A21AE">
        <w:tblPrEx>
          <w:tblCellMar>
            <w:top w:w="0" w:type="dxa"/>
            <w:bottom w:w="0" w:type="dxa"/>
          </w:tblCellMar>
        </w:tblPrEx>
        <w:tc>
          <w:tcPr>
            <w:tcW w:w="3240" w:type="dxa"/>
          </w:tcPr>
          <w:p w:rsidR="002A21AE" w:rsidRDefault="0014520D">
            <w:pPr>
              <w:pStyle w:val="TableTextNumbers"/>
            </w:pPr>
            <w:r>
              <w:t>Enter post-transfusion details, including:</w:t>
            </w:r>
          </w:p>
          <w:p w:rsidR="0014520D" w:rsidRDefault="0014520D" w:rsidP="0014520D">
            <w:pPr>
              <w:pStyle w:val="TableTextNumbersBullet"/>
            </w:pPr>
            <w:r>
              <w:t>Transfusion start and end dates and times</w:t>
            </w:r>
          </w:p>
          <w:p w:rsidR="0014520D" w:rsidRDefault="0014520D" w:rsidP="0014520D">
            <w:pPr>
              <w:pStyle w:val="TableTextNumbersBullet"/>
            </w:pPr>
            <w:r>
              <w:t>Transfusionist ID</w:t>
            </w:r>
          </w:p>
          <w:p w:rsidR="0014520D" w:rsidRDefault="0014520D" w:rsidP="0014520D">
            <w:pPr>
              <w:pStyle w:val="TableTextNumbersBullet"/>
            </w:pPr>
            <w:r>
              <w:t>Location of transfusion</w:t>
            </w:r>
          </w:p>
          <w:p w:rsidR="0014520D" w:rsidRDefault="0014520D" w:rsidP="0014520D">
            <w:pPr>
              <w:pStyle w:val="TableTextNumbersBullet"/>
            </w:pPr>
            <w:r>
              <w:t xml:space="preserve">Whether the transfusion was </w:t>
            </w:r>
            <w:r>
              <w:lastRenderedPageBreak/>
              <w:t>completed or interrupted</w:t>
            </w:r>
          </w:p>
          <w:p w:rsidR="0014520D" w:rsidRDefault="0014520D" w:rsidP="0014520D">
            <w:pPr>
              <w:pStyle w:val="TableTextNumbersBullet"/>
            </w:pPr>
            <w:r>
              <w:t>If interrupted, the amount transfused</w:t>
            </w:r>
          </w:p>
          <w:p w:rsidR="0014520D" w:rsidRDefault="0014520D" w:rsidP="0014520D">
            <w:pPr>
              <w:pStyle w:val="TableTextNumbersBullet"/>
            </w:pPr>
            <w:r>
              <w:t>Whether there was a transfusion reaction</w:t>
            </w:r>
          </w:p>
          <w:p w:rsidR="0014520D" w:rsidRDefault="0014520D" w:rsidP="0014520D">
            <w:pPr>
              <w:pStyle w:val="TableTextNumbersBullet"/>
            </w:pPr>
            <w:r>
              <w:t>If there was a reaction, symptoms</w:t>
            </w:r>
            <w:r w:rsidR="00DA5ED4">
              <w:t xml:space="preserve"> (</w:t>
            </w:r>
            <w:r w:rsidR="00AF4568">
              <w:fldChar w:fldCharType="begin"/>
            </w:r>
            <w:r w:rsidR="00AF4568">
              <w:instrText xml:space="preserve"> REF _Ref127607838 \h </w:instrText>
            </w:r>
            <w:r w:rsidR="00AF4568">
              <w:fldChar w:fldCharType="separate"/>
            </w:r>
            <w:r w:rsidR="005F38BC">
              <w:t xml:space="preserve">Figure </w:t>
            </w:r>
            <w:r w:rsidR="005F38BC">
              <w:rPr>
                <w:noProof/>
              </w:rPr>
              <w:t>133</w:t>
            </w:r>
            <w:r w:rsidR="00AF4568">
              <w:fldChar w:fldCharType="end"/>
            </w:r>
            <w:r w:rsidR="00DA5ED4">
              <w:t>)</w:t>
            </w:r>
          </w:p>
          <w:p w:rsidR="008A3A5A" w:rsidRDefault="008A3A5A" w:rsidP="008A3A5A">
            <w:pPr>
              <w:pStyle w:val="TableTextNumbersContinued"/>
            </w:pPr>
          </w:p>
          <w:p w:rsidR="008A3A5A" w:rsidRDefault="008A3A5A" w:rsidP="008A3A5A">
            <w:pPr>
              <w:pStyle w:val="TableTextNumbersContinued"/>
            </w:pPr>
            <w:r>
              <w:t xml:space="preserve">Click </w:t>
            </w:r>
            <w:r w:rsidRPr="008A3A5A">
              <w:rPr>
                <w:b/>
              </w:rPr>
              <w:t>OK</w:t>
            </w:r>
            <w:r>
              <w:t xml:space="preserve"> to save.</w:t>
            </w:r>
          </w:p>
        </w:tc>
        <w:tc>
          <w:tcPr>
            <w:tcW w:w="6120" w:type="dxa"/>
          </w:tcPr>
          <w:p w:rsidR="002A21AE" w:rsidRDefault="002A21AE">
            <w:pPr>
              <w:pStyle w:val="TableTextBullet"/>
            </w:pPr>
            <w:r>
              <w:lastRenderedPageBreak/>
              <w:t>Displays an option to enter unit data.</w:t>
            </w:r>
          </w:p>
          <w:p w:rsidR="002A21AE" w:rsidRDefault="002A21AE">
            <w:pPr>
              <w:pStyle w:val="TableTextBullet"/>
            </w:pPr>
            <w:r>
              <w:t>Warns the user or allows the user to continue to the next selected unit.</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3827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21" name="Line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3"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wLXFQIAAC0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BXT&#10;Atc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8A3A5A" w:rsidRPr="008A3A5A" w:rsidRDefault="008A3A5A">
            <w:pPr>
              <w:pStyle w:val="NotesText"/>
              <w:rPr>
                <w:rFonts w:cs="Arial"/>
                <w:szCs w:val="18"/>
              </w:rPr>
            </w:pPr>
            <w:r w:rsidRPr="008A3A5A">
              <w:rPr>
                <w:rFonts w:cs="Arial"/>
                <w:szCs w:val="18"/>
              </w:rPr>
              <w:t xml:space="preserve">When a user </w:t>
            </w:r>
            <w:r>
              <w:rPr>
                <w:rFonts w:cs="Arial"/>
                <w:szCs w:val="18"/>
              </w:rPr>
              <w:t xml:space="preserve">indicates that </w:t>
            </w:r>
            <w:r w:rsidRPr="008A3A5A">
              <w:rPr>
                <w:rFonts w:cs="Arial"/>
                <w:szCs w:val="18"/>
              </w:rPr>
              <w:t>a transfusion reaction</w:t>
            </w:r>
            <w:r>
              <w:rPr>
                <w:rFonts w:cs="Arial"/>
                <w:szCs w:val="18"/>
              </w:rPr>
              <w:t xml:space="preserve"> occurred</w:t>
            </w:r>
            <w:r w:rsidRPr="008A3A5A">
              <w:rPr>
                <w:rFonts w:cs="Arial"/>
                <w:szCs w:val="18"/>
              </w:rPr>
              <w:t xml:space="preserve">, VBECS does not automatically order a TRW. </w:t>
            </w:r>
          </w:p>
          <w:p w:rsidR="008A3A5A" w:rsidRDefault="008A3A5A">
            <w:pPr>
              <w:pStyle w:val="NotesText"/>
              <w:rPr>
                <w:rFonts w:cs="Arial"/>
              </w:rPr>
            </w:pPr>
          </w:p>
          <w:p w:rsidR="00965B34" w:rsidRDefault="00965B34">
            <w:pPr>
              <w:pStyle w:val="NotesText"/>
              <w:rPr>
                <w:rFonts w:cs="Arial"/>
                <w:vanish/>
              </w:rPr>
            </w:pPr>
          </w:p>
          <w:p w:rsidR="002A21AE" w:rsidRDefault="002A21AE">
            <w:pPr>
              <w:pStyle w:val="NotesText"/>
            </w:pPr>
            <w:r>
              <w:rPr>
                <w:rFonts w:cs="Arial"/>
                <w:vanish/>
              </w:rPr>
              <w:t xml:space="preserve">BR_69.06 </w:t>
            </w:r>
            <w:r w:rsidR="00D6556D">
              <w:t xml:space="preserve">VBECS notifies the </w:t>
            </w:r>
            <w:r w:rsidR="00922AD8">
              <w:t>user when</w:t>
            </w:r>
            <w:r>
              <w:t xml:space="preserve"> the transfusion end date and time is earlier than the start or issue time. The user may correct the entry.</w:t>
            </w:r>
          </w:p>
          <w:p w:rsidR="002A21AE" w:rsidRDefault="002A21AE">
            <w:pPr>
              <w:pStyle w:val="NotesText"/>
            </w:pPr>
          </w:p>
          <w:p w:rsidR="002A21AE" w:rsidRDefault="002A21AE">
            <w:pPr>
              <w:pStyle w:val="NotesText"/>
            </w:pPr>
            <w:r>
              <w:rPr>
                <w:rFonts w:cs="Arial"/>
                <w:vanish/>
              </w:rPr>
              <w:t xml:space="preserve">BR_69.10 </w:t>
            </w:r>
            <w:r>
              <w:t>When the unit was not issued to a remote storage location, VBECS compares the date and time the unit was issued to the start transfusion time entered.</w:t>
            </w:r>
          </w:p>
          <w:p w:rsidR="002A21AE" w:rsidRDefault="002A21AE">
            <w:pPr>
              <w:pStyle w:val="NotesText"/>
            </w:pPr>
          </w:p>
          <w:p w:rsidR="002A21AE" w:rsidRDefault="002A21AE">
            <w:pPr>
              <w:pStyle w:val="NotesText"/>
            </w:pPr>
            <w:r>
              <w:t xml:space="preserve">When the difference is greater than 30 minutes, VBECS notifies the user that this is a delayed start time and allows the user to edit the transfusion start date and time. </w:t>
            </w:r>
            <w:r>
              <w:rPr>
                <w:b/>
              </w:rPr>
              <w:t>No</w:t>
            </w:r>
            <w:r>
              <w:t xml:space="preserve"> allows the user to continue. </w:t>
            </w:r>
            <w:r>
              <w:rPr>
                <w:b/>
              </w:rPr>
              <w:t>Yes</w:t>
            </w:r>
            <w:r>
              <w:t xml:space="preserve"> allows the user to edit the date and time the transfusion ended. When the user edits the date and time transfused, VBECS repeats this process until the user stops editing and chooses to continue.</w:t>
            </w:r>
          </w:p>
          <w:p w:rsidR="002A21AE" w:rsidRDefault="002A21AE">
            <w:pPr>
              <w:pStyle w:val="NotesText"/>
            </w:pPr>
          </w:p>
          <w:p w:rsidR="002A21AE" w:rsidRDefault="002A21AE">
            <w:pPr>
              <w:pStyle w:val="NotesText"/>
            </w:pPr>
            <w:r>
              <w:rPr>
                <w:rFonts w:cs="Arial"/>
                <w:vanish/>
              </w:rPr>
              <w:t xml:space="preserve">BR_69.11 </w:t>
            </w:r>
            <w:r>
              <w:t xml:space="preserve">When the unit was not issued to a remote storage location, VBECS compares the date and time recorded as the transfusion end time to the start date, calculates the transfusion time in minutes, and compares this period to the maximum transfusion time for the component class. When the calculated transfusion time for this unit exceeds the defined maximum transfusion time for the component class, VBECS notifies the user that this is a prolonged transfusion and allows the user to edit the transfusion end date and time. </w:t>
            </w:r>
            <w:r>
              <w:rPr>
                <w:b/>
              </w:rPr>
              <w:t>No</w:t>
            </w:r>
            <w:r>
              <w:t xml:space="preserve"> allows the user to continue. </w:t>
            </w:r>
            <w:r>
              <w:rPr>
                <w:b/>
              </w:rPr>
              <w:t>Yes</w:t>
            </w:r>
            <w:r>
              <w:t xml:space="preserve"> allows the user to edit the date and time the transfusion ended. When the user edits the date and time transfused, VBECS repeats this process until the user stops editing and chooses to continue.</w:t>
            </w:r>
          </w:p>
        </w:tc>
      </w:tr>
      <w:tr w:rsidR="002A21AE">
        <w:tblPrEx>
          <w:tblCellMar>
            <w:top w:w="0" w:type="dxa"/>
            <w:bottom w:w="0" w:type="dxa"/>
          </w:tblCellMar>
        </w:tblPrEx>
        <w:tc>
          <w:tcPr>
            <w:tcW w:w="3240" w:type="dxa"/>
          </w:tcPr>
          <w:p w:rsidR="002A21AE" w:rsidRDefault="002A21AE">
            <w:pPr>
              <w:pStyle w:val="TableTextNumbers"/>
            </w:pPr>
            <w:r>
              <w:lastRenderedPageBreak/>
              <w:t>Respond to warnings or continue to enter data for the next unit.</w:t>
            </w:r>
          </w:p>
        </w:tc>
        <w:tc>
          <w:tcPr>
            <w:tcW w:w="6120" w:type="dxa"/>
          </w:tcPr>
          <w:p w:rsidR="002A21AE" w:rsidRDefault="002A21AE">
            <w:pPr>
              <w:pStyle w:val="TableTextBullet"/>
            </w:pPr>
            <w:r>
              <w:t>Allows the user to repeat for subsequent selected units until all details are entered.</w:t>
            </w:r>
          </w:p>
          <w:p w:rsidR="002A21AE" w:rsidRDefault="002A21AE">
            <w:pPr>
              <w:pStyle w:val="TableTextBullet"/>
            </w:pPr>
            <w:r>
              <w:t>Displays an option to save the data and exit.</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3929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20" name="Line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4"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PGFA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BR_69.13 </w:t>
            </w:r>
            <w:r>
              <w:t>VBECS saves all transfusion information for future retrieval and reporting as part of the patient and unit historic records.</w:t>
            </w:r>
          </w:p>
          <w:p w:rsidR="00D6556D" w:rsidRDefault="00D6556D">
            <w:pPr>
              <w:pStyle w:val="NotesText"/>
            </w:pPr>
          </w:p>
          <w:p w:rsidR="00D6556D" w:rsidRDefault="005759DC" w:rsidP="005759DC">
            <w:pPr>
              <w:pStyle w:val="NotesText"/>
            </w:pPr>
            <w:r w:rsidRPr="00F91233">
              <w:rPr>
                <w:vanish/>
              </w:rPr>
              <w:t xml:space="preserve">BR_78.06 </w:t>
            </w:r>
            <w:r w:rsidR="00F91233">
              <w:t>VBECS notifies the user when DSS updates cannot be sent because Vis</w:t>
            </w:r>
            <w:r w:rsidR="00D6556D">
              <w:t>tALink is not active.</w:t>
            </w:r>
          </w:p>
          <w:p w:rsidR="00D6556D" w:rsidRDefault="00D6556D" w:rsidP="005759DC">
            <w:pPr>
              <w:pStyle w:val="NotesText"/>
            </w:pPr>
          </w:p>
          <w:p w:rsidR="005759DC" w:rsidRPr="005759DC" w:rsidRDefault="00D6556D" w:rsidP="00A2613A">
            <w:pPr>
              <w:pStyle w:val="NotesText"/>
            </w:pPr>
            <w:r w:rsidRPr="00CE602E">
              <w:rPr>
                <w:vanish/>
              </w:rPr>
              <w:t xml:space="preserve">BR_102.09 </w:t>
            </w:r>
            <w:r>
              <w:t>VBECS will attempt to resend the DSS information when VistA</w:t>
            </w:r>
            <w:r w:rsidR="00A2613A">
              <w:t>L</w:t>
            </w:r>
            <w:r>
              <w:t xml:space="preserve">ink is available after any user logs into the VBECS application’s </w:t>
            </w:r>
            <w:r w:rsidR="00A2613A">
              <w:t>VistALink</w:t>
            </w:r>
            <w:r>
              <w:t xml:space="preserve"> connection</w:t>
            </w:r>
          </w:p>
        </w:tc>
      </w:tr>
      <w:tr w:rsidR="002A21AE">
        <w:tblPrEx>
          <w:tblCellMar>
            <w:top w:w="0" w:type="dxa"/>
            <w:bottom w:w="0" w:type="dxa"/>
          </w:tblCellMar>
        </w:tblPrEx>
        <w:tc>
          <w:tcPr>
            <w:tcW w:w="3240" w:type="dxa"/>
          </w:tcPr>
          <w:p w:rsidR="002A21AE" w:rsidRDefault="002A21AE">
            <w:pPr>
              <w:pStyle w:val="TableTextNumbers"/>
            </w:pPr>
            <w:r>
              <w:t xml:space="preserve">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rsidR="002A21AE" w:rsidRDefault="002A21AE">
            <w:pPr>
              <w:pStyle w:val="TableText"/>
            </w:pPr>
          </w:p>
        </w:tc>
      </w:tr>
    </w:tbl>
    <w:p w:rsidR="00AF4568" w:rsidRDefault="00AF4568" w:rsidP="00AF4568">
      <w:pPr>
        <w:pStyle w:val="Caption"/>
      </w:pPr>
      <w:bookmarkStart w:id="527" w:name="_Ref127607637"/>
      <w:r>
        <w:lastRenderedPageBreak/>
        <w:t xml:space="preserve">Figure </w:t>
      </w:r>
      <w:r w:rsidR="00C17F7C">
        <w:fldChar w:fldCharType="begin"/>
      </w:r>
      <w:r w:rsidR="00C17F7C">
        <w:instrText xml:space="preserve"> SEQ Figure \* ARABIC </w:instrText>
      </w:r>
      <w:r w:rsidR="00C17F7C">
        <w:fldChar w:fldCharType="separate"/>
      </w:r>
      <w:r w:rsidR="005F38BC">
        <w:rPr>
          <w:noProof/>
        </w:rPr>
        <w:t>132</w:t>
      </w:r>
      <w:r w:rsidR="00C17F7C">
        <w:fldChar w:fldCharType="end"/>
      </w:r>
      <w:bookmarkEnd w:id="527"/>
      <w:r>
        <w:t>: Post-Transfusion Information</w:t>
      </w:r>
    </w:p>
    <w:p w:rsidR="002A21AE" w:rsidRDefault="00634BFC" w:rsidP="00AF4568">
      <w:pPr>
        <w:pStyle w:val="BodyText"/>
      </w:pPr>
      <w:r>
        <w:rPr>
          <w:noProof/>
        </w:rPr>
        <w:drawing>
          <wp:inline distT="0" distB="0" distL="0" distR="0">
            <wp:extent cx="5600700" cy="2943225"/>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600700" cy="2943225"/>
                    </a:xfrm>
                    <a:prstGeom prst="rect">
                      <a:avLst/>
                    </a:prstGeom>
                    <a:noFill/>
                    <a:ln>
                      <a:noFill/>
                    </a:ln>
                  </pic:spPr>
                </pic:pic>
              </a:graphicData>
            </a:graphic>
          </wp:inline>
        </w:drawing>
      </w:r>
    </w:p>
    <w:p w:rsidR="00AF4568" w:rsidRDefault="00AF4568" w:rsidP="00AF4568">
      <w:pPr>
        <w:pStyle w:val="Caption"/>
      </w:pPr>
      <w:bookmarkStart w:id="528" w:name="_Ref127607838"/>
      <w:r>
        <w:t xml:space="preserve">Figure </w:t>
      </w:r>
      <w:r w:rsidR="00C17F7C">
        <w:fldChar w:fldCharType="begin"/>
      </w:r>
      <w:r w:rsidR="00C17F7C">
        <w:instrText xml:space="preserve"> SEQ Figure \* ARABIC </w:instrText>
      </w:r>
      <w:r w:rsidR="00C17F7C">
        <w:fldChar w:fldCharType="separate"/>
      </w:r>
      <w:r w:rsidR="005F38BC">
        <w:rPr>
          <w:noProof/>
        </w:rPr>
        <w:t>133</w:t>
      </w:r>
      <w:r w:rsidR="00C17F7C">
        <w:fldChar w:fldCharType="end"/>
      </w:r>
      <w:bookmarkEnd w:id="528"/>
      <w:r>
        <w:t>: Post-Transfusion Information Details</w:t>
      </w:r>
    </w:p>
    <w:p w:rsidR="00B8081D" w:rsidRDefault="00634BFC" w:rsidP="00B8081D">
      <w:pPr>
        <w:pStyle w:val="BodyText"/>
      </w:pPr>
      <w:r>
        <w:rPr>
          <w:noProof/>
        </w:rPr>
        <w:drawing>
          <wp:inline distT="0" distB="0" distL="0" distR="0">
            <wp:extent cx="4371975" cy="33813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371975" cy="3381375"/>
                    </a:xfrm>
                    <a:prstGeom prst="rect">
                      <a:avLst/>
                    </a:prstGeom>
                    <a:noFill/>
                    <a:ln>
                      <a:noFill/>
                    </a:ln>
                  </pic:spPr>
                </pic:pic>
              </a:graphicData>
            </a:graphic>
          </wp:inline>
        </w:drawing>
      </w:r>
    </w:p>
    <w:p w:rsidR="00FE1ABC" w:rsidRDefault="00746454" w:rsidP="00FE1ABC">
      <w:pPr>
        <w:pStyle w:val="Heading4"/>
      </w:pPr>
      <w:r w:rsidRPr="008000E5">
        <w:rPr>
          <w:snapToGrid w:val="0"/>
        </w:rPr>
        <w:br w:type="page"/>
      </w:r>
      <w:r w:rsidR="00FE1ABC">
        <w:lastRenderedPageBreak/>
        <w:t>Automated Entry of Post-Transfusion Details from BCE COTS Application</w:t>
      </w:r>
      <w:r w:rsidR="00FE1ABC">
        <w:fldChar w:fldCharType="begin"/>
      </w:r>
      <w:r w:rsidR="00FE1ABC">
        <w:instrText xml:space="preserve"> XE “Automated Entry of Post-Transfusion Details from BCE COTS Application” </w:instrText>
      </w:r>
      <w:r w:rsidR="00FE1ABC">
        <w:fldChar w:fldCharType="end"/>
      </w:r>
    </w:p>
    <w:p w:rsidR="00FE1ABC" w:rsidRPr="002624D5" w:rsidRDefault="00FE1ABC" w:rsidP="00FE1ABC">
      <w:pPr>
        <w:pStyle w:val="BodyText"/>
      </w:pPr>
      <w:r w:rsidRPr="008D4EF9">
        <w:t xml:space="preserve">VBECS receives and saves the details of </w:t>
      </w:r>
      <w:r>
        <w:t xml:space="preserve">a </w:t>
      </w:r>
      <w:r w:rsidRPr="008D4EF9">
        <w:t>unit transfusion episode as recorded in the BCE COTS system</w:t>
      </w:r>
      <w: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FE1ABC">
        <w:tblPrEx>
          <w:tblCellMar>
            <w:top w:w="0" w:type="dxa"/>
            <w:bottom w:w="0" w:type="dxa"/>
          </w:tblCellMar>
        </w:tblPrEx>
        <w:trPr>
          <w:tblHeader/>
        </w:trPr>
        <w:tc>
          <w:tcPr>
            <w:tcW w:w="3240" w:type="dxa"/>
            <w:tcBorders>
              <w:top w:val="single" w:sz="4" w:space="0" w:color="auto"/>
              <w:left w:val="single" w:sz="4" w:space="0" w:color="auto"/>
              <w:bottom w:val="single" w:sz="4" w:space="0" w:color="auto"/>
              <w:right w:val="single" w:sz="4" w:space="0" w:color="auto"/>
            </w:tcBorders>
            <w:shd w:val="pct30" w:color="auto" w:fill="auto"/>
            <w:vAlign w:val="bottom"/>
          </w:tcPr>
          <w:p w:rsidR="00FE1ABC" w:rsidRDefault="00FE1ABC" w:rsidP="0087088B">
            <w:pPr>
              <w:pStyle w:val="TableText"/>
              <w:rPr>
                <w:b/>
              </w:rPr>
            </w:pPr>
            <w:r>
              <w:rPr>
                <w:b/>
              </w:rPr>
              <w:t>User Action</w:t>
            </w:r>
          </w:p>
        </w:tc>
        <w:tc>
          <w:tcPr>
            <w:tcW w:w="6120" w:type="dxa"/>
            <w:tcBorders>
              <w:top w:val="single" w:sz="4" w:space="0" w:color="auto"/>
              <w:left w:val="single" w:sz="4" w:space="0" w:color="auto"/>
              <w:bottom w:val="single" w:sz="4" w:space="0" w:color="auto"/>
              <w:right w:val="single" w:sz="4" w:space="0" w:color="auto"/>
            </w:tcBorders>
            <w:shd w:val="pct30" w:color="auto" w:fill="auto"/>
            <w:vAlign w:val="bottom"/>
          </w:tcPr>
          <w:p w:rsidR="00FE1ABC" w:rsidRDefault="00FE1ABC" w:rsidP="0087088B">
            <w:pPr>
              <w:pStyle w:val="TableText"/>
              <w:rPr>
                <w:b/>
              </w:rPr>
            </w:pPr>
            <w:r>
              <w:rPr>
                <w:b/>
              </w:rPr>
              <w:t>VBECS</w:t>
            </w:r>
          </w:p>
        </w:tc>
      </w:tr>
      <w:tr w:rsidR="00FE1ABC">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FE1ABC" w:rsidRDefault="00FE1ABC" w:rsidP="0087088B">
            <w:pPr>
              <w:pStyle w:val="TableTextNumbers"/>
            </w:pPr>
            <w:r>
              <w:t>BCE COTS system user completes a transfusion for a patient which triggers a HL7 message containing transfusion information to VBECS</w:t>
            </w:r>
            <w:r w:rsidR="00C62A42">
              <w:t xml:space="preserve"> for a blood unit</w:t>
            </w:r>
            <w:r>
              <w:t>.</w:t>
            </w:r>
          </w:p>
        </w:tc>
        <w:tc>
          <w:tcPr>
            <w:tcW w:w="6120" w:type="dxa"/>
            <w:tcBorders>
              <w:top w:val="single" w:sz="4" w:space="0" w:color="auto"/>
              <w:left w:val="single" w:sz="4" w:space="0" w:color="auto"/>
              <w:bottom w:val="single" w:sz="4" w:space="0" w:color="auto"/>
              <w:right w:val="single" w:sz="4" w:space="0" w:color="auto"/>
            </w:tcBorders>
          </w:tcPr>
          <w:p w:rsidR="00FE1ABC" w:rsidRPr="00B607E6" w:rsidRDefault="00FE1ABC" w:rsidP="0087088B">
            <w:pPr>
              <w:pStyle w:val="TableTextBullet"/>
            </w:pPr>
            <w:r>
              <w:rPr>
                <w:rFonts w:cs="Arial"/>
                <w:vanish/>
                <w:szCs w:val="18"/>
              </w:rPr>
              <w:t>BR_69.23</w:t>
            </w:r>
            <w:r>
              <w:rPr>
                <w:rFonts w:cs="Arial"/>
                <w:szCs w:val="18"/>
              </w:rPr>
              <w:t xml:space="preserve"> </w:t>
            </w:r>
            <w:r w:rsidRPr="003878EB">
              <w:rPr>
                <w:rFonts w:cs="Arial"/>
                <w:szCs w:val="18"/>
              </w:rPr>
              <w:t>VBECS reject</w:t>
            </w:r>
            <w:r>
              <w:rPr>
                <w:rFonts w:cs="Arial"/>
                <w:szCs w:val="18"/>
              </w:rPr>
              <w:t>s</w:t>
            </w:r>
            <w:r w:rsidRPr="003878EB">
              <w:rPr>
                <w:rFonts w:cs="Arial"/>
                <w:szCs w:val="18"/>
              </w:rPr>
              <w:t xml:space="preserve"> a BCE COTS </w:t>
            </w:r>
            <w:r>
              <w:rPr>
                <w:rFonts w:cs="Arial"/>
                <w:szCs w:val="18"/>
              </w:rPr>
              <w:t>HL7</w:t>
            </w:r>
            <w:r w:rsidRPr="003878EB">
              <w:rPr>
                <w:rFonts w:cs="Arial"/>
                <w:szCs w:val="18"/>
              </w:rPr>
              <w:t xml:space="preserve"> message when data elements are not acceptable per the data entry rules for manual entry</w:t>
            </w:r>
            <w:r>
              <w:rPr>
                <w:rFonts w:cs="Arial"/>
                <w:szCs w:val="18"/>
              </w:rPr>
              <w:t>.</w:t>
            </w:r>
          </w:p>
          <w:p w:rsidR="00FE1ABC" w:rsidRDefault="00FE1ABC" w:rsidP="0087088B">
            <w:pPr>
              <w:pStyle w:val="TableText"/>
            </w:pPr>
          </w:p>
          <w:p w:rsidR="00FE1ABC" w:rsidRDefault="00634BFC" w:rsidP="0087088B">
            <w:pPr>
              <w:pStyle w:val="TableText"/>
              <w:rPr>
                <w:b/>
                <w:bCs/>
              </w:rPr>
            </w:pPr>
            <w:r>
              <w:rPr>
                <w:b/>
                <w:bCs/>
                <w:noProof/>
              </w:rPr>
              <mc:AlternateContent>
                <mc:Choice Requires="wps">
                  <w:drawing>
                    <wp:anchor distT="0" distB="0" distL="114300" distR="114300" simplePos="0" relativeHeight="25179699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184" name="Line 1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6" o:spid="_x0000_s1026" style="position:absolute;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3EWFQIAAC4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DfL&#10;cRYVAgAALgQAAA4AAAAAAAAAAAAAAAAALgIAAGRycy9lMm9Eb2MueG1sUEsBAi0AFAAGAAgAAAAh&#10;ABdPMBLbAAAACAEAAA8AAAAAAAAAAAAAAAAAbwQAAGRycy9kb3ducmV2LnhtbFBLBQYAAAAABAAE&#10;APMAAAB3BQAAAAA=&#10;" strokeweight="1.5pt"/>
                  </w:pict>
                </mc:Fallback>
              </mc:AlternateContent>
            </w:r>
            <w:r w:rsidR="00FE1ABC">
              <w:rPr>
                <w:b/>
                <w:bCs/>
              </w:rPr>
              <w:t>NOTES</w:t>
            </w:r>
          </w:p>
          <w:p w:rsidR="00FE1ABC" w:rsidRDefault="00FE1ABC" w:rsidP="0087088B">
            <w:pPr>
              <w:pStyle w:val="NotesText"/>
            </w:pPr>
          </w:p>
          <w:p w:rsidR="00FE1ABC" w:rsidRDefault="00FE1ABC" w:rsidP="0087088B">
            <w:pPr>
              <w:pStyle w:val="NotesText"/>
              <w:rPr>
                <w:rFonts w:cs="Arial"/>
              </w:rPr>
            </w:pPr>
            <w:r w:rsidRPr="00E51FC8">
              <w:rPr>
                <w:rFonts w:cs="Arial"/>
              </w:rPr>
              <w:t>Units that are not updated by a BCE COTS message will be marked presumed transfused 48 hours after issue by a VBECS background process.</w:t>
            </w:r>
          </w:p>
          <w:p w:rsidR="00A55D3A" w:rsidRDefault="00A55D3A" w:rsidP="0087088B">
            <w:pPr>
              <w:pStyle w:val="NotesText"/>
              <w:rPr>
                <w:rFonts w:cs="Arial"/>
              </w:rPr>
            </w:pPr>
          </w:p>
          <w:p w:rsidR="00A55D3A" w:rsidRPr="00E51FC8" w:rsidRDefault="00A55D3A" w:rsidP="0087088B">
            <w:pPr>
              <w:pStyle w:val="NotesText"/>
            </w:pPr>
            <w:r>
              <w:t>Transfusion information is available in the Unit History Report.</w:t>
            </w:r>
          </w:p>
        </w:tc>
      </w:tr>
      <w:tr w:rsidR="00FE1ABC">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FE1ABC" w:rsidRDefault="00FE1ABC" w:rsidP="0087088B">
            <w:pPr>
              <w:pStyle w:val="TableTextNumbers"/>
            </w:pPr>
            <w:r w:rsidRPr="003878EB">
              <w:rPr>
                <w:rFonts w:cs="Arial"/>
                <w:szCs w:val="18"/>
              </w:rPr>
              <w:t xml:space="preserve">VBECS </w:t>
            </w:r>
            <w:r>
              <w:rPr>
                <w:rFonts w:cs="Arial"/>
                <w:szCs w:val="18"/>
              </w:rPr>
              <w:t>updates</w:t>
            </w:r>
            <w:r w:rsidRPr="003878EB">
              <w:rPr>
                <w:rFonts w:cs="Arial"/>
                <w:szCs w:val="18"/>
              </w:rPr>
              <w:t xml:space="preserve"> the patient transfusion record with the details received in the successfully acknowledged HL7 message</w:t>
            </w:r>
            <w:r>
              <w:t xml:space="preserve">.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rsidR="00FE1ABC" w:rsidRDefault="00FE1ABC" w:rsidP="0087088B">
            <w:pPr>
              <w:pStyle w:val="TableTextBullet"/>
            </w:pPr>
            <w:r>
              <w:rPr>
                <w:vanish/>
              </w:rPr>
              <w:t xml:space="preserve">BR_69.21 </w:t>
            </w:r>
            <w:r>
              <w:t xml:space="preserve">VBECS generates an exception report entry: </w:t>
            </w:r>
            <w:r w:rsidRPr="00B6437A">
              <w:t>Electronic Transfusion Record Update when a BCE COTS update to a previously saved manually or electronically entered transfusion record is received.</w:t>
            </w:r>
          </w:p>
          <w:p w:rsidR="00FE1ABC" w:rsidRDefault="00FE1ABC" w:rsidP="0087088B">
            <w:pPr>
              <w:pStyle w:val="TableTextBullet"/>
            </w:pPr>
            <w:r w:rsidRPr="00E51FC8">
              <w:rPr>
                <w:vanish/>
              </w:rPr>
              <w:t xml:space="preserve">BR_69.20 </w:t>
            </w:r>
            <w:r w:rsidRPr="00E51FC8">
              <w:t>When an update to a previously saved transfusion record is made by BCE COTS or a user, VBECS will display the original entry and the updated details in the Patient History and Unit History Reports.</w:t>
            </w:r>
          </w:p>
          <w:p w:rsidR="00FE1ABC" w:rsidRDefault="00FE1ABC" w:rsidP="0087088B">
            <w:pPr>
              <w:pStyle w:val="TableText"/>
            </w:pPr>
          </w:p>
          <w:p w:rsidR="00FE1ABC" w:rsidRDefault="00634BFC" w:rsidP="0087088B">
            <w:pPr>
              <w:pStyle w:val="TableText"/>
              <w:rPr>
                <w:b/>
                <w:bCs/>
              </w:rPr>
            </w:pPr>
            <w:r>
              <w:rPr>
                <w:b/>
                <w:bCs/>
                <w:noProof/>
              </w:rPr>
              <mc:AlternateContent>
                <mc:Choice Requires="wps">
                  <w:drawing>
                    <wp:anchor distT="0" distB="0" distL="114300" distR="114300" simplePos="0" relativeHeight="25179801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65" name="Line 1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7" o:spid="_x0000_s1026" style="position:absolute;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uLFQIAAC0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OVd&#10;e4sVAgAALQQAAA4AAAAAAAAAAAAAAAAALgIAAGRycy9lMm9Eb2MueG1sUEsBAi0AFAAGAAgAAAAh&#10;ABdPMBLbAAAACAEAAA8AAAAAAAAAAAAAAAAAbwQAAGRycy9kb3ducmV2LnhtbFBLBQYAAAAABAAE&#10;APMAAAB3BQAAAAA=&#10;" strokeweight="1.5pt"/>
                  </w:pict>
                </mc:Fallback>
              </mc:AlternateContent>
            </w:r>
            <w:r w:rsidR="00FE1ABC">
              <w:rPr>
                <w:b/>
                <w:bCs/>
              </w:rPr>
              <w:t>NOTES</w:t>
            </w:r>
          </w:p>
          <w:p w:rsidR="00FE1ABC" w:rsidRDefault="00FE1ABC" w:rsidP="0087088B">
            <w:pPr>
              <w:pStyle w:val="NotesText"/>
            </w:pPr>
          </w:p>
          <w:p w:rsidR="00FE1ABC" w:rsidRDefault="00FE1ABC" w:rsidP="0087088B">
            <w:pPr>
              <w:pStyle w:val="NotesText"/>
            </w:pPr>
            <w:r w:rsidRPr="00847BD8">
              <w:rPr>
                <w:vanish/>
              </w:rPr>
              <w:t xml:space="preserve">BR_69.18 </w:t>
            </w:r>
            <w:r w:rsidRPr="001D3A9F">
              <w:t>The</w:t>
            </w:r>
            <w:r w:rsidRPr="003878EB">
              <w:t xml:space="preserve"> BCE COTS system delivers </w:t>
            </w:r>
            <w:r>
              <w:t xml:space="preserve">these patient and unit specific </w:t>
            </w:r>
            <w:r w:rsidRPr="003878EB">
              <w:t>trans</w:t>
            </w:r>
            <w:r>
              <w:t>fusion data elements to VBECS for update</w:t>
            </w:r>
          </w:p>
          <w:p w:rsidR="00FE1ABC" w:rsidRPr="003878EB" w:rsidRDefault="00FE1ABC" w:rsidP="0087088B">
            <w:pPr>
              <w:pStyle w:val="NotesTextBullet"/>
            </w:pPr>
            <w:r w:rsidRPr="003878EB">
              <w:t>Bedside verification date and time</w:t>
            </w:r>
          </w:p>
          <w:p w:rsidR="00FE1ABC" w:rsidRPr="003878EB" w:rsidRDefault="00FE1ABC" w:rsidP="0087088B">
            <w:pPr>
              <w:pStyle w:val="NotesTextBullet"/>
            </w:pPr>
            <w:r w:rsidRPr="003878EB">
              <w:t xml:space="preserve">Transfusion </w:t>
            </w:r>
            <w:r>
              <w:t>verification m</w:t>
            </w:r>
            <w:r w:rsidRPr="003878EB">
              <w:t>anual</w:t>
            </w:r>
            <w:r>
              <w:t xml:space="preserve"> Unit ID  entry reason </w:t>
            </w:r>
          </w:p>
          <w:p w:rsidR="00FE1ABC" w:rsidRPr="003878EB" w:rsidRDefault="00FE1ABC" w:rsidP="0087088B">
            <w:pPr>
              <w:pStyle w:val="NotesTextBullet"/>
            </w:pPr>
            <w:r w:rsidRPr="003878EB">
              <w:t>Transfusion Start date and time</w:t>
            </w:r>
          </w:p>
          <w:p w:rsidR="00FE1ABC" w:rsidRPr="003878EB" w:rsidRDefault="00FE1ABC" w:rsidP="0087088B">
            <w:pPr>
              <w:pStyle w:val="NotesTextBullet"/>
            </w:pPr>
            <w:r w:rsidRPr="003878EB">
              <w:t>Transfusionist ID #1</w:t>
            </w:r>
          </w:p>
          <w:p w:rsidR="00FE1ABC" w:rsidRPr="003878EB" w:rsidRDefault="00FE1ABC" w:rsidP="0087088B">
            <w:pPr>
              <w:pStyle w:val="NotesTextBullet"/>
            </w:pPr>
            <w:r w:rsidRPr="003878EB">
              <w:t>Transfusionist ID #2 (may be blank if so configured in BCE COTS application)</w:t>
            </w:r>
          </w:p>
          <w:p w:rsidR="00FE1ABC" w:rsidRPr="003878EB" w:rsidRDefault="00FE1ABC" w:rsidP="0087088B">
            <w:pPr>
              <w:pStyle w:val="NotesTextBullet"/>
            </w:pPr>
            <w:r w:rsidRPr="003878EB">
              <w:t>Transfusion End Date and time</w:t>
            </w:r>
          </w:p>
          <w:p w:rsidR="00FE1ABC" w:rsidRPr="003878EB" w:rsidRDefault="00FE1ABC" w:rsidP="0087088B">
            <w:pPr>
              <w:pStyle w:val="NotesTextBullet"/>
            </w:pPr>
            <w:r w:rsidRPr="003878EB">
              <w:t>Patient location at Transfusion</w:t>
            </w:r>
          </w:p>
          <w:p w:rsidR="00FE1ABC" w:rsidRPr="003878EB" w:rsidRDefault="00FE1ABC" w:rsidP="0087088B">
            <w:pPr>
              <w:pStyle w:val="NotesTextBullet"/>
            </w:pPr>
            <w:r w:rsidRPr="003878EB">
              <w:t>Transfusion interrupted indicator</w:t>
            </w:r>
          </w:p>
          <w:p w:rsidR="00FE1ABC" w:rsidRPr="003878EB" w:rsidRDefault="00FE1ABC" w:rsidP="0087088B">
            <w:pPr>
              <w:pStyle w:val="NotesTextBullet"/>
            </w:pPr>
            <w:r w:rsidRPr="003878EB">
              <w:t>Transfused volume, (ml not in fractions by the BCE COTS)</w:t>
            </w:r>
          </w:p>
          <w:p w:rsidR="00FE1ABC" w:rsidRDefault="00FE1ABC" w:rsidP="0087088B">
            <w:pPr>
              <w:pStyle w:val="NotesTextBullet"/>
            </w:pPr>
            <w:r w:rsidRPr="003878EB">
              <w:t>Transfusion Reaction noted</w:t>
            </w:r>
          </w:p>
          <w:p w:rsidR="00FE1ABC" w:rsidRPr="003878EB" w:rsidRDefault="00FE1ABC" w:rsidP="0087088B">
            <w:pPr>
              <w:pStyle w:val="NotesTextBullet"/>
            </w:pPr>
            <w:r w:rsidRPr="003878EB">
              <w:t>Transfusion Reactions symptoms entered, if any</w:t>
            </w:r>
          </w:p>
          <w:p w:rsidR="00FE1ABC" w:rsidRDefault="00FE1ABC" w:rsidP="0087088B">
            <w:pPr>
              <w:pStyle w:val="NotesTextBullet"/>
            </w:pPr>
            <w:r w:rsidRPr="003878EB">
              <w:t>Transfusion comments, if any</w:t>
            </w:r>
          </w:p>
          <w:p w:rsidR="00FE1ABC" w:rsidRDefault="00FE1ABC" w:rsidP="0087088B">
            <w:pPr>
              <w:pStyle w:val="NotesTextBullet"/>
              <w:numPr>
                <w:ilvl w:val="0"/>
                <w:numId w:val="0"/>
              </w:numPr>
              <w:ind w:left="1008"/>
            </w:pPr>
          </w:p>
        </w:tc>
      </w:tr>
    </w:tbl>
    <w:p w:rsidR="002A21AE" w:rsidRPr="008000E5" w:rsidRDefault="00FE1ABC" w:rsidP="00542C41">
      <w:pPr>
        <w:pStyle w:val="Heading2"/>
      </w:pPr>
      <w:r>
        <w:rPr>
          <w:snapToGrid w:val="0"/>
        </w:rPr>
        <w:br w:type="page"/>
      </w:r>
      <w:bookmarkStart w:id="529" w:name="_Toc459900157"/>
      <w:r w:rsidR="002A21AE" w:rsidRPr="008000E5">
        <w:rPr>
          <w:snapToGrid w:val="0"/>
        </w:rPr>
        <w:lastRenderedPageBreak/>
        <w:t>Document ABO Incompatible Transfusions</w:t>
      </w:r>
      <w:bookmarkEnd w:id="529"/>
      <w:r w:rsidR="002A21AE" w:rsidRPr="00014BE4">
        <w:fldChar w:fldCharType="begin"/>
      </w:r>
      <w:r w:rsidR="002A21AE" w:rsidRPr="008000E5">
        <w:instrText xml:space="preserve"> XE </w:instrText>
      </w:r>
      <w:r w:rsidR="00FA7E65" w:rsidRPr="008000E5">
        <w:instrText>“</w:instrText>
      </w:r>
      <w:r w:rsidR="002A21AE" w:rsidRPr="008000E5">
        <w:instrText>Document ABO Incompatible Transfusions</w:instrText>
      </w:r>
      <w:r w:rsidR="00FA7E65" w:rsidRPr="008000E5">
        <w:instrText>”</w:instrText>
      </w:r>
      <w:r w:rsidR="002A21AE" w:rsidRPr="008000E5">
        <w:instrText xml:space="preserve"> </w:instrText>
      </w:r>
      <w:r w:rsidR="002A21AE" w:rsidRPr="00014BE4">
        <w:fldChar w:fldCharType="end"/>
      </w:r>
      <w:r w:rsidR="002A21AE" w:rsidRPr="00F854CF">
        <w:rPr>
          <w:rFonts w:ascii="Arial Bold" w:hAnsi="Arial Bold"/>
          <w:vanish/>
        </w:rPr>
        <w:t xml:space="preserve"> UC_69</w:t>
      </w:r>
    </w:p>
    <w:p w:rsidR="002A21AE" w:rsidRDefault="002A21AE" w:rsidP="00FA7E65">
      <w:pPr>
        <w:pStyle w:val="BodyText"/>
      </w:pPr>
      <w:bookmarkStart w:id="530" w:name="_Toc77405565"/>
      <w:r>
        <w:t>The user enters post-transfusion details from the Blood Transfusion Record Form (BTRF) to document ABO incompatible and other inadvertent transfusions.</w:t>
      </w:r>
    </w:p>
    <w:p w:rsidR="002A21AE" w:rsidRDefault="002A21AE">
      <w:pPr>
        <w:pStyle w:val="Heading4"/>
      </w:pPr>
      <w:r>
        <w:t>Assumptions</w:t>
      </w:r>
    </w:p>
    <w:p w:rsidR="002A21AE" w:rsidRDefault="007C7B04" w:rsidP="007C7B04">
      <w:pPr>
        <w:pStyle w:val="ListBullet"/>
      </w:pPr>
      <w:r w:rsidRPr="00554296">
        <w:rPr>
          <w:rFonts w:eastAsia="Arial Unicode MS"/>
        </w:rPr>
        <w:t xml:space="preserve">A </w:t>
      </w:r>
      <w:r w:rsidRPr="007C7B04">
        <w:t>unit</w:t>
      </w:r>
      <w:r w:rsidR="00B26579">
        <w:rPr>
          <w:rFonts w:eastAsia="Arial Unicode MS"/>
        </w:rPr>
        <w:t xml:space="preserve"> was transfused to a patient</w:t>
      </w:r>
      <w:r w:rsidRPr="00554296">
        <w:rPr>
          <w:rFonts w:eastAsia="Arial Unicode MS"/>
        </w:rPr>
        <w:t xml:space="preserve"> other than the intended recipient</w:t>
      </w:r>
      <w:r w:rsidR="002A21AE">
        <w:t xml:space="preserve">. </w:t>
      </w:r>
    </w:p>
    <w:p w:rsidR="00132F6A" w:rsidRDefault="00132F6A" w:rsidP="00132F6A">
      <w:pPr>
        <w:pStyle w:val="ListBullet"/>
      </w:pPr>
      <w:r>
        <w:t xml:space="preserve">The connection to </w:t>
      </w:r>
      <w:r w:rsidRPr="00CA6E27">
        <w:rPr>
          <w:bCs/>
        </w:rPr>
        <w:t>VistA</w:t>
      </w:r>
      <w:r>
        <w:t xml:space="preserve"> is active.</w:t>
      </w:r>
    </w:p>
    <w:p w:rsidR="002A21AE" w:rsidRDefault="002A21AE">
      <w:pPr>
        <w:pStyle w:val="Heading4"/>
      </w:pPr>
      <w:r>
        <w:t>Outcome</w:t>
      </w:r>
    </w:p>
    <w:p w:rsidR="002A21AE" w:rsidRDefault="002A21AE">
      <w:pPr>
        <w:pStyle w:val="ListBullet"/>
      </w:pPr>
      <w:r>
        <w:t>The unit status is updated to “transfused.”</w:t>
      </w:r>
    </w:p>
    <w:p w:rsidR="002A21AE" w:rsidRDefault="002A21AE">
      <w:pPr>
        <w:pStyle w:val="ListBullet"/>
      </w:pPr>
      <w:r>
        <w:t>The patient record includes the blood transfusion information.</w:t>
      </w:r>
    </w:p>
    <w:p w:rsidR="002A21AE" w:rsidRDefault="002A21AE">
      <w:pPr>
        <w:pStyle w:val="Heading4"/>
      </w:pPr>
      <w:r>
        <w:t>Limitations and Restrictions</w:t>
      </w:r>
    </w:p>
    <w:p w:rsidR="002A21AE" w:rsidRDefault="002A21AE">
      <w:pPr>
        <w:pStyle w:val="ListBullet"/>
      </w:pPr>
      <w:r>
        <w:t>VBECS does not enforce compatibility checks between the patient and the unit.</w:t>
      </w:r>
    </w:p>
    <w:p w:rsidR="003427EE" w:rsidRDefault="003427EE" w:rsidP="003427EE">
      <w:pPr>
        <w:pStyle w:val="ListBullet"/>
      </w:pPr>
      <w:r>
        <w:t>VBECS does not update CPRS component order status when the Document ABO Incompatible Transfusion option is used.</w:t>
      </w:r>
    </w:p>
    <w:p w:rsidR="002A21AE" w:rsidRDefault="002A21AE">
      <w:pPr>
        <w:pStyle w:val="Heading4"/>
      </w:pPr>
      <w:r>
        <w:t>Additional Information</w:t>
      </w:r>
    </w:p>
    <w:p w:rsidR="002A21AE" w:rsidRDefault="001E7158">
      <w:pPr>
        <w:pStyle w:val="ListBullet"/>
      </w:pPr>
      <w:r>
        <w:t>FDA guidances</w:t>
      </w:r>
      <w:r w:rsidR="005215D6">
        <w:t xml:space="preserve"> govern when to file blood product deviation reports</w:t>
      </w:r>
      <w:r w:rsidR="002A21AE">
        <w:t>.</w:t>
      </w:r>
    </w:p>
    <w:p w:rsidR="00774A57" w:rsidRDefault="00774A57">
      <w:pPr>
        <w:pStyle w:val="ListBullet"/>
      </w:pPr>
      <w:r>
        <w:t>Follow local policy</w:t>
      </w:r>
      <w:r w:rsidR="001A0BF6">
        <w:t xml:space="preserve"> and procedures</w:t>
      </w:r>
      <w:r>
        <w:t xml:space="preserve"> for additional reporting requirements.</w:t>
      </w:r>
    </w:p>
    <w:p w:rsidR="00721A8D" w:rsidRDefault="00014BE4">
      <w:pPr>
        <w:pStyle w:val="ListBullet"/>
      </w:pPr>
      <w:r>
        <w:t xml:space="preserve">VBECS requires a specimen and an order placed through CPRS to process transfusions. </w:t>
      </w:r>
      <w:r w:rsidR="00721A8D">
        <w:t>When a patient was transfused and no specimen was collected or order placed for blood components,</w:t>
      </w:r>
      <w:r w:rsidR="003D71A3">
        <w:t xml:space="preserve"> </w:t>
      </w:r>
      <w:r w:rsidR="00721A8D" w:rsidRPr="00014BE4">
        <w:t xml:space="preserve">the user may </w:t>
      </w:r>
      <w:r w:rsidR="00721A8D">
        <w:t>record</w:t>
      </w:r>
      <w:r w:rsidR="00721A8D" w:rsidRPr="00014BE4">
        <w:t xml:space="preserve"> the transfusion using </w:t>
      </w:r>
      <w:r w:rsidR="00721A8D">
        <w:t xml:space="preserve">this </w:t>
      </w:r>
      <w:r w:rsidR="00721A8D" w:rsidRPr="00014BE4">
        <w:t>option</w:t>
      </w:r>
      <w:r w:rsidR="00721A8D">
        <w:t>.</w:t>
      </w:r>
      <w:r w:rsidR="004E7582" w:rsidRPr="004E7582">
        <w:rPr>
          <w:vanish/>
        </w:rPr>
        <w:t xml:space="preserve"> UserDoc Task 1087</w:t>
      </w:r>
    </w:p>
    <w:p w:rsidR="002A21AE" w:rsidRDefault="002A21AE">
      <w:pPr>
        <w:pStyle w:val="Heading4"/>
      </w:pPr>
      <w:r>
        <w:t>User Roles with Access to This Option</w:t>
      </w:r>
    </w:p>
    <w:p w:rsidR="002A21AE" w:rsidRDefault="007D4E77">
      <w:pPr>
        <w:pStyle w:val="Roles"/>
        <w:rPr>
          <w:snapToGrid w:val="0"/>
        </w:rPr>
      </w:pPr>
      <w:r w:rsidRPr="007D4E77">
        <w:rPr>
          <w:rFonts w:ascii="Wingdings 3" w:hAnsi="Wingdings 3"/>
        </w:rPr>
        <w:t></w:t>
      </w:r>
      <w:r w:rsidRPr="007D4E77">
        <w:rPr>
          <w:rFonts w:ascii="Wingdings 3" w:hAnsi="Wingdings 3"/>
        </w:rPr>
        <w:t></w:t>
      </w:r>
      <w:r w:rsidRPr="007D4E77">
        <w:rPr>
          <w:rFonts w:ascii="Wingdings 3" w:hAnsi="Wingdings 3"/>
        </w:rPr>
        <w:t></w:t>
      </w:r>
      <w:r w:rsidRPr="007D4E77">
        <w:rPr>
          <w:rFonts w:ascii="Wingdings 3" w:hAnsi="Wingdings 3"/>
        </w:rPr>
        <w:t></w:t>
      </w:r>
      <w:r>
        <w:t xml:space="preserve"> Traditional Supervisor</w:t>
      </w:r>
    </w:p>
    <w:bookmarkEnd w:id="530"/>
    <w:p w:rsidR="002A21AE" w:rsidRDefault="002A21AE">
      <w:pPr>
        <w:pStyle w:val="Heading4"/>
      </w:pPr>
      <w:r>
        <w:t>Document ABO Incompatible Transfusions</w:t>
      </w:r>
    </w:p>
    <w:p w:rsidR="009D00C1" w:rsidRDefault="009D00C1" w:rsidP="00FA7E65">
      <w:pPr>
        <w:pStyle w:val="BodyText"/>
      </w:pPr>
      <w:r>
        <w:t>When a unit is transfused to the incorrect patient</w:t>
      </w:r>
      <w:r w:rsidR="00F90DFB">
        <w:t xml:space="preserve">, </w:t>
      </w:r>
      <w:r>
        <w:t>t</w:t>
      </w:r>
      <w:r w:rsidR="002A21AE">
        <w:t xml:space="preserve">he user enters transfusion details for </w:t>
      </w:r>
      <w:r>
        <w:t xml:space="preserve">that unit. </w:t>
      </w:r>
    </w:p>
    <w:p w:rsidR="002A21AE" w:rsidRDefault="00634BFC" w:rsidP="00DC645C">
      <w:pPr>
        <w:pStyle w:val="Caution"/>
      </w:pPr>
      <w:r>
        <w:rPr>
          <w:noProof/>
        </w:rPr>
        <w:drawing>
          <wp:inline distT="0" distB="0" distL="0" distR="0">
            <wp:extent cx="266700" cy="219075"/>
            <wp:effectExtent l="0" t="0" r="0"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DC645C">
        <w:t xml:space="preserve"> </w:t>
      </w:r>
      <w:r w:rsidR="002A21AE">
        <w:t>VBECS does not enforce compatibility checks to allow consistent and accurate online availability of a unit’s final disposition.</w:t>
      </w:r>
      <w:r w:rsidR="002A21AE">
        <w:rPr>
          <w:b/>
        </w:rPr>
        <w:t xml:space="preserve"> </w:t>
      </w:r>
      <w:r w:rsidR="002A21AE">
        <w:t xml:space="preserve">Use of this </w:t>
      </w:r>
      <w:r w:rsidR="00932460">
        <w:t>option</w:t>
      </w:r>
      <w:r w:rsidR="002A21AE">
        <w:t xml:space="preserve"> is restricted to supervisory blood bank personnel who have thoroughly investigated the transfusion and documented the inability to use normal VBECS business processes to enter the transfusion documentation.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 xml:space="preserve">Select </w:t>
            </w:r>
            <w:r>
              <w:rPr>
                <w:b/>
              </w:rPr>
              <w:t>Supervisor</w:t>
            </w:r>
            <w:r>
              <w:t xml:space="preserve"> from the main menu.</w:t>
            </w:r>
          </w:p>
          <w:p w:rsidR="002A21AE" w:rsidRDefault="002A21AE">
            <w:pPr>
              <w:pStyle w:val="TableTextNumbersContinued"/>
            </w:pPr>
          </w:p>
          <w:p w:rsidR="002A21AE" w:rsidRPr="001E3F01" w:rsidRDefault="002A21AE">
            <w:pPr>
              <w:pStyle w:val="TableTextNumbersContinued"/>
              <w:rPr>
                <w:lang w:val="fr-CA"/>
              </w:rPr>
            </w:pPr>
            <w:r w:rsidRPr="001E3F01">
              <w:rPr>
                <w:lang w:val="fr-CA"/>
              </w:rPr>
              <w:t xml:space="preserve">Select </w:t>
            </w:r>
            <w:r w:rsidRPr="001E3F01">
              <w:rPr>
                <w:b/>
                <w:lang w:val="fr-CA"/>
              </w:rPr>
              <w:t>Document ABO Incompatible Transfusion</w:t>
            </w:r>
            <w:r w:rsidRPr="001E3F01">
              <w:rPr>
                <w:lang w:val="fr-CA"/>
              </w:rPr>
              <w:t>.</w:t>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Bullet"/>
            </w:pPr>
            <w:r>
              <w:t>Displays options for processing patient-related functions.</w:t>
            </w:r>
          </w:p>
          <w:p w:rsidR="002A21AE" w:rsidRDefault="002A21AE">
            <w:pPr>
              <w:pStyle w:val="TableTextBullet"/>
            </w:pPr>
            <w:r>
              <w:t>Displays an option to scan the Caution Tag or enter a patient name or ID.</w:t>
            </w:r>
          </w:p>
          <w:p w:rsidR="002A21AE" w:rsidRDefault="002A21AE">
            <w:pPr>
              <w:pStyle w:val="NotesText"/>
            </w:pPr>
          </w:p>
        </w:tc>
      </w:tr>
      <w:tr w:rsidR="002A21AE">
        <w:tblPrEx>
          <w:tblCellMar>
            <w:top w:w="0" w:type="dxa"/>
            <w:bottom w:w="0" w:type="dxa"/>
          </w:tblCellMar>
        </w:tblPrEx>
        <w:tc>
          <w:tcPr>
            <w:tcW w:w="3240" w:type="dxa"/>
          </w:tcPr>
          <w:p w:rsidR="002A21AE" w:rsidRDefault="002A21AE">
            <w:pPr>
              <w:pStyle w:val="TableTextNumbers"/>
            </w:pPr>
            <w:r>
              <w:t xml:space="preserve">Select a patient and click </w:t>
            </w:r>
            <w:r>
              <w:rPr>
                <w:b/>
              </w:rPr>
              <w:t>OK</w:t>
            </w:r>
            <w:r>
              <w:t>.</w:t>
            </w:r>
          </w:p>
        </w:tc>
        <w:tc>
          <w:tcPr>
            <w:tcW w:w="6120" w:type="dxa"/>
          </w:tcPr>
          <w:p w:rsidR="001C50C2" w:rsidRDefault="002A21AE" w:rsidP="001C50C2">
            <w:pPr>
              <w:pStyle w:val="TableText"/>
            </w:pPr>
            <w:r>
              <w:t>Displays an option to select a patient that may not be available from the VBECS files.</w:t>
            </w:r>
            <w:r w:rsidR="001C50C2">
              <w:t xml:space="preserve"> </w:t>
            </w:r>
          </w:p>
          <w:p w:rsidR="001C50C2" w:rsidRDefault="001C50C2" w:rsidP="001C50C2">
            <w:pPr>
              <w:pStyle w:val="TableText"/>
            </w:pPr>
          </w:p>
          <w:p w:rsidR="001C50C2" w:rsidRDefault="00634BFC" w:rsidP="001C50C2">
            <w:pPr>
              <w:pStyle w:val="TableText"/>
            </w:pPr>
            <w:r>
              <w:rPr>
                <w:b/>
                <w:bCs/>
                <w:noProof/>
              </w:rPr>
              <mc:AlternateContent>
                <mc:Choice Requires="wps">
                  <w:drawing>
                    <wp:anchor distT="0" distB="0" distL="114300" distR="114300" simplePos="0" relativeHeight="25179392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19" name="Line 1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2" o:spid="_x0000_s1026" style="position:absolute;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RmoFQIAAC4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CoF&#10;GagVAgAALgQAAA4AAAAAAAAAAAAAAAAALgIAAGRycy9lMm9Eb2MueG1sUEsBAi0AFAAGAAgAAAAh&#10;ABdPMBLbAAAACAEAAA8AAAAAAAAAAAAAAAAAbwQAAGRycy9kb3ducmV2LnhtbFBLBQYAAAAABAAE&#10;APMAAAB3BQAAAAA=&#10;" strokeweight="1.5pt"/>
                  </w:pict>
                </mc:Fallback>
              </mc:AlternateContent>
            </w:r>
            <w:r w:rsidR="001C50C2">
              <w:rPr>
                <w:b/>
                <w:bCs/>
                <w:szCs w:val="18"/>
              </w:rPr>
              <w:t>NOTES</w:t>
            </w:r>
          </w:p>
          <w:p w:rsidR="001C50C2" w:rsidRDefault="001C50C2" w:rsidP="001C50C2">
            <w:pPr>
              <w:pStyle w:val="TableTextBullet"/>
              <w:numPr>
                <w:ilvl w:val="0"/>
                <w:numId w:val="0"/>
              </w:numPr>
              <w:ind w:left="288" w:hanging="288"/>
              <w:rPr>
                <w:rFonts w:cs="Arial"/>
              </w:rPr>
            </w:pPr>
          </w:p>
          <w:p w:rsidR="001C50C2" w:rsidRDefault="001C50C2" w:rsidP="001C50C2">
            <w:pPr>
              <w:pStyle w:val="TableTextBullet"/>
              <w:numPr>
                <w:ilvl w:val="0"/>
                <w:numId w:val="0"/>
              </w:numPr>
              <w:ind w:left="720"/>
            </w:pPr>
            <w:r w:rsidRPr="001C50C2">
              <w:rPr>
                <w:rFonts w:cs="Arial"/>
              </w:rPr>
              <w:t xml:space="preserve">Displays a message when the user selects a patient with a blank </w:t>
            </w:r>
            <w:r w:rsidRPr="001C50C2">
              <w:rPr>
                <w:rFonts w:cs="Arial"/>
              </w:rPr>
              <w:lastRenderedPageBreak/>
              <w:t xml:space="preserve">first or last name, or the name is too long. The user is instructed to contact the VBECS Administrator for assistance. </w:t>
            </w:r>
            <w:r w:rsidRPr="001C50C2">
              <w:rPr>
                <w:rFonts w:cs="Arial"/>
                <w:vanish/>
              </w:rPr>
              <w:t>DR 3444</w:t>
            </w:r>
          </w:p>
        </w:tc>
      </w:tr>
      <w:tr w:rsidR="002A21AE">
        <w:tblPrEx>
          <w:tblCellMar>
            <w:top w:w="0" w:type="dxa"/>
            <w:bottom w:w="0" w:type="dxa"/>
          </w:tblCellMar>
        </w:tblPrEx>
        <w:tc>
          <w:tcPr>
            <w:tcW w:w="3240" w:type="dxa"/>
          </w:tcPr>
          <w:p w:rsidR="002A21AE" w:rsidRDefault="0087088B" w:rsidP="0087088B">
            <w:pPr>
              <w:pStyle w:val="TableTextNumbers"/>
            </w:pPr>
            <w:r>
              <w:lastRenderedPageBreak/>
              <w:t xml:space="preserve">Select a </w:t>
            </w:r>
            <w:r w:rsidR="00922AD8">
              <w:t>unit to</w:t>
            </w:r>
            <w:r w:rsidR="002A21AE">
              <w:t xml:space="preserve"> document a</w:t>
            </w:r>
            <w:r w:rsidR="00B26579">
              <w:t xml:space="preserve"> </w:t>
            </w:r>
            <w:r w:rsidR="002A21AE">
              <w:t>transfusion</w:t>
            </w:r>
            <w:r w:rsidR="00F37D55">
              <w:t xml:space="preserve"> that does not follow system rules</w:t>
            </w:r>
            <w:r w:rsidR="002A21AE">
              <w:t>.</w:t>
            </w:r>
          </w:p>
        </w:tc>
        <w:tc>
          <w:tcPr>
            <w:tcW w:w="6120" w:type="dxa"/>
          </w:tcPr>
          <w:p w:rsidR="002A21AE" w:rsidRDefault="002A21AE">
            <w:pPr>
              <w:pStyle w:val="TableTextBullet"/>
            </w:pPr>
            <w:r>
              <w:t>Displays an option to enter a unit ID and product code or search for one.</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4339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18" name="Lin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0"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tN5FQIAAC0EAAAOAAAAZHJzL2Uyb0RvYy54bWysU8GO2jAQvVfqP1i+QxLIUo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OEK&#10;03k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B5E51" w:rsidRPr="002B5E51" w:rsidRDefault="002B5E51">
            <w:pPr>
              <w:pStyle w:val="NotesText"/>
              <w:rPr>
                <w:rFonts w:cs="Arial"/>
                <w:vanish/>
              </w:rPr>
            </w:pPr>
            <w:r>
              <w:rPr>
                <w:rFonts w:cs="Arial"/>
              </w:rPr>
              <w:t>VBECS presents all units in the system for selection when the search button is used. This search will require time to complete as the number of units to display increases.</w:t>
            </w:r>
            <w:r>
              <w:rPr>
                <w:rFonts w:cs="Arial"/>
                <w:vanish/>
              </w:rPr>
              <w:t xml:space="preserve"> DR 3516</w:t>
            </w:r>
          </w:p>
          <w:p w:rsidR="002B5E51" w:rsidRDefault="002B5E51">
            <w:pPr>
              <w:pStyle w:val="NotesText"/>
              <w:rPr>
                <w:rFonts w:cs="Arial"/>
                <w:vanish/>
              </w:rPr>
            </w:pPr>
          </w:p>
          <w:p w:rsidR="002A21AE" w:rsidRDefault="002A21AE">
            <w:pPr>
              <w:pStyle w:val="NotesText"/>
            </w:pPr>
            <w:r>
              <w:rPr>
                <w:rFonts w:cs="Arial"/>
                <w:vanish/>
              </w:rPr>
              <w:t xml:space="preserve">BR_69.14 </w:t>
            </w:r>
            <w:r>
              <w:t>VBECS does not enforce compatibility checks</w:t>
            </w:r>
            <w:r w:rsidR="00DC645C">
              <w:t xml:space="preserve"> in this option</w:t>
            </w:r>
            <w:r>
              <w:t>.</w:t>
            </w:r>
          </w:p>
          <w:p w:rsidR="002A21AE" w:rsidRDefault="002A21AE">
            <w:pPr>
              <w:pStyle w:val="NotesText"/>
              <w:rPr>
                <w:rFonts w:cs="Arial"/>
              </w:rPr>
            </w:pPr>
          </w:p>
          <w:p w:rsidR="002A21AE" w:rsidRDefault="00D51EEA" w:rsidP="00DC0F5E">
            <w:pPr>
              <w:pStyle w:val="NotesText"/>
              <w:rPr>
                <w:rFonts w:cs="Arial"/>
              </w:rPr>
            </w:pPr>
            <w:r w:rsidRPr="00896F17">
              <w:rPr>
                <w:rStyle w:val="BullhornChar"/>
              </w:rPr>
              <w:t></w:t>
            </w:r>
            <w:r>
              <w:rPr>
                <w:color w:val="000000"/>
                <w:szCs w:val="18"/>
              </w:rPr>
              <w:t xml:space="preserve"> </w:t>
            </w:r>
            <w:r>
              <w:rPr>
                <w:rFonts w:cs="Arial"/>
                <w:vanish/>
              </w:rPr>
              <w:t xml:space="preserve">BR_70.06 </w:t>
            </w:r>
            <w:r>
              <w:t xml:space="preserve">When a user enters a unit with a final status, VBECS </w:t>
            </w:r>
            <w:r w:rsidR="007826D2">
              <w:t>alerts</w:t>
            </w:r>
            <w:r>
              <w:t xml:space="preserve"> the user and clears the screen. The user may select another unit.</w:t>
            </w:r>
          </w:p>
        </w:tc>
      </w:tr>
      <w:tr w:rsidR="002A21AE">
        <w:tblPrEx>
          <w:tblCellMar>
            <w:top w:w="0" w:type="dxa"/>
            <w:bottom w:w="0" w:type="dxa"/>
          </w:tblCellMar>
        </w:tblPrEx>
        <w:tc>
          <w:tcPr>
            <w:tcW w:w="3240" w:type="dxa"/>
          </w:tcPr>
          <w:p w:rsidR="002A21AE" w:rsidRDefault="002A21AE">
            <w:pPr>
              <w:pStyle w:val="TableTextNumbers"/>
            </w:pPr>
            <w:r>
              <w:t>Enter post-transfusion details</w:t>
            </w:r>
            <w:r w:rsidR="00BB5288">
              <w:t xml:space="preserve"> and a comment</w:t>
            </w:r>
            <w:r>
              <w:t>.</w:t>
            </w:r>
          </w:p>
        </w:tc>
        <w:tc>
          <w:tcPr>
            <w:tcW w:w="6120" w:type="dxa"/>
          </w:tcPr>
          <w:p w:rsidR="002A21AE" w:rsidRDefault="002A21AE">
            <w:pPr>
              <w:pStyle w:val="TableTextBullet"/>
            </w:pPr>
            <w:r>
              <w:t>Displays an option to enter or edit unit data. See Post-Transfusion Information.</w:t>
            </w:r>
          </w:p>
          <w:p w:rsidR="002A21AE" w:rsidRDefault="002A21AE">
            <w:pPr>
              <w:pStyle w:val="TableTextBullet"/>
            </w:pPr>
            <w:r>
              <w:rPr>
                <w:rFonts w:cs="Arial"/>
                <w:vanish/>
              </w:rPr>
              <w:t>BR_69.16</w:t>
            </w:r>
            <w:r w:rsidR="00C549FA" w:rsidRPr="00323744">
              <w:rPr>
                <w:rStyle w:val="BullhornChar"/>
              </w:rPr>
              <w:t></w:t>
            </w:r>
            <w:r w:rsidR="00C549FA">
              <w:rPr>
                <w:rFonts w:ascii="Webdings" w:hAnsi="Webdings"/>
              </w:rPr>
              <w:t></w:t>
            </w:r>
            <w:r>
              <w:t xml:space="preserve">VBECS emits an audible alert, requires a comment, and captures the transaction details for inclusion in </w:t>
            </w:r>
            <w:r w:rsidR="00C549FA">
              <w:t>an Exception Report (exception t</w:t>
            </w:r>
            <w:r>
              <w:t>ype: ABO incompatible unit transfused).</w:t>
            </w:r>
          </w:p>
          <w:p w:rsidR="00BB5288" w:rsidRDefault="00BB5288" w:rsidP="00BB5288">
            <w:pPr>
              <w:pStyle w:val="TableTextBullet"/>
            </w:pPr>
            <w:r>
              <w:t>Displays the entries for review, including the comment, until all details are entered.</w:t>
            </w:r>
          </w:p>
        </w:tc>
      </w:tr>
      <w:tr w:rsidR="00767921">
        <w:tblPrEx>
          <w:tblCellMar>
            <w:top w:w="0" w:type="dxa"/>
            <w:bottom w:w="0" w:type="dxa"/>
          </w:tblCellMar>
        </w:tblPrEx>
        <w:tc>
          <w:tcPr>
            <w:tcW w:w="3240" w:type="dxa"/>
          </w:tcPr>
          <w:p w:rsidR="00767921" w:rsidRDefault="00767921">
            <w:pPr>
              <w:pStyle w:val="TableTextNumbers"/>
            </w:pPr>
            <w:r>
              <w:t xml:space="preserve">Click </w:t>
            </w:r>
            <w:r w:rsidRPr="00767921">
              <w:rPr>
                <w:b/>
              </w:rPr>
              <w:t>OK</w:t>
            </w:r>
            <w:r>
              <w:t xml:space="preserve"> and </w:t>
            </w:r>
            <w:r w:rsidRPr="00767921">
              <w:rPr>
                <w:b/>
              </w:rPr>
              <w:t>Yes</w:t>
            </w:r>
            <w:r>
              <w:t xml:space="preserve"> to save.</w:t>
            </w:r>
          </w:p>
        </w:tc>
        <w:tc>
          <w:tcPr>
            <w:tcW w:w="6120" w:type="dxa"/>
          </w:tcPr>
          <w:p w:rsidR="00767921" w:rsidRDefault="00767921">
            <w:pPr>
              <w:pStyle w:val="TableTextBullet"/>
            </w:pPr>
            <w:r>
              <w:t>Saves the data.</w:t>
            </w:r>
          </w:p>
          <w:p w:rsidR="00BC3647" w:rsidRDefault="00BC3647">
            <w:pPr>
              <w:pStyle w:val="TableTextBullet"/>
            </w:pPr>
            <w:r>
              <w:t>Allows the user to enter comments and details.</w:t>
            </w:r>
          </w:p>
        </w:tc>
      </w:tr>
      <w:tr w:rsidR="002A21AE">
        <w:tblPrEx>
          <w:tblCellMar>
            <w:top w:w="0" w:type="dxa"/>
            <w:bottom w:w="0" w:type="dxa"/>
          </w:tblCellMar>
        </w:tblPrEx>
        <w:tc>
          <w:tcPr>
            <w:tcW w:w="3240" w:type="dxa"/>
          </w:tcPr>
          <w:p w:rsidR="00FE39F0" w:rsidRDefault="00FE39F0">
            <w:pPr>
              <w:pStyle w:val="TableTextNumbers"/>
            </w:pPr>
            <w:r>
              <w:t xml:space="preserve">Enter or select a comment and details, in accordance with local policy and procedures. </w:t>
            </w:r>
          </w:p>
          <w:p w:rsidR="00FE39F0" w:rsidRDefault="00FE39F0" w:rsidP="00FE39F0">
            <w:pPr>
              <w:pStyle w:val="TableTextNumbersContinued"/>
            </w:pPr>
          </w:p>
          <w:p w:rsidR="002A21AE" w:rsidRDefault="00FE39F0" w:rsidP="00FE39F0">
            <w:pPr>
              <w:pStyle w:val="TableTextNumbersContinued"/>
            </w:pPr>
            <w:r>
              <w:t xml:space="preserve">Click </w:t>
            </w:r>
            <w:r w:rsidRPr="00FE39F0">
              <w:rPr>
                <w:b/>
              </w:rPr>
              <w:t>OK</w:t>
            </w:r>
            <w:r>
              <w:t>.</w:t>
            </w:r>
          </w:p>
        </w:tc>
        <w:tc>
          <w:tcPr>
            <w:tcW w:w="6120" w:type="dxa"/>
          </w:tcPr>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4236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17" name="Lin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9"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Bh1FgIAAC0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Cm&#10;EBh1FgIAAC0EAAAOAAAAAAAAAAAAAAAAAC4CAABkcnMvZTJvRG9jLnhtbFBLAQItABQABgAIAAAA&#10;IQAXTzAS2wAAAAgBAAAPAAAAAAAAAAAAAAAAAHAEAABkcnMvZG93bnJldi54bWxQSwUGAAAAAAQA&#10;BADzAAAAeAUAAAAA&#10;" strokeweight="1.5pt"/>
                  </w:pict>
                </mc:Fallback>
              </mc:AlternateContent>
            </w:r>
            <w:r w:rsidR="002A21AE">
              <w:rPr>
                <w:b/>
                <w:bCs/>
                <w:szCs w:val="18"/>
              </w:rPr>
              <w:t>NOTES</w:t>
            </w:r>
          </w:p>
          <w:p w:rsidR="002A21AE" w:rsidRDefault="002A21AE">
            <w:pPr>
              <w:pStyle w:val="NotesText"/>
            </w:pPr>
          </w:p>
          <w:p w:rsidR="0018209A" w:rsidRDefault="0018209A" w:rsidP="0018209A">
            <w:pPr>
              <w:pStyle w:val="NotesText"/>
            </w:pPr>
            <w:r>
              <w:rPr>
                <w:rFonts w:cs="Arial"/>
                <w:vanish/>
              </w:rPr>
              <w:t xml:space="preserve">BR_69.13 </w:t>
            </w:r>
            <w:r>
              <w:t>VBECS saves transfusion information for future retrieval and reporting as part of the patient and unit historic records.</w:t>
            </w:r>
          </w:p>
          <w:p w:rsidR="0018209A" w:rsidRDefault="0018209A">
            <w:pPr>
              <w:pStyle w:val="NotesText"/>
              <w:rPr>
                <w:rFonts w:cs="Arial"/>
              </w:rPr>
            </w:pPr>
          </w:p>
          <w:p w:rsidR="002A21AE" w:rsidRDefault="002A21AE">
            <w:pPr>
              <w:pStyle w:val="NotesText"/>
            </w:pPr>
            <w:r>
              <w:rPr>
                <w:rFonts w:cs="Arial"/>
                <w:vanish/>
              </w:rPr>
              <w:t xml:space="preserve">BR_69.12 </w:t>
            </w:r>
            <w:r>
              <w:t xml:space="preserve">Upon data entry and saving of the post-transfusion information, VBECS assigns a status of “transfused” to the unit of </w:t>
            </w:r>
            <w:r w:rsidR="00191CFE">
              <w:t>blood</w:t>
            </w:r>
            <w:r>
              <w:t xml:space="preserve"> for the indicated patient.</w:t>
            </w:r>
          </w:p>
          <w:p w:rsidR="002A21AE" w:rsidRDefault="002A21AE">
            <w:pPr>
              <w:pStyle w:val="NotesText"/>
              <w:rPr>
                <w:rFonts w:cs="Arial"/>
              </w:rPr>
            </w:pPr>
          </w:p>
          <w:p w:rsidR="00BC3647" w:rsidRDefault="00BC3647">
            <w:pPr>
              <w:pStyle w:val="NotesText"/>
              <w:rPr>
                <w:rFonts w:cs="Arial"/>
              </w:rPr>
            </w:pPr>
            <w:r>
              <w:rPr>
                <w:rFonts w:cs="Arial"/>
              </w:rPr>
              <w:t>VBECS captures details of this override in an Exception Report.</w:t>
            </w:r>
          </w:p>
        </w:tc>
      </w:tr>
      <w:tr w:rsidR="002A21AE">
        <w:tblPrEx>
          <w:tblCellMar>
            <w:top w:w="0" w:type="dxa"/>
            <w:bottom w:w="0" w:type="dxa"/>
          </w:tblCellMar>
        </w:tblPrEx>
        <w:tc>
          <w:tcPr>
            <w:tcW w:w="3240" w:type="dxa"/>
          </w:tcPr>
          <w:p w:rsidR="002A21AE" w:rsidRDefault="002A21AE">
            <w:pPr>
              <w:pStyle w:val="TableTextNumbers"/>
            </w:pPr>
            <w:r>
              <w:t xml:space="preserve">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rsidR="002A21AE" w:rsidRDefault="002A21AE">
            <w:pPr>
              <w:pStyle w:val="TableText"/>
            </w:pPr>
          </w:p>
        </w:tc>
      </w:tr>
      <w:bookmarkEnd w:id="524"/>
    </w:tbl>
    <w:p w:rsidR="00F55832" w:rsidRDefault="00F55832">
      <w:pPr>
        <w:pStyle w:val="Heading3"/>
      </w:pPr>
    </w:p>
    <w:p w:rsidR="002A21AE" w:rsidRDefault="00F55832">
      <w:pPr>
        <w:pStyle w:val="Heading3"/>
      </w:pPr>
      <w:r>
        <w:br w:type="page"/>
      </w:r>
      <w:bookmarkStart w:id="531" w:name="_Toc459900158"/>
      <w:r w:rsidR="002A21AE">
        <w:lastRenderedPageBreak/>
        <w:t>Justify ABO/Rh Change</w:t>
      </w:r>
      <w:bookmarkEnd w:id="531"/>
      <w:r w:rsidR="002A21AE">
        <w:fldChar w:fldCharType="begin"/>
      </w:r>
      <w:r w:rsidR="002A21AE">
        <w:instrText xml:space="preserve"> XE </w:instrText>
      </w:r>
      <w:r w:rsidR="00FA7E65">
        <w:instrText>“</w:instrText>
      </w:r>
      <w:r w:rsidR="002A21AE">
        <w:instrText>Justify ABO/Rh Change</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UC_100</w:t>
      </w:r>
    </w:p>
    <w:p w:rsidR="002A21AE" w:rsidRDefault="002A21AE" w:rsidP="00FA7E65">
      <w:pPr>
        <w:pStyle w:val="BodyText"/>
      </w:pPr>
      <w:bookmarkStart w:id="532" w:name="_Toc63680378"/>
      <w:r>
        <w:t>The user changes a patient’s historical blood type only when there is a clinical change in blood type, not to correct an error.</w:t>
      </w:r>
      <w:r w:rsidR="005215D6">
        <w:t xml:space="preserve"> (See Invalidate Test Results.)</w:t>
      </w:r>
    </w:p>
    <w:p w:rsidR="002A21AE" w:rsidRDefault="002A21AE">
      <w:pPr>
        <w:pStyle w:val="Heading4"/>
      </w:pPr>
      <w:r>
        <w:t>Assumptions</w:t>
      </w:r>
      <w:r>
        <w:rPr>
          <w:b w:val="0"/>
        </w:rPr>
        <w:t xml:space="preserve"> </w:t>
      </w:r>
    </w:p>
    <w:p w:rsidR="002A21AE" w:rsidRDefault="002A21AE">
      <w:pPr>
        <w:pStyle w:val="ListBullet"/>
      </w:pPr>
      <w:r>
        <w:t xml:space="preserve">The patient has a previous ABO/Rh on record from the user’s current division, from a different division within the database, or from </w:t>
      </w:r>
      <w:r w:rsidR="00AB59B8">
        <w:t xml:space="preserve">the </w:t>
      </w:r>
      <w:r>
        <w:t>database conversion.</w:t>
      </w:r>
    </w:p>
    <w:p w:rsidR="002A21AE" w:rsidRDefault="002A21AE">
      <w:pPr>
        <w:pStyle w:val="ListBullet"/>
      </w:pPr>
      <w:r>
        <w:t>The patient has a current specimen test result with an ABO/Rh interpretation that does</w:t>
      </w:r>
      <w:r>
        <w:rPr>
          <w:i/>
        </w:rPr>
        <w:t xml:space="preserve"> </w:t>
      </w:r>
      <w:r>
        <w:t>not match the historical record. Both previous and current specimen test results are valid.</w:t>
      </w:r>
    </w:p>
    <w:p w:rsidR="002A21AE" w:rsidRDefault="002A21AE">
      <w:pPr>
        <w:pStyle w:val="Heading4"/>
      </w:pPr>
      <w:r>
        <w:t>Outcome</w:t>
      </w:r>
      <w:r>
        <w:rPr>
          <w:rFonts w:ascii="Times New Roman" w:hAnsi="Times New Roman"/>
          <w:i/>
          <w:color w:val="0000FF"/>
          <w:sz w:val="24"/>
        </w:rPr>
        <w:t xml:space="preserve"> </w:t>
      </w:r>
    </w:p>
    <w:p w:rsidR="002A21AE" w:rsidRDefault="002A21AE">
      <w:pPr>
        <w:pStyle w:val="ListBullet"/>
      </w:pPr>
      <w:r>
        <w:rPr>
          <w:rFonts w:ascii="Arial" w:hAnsi="Arial" w:cs="Arial"/>
          <w:vanish/>
          <w:spacing w:val="0"/>
          <w:sz w:val="18"/>
        </w:rPr>
        <w:t xml:space="preserve">BR_100.03 </w:t>
      </w:r>
      <w:r>
        <w:t xml:space="preserve">VBECS </w:t>
      </w:r>
      <w:r w:rsidR="00326CD8">
        <w:t xml:space="preserve">permanently </w:t>
      </w:r>
      <w:r>
        <w:t xml:space="preserve">marks the patient record and the specimen test to indicate that the patient has a justified ABO/Rh change, regardless of the user’s division. </w:t>
      </w:r>
    </w:p>
    <w:p w:rsidR="002A21AE" w:rsidRDefault="002A21AE">
      <w:pPr>
        <w:pStyle w:val="ListBullet"/>
      </w:pPr>
      <w:r>
        <w:rPr>
          <w:rFonts w:ascii="Arial" w:hAnsi="Arial" w:cs="Arial"/>
          <w:vanish/>
          <w:spacing w:val="0"/>
          <w:sz w:val="18"/>
        </w:rPr>
        <w:t xml:space="preserve">BR_100.05 </w:t>
      </w:r>
      <w:r>
        <w:t>The justified ABO/Rh on the patient record forces the user’s selection to be used as the new historical record, replacing the current test result as the historic record. VBECS does not check for ABO/Rh discrepancies with tests entered for this patient prior to the justified test result.</w:t>
      </w:r>
    </w:p>
    <w:p w:rsidR="002A21AE" w:rsidRDefault="002A21AE">
      <w:pPr>
        <w:pStyle w:val="ListBullet"/>
      </w:pPr>
      <w:r>
        <w:t>VBECS permanently disallows electronic crossmatch (eXM) for this patient.</w:t>
      </w:r>
    </w:p>
    <w:p w:rsidR="002A21AE" w:rsidRDefault="002A21AE">
      <w:pPr>
        <w:pStyle w:val="Heading4"/>
      </w:pPr>
      <w:r>
        <w:t>Limitations and Restrictions</w:t>
      </w:r>
    </w:p>
    <w:p w:rsidR="002A21AE" w:rsidRDefault="002A21AE">
      <w:pPr>
        <w:pStyle w:val="ListBullet"/>
      </w:pPr>
      <w:r>
        <w:t>VBECS does not allow the selection or issue of certain blood components that may appear ABO/Rh compatible when discrepant ABO/Rh results are not justified.</w:t>
      </w:r>
    </w:p>
    <w:p w:rsidR="002A21AE" w:rsidRDefault="002A21AE">
      <w:pPr>
        <w:pStyle w:val="Heading4"/>
      </w:pPr>
      <w:r>
        <w:t>Additional Information</w:t>
      </w:r>
      <w:r>
        <w:rPr>
          <w:rFonts w:ascii="Times New Roman" w:hAnsi="Times New Roman"/>
          <w:i/>
          <w:color w:val="0000FF"/>
          <w:sz w:val="24"/>
        </w:rPr>
        <w:t xml:space="preserve"> </w:t>
      </w:r>
    </w:p>
    <w:p w:rsidR="002A21AE" w:rsidRDefault="002A21AE">
      <w:pPr>
        <w:pStyle w:val="ListBullet"/>
      </w:pPr>
      <w:r>
        <w:rPr>
          <w:rFonts w:ascii="Arial" w:hAnsi="Arial" w:cs="Arial"/>
          <w:vanish/>
          <w:spacing w:val="0"/>
          <w:sz w:val="18"/>
        </w:rPr>
        <w:t xml:space="preserve">BR_100.07 </w:t>
      </w:r>
      <w:r>
        <w:t>When the discrepant ABO/Rh tests are on the same specimen, the user may not justify the patient’s ABO/Rh.</w:t>
      </w:r>
    </w:p>
    <w:p w:rsidR="002A21AE" w:rsidRDefault="002A21AE">
      <w:pPr>
        <w:pStyle w:val="ListBullet"/>
      </w:pPr>
      <w:r>
        <w:t xml:space="preserve">Do not use this option for ABO/Rh discrepancies that occur because the patient had a recent transfusion of a component of a type other than his own. </w:t>
      </w:r>
    </w:p>
    <w:p w:rsidR="002A21AE" w:rsidRDefault="002A21AE">
      <w:pPr>
        <w:pStyle w:val="ListBullet"/>
      </w:pPr>
      <w:r>
        <w:t>ABO/Rh discrepancies that occur because the previously tested or current specimen was tested in error are handled by inactivating the previously recorded test results through Invalidate Test Results.</w:t>
      </w:r>
    </w:p>
    <w:p w:rsidR="002A21AE" w:rsidRDefault="002A21AE">
      <w:pPr>
        <w:pStyle w:val="ListBullet"/>
      </w:pPr>
      <w:r>
        <w:t xml:space="preserve">Subsequent specimens may need to be justified in the presence of continued discrepant ABO results. </w:t>
      </w:r>
    </w:p>
    <w:p w:rsidR="002A21AE" w:rsidRDefault="002A21AE">
      <w:pPr>
        <w:pStyle w:val="ListBullet"/>
      </w:pPr>
      <w:r>
        <w:t>This option is used in rare clinical situations such as following bone marrow transplant.</w:t>
      </w:r>
    </w:p>
    <w:p w:rsidR="002A21AE" w:rsidRDefault="002A21AE">
      <w:pPr>
        <w:pStyle w:val="Heading4"/>
        <w:rPr>
          <w:b w:val="0"/>
        </w:rPr>
      </w:pPr>
      <w:r>
        <w:t>User Roles with Access to This Option</w:t>
      </w:r>
      <w:r>
        <w:rPr>
          <w:b w:val="0"/>
        </w:rPr>
        <w:t xml:space="preserve"> </w:t>
      </w:r>
    </w:p>
    <w:p w:rsidR="002A21AE" w:rsidRDefault="00FE459D" w:rsidP="00FE459D">
      <w:pPr>
        <w:pStyle w:val="Roles"/>
        <w:rPr>
          <w:snapToGrid w:val="0"/>
        </w:rPr>
      </w:pPr>
      <w:r w:rsidRPr="00FE459D">
        <w:rPr>
          <w:rFonts w:ascii="Wingdings 3" w:hAnsi="Wingdings 3"/>
        </w:rPr>
        <w:t></w:t>
      </w:r>
      <w:r w:rsidRPr="00FE459D">
        <w:rPr>
          <w:rFonts w:ascii="Wingdings 3" w:hAnsi="Wingdings 3"/>
        </w:rPr>
        <w:t></w:t>
      </w:r>
      <w:r w:rsidRPr="00FE459D">
        <w:rPr>
          <w:rFonts w:ascii="Wingdings 3" w:hAnsi="Wingdings 3"/>
        </w:rPr>
        <w:t></w:t>
      </w:r>
      <w:r w:rsidRPr="00FE459D">
        <w:rPr>
          <w:rFonts w:ascii="Wingdings 3" w:hAnsi="Wingdings 3"/>
        </w:rPr>
        <w:t></w:t>
      </w:r>
      <w:r>
        <w:t xml:space="preserve"> Traditional Supervisor</w:t>
      </w:r>
    </w:p>
    <w:p w:rsidR="002A21AE" w:rsidRDefault="002A21AE">
      <w:pPr>
        <w:pStyle w:val="Heading4"/>
      </w:pPr>
      <w:r>
        <w:t>Justify ABO/Rh Change</w:t>
      </w:r>
    </w:p>
    <w:p w:rsidR="002A21AE" w:rsidRDefault="002A21AE" w:rsidP="00FA7E65">
      <w:pPr>
        <w:pStyle w:val="BodyText"/>
      </w:pPr>
      <w:r>
        <w:t>The user determines that the patient’s current ABO/Rh testing results are valid, although they differ from previously recorded results, and that the patient requires a justification indicator on his record.</w:t>
      </w:r>
    </w:p>
    <w:p w:rsidR="00E661A1" w:rsidRDefault="002A21AE" w:rsidP="00FA7E65">
      <w:pPr>
        <w:pStyle w:val="BodyText"/>
      </w:pPr>
      <w:r>
        <w:t>This option is used only when both the previous specimen testing and the current specimen testing are considered valid. There is a valid explanation for why the ABO/Rh interpretations do not match and invalidation of the test result is not appropriate. Once the current patient ABO/Rh result change is justified, VBECS marks the patient’s record so that special handling for component orders for the patient apply from this</w:t>
      </w:r>
      <w:r w:rsidRPr="00D86197">
        <w:rPr>
          <w:b/>
        </w:rPr>
        <w:t xml:space="preserve"> </w:t>
      </w:r>
      <w:r w:rsidRPr="00A752B1">
        <w:t>p</w:t>
      </w:r>
      <w:r>
        <w:t>oint forward and remain in effect until the patient record is inactivated by the recording of his death in VBECS or by removing the justification.</w:t>
      </w:r>
    </w:p>
    <w:p w:rsidR="002A21AE" w:rsidRDefault="00E661A1" w:rsidP="00FA7E65">
      <w:pPr>
        <w:pStyle w:val="BodyText"/>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FFFFFF"/>
            <w:vAlign w:val="bottom"/>
          </w:tcPr>
          <w:p w:rsidR="002A21AE" w:rsidRDefault="002A21AE">
            <w:pPr>
              <w:pStyle w:val="TableText"/>
              <w:rPr>
                <w:b/>
              </w:rPr>
            </w:pPr>
            <w:r>
              <w:rPr>
                <w:b/>
              </w:rPr>
              <w:lastRenderedPageBreak/>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pPr>
              <w:pStyle w:val="TableTextNumbers"/>
            </w:pPr>
            <w:r>
              <w:t xml:space="preserve">Select </w:t>
            </w:r>
            <w:r>
              <w:rPr>
                <w:b/>
              </w:rPr>
              <w:t>Supervisor</w:t>
            </w:r>
            <w:r>
              <w:t xml:space="preserve"> from the main menu.</w:t>
            </w:r>
          </w:p>
          <w:p w:rsidR="002A21AE" w:rsidRDefault="002A21AE">
            <w:pPr>
              <w:pStyle w:val="TableTextNumbersContinued"/>
            </w:pPr>
          </w:p>
          <w:p w:rsidR="002A21AE" w:rsidRDefault="002A21AE">
            <w:pPr>
              <w:pStyle w:val="TableTextNumbersContinued"/>
            </w:pPr>
            <w:r>
              <w:t xml:space="preserve">Select </w:t>
            </w:r>
            <w:r>
              <w:rPr>
                <w:b/>
              </w:rPr>
              <w:t>Justify ABO/Rh Change</w:t>
            </w:r>
            <w:r>
              <w:t>.</w:t>
            </w:r>
          </w:p>
        </w:tc>
        <w:tc>
          <w:tcPr>
            <w:tcW w:w="6120" w:type="dxa"/>
          </w:tcPr>
          <w:p w:rsidR="002A21AE" w:rsidRDefault="002A21AE">
            <w:pPr>
              <w:pStyle w:val="TableTextBullet"/>
            </w:pPr>
            <w:r>
              <w:t>Displays options available to supervisors.</w:t>
            </w:r>
          </w:p>
        </w:tc>
      </w:tr>
      <w:tr w:rsidR="002A21AE">
        <w:tblPrEx>
          <w:tblCellMar>
            <w:top w:w="0" w:type="dxa"/>
            <w:bottom w:w="0" w:type="dxa"/>
          </w:tblCellMar>
        </w:tblPrEx>
        <w:tc>
          <w:tcPr>
            <w:tcW w:w="3240" w:type="dxa"/>
          </w:tcPr>
          <w:p w:rsidR="002A21AE" w:rsidRDefault="002A21AE">
            <w:pPr>
              <w:pStyle w:val="TableTextNumbers"/>
            </w:pPr>
            <w:r>
              <w:t xml:space="preserve">Enter a patient name in the Patient field and click </w:t>
            </w:r>
            <w:r>
              <w:rPr>
                <w:b/>
                <w:bCs/>
              </w:rPr>
              <w:t>Search</w:t>
            </w:r>
            <w:r>
              <w:t xml:space="preserve"> to select a patient. </w:t>
            </w:r>
          </w:p>
          <w:p w:rsidR="002A21AE" w:rsidRDefault="002A21AE">
            <w:pPr>
              <w:pStyle w:val="TableTextNumbersContinued"/>
            </w:pPr>
          </w:p>
          <w:p w:rsidR="002A21AE" w:rsidRDefault="002A21AE">
            <w:pPr>
              <w:pStyle w:val="TableTextNumbersContinued"/>
            </w:pPr>
            <w:r>
              <w:t>Select a patient.</w:t>
            </w:r>
          </w:p>
          <w:p w:rsidR="00D86197" w:rsidRDefault="00D86197">
            <w:pPr>
              <w:pStyle w:val="TableTextNumbersContinued"/>
            </w:pPr>
          </w:p>
          <w:p w:rsidR="00D86197" w:rsidRDefault="00D86197">
            <w:pPr>
              <w:pStyle w:val="TableTextNumbersContinued"/>
            </w:pPr>
            <w:r>
              <w:t xml:space="preserve">Click </w:t>
            </w:r>
            <w:r w:rsidRPr="00D86197">
              <w:rPr>
                <w:b/>
              </w:rPr>
              <w:t>OK</w:t>
            </w:r>
            <w:r>
              <w:t>.</w:t>
            </w:r>
          </w:p>
        </w:tc>
        <w:tc>
          <w:tcPr>
            <w:tcW w:w="6120" w:type="dxa"/>
          </w:tcPr>
          <w:p w:rsidR="002A21AE" w:rsidRDefault="002A21AE">
            <w:pPr>
              <w:pStyle w:val="TableTextBullet"/>
            </w:pPr>
            <w:r>
              <w:t>Displays a screen for patient selection.</w:t>
            </w:r>
          </w:p>
          <w:p w:rsidR="002A21AE" w:rsidRDefault="002A21AE">
            <w:pPr>
              <w:pStyle w:val="TableTextBullet"/>
            </w:pPr>
            <w:r>
              <w:t>Disallows the justification or allows the user to continue.</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0550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16" name="Line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6"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k2AFQIAAC0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EoS&#10;TYA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BR_100.01 </w:t>
            </w:r>
            <w:r>
              <w:t>VBECS compares the results of the current ABO/Rh with the previous ABO/Rh results. When there is no discrepancy, VBECS warns that no justification is required. There is no override. VBECS clears the screen and the user may select another patient.</w:t>
            </w:r>
          </w:p>
          <w:p w:rsidR="002A21AE" w:rsidRDefault="002A21AE">
            <w:pPr>
              <w:pStyle w:val="NotesText"/>
            </w:pPr>
          </w:p>
          <w:p w:rsidR="002A21AE" w:rsidRDefault="002A21AE">
            <w:pPr>
              <w:pStyle w:val="NotesText"/>
            </w:pPr>
            <w:r>
              <w:rPr>
                <w:rFonts w:cs="Arial"/>
                <w:vanish/>
              </w:rPr>
              <w:t xml:space="preserve">BR_100.06 </w:t>
            </w:r>
            <w:r>
              <w:t>VBECS warns the user to use this option only when both the current and previous specimen tests are valid, otherwise, use Invalidate</w:t>
            </w:r>
            <w:r w:rsidR="008902F4">
              <w:t xml:space="preserve"> Patient Test</w:t>
            </w:r>
            <w:r>
              <w:t xml:space="preserve"> Results.</w:t>
            </w:r>
          </w:p>
        </w:tc>
      </w:tr>
      <w:tr w:rsidR="002A21AE">
        <w:tblPrEx>
          <w:tblCellMar>
            <w:top w:w="0" w:type="dxa"/>
            <w:bottom w:w="0" w:type="dxa"/>
          </w:tblCellMar>
        </w:tblPrEx>
        <w:tc>
          <w:tcPr>
            <w:tcW w:w="3240" w:type="dxa"/>
          </w:tcPr>
          <w:p w:rsidR="002A21AE" w:rsidRDefault="002A21AE">
            <w:pPr>
              <w:pStyle w:val="TableTextNumbers"/>
            </w:pPr>
            <w:r>
              <w:t>Select an ABO/Rh interpretation as the patient’s justified historical record</w:t>
            </w:r>
            <w:r w:rsidR="0052270D">
              <w:t xml:space="preserve"> (</w:t>
            </w:r>
            <w:r w:rsidR="00830A4C">
              <w:fldChar w:fldCharType="begin"/>
            </w:r>
            <w:r w:rsidR="00830A4C">
              <w:instrText xml:space="preserve"> REF _Ref128535822 \h </w:instrText>
            </w:r>
            <w:r w:rsidR="00830A4C">
              <w:fldChar w:fldCharType="separate"/>
            </w:r>
            <w:r w:rsidR="005F38BC">
              <w:t xml:space="preserve">Figure </w:t>
            </w:r>
            <w:r w:rsidR="005F38BC">
              <w:rPr>
                <w:noProof/>
              </w:rPr>
              <w:t>134</w:t>
            </w:r>
            <w:r w:rsidR="00830A4C">
              <w:fldChar w:fldCharType="end"/>
            </w:r>
            <w:r w:rsidR="0052270D">
              <w:t>)</w:t>
            </w:r>
            <w:r>
              <w:t>.</w:t>
            </w:r>
          </w:p>
        </w:tc>
        <w:tc>
          <w:tcPr>
            <w:tcW w:w="6120" w:type="dxa"/>
          </w:tcPr>
          <w:p w:rsidR="002A21AE" w:rsidRDefault="002A21AE">
            <w:pPr>
              <w:pStyle w:val="TableTextBullet"/>
            </w:pPr>
            <w:r>
              <w:t xml:space="preserve">Displays details of the historic and current ABO/Rh testing for comparison and a list of available ABO and Rh types for user selection. </w:t>
            </w:r>
          </w:p>
          <w:p w:rsidR="002A21AE" w:rsidRDefault="002A21AE">
            <w:pPr>
              <w:pStyle w:val="TableTextBullet"/>
            </w:pPr>
            <w:r>
              <w:t>Requires a comment to continue.</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0448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15" name="Lin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5" o:spid="_x0000_s1026" style="position:absolute;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YTQFQ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HsJ&#10;hNA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BR_100.04 </w:t>
            </w:r>
            <w:r>
              <w:t>The user may select one ABO group and one Rh type for the patient to serve as the justified ABO/Rh typing in the historic record. VBECS displays the current ABO and Rh interpretations as the defaults.</w:t>
            </w:r>
          </w:p>
          <w:p w:rsidR="002A21AE" w:rsidRDefault="002A21AE">
            <w:pPr>
              <w:pStyle w:val="NotesText"/>
            </w:pPr>
          </w:p>
          <w:p w:rsidR="002A21AE" w:rsidRDefault="002A21AE">
            <w:pPr>
              <w:pStyle w:val="NotesText"/>
            </w:pPr>
            <w:r>
              <w:rPr>
                <w:rFonts w:cs="Arial"/>
                <w:vanish/>
              </w:rPr>
              <w:t xml:space="preserve">BR_100.02 </w:t>
            </w:r>
            <w:r>
              <w:t>VBECS requires a comment to continue.</w:t>
            </w:r>
          </w:p>
        </w:tc>
      </w:tr>
      <w:tr w:rsidR="002A21AE">
        <w:tblPrEx>
          <w:tblCellMar>
            <w:top w:w="0" w:type="dxa"/>
            <w:bottom w:w="0" w:type="dxa"/>
          </w:tblCellMar>
        </w:tblPrEx>
        <w:tc>
          <w:tcPr>
            <w:tcW w:w="3240" w:type="dxa"/>
          </w:tcPr>
          <w:p w:rsidR="002A21AE" w:rsidRDefault="002A21AE">
            <w:pPr>
              <w:pStyle w:val="TableTextNumbers"/>
            </w:pPr>
            <w:r>
              <w:t xml:space="preserve">Confirm the update of the database with the justified ABO/Rh. </w:t>
            </w:r>
          </w:p>
          <w:p w:rsidR="002A21AE" w:rsidRDefault="002A21AE">
            <w:pPr>
              <w:pStyle w:val="TableTextNumbersContinued"/>
            </w:pPr>
          </w:p>
          <w:p w:rsidR="002A21AE" w:rsidRDefault="002A21AE">
            <w:pPr>
              <w:pStyle w:val="TableTextNumbersContinued"/>
            </w:pPr>
            <w:r>
              <w:t xml:space="preserve">Exit.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rsidR="002A21AE" w:rsidRDefault="002A21AE">
            <w:pPr>
              <w:pStyle w:val="TableTextBullet"/>
            </w:pPr>
            <w:r>
              <w:t>Updates the patient record.</w:t>
            </w:r>
          </w:p>
        </w:tc>
      </w:tr>
    </w:tbl>
    <w:p w:rsidR="00830A4C" w:rsidRDefault="00830A4C" w:rsidP="00830A4C">
      <w:pPr>
        <w:pStyle w:val="Caption"/>
      </w:pPr>
      <w:bookmarkStart w:id="533" w:name="_Ref128535822"/>
      <w:r>
        <w:lastRenderedPageBreak/>
        <w:t xml:space="preserve">Figure </w:t>
      </w:r>
      <w:r w:rsidR="00C17F7C">
        <w:fldChar w:fldCharType="begin"/>
      </w:r>
      <w:r w:rsidR="00C17F7C">
        <w:instrText xml:space="preserve"> SEQ Figure \* ARABIC </w:instrText>
      </w:r>
      <w:r w:rsidR="00C17F7C">
        <w:fldChar w:fldCharType="separate"/>
      </w:r>
      <w:r w:rsidR="005F38BC">
        <w:rPr>
          <w:noProof/>
        </w:rPr>
        <w:t>134</w:t>
      </w:r>
      <w:r w:rsidR="00C17F7C">
        <w:fldChar w:fldCharType="end"/>
      </w:r>
      <w:bookmarkEnd w:id="533"/>
      <w:r>
        <w:t>: Justify ABO/Rh Change</w:t>
      </w:r>
    </w:p>
    <w:p w:rsidR="00830A4C" w:rsidRDefault="00634BFC" w:rsidP="00830A4C">
      <w:pPr>
        <w:pStyle w:val="BodyText"/>
      </w:pPr>
      <w:r>
        <w:rPr>
          <w:noProof/>
        </w:rPr>
        <w:drawing>
          <wp:inline distT="0" distB="0" distL="0" distR="0">
            <wp:extent cx="4572000" cy="32004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572000" cy="3200400"/>
                    </a:xfrm>
                    <a:prstGeom prst="rect">
                      <a:avLst/>
                    </a:prstGeom>
                    <a:noFill/>
                    <a:ln>
                      <a:noFill/>
                    </a:ln>
                  </pic:spPr>
                </pic:pic>
              </a:graphicData>
            </a:graphic>
          </wp:inline>
        </w:drawing>
      </w:r>
    </w:p>
    <w:p w:rsidR="007A49E1" w:rsidRDefault="007A49E1" w:rsidP="007A49E1">
      <w:pPr>
        <w:pStyle w:val="BodyText"/>
        <w:jc w:val="center"/>
      </w:pPr>
      <w:r>
        <w:br w:type="page"/>
      </w:r>
      <w:r w:rsidRPr="007A49E1">
        <w:lastRenderedPageBreak/>
        <w:t>This page intentionally left blank.</w:t>
      </w:r>
    </w:p>
    <w:p w:rsidR="007A4841" w:rsidRDefault="007A49E1" w:rsidP="007A49E1">
      <w:pPr>
        <w:pStyle w:val="Heading1"/>
      </w:pPr>
      <w:r>
        <w:rPr>
          <w:rFonts w:ascii="Times New Roman" w:hAnsi="Times New Roman" w:cs="Times New Roman"/>
          <w:b w:val="0"/>
          <w:sz w:val="22"/>
          <w:szCs w:val="22"/>
        </w:rPr>
        <w:br w:type="page"/>
      </w:r>
      <w:bookmarkStart w:id="534" w:name="_Toc459900159"/>
      <w:r w:rsidR="007A4841">
        <w:lastRenderedPageBreak/>
        <w:t>Automated Testing</w:t>
      </w:r>
      <w:bookmarkEnd w:id="534"/>
      <w:r w:rsidR="007A4841" w:rsidRPr="00B31DA1">
        <w:rPr>
          <w:vanish/>
        </w:rPr>
        <w:t>{ XE “Automated Testing” }</w:t>
      </w:r>
      <w:r w:rsidR="007A4841" w:rsidRPr="00B31DA1">
        <w:rPr>
          <w:i/>
          <w:vanish/>
        </w:rPr>
        <w:t>UC_114, UC_115</w:t>
      </w:r>
    </w:p>
    <w:p w:rsidR="00B45FA2" w:rsidRDefault="00B45FA2" w:rsidP="007A4841">
      <w:pPr>
        <w:pStyle w:val="Heading2"/>
      </w:pPr>
      <w:bookmarkStart w:id="535" w:name="_Toc459900160"/>
      <w:r>
        <w:t>Automated Testing Interface</w:t>
      </w:r>
      <w:bookmarkEnd w:id="535"/>
      <w:r>
        <w:fldChar w:fldCharType="begin"/>
      </w:r>
      <w:r>
        <w:instrText xml:space="preserve"> XE “Automated Testing Interface” </w:instrText>
      </w:r>
      <w:r>
        <w:fldChar w:fldCharType="end"/>
      </w:r>
      <w:r>
        <w:t xml:space="preserve"> </w:t>
      </w:r>
      <w:r>
        <w:rPr>
          <w:rFonts w:ascii="Times New Roman" w:hAnsi="Times New Roman" w:cs="Times New Roman"/>
          <w:b w:val="0"/>
          <w:i w:val="0"/>
          <w:vanish/>
          <w:sz w:val="22"/>
        </w:rPr>
        <w:t>UC_114</w:t>
      </w:r>
    </w:p>
    <w:p w:rsidR="007B52EA" w:rsidRDefault="00B45FA2" w:rsidP="00B45FA2">
      <w:pPr>
        <w:pStyle w:val="BodyText"/>
      </w:pPr>
      <w:r w:rsidRPr="00311A54">
        <w:t xml:space="preserve">The user </w:t>
      </w:r>
      <w:r w:rsidR="0081699D" w:rsidRPr="00311A54">
        <w:t>sends test results to VBECS</w:t>
      </w:r>
      <w:r w:rsidR="00F27904">
        <w:t xml:space="preserve"> from an automated instrument</w:t>
      </w:r>
      <w:r w:rsidRPr="00311A54">
        <w:t>.</w:t>
      </w:r>
    </w:p>
    <w:p w:rsidR="007B52EA" w:rsidRDefault="007B52EA" w:rsidP="007B52EA">
      <w:pPr>
        <w:pStyle w:val="BodyText"/>
      </w:pPr>
      <w:r>
        <w:t>For details about interface configuration please refer to the VBECS Technical Manual-Security Guide</w:t>
      </w:r>
      <w:r w:rsidR="004A1C69">
        <w:t>.</w:t>
      </w:r>
    </w:p>
    <w:p w:rsidR="00B45FA2" w:rsidRDefault="00B45FA2" w:rsidP="00B45FA2">
      <w:pPr>
        <w:pStyle w:val="Heading4"/>
      </w:pPr>
      <w:r>
        <w:t>Assumptions</w:t>
      </w:r>
      <w:r>
        <w:rPr>
          <w:b w:val="0"/>
        </w:rPr>
        <w:t xml:space="preserve"> </w:t>
      </w:r>
    </w:p>
    <w:p w:rsidR="004926E0" w:rsidRDefault="004926E0" w:rsidP="00B45FA2">
      <w:pPr>
        <w:pStyle w:val="TableTextBullet"/>
        <w:numPr>
          <w:ilvl w:val="0"/>
          <w:numId w:val="51"/>
        </w:numPr>
        <w:ind w:right="63"/>
        <w:rPr>
          <w:rFonts w:ascii="Times New Roman" w:hAnsi="Times New Roman"/>
          <w:spacing w:val="-5"/>
          <w:sz w:val="22"/>
          <w:szCs w:val="22"/>
        </w:rPr>
      </w:pPr>
      <w:r>
        <w:rPr>
          <w:rFonts w:ascii="Times New Roman" w:hAnsi="Times New Roman"/>
          <w:spacing w:val="-5"/>
          <w:sz w:val="22"/>
          <w:szCs w:val="22"/>
        </w:rPr>
        <w:t>Test Results have been reviewed and released on the instrument to be transmitted to VBECS.</w:t>
      </w:r>
      <w:r w:rsidR="00FC74A0">
        <w:rPr>
          <w:rFonts w:ascii="Times New Roman" w:hAnsi="Times New Roman"/>
          <w:spacing w:val="-5"/>
          <w:sz w:val="22"/>
          <w:szCs w:val="22"/>
        </w:rPr>
        <w:t xml:space="preserve"> </w:t>
      </w:r>
      <w:r w:rsidR="00FC74A0" w:rsidRPr="00FC74A0">
        <w:rPr>
          <w:rFonts w:ascii="Times New Roman" w:hAnsi="Times New Roman"/>
          <w:vanish/>
          <w:spacing w:val="-5"/>
          <w:sz w:val="22"/>
          <w:szCs w:val="22"/>
        </w:rPr>
        <w:t xml:space="preserve">Defect </w:t>
      </w:r>
      <w:r w:rsidR="00FC74A0" w:rsidRPr="00FC74A0">
        <w:rPr>
          <w:vanish/>
        </w:rPr>
        <w:t>357490</w:t>
      </w:r>
    </w:p>
    <w:p w:rsidR="00B45FA2" w:rsidRPr="00B23B06" w:rsidRDefault="00B45FA2" w:rsidP="00B45FA2">
      <w:pPr>
        <w:pStyle w:val="TableTextBullet"/>
        <w:numPr>
          <w:ilvl w:val="0"/>
          <w:numId w:val="51"/>
        </w:numPr>
        <w:ind w:right="63"/>
        <w:rPr>
          <w:rFonts w:ascii="Times New Roman" w:hAnsi="Times New Roman"/>
          <w:spacing w:val="-5"/>
          <w:sz w:val="22"/>
          <w:szCs w:val="22"/>
        </w:rPr>
      </w:pPr>
      <w:r w:rsidRPr="00B23B06">
        <w:rPr>
          <w:rFonts w:ascii="Times New Roman" w:hAnsi="Times New Roman"/>
          <w:spacing w:val="-5"/>
          <w:sz w:val="22"/>
          <w:szCs w:val="22"/>
        </w:rPr>
        <w:t>A patient testing order must be accepted in VBECS and pending test results.</w:t>
      </w:r>
    </w:p>
    <w:p w:rsidR="00B45FA2" w:rsidRPr="00B23B06" w:rsidRDefault="00B45FA2" w:rsidP="00B45FA2">
      <w:pPr>
        <w:pStyle w:val="TableTextBullet"/>
        <w:numPr>
          <w:ilvl w:val="0"/>
          <w:numId w:val="51"/>
        </w:numPr>
        <w:ind w:right="63"/>
        <w:rPr>
          <w:rFonts w:ascii="Times New Roman" w:hAnsi="Times New Roman"/>
          <w:spacing w:val="-5"/>
          <w:sz w:val="22"/>
          <w:szCs w:val="22"/>
        </w:rPr>
      </w:pPr>
      <w:r w:rsidRPr="00B23B06">
        <w:rPr>
          <w:rFonts w:ascii="Times New Roman" w:hAnsi="Times New Roman"/>
          <w:spacing w:val="-5"/>
          <w:sz w:val="22"/>
          <w:szCs w:val="22"/>
        </w:rPr>
        <w:t>A blood unit must be received in the VBECS division.</w:t>
      </w:r>
    </w:p>
    <w:p w:rsidR="00B45FA2" w:rsidRPr="00B23B06" w:rsidRDefault="00B45FA2" w:rsidP="00B45FA2">
      <w:pPr>
        <w:pStyle w:val="TableTextBullet"/>
        <w:numPr>
          <w:ilvl w:val="0"/>
          <w:numId w:val="51"/>
        </w:numPr>
        <w:ind w:right="63"/>
        <w:rPr>
          <w:rFonts w:ascii="Times New Roman" w:hAnsi="Times New Roman"/>
          <w:spacing w:val="-5"/>
          <w:sz w:val="22"/>
          <w:szCs w:val="22"/>
        </w:rPr>
      </w:pPr>
      <w:r w:rsidRPr="00B23B06">
        <w:rPr>
          <w:rFonts w:ascii="Times New Roman" w:hAnsi="Times New Roman"/>
          <w:spacing w:val="-5"/>
          <w:sz w:val="22"/>
          <w:szCs w:val="22"/>
        </w:rPr>
        <w:t>The testing instrument is fully functional and available for use:  The instrument QC is completed and valid, no maintenance is required and test results are available for transmission to VBECS.</w:t>
      </w:r>
    </w:p>
    <w:p w:rsidR="00B45FA2" w:rsidRDefault="00B45FA2" w:rsidP="00B45FA2">
      <w:pPr>
        <w:pStyle w:val="TableTextBullet"/>
        <w:numPr>
          <w:ilvl w:val="0"/>
          <w:numId w:val="51"/>
        </w:numPr>
        <w:ind w:right="63"/>
        <w:rPr>
          <w:rFonts w:ascii="Times New Roman" w:hAnsi="Times New Roman"/>
          <w:spacing w:val="-5"/>
          <w:sz w:val="22"/>
          <w:szCs w:val="22"/>
        </w:rPr>
      </w:pPr>
      <w:r w:rsidRPr="00B23B06">
        <w:rPr>
          <w:rFonts w:ascii="Times New Roman" w:hAnsi="Times New Roman"/>
          <w:spacing w:val="-5"/>
          <w:sz w:val="22"/>
          <w:szCs w:val="22"/>
        </w:rPr>
        <w:t xml:space="preserve">Interface Control Parameters </w:t>
      </w:r>
      <w:r>
        <w:rPr>
          <w:rFonts w:ascii="Times New Roman" w:hAnsi="Times New Roman"/>
          <w:spacing w:val="-5"/>
          <w:sz w:val="22"/>
          <w:szCs w:val="22"/>
        </w:rPr>
        <w:t>have</w:t>
      </w:r>
      <w:r w:rsidRPr="00B23B06">
        <w:rPr>
          <w:rFonts w:ascii="Times New Roman" w:hAnsi="Times New Roman"/>
          <w:spacing w:val="-5"/>
          <w:sz w:val="22"/>
          <w:szCs w:val="22"/>
        </w:rPr>
        <w:t xml:space="preserve"> been completed and </w:t>
      </w:r>
      <w:r>
        <w:rPr>
          <w:rFonts w:ascii="Times New Roman" w:hAnsi="Times New Roman"/>
          <w:spacing w:val="-5"/>
          <w:sz w:val="22"/>
          <w:szCs w:val="22"/>
        </w:rPr>
        <w:t>are</w:t>
      </w:r>
      <w:r w:rsidRPr="00B23B06">
        <w:rPr>
          <w:rFonts w:ascii="Times New Roman" w:hAnsi="Times New Roman"/>
          <w:spacing w:val="-5"/>
          <w:sz w:val="22"/>
          <w:szCs w:val="22"/>
        </w:rPr>
        <w:t xml:space="preserve"> enabled for the automated instrument interface</w:t>
      </w:r>
      <w:r w:rsidR="00F27904">
        <w:rPr>
          <w:rFonts w:ascii="Times New Roman" w:hAnsi="Times New Roman"/>
          <w:spacing w:val="-5"/>
          <w:sz w:val="22"/>
          <w:szCs w:val="22"/>
        </w:rPr>
        <w:t xml:space="preserve"> in the VBECS Administrator</w:t>
      </w:r>
      <w:r w:rsidRPr="00B23B06">
        <w:rPr>
          <w:rFonts w:ascii="Times New Roman" w:hAnsi="Times New Roman"/>
          <w:spacing w:val="-5"/>
          <w:sz w:val="22"/>
          <w:szCs w:val="22"/>
        </w:rPr>
        <w:t>.</w:t>
      </w:r>
    </w:p>
    <w:p w:rsidR="00B45FA2" w:rsidRPr="00B23B06" w:rsidRDefault="00B45FA2" w:rsidP="00B45FA2">
      <w:pPr>
        <w:pStyle w:val="TableTextBullet"/>
        <w:numPr>
          <w:ilvl w:val="0"/>
          <w:numId w:val="51"/>
        </w:numPr>
        <w:ind w:right="63"/>
        <w:rPr>
          <w:rFonts w:ascii="Times New Roman" w:hAnsi="Times New Roman"/>
          <w:spacing w:val="-5"/>
          <w:sz w:val="22"/>
          <w:szCs w:val="22"/>
        </w:rPr>
      </w:pPr>
      <w:r>
        <w:rPr>
          <w:rFonts w:ascii="Times New Roman" w:hAnsi="Times New Roman"/>
          <w:spacing w:val="-5"/>
          <w:sz w:val="22"/>
          <w:szCs w:val="22"/>
        </w:rPr>
        <w:t>Data Innovations Instrument Manager message interface is properly and completely configured.</w:t>
      </w:r>
    </w:p>
    <w:p w:rsidR="00B45FA2" w:rsidRDefault="00B45FA2" w:rsidP="00B45FA2">
      <w:pPr>
        <w:pStyle w:val="Heading4"/>
      </w:pPr>
      <w:r>
        <w:t xml:space="preserve">Outcome </w:t>
      </w:r>
    </w:p>
    <w:p w:rsidR="00B45FA2" w:rsidRDefault="0081699D" w:rsidP="00B45FA2">
      <w:pPr>
        <w:pStyle w:val="ListBullet"/>
      </w:pPr>
      <w:r w:rsidRPr="00311A54">
        <w:t>Test results are received by VBECS</w:t>
      </w:r>
      <w:r w:rsidR="00B45FA2" w:rsidRPr="00311A54">
        <w:t>.</w:t>
      </w:r>
    </w:p>
    <w:p w:rsidR="00F27904" w:rsidRPr="00311A54" w:rsidRDefault="00F27904" w:rsidP="00B45FA2">
      <w:pPr>
        <w:pStyle w:val="ListBullet"/>
      </w:pPr>
      <w:r>
        <w:t>Task status is updated for tests pending completion.</w:t>
      </w:r>
    </w:p>
    <w:p w:rsidR="00B45FA2" w:rsidRDefault="00B45FA2" w:rsidP="00B45FA2">
      <w:pPr>
        <w:pStyle w:val="Heading4"/>
      </w:pPr>
      <w:r>
        <w:t>Limitations and Restrictions</w:t>
      </w:r>
      <w:r>
        <w:rPr>
          <w:b w:val="0"/>
        </w:rPr>
        <w:t xml:space="preserve"> </w:t>
      </w:r>
    </w:p>
    <w:p w:rsidR="00586388" w:rsidRPr="00586388" w:rsidRDefault="00586388" w:rsidP="00B45FA2">
      <w:pPr>
        <w:pStyle w:val="TableTextBullet"/>
        <w:numPr>
          <w:ilvl w:val="0"/>
          <w:numId w:val="51"/>
        </w:numPr>
        <w:ind w:right="63"/>
        <w:rPr>
          <w:rFonts w:ascii="Times New Roman" w:hAnsi="Times New Roman"/>
          <w:spacing w:val="-5"/>
          <w:sz w:val="22"/>
          <w:szCs w:val="22"/>
        </w:rPr>
      </w:pPr>
      <w:r w:rsidRPr="00586388">
        <w:rPr>
          <w:rFonts w:ascii="Times New Roman" w:hAnsi="Times New Roman"/>
          <w:sz w:val="22"/>
          <w:szCs w:val="22"/>
        </w:rPr>
        <w:t xml:space="preserve">VBECS has only been tested with one automated instrument connected. </w:t>
      </w:r>
      <w:r w:rsidRPr="00586388">
        <w:rPr>
          <w:rFonts w:ascii="Times New Roman" w:hAnsi="Times New Roman"/>
          <w:vanish/>
          <w:sz w:val="22"/>
          <w:szCs w:val="22"/>
        </w:rPr>
        <w:t>Defect 357490</w:t>
      </w:r>
    </w:p>
    <w:p w:rsidR="00B45FA2" w:rsidRPr="00B23B06" w:rsidRDefault="00B45FA2" w:rsidP="00B45FA2">
      <w:pPr>
        <w:pStyle w:val="TableTextBullet"/>
        <w:numPr>
          <w:ilvl w:val="0"/>
          <w:numId w:val="51"/>
        </w:numPr>
        <w:ind w:right="63"/>
        <w:rPr>
          <w:rFonts w:ascii="Times New Roman" w:hAnsi="Times New Roman"/>
          <w:spacing w:val="-5"/>
          <w:sz w:val="22"/>
          <w:szCs w:val="22"/>
        </w:rPr>
      </w:pPr>
      <w:r w:rsidRPr="00B23B06">
        <w:rPr>
          <w:rFonts w:ascii="Times New Roman" w:hAnsi="Times New Roman"/>
          <w:spacing w:val="-5"/>
          <w:sz w:val="22"/>
          <w:szCs w:val="22"/>
        </w:rPr>
        <w:t>Not available for transmission to Transfusion only facilities from a blood center due to constraints of VA’s security software.</w:t>
      </w:r>
    </w:p>
    <w:p w:rsidR="00B45FA2" w:rsidRPr="00B23B06" w:rsidRDefault="00B45FA2" w:rsidP="00B45FA2">
      <w:pPr>
        <w:pStyle w:val="TableTextBullet"/>
        <w:numPr>
          <w:ilvl w:val="0"/>
          <w:numId w:val="51"/>
        </w:numPr>
        <w:ind w:right="63"/>
        <w:rPr>
          <w:rFonts w:ascii="Times New Roman" w:hAnsi="Times New Roman"/>
          <w:spacing w:val="-5"/>
          <w:sz w:val="22"/>
          <w:szCs w:val="22"/>
        </w:rPr>
      </w:pPr>
      <w:r w:rsidRPr="00B23B06">
        <w:rPr>
          <w:rFonts w:ascii="Times New Roman" w:hAnsi="Times New Roman"/>
          <w:spacing w:val="-5"/>
          <w:sz w:val="22"/>
          <w:szCs w:val="22"/>
        </w:rPr>
        <w:t>The results of Antibody Panels (ABID) will not be accepted by the VBECS Automated Interface.</w:t>
      </w:r>
    </w:p>
    <w:p w:rsidR="00B45FA2" w:rsidRDefault="00B45FA2" w:rsidP="00B45FA2">
      <w:pPr>
        <w:pStyle w:val="TableTextBullet"/>
        <w:numPr>
          <w:ilvl w:val="0"/>
          <w:numId w:val="51"/>
        </w:numPr>
        <w:ind w:right="63"/>
        <w:rPr>
          <w:rFonts w:ascii="Times New Roman" w:hAnsi="Times New Roman"/>
          <w:spacing w:val="-5"/>
          <w:sz w:val="22"/>
          <w:szCs w:val="22"/>
        </w:rPr>
      </w:pPr>
      <w:r w:rsidRPr="00B23B06">
        <w:rPr>
          <w:rFonts w:ascii="Times New Roman" w:hAnsi="Times New Roman"/>
          <w:spacing w:val="-5"/>
          <w:sz w:val="22"/>
          <w:szCs w:val="22"/>
        </w:rPr>
        <w:t>The results of QC information from automated instruments will not be accepted by the VBECS Automated Interface.</w:t>
      </w:r>
    </w:p>
    <w:p w:rsidR="00D33B43" w:rsidRPr="004926E0" w:rsidRDefault="00B45FA2" w:rsidP="00B45FA2">
      <w:pPr>
        <w:pStyle w:val="TableTextBullet"/>
        <w:numPr>
          <w:ilvl w:val="0"/>
          <w:numId w:val="51"/>
        </w:numPr>
        <w:ind w:right="63"/>
        <w:rPr>
          <w:rFonts w:ascii="Times New Roman" w:hAnsi="Times New Roman"/>
          <w:spacing w:val="-5"/>
          <w:sz w:val="22"/>
          <w:szCs w:val="22"/>
        </w:rPr>
      </w:pPr>
      <w:r w:rsidRPr="004926E0">
        <w:rPr>
          <w:rFonts w:ascii="Times New Roman" w:hAnsi="Times New Roman"/>
          <w:spacing w:val="-5"/>
          <w:sz w:val="22"/>
          <w:szCs w:val="22"/>
        </w:rPr>
        <w:t>Time zone will not be included in HL7 message date time from the broadcasting application (Instrument Manager). The time zone is determined from the division code contained in the message header (MSH) segment of the message.</w:t>
      </w:r>
      <w:r w:rsidR="00D33B43" w:rsidRPr="004926E0">
        <w:rPr>
          <w:rFonts w:ascii="Times New Roman" w:hAnsi="Times New Roman"/>
          <w:vanish/>
          <w:spacing w:val="-5"/>
          <w:sz w:val="22"/>
          <w:szCs w:val="22"/>
        </w:rPr>
        <w:t xml:space="preserve">Defects 290088, 290166 </w:t>
      </w:r>
    </w:p>
    <w:p w:rsidR="00B45FA2" w:rsidRDefault="00B45FA2" w:rsidP="00B45FA2">
      <w:pPr>
        <w:pStyle w:val="Heading4"/>
      </w:pPr>
      <w:r>
        <w:t xml:space="preserve">Additional Information </w:t>
      </w:r>
    </w:p>
    <w:p w:rsidR="00B45FA2" w:rsidRDefault="00B45FA2" w:rsidP="00B45FA2">
      <w:pPr>
        <w:pStyle w:val="ListBullet"/>
      </w:pPr>
      <w:r>
        <w:t xml:space="preserve">VBECS </w:t>
      </w:r>
      <w:r w:rsidRPr="00BA0C95">
        <w:t xml:space="preserve">will accommodate </w:t>
      </w:r>
      <w:r>
        <w:t xml:space="preserve">antigen typing test results </w:t>
      </w:r>
      <w:r w:rsidRPr="00BA0C95">
        <w:t>where antigen typing tests are available in VBECS.</w:t>
      </w:r>
    </w:p>
    <w:p w:rsidR="002C3F2F" w:rsidRDefault="00634BFC" w:rsidP="002C3F2F">
      <w:pPr>
        <w:pStyle w:val="ListBullet"/>
      </w:pPr>
      <w:r>
        <w:rPr>
          <w:noProof/>
        </w:rPr>
        <w:drawing>
          <wp:inline distT="0" distB="0" distL="0" distR="0">
            <wp:extent cx="276225" cy="219075"/>
            <wp:effectExtent l="0" t="0" r="9525" b="9525"/>
            <wp:docPr id="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002C3F2F">
        <w:t xml:space="preserve"> </w:t>
      </w:r>
      <w:r w:rsidR="002C3F2F" w:rsidRPr="00D52104">
        <w:t>AABB Standards (5.16.1)</w:t>
      </w:r>
      <w:r w:rsidR="002C3F2F">
        <w:t xml:space="preserve"> </w:t>
      </w:r>
      <w:r w:rsidR="002C3F2F" w:rsidRPr="00D52104">
        <w:t>requires a serological XM to detect ABO incompatibility</w:t>
      </w:r>
      <w:r w:rsidR="002C3F2F">
        <w:t>. A</w:t>
      </w:r>
      <w:r w:rsidR="002C3F2F" w:rsidRPr="00D52104">
        <w:t xml:space="preserve"> local policy must be in place if the site is not performing a IS AHG as part of their serologic crossmatch test, manual or using an instrument.</w:t>
      </w:r>
      <w:r w:rsidR="002C3F2F">
        <w:t xml:space="preserve"> </w:t>
      </w:r>
      <w:r w:rsidR="002C3F2F" w:rsidRPr="002C3F2F">
        <w:rPr>
          <w:vanish/>
        </w:rPr>
        <w:t>Defect 362099</w:t>
      </w:r>
    </w:p>
    <w:p w:rsidR="00B45FA2" w:rsidRDefault="00B45FA2" w:rsidP="00B45FA2">
      <w:pPr>
        <w:pStyle w:val="Heading4"/>
        <w:rPr>
          <w:b w:val="0"/>
        </w:rPr>
      </w:pPr>
      <w:r>
        <w:t>User Roles with Access to This Option</w:t>
      </w:r>
      <w:r>
        <w:rPr>
          <w:b w:val="0"/>
        </w:rPr>
        <w:t xml:space="preserve"> </w:t>
      </w:r>
    </w:p>
    <w:p w:rsidR="00B45FA2" w:rsidRDefault="00B45FA2" w:rsidP="00B45FA2">
      <w:pPr>
        <w:pStyle w:val="Roles"/>
      </w:pPr>
      <w:r>
        <w:t>All users</w:t>
      </w:r>
    </w:p>
    <w:p w:rsidR="00B45FA2" w:rsidRDefault="009068D5" w:rsidP="00B45FA2">
      <w:pPr>
        <w:pStyle w:val="Heading4"/>
      </w:pPr>
      <w:r>
        <w:lastRenderedPageBreak/>
        <w:t>Automated Testing Interface</w:t>
      </w:r>
    </w:p>
    <w:p w:rsidR="00B45FA2" w:rsidRDefault="00311A54" w:rsidP="00B45FA2">
      <w:pPr>
        <w:pStyle w:val="BodyText"/>
      </w:pPr>
      <w:r>
        <w:t xml:space="preserve">This </w:t>
      </w:r>
      <w:r w:rsidR="00F27904">
        <w:t>feature</w:t>
      </w:r>
      <w:r>
        <w:t xml:space="preserve"> allows the interface of automated blood banking instruments with VBECS through Data Innovat</w:t>
      </w:r>
      <w:r w:rsidR="00F27904">
        <w:t>ions Instrument Manager. It</w:t>
      </w:r>
      <w:r>
        <w:t xml:space="preserve"> eliminate</w:t>
      </w:r>
      <w:r w:rsidR="00F27904">
        <w:t>s</w:t>
      </w:r>
      <w:r>
        <w:t xml:space="preserve"> the potential for human error associated with the manual entry of results from an automated instrument into</w:t>
      </w:r>
      <w:r w:rsidR="00F27904">
        <w:t xml:space="preserve"> </w:t>
      </w:r>
      <w:r>
        <w:t>VBECS</w:t>
      </w:r>
      <w:r w:rsidR="00F27904">
        <w:t xml:space="preserve">. </w:t>
      </w:r>
      <w:r w:rsidR="00640909">
        <w:t>It also eliminates t</w:t>
      </w:r>
      <w:r>
        <w:t>he potential for transcription errors that can lead to a patient safety issue of ABO incompatible transfusion. In addition to safety, these enhancements will also reduce the time spent entering results manually</w:t>
      </w:r>
      <w:r w:rsidR="00B45FA2" w:rsidRPr="00311A54">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B45FA2" w:rsidTr="003F6E8A">
        <w:tblPrEx>
          <w:tblCellMar>
            <w:top w:w="0" w:type="dxa"/>
            <w:bottom w:w="0" w:type="dxa"/>
          </w:tblCellMar>
        </w:tblPrEx>
        <w:trPr>
          <w:cantSplit/>
          <w:tblHeader/>
        </w:trPr>
        <w:tc>
          <w:tcPr>
            <w:tcW w:w="3240" w:type="dxa"/>
            <w:shd w:val="pct30" w:color="auto" w:fill="FFFFFF"/>
            <w:vAlign w:val="bottom"/>
          </w:tcPr>
          <w:p w:rsidR="00B45FA2" w:rsidRDefault="00B45FA2" w:rsidP="003F6E8A">
            <w:pPr>
              <w:pStyle w:val="TableText"/>
              <w:rPr>
                <w:b/>
              </w:rPr>
            </w:pPr>
            <w:r>
              <w:rPr>
                <w:b/>
              </w:rPr>
              <w:t>User Action</w:t>
            </w:r>
          </w:p>
        </w:tc>
        <w:tc>
          <w:tcPr>
            <w:tcW w:w="6120" w:type="dxa"/>
            <w:shd w:val="pct30" w:color="auto" w:fill="FFFFFF"/>
            <w:vAlign w:val="bottom"/>
          </w:tcPr>
          <w:p w:rsidR="00B45FA2" w:rsidRDefault="00B45FA2" w:rsidP="003F6E8A">
            <w:pPr>
              <w:pStyle w:val="TableText"/>
              <w:rPr>
                <w:b/>
              </w:rPr>
            </w:pPr>
            <w:r>
              <w:rPr>
                <w:b/>
              </w:rPr>
              <w:t>VBECS</w:t>
            </w:r>
          </w:p>
        </w:tc>
      </w:tr>
      <w:tr w:rsidR="00B45FA2" w:rsidTr="003F6E8A">
        <w:tblPrEx>
          <w:tblCellMar>
            <w:top w:w="0" w:type="dxa"/>
            <w:bottom w:w="0" w:type="dxa"/>
          </w:tblCellMar>
        </w:tblPrEx>
        <w:tc>
          <w:tcPr>
            <w:tcW w:w="3240" w:type="dxa"/>
          </w:tcPr>
          <w:p w:rsidR="00B45FA2" w:rsidRDefault="007B08C6" w:rsidP="007B08C6">
            <w:pPr>
              <w:pStyle w:val="TableTextNumbers"/>
            </w:pPr>
            <w:r>
              <w:t xml:space="preserve">User sends test results </w:t>
            </w:r>
            <w:r w:rsidR="00D5538E">
              <w:t xml:space="preserve">from the Automated Instrument </w:t>
            </w:r>
            <w:r>
              <w:t>to VBECS.</w:t>
            </w:r>
          </w:p>
        </w:tc>
        <w:tc>
          <w:tcPr>
            <w:tcW w:w="6120" w:type="dxa"/>
          </w:tcPr>
          <w:p w:rsidR="00B45FA2" w:rsidRDefault="00D279DE" w:rsidP="003F6E8A">
            <w:pPr>
              <w:pStyle w:val="TableTextBullet"/>
            </w:pPr>
            <w:r>
              <w:t>U</w:t>
            </w:r>
            <w:r w:rsidR="00B45FA2">
              <w:t>pdates the task status on the Pending Task List (PTL) upon successful receipt of testing.</w:t>
            </w:r>
          </w:p>
          <w:p w:rsidR="00B45FA2" w:rsidRDefault="00D279DE" w:rsidP="003F6E8A">
            <w:pPr>
              <w:pStyle w:val="TableTextBullet"/>
            </w:pPr>
            <w:r>
              <w:t>S</w:t>
            </w:r>
            <w:r w:rsidR="00B45FA2">
              <w:t>tores received results for review, processing and acceptance by a user.</w:t>
            </w:r>
          </w:p>
          <w:p w:rsidR="00D95812" w:rsidRDefault="00D95812" w:rsidP="00D95812">
            <w:pPr>
              <w:pStyle w:val="TableTextBullet"/>
              <w:numPr>
                <w:ilvl w:val="0"/>
                <w:numId w:val="0"/>
              </w:numPr>
              <w:ind w:left="288" w:hanging="288"/>
            </w:pPr>
          </w:p>
          <w:p w:rsidR="00D95812" w:rsidRDefault="00634BFC" w:rsidP="00D95812">
            <w:pPr>
              <w:pStyle w:val="TableText"/>
              <w:rPr>
                <w:b/>
                <w:bCs/>
                <w:szCs w:val="18"/>
              </w:rPr>
            </w:pPr>
            <w:r>
              <w:rPr>
                <w:b/>
                <w:bCs/>
                <w:noProof/>
              </w:rPr>
              <mc:AlternateContent>
                <mc:Choice Requires="wps">
                  <w:drawing>
                    <wp:anchor distT="0" distB="0" distL="114300" distR="114300" simplePos="0" relativeHeight="25181132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14" name="Line 1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8" o:spid="_x0000_s1026" style="position:absolute;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8tmFgIAAC4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Bh&#10;S8tmFgIAAC4EAAAOAAAAAAAAAAAAAAAAAC4CAABkcnMvZTJvRG9jLnhtbFBLAQItABQABgAIAAAA&#10;IQAXTzAS2wAAAAgBAAAPAAAAAAAAAAAAAAAAAHAEAABkcnMvZG93bnJldi54bWxQSwUGAAAAAAQA&#10;BADzAAAAeAUAAAAA&#10;" strokeweight="1.5pt"/>
                  </w:pict>
                </mc:Fallback>
              </mc:AlternateContent>
            </w:r>
            <w:r w:rsidR="00D95812">
              <w:rPr>
                <w:b/>
                <w:bCs/>
                <w:szCs w:val="18"/>
              </w:rPr>
              <w:t>NOTES</w:t>
            </w:r>
          </w:p>
          <w:p w:rsidR="00D95812" w:rsidRDefault="00D95812" w:rsidP="00D95812">
            <w:pPr>
              <w:pStyle w:val="NotesText"/>
            </w:pPr>
          </w:p>
          <w:p w:rsidR="00D95812" w:rsidRDefault="00F27904" w:rsidP="00D95812">
            <w:pPr>
              <w:pStyle w:val="NotesText"/>
            </w:pPr>
            <w:r w:rsidRPr="00DC70D1">
              <w:rPr>
                <w:rFonts w:cs="Arial"/>
                <w:vanish/>
              </w:rPr>
              <w:t xml:space="preserve">BR_114.01 </w:t>
            </w:r>
            <w:r w:rsidR="00D95812">
              <w:rPr>
                <w:rFonts w:cs="Arial"/>
                <w:vanish/>
              </w:rPr>
              <w:t xml:space="preserve">BR_85.01 </w:t>
            </w:r>
            <w:r w:rsidR="00D95812">
              <w:t>If the blood unit record is not found, the message is rejected</w:t>
            </w:r>
            <w:r>
              <w:t xml:space="preserve"> and results are not available for review</w:t>
            </w:r>
            <w:r w:rsidR="00D95812">
              <w:t>.</w:t>
            </w:r>
          </w:p>
          <w:p w:rsidR="00D95812" w:rsidRDefault="00D95812" w:rsidP="00D95812">
            <w:pPr>
              <w:pStyle w:val="NotesText"/>
            </w:pPr>
          </w:p>
          <w:p w:rsidR="00D95812" w:rsidRDefault="00F27904" w:rsidP="00D95812">
            <w:pPr>
              <w:pStyle w:val="NotesText"/>
            </w:pPr>
            <w:r w:rsidRPr="00DC70D1">
              <w:rPr>
                <w:vanish/>
              </w:rPr>
              <w:t xml:space="preserve">BR_114.02 </w:t>
            </w:r>
            <w:r w:rsidR="00D95812">
              <w:t>If the patient specimen is not associated with an active patient order, the message is rejected</w:t>
            </w:r>
            <w:r>
              <w:t xml:space="preserve"> and results are not available for review</w:t>
            </w:r>
            <w:r w:rsidR="00D95812">
              <w:t>.</w:t>
            </w:r>
          </w:p>
          <w:p w:rsidR="00D95812" w:rsidRDefault="00D95812" w:rsidP="00D95812">
            <w:pPr>
              <w:pStyle w:val="NotesText"/>
            </w:pPr>
          </w:p>
          <w:p w:rsidR="00D95812" w:rsidRDefault="00F27904" w:rsidP="00D95812">
            <w:pPr>
              <w:pStyle w:val="NotesText"/>
            </w:pPr>
            <w:r w:rsidRPr="00DC70D1">
              <w:rPr>
                <w:vanish/>
              </w:rPr>
              <w:t xml:space="preserve">BR_114.03 </w:t>
            </w:r>
            <w:r w:rsidR="00D95812">
              <w:t>If the cross-matched units are not assigned to a patient order, the message containing crossmatch results is rejected</w:t>
            </w:r>
            <w:r>
              <w:t xml:space="preserve"> and results are not available for review</w:t>
            </w:r>
            <w:r w:rsidR="00D95812">
              <w:t>.</w:t>
            </w:r>
          </w:p>
          <w:p w:rsidR="00D95812" w:rsidRDefault="00D95812" w:rsidP="00D95812">
            <w:pPr>
              <w:pStyle w:val="NotesText"/>
            </w:pPr>
          </w:p>
          <w:p w:rsidR="00D95812" w:rsidRDefault="00F27904" w:rsidP="00D95812">
            <w:pPr>
              <w:pStyle w:val="NotesText"/>
            </w:pPr>
            <w:r w:rsidRPr="00DC70D1">
              <w:rPr>
                <w:vanish/>
              </w:rPr>
              <w:t xml:space="preserve">BR_114.04 </w:t>
            </w:r>
            <w:r w:rsidR="00D95812">
              <w:t>Patient specimen blood test results pending review must be rejected by the user in VBECS before replacement results can be received.</w:t>
            </w:r>
          </w:p>
          <w:p w:rsidR="00D95812" w:rsidRDefault="00D95812" w:rsidP="00D95812">
            <w:pPr>
              <w:pStyle w:val="NotesText"/>
            </w:pPr>
          </w:p>
          <w:p w:rsidR="00D95812" w:rsidRDefault="00F27904" w:rsidP="00D95812">
            <w:pPr>
              <w:pStyle w:val="NotesText"/>
            </w:pPr>
            <w:r w:rsidRPr="00DC70D1">
              <w:rPr>
                <w:vanish/>
              </w:rPr>
              <w:t xml:space="preserve">BR_114.07 </w:t>
            </w:r>
            <w:r w:rsidR="00D95812">
              <w:t>If test results currently exist for a patient order (entered manually or by the Automated Instrument), the replacement test results will not be accepted into VBECS until the user invalidates the existing test results.</w:t>
            </w:r>
          </w:p>
          <w:p w:rsidR="00D95812" w:rsidRDefault="00D95812" w:rsidP="00D95812">
            <w:pPr>
              <w:pStyle w:val="NotesText"/>
            </w:pPr>
          </w:p>
          <w:p w:rsidR="00D95812" w:rsidRDefault="00F27904" w:rsidP="00D95812">
            <w:pPr>
              <w:pStyle w:val="NotesText"/>
              <w:rPr>
                <w:rFonts w:cs="Arial"/>
                <w:bCs/>
                <w:color w:val="000000"/>
                <w:szCs w:val="18"/>
              </w:rPr>
            </w:pPr>
            <w:r w:rsidRPr="00DC70D1">
              <w:rPr>
                <w:rFonts w:cs="Arial"/>
                <w:bCs/>
                <w:vanish/>
                <w:color w:val="000000"/>
                <w:szCs w:val="18"/>
              </w:rPr>
              <w:t xml:space="preserve">BR_114.10 </w:t>
            </w:r>
            <w:r w:rsidR="00D95812">
              <w:rPr>
                <w:rFonts w:cs="Arial"/>
                <w:bCs/>
                <w:color w:val="000000"/>
                <w:szCs w:val="18"/>
              </w:rPr>
              <w:t xml:space="preserve">When patient test results </w:t>
            </w:r>
            <w:r w:rsidR="00D95812" w:rsidRPr="00CA7FBC">
              <w:rPr>
                <w:rFonts w:cs="Arial"/>
                <w:bCs/>
                <w:color w:val="000000"/>
                <w:szCs w:val="18"/>
              </w:rPr>
              <w:t xml:space="preserve">are sent to VBECS and multiple orders </w:t>
            </w:r>
            <w:r w:rsidR="00D95812">
              <w:rPr>
                <w:rFonts w:cs="Arial"/>
                <w:bCs/>
                <w:color w:val="000000"/>
                <w:szCs w:val="18"/>
              </w:rPr>
              <w:t xml:space="preserve">exist </w:t>
            </w:r>
            <w:r w:rsidR="00D95812" w:rsidRPr="00CA7FBC">
              <w:rPr>
                <w:rFonts w:cs="Arial"/>
                <w:bCs/>
                <w:color w:val="000000"/>
                <w:szCs w:val="18"/>
              </w:rPr>
              <w:t xml:space="preserve">for the same test type </w:t>
            </w:r>
            <w:r w:rsidR="00D95812">
              <w:rPr>
                <w:rFonts w:cs="Arial"/>
                <w:bCs/>
                <w:color w:val="000000"/>
                <w:szCs w:val="18"/>
              </w:rPr>
              <w:t>and</w:t>
            </w:r>
            <w:r w:rsidR="00D95812" w:rsidRPr="00CA7FBC">
              <w:rPr>
                <w:rFonts w:cs="Arial"/>
                <w:bCs/>
                <w:color w:val="000000"/>
                <w:szCs w:val="18"/>
              </w:rPr>
              <w:t xml:space="preserve"> the same specimen UID on the VBECS P</w:t>
            </w:r>
            <w:r w:rsidR="00D95812">
              <w:rPr>
                <w:rFonts w:cs="Arial"/>
                <w:bCs/>
                <w:color w:val="000000"/>
                <w:szCs w:val="18"/>
              </w:rPr>
              <w:t>TL</w:t>
            </w:r>
            <w:r w:rsidR="00D95812" w:rsidRPr="00CA7FBC">
              <w:rPr>
                <w:rFonts w:cs="Arial"/>
                <w:bCs/>
                <w:color w:val="000000"/>
                <w:szCs w:val="18"/>
              </w:rPr>
              <w:t>, the message is rejected.</w:t>
            </w:r>
            <w:r w:rsidR="00D95812">
              <w:rPr>
                <w:rFonts w:cs="Arial"/>
                <w:bCs/>
                <w:color w:val="000000"/>
                <w:szCs w:val="18"/>
              </w:rPr>
              <w:t xml:space="preserve"> </w:t>
            </w:r>
            <w:r w:rsidR="00D95812" w:rsidRPr="00CA7FBC">
              <w:rPr>
                <w:rFonts w:cs="Arial"/>
                <w:bCs/>
                <w:color w:val="000000"/>
                <w:szCs w:val="18"/>
              </w:rPr>
              <w:t xml:space="preserve">For example: </w:t>
            </w:r>
            <w:r w:rsidR="00D95812">
              <w:rPr>
                <w:rFonts w:cs="Arial"/>
                <w:bCs/>
                <w:color w:val="000000"/>
                <w:szCs w:val="18"/>
              </w:rPr>
              <w:t>When</w:t>
            </w:r>
            <w:r w:rsidR="00D95812" w:rsidRPr="00CA7FBC">
              <w:rPr>
                <w:rFonts w:cs="Arial"/>
                <w:bCs/>
                <w:color w:val="000000"/>
                <w:szCs w:val="18"/>
              </w:rPr>
              <w:t xml:space="preserve"> ABS </w:t>
            </w:r>
            <w:r w:rsidR="00D95812">
              <w:rPr>
                <w:rFonts w:cs="Arial"/>
                <w:bCs/>
                <w:color w:val="000000"/>
                <w:szCs w:val="18"/>
              </w:rPr>
              <w:t xml:space="preserve">test results </w:t>
            </w:r>
            <w:r w:rsidR="00D95812" w:rsidRPr="00CA7FBC">
              <w:rPr>
                <w:rFonts w:cs="Arial"/>
                <w:bCs/>
                <w:color w:val="000000"/>
                <w:szCs w:val="18"/>
              </w:rPr>
              <w:t xml:space="preserve">and Repeat ABS </w:t>
            </w:r>
            <w:r w:rsidR="00D95812">
              <w:rPr>
                <w:rFonts w:cs="Arial"/>
                <w:bCs/>
                <w:color w:val="000000"/>
                <w:szCs w:val="18"/>
              </w:rPr>
              <w:t>test results for the same speci</w:t>
            </w:r>
            <w:r w:rsidR="00D95812" w:rsidRPr="00CA7FBC">
              <w:rPr>
                <w:rFonts w:cs="Arial"/>
                <w:bCs/>
                <w:color w:val="000000"/>
                <w:szCs w:val="18"/>
              </w:rPr>
              <w:t>men UID</w:t>
            </w:r>
            <w:r w:rsidR="00D95812">
              <w:rPr>
                <w:rFonts w:cs="Arial"/>
                <w:bCs/>
                <w:color w:val="000000"/>
                <w:szCs w:val="18"/>
              </w:rPr>
              <w:t xml:space="preserve"> are sent to VBECS at the same time</w:t>
            </w:r>
            <w:r w:rsidR="00D95812" w:rsidRPr="00CA7FBC">
              <w:rPr>
                <w:rFonts w:cs="Arial"/>
                <w:bCs/>
                <w:color w:val="000000"/>
                <w:szCs w:val="18"/>
              </w:rPr>
              <w:t xml:space="preserve">, </w:t>
            </w:r>
            <w:r w:rsidR="00D95812">
              <w:rPr>
                <w:rFonts w:cs="Arial"/>
                <w:bCs/>
                <w:color w:val="000000"/>
                <w:szCs w:val="18"/>
              </w:rPr>
              <w:t>because the Automated Instrument does not indicate which test is primary and which test is reflex, the message must be rejected.</w:t>
            </w:r>
          </w:p>
          <w:p w:rsidR="00D95812" w:rsidRDefault="00D95812" w:rsidP="00D95812">
            <w:pPr>
              <w:pStyle w:val="NotesText"/>
              <w:rPr>
                <w:rFonts w:cs="Arial"/>
                <w:bCs/>
                <w:color w:val="000000"/>
                <w:szCs w:val="18"/>
              </w:rPr>
            </w:pPr>
          </w:p>
          <w:p w:rsidR="00D95812" w:rsidRDefault="00F27904" w:rsidP="00D95812">
            <w:pPr>
              <w:pStyle w:val="NotesText"/>
              <w:rPr>
                <w:rFonts w:cs="Arial"/>
                <w:szCs w:val="18"/>
              </w:rPr>
            </w:pPr>
            <w:r w:rsidRPr="00DC70D1">
              <w:rPr>
                <w:rFonts w:cs="Arial"/>
                <w:vanish/>
                <w:szCs w:val="18"/>
              </w:rPr>
              <w:t xml:space="preserve">BR_114.08 </w:t>
            </w:r>
            <w:r w:rsidR="00D95812">
              <w:rPr>
                <w:rFonts w:cs="Arial"/>
                <w:szCs w:val="18"/>
              </w:rPr>
              <w:t>When the</w:t>
            </w:r>
            <w:r w:rsidR="00D95812" w:rsidRPr="00F61FA8">
              <w:rPr>
                <w:rFonts w:cs="Arial"/>
                <w:szCs w:val="18"/>
              </w:rPr>
              <w:t xml:space="preserve"> </w:t>
            </w:r>
            <w:r w:rsidR="006E3236">
              <w:rPr>
                <w:rFonts w:cs="Arial"/>
                <w:szCs w:val="18"/>
              </w:rPr>
              <w:t>testing instrument for the patient</w:t>
            </w:r>
            <w:r w:rsidR="00D95812" w:rsidRPr="00F61FA8">
              <w:rPr>
                <w:rFonts w:cs="Arial"/>
                <w:szCs w:val="18"/>
              </w:rPr>
              <w:t xml:space="preserve"> ABO/Rh message contains results for Anti-D1 and Anti-D2 which do not conflict (both are positive or both are negative), </w:t>
            </w:r>
            <w:r w:rsidR="003350E0">
              <w:rPr>
                <w:rFonts w:cs="Arial"/>
                <w:szCs w:val="18"/>
              </w:rPr>
              <w:t xml:space="preserve">the </w:t>
            </w:r>
            <w:r w:rsidR="00D95812" w:rsidRPr="00F61FA8">
              <w:rPr>
                <w:rFonts w:cs="Arial"/>
                <w:szCs w:val="18"/>
              </w:rPr>
              <w:t xml:space="preserve">Anti-D1 </w:t>
            </w:r>
            <w:r w:rsidR="003350E0">
              <w:rPr>
                <w:rFonts w:cs="Arial"/>
                <w:szCs w:val="18"/>
              </w:rPr>
              <w:t>result</w:t>
            </w:r>
            <w:r w:rsidR="00D95812" w:rsidRPr="00F61FA8">
              <w:rPr>
                <w:rFonts w:cs="Arial"/>
                <w:szCs w:val="18"/>
              </w:rPr>
              <w:t xml:space="preserve"> will be stored in VBECS</w:t>
            </w:r>
            <w:r w:rsidR="00D95812">
              <w:rPr>
                <w:rFonts w:cs="Arial"/>
                <w:szCs w:val="18"/>
              </w:rPr>
              <w:t>.</w:t>
            </w:r>
          </w:p>
          <w:p w:rsidR="00D95812" w:rsidRDefault="00D95812" w:rsidP="00D95812">
            <w:pPr>
              <w:pStyle w:val="NotesText"/>
              <w:rPr>
                <w:rFonts w:cs="Arial"/>
                <w:szCs w:val="18"/>
              </w:rPr>
            </w:pPr>
          </w:p>
          <w:p w:rsidR="00D95812" w:rsidRDefault="006E3236" w:rsidP="00D95812">
            <w:pPr>
              <w:pStyle w:val="NotesText"/>
              <w:rPr>
                <w:rFonts w:cs="Arial"/>
                <w:szCs w:val="18"/>
              </w:rPr>
            </w:pPr>
            <w:r>
              <w:rPr>
                <w:rFonts w:cs="Arial"/>
                <w:szCs w:val="18"/>
              </w:rPr>
              <w:t>When the</w:t>
            </w:r>
            <w:r w:rsidRPr="00F61FA8">
              <w:rPr>
                <w:rFonts w:cs="Arial"/>
                <w:szCs w:val="18"/>
              </w:rPr>
              <w:t xml:space="preserve"> </w:t>
            </w:r>
            <w:r>
              <w:rPr>
                <w:rFonts w:cs="Arial"/>
                <w:szCs w:val="18"/>
              </w:rPr>
              <w:t>testing instrument for the patient</w:t>
            </w:r>
            <w:r w:rsidR="00B5630B">
              <w:rPr>
                <w:rFonts w:cs="Arial"/>
                <w:szCs w:val="18"/>
              </w:rPr>
              <w:t xml:space="preserve"> </w:t>
            </w:r>
            <w:r w:rsidR="00B5630B" w:rsidRPr="00F61FA8">
              <w:rPr>
                <w:rFonts w:cs="Arial"/>
                <w:szCs w:val="18"/>
              </w:rPr>
              <w:t>ABO/Rh message contains conflicting results for Anti-D1 and Anti-D2 (one is positive and the othe</w:t>
            </w:r>
            <w:r w:rsidR="00B5630B">
              <w:rPr>
                <w:rFonts w:cs="Arial"/>
                <w:szCs w:val="18"/>
              </w:rPr>
              <w:t>r negative), the message is</w:t>
            </w:r>
            <w:r w:rsidR="00B5630B" w:rsidRPr="00F61FA8">
              <w:rPr>
                <w:rFonts w:cs="Arial"/>
                <w:szCs w:val="18"/>
              </w:rPr>
              <w:t xml:space="preserve"> rejected</w:t>
            </w:r>
            <w:r w:rsidR="003350E0">
              <w:rPr>
                <w:rFonts w:cs="Arial"/>
                <w:szCs w:val="18"/>
              </w:rPr>
              <w:t xml:space="preserve"> </w:t>
            </w:r>
            <w:r w:rsidR="003350E0">
              <w:t>and results are not available for review</w:t>
            </w:r>
            <w:r w:rsidR="00B5630B" w:rsidRPr="00F61FA8">
              <w:rPr>
                <w:rFonts w:cs="Arial"/>
                <w:szCs w:val="18"/>
              </w:rPr>
              <w:t>.</w:t>
            </w:r>
          </w:p>
          <w:p w:rsidR="00B5630B" w:rsidRDefault="00B5630B" w:rsidP="00D95812">
            <w:pPr>
              <w:pStyle w:val="NotesText"/>
              <w:rPr>
                <w:rFonts w:cs="Arial"/>
                <w:szCs w:val="18"/>
              </w:rPr>
            </w:pPr>
          </w:p>
          <w:p w:rsidR="00B5630B" w:rsidRDefault="00F27904" w:rsidP="00D95812">
            <w:pPr>
              <w:pStyle w:val="NotesText"/>
              <w:rPr>
                <w:rFonts w:cs="Arial"/>
                <w:szCs w:val="18"/>
              </w:rPr>
            </w:pPr>
            <w:r w:rsidRPr="00DC70D1">
              <w:rPr>
                <w:rFonts w:cs="Arial"/>
                <w:vanish/>
                <w:szCs w:val="18"/>
              </w:rPr>
              <w:t xml:space="preserve">BR_114.05 </w:t>
            </w:r>
            <w:r w:rsidR="00B5630B" w:rsidRPr="00D82F90">
              <w:rPr>
                <w:rFonts w:cs="Arial"/>
                <w:szCs w:val="18"/>
              </w:rPr>
              <w:t xml:space="preserve">The message is </w:t>
            </w:r>
            <w:r w:rsidR="00B5630B">
              <w:rPr>
                <w:rFonts w:cs="Arial"/>
                <w:szCs w:val="18"/>
              </w:rPr>
              <w:t xml:space="preserve">processed by the VBECS system. </w:t>
            </w:r>
            <w:r w:rsidR="00B5630B" w:rsidRPr="00D82F90">
              <w:rPr>
                <w:rFonts w:cs="Arial"/>
                <w:szCs w:val="18"/>
              </w:rPr>
              <w:t>If the message is accept</w:t>
            </w:r>
            <w:r w:rsidR="00B5630B">
              <w:rPr>
                <w:rFonts w:cs="Arial"/>
                <w:szCs w:val="18"/>
              </w:rPr>
              <w:t>ed</w:t>
            </w:r>
            <w:r w:rsidR="00B5630B" w:rsidRPr="00D82F90">
              <w:rPr>
                <w:rFonts w:cs="Arial"/>
                <w:szCs w:val="18"/>
              </w:rPr>
              <w:t xml:space="preserve"> (per the approved HL7 message profile specification), a success reply is sent; otherwise, a rejection reply is sent to the broadcasting application</w:t>
            </w:r>
            <w:r w:rsidR="003350E0">
              <w:rPr>
                <w:rFonts w:cs="Arial"/>
                <w:szCs w:val="18"/>
              </w:rPr>
              <w:t xml:space="preserve"> </w:t>
            </w:r>
            <w:r w:rsidR="003350E0">
              <w:t>and results are not available for review</w:t>
            </w:r>
            <w:r w:rsidR="00B5630B">
              <w:rPr>
                <w:rFonts w:cs="Arial"/>
                <w:szCs w:val="18"/>
              </w:rPr>
              <w:t>.</w:t>
            </w:r>
          </w:p>
          <w:p w:rsidR="00B5630B" w:rsidRDefault="00B5630B" w:rsidP="00D95812">
            <w:pPr>
              <w:pStyle w:val="NotesText"/>
              <w:rPr>
                <w:rFonts w:cs="Arial"/>
                <w:szCs w:val="18"/>
              </w:rPr>
            </w:pPr>
          </w:p>
          <w:p w:rsidR="00B5630B" w:rsidRDefault="00F27904" w:rsidP="00B5630B">
            <w:pPr>
              <w:ind w:left="720"/>
              <w:rPr>
                <w:rFonts w:ascii="Arial" w:hAnsi="Arial" w:cs="Arial"/>
                <w:sz w:val="18"/>
                <w:szCs w:val="18"/>
              </w:rPr>
            </w:pPr>
            <w:r w:rsidRPr="00DC70D1">
              <w:rPr>
                <w:rFonts w:ascii="Arial" w:hAnsi="Arial" w:cs="Arial"/>
                <w:vanish/>
                <w:sz w:val="18"/>
                <w:szCs w:val="18"/>
              </w:rPr>
              <w:t xml:space="preserve">BR_114.06 </w:t>
            </w:r>
            <w:r w:rsidR="00B5630B">
              <w:rPr>
                <w:rFonts w:ascii="Arial" w:hAnsi="Arial" w:cs="Arial"/>
                <w:sz w:val="18"/>
                <w:szCs w:val="18"/>
              </w:rPr>
              <w:t>The system associa</w:t>
            </w:r>
            <w:r w:rsidR="006E3236">
              <w:rPr>
                <w:rFonts w:ascii="Arial" w:hAnsi="Arial" w:cs="Arial"/>
                <w:sz w:val="18"/>
                <w:szCs w:val="18"/>
              </w:rPr>
              <w:t xml:space="preserve">tes </w:t>
            </w:r>
            <w:r w:rsidR="00B5630B">
              <w:rPr>
                <w:rFonts w:ascii="Arial" w:hAnsi="Arial" w:cs="Arial"/>
                <w:sz w:val="18"/>
                <w:szCs w:val="18"/>
              </w:rPr>
              <w:t>inte</w:t>
            </w:r>
            <w:r w:rsidR="006E3236">
              <w:rPr>
                <w:rFonts w:ascii="Arial" w:hAnsi="Arial" w:cs="Arial"/>
                <w:sz w:val="18"/>
                <w:szCs w:val="18"/>
              </w:rPr>
              <w:t xml:space="preserve">rpretation with </w:t>
            </w:r>
            <w:r w:rsidR="00B5630B">
              <w:rPr>
                <w:rFonts w:ascii="Arial" w:hAnsi="Arial" w:cs="Arial"/>
                <w:sz w:val="18"/>
                <w:szCs w:val="18"/>
              </w:rPr>
              <w:t>test results received from an Automated Instrument as follows:</w:t>
            </w:r>
          </w:p>
          <w:p w:rsidR="00B5630B" w:rsidRPr="00B5630B" w:rsidRDefault="00B5630B" w:rsidP="004304B5">
            <w:pPr>
              <w:numPr>
                <w:ilvl w:val="0"/>
                <w:numId w:val="54"/>
              </w:numPr>
              <w:rPr>
                <w:rFonts w:ascii="Arial" w:hAnsi="Arial" w:cs="Arial"/>
                <w:sz w:val="18"/>
                <w:szCs w:val="18"/>
              </w:rPr>
            </w:pPr>
            <w:r w:rsidRPr="00B5630B">
              <w:rPr>
                <w:rFonts w:ascii="Arial" w:hAnsi="Arial"/>
                <w:sz w:val="18"/>
              </w:rPr>
              <w:t>1 is a Positive</w:t>
            </w:r>
          </w:p>
          <w:p w:rsidR="00B5630B" w:rsidRPr="00B5630B" w:rsidRDefault="00B5630B" w:rsidP="004304B5">
            <w:pPr>
              <w:numPr>
                <w:ilvl w:val="0"/>
                <w:numId w:val="54"/>
              </w:numPr>
              <w:rPr>
                <w:rFonts w:ascii="Arial" w:hAnsi="Arial" w:cs="Arial"/>
                <w:sz w:val="18"/>
                <w:szCs w:val="18"/>
              </w:rPr>
            </w:pPr>
            <w:r>
              <w:rPr>
                <w:rFonts w:ascii="Arial" w:hAnsi="Arial"/>
                <w:sz w:val="18"/>
              </w:rPr>
              <w:t>2 is a Positive</w:t>
            </w:r>
          </w:p>
          <w:p w:rsidR="00B5630B" w:rsidRPr="00B5630B" w:rsidRDefault="00B5630B" w:rsidP="004304B5">
            <w:pPr>
              <w:numPr>
                <w:ilvl w:val="0"/>
                <w:numId w:val="54"/>
              </w:numPr>
              <w:rPr>
                <w:rFonts w:ascii="Arial" w:hAnsi="Arial" w:cs="Arial"/>
                <w:sz w:val="18"/>
                <w:szCs w:val="18"/>
              </w:rPr>
            </w:pPr>
            <w:r>
              <w:rPr>
                <w:rFonts w:ascii="Arial" w:hAnsi="Arial"/>
                <w:sz w:val="18"/>
              </w:rPr>
              <w:t>3 is a Positive</w:t>
            </w:r>
          </w:p>
          <w:p w:rsidR="00B5630B" w:rsidRPr="00B5630B" w:rsidRDefault="00B5630B" w:rsidP="004304B5">
            <w:pPr>
              <w:numPr>
                <w:ilvl w:val="0"/>
                <w:numId w:val="54"/>
              </w:numPr>
              <w:rPr>
                <w:rFonts w:ascii="Arial" w:hAnsi="Arial" w:cs="Arial"/>
                <w:sz w:val="18"/>
                <w:szCs w:val="18"/>
              </w:rPr>
            </w:pPr>
            <w:r>
              <w:rPr>
                <w:rFonts w:ascii="Arial" w:hAnsi="Arial"/>
                <w:sz w:val="18"/>
              </w:rPr>
              <w:t>4 is a Positive</w:t>
            </w:r>
          </w:p>
          <w:p w:rsidR="00B5630B" w:rsidRPr="005477A8" w:rsidRDefault="00B5630B" w:rsidP="004304B5">
            <w:pPr>
              <w:numPr>
                <w:ilvl w:val="0"/>
                <w:numId w:val="54"/>
              </w:numPr>
              <w:rPr>
                <w:rFonts w:ascii="Arial" w:hAnsi="Arial" w:cs="Arial"/>
                <w:sz w:val="18"/>
                <w:szCs w:val="18"/>
              </w:rPr>
            </w:pPr>
            <w:r>
              <w:rPr>
                <w:rFonts w:ascii="Arial" w:hAnsi="Arial"/>
                <w:sz w:val="18"/>
              </w:rPr>
              <w:t>0 is a Negative</w:t>
            </w:r>
          </w:p>
          <w:p w:rsidR="00D95812" w:rsidRDefault="00D95812" w:rsidP="00D95812">
            <w:pPr>
              <w:pStyle w:val="TableTextBullet"/>
              <w:numPr>
                <w:ilvl w:val="0"/>
                <w:numId w:val="0"/>
              </w:numPr>
              <w:ind w:left="288" w:hanging="288"/>
            </w:pPr>
          </w:p>
          <w:p w:rsidR="00D5538E" w:rsidRPr="004831F9" w:rsidRDefault="00D5538E" w:rsidP="008964A9">
            <w:pPr>
              <w:ind w:left="720"/>
              <w:rPr>
                <w:rFonts w:ascii="Arial" w:hAnsi="Arial" w:cs="Arial"/>
                <w:sz w:val="18"/>
                <w:szCs w:val="18"/>
              </w:rPr>
            </w:pPr>
            <w:r w:rsidRPr="004831F9">
              <w:rPr>
                <w:rFonts w:ascii="Arial" w:hAnsi="Arial" w:cs="Arial"/>
                <w:sz w:val="18"/>
                <w:szCs w:val="18"/>
              </w:rPr>
              <w:t>Se</w:t>
            </w:r>
            <w:r w:rsidR="00C931C4" w:rsidRPr="004831F9">
              <w:rPr>
                <w:rFonts w:ascii="Arial" w:hAnsi="Arial" w:cs="Arial"/>
                <w:sz w:val="18"/>
                <w:szCs w:val="18"/>
              </w:rPr>
              <w:t>e</w:t>
            </w:r>
            <w:r w:rsidR="004831F9" w:rsidRPr="004831F9">
              <w:rPr>
                <w:rFonts w:ascii="Arial" w:hAnsi="Arial" w:cs="Arial"/>
                <w:sz w:val="18"/>
                <w:szCs w:val="18"/>
              </w:rPr>
              <w:t xml:space="preserve"> </w:t>
            </w:r>
            <w:r w:rsidR="004831F9" w:rsidRPr="004831F9">
              <w:rPr>
                <w:rFonts w:ascii="Arial" w:hAnsi="Arial" w:cs="Arial"/>
                <w:sz w:val="18"/>
                <w:szCs w:val="18"/>
              </w:rPr>
              <w:fldChar w:fldCharType="begin"/>
            </w:r>
            <w:r w:rsidR="004831F9" w:rsidRPr="004831F9">
              <w:rPr>
                <w:rFonts w:ascii="Arial" w:hAnsi="Arial" w:cs="Arial"/>
                <w:sz w:val="18"/>
                <w:szCs w:val="18"/>
              </w:rPr>
              <w:instrText xml:space="preserve"> REF _Ref446932282 \h </w:instrText>
            </w:r>
            <w:r w:rsidR="004831F9" w:rsidRPr="004831F9">
              <w:rPr>
                <w:rFonts w:ascii="Arial" w:hAnsi="Arial" w:cs="Arial"/>
                <w:sz w:val="18"/>
                <w:szCs w:val="18"/>
              </w:rPr>
            </w:r>
            <w:r w:rsidR="004831F9" w:rsidRPr="004831F9">
              <w:rPr>
                <w:rFonts w:ascii="Arial" w:hAnsi="Arial" w:cs="Arial"/>
                <w:sz w:val="18"/>
                <w:szCs w:val="18"/>
              </w:rPr>
              <w:instrText xml:space="preserve"> \* MERGEFORMAT </w:instrText>
            </w:r>
            <w:r w:rsidR="004831F9" w:rsidRPr="004831F9">
              <w:rPr>
                <w:rFonts w:ascii="Arial" w:hAnsi="Arial" w:cs="Arial"/>
                <w:sz w:val="18"/>
                <w:szCs w:val="18"/>
              </w:rPr>
              <w:fldChar w:fldCharType="separate"/>
            </w:r>
            <w:r w:rsidR="005F38BC" w:rsidRPr="005F38BC">
              <w:rPr>
                <w:rFonts w:ascii="Arial" w:hAnsi="Arial" w:cs="Arial"/>
                <w:sz w:val="18"/>
                <w:szCs w:val="18"/>
              </w:rPr>
              <w:t xml:space="preserve">Table </w:t>
            </w:r>
            <w:r w:rsidR="005F38BC" w:rsidRPr="005F38BC">
              <w:rPr>
                <w:rFonts w:ascii="Arial" w:hAnsi="Arial" w:cs="Arial"/>
                <w:noProof/>
                <w:sz w:val="18"/>
                <w:szCs w:val="18"/>
              </w:rPr>
              <w:t>13</w:t>
            </w:r>
            <w:r w:rsidR="004831F9" w:rsidRPr="004831F9">
              <w:rPr>
                <w:rFonts w:ascii="Arial" w:hAnsi="Arial" w:cs="Arial"/>
                <w:sz w:val="18"/>
                <w:szCs w:val="18"/>
              </w:rPr>
              <w:fldChar w:fldCharType="end"/>
            </w:r>
            <w:r w:rsidR="00C931C4" w:rsidRPr="004831F9">
              <w:rPr>
                <w:rFonts w:ascii="Arial" w:hAnsi="Arial" w:cs="Arial"/>
                <w:sz w:val="18"/>
                <w:szCs w:val="18"/>
              </w:rPr>
              <w:t>.</w:t>
            </w:r>
          </w:p>
          <w:p w:rsidR="00D5538E" w:rsidRDefault="00D5538E" w:rsidP="005477A8">
            <w:pPr>
              <w:ind w:left="720"/>
              <w:rPr>
                <w:rFonts w:ascii="Arial" w:hAnsi="Arial" w:cs="Arial"/>
                <w:sz w:val="18"/>
                <w:szCs w:val="18"/>
              </w:rPr>
            </w:pPr>
          </w:p>
          <w:p w:rsidR="005477A8" w:rsidRPr="00E85CBB" w:rsidRDefault="00D5538E" w:rsidP="005477A8">
            <w:pPr>
              <w:ind w:left="720"/>
              <w:rPr>
                <w:rFonts w:ascii="Arial" w:hAnsi="Arial" w:cs="Arial"/>
                <w:sz w:val="18"/>
                <w:szCs w:val="18"/>
              </w:rPr>
            </w:pPr>
            <w:r w:rsidRPr="00F47ABD">
              <w:rPr>
                <w:rFonts w:ascii="Arial" w:hAnsi="Arial" w:cs="Arial"/>
                <w:vanish/>
                <w:sz w:val="18"/>
                <w:szCs w:val="18"/>
              </w:rPr>
              <w:t xml:space="preserve">BR_114.09 </w:t>
            </w:r>
            <w:r>
              <w:rPr>
                <w:rFonts w:ascii="Arial" w:hAnsi="Arial" w:cs="Arial"/>
                <w:sz w:val="18"/>
                <w:szCs w:val="18"/>
              </w:rPr>
              <w:t xml:space="preserve">VBECS </w:t>
            </w:r>
            <w:r w:rsidR="005477A8" w:rsidRPr="00E85CBB">
              <w:rPr>
                <w:rFonts w:ascii="Arial" w:hAnsi="Arial" w:cs="Arial"/>
                <w:sz w:val="18"/>
                <w:szCs w:val="18"/>
              </w:rPr>
              <w:t>stores the following information:</w:t>
            </w:r>
          </w:p>
          <w:p w:rsidR="005477A8" w:rsidRPr="005477A8" w:rsidRDefault="005477A8" w:rsidP="004304B5">
            <w:pPr>
              <w:numPr>
                <w:ilvl w:val="0"/>
                <w:numId w:val="54"/>
              </w:numPr>
              <w:rPr>
                <w:rFonts w:ascii="Arial" w:hAnsi="Arial"/>
                <w:sz w:val="18"/>
              </w:rPr>
            </w:pPr>
            <w:r w:rsidRPr="005477A8">
              <w:rPr>
                <w:rFonts w:ascii="Arial" w:hAnsi="Arial"/>
                <w:sz w:val="18"/>
              </w:rPr>
              <w:t>Test Results</w:t>
            </w:r>
          </w:p>
          <w:p w:rsidR="005477A8" w:rsidRPr="005477A8" w:rsidRDefault="005477A8" w:rsidP="004304B5">
            <w:pPr>
              <w:numPr>
                <w:ilvl w:val="0"/>
                <w:numId w:val="54"/>
              </w:numPr>
              <w:rPr>
                <w:rFonts w:ascii="Arial" w:hAnsi="Arial"/>
                <w:sz w:val="18"/>
              </w:rPr>
            </w:pPr>
            <w:r w:rsidRPr="005477A8">
              <w:rPr>
                <w:rFonts w:ascii="Arial" w:hAnsi="Arial"/>
                <w:sz w:val="18"/>
              </w:rPr>
              <w:t>Test Interpretations</w:t>
            </w:r>
          </w:p>
          <w:p w:rsidR="005477A8" w:rsidRPr="005477A8" w:rsidRDefault="005477A8" w:rsidP="004304B5">
            <w:pPr>
              <w:numPr>
                <w:ilvl w:val="0"/>
                <w:numId w:val="54"/>
              </w:numPr>
              <w:rPr>
                <w:rFonts w:ascii="Arial" w:hAnsi="Arial"/>
                <w:sz w:val="18"/>
              </w:rPr>
            </w:pPr>
            <w:r w:rsidRPr="005477A8">
              <w:rPr>
                <w:rFonts w:ascii="Arial" w:hAnsi="Arial"/>
                <w:sz w:val="18"/>
              </w:rPr>
              <w:t>Testing Tech ID</w:t>
            </w:r>
          </w:p>
          <w:p w:rsidR="005477A8" w:rsidRPr="005477A8" w:rsidRDefault="005477A8" w:rsidP="004304B5">
            <w:pPr>
              <w:numPr>
                <w:ilvl w:val="0"/>
                <w:numId w:val="54"/>
              </w:numPr>
              <w:rPr>
                <w:rFonts w:ascii="Arial" w:hAnsi="Arial"/>
                <w:sz w:val="18"/>
              </w:rPr>
            </w:pPr>
            <w:r w:rsidRPr="005477A8">
              <w:rPr>
                <w:rFonts w:ascii="Arial" w:hAnsi="Arial"/>
                <w:sz w:val="18"/>
              </w:rPr>
              <w:t>Automated Instrument identifier</w:t>
            </w:r>
          </w:p>
          <w:p w:rsidR="005477A8" w:rsidRPr="005477A8" w:rsidRDefault="005477A8" w:rsidP="004304B5">
            <w:pPr>
              <w:numPr>
                <w:ilvl w:val="0"/>
                <w:numId w:val="54"/>
              </w:numPr>
              <w:rPr>
                <w:rFonts w:ascii="Arial" w:hAnsi="Arial"/>
                <w:sz w:val="18"/>
              </w:rPr>
            </w:pPr>
            <w:r w:rsidRPr="005477A8">
              <w:rPr>
                <w:rFonts w:ascii="Arial" w:hAnsi="Arial"/>
                <w:sz w:val="18"/>
              </w:rPr>
              <w:t>Date and Time Tested</w:t>
            </w:r>
          </w:p>
          <w:p w:rsidR="005477A8" w:rsidRPr="005477A8" w:rsidRDefault="005477A8" w:rsidP="004304B5">
            <w:pPr>
              <w:numPr>
                <w:ilvl w:val="0"/>
                <w:numId w:val="54"/>
              </w:numPr>
              <w:rPr>
                <w:rFonts w:ascii="Arial" w:hAnsi="Arial"/>
                <w:sz w:val="18"/>
              </w:rPr>
            </w:pPr>
            <w:r w:rsidRPr="005477A8">
              <w:rPr>
                <w:rFonts w:ascii="Arial" w:hAnsi="Arial"/>
                <w:sz w:val="18"/>
              </w:rPr>
              <w:t>Automated Instrument Test Comments</w:t>
            </w:r>
          </w:p>
          <w:p w:rsidR="005477A8" w:rsidRDefault="005477A8" w:rsidP="005477A8">
            <w:pPr>
              <w:pStyle w:val="TableTextBullet"/>
              <w:numPr>
                <w:ilvl w:val="0"/>
                <w:numId w:val="0"/>
              </w:numPr>
              <w:ind w:left="288" w:hanging="288"/>
            </w:pPr>
          </w:p>
        </w:tc>
      </w:tr>
      <w:tr w:rsidR="00B45FA2" w:rsidTr="003F6E8A">
        <w:tblPrEx>
          <w:tblCellMar>
            <w:top w:w="0" w:type="dxa"/>
            <w:bottom w:w="0" w:type="dxa"/>
          </w:tblCellMar>
        </w:tblPrEx>
        <w:tc>
          <w:tcPr>
            <w:tcW w:w="3240" w:type="dxa"/>
          </w:tcPr>
          <w:p w:rsidR="00B45FA2" w:rsidRDefault="005477A8" w:rsidP="005477A8">
            <w:pPr>
              <w:pStyle w:val="TableTextNumbers"/>
            </w:pPr>
            <w:r>
              <w:lastRenderedPageBreak/>
              <w:t xml:space="preserve">The </w:t>
            </w:r>
            <w:r w:rsidR="00D5538E">
              <w:t>user logs into VBECS to review and approve messages.</w:t>
            </w:r>
          </w:p>
          <w:p w:rsidR="00D5538E" w:rsidRDefault="00D5538E" w:rsidP="00D5538E">
            <w:pPr>
              <w:pStyle w:val="TableTextNumbers"/>
              <w:numPr>
                <w:ilvl w:val="0"/>
                <w:numId w:val="0"/>
              </w:numPr>
              <w:ind w:left="288" w:hanging="288"/>
            </w:pPr>
          </w:p>
          <w:p w:rsidR="00D5538E" w:rsidRDefault="00D5538E" w:rsidP="00D279DE">
            <w:pPr>
              <w:pStyle w:val="TableTextNumbers"/>
              <w:numPr>
                <w:ilvl w:val="0"/>
                <w:numId w:val="0"/>
              </w:numPr>
              <w:ind w:left="288"/>
            </w:pPr>
            <w:r>
              <w:t xml:space="preserve">Refer to Automated Testing </w:t>
            </w:r>
            <w:r w:rsidR="002A4CB4">
              <w:t>Review for</w:t>
            </w:r>
            <w:r w:rsidR="007B52EA">
              <w:t xml:space="preserve"> Blood Units or Automated T</w:t>
            </w:r>
            <w:r w:rsidR="002275D4">
              <w:t>esting Review for Patient</w:t>
            </w:r>
            <w:r w:rsidR="007B52EA">
              <w:t>s</w:t>
            </w:r>
            <w:r>
              <w:t>.</w:t>
            </w:r>
          </w:p>
          <w:p w:rsidR="007160AE" w:rsidRDefault="007160AE" w:rsidP="007B52EA">
            <w:pPr>
              <w:pStyle w:val="TableTextNumbers"/>
              <w:numPr>
                <w:ilvl w:val="0"/>
                <w:numId w:val="0"/>
              </w:numPr>
              <w:ind w:left="288" w:hanging="288"/>
            </w:pPr>
          </w:p>
        </w:tc>
        <w:tc>
          <w:tcPr>
            <w:tcW w:w="6120" w:type="dxa"/>
          </w:tcPr>
          <w:p w:rsidR="00B45FA2" w:rsidRDefault="00B45FA2" w:rsidP="005477A8">
            <w:pPr>
              <w:pStyle w:val="TableTextBullet"/>
              <w:numPr>
                <w:ilvl w:val="0"/>
                <w:numId w:val="0"/>
              </w:numPr>
            </w:pPr>
          </w:p>
        </w:tc>
      </w:tr>
    </w:tbl>
    <w:p w:rsidR="008964A9" w:rsidRDefault="008964A9" w:rsidP="008964A9"/>
    <w:p w:rsidR="008964A9" w:rsidRPr="008964A9" w:rsidRDefault="008964A9" w:rsidP="008964A9">
      <w:pPr>
        <w:pStyle w:val="Caption"/>
      </w:pPr>
      <w:bookmarkStart w:id="536" w:name="_Ref446932282"/>
      <w:r w:rsidRPr="008964A9">
        <w:t xml:space="preserve">Table </w:t>
      </w:r>
      <w:r w:rsidRPr="008964A9">
        <w:fldChar w:fldCharType="begin"/>
      </w:r>
      <w:r w:rsidRPr="008964A9">
        <w:instrText xml:space="preserve"> SEQ Table \* ARABIC </w:instrText>
      </w:r>
      <w:r w:rsidRPr="008964A9">
        <w:fldChar w:fldCharType="separate"/>
      </w:r>
      <w:r w:rsidR="005F38BC">
        <w:rPr>
          <w:noProof/>
        </w:rPr>
        <w:t>13</w:t>
      </w:r>
      <w:r w:rsidRPr="008964A9">
        <w:fldChar w:fldCharType="end"/>
      </w:r>
      <w:bookmarkEnd w:id="536"/>
      <w:r w:rsidR="004831F9">
        <w:t>: HL7 Tests Accepted by VBECS</w:t>
      </w:r>
    </w:p>
    <w:p w:rsidR="008964A9" w:rsidRPr="008964A9" w:rsidRDefault="008964A9" w:rsidP="008964A9">
      <w:pPr>
        <w:rPr>
          <w:sz w:val="22"/>
          <w:szCs w:val="22"/>
        </w:rPr>
      </w:pPr>
      <w:r w:rsidRPr="008964A9">
        <w:rPr>
          <w:sz w:val="22"/>
          <w:szCs w:val="22"/>
        </w:rPr>
        <w:t>The first result received is considered the primary test. Once the primary test is accepted into VBECS, a second message with the same testing result will fill the repeat test.</w:t>
      </w:r>
    </w:p>
    <w:p w:rsidR="008964A9" w:rsidRDefault="008964A9" w:rsidP="008964A9"/>
    <w:tbl>
      <w:tblPr>
        <w:tblW w:w="459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3600"/>
      </w:tblGrid>
      <w:tr w:rsidR="008964A9" w:rsidRPr="002800C8" w:rsidTr="008964A9">
        <w:trPr>
          <w:trHeight w:val="179"/>
        </w:trPr>
        <w:tc>
          <w:tcPr>
            <w:tcW w:w="990" w:type="dxa"/>
            <w:shd w:val="clear" w:color="auto" w:fill="D9D9D9"/>
            <w:vAlign w:val="bottom"/>
          </w:tcPr>
          <w:p w:rsidR="008964A9" w:rsidRPr="002800C8" w:rsidRDefault="008964A9" w:rsidP="008964A9">
            <w:pPr>
              <w:rPr>
                <w:rFonts w:ascii="Arial" w:hAnsi="Arial" w:cs="Arial"/>
                <w:b/>
                <w:color w:val="000000"/>
                <w:sz w:val="20"/>
              </w:rPr>
            </w:pPr>
            <w:r w:rsidRPr="002800C8">
              <w:rPr>
                <w:rFonts w:ascii="Arial" w:hAnsi="Arial" w:cs="Arial"/>
                <w:b/>
                <w:color w:val="000000"/>
                <w:sz w:val="20"/>
              </w:rPr>
              <w:t>Row ID</w:t>
            </w:r>
          </w:p>
        </w:tc>
        <w:tc>
          <w:tcPr>
            <w:tcW w:w="3600" w:type="dxa"/>
            <w:shd w:val="clear" w:color="auto" w:fill="D9D9D9"/>
            <w:noWrap/>
            <w:vAlign w:val="bottom"/>
          </w:tcPr>
          <w:p w:rsidR="008964A9" w:rsidRPr="002800C8" w:rsidRDefault="008964A9" w:rsidP="008964A9">
            <w:pPr>
              <w:rPr>
                <w:rFonts w:ascii="Arial" w:hAnsi="Arial" w:cs="Arial"/>
                <w:b/>
                <w:color w:val="000000"/>
                <w:sz w:val="20"/>
              </w:rPr>
            </w:pPr>
            <w:r w:rsidRPr="002800C8">
              <w:rPr>
                <w:rFonts w:ascii="Arial" w:hAnsi="Arial" w:cs="Arial"/>
                <w:b/>
                <w:color w:val="000000"/>
                <w:sz w:val="20"/>
              </w:rPr>
              <w:t>Tests</w:t>
            </w:r>
          </w:p>
        </w:tc>
      </w:tr>
      <w:tr w:rsidR="008964A9" w:rsidRPr="00490D9B" w:rsidTr="008964A9">
        <w:trPr>
          <w:trHeight w:val="259"/>
        </w:trPr>
        <w:tc>
          <w:tcPr>
            <w:tcW w:w="990" w:type="dxa"/>
            <w:vAlign w:val="center"/>
          </w:tcPr>
          <w:p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w:t>
            </w:r>
          </w:p>
        </w:tc>
        <w:tc>
          <w:tcPr>
            <w:tcW w:w="3600" w:type="dxa"/>
            <w:shd w:val="clear" w:color="auto" w:fill="auto"/>
            <w:noWrap/>
            <w:vAlign w:val="bottom"/>
            <w:hideMark/>
          </w:tcPr>
          <w:p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Patient Type and Screen (TAS)</w:t>
            </w:r>
          </w:p>
        </w:tc>
      </w:tr>
      <w:tr w:rsidR="008964A9" w:rsidRPr="00490D9B" w:rsidTr="008964A9">
        <w:trPr>
          <w:trHeight w:val="259"/>
        </w:trPr>
        <w:tc>
          <w:tcPr>
            <w:tcW w:w="990" w:type="dxa"/>
            <w:vAlign w:val="center"/>
          </w:tcPr>
          <w:p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2.</w:t>
            </w:r>
          </w:p>
        </w:tc>
        <w:tc>
          <w:tcPr>
            <w:tcW w:w="3600" w:type="dxa"/>
            <w:shd w:val="clear" w:color="auto" w:fill="auto"/>
            <w:noWrap/>
            <w:vAlign w:val="bottom"/>
            <w:hideMark/>
          </w:tcPr>
          <w:p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Patient ABO/Rh</w:t>
            </w:r>
          </w:p>
        </w:tc>
      </w:tr>
      <w:tr w:rsidR="008964A9" w:rsidRPr="00490D9B" w:rsidTr="008964A9">
        <w:trPr>
          <w:trHeight w:val="259"/>
        </w:trPr>
        <w:tc>
          <w:tcPr>
            <w:tcW w:w="990" w:type="dxa"/>
            <w:vAlign w:val="center"/>
          </w:tcPr>
          <w:p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3.</w:t>
            </w:r>
          </w:p>
        </w:tc>
        <w:tc>
          <w:tcPr>
            <w:tcW w:w="3600" w:type="dxa"/>
            <w:shd w:val="clear" w:color="auto" w:fill="auto"/>
            <w:noWrap/>
            <w:vAlign w:val="bottom"/>
            <w:hideMark/>
          </w:tcPr>
          <w:p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Repeat Patient ABO/Rh</w:t>
            </w:r>
          </w:p>
        </w:tc>
      </w:tr>
      <w:tr w:rsidR="008964A9" w:rsidRPr="00490D9B" w:rsidTr="008964A9">
        <w:trPr>
          <w:trHeight w:val="259"/>
        </w:trPr>
        <w:tc>
          <w:tcPr>
            <w:tcW w:w="990" w:type="dxa"/>
            <w:vAlign w:val="center"/>
          </w:tcPr>
          <w:p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4.</w:t>
            </w:r>
          </w:p>
        </w:tc>
        <w:tc>
          <w:tcPr>
            <w:tcW w:w="3600" w:type="dxa"/>
            <w:shd w:val="clear" w:color="auto" w:fill="auto"/>
            <w:noWrap/>
            <w:vAlign w:val="bottom"/>
            <w:hideMark/>
          </w:tcPr>
          <w:p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Patient ABS</w:t>
            </w:r>
          </w:p>
        </w:tc>
      </w:tr>
      <w:tr w:rsidR="008964A9" w:rsidRPr="00490D9B" w:rsidTr="008964A9">
        <w:trPr>
          <w:trHeight w:val="259"/>
        </w:trPr>
        <w:tc>
          <w:tcPr>
            <w:tcW w:w="990" w:type="dxa"/>
            <w:vAlign w:val="center"/>
          </w:tcPr>
          <w:p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5.</w:t>
            </w:r>
          </w:p>
        </w:tc>
        <w:tc>
          <w:tcPr>
            <w:tcW w:w="3600" w:type="dxa"/>
            <w:shd w:val="clear" w:color="auto" w:fill="auto"/>
            <w:noWrap/>
            <w:vAlign w:val="bottom"/>
            <w:hideMark/>
          </w:tcPr>
          <w:p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Repeat Patient ABS</w:t>
            </w:r>
          </w:p>
        </w:tc>
      </w:tr>
      <w:tr w:rsidR="008964A9" w:rsidRPr="00490D9B" w:rsidTr="008964A9">
        <w:trPr>
          <w:trHeight w:val="259"/>
        </w:trPr>
        <w:tc>
          <w:tcPr>
            <w:tcW w:w="990" w:type="dxa"/>
            <w:vAlign w:val="center"/>
          </w:tcPr>
          <w:p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6.</w:t>
            </w:r>
          </w:p>
        </w:tc>
        <w:tc>
          <w:tcPr>
            <w:tcW w:w="3600" w:type="dxa"/>
            <w:shd w:val="clear" w:color="auto" w:fill="auto"/>
            <w:noWrap/>
            <w:vAlign w:val="bottom"/>
            <w:hideMark/>
          </w:tcPr>
          <w:p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Patient AHG DAT</w:t>
            </w:r>
          </w:p>
        </w:tc>
      </w:tr>
      <w:tr w:rsidR="008964A9" w:rsidRPr="00490D9B" w:rsidTr="008964A9">
        <w:trPr>
          <w:trHeight w:val="259"/>
        </w:trPr>
        <w:tc>
          <w:tcPr>
            <w:tcW w:w="990" w:type="dxa"/>
            <w:vAlign w:val="center"/>
          </w:tcPr>
          <w:p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7.</w:t>
            </w:r>
          </w:p>
        </w:tc>
        <w:tc>
          <w:tcPr>
            <w:tcW w:w="3600" w:type="dxa"/>
            <w:shd w:val="clear" w:color="auto" w:fill="auto"/>
            <w:noWrap/>
            <w:vAlign w:val="bottom"/>
            <w:hideMark/>
          </w:tcPr>
          <w:p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Repeat Patient AHG DAT</w:t>
            </w:r>
          </w:p>
        </w:tc>
      </w:tr>
      <w:tr w:rsidR="008964A9" w:rsidRPr="00490D9B" w:rsidTr="008964A9">
        <w:trPr>
          <w:trHeight w:val="259"/>
        </w:trPr>
        <w:tc>
          <w:tcPr>
            <w:tcW w:w="990" w:type="dxa"/>
            <w:vAlign w:val="center"/>
          </w:tcPr>
          <w:p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8.</w:t>
            </w:r>
          </w:p>
        </w:tc>
        <w:tc>
          <w:tcPr>
            <w:tcW w:w="3600" w:type="dxa"/>
            <w:shd w:val="clear" w:color="auto" w:fill="auto"/>
            <w:noWrap/>
            <w:vAlign w:val="bottom"/>
            <w:hideMark/>
          </w:tcPr>
          <w:p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Crossmatch</w:t>
            </w:r>
          </w:p>
        </w:tc>
      </w:tr>
      <w:tr w:rsidR="008964A9" w:rsidRPr="00490D9B" w:rsidTr="008964A9">
        <w:trPr>
          <w:trHeight w:val="259"/>
        </w:trPr>
        <w:tc>
          <w:tcPr>
            <w:tcW w:w="990" w:type="dxa"/>
            <w:vAlign w:val="center"/>
          </w:tcPr>
          <w:p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9.</w:t>
            </w:r>
          </w:p>
        </w:tc>
        <w:tc>
          <w:tcPr>
            <w:tcW w:w="3600" w:type="dxa"/>
            <w:shd w:val="clear" w:color="auto" w:fill="auto"/>
            <w:noWrap/>
            <w:vAlign w:val="bottom"/>
            <w:hideMark/>
          </w:tcPr>
          <w:p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Repeat Crossmatch</w:t>
            </w:r>
          </w:p>
        </w:tc>
      </w:tr>
      <w:tr w:rsidR="008964A9" w:rsidRPr="00490D9B" w:rsidTr="008964A9">
        <w:trPr>
          <w:trHeight w:val="259"/>
        </w:trPr>
        <w:tc>
          <w:tcPr>
            <w:tcW w:w="990" w:type="dxa"/>
            <w:vAlign w:val="center"/>
          </w:tcPr>
          <w:p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10.</w:t>
            </w:r>
          </w:p>
        </w:tc>
        <w:tc>
          <w:tcPr>
            <w:tcW w:w="3600" w:type="dxa"/>
            <w:shd w:val="clear" w:color="auto" w:fill="auto"/>
            <w:noWrap/>
            <w:vAlign w:val="bottom"/>
            <w:hideMark/>
          </w:tcPr>
          <w:p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Patient IgG DAT AHG</w:t>
            </w:r>
          </w:p>
        </w:tc>
      </w:tr>
      <w:tr w:rsidR="008964A9" w:rsidRPr="00490D9B" w:rsidTr="008964A9">
        <w:trPr>
          <w:trHeight w:val="259"/>
        </w:trPr>
        <w:tc>
          <w:tcPr>
            <w:tcW w:w="990" w:type="dxa"/>
            <w:vAlign w:val="center"/>
          </w:tcPr>
          <w:p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11.</w:t>
            </w:r>
          </w:p>
        </w:tc>
        <w:tc>
          <w:tcPr>
            <w:tcW w:w="3600" w:type="dxa"/>
            <w:shd w:val="clear" w:color="auto" w:fill="auto"/>
            <w:noWrap/>
            <w:vAlign w:val="bottom"/>
            <w:hideMark/>
          </w:tcPr>
          <w:p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Repeat Patient IgG DAT AHG</w:t>
            </w:r>
          </w:p>
        </w:tc>
      </w:tr>
      <w:tr w:rsidR="008964A9" w:rsidRPr="00490D9B" w:rsidTr="008964A9">
        <w:trPr>
          <w:trHeight w:val="259"/>
        </w:trPr>
        <w:tc>
          <w:tcPr>
            <w:tcW w:w="990" w:type="dxa"/>
            <w:vAlign w:val="center"/>
          </w:tcPr>
          <w:p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12.</w:t>
            </w:r>
          </w:p>
        </w:tc>
        <w:tc>
          <w:tcPr>
            <w:tcW w:w="3600" w:type="dxa"/>
            <w:shd w:val="clear" w:color="auto" w:fill="auto"/>
            <w:noWrap/>
            <w:vAlign w:val="bottom"/>
            <w:hideMark/>
          </w:tcPr>
          <w:p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Patient C3 DAT AHG</w:t>
            </w:r>
          </w:p>
        </w:tc>
      </w:tr>
      <w:tr w:rsidR="008964A9" w:rsidRPr="00490D9B" w:rsidTr="008964A9">
        <w:trPr>
          <w:trHeight w:val="259"/>
        </w:trPr>
        <w:tc>
          <w:tcPr>
            <w:tcW w:w="990" w:type="dxa"/>
            <w:vAlign w:val="center"/>
          </w:tcPr>
          <w:p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13.</w:t>
            </w:r>
          </w:p>
        </w:tc>
        <w:tc>
          <w:tcPr>
            <w:tcW w:w="3600" w:type="dxa"/>
            <w:shd w:val="clear" w:color="auto" w:fill="auto"/>
            <w:noWrap/>
            <w:vAlign w:val="bottom"/>
            <w:hideMark/>
          </w:tcPr>
          <w:p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Repeat Patient C3 DAT AHG</w:t>
            </w:r>
          </w:p>
        </w:tc>
      </w:tr>
      <w:tr w:rsidR="008964A9" w:rsidRPr="00490D9B" w:rsidTr="008964A9">
        <w:trPr>
          <w:trHeight w:val="259"/>
        </w:trPr>
        <w:tc>
          <w:tcPr>
            <w:tcW w:w="990" w:type="dxa"/>
            <w:vAlign w:val="center"/>
          </w:tcPr>
          <w:p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14.</w:t>
            </w:r>
          </w:p>
        </w:tc>
        <w:tc>
          <w:tcPr>
            <w:tcW w:w="3600" w:type="dxa"/>
            <w:shd w:val="clear" w:color="auto" w:fill="auto"/>
            <w:noWrap/>
            <w:vAlign w:val="bottom"/>
            <w:hideMark/>
          </w:tcPr>
          <w:p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Patient Antigen Typing</w:t>
            </w:r>
          </w:p>
        </w:tc>
      </w:tr>
      <w:tr w:rsidR="008964A9" w:rsidRPr="00490D9B" w:rsidTr="008964A9">
        <w:trPr>
          <w:trHeight w:val="259"/>
        </w:trPr>
        <w:tc>
          <w:tcPr>
            <w:tcW w:w="990" w:type="dxa"/>
            <w:vAlign w:val="center"/>
          </w:tcPr>
          <w:p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15.</w:t>
            </w:r>
          </w:p>
        </w:tc>
        <w:tc>
          <w:tcPr>
            <w:tcW w:w="3600" w:type="dxa"/>
            <w:shd w:val="clear" w:color="auto" w:fill="auto"/>
            <w:noWrap/>
            <w:vAlign w:val="bottom"/>
            <w:hideMark/>
          </w:tcPr>
          <w:p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Repeat Patient Antigen Typing</w:t>
            </w:r>
          </w:p>
        </w:tc>
      </w:tr>
      <w:tr w:rsidR="008964A9" w:rsidRPr="00490D9B" w:rsidTr="008964A9">
        <w:trPr>
          <w:trHeight w:val="259"/>
        </w:trPr>
        <w:tc>
          <w:tcPr>
            <w:tcW w:w="990" w:type="dxa"/>
            <w:vAlign w:val="center"/>
          </w:tcPr>
          <w:p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16.</w:t>
            </w:r>
          </w:p>
        </w:tc>
        <w:tc>
          <w:tcPr>
            <w:tcW w:w="3600" w:type="dxa"/>
            <w:shd w:val="clear" w:color="auto" w:fill="auto"/>
            <w:noWrap/>
            <w:vAlign w:val="bottom"/>
            <w:hideMark/>
          </w:tcPr>
          <w:p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Unit ABO/Rh</w:t>
            </w:r>
          </w:p>
        </w:tc>
      </w:tr>
      <w:tr w:rsidR="008964A9" w:rsidRPr="00490D9B" w:rsidTr="008964A9">
        <w:trPr>
          <w:trHeight w:val="259"/>
        </w:trPr>
        <w:tc>
          <w:tcPr>
            <w:tcW w:w="990" w:type="dxa"/>
            <w:vAlign w:val="center"/>
          </w:tcPr>
          <w:p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17.</w:t>
            </w:r>
          </w:p>
        </w:tc>
        <w:tc>
          <w:tcPr>
            <w:tcW w:w="3600" w:type="dxa"/>
            <w:shd w:val="clear" w:color="auto" w:fill="auto"/>
            <w:noWrap/>
            <w:vAlign w:val="bottom"/>
            <w:hideMark/>
          </w:tcPr>
          <w:p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Unit Antigen Typing</w:t>
            </w:r>
          </w:p>
        </w:tc>
      </w:tr>
    </w:tbl>
    <w:p w:rsidR="00B45FA2" w:rsidRDefault="00B45FA2" w:rsidP="007A4841">
      <w:pPr>
        <w:pStyle w:val="Heading2"/>
      </w:pPr>
      <w:r>
        <w:br w:type="page"/>
      </w:r>
      <w:bookmarkStart w:id="537" w:name="_Toc459900161"/>
      <w:r>
        <w:lastRenderedPageBreak/>
        <w:t>Automated Testing Review</w:t>
      </w:r>
      <w:r w:rsidR="00836786">
        <w:t xml:space="preserve"> for Blood Unit</w:t>
      </w:r>
      <w:r w:rsidR="007B52EA">
        <w:t>s</w:t>
      </w:r>
      <w:bookmarkEnd w:id="537"/>
      <w:r w:rsidR="00836786" w:rsidRPr="00836786">
        <w:rPr>
          <w:vanish/>
        </w:rPr>
        <w:t>{ XE “Automated Testing Review f</w:t>
      </w:r>
      <w:r w:rsidR="00BE554D" w:rsidRPr="00836786">
        <w:rPr>
          <w:vanish/>
        </w:rPr>
        <w:t xml:space="preserve">or </w:t>
      </w:r>
      <w:r w:rsidR="00F130A1" w:rsidRPr="00836786">
        <w:rPr>
          <w:vanish/>
        </w:rPr>
        <w:t>Blood Unit ABO/Rh</w:t>
      </w:r>
      <w:r w:rsidR="00836786" w:rsidRPr="00836786">
        <w:rPr>
          <w:vanish/>
        </w:rPr>
        <w:t>” }</w:t>
      </w:r>
      <w:r w:rsidRPr="00836786">
        <w:rPr>
          <w:rFonts w:ascii="Times New Roman" w:hAnsi="Times New Roman" w:cs="Times New Roman"/>
          <w:b w:val="0"/>
          <w:i w:val="0"/>
          <w:vanish/>
          <w:sz w:val="22"/>
        </w:rPr>
        <w:t>UC_115</w:t>
      </w:r>
    </w:p>
    <w:p w:rsidR="00D23C29" w:rsidRDefault="00D23C29" w:rsidP="00B45FA2">
      <w:pPr>
        <w:pStyle w:val="Heading4"/>
        <w:rPr>
          <w:rFonts w:ascii="Times New Roman" w:hAnsi="Times New Roman"/>
          <w:b w:val="0"/>
          <w:spacing w:val="-5"/>
          <w:szCs w:val="22"/>
        </w:rPr>
      </w:pPr>
      <w:r>
        <w:rPr>
          <w:rFonts w:ascii="Times New Roman" w:hAnsi="Times New Roman"/>
          <w:b w:val="0"/>
          <w:spacing w:val="-5"/>
          <w:szCs w:val="22"/>
        </w:rPr>
        <w:t>A</w:t>
      </w:r>
      <w:r w:rsidRPr="00D23C29">
        <w:rPr>
          <w:rFonts w:ascii="Times New Roman" w:hAnsi="Times New Roman"/>
          <w:b w:val="0"/>
          <w:spacing w:val="-5"/>
          <w:szCs w:val="22"/>
        </w:rPr>
        <w:t>llow</w:t>
      </w:r>
      <w:r>
        <w:rPr>
          <w:rFonts w:ascii="Times New Roman" w:hAnsi="Times New Roman"/>
          <w:b w:val="0"/>
          <w:spacing w:val="-5"/>
          <w:szCs w:val="22"/>
        </w:rPr>
        <w:t>s</w:t>
      </w:r>
      <w:r w:rsidR="00B80078">
        <w:rPr>
          <w:rFonts w:ascii="Times New Roman" w:hAnsi="Times New Roman"/>
          <w:b w:val="0"/>
          <w:spacing w:val="-5"/>
          <w:szCs w:val="22"/>
        </w:rPr>
        <w:t xml:space="preserve"> the user to review and approve testing results completed on an automated instrument and transmitted to  </w:t>
      </w:r>
      <w:r w:rsidRPr="00D23C29">
        <w:rPr>
          <w:rFonts w:ascii="Times New Roman" w:hAnsi="Times New Roman"/>
          <w:b w:val="0"/>
          <w:spacing w:val="-5"/>
          <w:szCs w:val="22"/>
        </w:rPr>
        <w:t>VBECS.</w:t>
      </w:r>
    </w:p>
    <w:p w:rsidR="00B45FA2" w:rsidRPr="00D23C29" w:rsidRDefault="00B45FA2" w:rsidP="00B45FA2">
      <w:pPr>
        <w:pStyle w:val="Heading4"/>
      </w:pPr>
      <w:r w:rsidRPr="00D23C29">
        <w:t xml:space="preserve">Assumptions </w:t>
      </w:r>
      <w:r w:rsidR="00A134D8" w:rsidRPr="00A134D8">
        <w:rPr>
          <w:rFonts w:ascii="Arial Bold" w:hAnsi="Arial Bold"/>
          <w:vanish/>
        </w:rPr>
        <w:t>Defect 357490</w:t>
      </w:r>
    </w:p>
    <w:p w:rsidR="00B45FA2" w:rsidRPr="009A3F10" w:rsidRDefault="00B45FA2" w:rsidP="00B45FA2">
      <w:pPr>
        <w:pStyle w:val="TableText"/>
        <w:numPr>
          <w:ilvl w:val="0"/>
          <w:numId w:val="51"/>
        </w:numPr>
        <w:rPr>
          <w:rFonts w:ascii="Times New Roman" w:hAnsi="Times New Roman"/>
          <w:spacing w:val="-5"/>
          <w:sz w:val="22"/>
          <w:szCs w:val="22"/>
        </w:rPr>
      </w:pPr>
      <w:r w:rsidRPr="009A3F10">
        <w:rPr>
          <w:rFonts w:ascii="Times New Roman" w:hAnsi="Times New Roman"/>
          <w:spacing w:val="-5"/>
          <w:sz w:val="22"/>
          <w:szCs w:val="22"/>
        </w:rPr>
        <w:t>Division is defined as full service.</w:t>
      </w:r>
    </w:p>
    <w:p w:rsidR="00B45FA2" w:rsidRPr="009A3F10" w:rsidRDefault="00B45FA2" w:rsidP="00B45FA2">
      <w:pPr>
        <w:pStyle w:val="TableText"/>
        <w:numPr>
          <w:ilvl w:val="0"/>
          <w:numId w:val="51"/>
        </w:numPr>
        <w:rPr>
          <w:rFonts w:ascii="Times New Roman" w:hAnsi="Times New Roman"/>
          <w:spacing w:val="-5"/>
          <w:sz w:val="22"/>
          <w:szCs w:val="22"/>
        </w:rPr>
      </w:pPr>
      <w:r w:rsidRPr="009A3F10">
        <w:rPr>
          <w:rFonts w:ascii="Times New Roman" w:hAnsi="Times New Roman"/>
          <w:spacing w:val="-5"/>
          <w:sz w:val="22"/>
          <w:szCs w:val="22"/>
        </w:rPr>
        <w:t>The testing instrument is fully functional and available for use. The instrument QC is completed and valid, no maintenance is required. No QC information is transmitted to VBECS in the HL7 message.</w:t>
      </w:r>
    </w:p>
    <w:p w:rsidR="00B45FA2" w:rsidRPr="009A3F10" w:rsidRDefault="00B45FA2" w:rsidP="00B45FA2">
      <w:pPr>
        <w:pStyle w:val="TableText"/>
        <w:numPr>
          <w:ilvl w:val="0"/>
          <w:numId w:val="51"/>
        </w:numPr>
        <w:rPr>
          <w:rFonts w:ascii="Times New Roman" w:hAnsi="Times New Roman"/>
          <w:spacing w:val="-5"/>
          <w:sz w:val="22"/>
          <w:szCs w:val="22"/>
        </w:rPr>
      </w:pPr>
      <w:r w:rsidRPr="009A3F10">
        <w:rPr>
          <w:rFonts w:ascii="Times New Roman" w:hAnsi="Times New Roman"/>
          <w:spacing w:val="-5"/>
          <w:sz w:val="22"/>
          <w:szCs w:val="22"/>
        </w:rPr>
        <w:t>Message is received</w:t>
      </w:r>
      <w:r w:rsidR="00B80078">
        <w:rPr>
          <w:rFonts w:ascii="Times New Roman" w:hAnsi="Times New Roman"/>
          <w:spacing w:val="-5"/>
          <w:sz w:val="22"/>
          <w:szCs w:val="22"/>
        </w:rPr>
        <w:t xml:space="preserve"> successfully as defined in </w:t>
      </w:r>
      <w:r w:rsidRPr="009A3F10">
        <w:rPr>
          <w:rFonts w:ascii="Times New Roman" w:hAnsi="Times New Roman"/>
          <w:spacing w:val="-5"/>
          <w:sz w:val="22"/>
          <w:szCs w:val="22"/>
        </w:rPr>
        <w:t>Automated Testing Interface.</w:t>
      </w:r>
    </w:p>
    <w:p w:rsidR="00B45FA2" w:rsidRPr="009A3F10" w:rsidRDefault="00B45FA2" w:rsidP="00B45FA2">
      <w:pPr>
        <w:pStyle w:val="TableTextBullet"/>
        <w:numPr>
          <w:ilvl w:val="0"/>
          <w:numId w:val="51"/>
        </w:numPr>
        <w:rPr>
          <w:rFonts w:ascii="Times New Roman" w:hAnsi="Times New Roman"/>
          <w:spacing w:val="-5"/>
          <w:sz w:val="22"/>
          <w:szCs w:val="22"/>
        </w:rPr>
      </w:pPr>
      <w:r w:rsidRPr="009A3F10">
        <w:rPr>
          <w:rFonts w:ascii="Times New Roman" w:hAnsi="Times New Roman"/>
          <w:spacing w:val="-5"/>
          <w:sz w:val="22"/>
          <w:szCs w:val="22"/>
        </w:rPr>
        <w:t>The blood unit records are in the VBECS database for ABO/Rh confirmation or Unit Antigen Typing.</w:t>
      </w:r>
    </w:p>
    <w:p w:rsidR="00B45FA2" w:rsidRPr="009A3F10" w:rsidRDefault="00B45FA2" w:rsidP="00B45FA2">
      <w:pPr>
        <w:numPr>
          <w:ilvl w:val="0"/>
          <w:numId w:val="51"/>
        </w:numPr>
        <w:rPr>
          <w:spacing w:val="-5"/>
          <w:sz w:val="22"/>
          <w:szCs w:val="22"/>
        </w:rPr>
      </w:pPr>
      <w:r w:rsidRPr="009A3F10">
        <w:rPr>
          <w:spacing w:val="-5"/>
          <w:sz w:val="22"/>
          <w:szCs w:val="22"/>
        </w:rPr>
        <w:t>Each transmitted test must include its results and interpretati</w:t>
      </w:r>
      <w:r w:rsidR="00B80078">
        <w:rPr>
          <w:spacing w:val="-5"/>
          <w:sz w:val="22"/>
          <w:szCs w:val="22"/>
        </w:rPr>
        <w:t>on</w:t>
      </w:r>
      <w:r w:rsidRPr="009A3F10">
        <w:rPr>
          <w:spacing w:val="-5"/>
          <w:sz w:val="22"/>
          <w:szCs w:val="22"/>
        </w:rPr>
        <w:t>.</w:t>
      </w:r>
    </w:p>
    <w:p w:rsidR="00B45FA2" w:rsidRDefault="00B45FA2" w:rsidP="00B45FA2">
      <w:pPr>
        <w:pStyle w:val="Heading4"/>
      </w:pPr>
      <w:r>
        <w:t xml:space="preserve">Outcome </w:t>
      </w:r>
    </w:p>
    <w:p w:rsidR="003F0E4F" w:rsidRPr="00D23C29" w:rsidRDefault="003F0E4F" w:rsidP="00D23C29">
      <w:pPr>
        <w:pStyle w:val="TableTextBullet"/>
        <w:numPr>
          <w:ilvl w:val="0"/>
          <w:numId w:val="51"/>
        </w:numPr>
        <w:ind w:right="63"/>
        <w:rPr>
          <w:rFonts w:ascii="Times New Roman" w:hAnsi="Times New Roman"/>
          <w:spacing w:val="-5"/>
          <w:sz w:val="22"/>
          <w:szCs w:val="22"/>
        </w:rPr>
      </w:pPr>
      <w:r w:rsidRPr="00D23C29">
        <w:rPr>
          <w:rFonts w:ascii="Times New Roman" w:hAnsi="Times New Roman"/>
          <w:spacing w:val="-5"/>
          <w:sz w:val="22"/>
          <w:szCs w:val="22"/>
        </w:rPr>
        <w:t>The test record will capture the details of the verified testing. Completed, current unit and specimen test results will be available for the life of the system for inclusion in various reports generated to document patient and unit testing.</w:t>
      </w:r>
    </w:p>
    <w:p w:rsidR="003F0E4F" w:rsidRPr="00D23C29" w:rsidRDefault="003F0E4F" w:rsidP="00D23C29">
      <w:pPr>
        <w:pStyle w:val="TableTextBullet"/>
        <w:numPr>
          <w:ilvl w:val="0"/>
          <w:numId w:val="51"/>
        </w:numPr>
        <w:ind w:right="63"/>
        <w:rPr>
          <w:rFonts w:ascii="Times New Roman" w:hAnsi="Times New Roman"/>
          <w:spacing w:val="-5"/>
          <w:sz w:val="22"/>
          <w:szCs w:val="22"/>
        </w:rPr>
      </w:pPr>
      <w:r w:rsidRPr="00D23C29">
        <w:rPr>
          <w:rFonts w:ascii="Times New Roman" w:hAnsi="Times New Roman"/>
          <w:spacing w:val="-5"/>
          <w:sz w:val="22"/>
          <w:szCs w:val="22"/>
        </w:rPr>
        <w:t>Unit(s) will have ABO/Rh and antigen test results recorded in the database.</w:t>
      </w:r>
    </w:p>
    <w:p w:rsidR="003F0E4F" w:rsidRPr="00D23C29" w:rsidRDefault="003F0E4F" w:rsidP="00D23C29">
      <w:pPr>
        <w:pStyle w:val="TableTextBullet"/>
        <w:numPr>
          <w:ilvl w:val="0"/>
          <w:numId w:val="51"/>
        </w:numPr>
        <w:ind w:right="63"/>
        <w:rPr>
          <w:rFonts w:ascii="Times New Roman" w:hAnsi="Times New Roman"/>
          <w:spacing w:val="-5"/>
          <w:sz w:val="22"/>
          <w:szCs w:val="22"/>
        </w:rPr>
      </w:pPr>
      <w:r w:rsidRPr="00D23C29">
        <w:rPr>
          <w:rFonts w:ascii="Times New Roman" w:hAnsi="Times New Roman"/>
          <w:spacing w:val="-5"/>
          <w:sz w:val="22"/>
          <w:szCs w:val="22"/>
        </w:rPr>
        <w:t>The system updates the workload reporting in VBECS</w:t>
      </w:r>
      <w:r w:rsidR="00A134D8">
        <w:rPr>
          <w:rFonts w:ascii="Times New Roman" w:hAnsi="Times New Roman"/>
          <w:spacing w:val="-5"/>
          <w:sz w:val="22"/>
          <w:szCs w:val="22"/>
        </w:rPr>
        <w:t xml:space="preserve">. </w:t>
      </w:r>
      <w:r w:rsidR="00A134D8" w:rsidRPr="00A134D8">
        <w:rPr>
          <w:rFonts w:ascii="Times New Roman" w:hAnsi="Times New Roman"/>
          <w:vanish/>
          <w:spacing w:val="-5"/>
          <w:sz w:val="22"/>
          <w:szCs w:val="22"/>
        </w:rPr>
        <w:t>Defect 357490</w:t>
      </w:r>
    </w:p>
    <w:p w:rsidR="00B45FA2" w:rsidRDefault="00B45FA2" w:rsidP="003F0E4F">
      <w:pPr>
        <w:pStyle w:val="Heading4"/>
      </w:pPr>
      <w:r>
        <w:t>Limitations and Restrictions</w:t>
      </w:r>
      <w:r>
        <w:rPr>
          <w:b w:val="0"/>
        </w:rPr>
        <w:t xml:space="preserve"> </w:t>
      </w:r>
    </w:p>
    <w:p w:rsidR="00B45FA2" w:rsidRPr="009A3F10" w:rsidRDefault="00B45FA2" w:rsidP="00B45FA2">
      <w:pPr>
        <w:pStyle w:val="TableText"/>
        <w:numPr>
          <w:ilvl w:val="0"/>
          <w:numId w:val="51"/>
        </w:numPr>
        <w:rPr>
          <w:rFonts w:ascii="Times New Roman" w:hAnsi="Times New Roman"/>
          <w:spacing w:val="-5"/>
          <w:sz w:val="22"/>
          <w:szCs w:val="22"/>
        </w:rPr>
      </w:pPr>
      <w:r w:rsidRPr="009A3F10">
        <w:rPr>
          <w:rFonts w:ascii="Times New Roman" w:hAnsi="Times New Roman"/>
          <w:spacing w:val="-5"/>
          <w:sz w:val="22"/>
          <w:szCs w:val="22"/>
        </w:rPr>
        <w:t xml:space="preserve">VBECS does not accept inconclusive ABO/Rh test results.  </w:t>
      </w:r>
    </w:p>
    <w:p w:rsidR="00B45FA2" w:rsidRPr="009A3F10" w:rsidRDefault="00E43DE4" w:rsidP="00B45FA2">
      <w:pPr>
        <w:pStyle w:val="TableText"/>
        <w:numPr>
          <w:ilvl w:val="0"/>
          <w:numId w:val="51"/>
        </w:numPr>
        <w:rPr>
          <w:rFonts w:ascii="Times New Roman" w:hAnsi="Times New Roman"/>
          <w:spacing w:val="-5"/>
          <w:sz w:val="22"/>
          <w:szCs w:val="22"/>
        </w:rPr>
      </w:pPr>
      <w:r>
        <w:rPr>
          <w:rFonts w:ascii="Times New Roman" w:hAnsi="Times New Roman"/>
          <w:spacing w:val="-5"/>
          <w:sz w:val="22"/>
          <w:szCs w:val="22"/>
        </w:rPr>
        <w:t>Pooled</w:t>
      </w:r>
      <w:r w:rsidR="00B45FA2" w:rsidRPr="009A3F10">
        <w:rPr>
          <w:rFonts w:ascii="Times New Roman" w:hAnsi="Times New Roman"/>
          <w:spacing w:val="-5"/>
          <w:sz w:val="22"/>
          <w:szCs w:val="22"/>
        </w:rPr>
        <w:t xml:space="preserve"> Product Types labeled with an Rh type of “Pooled” is considered an Rh Positive unit which does not require confirmation testing.</w:t>
      </w:r>
    </w:p>
    <w:p w:rsidR="00B45FA2" w:rsidRDefault="00B45FA2" w:rsidP="00B45FA2">
      <w:pPr>
        <w:pStyle w:val="TableText"/>
        <w:numPr>
          <w:ilvl w:val="0"/>
          <w:numId w:val="51"/>
        </w:numPr>
        <w:rPr>
          <w:rFonts w:ascii="Times New Roman" w:hAnsi="Times New Roman"/>
          <w:spacing w:val="-5"/>
          <w:sz w:val="22"/>
          <w:szCs w:val="22"/>
        </w:rPr>
      </w:pPr>
      <w:r w:rsidRPr="009A3F10">
        <w:rPr>
          <w:rFonts w:ascii="Times New Roman" w:hAnsi="Times New Roman"/>
          <w:spacing w:val="-5"/>
          <w:sz w:val="22"/>
          <w:szCs w:val="22"/>
        </w:rPr>
        <w:t>Pooled Product Types</w:t>
      </w:r>
      <w:r w:rsidRPr="009A3F10" w:rsidDel="00922FC4">
        <w:rPr>
          <w:rFonts w:ascii="Times New Roman" w:hAnsi="Times New Roman"/>
          <w:spacing w:val="-5"/>
          <w:sz w:val="22"/>
          <w:szCs w:val="22"/>
        </w:rPr>
        <w:t xml:space="preserve"> </w:t>
      </w:r>
      <w:r w:rsidRPr="009A3F10">
        <w:rPr>
          <w:rFonts w:ascii="Times New Roman" w:hAnsi="Times New Roman"/>
          <w:spacing w:val="-5"/>
          <w:sz w:val="22"/>
          <w:szCs w:val="22"/>
        </w:rPr>
        <w:t>that require confirmation, labeled with an ABO group of “Pooled” cannot be confirmed. A blood component unit received as “POOLED ABO” will have to be transfused using the Supervisory option, Document ABO Incompatible Transfusion.</w:t>
      </w:r>
    </w:p>
    <w:p w:rsidR="004926E0" w:rsidRPr="00DA27C7" w:rsidRDefault="00634BFC" w:rsidP="00B45FA2">
      <w:pPr>
        <w:pStyle w:val="TableText"/>
        <w:numPr>
          <w:ilvl w:val="0"/>
          <w:numId w:val="51"/>
        </w:numPr>
        <w:rPr>
          <w:rFonts w:ascii="Times New Roman" w:hAnsi="Times New Roman"/>
          <w:spacing w:val="-5"/>
          <w:sz w:val="22"/>
          <w:szCs w:val="22"/>
        </w:rPr>
      </w:pPr>
      <w:r>
        <w:rPr>
          <w:noProof/>
        </w:rPr>
        <w:drawing>
          <wp:inline distT="0" distB="0" distL="0" distR="0">
            <wp:extent cx="266700" cy="219075"/>
            <wp:effectExtent l="0" t="0" r="0"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4926E0">
        <w:t xml:space="preserve"> </w:t>
      </w:r>
      <w:r w:rsidR="004926E0" w:rsidRPr="00D33B43">
        <w:rPr>
          <w:rFonts w:ascii="Times New Roman" w:hAnsi="Times New Roman"/>
          <w:spacing w:val="-5"/>
          <w:sz w:val="22"/>
          <w:szCs w:val="22"/>
        </w:rPr>
        <w:t>Users can select and assign multiple units with the same DIN and different product codes for crossmatch. Users can only process one DIN (e.g., W123400345345) on the Automated Instrument at a time. It is incumbent on the user to verify that the crossmatch result from the Automated Instrument matches the product code (e.g., E0134V00) associated with the patient in VBECS. To decrease the risk of a mislabeled unit at issue, local practice may want to have only one on the units selected in VBECS at a time when crossmatch testing is being performed on the automated instrument.</w:t>
      </w:r>
      <w:r w:rsidR="00A134D8">
        <w:rPr>
          <w:rFonts w:ascii="Times New Roman" w:hAnsi="Times New Roman"/>
          <w:spacing w:val="-5"/>
          <w:sz w:val="22"/>
          <w:szCs w:val="22"/>
        </w:rPr>
        <w:t xml:space="preserve"> </w:t>
      </w:r>
      <w:r w:rsidR="00A134D8" w:rsidRPr="005028F8">
        <w:rPr>
          <w:rFonts w:ascii="Times New Roman" w:hAnsi="Times New Roman"/>
          <w:vanish/>
          <w:spacing w:val="-5"/>
          <w:sz w:val="22"/>
          <w:szCs w:val="22"/>
        </w:rPr>
        <w:t>Defect 357490</w:t>
      </w:r>
    </w:p>
    <w:p w:rsidR="00D31EC9" w:rsidRPr="009A3F10" w:rsidRDefault="00D31EC9" w:rsidP="00B45FA2">
      <w:pPr>
        <w:pStyle w:val="TableText"/>
        <w:numPr>
          <w:ilvl w:val="0"/>
          <w:numId w:val="51"/>
        </w:numPr>
        <w:rPr>
          <w:rFonts w:ascii="Times New Roman" w:hAnsi="Times New Roman"/>
          <w:spacing w:val="-5"/>
          <w:sz w:val="22"/>
          <w:szCs w:val="22"/>
        </w:rPr>
      </w:pPr>
      <w:r w:rsidRPr="00D31EC9">
        <w:rPr>
          <w:rFonts w:ascii="Times New Roman" w:hAnsi="Times New Roman"/>
          <w:spacing w:val="-5"/>
          <w:sz w:val="22"/>
          <w:szCs w:val="22"/>
        </w:rPr>
        <w:t>When a user chooses to reject a transmitted test, a comment is required. The comment is stored but is not available for review on a report at this time. It is recommended that the test is reviewed in the instrument and not sent to VBECS as a result for rejection.</w:t>
      </w:r>
      <w:r>
        <w:rPr>
          <w:rFonts w:ascii="Times New Roman" w:hAnsi="Times New Roman"/>
          <w:spacing w:val="-5"/>
          <w:sz w:val="22"/>
          <w:szCs w:val="22"/>
        </w:rPr>
        <w:t xml:space="preserve"> </w:t>
      </w:r>
      <w:r w:rsidRPr="005028F8">
        <w:rPr>
          <w:rFonts w:ascii="Times New Roman" w:hAnsi="Times New Roman"/>
          <w:vanish/>
          <w:spacing w:val="-5"/>
          <w:sz w:val="22"/>
          <w:szCs w:val="22"/>
        </w:rPr>
        <w:t>Defect 382981</w:t>
      </w:r>
    </w:p>
    <w:p w:rsidR="00B45FA2" w:rsidRDefault="00B45FA2" w:rsidP="00B45FA2">
      <w:pPr>
        <w:pStyle w:val="Heading4"/>
      </w:pPr>
      <w:r>
        <w:t xml:space="preserve">Additional Information </w:t>
      </w:r>
    </w:p>
    <w:p w:rsidR="00B45FA2" w:rsidRPr="002275D4" w:rsidRDefault="00B45FA2" w:rsidP="002275D4">
      <w:pPr>
        <w:pStyle w:val="TableText"/>
        <w:numPr>
          <w:ilvl w:val="0"/>
          <w:numId w:val="51"/>
        </w:numPr>
        <w:rPr>
          <w:rFonts w:ascii="Times New Roman" w:hAnsi="Times New Roman"/>
          <w:spacing w:val="-5"/>
          <w:sz w:val="22"/>
          <w:szCs w:val="22"/>
        </w:rPr>
      </w:pPr>
      <w:r w:rsidRPr="006E44D8">
        <w:rPr>
          <w:rFonts w:ascii="Times New Roman" w:hAnsi="Times New Roman"/>
          <w:spacing w:val="-5"/>
          <w:sz w:val="22"/>
          <w:szCs w:val="22"/>
        </w:rPr>
        <w:t>When Workload is</w:t>
      </w:r>
      <w:r w:rsidR="00B80078">
        <w:rPr>
          <w:rFonts w:ascii="Times New Roman" w:hAnsi="Times New Roman"/>
          <w:spacing w:val="-5"/>
          <w:sz w:val="22"/>
          <w:szCs w:val="22"/>
        </w:rPr>
        <w:t xml:space="preserve"> not configured per </w:t>
      </w:r>
      <w:r w:rsidRPr="006E44D8">
        <w:rPr>
          <w:rFonts w:ascii="Times New Roman" w:hAnsi="Times New Roman"/>
          <w:spacing w:val="-5"/>
          <w:sz w:val="22"/>
          <w:szCs w:val="22"/>
        </w:rPr>
        <w:t>Workload Codes, then Workload cannot be collected.</w:t>
      </w:r>
    </w:p>
    <w:p w:rsidR="00B45FA2" w:rsidRDefault="00B45FA2" w:rsidP="00B45FA2">
      <w:pPr>
        <w:pStyle w:val="Heading4"/>
        <w:rPr>
          <w:b w:val="0"/>
        </w:rPr>
      </w:pPr>
      <w:r>
        <w:t>User Roles with Access to This Option</w:t>
      </w:r>
      <w:r>
        <w:rPr>
          <w:b w:val="0"/>
        </w:rPr>
        <w:t xml:space="preserve"> </w:t>
      </w:r>
    </w:p>
    <w:p w:rsidR="00B45FA2" w:rsidRDefault="00B45FA2" w:rsidP="00B45FA2">
      <w:pPr>
        <w:pStyle w:val="Roles"/>
      </w:pPr>
      <w:r>
        <w:t>All users</w:t>
      </w:r>
    </w:p>
    <w:p w:rsidR="00B45FA2" w:rsidRPr="00311A54" w:rsidRDefault="009068D5" w:rsidP="00B45FA2">
      <w:pPr>
        <w:pStyle w:val="Heading4"/>
      </w:pPr>
      <w:r w:rsidRPr="00311A54">
        <w:lastRenderedPageBreak/>
        <w:t>Automated Testing Review</w:t>
      </w:r>
    </w:p>
    <w:p w:rsidR="008F1BE0" w:rsidRDefault="00311A54" w:rsidP="00311A54">
      <w:pPr>
        <w:pStyle w:val="BodyText"/>
      </w:pPr>
      <w:r>
        <w:t xml:space="preserve">This </w:t>
      </w:r>
      <w:r w:rsidR="00640909">
        <w:t>feature</w:t>
      </w:r>
      <w:r>
        <w:t xml:space="preserve"> allows the interface of automated blood banking instruments with VBECS through Data Innovati</w:t>
      </w:r>
      <w:r w:rsidR="00640909">
        <w:t xml:space="preserve">ons Instrument Manager. It </w:t>
      </w:r>
      <w:r>
        <w:t>eliminate</w:t>
      </w:r>
      <w:r w:rsidR="00640909">
        <w:t>s</w:t>
      </w:r>
      <w:r>
        <w:t xml:space="preserve"> the potential for human error associated with the manual entry of results from an automated instrument into</w:t>
      </w:r>
      <w:r w:rsidR="00640909">
        <w:t xml:space="preserve"> VBECS. It also eliminates the</w:t>
      </w:r>
      <w:r>
        <w:t xml:space="preserve"> potential for transcription errors that can lead to a patient safety issue of ABO incompatible transfusion. In addition to safety, these enhancements will also reduce the time spent entering results manually</w:t>
      </w:r>
      <w:r w:rsidRPr="00311A54">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B45FA2" w:rsidTr="003F6E8A">
        <w:tblPrEx>
          <w:tblCellMar>
            <w:top w:w="0" w:type="dxa"/>
            <w:bottom w:w="0" w:type="dxa"/>
          </w:tblCellMar>
        </w:tblPrEx>
        <w:trPr>
          <w:cantSplit/>
          <w:tblHeader/>
        </w:trPr>
        <w:tc>
          <w:tcPr>
            <w:tcW w:w="3240" w:type="dxa"/>
            <w:shd w:val="pct30" w:color="auto" w:fill="FFFFFF"/>
            <w:vAlign w:val="bottom"/>
          </w:tcPr>
          <w:p w:rsidR="00B45FA2" w:rsidRDefault="00B45FA2" w:rsidP="003F6E8A">
            <w:pPr>
              <w:pStyle w:val="TableText"/>
              <w:rPr>
                <w:b/>
              </w:rPr>
            </w:pPr>
            <w:r>
              <w:rPr>
                <w:b/>
              </w:rPr>
              <w:t>User Action</w:t>
            </w:r>
          </w:p>
        </w:tc>
        <w:tc>
          <w:tcPr>
            <w:tcW w:w="6120" w:type="dxa"/>
            <w:shd w:val="pct30" w:color="auto" w:fill="FFFFFF"/>
            <w:vAlign w:val="bottom"/>
          </w:tcPr>
          <w:p w:rsidR="00B45FA2" w:rsidRDefault="00B45FA2" w:rsidP="003F6E8A">
            <w:pPr>
              <w:pStyle w:val="TableText"/>
              <w:rPr>
                <w:b/>
              </w:rPr>
            </w:pPr>
            <w:r>
              <w:rPr>
                <w:b/>
              </w:rPr>
              <w:t>VBECS</w:t>
            </w:r>
          </w:p>
        </w:tc>
      </w:tr>
      <w:tr w:rsidR="00B45FA2" w:rsidTr="003F6E8A">
        <w:tblPrEx>
          <w:tblCellMar>
            <w:top w:w="0" w:type="dxa"/>
            <w:bottom w:w="0" w:type="dxa"/>
          </w:tblCellMar>
        </w:tblPrEx>
        <w:tc>
          <w:tcPr>
            <w:tcW w:w="3240" w:type="dxa"/>
          </w:tcPr>
          <w:p w:rsidR="00B45FA2" w:rsidRDefault="00141AB2" w:rsidP="00307125">
            <w:pPr>
              <w:pStyle w:val="TableTextNumbers"/>
              <w:numPr>
                <w:ilvl w:val="0"/>
                <w:numId w:val="55"/>
              </w:numPr>
            </w:pPr>
            <w:r>
              <w:t xml:space="preserve">User logs into VBECS and selects </w:t>
            </w:r>
            <w:r w:rsidRPr="00307125">
              <w:rPr>
                <w:b/>
              </w:rPr>
              <w:t xml:space="preserve">Blood Units, </w:t>
            </w:r>
            <w:r w:rsidR="00307125" w:rsidRPr="00307125">
              <w:rPr>
                <w:b/>
              </w:rPr>
              <w:t>Automated Testing</w:t>
            </w:r>
            <w:r w:rsidR="00307125">
              <w:t xml:space="preserve"> from the main menu.</w:t>
            </w:r>
          </w:p>
          <w:p w:rsidR="00307125" w:rsidRDefault="00307125" w:rsidP="00307125">
            <w:pPr>
              <w:pStyle w:val="TableTextNumbers"/>
              <w:numPr>
                <w:ilvl w:val="0"/>
                <w:numId w:val="0"/>
              </w:numPr>
              <w:ind w:left="288"/>
            </w:pPr>
          </w:p>
          <w:p w:rsidR="00307125" w:rsidRDefault="00307125" w:rsidP="00307125">
            <w:pPr>
              <w:pStyle w:val="TableTextNumbers"/>
              <w:numPr>
                <w:ilvl w:val="0"/>
                <w:numId w:val="0"/>
              </w:numPr>
              <w:ind w:left="288"/>
            </w:pPr>
            <w:r>
              <w:t>Or</w:t>
            </w:r>
          </w:p>
          <w:p w:rsidR="00307125" w:rsidRDefault="00307125" w:rsidP="00307125">
            <w:pPr>
              <w:pStyle w:val="TableTextNumbers"/>
              <w:numPr>
                <w:ilvl w:val="0"/>
                <w:numId w:val="0"/>
              </w:numPr>
              <w:ind w:left="288"/>
            </w:pPr>
          </w:p>
          <w:p w:rsidR="00307125" w:rsidRDefault="00307125" w:rsidP="00307125">
            <w:pPr>
              <w:pStyle w:val="TableTextNumbers"/>
              <w:numPr>
                <w:ilvl w:val="0"/>
                <w:numId w:val="0"/>
              </w:numPr>
              <w:ind w:left="288"/>
            </w:pPr>
            <w:r>
              <w:t xml:space="preserve">User logs into VBECS and clicks on the </w:t>
            </w:r>
            <w:r w:rsidRPr="00307125">
              <w:rPr>
                <w:b/>
              </w:rPr>
              <w:t>Automated Testing Toolbar Icon</w:t>
            </w:r>
            <w:r>
              <w:t xml:space="preserve"> (blood drop with lighting bolt).</w:t>
            </w:r>
          </w:p>
        </w:tc>
        <w:tc>
          <w:tcPr>
            <w:tcW w:w="6120" w:type="dxa"/>
          </w:tcPr>
          <w:p w:rsidR="00DB1497" w:rsidRDefault="00D279DE" w:rsidP="00BA1FF8">
            <w:pPr>
              <w:pStyle w:val="TableTextBullet"/>
            </w:pPr>
            <w:r>
              <w:t>Displays</w:t>
            </w:r>
            <w:r w:rsidR="00307125">
              <w:t xml:space="preserve"> the Automated Testing – Pending Blood Units window.</w:t>
            </w:r>
          </w:p>
          <w:p w:rsidR="00307125" w:rsidRDefault="00307125" w:rsidP="00BA1FF8">
            <w:pPr>
              <w:pStyle w:val="TableTextBullet"/>
            </w:pPr>
            <w:r>
              <w:t>Displays message when no pending blood units were found to review.</w:t>
            </w:r>
          </w:p>
          <w:p w:rsidR="00425938" w:rsidRDefault="00425938" w:rsidP="00425938">
            <w:pPr>
              <w:pStyle w:val="TableTextBullet"/>
              <w:numPr>
                <w:ilvl w:val="0"/>
                <w:numId w:val="0"/>
              </w:numPr>
              <w:ind w:left="288" w:hanging="288"/>
            </w:pPr>
          </w:p>
          <w:p w:rsidR="00425938" w:rsidRDefault="00634BFC" w:rsidP="00425938">
            <w:pPr>
              <w:pStyle w:val="TableText"/>
              <w:rPr>
                <w:b/>
                <w:bCs/>
                <w:szCs w:val="18"/>
              </w:rPr>
            </w:pPr>
            <w:r>
              <w:rPr>
                <w:b/>
                <w:bCs/>
                <w:noProof/>
              </w:rPr>
              <mc:AlternateContent>
                <mc:Choice Requires="wps">
                  <w:drawing>
                    <wp:anchor distT="0" distB="0" distL="114300" distR="114300" simplePos="0" relativeHeight="25181644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13" name="Line 1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5" o:spid="_x0000_s1026" style="position:absolute;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PFFgIAAC4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Bi&#10;RsPFFgIAAC4EAAAOAAAAAAAAAAAAAAAAAC4CAABkcnMvZTJvRG9jLnhtbFBLAQItABQABgAIAAAA&#10;IQAXTzAS2wAAAAgBAAAPAAAAAAAAAAAAAAAAAHAEAABkcnMvZG93bnJldi54bWxQSwUGAAAAAAQA&#10;BADzAAAAeAUAAAAA&#10;" strokeweight="1.5pt"/>
                  </w:pict>
                </mc:Fallback>
              </mc:AlternateContent>
            </w:r>
            <w:r w:rsidR="00425938">
              <w:rPr>
                <w:b/>
                <w:bCs/>
                <w:szCs w:val="18"/>
              </w:rPr>
              <w:t>NOTES</w:t>
            </w:r>
          </w:p>
          <w:p w:rsidR="00425938" w:rsidRDefault="00425938" w:rsidP="00425938">
            <w:pPr>
              <w:pStyle w:val="TableTextBullet"/>
              <w:numPr>
                <w:ilvl w:val="0"/>
                <w:numId w:val="0"/>
              </w:numPr>
              <w:ind w:left="288" w:hanging="288"/>
            </w:pPr>
          </w:p>
          <w:p w:rsidR="00425938" w:rsidRDefault="00425938" w:rsidP="00425938">
            <w:pPr>
              <w:pStyle w:val="TableText"/>
              <w:ind w:left="720"/>
            </w:pPr>
            <w:r w:rsidRPr="00425938">
              <w:rPr>
                <w:vanish/>
              </w:rPr>
              <w:t xml:space="preserve">BR_2.43 </w:t>
            </w:r>
            <w:r>
              <w:t>The functionality is not accessible if division is defined as a Transfusion Only facility.</w:t>
            </w:r>
          </w:p>
          <w:p w:rsidR="00425938" w:rsidRDefault="00425938" w:rsidP="00425938">
            <w:pPr>
              <w:pStyle w:val="TableText"/>
              <w:ind w:left="720"/>
            </w:pPr>
          </w:p>
          <w:p w:rsidR="00425938" w:rsidRDefault="00425938" w:rsidP="00036095">
            <w:pPr>
              <w:pStyle w:val="TableText"/>
              <w:ind w:left="720"/>
            </w:pPr>
            <w:r w:rsidRPr="00425938">
              <w:rPr>
                <w:vanish/>
              </w:rPr>
              <w:t xml:space="preserve">BR_2.01 </w:t>
            </w:r>
            <w:r w:rsidRPr="00425938">
              <w:t>Only data within the user’s division can be accessed for any type of processing.</w:t>
            </w:r>
          </w:p>
          <w:p w:rsidR="00425938" w:rsidRPr="00BA1FF8" w:rsidRDefault="00425938" w:rsidP="00425938">
            <w:pPr>
              <w:pStyle w:val="TableText"/>
              <w:ind w:left="720"/>
            </w:pPr>
          </w:p>
        </w:tc>
      </w:tr>
      <w:tr w:rsidR="00B45FA2" w:rsidTr="003F6E8A">
        <w:tblPrEx>
          <w:tblCellMar>
            <w:top w:w="0" w:type="dxa"/>
            <w:bottom w:w="0" w:type="dxa"/>
          </w:tblCellMar>
        </w:tblPrEx>
        <w:tc>
          <w:tcPr>
            <w:tcW w:w="3240" w:type="dxa"/>
          </w:tcPr>
          <w:p w:rsidR="00665554" w:rsidRDefault="00665554" w:rsidP="003F6E8A">
            <w:pPr>
              <w:pStyle w:val="TableTextNumbers"/>
            </w:pPr>
            <w:r w:rsidRPr="00396B2B">
              <w:t>User selec</w:t>
            </w:r>
            <w:r>
              <w:t>ts from the testing tabs that are enabled on the Automated Testing – Pending Blood Units window</w:t>
            </w:r>
            <w:r w:rsidR="00937534">
              <w:t xml:space="preserve"> (</w:t>
            </w:r>
            <w:r w:rsidR="00937534">
              <w:fldChar w:fldCharType="begin"/>
            </w:r>
            <w:r w:rsidR="00937534">
              <w:instrText xml:space="preserve"> REF _Ref447168071 \h </w:instrText>
            </w:r>
            <w:r w:rsidR="00937534">
              <w:fldChar w:fldCharType="separate"/>
            </w:r>
            <w:r w:rsidR="005F38BC">
              <w:t xml:space="preserve">Figure </w:t>
            </w:r>
            <w:r w:rsidR="005F38BC">
              <w:rPr>
                <w:noProof/>
              </w:rPr>
              <w:t>135</w:t>
            </w:r>
            <w:r w:rsidR="00937534">
              <w:fldChar w:fldCharType="end"/>
            </w:r>
            <w:r w:rsidR="00937534">
              <w:t>)</w:t>
            </w:r>
            <w:r>
              <w:t>.</w:t>
            </w:r>
          </w:p>
          <w:p w:rsidR="00665554" w:rsidRDefault="00665554" w:rsidP="00665554">
            <w:pPr>
              <w:pStyle w:val="TableTextNumbers"/>
              <w:numPr>
                <w:ilvl w:val="0"/>
                <w:numId w:val="0"/>
              </w:numPr>
              <w:ind w:left="288"/>
            </w:pPr>
          </w:p>
          <w:p w:rsidR="00B45FA2" w:rsidRDefault="00602E53" w:rsidP="00665554">
            <w:pPr>
              <w:pStyle w:val="TableTextNumbers"/>
              <w:numPr>
                <w:ilvl w:val="0"/>
                <w:numId w:val="0"/>
              </w:numPr>
              <w:ind w:left="288"/>
            </w:pPr>
            <w:r>
              <w:rPr>
                <w:b/>
              </w:rPr>
              <w:t xml:space="preserve">Unit ABO-Rh </w:t>
            </w:r>
            <w:r w:rsidRPr="00602E53">
              <w:t>tab</w:t>
            </w:r>
          </w:p>
          <w:p w:rsidR="00307125" w:rsidRDefault="00307125" w:rsidP="00307125">
            <w:pPr>
              <w:pStyle w:val="TableTextNumbers"/>
              <w:numPr>
                <w:ilvl w:val="0"/>
                <w:numId w:val="0"/>
              </w:numPr>
              <w:ind w:left="288"/>
            </w:pPr>
          </w:p>
          <w:p w:rsidR="00307125" w:rsidRDefault="00307125" w:rsidP="00307125">
            <w:pPr>
              <w:pStyle w:val="TableTextNumbers"/>
              <w:numPr>
                <w:ilvl w:val="0"/>
                <w:numId w:val="0"/>
              </w:numPr>
              <w:ind w:left="288"/>
            </w:pPr>
            <w:r w:rsidRPr="00307125">
              <w:rPr>
                <w:b/>
              </w:rPr>
              <w:t>Unit Antigen Typing</w:t>
            </w:r>
            <w:r w:rsidR="002615AD" w:rsidRPr="002615AD">
              <w:t xml:space="preserve"> tab.</w:t>
            </w:r>
          </w:p>
        </w:tc>
        <w:tc>
          <w:tcPr>
            <w:tcW w:w="6120" w:type="dxa"/>
          </w:tcPr>
          <w:p w:rsidR="00602E53" w:rsidRDefault="00D279DE" w:rsidP="00602E53">
            <w:pPr>
              <w:pStyle w:val="TableTextBullet"/>
            </w:pPr>
            <w:r>
              <w:t>D</w:t>
            </w:r>
            <w:r w:rsidR="00602E53">
              <w:t>etermines that all appropriate test results were entered for the blood unit. Row validation and test validation are completed.</w:t>
            </w:r>
          </w:p>
          <w:p w:rsidR="00DB1497" w:rsidRDefault="00DB1497" w:rsidP="00DB1497">
            <w:pPr>
              <w:pStyle w:val="TableTextBullet"/>
              <w:numPr>
                <w:ilvl w:val="0"/>
                <w:numId w:val="0"/>
              </w:numPr>
              <w:ind w:left="288" w:hanging="288"/>
            </w:pPr>
          </w:p>
          <w:p w:rsidR="00DB1497" w:rsidRDefault="00634BFC" w:rsidP="00DB1497">
            <w:pPr>
              <w:pStyle w:val="TableText"/>
              <w:rPr>
                <w:b/>
                <w:bCs/>
                <w:szCs w:val="18"/>
              </w:rPr>
            </w:pPr>
            <w:r>
              <w:rPr>
                <w:b/>
                <w:bCs/>
                <w:noProof/>
              </w:rPr>
              <mc:AlternateContent>
                <mc:Choice Requires="wps">
                  <w:drawing>
                    <wp:anchor distT="0" distB="0" distL="114300" distR="114300" simplePos="0" relativeHeight="25180928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12" name="Line 1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6" o:spid="_x0000_s1026" style="position:absolute;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s1iFgIAAC4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C9&#10;Ps1iFgIAAC4EAAAOAAAAAAAAAAAAAAAAAC4CAABkcnMvZTJvRG9jLnhtbFBLAQItABQABgAIAAAA&#10;IQAXTzAS2wAAAAgBAAAPAAAAAAAAAAAAAAAAAHAEAABkcnMvZG93bnJldi54bWxQSwUGAAAAAAQA&#10;BADzAAAAeAUAAAAA&#10;" strokeweight="1.5pt"/>
                  </w:pict>
                </mc:Fallback>
              </mc:AlternateContent>
            </w:r>
            <w:r w:rsidR="00DB1497">
              <w:rPr>
                <w:b/>
                <w:bCs/>
                <w:szCs w:val="18"/>
              </w:rPr>
              <w:t>NOTES</w:t>
            </w:r>
          </w:p>
          <w:p w:rsidR="00DB1497" w:rsidRDefault="00DB1497" w:rsidP="00DB1497">
            <w:pPr>
              <w:pStyle w:val="NotesText"/>
            </w:pPr>
          </w:p>
          <w:p w:rsidR="00DB1497" w:rsidRDefault="00602E53" w:rsidP="00DB1497">
            <w:pPr>
              <w:pStyle w:val="TableText"/>
              <w:ind w:left="720"/>
            </w:pPr>
            <w:r w:rsidRPr="00602E53">
              <w:rPr>
                <w:vanish/>
              </w:rPr>
              <w:t xml:space="preserve">BR_115.09 </w:t>
            </w:r>
            <w:r>
              <w:t xml:space="preserve">The unit ID </w:t>
            </w:r>
            <w:r w:rsidRPr="00820C25">
              <w:t>and product code</w:t>
            </w:r>
            <w:r>
              <w:t xml:space="preserve"> are used to identify a specific unit from inventory. The pick list of Units for ABO/Rh or Antigen Typing will only display the product codes of units in an Active status and per the typing requirements.</w:t>
            </w:r>
          </w:p>
          <w:p w:rsidR="001F08A5" w:rsidRDefault="001F08A5" w:rsidP="00DB1497">
            <w:pPr>
              <w:pStyle w:val="TableText"/>
              <w:ind w:left="720"/>
            </w:pPr>
          </w:p>
          <w:p w:rsidR="00711E45" w:rsidRDefault="00711E45" w:rsidP="00711E45">
            <w:pPr>
              <w:pStyle w:val="TableText"/>
              <w:ind w:left="720"/>
              <w:rPr>
                <w:rFonts w:cs="Arial"/>
                <w:szCs w:val="18"/>
              </w:rPr>
            </w:pPr>
            <w:r w:rsidRPr="00711E45">
              <w:rPr>
                <w:rFonts w:cs="Arial"/>
                <w:vanish/>
                <w:szCs w:val="18"/>
              </w:rPr>
              <w:t xml:space="preserve">BR_115.10 </w:t>
            </w:r>
            <w:r w:rsidRPr="00E25BE5">
              <w:rPr>
                <w:rFonts w:cs="Arial"/>
                <w:szCs w:val="18"/>
              </w:rPr>
              <w:t xml:space="preserve">When </w:t>
            </w:r>
            <w:r>
              <w:rPr>
                <w:rFonts w:cs="Arial"/>
                <w:szCs w:val="18"/>
              </w:rPr>
              <w:t xml:space="preserve">a </w:t>
            </w:r>
            <w:r w:rsidRPr="00E25BE5">
              <w:rPr>
                <w:rFonts w:cs="Arial"/>
                <w:szCs w:val="18"/>
              </w:rPr>
              <w:t>weak D antigen typing test</w:t>
            </w:r>
            <w:r>
              <w:rPr>
                <w:rFonts w:cs="Arial"/>
                <w:szCs w:val="18"/>
              </w:rPr>
              <w:t xml:space="preserve"> is received on a blood unit that is Rh positive, the test is marked as in error (E) </w:t>
            </w:r>
            <w:r w:rsidRPr="00E25BE5">
              <w:rPr>
                <w:rFonts w:cs="Arial"/>
                <w:szCs w:val="18"/>
              </w:rPr>
              <w:t>the system provides a</w:t>
            </w:r>
            <w:r>
              <w:rPr>
                <w:rFonts w:cs="Arial"/>
                <w:szCs w:val="18"/>
              </w:rPr>
              <w:t xml:space="preserve"> w</w:t>
            </w:r>
            <w:r w:rsidRPr="00E25BE5">
              <w:rPr>
                <w:rFonts w:cs="Arial"/>
                <w:szCs w:val="18"/>
              </w:rPr>
              <w:t>arning message</w:t>
            </w:r>
            <w:r>
              <w:rPr>
                <w:rFonts w:cs="Arial"/>
                <w:szCs w:val="18"/>
              </w:rPr>
              <w:t>:</w:t>
            </w:r>
          </w:p>
          <w:p w:rsidR="00711E45" w:rsidRDefault="00711E45" w:rsidP="00711E45">
            <w:pPr>
              <w:pStyle w:val="TableText"/>
              <w:ind w:left="720"/>
              <w:rPr>
                <w:rFonts w:cs="Arial"/>
                <w:szCs w:val="18"/>
              </w:rPr>
            </w:pPr>
          </w:p>
          <w:p w:rsidR="00711E45" w:rsidRDefault="00711E45" w:rsidP="00711E45">
            <w:pPr>
              <w:pStyle w:val="TableText"/>
              <w:ind w:left="720"/>
              <w:rPr>
                <w:rFonts w:cs="Arial"/>
                <w:szCs w:val="18"/>
              </w:rPr>
            </w:pPr>
            <w:r w:rsidRPr="00E25BE5">
              <w:rPr>
                <w:rFonts w:cs="Arial"/>
                <w:szCs w:val="18"/>
              </w:rPr>
              <w:t>“Cannot perform weak D testing on Rh positive unit.”</w:t>
            </w:r>
            <w:r>
              <w:rPr>
                <w:rFonts w:cs="Arial"/>
                <w:szCs w:val="18"/>
              </w:rPr>
              <w:t xml:space="preserve"> </w:t>
            </w:r>
          </w:p>
          <w:p w:rsidR="00711E45" w:rsidRDefault="00711E45" w:rsidP="00711E45">
            <w:pPr>
              <w:pStyle w:val="TableText"/>
              <w:ind w:left="720"/>
              <w:rPr>
                <w:rFonts w:cs="Arial"/>
                <w:szCs w:val="18"/>
              </w:rPr>
            </w:pPr>
          </w:p>
          <w:p w:rsidR="00711E45" w:rsidRDefault="00711E45" w:rsidP="00711E45">
            <w:pPr>
              <w:pStyle w:val="TableText"/>
              <w:ind w:left="720"/>
              <w:rPr>
                <w:rFonts w:cs="Arial"/>
                <w:szCs w:val="18"/>
              </w:rPr>
            </w:pPr>
            <w:r>
              <w:rPr>
                <w:rFonts w:cs="Arial"/>
                <w:szCs w:val="18"/>
              </w:rPr>
              <w:t>The test cannot be saved in VBECS and must be rejected.</w:t>
            </w:r>
          </w:p>
          <w:p w:rsidR="00711E45" w:rsidRDefault="00711E45" w:rsidP="00DB1497">
            <w:pPr>
              <w:pStyle w:val="TableText"/>
              <w:ind w:left="720"/>
            </w:pPr>
          </w:p>
          <w:p w:rsidR="00602E53" w:rsidRDefault="00602E53" w:rsidP="00602E53">
            <w:pPr>
              <w:pStyle w:val="TableText"/>
              <w:ind w:left="720"/>
            </w:pPr>
            <w:r w:rsidRPr="00602E53">
              <w:rPr>
                <w:vanish/>
              </w:rPr>
              <w:t xml:space="preserve">BR_115.11 </w:t>
            </w:r>
            <w:r>
              <w:t>The list view of test results on the Blood Unit windows is sortable by unit ID or date/time of test completion.</w:t>
            </w:r>
          </w:p>
          <w:p w:rsidR="00602E53" w:rsidRDefault="00602E53" w:rsidP="00602E53">
            <w:pPr>
              <w:pStyle w:val="TableText"/>
              <w:ind w:left="720"/>
            </w:pPr>
            <w:r>
              <w:t>Default sort order is on unit ID.</w:t>
            </w:r>
          </w:p>
          <w:p w:rsidR="00602E53" w:rsidRDefault="00602E53" w:rsidP="00602E53">
            <w:pPr>
              <w:pStyle w:val="TableText"/>
              <w:ind w:left="720"/>
            </w:pPr>
          </w:p>
          <w:p w:rsidR="00602E53" w:rsidRDefault="00602E53" w:rsidP="00602E53">
            <w:pPr>
              <w:pStyle w:val="TableText"/>
              <w:ind w:left="720"/>
            </w:pPr>
            <w:r w:rsidRPr="00602E53">
              <w:rPr>
                <w:vanish/>
              </w:rPr>
              <w:t xml:space="preserve">BR_115.16 </w:t>
            </w:r>
            <w:r>
              <w:t xml:space="preserve">When testing is received for an inactivated unit or unit in final status, the system provides a warning message: “Cannot perform testing on an inactivated unit or a unit in final status.” </w:t>
            </w:r>
            <w:r w:rsidRPr="00602E53">
              <w:t>The test cannot be saved in VBECS and must be rejected.</w:t>
            </w:r>
          </w:p>
          <w:p w:rsidR="00D0496E" w:rsidRPr="00602E53" w:rsidRDefault="00D0496E" w:rsidP="004A39DB">
            <w:pPr>
              <w:pStyle w:val="TableText"/>
            </w:pPr>
          </w:p>
        </w:tc>
      </w:tr>
      <w:tr w:rsidR="00B45FA2" w:rsidTr="003F6E8A">
        <w:tblPrEx>
          <w:tblCellMar>
            <w:top w:w="0" w:type="dxa"/>
            <w:bottom w:w="0" w:type="dxa"/>
          </w:tblCellMar>
        </w:tblPrEx>
        <w:tc>
          <w:tcPr>
            <w:tcW w:w="3240" w:type="dxa"/>
          </w:tcPr>
          <w:p w:rsidR="00B45FA2" w:rsidRDefault="00602E53" w:rsidP="00665554">
            <w:pPr>
              <w:pStyle w:val="TableTextNumbers"/>
            </w:pPr>
            <w:r>
              <w:rPr>
                <w:rFonts w:cs="Arial"/>
                <w:szCs w:val="18"/>
              </w:rPr>
              <w:t xml:space="preserve">User selects a </w:t>
            </w:r>
            <w:r w:rsidR="00665554">
              <w:rPr>
                <w:rFonts w:cs="Arial"/>
                <w:szCs w:val="18"/>
              </w:rPr>
              <w:t xml:space="preserve">unit </w:t>
            </w:r>
            <w:r>
              <w:rPr>
                <w:rFonts w:cs="Arial"/>
                <w:szCs w:val="18"/>
              </w:rPr>
              <w:t>for review</w:t>
            </w:r>
            <w:r w:rsidR="00C95ED8">
              <w:rPr>
                <w:rFonts w:cs="Arial"/>
                <w:szCs w:val="18"/>
              </w:rPr>
              <w:t xml:space="preserve"> by clicking the check box next to a unit</w:t>
            </w:r>
            <w:r>
              <w:rPr>
                <w:rFonts w:cs="Arial"/>
                <w:szCs w:val="18"/>
              </w:rPr>
              <w:t>.</w:t>
            </w:r>
          </w:p>
        </w:tc>
        <w:tc>
          <w:tcPr>
            <w:tcW w:w="6120" w:type="dxa"/>
          </w:tcPr>
          <w:p w:rsidR="00B45FA2" w:rsidRDefault="00B45FA2" w:rsidP="003F6E8A">
            <w:pPr>
              <w:pStyle w:val="TableTextBullet"/>
            </w:pPr>
            <w:r>
              <w:rPr>
                <w:rFonts w:cs="Arial"/>
                <w:vanish/>
              </w:rPr>
              <w:t xml:space="preserve">BR_85.02 </w:t>
            </w:r>
            <w:r w:rsidR="00D279DE">
              <w:t>Al</w:t>
            </w:r>
            <w:r w:rsidR="00602E53">
              <w:t>lows selection of</w:t>
            </w:r>
            <w:r w:rsidR="00D85353">
              <w:t xml:space="preserve"> blood unit test results</w:t>
            </w:r>
            <w:r>
              <w:t>.</w:t>
            </w:r>
          </w:p>
          <w:p w:rsidR="00D85353" w:rsidRDefault="00D85353" w:rsidP="00DB1497">
            <w:pPr>
              <w:pStyle w:val="TableTextBullet"/>
              <w:numPr>
                <w:ilvl w:val="0"/>
                <w:numId w:val="0"/>
              </w:numPr>
              <w:ind w:left="288" w:hanging="288"/>
            </w:pPr>
          </w:p>
          <w:p w:rsidR="00DB1497" w:rsidRDefault="00634BFC" w:rsidP="00DB1497">
            <w:pPr>
              <w:pStyle w:val="TableText"/>
              <w:rPr>
                <w:b/>
                <w:bCs/>
                <w:szCs w:val="18"/>
              </w:rPr>
            </w:pPr>
            <w:r>
              <w:rPr>
                <w:b/>
                <w:bCs/>
                <w:noProof/>
              </w:rPr>
              <mc:AlternateContent>
                <mc:Choice Requires="wps">
                  <w:drawing>
                    <wp:anchor distT="0" distB="0" distL="114300" distR="114300" simplePos="0" relativeHeight="25180825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11" name="Line 1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5" o:spid="_x0000_s1026" style="position:absolute;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ozFgIAAC4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Ce&#10;AzozFgIAAC4EAAAOAAAAAAAAAAAAAAAAAC4CAABkcnMvZTJvRG9jLnhtbFBLAQItABQABgAIAAAA&#10;IQAXTzAS2wAAAAgBAAAPAAAAAAAAAAAAAAAAAHAEAABkcnMvZG93bnJldi54bWxQSwUGAAAAAAQA&#10;BADzAAAAeAUAAAAA&#10;" strokeweight="1.5pt"/>
                  </w:pict>
                </mc:Fallback>
              </mc:AlternateContent>
            </w:r>
            <w:r w:rsidR="00DB1497">
              <w:rPr>
                <w:b/>
                <w:bCs/>
                <w:szCs w:val="18"/>
              </w:rPr>
              <w:t>NOTES</w:t>
            </w:r>
          </w:p>
          <w:p w:rsidR="00DB1497" w:rsidRDefault="00DB1497" w:rsidP="00DB1497">
            <w:pPr>
              <w:pStyle w:val="NotesText"/>
            </w:pPr>
          </w:p>
          <w:p w:rsidR="00DB1497" w:rsidRDefault="00D85353" w:rsidP="00DB1497">
            <w:pPr>
              <w:pStyle w:val="TableText"/>
              <w:ind w:left="720"/>
            </w:pPr>
            <w:r w:rsidRPr="00D85353">
              <w:rPr>
                <w:vanish/>
              </w:rPr>
              <w:t xml:space="preserve">BR_115.13 </w:t>
            </w:r>
            <w:r>
              <w:t>Selection of multiple tests with a Valid indicator is permitted.</w:t>
            </w:r>
          </w:p>
          <w:p w:rsidR="00D85353" w:rsidRDefault="00D85353" w:rsidP="00DB1497">
            <w:pPr>
              <w:pStyle w:val="TableText"/>
              <w:ind w:left="720"/>
            </w:pPr>
          </w:p>
          <w:p w:rsidR="004A39DB" w:rsidRDefault="004A39DB" w:rsidP="00DB1497">
            <w:pPr>
              <w:pStyle w:val="TableText"/>
              <w:ind w:left="720"/>
            </w:pPr>
            <w:r w:rsidRPr="00D85353">
              <w:rPr>
                <w:vanish/>
              </w:rPr>
              <w:t xml:space="preserve">BR_115.25 </w:t>
            </w:r>
            <w:r>
              <w:t xml:space="preserve">Tests with a </w:t>
            </w:r>
            <w:r>
              <w:rPr>
                <w:rFonts w:cs="Arial"/>
              </w:rPr>
              <w:t>Warning or Error indicator can only be selected and processed one at a time (no batch selection).</w:t>
            </w:r>
          </w:p>
          <w:p w:rsidR="004A39DB" w:rsidRDefault="004A39DB" w:rsidP="00DB1497">
            <w:pPr>
              <w:pStyle w:val="TableText"/>
              <w:ind w:left="720"/>
            </w:pPr>
          </w:p>
          <w:p w:rsidR="00711E45" w:rsidRDefault="00711E45" w:rsidP="00711E45">
            <w:pPr>
              <w:pStyle w:val="TableText"/>
              <w:ind w:left="720"/>
            </w:pPr>
            <w:r w:rsidRPr="00B30800">
              <w:rPr>
                <w:vanish/>
              </w:rPr>
              <w:t xml:space="preserve">BR_115.32 </w:t>
            </w:r>
            <w:r>
              <w:t xml:space="preserve">If the unit id transferred from the instrument does not uniquely identify the unit In VBECS, then the system will prompt the user to select the correct product code for the unit available in </w:t>
            </w:r>
            <w:r>
              <w:lastRenderedPageBreak/>
              <w:t>VBECS.</w:t>
            </w:r>
          </w:p>
          <w:p w:rsidR="00711E45" w:rsidRDefault="00711E45" w:rsidP="00711E45">
            <w:pPr>
              <w:pStyle w:val="TableText"/>
              <w:ind w:left="720"/>
            </w:pPr>
          </w:p>
          <w:p w:rsidR="00D85353" w:rsidRDefault="00D85353" w:rsidP="00D85353">
            <w:pPr>
              <w:pStyle w:val="TableText"/>
              <w:ind w:left="720"/>
            </w:pPr>
            <w:r>
              <w:t>Selection of blood products is based on product codes that require ABO/Rh confirmation.</w:t>
            </w:r>
          </w:p>
          <w:p w:rsidR="00D85353" w:rsidRDefault="00D85353" w:rsidP="004A39DB">
            <w:pPr>
              <w:pStyle w:val="TableText"/>
            </w:pPr>
          </w:p>
        </w:tc>
      </w:tr>
      <w:tr w:rsidR="00B45FA2" w:rsidTr="003F6E8A">
        <w:tblPrEx>
          <w:tblCellMar>
            <w:top w:w="0" w:type="dxa"/>
            <w:bottom w:w="0" w:type="dxa"/>
          </w:tblCellMar>
        </w:tblPrEx>
        <w:tc>
          <w:tcPr>
            <w:tcW w:w="3240" w:type="dxa"/>
          </w:tcPr>
          <w:p w:rsidR="00665554" w:rsidRPr="00665554" w:rsidRDefault="00665554" w:rsidP="00665554">
            <w:pPr>
              <w:pStyle w:val="TableTextNumbers"/>
            </w:pPr>
            <w:r>
              <w:rPr>
                <w:rFonts w:cs="Arial"/>
                <w:szCs w:val="18"/>
              </w:rPr>
              <w:lastRenderedPageBreak/>
              <w:t xml:space="preserve">User </w:t>
            </w:r>
            <w:r w:rsidRPr="00665554">
              <w:rPr>
                <w:rFonts w:cs="Arial"/>
                <w:b/>
                <w:szCs w:val="18"/>
              </w:rPr>
              <w:t>Accepts</w:t>
            </w:r>
            <w:r>
              <w:rPr>
                <w:rFonts w:cs="Arial"/>
                <w:szCs w:val="18"/>
              </w:rPr>
              <w:t xml:space="preserve"> or </w:t>
            </w:r>
            <w:r w:rsidRPr="00665554">
              <w:rPr>
                <w:rFonts w:cs="Arial"/>
                <w:b/>
                <w:szCs w:val="18"/>
              </w:rPr>
              <w:t>R</w:t>
            </w:r>
            <w:r w:rsidR="00D85353" w:rsidRPr="00665554">
              <w:rPr>
                <w:rFonts w:cs="Arial"/>
                <w:b/>
                <w:szCs w:val="18"/>
              </w:rPr>
              <w:t>ejects</w:t>
            </w:r>
            <w:r w:rsidR="00D85353" w:rsidRPr="00F130A1">
              <w:rPr>
                <w:rFonts w:cs="Arial"/>
                <w:szCs w:val="18"/>
              </w:rPr>
              <w:t xml:space="preserve"> the selected unit test</w:t>
            </w:r>
            <w:r>
              <w:rPr>
                <w:rFonts w:cs="Arial"/>
                <w:szCs w:val="18"/>
              </w:rPr>
              <w:t xml:space="preserve"> results</w:t>
            </w:r>
            <w:r w:rsidR="00D85353" w:rsidRPr="00F130A1">
              <w:rPr>
                <w:rFonts w:cs="Arial"/>
                <w:szCs w:val="18"/>
              </w:rPr>
              <w:t>.</w:t>
            </w:r>
          </w:p>
          <w:p w:rsidR="00665554" w:rsidRDefault="00665554" w:rsidP="00665554">
            <w:pPr>
              <w:pStyle w:val="TableTextNumbers"/>
              <w:numPr>
                <w:ilvl w:val="0"/>
                <w:numId w:val="0"/>
              </w:numPr>
              <w:ind w:left="288" w:hanging="288"/>
            </w:pPr>
          </w:p>
        </w:tc>
        <w:tc>
          <w:tcPr>
            <w:tcW w:w="6120" w:type="dxa"/>
          </w:tcPr>
          <w:p w:rsidR="00B45FA2" w:rsidRPr="00004A4C" w:rsidRDefault="00B45FA2" w:rsidP="00D85353">
            <w:pPr>
              <w:pStyle w:val="TableTextBullet"/>
            </w:pPr>
            <w:r>
              <w:rPr>
                <w:rFonts w:cs="Arial"/>
                <w:vanish/>
              </w:rPr>
              <w:t xml:space="preserve">BR_74.01 </w:t>
            </w:r>
            <w:r w:rsidR="00D279DE">
              <w:t>P</w:t>
            </w:r>
            <w:r w:rsidR="00D85353">
              <w:t>rocesses any applicable overrides.</w:t>
            </w:r>
          </w:p>
          <w:p w:rsidR="00004A4C" w:rsidRDefault="00004A4C" w:rsidP="00004A4C">
            <w:pPr>
              <w:pStyle w:val="TableText"/>
            </w:pPr>
          </w:p>
          <w:p w:rsidR="00004A4C" w:rsidRDefault="00634BFC" w:rsidP="00004A4C">
            <w:pPr>
              <w:pStyle w:val="TableText"/>
              <w:rPr>
                <w:b/>
                <w:bCs/>
                <w:szCs w:val="18"/>
              </w:rPr>
            </w:pPr>
            <w:r>
              <w:rPr>
                <w:b/>
                <w:bCs/>
                <w:noProof/>
              </w:rPr>
              <mc:AlternateContent>
                <mc:Choice Requires="wps">
                  <w:drawing>
                    <wp:anchor distT="0" distB="0" distL="114300" distR="114300" simplePos="0" relativeHeight="25181030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10" name="Line 1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7" o:spid="_x0000_s1026" style="position:absolute;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Da&#10;1/SlFgIAAC4EAAAOAAAAAAAAAAAAAAAAAC4CAABkcnMvZTJvRG9jLnhtbFBLAQItABQABgAIAAAA&#10;IQAXTzAS2wAAAAgBAAAPAAAAAAAAAAAAAAAAAHAEAABkcnMvZG93bnJldi54bWxQSwUGAAAAAAQA&#10;BADzAAAAeAUAAAAA&#10;" strokeweight="1.5pt"/>
                  </w:pict>
                </mc:Fallback>
              </mc:AlternateContent>
            </w:r>
            <w:r w:rsidR="00004A4C">
              <w:rPr>
                <w:b/>
                <w:bCs/>
                <w:szCs w:val="18"/>
              </w:rPr>
              <w:t>NOTES</w:t>
            </w:r>
          </w:p>
          <w:p w:rsidR="00004A4C" w:rsidRDefault="00004A4C" w:rsidP="00004A4C">
            <w:pPr>
              <w:pStyle w:val="NotesText"/>
            </w:pPr>
          </w:p>
          <w:p w:rsidR="00665554" w:rsidRPr="00920163" w:rsidRDefault="00665554" w:rsidP="00665554">
            <w:pPr>
              <w:pStyle w:val="TableText"/>
              <w:ind w:left="720"/>
              <w:rPr>
                <w:rFonts w:eastAsia="Calibri"/>
                <w:szCs w:val="18"/>
              </w:rPr>
            </w:pPr>
            <w:r>
              <w:rPr>
                <w:vanish/>
              </w:rPr>
              <w:t xml:space="preserve">BR_115.05 </w:t>
            </w:r>
            <w:r>
              <w:t xml:space="preserve">When the test is rejected, the system will: </w:t>
            </w:r>
          </w:p>
          <w:p w:rsidR="00665554" w:rsidRPr="00064B9D" w:rsidRDefault="00665554" w:rsidP="00DB7466">
            <w:pPr>
              <w:pStyle w:val="TableText"/>
              <w:numPr>
                <w:ilvl w:val="0"/>
                <w:numId w:val="58"/>
              </w:numPr>
              <w:ind w:left="1080"/>
              <w:rPr>
                <w:sz w:val="20"/>
              </w:rPr>
            </w:pPr>
            <w:r>
              <w:t>Prompt user to confirm they want to reject.</w:t>
            </w:r>
          </w:p>
          <w:p w:rsidR="00064B9D" w:rsidRDefault="00064B9D" w:rsidP="00DB7466">
            <w:pPr>
              <w:pStyle w:val="TableText"/>
              <w:numPr>
                <w:ilvl w:val="0"/>
                <w:numId w:val="58"/>
              </w:numPr>
              <w:ind w:left="1080"/>
              <w:rPr>
                <w:sz w:val="20"/>
              </w:rPr>
            </w:pPr>
            <w:r>
              <w:t>Prompt user to enter a comment reason for rejection.</w:t>
            </w:r>
            <w:r w:rsidR="00987559">
              <w:t xml:space="preserve"> </w:t>
            </w:r>
            <w:r w:rsidR="00987559" w:rsidRPr="00987559">
              <w:rPr>
                <w:vanish/>
              </w:rPr>
              <w:t>Defect 357490</w:t>
            </w:r>
          </w:p>
          <w:p w:rsidR="00665554" w:rsidRDefault="00665554" w:rsidP="00DB7466">
            <w:pPr>
              <w:pStyle w:val="TableText"/>
              <w:numPr>
                <w:ilvl w:val="0"/>
                <w:numId w:val="58"/>
              </w:numPr>
              <w:ind w:left="1080"/>
            </w:pPr>
            <w:r>
              <w:t>Remove the test from the list for acceptance.</w:t>
            </w:r>
          </w:p>
          <w:p w:rsidR="00665554" w:rsidRDefault="00665554" w:rsidP="00DB7466">
            <w:pPr>
              <w:pStyle w:val="TableText"/>
              <w:numPr>
                <w:ilvl w:val="0"/>
                <w:numId w:val="58"/>
              </w:numPr>
              <w:ind w:left="1080"/>
            </w:pPr>
            <w:r>
              <w:t>No rejection message is sent to the instrument.</w:t>
            </w:r>
          </w:p>
          <w:p w:rsidR="00665554" w:rsidRDefault="00665554" w:rsidP="00DB7466">
            <w:pPr>
              <w:pStyle w:val="TableText"/>
              <w:numPr>
                <w:ilvl w:val="0"/>
                <w:numId w:val="58"/>
              </w:numPr>
              <w:ind w:left="1080"/>
            </w:pPr>
            <w:r>
              <w:t>The Diagnostic test returns to the previous status and ready for testing.</w:t>
            </w:r>
          </w:p>
          <w:p w:rsidR="00064B9D" w:rsidRDefault="00064B9D" w:rsidP="00064B9D">
            <w:pPr>
              <w:pStyle w:val="TableText"/>
              <w:ind w:left="1080"/>
            </w:pPr>
          </w:p>
          <w:p w:rsidR="00665554" w:rsidRDefault="00665554" w:rsidP="004A39DB">
            <w:pPr>
              <w:pStyle w:val="TableText"/>
              <w:ind w:left="720"/>
            </w:pPr>
          </w:p>
          <w:p w:rsidR="006020B2" w:rsidRDefault="006020B2" w:rsidP="004A39DB">
            <w:pPr>
              <w:pStyle w:val="TableText"/>
              <w:ind w:left="720"/>
              <w:rPr>
                <w:vanish/>
              </w:rPr>
            </w:pPr>
          </w:p>
          <w:p w:rsidR="00004A4C" w:rsidRDefault="00D0496E" w:rsidP="004A39DB">
            <w:pPr>
              <w:pStyle w:val="TableText"/>
              <w:ind w:left="720"/>
            </w:pPr>
            <w:r w:rsidRPr="00D0496E">
              <w:rPr>
                <w:vanish/>
              </w:rPr>
              <w:t xml:space="preserve">BR_2.21 </w:t>
            </w:r>
            <w:r>
              <w:t>When an interpretation of “Inconclusive” is verified for either the ABO or Rh interpretation, the unit is given an indicator of “Quarantine” and the details of the testing are captured for inclusion in an exception report. The system provides an audible alert.</w:t>
            </w:r>
          </w:p>
          <w:p w:rsidR="00D0496E" w:rsidRDefault="00D0496E" w:rsidP="004A39DB">
            <w:pPr>
              <w:pStyle w:val="TableText"/>
              <w:ind w:left="720"/>
              <w:rPr>
                <w:noProof/>
                <w:color w:val="000000"/>
              </w:rPr>
            </w:pPr>
          </w:p>
          <w:p w:rsidR="00D0496E" w:rsidRDefault="004A39DB" w:rsidP="004A39DB">
            <w:pPr>
              <w:pStyle w:val="TableText"/>
              <w:ind w:left="720"/>
              <w:rPr>
                <w:noProof/>
              </w:rPr>
            </w:pPr>
            <w:r>
              <w:rPr>
                <w:vanish/>
              </w:rPr>
              <w:t>BR_2.1</w:t>
            </w:r>
            <w:r w:rsidR="00DC7696" w:rsidRPr="00DC7696">
              <w:rPr>
                <w:vanish/>
              </w:rPr>
              <w:t xml:space="preserve">7 </w:t>
            </w:r>
            <w:r w:rsidR="00D0496E">
              <w:t xml:space="preserve">The system provides an audible alert and a warning message requiring override is generated if the ABO and/or Rh confirmation interpretation does not match the ABO and/or Rh of the unit at initial login. Upon user confirmation of the discrepancy (override), inventory units whose ABO/Rh confirmation does not match the ABO/Rh at login are given an indicator of “Quarantine” and the details of the transaction are captured for inclusion in an exception report. </w:t>
            </w:r>
          </w:p>
          <w:p w:rsidR="00F130A1" w:rsidRDefault="00F130A1" w:rsidP="004A39DB">
            <w:pPr>
              <w:pStyle w:val="StyleTableText9ptChar"/>
              <w:ind w:left="720"/>
            </w:pPr>
          </w:p>
          <w:p w:rsidR="00F130A1" w:rsidRDefault="00F130A1" w:rsidP="00F130A1">
            <w:pPr>
              <w:pStyle w:val="TableText"/>
              <w:ind w:left="720"/>
            </w:pPr>
            <w:r w:rsidRPr="00F130A1">
              <w:rPr>
                <w:vanish/>
              </w:rPr>
              <w:t xml:space="preserve">BR_2.18 </w:t>
            </w:r>
            <w:r>
              <w:t>The system displays all data input during the session and accommodates editing prior to the user electing to update the database. The system will warn the user that if he chooses to cancel using the cancel or “X” button, the system will not save any data changes entered during the session.</w:t>
            </w:r>
          </w:p>
          <w:p w:rsidR="00F130A1" w:rsidRDefault="00F130A1" w:rsidP="00F130A1">
            <w:pPr>
              <w:pStyle w:val="TableText"/>
              <w:ind w:left="720"/>
              <w:rPr>
                <w:noProof/>
                <w:color w:val="000000"/>
              </w:rPr>
            </w:pPr>
          </w:p>
          <w:p w:rsidR="00F130A1" w:rsidRDefault="00F130A1" w:rsidP="00F130A1">
            <w:pPr>
              <w:pStyle w:val="TableText"/>
              <w:ind w:left="720"/>
            </w:pPr>
            <w:r w:rsidRPr="00F130A1">
              <w:rPr>
                <w:vanish/>
              </w:rPr>
              <w:t xml:space="preserve">BR_27.15 </w:t>
            </w:r>
            <w:r>
              <w:t>The u</w:t>
            </w:r>
            <w:r w:rsidRPr="00C441A9">
              <w:t>nit has had a quarantine indicator assigne</w:t>
            </w:r>
            <w:r>
              <w:t>d. T</w:t>
            </w:r>
            <w:r w:rsidRPr="00C441A9">
              <w:t>he system will release any patient assignment. Any patient restriction associated with the unit remains intact</w:t>
            </w:r>
            <w:r w:rsidR="006020B2">
              <w:t xml:space="preserve"> (e.g., Directed or Autologous)</w:t>
            </w:r>
            <w:r w:rsidRPr="00C441A9">
              <w:t>.</w:t>
            </w:r>
          </w:p>
          <w:p w:rsidR="00F130A1" w:rsidRDefault="00F130A1" w:rsidP="00F130A1">
            <w:pPr>
              <w:pStyle w:val="TableText"/>
              <w:ind w:left="720"/>
              <w:rPr>
                <w:noProof/>
                <w:color w:val="000000"/>
              </w:rPr>
            </w:pPr>
          </w:p>
          <w:p w:rsidR="00711E45" w:rsidRDefault="00711E45" w:rsidP="00711E45">
            <w:pPr>
              <w:pStyle w:val="TableText"/>
              <w:ind w:left="720"/>
            </w:pPr>
            <w:r w:rsidRPr="00DC7696">
              <w:rPr>
                <w:vanish/>
              </w:rPr>
              <w:t xml:space="preserve">BR_41.12 </w:t>
            </w:r>
            <w:r w:rsidRPr="00702789">
              <w:t xml:space="preserve">The system compares the antigen typing interpretation entered by the technologist to any previously assigned antigen typing for the same antigen (Incoming Shipment, Edit Unit Information, or antigen typing test </w:t>
            </w:r>
            <w:r w:rsidRPr="00DC7696">
              <w:t>other than weak D</w:t>
            </w:r>
            <w:r w:rsidRPr="00702789">
              <w:t>). If the current interpretation does not match the previously identified antigen type, the system displays a warning mes</w:t>
            </w:r>
            <w:r>
              <w:t xml:space="preserve">sage and quarantines the unit: </w:t>
            </w:r>
            <w:r w:rsidRPr="00702789">
              <w:t>Current antigen type does not match previously recorded antigen type (login, update, or test). This must be resolved before this unit can be used. Unit has been quarantined.</w:t>
            </w:r>
          </w:p>
          <w:p w:rsidR="00711E45" w:rsidRDefault="00711E45" w:rsidP="00711E45">
            <w:pPr>
              <w:pStyle w:val="TableText"/>
              <w:ind w:left="720"/>
            </w:pPr>
          </w:p>
          <w:p w:rsidR="00711E45" w:rsidRPr="00DC7696" w:rsidRDefault="00711E45" w:rsidP="00711E45">
            <w:pPr>
              <w:pStyle w:val="TableText"/>
              <w:ind w:left="720"/>
            </w:pPr>
            <w:r w:rsidRPr="00DC7696">
              <w:rPr>
                <w:rFonts w:cs="Arial"/>
                <w:vanish/>
              </w:rPr>
              <w:t xml:space="preserve">BR_41.22 </w:t>
            </w:r>
            <w:r w:rsidRPr="00183123">
              <w:rPr>
                <w:rFonts w:cs="Arial"/>
              </w:rPr>
              <w:t xml:space="preserve">When a weak D interpretation is positive or inconclusive and is verified for a tested blood unit that was labeled as (Rh) D negative, display a warning message and add the quarantine </w:t>
            </w:r>
            <w:r w:rsidRPr="00183123">
              <w:rPr>
                <w:rFonts w:cs="Arial"/>
              </w:rPr>
              <w:lastRenderedPageBreak/>
              <w:t xml:space="preserve">indicator to the unit: "Unit is weak D positive or inconclusive: unit </w:t>
            </w:r>
            <w:r>
              <w:rPr>
                <w:rFonts w:cs="Arial"/>
              </w:rPr>
              <w:t>will be</w:t>
            </w:r>
            <w:r w:rsidRPr="00183123">
              <w:rPr>
                <w:rFonts w:cs="Arial"/>
              </w:rPr>
              <w:t xml:space="preserve"> quarantined." No user action is required.</w:t>
            </w:r>
          </w:p>
          <w:p w:rsidR="00711E45" w:rsidRDefault="00711E45" w:rsidP="00711E45">
            <w:pPr>
              <w:pStyle w:val="TableText"/>
              <w:ind w:left="720"/>
              <w:rPr>
                <w:noProof/>
                <w:color w:val="000000"/>
              </w:rPr>
            </w:pPr>
          </w:p>
          <w:p w:rsidR="00F130A1" w:rsidRPr="00004A4C" w:rsidRDefault="00987559" w:rsidP="00064B9D">
            <w:pPr>
              <w:pStyle w:val="TableText"/>
              <w:ind w:left="720"/>
              <w:rPr>
                <w:noProof/>
                <w:color w:val="000000"/>
              </w:rPr>
            </w:pPr>
            <w:r w:rsidRPr="00987559">
              <w:rPr>
                <w:vanish/>
              </w:rPr>
              <w:t xml:space="preserve">Defect 357490 </w:t>
            </w:r>
            <w:r w:rsidR="00711E45" w:rsidRPr="00DC7696">
              <w:rPr>
                <w:vanish/>
              </w:rPr>
              <w:t xml:space="preserve">BR_56.29 </w:t>
            </w:r>
            <w:r w:rsidR="00711E45">
              <w:t>When a unit was emergency issued and a conflicting test result found that indicates a potential unit incompatibility with the patient, such as a patient ABO/Rh discrepancy, or the unit is antigen positive where antigen negative is required on the tested specimen, VBECS displays a warning message</w:t>
            </w:r>
            <w:r w:rsidR="00711E45" w:rsidRPr="007C05B4">
              <w:t xml:space="preserve"> such as: Unit has been emergency issued. Notify the physician of this potential problem IMMEDIATELY, per hospital policy! </w:t>
            </w:r>
            <w:r w:rsidR="00711E45">
              <w:t>The warning message displays during the execution of the various tests related to the compatibility of a blood unit. An exception report entry is generated at the save.</w:t>
            </w:r>
          </w:p>
        </w:tc>
      </w:tr>
      <w:tr w:rsidR="00C95ED8" w:rsidTr="003F6E8A">
        <w:tblPrEx>
          <w:tblCellMar>
            <w:top w:w="0" w:type="dxa"/>
            <w:bottom w:w="0" w:type="dxa"/>
          </w:tblCellMar>
        </w:tblPrEx>
        <w:tc>
          <w:tcPr>
            <w:tcW w:w="3240" w:type="dxa"/>
          </w:tcPr>
          <w:p w:rsidR="00C95ED8" w:rsidRDefault="00C95ED8" w:rsidP="00307125">
            <w:pPr>
              <w:pStyle w:val="TableTextNumbers"/>
            </w:pPr>
            <w:r>
              <w:lastRenderedPageBreak/>
              <w:t xml:space="preserve">User clicks </w:t>
            </w:r>
            <w:r w:rsidRPr="00C95ED8">
              <w:rPr>
                <w:b/>
              </w:rPr>
              <w:t>Yes</w:t>
            </w:r>
            <w:r>
              <w:t xml:space="preserve"> to acknowledge acceptance or rejection of test results</w:t>
            </w:r>
            <w:r w:rsidR="00DA6624">
              <w:t>.</w:t>
            </w:r>
          </w:p>
        </w:tc>
        <w:tc>
          <w:tcPr>
            <w:tcW w:w="6120" w:type="dxa"/>
          </w:tcPr>
          <w:p w:rsidR="00C95ED8" w:rsidRPr="00004A4C" w:rsidRDefault="00C95ED8" w:rsidP="00C95ED8">
            <w:pPr>
              <w:pStyle w:val="TableTextBullet"/>
            </w:pPr>
            <w:r>
              <w:t>Saves user input.</w:t>
            </w:r>
          </w:p>
          <w:p w:rsidR="00C95ED8" w:rsidRDefault="00C95ED8" w:rsidP="00C95ED8">
            <w:pPr>
              <w:pStyle w:val="TableText"/>
            </w:pPr>
          </w:p>
          <w:p w:rsidR="00C95ED8" w:rsidRDefault="00634BFC" w:rsidP="00C95ED8">
            <w:pPr>
              <w:pStyle w:val="TableText"/>
              <w:rPr>
                <w:b/>
                <w:bCs/>
                <w:szCs w:val="18"/>
              </w:rPr>
            </w:pPr>
            <w:r>
              <w:rPr>
                <w:b/>
                <w:bCs/>
                <w:noProof/>
              </w:rPr>
              <mc:AlternateContent>
                <mc:Choice Requires="wps">
                  <w:drawing>
                    <wp:anchor distT="0" distB="0" distL="114300" distR="114300" simplePos="0" relativeHeight="25181747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09" name="Line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4" o:spid="_x0000_s1026" style="position:absolute;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jYsFQIAAC4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Cx+&#10;NiwVAgAALgQAAA4AAAAAAAAAAAAAAAAALgIAAGRycy9lMm9Eb2MueG1sUEsBAi0AFAAGAAgAAAAh&#10;ABdPMBLbAAAACAEAAA8AAAAAAAAAAAAAAAAAbwQAAGRycy9kb3ducmV2LnhtbFBLBQYAAAAABAAE&#10;APMAAAB3BQAAAAA=&#10;" strokeweight="1.5pt"/>
                  </w:pict>
                </mc:Fallback>
              </mc:AlternateContent>
            </w:r>
            <w:r w:rsidR="00C95ED8">
              <w:rPr>
                <w:b/>
                <w:bCs/>
                <w:szCs w:val="18"/>
              </w:rPr>
              <w:t>NOTES</w:t>
            </w:r>
          </w:p>
          <w:p w:rsidR="00C95ED8" w:rsidRDefault="00C95ED8" w:rsidP="00C95ED8">
            <w:pPr>
              <w:pStyle w:val="NotesText"/>
            </w:pPr>
          </w:p>
          <w:p w:rsidR="004A39DB" w:rsidRDefault="00987559" w:rsidP="004A39DB">
            <w:pPr>
              <w:pStyle w:val="TableTextBullet"/>
              <w:numPr>
                <w:ilvl w:val="0"/>
                <w:numId w:val="0"/>
              </w:numPr>
              <w:ind w:left="720"/>
            </w:pPr>
            <w:r w:rsidRPr="00987559">
              <w:rPr>
                <w:vanish/>
              </w:rPr>
              <w:t xml:space="preserve">Defect 357490 </w:t>
            </w:r>
            <w:r w:rsidR="00C95ED8" w:rsidRPr="00F130A1">
              <w:rPr>
                <w:vanish/>
              </w:rPr>
              <w:t xml:space="preserve">BR_2.12 </w:t>
            </w:r>
            <w:r w:rsidR="00C95ED8">
              <w:t>Upon successful completion of ABO/Rh confirmation</w:t>
            </w:r>
            <w:r w:rsidR="00064B9D">
              <w:t xml:space="preserve"> and/or Antigen Typing completion</w:t>
            </w:r>
            <w:r w:rsidR="00C95ED8">
              <w:t>, the unit status is updated. Successful completion means that the ABO and Rh (if required) interpretation is consistent with recorded observed results and matches the ABO/Rh at unit login and any repeat ABO/Rh tests on the unit that are not invalidated</w:t>
            </w:r>
          </w:p>
          <w:p w:rsidR="004A39DB" w:rsidRDefault="004A39DB" w:rsidP="004A39DB">
            <w:pPr>
              <w:pStyle w:val="TableTextBullet"/>
              <w:numPr>
                <w:ilvl w:val="0"/>
                <w:numId w:val="0"/>
              </w:numPr>
              <w:ind w:left="720"/>
            </w:pPr>
          </w:p>
          <w:p w:rsidR="004A39DB" w:rsidRPr="00920163" w:rsidRDefault="004A39DB" w:rsidP="004A39DB">
            <w:pPr>
              <w:pStyle w:val="TableText"/>
              <w:ind w:left="720"/>
              <w:rPr>
                <w:rFonts w:eastAsia="Calibri"/>
                <w:szCs w:val="18"/>
              </w:rPr>
            </w:pPr>
            <w:r w:rsidRPr="004A39DB">
              <w:rPr>
                <w:vanish/>
              </w:rPr>
              <w:t xml:space="preserve">BR_115.05 </w:t>
            </w:r>
            <w:r>
              <w:t xml:space="preserve">When the test is rejected, the system will: </w:t>
            </w:r>
          </w:p>
          <w:p w:rsidR="004A39DB" w:rsidRDefault="004A39DB" w:rsidP="00DB7466">
            <w:pPr>
              <w:pStyle w:val="TableText"/>
              <w:numPr>
                <w:ilvl w:val="0"/>
                <w:numId w:val="58"/>
              </w:numPr>
              <w:ind w:left="1080"/>
              <w:rPr>
                <w:sz w:val="20"/>
              </w:rPr>
            </w:pPr>
            <w:r>
              <w:t>Prompt user to confirm they want to reject.</w:t>
            </w:r>
          </w:p>
          <w:p w:rsidR="004A39DB" w:rsidRDefault="004A39DB" w:rsidP="00DB7466">
            <w:pPr>
              <w:pStyle w:val="TableText"/>
              <w:numPr>
                <w:ilvl w:val="0"/>
                <w:numId w:val="58"/>
              </w:numPr>
              <w:ind w:left="1080"/>
            </w:pPr>
            <w:r>
              <w:t>Remove the test from the list for acceptance.</w:t>
            </w:r>
          </w:p>
          <w:p w:rsidR="004A39DB" w:rsidRDefault="004A39DB" w:rsidP="00DB7466">
            <w:pPr>
              <w:pStyle w:val="TableText"/>
              <w:numPr>
                <w:ilvl w:val="0"/>
                <w:numId w:val="58"/>
              </w:numPr>
              <w:ind w:left="1080"/>
            </w:pPr>
            <w:r>
              <w:t>No rejection message is sent to the instrument.</w:t>
            </w:r>
          </w:p>
          <w:p w:rsidR="004A39DB" w:rsidRDefault="004A39DB" w:rsidP="00DB7466">
            <w:pPr>
              <w:pStyle w:val="TableText"/>
              <w:numPr>
                <w:ilvl w:val="0"/>
                <w:numId w:val="58"/>
              </w:numPr>
              <w:ind w:left="1080"/>
            </w:pPr>
            <w:r>
              <w:t>The Diagnostic test returns to the previous status and ready for testing.</w:t>
            </w:r>
          </w:p>
          <w:p w:rsidR="004A39DB" w:rsidRDefault="004A39DB" w:rsidP="004A39DB">
            <w:pPr>
              <w:pStyle w:val="TableTextBullet"/>
              <w:numPr>
                <w:ilvl w:val="0"/>
                <w:numId w:val="0"/>
              </w:numPr>
              <w:ind w:left="720"/>
            </w:pPr>
          </w:p>
          <w:p w:rsidR="004A39DB" w:rsidRDefault="004A39DB" w:rsidP="004A39DB">
            <w:pPr>
              <w:pStyle w:val="TableTextBullet"/>
              <w:numPr>
                <w:ilvl w:val="0"/>
                <w:numId w:val="0"/>
              </w:numPr>
              <w:ind w:left="288" w:hanging="288"/>
            </w:pPr>
          </w:p>
        </w:tc>
      </w:tr>
    </w:tbl>
    <w:p w:rsidR="00937534" w:rsidRDefault="00937534" w:rsidP="00937534">
      <w:pPr>
        <w:pStyle w:val="Caption"/>
      </w:pPr>
      <w:bookmarkStart w:id="538" w:name="_Ref447168071"/>
      <w:r>
        <w:t xml:space="preserve">Figure </w:t>
      </w:r>
      <w:r>
        <w:fldChar w:fldCharType="begin"/>
      </w:r>
      <w:r>
        <w:instrText xml:space="preserve"> SEQ Figure \* ARABIC </w:instrText>
      </w:r>
      <w:r>
        <w:fldChar w:fldCharType="separate"/>
      </w:r>
      <w:r w:rsidR="005F38BC">
        <w:rPr>
          <w:noProof/>
        </w:rPr>
        <w:t>135</w:t>
      </w:r>
      <w:r>
        <w:fldChar w:fldCharType="end"/>
      </w:r>
      <w:bookmarkEnd w:id="538"/>
      <w:r>
        <w:t>: Automated Testing – Pending Blood Units Window</w:t>
      </w:r>
    </w:p>
    <w:p w:rsidR="005E6617" w:rsidRPr="005E6617" w:rsidRDefault="00634BFC" w:rsidP="005E6617">
      <w:pPr>
        <w:pStyle w:val="BodyText"/>
      </w:pPr>
      <w:r>
        <w:rPr>
          <w:noProof/>
        </w:rPr>
        <w:drawing>
          <wp:inline distT="0" distB="0" distL="0" distR="0">
            <wp:extent cx="5162550" cy="131445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162550" cy="1314450"/>
                    </a:xfrm>
                    <a:prstGeom prst="rect">
                      <a:avLst/>
                    </a:prstGeom>
                    <a:noFill/>
                    <a:ln>
                      <a:noFill/>
                    </a:ln>
                  </pic:spPr>
                </pic:pic>
              </a:graphicData>
            </a:graphic>
          </wp:inline>
        </w:drawing>
      </w:r>
    </w:p>
    <w:p w:rsidR="00BE554D" w:rsidRDefault="005E6617" w:rsidP="005E6617">
      <w:pPr>
        <w:pStyle w:val="Heading2"/>
      </w:pPr>
      <w:r>
        <w:br w:type="page"/>
      </w:r>
      <w:bookmarkStart w:id="539" w:name="_Toc459900162"/>
      <w:r w:rsidR="00BE554D" w:rsidRPr="00937534">
        <w:lastRenderedPageBreak/>
        <w:t>Automated Testing Review for Patients</w:t>
      </w:r>
      <w:bookmarkEnd w:id="539"/>
      <w:r w:rsidR="00B31DA1" w:rsidRPr="00836786">
        <w:rPr>
          <w:vanish/>
        </w:rPr>
        <w:t xml:space="preserve">{ XE “Automated Testing Review for </w:t>
      </w:r>
      <w:r w:rsidR="00B31DA1">
        <w:rPr>
          <w:vanish/>
        </w:rPr>
        <w:t>Patients</w:t>
      </w:r>
      <w:r w:rsidR="00B31DA1" w:rsidRPr="00836786">
        <w:rPr>
          <w:vanish/>
        </w:rPr>
        <w:t>” }</w:t>
      </w:r>
      <w:r w:rsidR="00B31DA1">
        <w:t xml:space="preserve"> </w:t>
      </w:r>
      <w:r w:rsidR="00BE554D">
        <w:rPr>
          <w:vanish/>
        </w:rPr>
        <w:t>UC_115</w:t>
      </w:r>
    </w:p>
    <w:p w:rsidR="00BE554D" w:rsidRDefault="00BE554D" w:rsidP="00BE554D">
      <w:pPr>
        <w:pStyle w:val="Heading4"/>
        <w:rPr>
          <w:rFonts w:ascii="Times New Roman" w:hAnsi="Times New Roman"/>
          <w:b w:val="0"/>
          <w:spacing w:val="-5"/>
          <w:szCs w:val="22"/>
        </w:rPr>
      </w:pPr>
      <w:r>
        <w:rPr>
          <w:rFonts w:ascii="Times New Roman" w:hAnsi="Times New Roman"/>
          <w:b w:val="0"/>
          <w:spacing w:val="-5"/>
          <w:szCs w:val="22"/>
        </w:rPr>
        <w:t>A</w:t>
      </w:r>
      <w:r w:rsidRPr="00D23C29">
        <w:rPr>
          <w:rFonts w:ascii="Times New Roman" w:hAnsi="Times New Roman"/>
          <w:b w:val="0"/>
          <w:spacing w:val="-5"/>
          <w:szCs w:val="22"/>
        </w:rPr>
        <w:t>llow</w:t>
      </w:r>
      <w:r>
        <w:rPr>
          <w:rFonts w:ascii="Times New Roman" w:hAnsi="Times New Roman"/>
          <w:b w:val="0"/>
          <w:spacing w:val="-5"/>
          <w:szCs w:val="22"/>
        </w:rPr>
        <w:t xml:space="preserve">s the user to review and approve testing results completed on an automated instrument and transmitted to  </w:t>
      </w:r>
      <w:r w:rsidRPr="00D23C29">
        <w:rPr>
          <w:rFonts w:ascii="Times New Roman" w:hAnsi="Times New Roman"/>
          <w:b w:val="0"/>
          <w:spacing w:val="-5"/>
          <w:szCs w:val="22"/>
        </w:rPr>
        <w:t>VBECS.</w:t>
      </w:r>
    </w:p>
    <w:p w:rsidR="00BE554D" w:rsidRPr="00D23C29" w:rsidRDefault="00BE554D" w:rsidP="00BE554D">
      <w:pPr>
        <w:pStyle w:val="Heading4"/>
      </w:pPr>
      <w:r w:rsidRPr="00D23C29">
        <w:t xml:space="preserve">Assumptions </w:t>
      </w:r>
    </w:p>
    <w:p w:rsidR="00BE554D" w:rsidRPr="009A3F10" w:rsidRDefault="00BE554D" w:rsidP="00BE554D">
      <w:pPr>
        <w:pStyle w:val="TableText"/>
        <w:numPr>
          <w:ilvl w:val="0"/>
          <w:numId w:val="51"/>
        </w:numPr>
        <w:rPr>
          <w:rFonts w:ascii="Times New Roman" w:hAnsi="Times New Roman"/>
          <w:spacing w:val="-5"/>
          <w:sz w:val="22"/>
          <w:szCs w:val="22"/>
        </w:rPr>
      </w:pPr>
      <w:r w:rsidRPr="009A3F10">
        <w:rPr>
          <w:rFonts w:ascii="Times New Roman" w:hAnsi="Times New Roman"/>
          <w:spacing w:val="-5"/>
          <w:sz w:val="22"/>
          <w:szCs w:val="22"/>
        </w:rPr>
        <w:t>Division is defined as full service.</w:t>
      </w:r>
    </w:p>
    <w:p w:rsidR="00BE554D" w:rsidRPr="009A3F10" w:rsidRDefault="00BE554D" w:rsidP="00BE554D">
      <w:pPr>
        <w:pStyle w:val="TableText"/>
        <w:numPr>
          <w:ilvl w:val="0"/>
          <w:numId w:val="51"/>
        </w:numPr>
        <w:rPr>
          <w:rFonts w:ascii="Times New Roman" w:hAnsi="Times New Roman"/>
          <w:spacing w:val="-5"/>
          <w:sz w:val="22"/>
          <w:szCs w:val="22"/>
        </w:rPr>
      </w:pPr>
      <w:r w:rsidRPr="009A3F10">
        <w:rPr>
          <w:rFonts w:ascii="Times New Roman" w:hAnsi="Times New Roman"/>
          <w:spacing w:val="-5"/>
          <w:sz w:val="22"/>
          <w:szCs w:val="22"/>
        </w:rPr>
        <w:t>The testing instrument is fully functional and available for use. The instrument QC is completed and valid, no maintenance is required. No QC information is transmitted to VBECS in the HL7 message.</w:t>
      </w:r>
    </w:p>
    <w:p w:rsidR="00BE554D" w:rsidRPr="009A3F10" w:rsidRDefault="00BE554D" w:rsidP="00BE554D">
      <w:pPr>
        <w:pStyle w:val="TableText"/>
        <w:numPr>
          <w:ilvl w:val="0"/>
          <w:numId w:val="51"/>
        </w:numPr>
        <w:rPr>
          <w:rFonts w:ascii="Times New Roman" w:hAnsi="Times New Roman"/>
          <w:spacing w:val="-5"/>
          <w:sz w:val="22"/>
          <w:szCs w:val="22"/>
        </w:rPr>
      </w:pPr>
      <w:r w:rsidRPr="009A3F10">
        <w:rPr>
          <w:rFonts w:ascii="Times New Roman" w:hAnsi="Times New Roman"/>
          <w:spacing w:val="-5"/>
          <w:sz w:val="22"/>
          <w:szCs w:val="22"/>
        </w:rPr>
        <w:t>Message is received</w:t>
      </w:r>
      <w:r>
        <w:rPr>
          <w:rFonts w:ascii="Times New Roman" w:hAnsi="Times New Roman"/>
          <w:spacing w:val="-5"/>
          <w:sz w:val="22"/>
          <w:szCs w:val="22"/>
        </w:rPr>
        <w:t xml:space="preserve"> successfully as defined in </w:t>
      </w:r>
      <w:r w:rsidRPr="009A3F10">
        <w:rPr>
          <w:rFonts w:ascii="Times New Roman" w:hAnsi="Times New Roman"/>
          <w:spacing w:val="-5"/>
          <w:sz w:val="22"/>
          <w:szCs w:val="22"/>
        </w:rPr>
        <w:t>Automated Testing Interface.</w:t>
      </w:r>
    </w:p>
    <w:p w:rsidR="00BE554D" w:rsidRPr="009A3F10" w:rsidRDefault="00BE554D" w:rsidP="00BE554D">
      <w:pPr>
        <w:pStyle w:val="TableTextBullet"/>
        <w:numPr>
          <w:ilvl w:val="0"/>
          <w:numId w:val="51"/>
        </w:numPr>
        <w:ind w:right="63"/>
        <w:rPr>
          <w:rFonts w:ascii="Times New Roman" w:hAnsi="Times New Roman"/>
          <w:spacing w:val="-5"/>
          <w:sz w:val="22"/>
          <w:szCs w:val="22"/>
        </w:rPr>
      </w:pPr>
      <w:r w:rsidRPr="009A3F10">
        <w:rPr>
          <w:rFonts w:ascii="Times New Roman" w:hAnsi="Times New Roman"/>
          <w:spacing w:val="-5"/>
          <w:sz w:val="22"/>
          <w:szCs w:val="22"/>
        </w:rPr>
        <w:t>VBECS database contains an active patient order for diagnostic tests or blood components including reflex tests that have been accepted and appear on the Pending Task List.</w:t>
      </w:r>
    </w:p>
    <w:p w:rsidR="00BE554D" w:rsidRPr="009A3F10" w:rsidRDefault="00BE554D" w:rsidP="00BE554D">
      <w:pPr>
        <w:numPr>
          <w:ilvl w:val="0"/>
          <w:numId w:val="51"/>
        </w:numPr>
        <w:rPr>
          <w:spacing w:val="-5"/>
          <w:sz w:val="22"/>
          <w:szCs w:val="22"/>
        </w:rPr>
      </w:pPr>
      <w:r>
        <w:rPr>
          <w:spacing w:val="-5"/>
          <w:sz w:val="22"/>
          <w:szCs w:val="22"/>
        </w:rPr>
        <w:t xml:space="preserve">Blood Units are </w:t>
      </w:r>
      <w:r w:rsidRPr="009A3F10">
        <w:rPr>
          <w:spacing w:val="-5"/>
          <w:sz w:val="22"/>
          <w:szCs w:val="22"/>
        </w:rPr>
        <w:t>selected for a patient for serologic crossmatch testing</w:t>
      </w:r>
      <w:r>
        <w:rPr>
          <w:spacing w:val="-5"/>
          <w:sz w:val="22"/>
          <w:szCs w:val="22"/>
        </w:rPr>
        <w:t xml:space="preserve"> prior to</w:t>
      </w:r>
      <w:r w:rsidRPr="009A3F10">
        <w:rPr>
          <w:spacing w:val="-5"/>
          <w:sz w:val="22"/>
          <w:szCs w:val="22"/>
        </w:rPr>
        <w:t xml:space="preserve"> result transmission</w:t>
      </w:r>
      <w:r>
        <w:rPr>
          <w:spacing w:val="-5"/>
          <w:sz w:val="22"/>
          <w:szCs w:val="22"/>
        </w:rPr>
        <w:t xml:space="preserve"> from an automated instrument</w:t>
      </w:r>
      <w:r w:rsidRPr="009A3F10">
        <w:rPr>
          <w:spacing w:val="-5"/>
          <w:sz w:val="22"/>
          <w:szCs w:val="22"/>
        </w:rPr>
        <w:t>.</w:t>
      </w:r>
    </w:p>
    <w:p w:rsidR="00BE554D" w:rsidRPr="009A3F10" w:rsidRDefault="00BE554D" w:rsidP="00BE554D">
      <w:pPr>
        <w:numPr>
          <w:ilvl w:val="0"/>
          <w:numId w:val="51"/>
        </w:numPr>
        <w:rPr>
          <w:spacing w:val="-5"/>
          <w:sz w:val="22"/>
          <w:szCs w:val="22"/>
        </w:rPr>
      </w:pPr>
      <w:r w:rsidRPr="009A3F10">
        <w:rPr>
          <w:spacing w:val="-5"/>
          <w:sz w:val="22"/>
          <w:szCs w:val="22"/>
        </w:rPr>
        <w:t>Each transmitted test must include its results and interpretati</w:t>
      </w:r>
      <w:r>
        <w:rPr>
          <w:spacing w:val="-5"/>
          <w:sz w:val="22"/>
          <w:szCs w:val="22"/>
        </w:rPr>
        <w:t>on</w:t>
      </w:r>
      <w:r w:rsidRPr="009A3F10">
        <w:rPr>
          <w:spacing w:val="-5"/>
          <w:sz w:val="22"/>
          <w:szCs w:val="22"/>
        </w:rPr>
        <w:t>.</w:t>
      </w:r>
    </w:p>
    <w:p w:rsidR="00BE554D" w:rsidRDefault="00BE554D" w:rsidP="00BE554D">
      <w:pPr>
        <w:pStyle w:val="Heading4"/>
      </w:pPr>
      <w:r>
        <w:t xml:space="preserve">Outcome </w:t>
      </w:r>
    </w:p>
    <w:p w:rsidR="00BE554D" w:rsidRPr="00D23C29" w:rsidRDefault="00BE554D" w:rsidP="00BE554D">
      <w:pPr>
        <w:pStyle w:val="TableTextBullet"/>
        <w:numPr>
          <w:ilvl w:val="0"/>
          <w:numId w:val="51"/>
        </w:numPr>
        <w:ind w:right="63"/>
        <w:rPr>
          <w:rFonts w:ascii="Times New Roman" w:hAnsi="Times New Roman"/>
          <w:spacing w:val="-5"/>
          <w:sz w:val="22"/>
          <w:szCs w:val="22"/>
        </w:rPr>
      </w:pPr>
      <w:r w:rsidRPr="00D23C29">
        <w:rPr>
          <w:rFonts w:ascii="Times New Roman" w:hAnsi="Times New Roman"/>
          <w:spacing w:val="-5"/>
          <w:sz w:val="22"/>
          <w:szCs w:val="22"/>
        </w:rPr>
        <w:t>The test record will capture the details of the verified testing. Completed, current unit and specimen test results will be available for the life of the system for inclusion in various reports generated to document patient and unit testing.</w:t>
      </w:r>
    </w:p>
    <w:p w:rsidR="00BE554D" w:rsidRPr="00D23C29" w:rsidRDefault="00BE554D" w:rsidP="00BE554D">
      <w:pPr>
        <w:pStyle w:val="TableTextBullet"/>
        <w:numPr>
          <w:ilvl w:val="0"/>
          <w:numId w:val="51"/>
        </w:numPr>
        <w:ind w:right="63"/>
        <w:rPr>
          <w:rFonts w:ascii="Times New Roman" w:hAnsi="Times New Roman"/>
          <w:spacing w:val="-5"/>
          <w:sz w:val="22"/>
          <w:szCs w:val="22"/>
        </w:rPr>
      </w:pPr>
      <w:r w:rsidRPr="00D23C29">
        <w:rPr>
          <w:rFonts w:ascii="Times New Roman" w:hAnsi="Times New Roman"/>
          <w:spacing w:val="-5"/>
          <w:sz w:val="22"/>
          <w:szCs w:val="22"/>
        </w:rPr>
        <w:t>The system updates the task status, the workload reporting in VBECS and the order status in VBECS and VistA.</w:t>
      </w:r>
    </w:p>
    <w:p w:rsidR="00BE554D" w:rsidRDefault="00BE554D" w:rsidP="00BE554D">
      <w:pPr>
        <w:pStyle w:val="Heading4"/>
      </w:pPr>
      <w:r>
        <w:t>Limitations and Restrictions</w:t>
      </w:r>
      <w:r>
        <w:rPr>
          <w:b w:val="0"/>
        </w:rPr>
        <w:t xml:space="preserve"> </w:t>
      </w:r>
    </w:p>
    <w:p w:rsidR="00BE554D" w:rsidRPr="009A3F10" w:rsidRDefault="00BE554D" w:rsidP="00BE554D">
      <w:pPr>
        <w:pStyle w:val="TableText"/>
        <w:numPr>
          <w:ilvl w:val="0"/>
          <w:numId w:val="51"/>
        </w:numPr>
        <w:rPr>
          <w:rFonts w:ascii="Times New Roman" w:hAnsi="Times New Roman"/>
          <w:spacing w:val="-5"/>
          <w:sz w:val="22"/>
          <w:szCs w:val="22"/>
        </w:rPr>
      </w:pPr>
      <w:r w:rsidRPr="009A3F10">
        <w:rPr>
          <w:rFonts w:ascii="Times New Roman" w:hAnsi="Times New Roman"/>
          <w:spacing w:val="-5"/>
          <w:sz w:val="22"/>
          <w:szCs w:val="22"/>
        </w:rPr>
        <w:t xml:space="preserve">VBECS does not accept inconclusive ABO/Rh test results.  </w:t>
      </w:r>
    </w:p>
    <w:p w:rsidR="00BE554D" w:rsidRPr="009A3F10" w:rsidRDefault="00BE554D" w:rsidP="00BE554D">
      <w:pPr>
        <w:pStyle w:val="TableText"/>
        <w:numPr>
          <w:ilvl w:val="0"/>
          <w:numId w:val="51"/>
        </w:numPr>
        <w:rPr>
          <w:rFonts w:ascii="Times New Roman" w:hAnsi="Times New Roman"/>
          <w:spacing w:val="-5"/>
          <w:sz w:val="22"/>
          <w:szCs w:val="22"/>
        </w:rPr>
      </w:pPr>
      <w:r w:rsidRPr="009A3F10">
        <w:rPr>
          <w:rFonts w:ascii="Times New Roman" w:hAnsi="Times New Roman"/>
          <w:spacing w:val="-5"/>
          <w:sz w:val="22"/>
          <w:szCs w:val="22"/>
        </w:rPr>
        <w:t>VBECS does not accept inconclusive interpretations for antibody screen tests.</w:t>
      </w:r>
    </w:p>
    <w:p w:rsidR="00BE554D" w:rsidRPr="009A3F10" w:rsidRDefault="00BE554D" w:rsidP="00BE554D">
      <w:pPr>
        <w:pStyle w:val="TableText"/>
        <w:numPr>
          <w:ilvl w:val="0"/>
          <w:numId w:val="51"/>
        </w:numPr>
        <w:rPr>
          <w:rFonts w:ascii="Times New Roman" w:hAnsi="Times New Roman"/>
          <w:spacing w:val="-5"/>
          <w:sz w:val="22"/>
          <w:szCs w:val="22"/>
        </w:rPr>
      </w:pPr>
      <w:r w:rsidRPr="009A3F10">
        <w:rPr>
          <w:rFonts w:ascii="Times New Roman" w:hAnsi="Times New Roman"/>
          <w:spacing w:val="-5"/>
          <w:sz w:val="22"/>
          <w:szCs w:val="22"/>
        </w:rPr>
        <w:t>Immediate spin crossmatch is not allowed via au</w:t>
      </w:r>
      <w:r>
        <w:rPr>
          <w:rFonts w:ascii="Times New Roman" w:hAnsi="Times New Roman"/>
          <w:spacing w:val="-5"/>
          <w:sz w:val="22"/>
          <w:szCs w:val="22"/>
        </w:rPr>
        <w:t xml:space="preserve">tomated test entry. </w:t>
      </w:r>
    </w:p>
    <w:p w:rsidR="00BE554D" w:rsidRPr="009A3F10" w:rsidRDefault="00BE554D" w:rsidP="00BE554D">
      <w:pPr>
        <w:pStyle w:val="TableText"/>
        <w:numPr>
          <w:ilvl w:val="0"/>
          <w:numId w:val="51"/>
        </w:numPr>
        <w:rPr>
          <w:rFonts w:ascii="Times New Roman" w:hAnsi="Times New Roman"/>
          <w:spacing w:val="-5"/>
          <w:sz w:val="22"/>
          <w:szCs w:val="22"/>
        </w:rPr>
      </w:pPr>
      <w:r w:rsidRPr="009A3F10">
        <w:rPr>
          <w:rFonts w:ascii="Times New Roman" w:hAnsi="Times New Roman"/>
          <w:spacing w:val="-5"/>
          <w:sz w:val="22"/>
          <w:szCs w:val="22"/>
        </w:rPr>
        <w:t xml:space="preserve">Patient Antigen typing applies only to patient specimens </w:t>
      </w:r>
      <w:r>
        <w:rPr>
          <w:rFonts w:ascii="Times New Roman" w:hAnsi="Times New Roman"/>
          <w:spacing w:val="-5"/>
          <w:sz w:val="22"/>
          <w:szCs w:val="22"/>
        </w:rPr>
        <w:t>that contain red blood cells.</w:t>
      </w:r>
    </w:p>
    <w:p w:rsidR="00BE554D" w:rsidRPr="009A3F10" w:rsidRDefault="00BE554D" w:rsidP="00BE554D">
      <w:pPr>
        <w:pStyle w:val="TableText"/>
        <w:numPr>
          <w:ilvl w:val="0"/>
          <w:numId w:val="51"/>
        </w:numPr>
        <w:rPr>
          <w:rFonts w:ascii="Times New Roman" w:hAnsi="Times New Roman"/>
          <w:spacing w:val="-5"/>
          <w:sz w:val="22"/>
          <w:szCs w:val="22"/>
        </w:rPr>
      </w:pPr>
      <w:r w:rsidRPr="009A3F10">
        <w:rPr>
          <w:rFonts w:ascii="Times New Roman" w:hAnsi="Times New Roman"/>
          <w:spacing w:val="-5"/>
          <w:sz w:val="22"/>
          <w:szCs w:val="22"/>
        </w:rPr>
        <w:t>The system does not check the specificity of a patient’s antibody against an existing patient antigen typing.</w:t>
      </w:r>
    </w:p>
    <w:p w:rsidR="00BE554D" w:rsidRDefault="00BE554D" w:rsidP="00BE554D">
      <w:pPr>
        <w:pStyle w:val="TableText"/>
        <w:numPr>
          <w:ilvl w:val="0"/>
          <w:numId w:val="51"/>
        </w:numPr>
        <w:rPr>
          <w:rFonts w:ascii="Times New Roman" w:hAnsi="Times New Roman"/>
          <w:spacing w:val="-5"/>
          <w:sz w:val="22"/>
          <w:szCs w:val="22"/>
        </w:rPr>
      </w:pPr>
      <w:r w:rsidRPr="009A3F10">
        <w:rPr>
          <w:rFonts w:ascii="Times New Roman" w:hAnsi="Times New Roman"/>
          <w:spacing w:val="-5"/>
          <w:sz w:val="22"/>
          <w:szCs w:val="22"/>
        </w:rPr>
        <w:t>The patient antigen typing result is not reported to the CPRS record.</w:t>
      </w:r>
    </w:p>
    <w:p w:rsidR="00DA27C7" w:rsidRDefault="00DA27C7" w:rsidP="00DA27C7">
      <w:pPr>
        <w:pStyle w:val="TableText"/>
        <w:numPr>
          <w:ilvl w:val="0"/>
          <w:numId w:val="51"/>
        </w:numPr>
        <w:rPr>
          <w:rFonts w:ascii="Times New Roman" w:hAnsi="Times New Roman"/>
          <w:spacing w:val="-5"/>
          <w:sz w:val="22"/>
          <w:szCs w:val="22"/>
        </w:rPr>
      </w:pPr>
      <w:r w:rsidRPr="00DA27C7">
        <w:rPr>
          <w:rFonts w:ascii="Times New Roman" w:hAnsi="Times New Roman"/>
          <w:spacing w:val="-5"/>
          <w:sz w:val="22"/>
          <w:szCs w:val="22"/>
        </w:rPr>
        <w:t>Order Rejection comment entry is required but is not visible on a report.</w:t>
      </w:r>
    </w:p>
    <w:p w:rsidR="00BE554D" w:rsidRDefault="00770FF0" w:rsidP="00BE554D">
      <w:pPr>
        <w:pStyle w:val="Heading4"/>
      </w:pPr>
      <w:r>
        <w:t>Additional Information</w:t>
      </w:r>
    </w:p>
    <w:p w:rsidR="002C3F2F" w:rsidRPr="002C3F2F" w:rsidRDefault="00634BFC" w:rsidP="002C3F2F">
      <w:pPr>
        <w:pStyle w:val="ListBullet"/>
        <w:numPr>
          <w:ilvl w:val="0"/>
          <w:numId w:val="51"/>
        </w:numPr>
      </w:pPr>
      <w:r>
        <w:rPr>
          <w:noProof/>
        </w:rPr>
        <w:drawing>
          <wp:inline distT="0" distB="0" distL="0" distR="0">
            <wp:extent cx="276225" cy="219075"/>
            <wp:effectExtent l="0" t="0" r="9525" b="9525"/>
            <wp:docPr id="2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002C3F2F">
        <w:t xml:space="preserve"> </w:t>
      </w:r>
      <w:r w:rsidR="002C3F2F" w:rsidRPr="00D52104">
        <w:t>AABB Standards (5.16.1)</w:t>
      </w:r>
      <w:r w:rsidR="002C3F2F">
        <w:t xml:space="preserve"> </w:t>
      </w:r>
      <w:r w:rsidR="002C3F2F" w:rsidRPr="00D52104">
        <w:t>requires a serological XM to detect ABO incompatibility</w:t>
      </w:r>
      <w:r w:rsidR="002C3F2F">
        <w:t>. A</w:t>
      </w:r>
      <w:r w:rsidR="002C3F2F" w:rsidRPr="00D52104">
        <w:t xml:space="preserve"> local policy must be in place if the site is not performing a IS AHG as part of their serologic crossmatch test, manual or using an instrument.</w:t>
      </w:r>
      <w:r w:rsidR="002C3F2F">
        <w:t xml:space="preserve"> </w:t>
      </w:r>
      <w:r w:rsidR="002C3F2F" w:rsidRPr="002C3F2F">
        <w:rPr>
          <w:vanish/>
        </w:rPr>
        <w:t>Defect 362099</w:t>
      </w:r>
    </w:p>
    <w:p w:rsidR="00BE554D" w:rsidRPr="006E44D8" w:rsidRDefault="00BE554D" w:rsidP="00BE554D">
      <w:pPr>
        <w:pStyle w:val="TableText"/>
        <w:numPr>
          <w:ilvl w:val="0"/>
          <w:numId w:val="51"/>
        </w:numPr>
        <w:rPr>
          <w:rFonts w:ascii="Times New Roman" w:hAnsi="Times New Roman"/>
          <w:spacing w:val="-5"/>
          <w:sz w:val="22"/>
          <w:szCs w:val="22"/>
        </w:rPr>
      </w:pPr>
      <w:r w:rsidRPr="006E44D8">
        <w:rPr>
          <w:rFonts w:ascii="Times New Roman" w:hAnsi="Times New Roman"/>
          <w:spacing w:val="-5"/>
          <w:sz w:val="22"/>
          <w:szCs w:val="22"/>
        </w:rPr>
        <w:t>The patient’s antigen t</w:t>
      </w:r>
      <w:r>
        <w:rPr>
          <w:rFonts w:ascii="Times New Roman" w:hAnsi="Times New Roman"/>
          <w:spacing w:val="-5"/>
          <w:sz w:val="22"/>
          <w:szCs w:val="22"/>
        </w:rPr>
        <w:t xml:space="preserve">yping information will display in </w:t>
      </w:r>
      <w:r w:rsidRPr="006E44D8">
        <w:rPr>
          <w:rFonts w:ascii="Times New Roman" w:hAnsi="Times New Roman"/>
          <w:spacing w:val="-5"/>
          <w:sz w:val="22"/>
          <w:szCs w:val="22"/>
        </w:rPr>
        <w:t>Display Patient VBECS Data, but will not appear as part of the Transfusion Requirements or Special Instructi</w:t>
      </w:r>
      <w:r>
        <w:rPr>
          <w:rFonts w:ascii="Times New Roman" w:hAnsi="Times New Roman"/>
          <w:spacing w:val="-5"/>
          <w:sz w:val="22"/>
          <w:szCs w:val="22"/>
        </w:rPr>
        <w:t xml:space="preserve">ons that display in </w:t>
      </w:r>
      <w:r w:rsidRPr="006E44D8">
        <w:rPr>
          <w:rFonts w:ascii="Times New Roman" w:hAnsi="Times New Roman"/>
          <w:spacing w:val="-5"/>
          <w:sz w:val="22"/>
          <w:szCs w:val="22"/>
        </w:rPr>
        <w:t>Display Patient Transfusion Requirements and Special Instructions.</w:t>
      </w:r>
    </w:p>
    <w:p w:rsidR="00BE554D" w:rsidRPr="00E82F44" w:rsidRDefault="00E82F44" w:rsidP="00BE554D">
      <w:pPr>
        <w:pStyle w:val="TableText"/>
        <w:numPr>
          <w:ilvl w:val="0"/>
          <w:numId w:val="51"/>
        </w:numPr>
        <w:rPr>
          <w:rFonts w:ascii="Times New Roman" w:hAnsi="Times New Roman"/>
          <w:spacing w:val="-5"/>
          <w:sz w:val="22"/>
          <w:szCs w:val="22"/>
        </w:rPr>
      </w:pPr>
      <w:r w:rsidRPr="00E82F44">
        <w:rPr>
          <w:rFonts w:ascii="Times New Roman" w:hAnsi="Times New Roman"/>
          <w:vanish/>
          <w:spacing w:val="-5"/>
          <w:sz w:val="22"/>
          <w:szCs w:val="22"/>
        </w:rPr>
        <w:t xml:space="preserve">Defect 279095 </w:t>
      </w:r>
      <w:r w:rsidR="00BE554D" w:rsidRPr="00E82F44">
        <w:rPr>
          <w:rFonts w:ascii="Times New Roman" w:hAnsi="Times New Roman"/>
          <w:spacing w:val="-5"/>
          <w:sz w:val="22"/>
          <w:szCs w:val="22"/>
        </w:rPr>
        <w:t>When the Antibody Screen test is configured with a Direct Antiglobulin Test (DAT) for manual testing, that DAT test must be executed as a separate test when using an automated instrument for testing and displays on the DAT tab, not the TAS tab.</w:t>
      </w:r>
      <w:r w:rsidR="00770FF0">
        <w:rPr>
          <w:rFonts w:ascii="Times New Roman" w:hAnsi="Times New Roman"/>
          <w:spacing w:val="-5"/>
          <w:sz w:val="22"/>
          <w:szCs w:val="22"/>
        </w:rPr>
        <w:t xml:space="preserve"> </w:t>
      </w:r>
      <w:r w:rsidR="00770FF0" w:rsidRPr="00770FF0">
        <w:rPr>
          <w:rFonts w:ascii="Times New Roman" w:hAnsi="Times New Roman"/>
          <w:spacing w:val="-5"/>
          <w:sz w:val="22"/>
          <w:szCs w:val="22"/>
        </w:rPr>
        <w:t xml:space="preserve">Attempts to send the DAT to VBECS without a separate standalone DAT order (either a DAT ordered in CPRS or a Reflex DAT entered in VBECS) will result </w:t>
      </w:r>
      <w:r w:rsidR="00770FF0" w:rsidRPr="00770FF0">
        <w:rPr>
          <w:rFonts w:ascii="Times New Roman" w:hAnsi="Times New Roman"/>
          <w:spacing w:val="-5"/>
          <w:sz w:val="22"/>
          <w:szCs w:val="22"/>
        </w:rPr>
        <w:lastRenderedPageBreak/>
        <w:t>in a rejection of the DAT result message. Users must have a separate DAT test pending in order to send test results from the Automated Instrument.</w:t>
      </w:r>
    </w:p>
    <w:p w:rsidR="00BE554D" w:rsidRDefault="00BE554D" w:rsidP="002275D4">
      <w:pPr>
        <w:pStyle w:val="TableText"/>
        <w:numPr>
          <w:ilvl w:val="0"/>
          <w:numId w:val="51"/>
        </w:numPr>
        <w:rPr>
          <w:rFonts w:ascii="Times New Roman" w:hAnsi="Times New Roman"/>
          <w:spacing w:val="-5"/>
          <w:sz w:val="22"/>
          <w:szCs w:val="22"/>
        </w:rPr>
      </w:pPr>
      <w:r w:rsidRPr="006E44D8">
        <w:rPr>
          <w:rFonts w:ascii="Times New Roman" w:hAnsi="Times New Roman"/>
          <w:spacing w:val="-5"/>
          <w:sz w:val="22"/>
          <w:szCs w:val="22"/>
        </w:rPr>
        <w:t>When Workload is</w:t>
      </w:r>
      <w:r>
        <w:rPr>
          <w:rFonts w:ascii="Times New Roman" w:hAnsi="Times New Roman"/>
          <w:spacing w:val="-5"/>
          <w:sz w:val="22"/>
          <w:szCs w:val="22"/>
        </w:rPr>
        <w:t xml:space="preserve"> not configured per </w:t>
      </w:r>
      <w:r w:rsidRPr="006E44D8">
        <w:rPr>
          <w:rFonts w:ascii="Times New Roman" w:hAnsi="Times New Roman"/>
          <w:spacing w:val="-5"/>
          <w:sz w:val="22"/>
          <w:szCs w:val="22"/>
        </w:rPr>
        <w:t>Workload Codes, then Workload cannot be collected.</w:t>
      </w:r>
    </w:p>
    <w:p w:rsidR="00ED1FEE" w:rsidRPr="00ED1FEE" w:rsidRDefault="00ED1FEE" w:rsidP="00ED1FEE">
      <w:pPr>
        <w:pStyle w:val="TableText"/>
        <w:numPr>
          <w:ilvl w:val="0"/>
          <w:numId w:val="51"/>
        </w:numPr>
        <w:rPr>
          <w:rFonts w:ascii="Times New Roman" w:hAnsi="Times New Roman"/>
          <w:spacing w:val="-5"/>
          <w:sz w:val="22"/>
          <w:szCs w:val="22"/>
        </w:rPr>
      </w:pPr>
      <w:r w:rsidRPr="00672710">
        <w:rPr>
          <w:rFonts w:ascii="Times New Roman" w:hAnsi="Times New Roman"/>
          <w:spacing w:val="-5"/>
          <w:sz w:val="22"/>
          <w:szCs w:val="22"/>
        </w:rPr>
        <w:t>Review comment entered for ABO/Rh test results from an automated instrument is associated with both ABO and Rh interpretation and will be displayed for both on reports.</w:t>
      </w:r>
      <w:r>
        <w:rPr>
          <w:rFonts w:ascii="Times New Roman" w:hAnsi="Times New Roman"/>
          <w:spacing w:val="-5"/>
          <w:sz w:val="22"/>
          <w:szCs w:val="22"/>
        </w:rPr>
        <w:t xml:space="preserve"> </w:t>
      </w:r>
      <w:r w:rsidRPr="00672710">
        <w:rPr>
          <w:rFonts w:ascii="Times New Roman" w:hAnsi="Times New Roman"/>
          <w:vanish/>
          <w:spacing w:val="-5"/>
          <w:sz w:val="22"/>
          <w:szCs w:val="22"/>
        </w:rPr>
        <w:t>Defect 382981</w:t>
      </w:r>
    </w:p>
    <w:p w:rsidR="00BE554D" w:rsidRDefault="00BE554D" w:rsidP="00BE554D">
      <w:pPr>
        <w:pStyle w:val="Heading4"/>
        <w:rPr>
          <w:b w:val="0"/>
        </w:rPr>
      </w:pPr>
      <w:r>
        <w:t>User Roles with Access to This Option</w:t>
      </w:r>
      <w:r>
        <w:rPr>
          <w:b w:val="0"/>
        </w:rPr>
        <w:t xml:space="preserve"> </w:t>
      </w:r>
    </w:p>
    <w:p w:rsidR="00BE554D" w:rsidRDefault="00BE554D" w:rsidP="00BE554D">
      <w:pPr>
        <w:pStyle w:val="Roles"/>
      </w:pPr>
      <w:r>
        <w:t>All users</w:t>
      </w:r>
    </w:p>
    <w:p w:rsidR="00BE554D" w:rsidRPr="00311A54" w:rsidRDefault="00BE554D" w:rsidP="00BE554D">
      <w:pPr>
        <w:pStyle w:val="Heading4"/>
      </w:pPr>
      <w:r w:rsidRPr="00311A54">
        <w:t>Automated Testing Review</w:t>
      </w:r>
    </w:p>
    <w:p w:rsidR="00BE554D" w:rsidRDefault="00BE554D" w:rsidP="00BE554D">
      <w:pPr>
        <w:pStyle w:val="BodyText"/>
      </w:pPr>
      <w:r>
        <w:t>This feature allows the interface of automated blood banking instruments with VBECS through Data Innovations Instrument Manager. It eliminates the potential for human error associated with the manual entry of results from an automated instrument into VBECS. It also eliminates the potential for transcription errors that can lead to a patient safety issue of ABO incompatible transfusion. In addition to safety, these enhancements will also reduce the time spent entering results manually</w:t>
      </w:r>
      <w:r w:rsidRPr="00311A54">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BE554D" w:rsidTr="00381224">
        <w:tblPrEx>
          <w:tblCellMar>
            <w:top w:w="0" w:type="dxa"/>
            <w:bottom w:w="0" w:type="dxa"/>
          </w:tblCellMar>
        </w:tblPrEx>
        <w:trPr>
          <w:cantSplit/>
          <w:tblHeader/>
        </w:trPr>
        <w:tc>
          <w:tcPr>
            <w:tcW w:w="3240" w:type="dxa"/>
            <w:shd w:val="pct30" w:color="auto" w:fill="FFFFFF"/>
            <w:vAlign w:val="bottom"/>
          </w:tcPr>
          <w:p w:rsidR="00BE554D" w:rsidRDefault="00BE554D" w:rsidP="00381224">
            <w:pPr>
              <w:pStyle w:val="TableText"/>
              <w:rPr>
                <w:b/>
              </w:rPr>
            </w:pPr>
            <w:r>
              <w:rPr>
                <w:b/>
              </w:rPr>
              <w:t>User Action</w:t>
            </w:r>
          </w:p>
        </w:tc>
        <w:tc>
          <w:tcPr>
            <w:tcW w:w="6120" w:type="dxa"/>
            <w:shd w:val="pct30" w:color="auto" w:fill="FFFFFF"/>
            <w:vAlign w:val="bottom"/>
          </w:tcPr>
          <w:p w:rsidR="00BE554D" w:rsidRDefault="00BE554D" w:rsidP="00381224">
            <w:pPr>
              <w:pStyle w:val="TableText"/>
              <w:rPr>
                <w:b/>
              </w:rPr>
            </w:pPr>
            <w:r>
              <w:rPr>
                <w:b/>
              </w:rPr>
              <w:t>VBECS</w:t>
            </w:r>
          </w:p>
        </w:tc>
      </w:tr>
      <w:tr w:rsidR="00BE554D" w:rsidTr="00381224">
        <w:tblPrEx>
          <w:tblCellMar>
            <w:top w:w="0" w:type="dxa"/>
            <w:bottom w:w="0" w:type="dxa"/>
          </w:tblCellMar>
        </w:tblPrEx>
        <w:tc>
          <w:tcPr>
            <w:tcW w:w="3240" w:type="dxa"/>
          </w:tcPr>
          <w:p w:rsidR="001631DF" w:rsidRDefault="001631DF" w:rsidP="00DB7466">
            <w:pPr>
              <w:pStyle w:val="TableTextNumbers"/>
              <w:numPr>
                <w:ilvl w:val="0"/>
                <w:numId w:val="56"/>
              </w:numPr>
            </w:pPr>
            <w:r>
              <w:t xml:space="preserve">User logs into VBECS and selects </w:t>
            </w:r>
            <w:r>
              <w:rPr>
                <w:b/>
              </w:rPr>
              <w:t>Patients</w:t>
            </w:r>
            <w:r w:rsidRPr="001631DF">
              <w:rPr>
                <w:b/>
              </w:rPr>
              <w:t>, Automated Testing</w:t>
            </w:r>
            <w:r>
              <w:t xml:space="preserve"> from the main menu.</w:t>
            </w:r>
          </w:p>
          <w:p w:rsidR="001631DF" w:rsidRDefault="001631DF" w:rsidP="001631DF">
            <w:pPr>
              <w:pStyle w:val="TableTextNumbers"/>
              <w:numPr>
                <w:ilvl w:val="0"/>
                <w:numId w:val="0"/>
              </w:numPr>
              <w:ind w:left="288"/>
            </w:pPr>
          </w:p>
          <w:p w:rsidR="001631DF" w:rsidRDefault="001631DF" w:rsidP="001631DF">
            <w:pPr>
              <w:pStyle w:val="TableTextNumbers"/>
              <w:numPr>
                <w:ilvl w:val="0"/>
                <w:numId w:val="0"/>
              </w:numPr>
              <w:ind w:left="288"/>
            </w:pPr>
            <w:r>
              <w:t>Or</w:t>
            </w:r>
          </w:p>
          <w:p w:rsidR="001631DF" w:rsidRDefault="001631DF" w:rsidP="001631DF">
            <w:pPr>
              <w:pStyle w:val="TableTextNumbers"/>
              <w:numPr>
                <w:ilvl w:val="0"/>
                <w:numId w:val="0"/>
              </w:numPr>
              <w:ind w:left="288"/>
            </w:pPr>
          </w:p>
          <w:p w:rsidR="00BE554D" w:rsidRDefault="001631DF" w:rsidP="001631DF">
            <w:pPr>
              <w:pStyle w:val="TableTextNumbers"/>
              <w:numPr>
                <w:ilvl w:val="0"/>
                <w:numId w:val="0"/>
              </w:numPr>
              <w:ind w:left="288"/>
            </w:pPr>
            <w:r>
              <w:t xml:space="preserve">User logs into VBECS and clicks on the </w:t>
            </w:r>
            <w:r w:rsidRPr="001631DF">
              <w:rPr>
                <w:b/>
              </w:rPr>
              <w:t>Automated Testing Toolbar Icon</w:t>
            </w:r>
            <w:r>
              <w:t xml:space="preserve"> (patient face with lighting bolt)</w:t>
            </w:r>
          </w:p>
        </w:tc>
        <w:tc>
          <w:tcPr>
            <w:tcW w:w="6120" w:type="dxa"/>
          </w:tcPr>
          <w:p w:rsidR="001631DF" w:rsidRDefault="00D279DE" w:rsidP="001631DF">
            <w:pPr>
              <w:pStyle w:val="TableTextBullet"/>
            </w:pPr>
            <w:r>
              <w:t>Displays</w:t>
            </w:r>
            <w:r w:rsidR="001631DF">
              <w:t xml:space="preserve"> the Automated Testing – Pending Patient Orders window.</w:t>
            </w:r>
          </w:p>
          <w:p w:rsidR="001631DF" w:rsidRDefault="001631DF" w:rsidP="001631DF">
            <w:pPr>
              <w:pStyle w:val="TableTextBullet"/>
            </w:pPr>
            <w:r>
              <w:rPr>
                <w:rFonts w:cs="Arial"/>
                <w:vanish/>
              </w:rPr>
              <w:t xml:space="preserve">BR_85.02 </w:t>
            </w:r>
            <w:r w:rsidR="00D279DE">
              <w:t xml:space="preserve">Allows a user </w:t>
            </w:r>
            <w:r>
              <w:t>to select a patient.</w:t>
            </w:r>
          </w:p>
          <w:p w:rsidR="001631DF" w:rsidRDefault="001631DF" w:rsidP="001631DF">
            <w:pPr>
              <w:pStyle w:val="TableTextBullet"/>
            </w:pPr>
            <w:r>
              <w:t xml:space="preserve">Displays message when no pending </w:t>
            </w:r>
            <w:r w:rsidR="004A39DB">
              <w:t>patient specimens</w:t>
            </w:r>
            <w:r>
              <w:t xml:space="preserve"> were found to review.</w:t>
            </w:r>
          </w:p>
          <w:p w:rsidR="00BE554D" w:rsidRDefault="00BE554D" w:rsidP="00381224">
            <w:pPr>
              <w:pStyle w:val="TableTextBullet"/>
              <w:numPr>
                <w:ilvl w:val="0"/>
                <w:numId w:val="0"/>
              </w:numPr>
              <w:ind w:left="288" w:hanging="288"/>
            </w:pPr>
          </w:p>
          <w:p w:rsidR="00BE554D" w:rsidRDefault="00634BFC" w:rsidP="00381224">
            <w:pPr>
              <w:pStyle w:val="TableText"/>
              <w:rPr>
                <w:b/>
                <w:bCs/>
                <w:szCs w:val="18"/>
              </w:rPr>
            </w:pPr>
            <w:r>
              <w:rPr>
                <w:b/>
                <w:bCs/>
                <w:noProof/>
              </w:rPr>
              <mc:AlternateContent>
                <mc:Choice Requires="wps">
                  <w:drawing>
                    <wp:anchor distT="0" distB="0" distL="114300" distR="114300" simplePos="0" relativeHeight="25181337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08" name="Line 1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0" o:spid="_x0000_s1026" style="position:absolute;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f5FgIAAC4EAAAOAAAAZHJzL2Uyb0RvYy54bWysU8GO2jAQvVfqP1i+QxLIUo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DB&#10;PJf5FgIAAC4EAAAOAAAAAAAAAAAAAAAAAC4CAABkcnMvZTJvRG9jLnhtbFBLAQItABQABgAIAAAA&#10;IQAXTzAS2wAAAAgBAAAPAAAAAAAAAAAAAAAAAHAEAABkcnMvZG93bnJldi54bWxQSwUGAAAAAAQA&#10;BADzAAAAeAUAAAAA&#10;" strokeweight="1.5pt"/>
                  </w:pict>
                </mc:Fallback>
              </mc:AlternateContent>
            </w:r>
            <w:r w:rsidR="00BE554D">
              <w:rPr>
                <w:b/>
                <w:bCs/>
                <w:szCs w:val="18"/>
              </w:rPr>
              <w:t>NOTES</w:t>
            </w:r>
          </w:p>
          <w:p w:rsidR="00BE554D" w:rsidRDefault="00BE554D" w:rsidP="00381224">
            <w:pPr>
              <w:pStyle w:val="NotesText"/>
            </w:pPr>
          </w:p>
          <w:p w:rsidR="001631DF" w:rsidRDefault="001631DF" w:rsidP="001631DF">
            <w:pPr>
              <w:pStyle w:val="TableText"/>
              <w:ind w:left="720"/>
            </w:pPr>
            <w:r w:rsidRPr="00425938">
              <w:rPr>
                <w:vanish/>
              </w:rPr>
              <w:t xml:space="preserve">BR_2.43 </w:t>
            </w:r>
            <w:r>
              <w:t>The functionality is not accessible if division is defined as a Transfusion Only facility.</w:t>
            </w:r>
          </w:p>
          <w:p w:rsidR="001631DF" w:rsidRDefault="001631DF" w:rsidP="001631DF">
            <w:pPr>
              <w:pStyle w:val="NotesText"/>
            </w:pPr>
          </w:p>
          <w:p w:rsidR="001631DF" w:rsidRDefault="001631DF" w:rsidP="001631DF">
            <w:pPr>
              <w:pStyle w:val="TableText"/>
              <w:ind w:left="720"/>
            </w:pPr>
            <w:r w:rsidRPr="00F47ABD">
              <w:rPr>
                <w:vanish/>
              </w:rPr>
              <w:t xml:space="preserve">BR_115.03 </w:t>
            </w:r>
            <w:r>
              <w:t>The list displayed contains only those patients associated with pending results from an instrument message.</w:t>
            </w:r>
          </w:p>
          <w:p w:rsidR="001631DF" w:rsidRDefault="001631DF" w:rsidP="001631DF">
            <w:pPr>
              <w:pStyle w:val="TableText"/>
              <w:ind w:left="720"/>
            </w:pPr>
          </w:p>
          <w:p w:rsidR="001631DF" w:rsidRDefault="001631DF" w:rsidP="001631DF">
            <w:pPr>
              <w:pStyle w:val="TableText"/>
              <w:ind w:left="720"/>
            </w:pPr>
            <w:r w:rsidRPr="00F47ABD">
              <w:rPr>
                <w:vanish/>
              </w:rPr>
              <w:t xml:space="preserve">BR_115.04 </w:t>
            </w:r>
            <w:r>
              <w:t>System displays a list of patients who have pending test results from Auto Instrument including the following information:</w:t>
            </w:r>
          </w:p>
          <w:p w:rsidR="001631DF" w:rsidRDefault="001631DF" w:rsidP="001631DF">
            <w:pPr>
              <w:pStyle w:val="TableText"/>
              <w:numPr>
                <w:ilvl w:val="0"/>
                <w:numId w:val="52"/>
              </w:numPr>
            </w:pPr>
            <w:r>
              <w:t>Patient name</w:t>
            </w:r>
          </w:p>
          <w:p w:rsidR="001631DF" w:rsidRDefault="001631DF" w:rsidP="001631DF">
            <w:pPr>
              <w:pStyle w:val="TableText"/>
              <w:numPr>
                <w:ilvl w:val="0"/>
                <w:numId w:val="52"/>
              </w:numPr>
            </w:pPr>
            <w:r>
              <w:t>Patient ID</w:t>
            </w:r>
          </w:p>
          <w:p w:rsidR="001631DF" w:rsidRDefault="001631DF" w:rsidP="001631DF">
            <w:pPr>
              <w:pStyle w:val="TableText"/>
              <w:numPr>
                <w:ilvl w:val="0"/>
                <w:numId w:val="52"/>
              </w:numPr>
            </w:pPr>
            <w:r>
              <w:t>Patient Historic ABO/Rh</w:t>
            </w:r>
          </w:p>
          <w:p w:rsidR="001631DF" w:rsidRDefault="001631DF" w:rsidP="001631DF">
            <w:pPr>
              <w:pStyle w:val="TableText"/>
              <w:numPr>
                <w:ilvl w:val="0"/>
                <w:numId w:val="52"/>
              </w:numPr>
            </w:pPr>
            <w:r>
              <w:t>Specimen UIDs</w:t>
            </w:r>
          </w:p>
          <w:p w:rsidR="00BE554D" w:rsidRPr="000D7828" w:rsidRDefault="00D00CAC" w:rsidP="000D7828">
            <w:pPr>
              <w:pStyle w:val="TableText"/>
              <w:numPr>
                <w:ilvl w:val="0"/>
                <w:numId w:val="52"/>
              </w:numPr>
            </w:pPr>
            <w:r>
              <w:t>List of pending auto instrument tests for patient</w:t>
            </w:r>
          </w:p>
        </w:tc>
      </w:tr>
      <w:tr w:rsidR="00BE554D" w:rsidTr="00381224">
        <w:tblPrEx>
          <w:tblCellMar>
            <w:top w:w="0" w:type="dxa"/>
            <w:bottom w:w="0" w:type="dxa"/>
          </w:tblCellMar>
        </w:tblPrEx>
        <w:tc>
          <w:tcPr>
            <w:tcW w:w="3240" w:type="dxa"/>
          </w:tcPr>
          <w:p w:rsidR="001631DF" w:rsidRPr="00061040" w:rsidRDefault="00BE554D" w:rsidP="00381224">
            <w:pPr>
              <w:pStyle w:val="TableTextNumbers"/>
            </w:pPr>
            <w:r w:rsidRPr="00061040">
              <w:t xml:space="preserve">User selects </w:t>
            </w:r>
            <w:r w:rsidR="00D044A1" w:rsidRPr="00061040">
              <w:t>the</w:t>
            </w:r>
            <w:r w:rsidR="001631DF" w:rsidRPr="00061040">
              <w:t xml:space="preserve"> </w:t>
            </w:r>
            <w:r w:rsidR="00D044A1" w:rsidRPr="00061040">
              <w:t>p</w:t>
            </w:r>
            <w:r w:rsidR="001631DF" w:rsidRPr="00061040">
              <w:t>atient to review from the list of pending results</w:t>
            </w:r>
            <w:r w:rsidR="00D044A1" w:rsidRPr="00061040">
              <w:t xml:space="preserve"> and clicks </w:t>
            </w:r>
            <w:r w:rsidR="00D044A1" w:rsidRPr="00061040">
              <w:rPr>
                <w:b/>
              </w:rPr>
              <w:t>OK</w:t>
            </w:r>
            <w:r w:rsidR="00D044A1" w:rsidRPr="00061040">
              <w:t>.</w:t>
            </w:r>
          </w:p>
          <w:p w:rsidR="00BE554D" w:rsidRDefault="00BE554D" w:rsidP="001631DF">
            <w:pPr>
              <w:pStyle w:val="TableTextNumbers"/>
              <w:numPr>
                <w:ilvl w:val="0"/>
                <w:numId w:val="0"/>
              </w:numPr>
              <w:ind w:left="288"/>
            </w:pPr>
          </w:p>
        </w:tc>
        <w:tc>
          <w:tcPr>
            <w:tcW w:w="6120" w:type="dxa"/>
          </w:tcPr>
          <w:p w:rsidR="00D044A1" w:rsidRDefault="00D044A1" w:rsidP="00D044A1">
            <w:pPr>
              <w:pStyle w:val="TableTextBullet"/>
            </w:pPr>
            <w:r>
              <w:rPr>
                <w:rFonts w:cs="Arial"/>
                <w:vanish/>
              </w:rPr>
              <w:t xml:space="preserve">BR_115.14 </w:t>
            </w:r>
            <w:r w:rsidR="00D279DE">
              <w:t>D</w:t>
            </w:r>
            <w:r>
              <w:t>isplays information about the patient selected.</w:t>
            </w:r>
          </w:p>
          <w:p w:rsidR="00BE554D" w:rsidRDefault="00BE554D" w:rsidP="00381224">
            <w:pPr>
              <w:pStyle w:val="TableTextBullet"/>
              <w:numPr>
                <w:ilvl w:val="0"/>
                <w:numId w:val="0"/>
              </w:numPr>
              <w:ind w:left="288" w:hanging="288"/>
            </w:pPr>
          </w:p>
          <w:p w:rsidR="00BE554D" w:rsidRDefault="00634BFC" w:rsidP="00381224">
            <w:pPr>
              <w:pStyle w:val="TableText"/>
              <w:rPr>
                <w:b/>
                <w:bCs/>
                <w:szCs w:val="18"/>
              </w:rPr>
            </w:pPr>
            <w:r>
              <w:rPr>
                <w:b/>
                <w:bCs/>
                <w:noProof/>
              </w:rPr>
              <mc:AlternateContent>
                <mc:Choice Requires="wps">
                  <w:drawing>
                    <wp:anchor distT="0" distB="0" distL="114300" distR="114300" simplePos="0" relativeHeight="25181440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07" name="Line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1" o:spid="_x0000_s1026" style="position:absolute;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MEGAIAAC4EAAAOAAAAZHJzL2Uyb0RvYy54bWysU8uO2jAU3VfqP1jeQxLI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" strokeweight="1.5pt"/>
                  </w:pict>
                </mc:Fallback>
              </mc:AlternateContent>
            </w:r>
            <w:r w:rsidR="00BE554D">
              <w:rPr>
                <w:b/>
                <w:bCs/>
                <w:szCs w:val="18"/>
              </w:rPr>
              <w:t>NOTES</w:t>
            </w:r>
          </w:p>
          <w:p w:rsidR="00BE554D" w:rsidRDefault="00BE554D" w:rsidP="00381224">
            <w:pPr>
              <w:pStyle w:val="NotesText"/>
            </w:pPr>
          </w:p>
          <w:p w:rsidR="00BE554D" w:rsidRDefault="00BE554D" w:rsidP="00381224">
            <w:pPr>
              <w:pStyle w:val="TableText"/>
              <w:ind w:left="720"/>
            </w:pPr>
            <w:r w:rsidRPr="00F47ABD">
              <w:rPr>
                <w:vanish/>
              </w:rPr>
              <w:t xml:space="preserve">BR_115.03 </w:t>
            </w:r>
            <w:r>
              <w:t>The list displayed contains only those patients associated with pending results from an instrument message.</w:t>
            </w:r>
          </w:p>
          <w:p w:rsidR="00D044A1" w:rsidRDefault="00D044A1" w:rsidP="00381224">
            <w:pPr>
              <w:pStyle w:val="TableText"/>
              <w:ind w:left="720"/>
            </w:pPr>
          </w:p>
          <w:p w:rsidR="00BE554D" w:rsidRDefault="00BE554D" w:rsidP="00381224">
            <w:pPr>
              <w:pStyle w:val="TableText"/>
              <w:ind w:left="720"/>
            </w:pPr>
            <w:r w:rsidRPr="00F47ABD">
              <w:rPr>
                <w:vanish/>
              </w:rPr>
              <w:t xml:space="preserve">BR_115.04 </w:t>
            </w:r>
            <w:r>
              <w:t>System displays a list of patients who have pending test results from Auto Instrument including the following information:</w:t>
            </w:r>
          </w:p>
          <w:p w:rsidR="00BE554D" w:rsidRDefault="00BE554D" w:rsidP="00381224">
            <w:pPr>
              <w:pStyle w:val="TableText"/>
              <w:numPr>
                <w:ilvl w:val="0"/>
                <w:numId w:val="52"/>
              </w:numPr>
            </w:pPr>
            <w:r>
              <w:t>Patient name</w:t>
            </w:r>
          </w:p>
          <w:p w:rsidR="00BE554D" w:rsidRDefault="00BE554D" w:rsidP="00381224">
            <w:pPr>
              <w:pStyle w:val="TableText"/>
              <w:numPr>
                <w:ilvl w:val="0"/>
                <w:numId w:val="52"/>
              </w:numPr>
            </w:pPr>
            <w:r>
              <w:t>Patient ID</w:t>
            </w:r>
          </w:p>
          <w:p w:rsidR="00BE554D" w:rsidRDefault="00BE554D" w:rsidP="00381224">
            <w:pPr>
              <w:pStyle w:val="TableText"/>
              <w:numPr>
                <w:ilvl w:val="0"/>
                <w:numId w:val="52"/>
              </w:numPr>
            </w:pPr>
            <w:r>
              <w:t>Patient Historic ABO/Rh</w:t>
            </w:r>
          </w:p>
          <w:p w:rsidR="00BE554D" w:rsidRDefault="00BE554D" w:rsidP="00381224">
            <w:pPr>
              <w:pStyle w:val="TableText"/>
              <w:numPr>
                <w:ilvl w:val="0"/>
                <w:numId w:val="52"/>
              </w:numPr>
            </w:pPr>
            <w:r>
              <w:t>Specimen UIDs</w:t>
            </w:r>
          </w:p>
          <w:p w:rsidR="00BE554D" w:rsidRDefault="00BE554D" w:rsidP="00381224">
            <w:pPr>
              <w:pStyle w:val="TableText"/>
              <w:numPr>
                <w:ilvl w:val="0"/>
                <w:numId w:val="52"/>
              </w:numPr>
            </w:pPr>
            <w:r>
              <w:t>List of pending auto instrument tests for patient</w:t>
            </w:r>
          </w:p>
          <w:p w:rsidR="00D044A1" w:rsidRDefault="00D044A1" w:rsidP="00D044A1">
            <w:pPr>
              <w:pStyle w:val="TableText"/>
              <w:ind w:left="720"/>
              <w:rPr>
                <w:vanish/>
              </w:rPr>
            </w:pPr>
          </w:p>
          <w:p w:rsidR="00D044A1" w:rsidRDefault="00D044A1" w:rsidP="00D044A1">
            <w:pPr>
              <w:pStyle w:val="TableText"/>
              <w:ind w:left="720"/>
            </w:pPr>
            <w:r w:rsidRPr="00F47ABD">
              <w:rPr>
                <w:vanish/>
              </w:rPr>
              <w:t xml:space="preserve">BR_115.14 </w:t>
            </w:r>
            <w:r>
              <w:t>When patient is selected the system displays the following information:</w:t>
            </w:r>
          </w:p>
          <w:p w:rsidR="00D044A1" w:rsidRDefault="00D044A1" w:rsidP="00D044A1">
            <w:pPr>
              <w:pStyle w:val="TableText"/>
              <w:numPr>
                <w:ilvl w:val="0"/>
                <w:numId w:val="52"/>
              </w:numPr>
            </w:pPr>
            <w:r>
              <w:t>Patient name</w:t>
            </w:r>
          </w:p>
          <w:p w:rsidR="00D044A1" w:rsidRDefault="00D044A1" w:rsidP="00D044A1">
            <w:pPr>
              <w:pStyle w:val="TableText"/>
              <w:numPr>
                <w:ilvl w:val="0"/>
                <w:numId w:val="52"/>
              </w:numPr>
            </w:pPr>
            <w:r>
              <w:lastRenderedPageBreak/>
              <w:t>Patient ID</w:t>
            </w:r>
          </w:p>
          <w:p w:rsidR="00D044A1" w:rsidRDefault="00D044A1" w:rsidP="00D044A1">
            <w:pPr>
              <w:pStyle w:val="TableText"/>
              <w:numPr>
                <w:ilvl w:val="0"/>
                <w:numId w:val="52"/>
              </w:numPr>
            </w:pPr>
            <w:r>
              <w:t>Patient DOB</w:t>
            </w:r>
          </w:p>
          <w:p w:rsidR="00D044A1" w:rsidRDefault="00D044A1" w:rsidP="00D044A1">
            <w:pPr>
              <w:pStyle w:val="TableText"/>
              <w:numPr>
                <w:ilvl w:val="0"/>
                <w:numId w:val="52"/>
              </w:numPr>
            </w:pPr>
            <w:r>
              <w:t>Patient Historic ABO/Rh</w:t>
            </w:r>
          </w:p>
          <w:p w:rsidR="00D044A1" w:rsidRDefault="00D044A1" w:rsidP="00D044A1">
            <w:pPr>
              <w:pStyle w:val="TableText"/>
              <w:numPr>
                <w:ilvl w:val="0"/>
                <w:numId w:val="52"/>
              </w:numPr>
            </w:pPr>
            <w:r>
              <w:t>Patient Sex</w:t>
            </w:r>
          </w:p>
          <w:p w:rsidR="00D044A1" w:rsidRDefault="00D044A1" w:rsidP="00D044A1">
            <w:pPr>
              <w:pStyle w:val="TableText"/>
              <w:numPr>
                <w:ilvl w:val="0"/>
                <w:numId w:val="52"/>
              </w:numPr>
            </w:pPr>
            <w:r>
              <w:t>Patient location</w:t>
            </w:r>
          </w:p>
          <w:p w:rsidR="00D044A1" w:rsidRDefault="00D044A1" w:rsidP="00D044A1">
            <w:pPr>
              <w:pStyle w:val="TableText"/>
            </w:pPr>
          </w:p>
        </w:tc>
      </w:tr>
      <w:tr w:rsidR="00BE554D" w:rsidTr="00381224">
        <w:tblPrEx>
          <w:tblCellMar>
            <w:top w:w="0" w:type="dxa"/>
            <w:bottom w:w="0" w:type="dxa"/>
          </w:tblCellMar>
        </w:tblPrEx>
        <w:tc>
          <w:tcPr>
            <w:tcW w:w="3240" w:type="dxa"/>
          </w:tcPr>
          <w:p w:rsidR="0071317D" w:rsidRDefault="00BE554D" w:rsidP="00381224">
            <w:pPr>
              <w:pStyle w:val="TableTextNumbers"/>
            </w:pPr>
            <w:r w:rsidRPr="00396B2B">
              <w:lastRenderedPageBreak/>
              <w:t>User selec</w:t>
            </w:r>
            <w:r>
              <w:t xml:space="preserve">ts </w:t>
            </w:r>
            <w:r w:rsidR="0071317D">
              <w:t>from the testing tabs that are enabled on the Automated Testing – Pending Specimen Tests window</w:t>
            </w:r>
            <w:r w:rsidR="00937534">
              <w:t xml:space="preserve"> (</w:t>
            </w:r>
            <w:r w:rsidR="00937534">
              <w:fldChar w:fldCharType="begin"/>
            </w:r>
            <w:r w:rsidR="00937534">
              <w:instrText xml:space="preserve"> REF _Ref447168245 \h </w:instrText>
            </w:r>
            <w:r w:rsidR="00937534">
              <w:fldChar w:fldCharType="separate"/>
            </w:r>
            <w:r w:rsidR="005F38BC">
              <w:t xml:space="preserve">Figure </w:t>
            </w:r>
            <w:r w:rsidR="005F38BC">
              <w:rPr>
                <w:noProof/>
              </w:rPr>
              <w:t>136</w:t>
            </w:r>
            <w:r w:rsidR="00937534">
              <w:fldChar w:fldCharType="end"/>
            </w:r>
            <w:r w:rsidR="00937534">
              <w:t>)</w:t>
            </w:r>
            <w:r w:rsidR="0071317D">
              <w:t>.</w:t>
            </w:r>
          </w:p>
          <w:p w:rsidR="0071317D" w:rsidRPr="0071317D" w:rsidRDefault="0071317D" w:rsidP="0071317D">
            <w:pPr>
              <w:pStyle w:val="TableTextNumbers"/>
              <w:numPr>
                <w:ilvl w:val="0"/>
                <w:numId w:val="0"/>
              </w:numPr>
              <w:ind w:left="288"/>
            </w:pPr>
          </w:p>
          <w:p w:rsidR="0071317D" w:rsidRDefault="002615AD" w:rsidP="0071317D">
            <w:pPr>
              <w:pStyle w:val="TableTextNumbers"/>
              <w:numPr>
                <w:ilvl w:val="0"/>
                <w:numId w:val="0"/>
              </w:numPr>
              <w:ind w:left="288"/>
            </w:pPr>
            <w:r w:rsidRPr="002615AD">
              <w:rPr>
                <w:b/>
              </w:rPr>
              <w:t>TAS</w:t>
            </w:r>
            <w:r>
              <w:t xml:space="preserve"> tab </w:t>
            </w:r>
          </w:p>
          <w:p w:rsidR="0071317D" w:rsidRPr="002615AD" w:rsidRDefault="0071317D" w:rsidP="0071317D">
            <w:pPr>
              <w:pStyle w:val="TableTextNumbers"/>
              <w:numPr>
                <w:ilvl w:val="0"/>
                <w:numId w:val="0"/>
              </w:numPr>
              <w:ind w:left="288"/>
              <w:rPr>
                <w:b/>
              </w:rPr>
            </w:pPr>
          </w:p>
          <w:p w:rsidR="00BE554D" w:rsidRDefault="002615AD" w:rsidP="0071317D">
            <w:pPr>
              <w:pStyle w:val="TableTextNumbers"/>
              <w:numPr>
                <w:ilvl w:val="0"/>
                <w:numId w:val="0"/>
              </w:numPr>
              <w:ind w:left="288"/>
            </w:pPr>
            <w:r w:rsidRPr="002615AD">
              <w:rPr>
                <w:b/>
              </w:rPr>
              <w:t>ABO/Rh</w:t>
            </w:r>
            <w:r>
              <w:t xml:space="preserve"> tab</w:t>
            </w:r>
          </w:p>
          <w:p w:rsidR="002615AD" w:rsidRDefault="002615AD" w:rsidP="0071317D">
            <w:pPr>
              <w:pStyle w:val="TableTextNumbers"/>
              <w:numPr>
                <w:ilvl w:val="0"/>
                <w:numId w:val="0"/>
              </w:numPr>
              <w:ind w:left="288"/>
            </w:pPr>
          </w:p>
          <w:p w:rsidR="002615AD" w:rsidRPr="002615AD" w:rsidRDefault="002615AD" w:rsidP="0071317D">
            <w:pPr>
              <w:pStyle w:val="TableTextNumbers"/>
              <w:numPr>
                <w:ilvl w:val="0"/>
                <w:numId w:val="0"/>
              </w:numPr>
              <w:ind w:left="288"/>
            </w:pPr>
            <w:r>
              <w:rPr>
                <w:b/>
              </w:rPr>
              <w:t>ABS</w:t>
            </w:r>
            <w:r>
              <w:t xml:space="preserve"> tab.</w:t>
            </w:r>
          </w:p>
          <w:p w:rsidR="002615AD" w:rsidRDefault="002615AD" w:rsidP="0071317D">
            <w:pPr>
              <w:pStyle w:val="TableTextNumbers"/>
              <w:numPr>
                <w:ilvl w:val="0"/>
                <w:numId w:val="0"/>
              </w:numPr>
              <w:ind w:left="288"/>
              <w:rPr>
                <w:b/>
              </w:rPr>
            </w:pPr>
          </w:p>
          <w:p w:rsidR="002615AD" w:rsidRDefault="002615AD" w:rsidP="0071317D">
            <w:pPr>
              <w:pStyle w:val="TableTextNumbers"/>
              <w:numPr>
                <w:ilvl w:val="0"/>
                <w:numId w:val="0"/>
              </w:numPr>
              <w:ind w:left="288"/>
            </w:pPr>
            <w:r>
              <w:rPr>
                <w:b/>
              </w:rPr>
              <w:t xml:space="preserve">DAT </w:t>
            </w:r>
            <w:r>
              <w:t>tab.</w:t>
            </w:r>
          </w:p>
          <w:p w:rsidR="0071317D" w:rsidRDefault="0071317D" w:rsidP="0071317D">
            <w:pPr>
              <w:pStyle w:val="TableTextNumbers"/>
              <w:numPr>
                <w:ilvl w:val="0"/>
                <w:numId w:val="0"/>
              </w:numPr>
              <w:ind w:left="288"/>
              <w:rPr>
                <w:b/>
              </w:rPr>
            </w:pPr>
          </w:p>
          <w:p w:rsidR="0071317D" w:rsidRPr="0071317D" w:rsidRDefault="0071317D" w:rsidP="0071317D">
            <w:pPr>
              <w:pStyle w:val="TableTextNumbers"/>
              <w:numPr>
                <w:ilvl w:val="0"/>
                <w:numId w:val="0"/>
              </w:numPr>
              <w:ind w:left="288"/>
            </w:pPr>
            <w:r>
              <w:rPr>
                <w:b/>
              </w:rPr>
              <w:t>An</w:t>
            </w:r>
            <w:r w:rsidR="00D3261A">
              <w:rPr>
                <w:b/>
              </w:rPr>
              <w:t>t</w:t>
            </w:r>
            <w:r>
              <w:rPr>
                <w:b/>
              </w:rPr>
              <w:t xml:space="preserve">igen Typing </w:t>
            </w:r>
            <w:r>
              <w:t>tab</w:t>
            </w:r>
          </w:p>
          <w:p w:rsidR="002615AD" w:rsidRDefault="002615AD" w:rsidP="0071317D">
            <w:pPr>
              <w:pStyle w:val="TableTextNumbers"/>
              <w:numPr>
                <w:ilvl w:val="0"/>
                <w:numId w:val="0"/>
              </w:numPr>
              <w:ind w:left="288"/>
              <w:rPr>
                <w:b/>
              </w:rPr>
            </w:pPr>
          </w:p>
          <w:p w:rsidR="002615AD" w:rsidRPr="002615AD" w:rsidRDefault="00E82F44" w:rsidP="0071317D">
            <w:pPr>
              <w:pStyle w:val="TableTextNumbers"/>
              <w:numPr>
                <w:ilvl w:val="0"/>
                <w:numId w:val="0"/>
              </w:numPr>
              <w:ind w:left="288"/>
            </w:pPr>
            <w:r>
              <w:t>See S</w:t>
            </w:r>
            <w:r w:rsidR="002615AD">
              <w:t xml:space="preserve">tep </w:t>
            </w:r>
            <w:r w:rsidR="00B16194">
              <w:t>7</w:t>
            </w:r>
            <w:r w:rsidR="002615AD">
              <w:t xml:space="preserve"> for process when the User selects </w:t>
            </w:r>
            <w:r w:rsidR="002615AD">
              <w:rPr>
                <w:b/>
              </w:rPr>
              <w:t>XMatch</w:t>
            </w:r>
            <w:r w:rsidR="002615AD">
              <w:t xml:space="preserve"> tab.</w:t>
            </w:r>
          </w:p>
          <w:p w:rsidR="002615AD" w:rsidRDefault="002615AD" w:rsidP="0071317D">
            <w:pPr>
              <w:pStyle w:val="TableTextNumbers"/>
              <w:numPr>
                <w:ilvl w:val="0"/>
                <w:numId w:val="0"/>
              </w:numPr>
              <w:ind w:left="288"/>
              <w:rPr>
                <w:b/>
              </w:rPr>
            </w:pPr>
          </w:p>
          <w:p w:rsidR="00BE554D" w:rsidRDefault="00BE554D" w:rsidP="0071317D">
            <w:pPr>
              <w:pStyle w:val="TableTextNumbers"/>
              <w:numPr>
                <w:ilvl w:val="0"/>
                <w:numId w:val="0"/>
              </w:numPr>
              <w:ind w:left="720"/>
            </w:pPr>
          </w:p>
        </w:tc>
        <w:tc>
          <w:tcPr>
            <w:tcW w:w="6120" w:type="dxa"/>
          </w:tcPr>
          <w:p w:rsidR="0071317D" w:rsidRDefault="00D279DE" w:rsidP="00381224">
            <w:pPr>
              <w:pStyle w:val="TableTextBullet"/>
            </w:pPr>
            <w:r>
              <w:t>D</w:t>
            </w:r>
            <w:r w:rsidR="0071317D">
              <w:t>isplays the first tab from the left side of the screen that has test results to review.</w:t>
            </w:r>
          </w:p>
          <w:p w:rsidR="0020636F" w:rsidRDefault="00D279DE" w:rsidP="00381224">
            <w:pPr>
              <w:pStyle w:val="TableTextBullet"/>
            </w:pPr>
            <w:r>
              <w:t>D</w:t>
            </w:r>
            <w:r w:rsidR="0020636F">
              <w:t>etermines that all appropriate test results were entered for the patient.</w:t>
            </w:r>
          </w:p>
          <w:p w:rsidR="00BE554D" w:rsidRDefault="00D279DE" w:rsidP="00381224">
            <w:pPr>
              <w:pStyle w:val="TableTextBullet"/>
            </w:pPr>
            <w:r>
              <w:t>V</w:t>
            </w:r>
            <w:r w:rsidR="0020636F">
              <w:t>alidates test results and displays Warning or Error indicator when results do not match expected pattern.</w:t>
            </w:r>
          </w:p>
          <w:p w:rsidR="0020636F" w:rsidRDefault="0020636F" w:rsidP="00381224">
            <w:pPr>
              <w:pStyle w:val="TableTextBullet"/>
            </w:pPr>
            <w:r>
              <w:t>Displays comments from the Automated Instrument.</w:t>
            </w:r>
          </w:p>
          <w:p w:rsidR="00BE554D" w:rsidRDefault="00BE554D" w:rsidP="00381224">
            <w:pPr>
              <w:pStyle w:val="TableText"/>
            </w:pPr>
          </w:p>
          <w:p w:rsidR="00BE554D" w:rsidRDefault="00634BFC" w:rsidP="00381224">
            <w:pPr>
              <w:pStyle w:val="TableText"/>
              <w:rPr>
                <w:b/>
                <w:bCs/>
                <w:szCs w:val="18"/>
              </w:rPr>
            </w:pPr>
            <w:r>
              <w:rPr>
                <w:b/>
                <w:bCs/>
                <w:noProof/>
              </w:rPr>
              <mc:AlternateContent>
                <mc:Choice Requires="wps">
                  <w:drawing>
                    <wp:anchor distT="0" distB="0" distL="114300" distR="114300" simplePos="0" relativeHeight="25181542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06" name="Line 1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3" o:spid="_x0000_s1026" style="position:absolute;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12SFQIAAC4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Pqv&#10;XZIVAgAALgQAAA4AAAAAAAAAAAAAAAAALgIAAGRycy9lMm9Eb2MueG1sUEsBAi0AFAAGAAgAAAAh&#10;ABdPMBLbAAAACAEAAA8AAAAAAAAAAAAAAAAAbwQAAGRycy9kb3ducmV2LnhtbFBLBQYAAAAABAAE&#10;APMAAAB3BQAAAAA=&#10;" strokeweight="1.5pt"/>
                  </w:pict>
                </mc:Fallback>
              </mc:AlternateContent>
            </w:r>
            <w:r w:rsidR="00BE554D">
              <w:rPr>
                <w:b/>
                <w:bCs/>
                <w:szCs w:val="18"/>
              </w:rPr>
              <w:t>NOTES</w:t>
            </w:r>
          </w:p>
          <w:p w:rsidR="00BE554D" w:rsidRDefault="00BE554D" w:rsidP="00381224">
            <w:pPr>
              <w:pStyle w:val="NotesText"/>
            </w:pPr>
          </w:p>
          <w:p w:rsidR="0020636F" w:rsidRDefault="0020636F" w:rsidP="00381224">
            <w:pPr>
              <w:pStyle w:val="TableText"/>
              <w:ind w:left="720"/>
              <w:rPr>
                <w:vanish/>
              </w:rPr>
            </w:pPr>
            <w:r w:rsidRPr="0020636F">
              <w:rPr>
                <w:vanish/>
              </w:rPr>
              <w:t xml:space="preserve">BR_16.01 </w:t>
            </w:r>
            <w:r>
              <w:t>The system provides a visual and audible indication to the user when there are patient Special Instructions or Transfusion Requirements to be viewed.</w:t>
            </w:r>
          </w:p>
          <w:p w:rsidR="0020636F" w:rsidRDefault="0020636F" w:rsidP="00381224">
            <w:pPr>
              <w:pStyle w:val="TableText"/>
              <w:ind w:left="720"/>
              <w:rPr>
                <w:vanish/>
              </w:rPr>
            </w:pPr>
          </w:p>
          <w:p w:rsidR="00BE554D" w:rsidRPr="00004A4C" w:rsidRDefault="00BE554D" w:rsidP="00381224">
            <w:pPr>
              <w:pStyle w:val="TableText"/>
              <w:ind w:left="720"/>
              <w:rPr>
                <w:noProof/>
                <w:color w:val="000000"/>
              </w:rPr>
            </w:pPr>
            <w:r w:rsidRPr="00F47ABD">
              <w:rPr>
                <w:vanish/>
              </w:rPr>
              <w:t xml:space="preserve">BR_115.15 </w:t>
            </w:r>
            <w:r>
              <w:t xml:space="preserve">When the user has unsaved changes and attempts to close the Automated Testing window, the application will warn the user that the changes will not be saved. Clicking </w:t>
            </w:r>
            <w:r>
              <w:rPr>
                <w:b/>
              </w:rPr>
              <w:t>Yes</w:t>
            </w:r>
            <w:r>
              <w:t xml:space="preserve"> closes the form; clicking </w:t>
            </w:r>
            <w:r>
              <w:rPr>
                <w:b/>
              </w:rPr>
              <w:t>No</w:t>
            </w:r>
            <w:r>
              <w:t xml:space="preserve"> returns the user to the Automated Testing </w:t>
            </w:r>
            <w:r w:rsidR="0020636F">
              <w:t xml:space="preserve">– Pending Specimen Tests </w:t>
            </w:r>
            <w:r>
              <w:t>window.</w:t>
            </w:r>
          </w:p>
        </w:tc>
      </w:tr>
      <w:tr w:rsidR="0020636F" w:rsidTr="00381224">
        <w:tblPrEx>
          <w:tblCellMar>
            <w:top w:w="0" w:type="dxa"/>
            <w:bottom w:w="0" w:type="dxa"/>
          </w:tblCellMar>
        </w:tblPrEx>
        <w:tc>
          <w:tcPr>
            <w:tcW w:w="3240" w:type="dxa"/>
          </w:tcPr>
          <w:p w:rsidR="0020636F" w:rsidRDefault="005F3685" w:rsidP="005F3685">
            <w:pPr>
              <w:pStyle w:val="TableTextNumbers"/>
            </w:pPr>
            <w:r>
              <w:t>User clicks on the checkbox next to the result to be accepted or rejected.</w:t>
            </w:r>
          </w:p>
          <w:p w:rsidR="005F3685" w:rsidRDefault="005F3685" w:rsidP="005F3685">
            <w:pPr>
              <w:pStyle w:val="TableTextNumbers"/>
              <w:numPr>
                <w:ilvl w:val="0"/>
                <w:numId w:val="0"/>
              </w:numPr>
              <w:ind w:left="288"/>
            </w:pPr>
          </w:p>
          <w:p w:rsidR="008E6859" w:rsidRDefault="005F3685" w:rsidP="00E01AD8">
            <w:pPr>
              <w:pStyle w:val="TableTextNumbers"/>
              <w:numPr>
                <w:ilvl w:val="0"/>
                <w:numId w:val="0"/>
              </w:numPr>
              <w:ind w:left="288"/>
            </w:pPr>
            <w:r>
              <w:t xml:space="preserve">Clicks on the comment balloon to enter </w:t>
            </w:r>
            <w:r w:rsidRPr="005F3685">
              <w:rPr>
                <w:b/>
              </w:rPr>
              <w:t>Review Comments</w:t>
            </w:r>
            <w:r>
              <w:t xml:space="preserve"> as needed.</w:t>
            </w:r>
          </w:p>
        </w:tc>
        <w:tc>
          <w:tcPr>
            <w:tcW w:w="6120" w:type="dxa"/>
          </w:tcPr>
          <w:p w:rsidR="0020636F" w:rsidRDefault="00D279DE" w:rsidP="00381224">
            <w:pPr>
              <w:pStyle w:val="TableTextBullet"/>
            </w:pPr>
            <w:r>
              <w:t>P</w:t>
            </w:r>
            <w:r w:rsidR="005F3685">
              <w:t>resents appropriate warning messages to the user.</w:t>
            </w:r>
          </w:p>
          <w:p w:rsidR="008D134F" w:rsidRDefault="00EB70AF" w:rsidP="00381224">
            <w:pPr>
              <w:pStyle w:val="TableTextBullet"/>
            </w:pPr>
            <w:r w:rsidRPr="00EB70AF">
              <w:rPr>
                <w:vanish/>
              </w:rPr>
              <w:t xml:space="preserve">BR_115.13 </w:t>
            </w:r>
            <w:r w:rsidR="00D279DE">
              <w:t>A</w:t>
            </w:r>
            <w:r w:rsidR="008D134F">
              <w:t>llows</w:t>
            </w:r>
            <w:r w:rsidR="00D279DE">
              <w:t xml:space="preserve"> user </w:t>
            </w:r>
            <w:r w:rsidR="008D134F">
              <w:t>selection of multiple tests with a Valid indicator.</w:t>
            </w:r>
          </w:p>
          <w:p w:rsidR="008D134F" w:rsidRDefault="00EB70AF" w:rsidP="00381224">
            <w:pPr>
              <w:pStyle w:val="TableTextBullet"/>
            </w:pPr>
            <w:r w:rsidRPr="00EB70AF">
              <w:rPr>
                <w:vanish/>
              </w:rPr>
              <w:t xml:space="preserve">BR_115.25 </w:t>
            </w:r>
            <w:r w:rsidR="00D279DE">
              <w:t>R</w:t>
            </w:r>
            <w:r w:rsidR="008D134F">
              <w:t xml:space="preserve">estricts the processing of tests with a Warning or Error indicator to </w:t>
            </w:r>
            <w:r>
              <w:t>one at a time.</w:t>
            </w:r>
          </w:p>
          <w:p w:rsidR="005F3685" w:rsidRDefault="005F3685" w:rsidP="005F3685">
            <w:pPr>
              <w:pStyle w:val="TableText"/>
            </w:pPr>
          </w:p>
          <w:p w:rsidR="005F3685" w:rsidRDefault="00634BFC" w:rsidP="005F3685">
            <w:pPr>
              <w:pStyle w:val="TableText"/>
              <w:rPr>
                <w:b/>
                <w:bCs/>
                <w:szCs w:val="18"/>
              </w:rPr>
            </w:pPr>
            <w:r>
              <w:rPr>
                <w:b/>
                <w:bCs/>
                <w:noProof/>
              </w:rPr>
              <mc:AlternateContent>
                <mc:Choice Requires="wps">
                  <w:drawing>
                    <wp:anchor distT="0" distB="0" distL="114300" distR="114300" simplePos="0" relativeHeight="25181849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05" name="Line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6" o:spid="_x0000_s1026" style="position:absolute;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MWAFgIAAC4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Bw&#10;BMWAFgIAAC4EAAAOAAAAAAAAAAAAAAAAAC4CAABkcnMvZTJvRG9jLnhtbFBLAQItABQABgAIAAAA&#10;IQAXTzAS2wAAAAgBAAAPAAAAAAAAAAAAAAAAAHAEAABkcnMvZG93bnJldi54bWxQSwUGAAAAAAQA&#10;BADzAAAAeAUAAAAA&#10;" strokeweight="1.5pt"/>
                  </w:pict>
                </mc:Fallback>
              </mc:AlternateContent>
            </w:r>
            <w:r w:rsidR="005F3685">
              <w:rPr>
                <w:b/>
                <w:bCs/>
                <w:szCs w:val="18"/>
              </w:rPr>
              <w:t>NOTES</w:t>
            </w:r>
          </w:p>
          <w:p w:rsidR="005F3685" w:rsidRDefault="005F3685" w:rsidP="005F3685">
            <w:pPr>
              <w:pStyle w:val="NotesText"/>
            </w:pPr>
          </w:p>
          <w:p w:rsidR="005F3685" w:rsidRDefault="005F3685" w:rsidP="005F3685">
            <w:pPr>
              <w:pStyle w:val="NotesText"/>
            </w:pPr>
            <w:r w:rsidRPr="005F3685">
              <w:rPr>
                <w:vanish/>
              </w:rPr>
              <w:t xml:space="preserve">BR_92.09 </w:t>
            </w:r>
            <w:r>
              <w:t>When the user selects an expired task for processing, the system will provide an audible alert and generate a warning message: “This order is expired. Do you want to continue processing it?” When the user responds “No”, the task is cleared and a new task can be entered. When the user responds “Yes”, he must enter a comment and the system will generate an exception report entry.</w:t>
            </w:r>
          </w:p>
          <w:p w:rsidR="00C82313" w:rsidRDefault="00C82313" w:rsidP="005F3685">
            <w:pPr>
              <w:pStyle w:val="NotesText"/>
            </w:pPr>
          </w:p>
          <w:p w:rsidR="00501170" w:rsidRDefault="00C82313" w:rsidP="005F3685">
            <w:pPr>
              <w:pStyle w:val="NotesText"/>
              <w:rPr>
                <w:rFonts w:cs="Arial"/>
                <w:szCs w:val="18"/>
              </w:rPr>
            </w:pPr>
            <w:r w:rsidRPr="00C82313">
              <w:rPr>
                <w:rFonts w:cs="Arial"/>
                <w:vanish/>
                <w:szCs w:val="18"/>
              </w:rPr>
              <w:t xml:space="preserve">BR_115.18 </w:t>
            </w:r>
            <w:r w:rsidRPr="00E206E0">
              <w:rPr>
                <w:rFonts w:cs="Arial"/>
                <w:szCs w:val="18"/>
              </w:rPr>
              <w:t xml:space="preserve">When row validation for a patient ABO or Rh test results matches the </w:t>
            </w:r>
            <w:r>
              <w:rPr>
                <w:rFonts w:cs="Arial"/>
                <w:szCs w:val="18"/>
              </w:rPr>
              <w:t>instrument</w:t>
            </w:r>
            <w:r w:rsidRPr="00E206E0">
              <w:rPr>
                <w:rFonts w:cs="Arial"/>
                <w:szCs w:val="18"/>
              </w:rPr>
              <w:t xml:space="preserve"> interpretation and does not match the previous ABO</w:t>
            </w:r>
            <w:r w:rsidR="0001680D">
              <w:rPr>
                <w:rFonts w:cs="Arial"/>
                <w:szCs w:val="18"/>
              </w:rPr>
              <w:t xml:space="preserve"> or Rh interpretation on record, the system emits</w:t>
            </w:r>
          </w:p>
          <w:p w:rsidR="00C82313" w:rsidRDefault="00C82313" w:rsidP="005F3685">
            <w:pPr>
              <w:pStyle w:val="NotesText"/>
              <w:rPr>
                <w:rFonts w:cs="Arial"/>
                <w:szCs w:val="18"/>
              </w:rPr>
            </w:pPr>
            <w:r w:rsidRPr="00E206E0">
              <w:rPr>
                <w:rFonts w:cs="Arial"/>
                <w:szCs w:val="18"/>
              </w:rPr>
              <w:t>an audible alert and displays a warning message that the current ABO/Rh does not match previous interpretations. The user is required to enter a comment (free text or canned from the “patient testing” context) to continue. The comment and the details of the transaction are captured for inclusion in an exception report</w:t>
            </w:r>
            <w:r>
              <w:rPr>
                <w:rFonts w:cs="Arial"/>
                <w:szCs w:val="18"/>
              </w:rPr>
              <w:t>.</w:t>
            </w:r>
          </w:p>
          <w:p w:rsidR="00D14444" w:rsidRDefault="00D14444" w:rsidP="005F3685">
            <w:pPr>
              <w:pStyle w:val="NotesText"/>
              <w:rPr>
                <w:rFonts w:cs="Arial"/>
                <w:szCs w:val="18"/>
              </w:rPr>
            </w:pPr>
          </w:p>
          <w:p w:rsidR="00D14444" w:rsidRDefault="00D14444" w:rsidP="005F3685">
            <w:pPr>
              <w:pStyle w:val="NotesText"/>
            </w:pPr>
            <w:r w:rsidRPr="00D14444">
              <w:rPr>
                <w:vanish/>
              </w:rPr>
              <w:t xml:space="preserve">BR_115.27 </w:t>
            </w:r>
            <w:r>
              <w:t>The</w:t>
            </w:r>
            <w:r w:rsidRPr="000E14BF">
              <w:t xml:space="preserve"> system check</w:t>
            </w:r>
            <w:r>
              <w:t>s</w:t>
            </w:r>
            <w:r w:rsidRPr="000E14BF">
              <w:t xml:space="preserve"> if a repeat ABO/Rh was performed on the patient specimen. When performed, the repeat ABO/Rh interpretation must match the original ABO/Rh interpretation. If they do not match, the system will provide an audible warning and display a warning message: “Original a</w:t>
            </w:r>
            <w:r>
              <w:t xml:space="preserve">nd repeat ABO/Rh interpretation </w:t>
            </w:r>
            <w:r w:rsidRPr="000E14BF">
              <w:t>do</w:t>
            </w:r>
            <w:r>
              <w:t>es</w:t>
            </w:r>
            <w:r w:rsidRPr="000E14BF">
              <w:t xml:space="preserve"> not match. You must resolve the discrepancy before this specimen may be used.” Continue to save?” A “No” </w:t>
            </w:r>
            <w:r w:rsidRPr="000E14BF">
              <w:lastRenderedPageBreak/>
              <w:t>response clears the ABO/Rh testing results and interpretation from the screen. A “Yes” response requires a comment (free text or canned from the “patient testing” context) and the details of the transaction are captured for inclusion in an exception report</w:t>
            </w:r>
            <w:r>
              <w:t>.</w:t>
            </w:r>
          </w:p>
          <w:p w:rsidR="005F3685" w:rsidRDefault="005F3685" w:rsidP="005F3685">
            <w:pPr>
              <w:pStyle w:val="TableTextBullet"/>
              <w:numPr>
                <w:ilvl w:val="0"/>
                <w:numId w:val="0"/>
              </w:numPr>
              <w:ind w:left="288" w:hanging="288"/>
            </w:pPr>
          </w:p>
        </w:tc>
      </w:tr>
      <w:tr w:rsidR="00BE554D" w:rsidTr="00381224">
        <w:tblPrEx>
          <w:tblCellMar>
            <w:top w:w="0" w:type="dxa"/>
            <w:bottom w:w="0" w:type="dxa"/>
          </w:tblCellMar>
        </w:tblPrEx>
        <w:tc>
          <w:tcPr>
            <w:tcW w:w="3240" w:type="dxa"/>
          </w:tcPr>
          <w:p w:rsidR="00A80240" w:rsidRDefault="00BE554D" w:rsidP="00A80240">
            <w:pPr>
              <w:pStyle w:val="TableTextNumbers"/>
            </w:pPr>
            <w:r>
              <w:lastRenderedPageBreak/>
              <w:t xml:space="preserve">User </w:t>
            </w:r>
            <w:r w:rsidR="00B571AC" w:rsidRPr="00B571AC">
              <w:rPr>
                <w:b/>
              </w:rPr>
              <w:t>Accepts</w:t>
            </w:r>
            <w:r w:rsidR="00B571AC">
              <w:t xml:space="preserve"> or </w:t>
            </w:r>
            <w:r w:rsidR="00B571AC" w:rsidRPr="00B571AC">
              <w:rPr>
                <w:b/>
              </w:rPr>
              <w:t>Rejects</w:t>
            </w:r>
            <w:r w:rsidR="00B571AC">
              <w:t xml:space="preserve"> the selected patient test results.</w:t>
            </w:r>
          </w:p>
        </w:tc>
        <w:tc>
          <w:tcPr>
            <w:tcW w:w="6120" w:type="dxa"/>
          </w:tcPr>
          <w:p w:rsidR="00D279DE" w:rsidRDefault="00D279DE" w:rsidP="00381224">
            <w:pPr>
              <w:pStyle w:val="TableTextBullet"/>
            </w:pPr>
            <w:r>
              <w:t>Verifies the results for save.</w:t>
            </w:r>
          </w:p>
          <w:p w:rsidR="00BE554D" w:rsidRDefault="00CA1AFE" w:rsidP="00381224">
            <w:pPr>
              <w:pStyle w:val="TableTextBullet"/>
            </w:pPr>
            <w:r>
              <w:t>Gathers comments from user for rejected results prior to saving.</w:t>
            </w:r>
          </w:p>
          <w:p w:rsidR="00BE554D" w:rsidRDefault="00BE554D" w:rsidP="00381224">
            <w:pPr>
              <w:pStyle w:val="TableTextBullet"/>
              <w:numPr>
                <w:ilvl w:val="0"/>
                <w:numId w:val="0"/>
              </w:numPr>
              <w:ind w:left="288" w:hanging="288"/>
            </w:pPr>
          </w:p>
          <w:p w:rsidR="00BE554D" w:rsidRDefault="00634BFC" w:rsidP="00381224">
            <w:pPr>
              <w:pStyle w:val="TableText"/>
              <w:rPr>
                <w:b/>
                <w:bCs/>
                <w:szCs w:val="18"/>
              </w:rPr>
            </w:pPr>
            <w:r>
              <w:rPr>
                <w:b/>
                <w:bCs/>
                <w:noProof/>
              </w:rPr>
              <mc:AlternateContent>
                <mc:Choice Requires="wps">
                  <w:drawing>
                    <wp:anchor distT="0" distB="0" distL="114300" distR="114300" simplePos="0" relativeHeight="25181235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04" name="Line 1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9" o:spid="_x0000_s1026" style="position:absolute;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Q4HFgIAAC4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Ba&#10;ZQ4HFgIAAC4EAAAOAAAAAAAAAAAAAAAAAC4CAABkcnMvZTJvRG9jLnhtbFBLAQItABQABgAIAAAA&#10;IQAXTzAS2wAAAAgBAAAPAAAAAAAAAAAAAAAAAHAEAABkcnMvZG93bnJldi54bWxQSwUGAAAAAAQA&#10;BADzAAAAeAUAAAAA&#10;" strokeweight="1.5pt"/>
                  </w:pict>
                </mc:Fallback>
              </mc:AlternateContent>
            </w:r>
            <w:r w:rsidR="00BE554D">
              <w:rPr>
                <w:b/>
                <w:bCs/>
                <w:szCs w:val="18"/>
              </w:rPr>
              <w:t>NOTES</w:t>
            </w:r>
          </w:p>
          <w:p w:rsidR="00BE554D" w:rsidRDefault="00BE554D" w:rsidP="00381224">
            <w:pPr>
              <w:pStyle w:val="NotesText"/>
            </w:pPr>
          </w:p>
          <w:p w:rsidR="00B571AC" w:rsidRPr="00136C64" w:rsidRDefault="00B571AC" w:rsidP="00B571AC">
            <w:pPr>
              <w:pStyle w:val="NotesText"/>
              <w:rPr>
                <w:rFonts w:cs="Arial"/>
              </w:rPr>
            </w:pPr>
            <w:r w:rsidRPr="00F47ABD">
              <w:rPr>
                <w:rFonts w:cs="Arial"/>
                <w:vanish/>
              </w:rPr>
              <w:t xml:space="preserve">BR_115.07 </w:t>
            </w:r>
            <w:r>
              <w:rPr>
                <w:rFonts w:cs="Arial"/>
              </w:rPr>
              <w:t>When</w:t>
            </w:r>
            <w:r w:rsidRPr="00136C64">
              <w:rPr>
                <w:rFonts w:cs="Arial"/>
              </w:rPr>
              <w:t xml:space="preserve"> the test is accepted, the system will save the following:</w:t>
            </w:r>
          </w:p>
          <w:p w:rsidR="00B571AC" w:rsidRPr="00A51E88" w:rsidRDefault="00B571AC" w:rsidP="00B571AC">
            <w:pPr>
              <w:pStyle w:val="TableText"/>
              <w:numPr>
                <w:ilvl w:val="0"/>
                <w:numId w:val="52"/>
              </w:numPr>
            </w:pPr>
            <w:r>
              <w:t>R</w:t>
            </w:r>
            <w:r w:rsidRPr="00A51E88">
              <w:t>eviewing Tech ID (Name)</w:t>
            </w:r>
          </w:p>
          <w:p w:rsidR="00B571AC" w:rsidRPr="00A51E88" w:rsidRDefault="00B571AC" w:rsidP="00B571AC">
            <w:pPr>
              <w:pStyle w:val="TableText"/>
              <w:numPr>
                <w:ilvl w:val="0"/>
                <w:numId w:val="52"/>
              </w:numPr>
            </w:pPr>
            <w:r w:rsidRPr="00A51E88">
              <w:t>Testing Tech ID (Name)</w:t>
            </w:r>
          </w:p>
          <w:p w:rsidR="00B571AC" w:rsidRPr="00A51E88" w:rsidRDefault="00B571AC" w:rsidP="00B571AC">
            <w:pPr>
              <w:pStyle w:val="TableText"/>
              <w:numPr>
                <w:ilvl w:val="0"/>
                <w:numId w:val="52"/>
              </w:numPr>
            </w:pPr>
            <w:r w:rsidRPr="00A51E88">
              <w:t xml:space="preserve">Interfaced instrument id (Name) as transmitted from instrument, </w:t>
            </w:r>
          </w:p>
          <w:p w:rsidR="00B571AC" w:rsidRDefault="00B571AC" w:rsidP="00B571AC">
            <w:pPr>
              <w:pStyle w:val="TableText"/>
              <w:numPr>
                <w:ilvl w:val="0"/>
                <w:numId w:val="52"/>
              </w:numPr>
            </w:pPr>
            <w:r>
              <w:t>D</w:t>
            </w:r>
            <w:r w:rsidRPr="00A51E88">
              <w:t>ate and time te</w:t>
            </w:r>
            <w:r>
              <w:t>sted</w:t>
            </w:r>
          </w:p>
          <w:p w:rsidR="00B571AC" w:rsidRDefault="00B571AC" w:rsidP="00B571AC">
            <w:pPr>
              <w:pStyle w:val="TableText"/>
              <w:numPr>
                <w:ilvl w:val="0"/>
                <w:numId w:val="52"/>
              </w:numPr>
            </w:pPr>
            <w:r>
              <w:t xml:space="preserve">Date and time reviewed </w:t>
            </w:r>
          </w:p>
          <w:p w:rsidR="00B571AC" w:rsidRPr="00F0612B" w:rsidRDefault="00B571AC" w:rsidP="00B571AC">
            <w:pPr>
              <w:pStyle w:val="TableText"/>
              <w:numPr>
                <w:ilvl w:val="0"/>
                <w:numId w:val="52"/>
              </w:numPr>
            </w:pPr>
            <w:r>
              <w:t>Test information: test results, test interpretations, and test comments.</w:t>
            </w:r>
          </w:p>
          <w:p w:rsidR="00B571AC" w:rsidRDefault="00B571AC" w:rsidP="00381224">
            <w:pPr>
              <w:pStyle w:val="NotesText"/>
              <w:rPr>
                <w:rFonts w:cs="Arial"/>
                <w:vanish/>
              </w:rPr>
            </w:pPr>
          </w:p>
          <w:p w:rsidR="00BE554D" w:rsidRDefault="00BE554D" w:rsidP="00381224">
            <w:pPr>
              <w:pStyle w:val="NotesText"/>
            </w:pPr>
            <w:r w:rsidRPr="00F47ABD">
              <w:rPr>
                <w:rFonts w:cs="Arial"/>
                <w:vanish/>
              </w:rPr>
              <w:t xml:space="preserve">BR_115.05 </w:t>
            </w:r>
            <w:r>
              <w:rPr>
                <w:rFonts w:cs="Arial"/>
              </w:rPr>
              <w:t>When the</w:t>
            </w:r>
            <w:r>
              <w:t xml:space="preserve"> test is rejected, the system will:</w:t>
            </w:r>
          </w:p>
          <w:p w:rsidR="00BE554D" w:rsidRDefault="00BE554D" w:rsidP="00381224">
            <w:pPr>
              <w:pStyle w:val="TableText"/>
              <w:numPr>
                <w:ilvl w:val="0"/>
                <w:numId w:val="52"/>
              </w:numPr>
            </w:pPr>
            <w:r>
              <w:t>Prompt user to confirm they want to reject.</w:t>
            </w:r>
          </w:p>
          <w:p w:rsidR="00BE554D" w:rsidRDefault="00BE554D" w:rsidP="00381224">
            <w:pPr>
              <w:pStyle w:val="TableText"/>
              <w:numPr>
                <w:ilvl w:val="0"/>
                <w:numId w:val="52"/>
              </w:numPr>
            </w:pPr>
            <w:r>
              <w:t>Remove the test from the list for acceptance.</w:t>
            </w:r>
          </w:p>
          <w:p w:rsidR="00BE554D" w:rsidRDefault="00BE554D" w:rsidP="00381224">
            <w:pPr>
              <w:pStyle w:val="TableText"/>
              <w:numPr>
                <w:ilvl w:val="0"/>
                <w:numId w:val="52"/>
              </w:numPr>
            </w:pPr>
            <w:r>
              <w:t>No rejection message is sent to the instrument.</w:t>
            </w:r>
          </w:p>
          <w:p w:rsidR="00BE554D" w:rsidRDefault="00BE554D" w:rsidP="00381224">
            <w:pPr>
              <w:pStyle w:val="TableText"/>
              <w:numPr>
                <w:ilvl w:val="0"/>
                <w:numId w:val="52"/>
              </w:numPr>
            </w:pPr>
            <w:r>
              <w:t>The Diagnostic test returns to the previous status and is ready for testing.</w:t>
            </w:r>
          </w:p>
          <w:p w:rsidR="00BE554D" w:rsidRDefault="00BE554D" w:rsidP="00381224">
            <w:pPr>
              <w:pStyle w:val="NotesText"/>
            </w:pPr>
          </w:p>
          <w:p w:rsidR="00BE554D" w:rsidRPr="00016C78" w:rsidRDefault="00BE554D" w:rsidP="00381224">
            <w:pPr>
              <w:pStyle w:val="NotesText"/>
            </w:pPr>
            <w:r w:rsidRPr="00016C78">
              <w:rPr>
                <w:vanish/>
              </w:rPr>
              <w:t xml:space="preserve">BR_115.31 </w:t>
            </w:r>
            <w:r w:rsidRPr="00016C78">
              <w:t>Changes test Task status Completed for all tests except for Type and Screen which must have ABO/Rh and ABS saved before the TAS goes to a task status of Completed.</w:t>
            </w:r>
          </w:p>
          <w:p w:rsidR="00BE554D" w:rsidRPr="00016C78" w:rsidRDefault="00BE554D" w:rsidP="00381224">
            <w:pPr>
              <w:pStyle w:val="NotesText"/>
            </w:pPr>
          </w:p>
          <w:p w:rsidR="00BE554D" w:rsidRDefault="00BE554D" w:rsidP="00B571AC">
            <w:pPr>
              <w:pStyle w:val="NotesText"/>
            </w:pPr>
            <w:r w:rsidRPr="00016C78">
              <w:rPr>
                <w:vanish/>
              </w:rPr>
              <w:t xml:space="preserve">BR_115.31 </w:t>
            </w:r>
            <w:r w:rsidRPr="00016C78">
              <w:t>If the user saves only the ABO/Rh and rejects ABS or only saves the ABS and rejects the ABO-Rh, the TAS goes to a task status of Partially Completed and is then selectable from the Pending Task List.</w:t>
            </w:r>
          </w:p>
          <w:p w:rsidR="00B571AC" w:rsidRDefault="00B571AC" w:rsidP="00B571AC">
            <w:pPr>
              <w:pStyle w:val="NotesText"/>
            </w:pPr>
          </w:p>
          <w:p w:rsidR="00B571AC" w:rsidRDefault="00B571AC" w:rsidP="00B571AC">
            <w:pPr>
              <w:pStyle w:val="NotesText"/>
            </w:pPr>
            <w:r w:rsidRPr="00B571AC">
              <w:rPr>
                <w:vanish/>
              </w:rPr>
              <w:t xml:space="preserve">BR_56.05 </w:t>
            </w:r>
            <w:r>
              <w:t>The system will update the order status when a valid interpretation is entered and saved for a test, the status of the ordered test is updated to “completed,” and an order status update message is sent to CPRS.</w:t>
            </w:r>
          </w:p>
          <w:p w:rsidR="00DE3FDB" w:rsidRDefault="00DE3FDB" w:rsidP="00B571AC">
            <w:pPr>
              <w:pStyle w:val="NotesText"/>
            </w:pPr>
          </w:p>
          <w:p w:rsidR="00DE3FDB" w:rsidRDefault="00DE3FDB" w:rsidP="00B571AC">
            <w:pPr>
              <w:pStyle w:val="NotesText"/>
            </w:pPr>
            <w:r w:rsidRPr="00DE3FDB">
              <w:rPr>
                <w:vanish/>
              </w:rPr>
              <w:t xml:space="preserve">BR_56.29 </w:t>
            </w:r>
            <w:r>
              <w:t>When a unit was emergency issued and a conflicting test result found that indicates a potential unit incompatibility with the patient, such as a patient ABO/Rh discrepancy, the unit crossmatch is incompatible with the patient, the patient antibody screen test is positive, the patient DAT is positive, or the unit is antigen positive where antigen negative is required on the tested specimen, VBECS displays a warning message</w:t>
            </w:r>
            <w:r w:rsidRPr="007C05B4">
              <w:t xml:space="preserve"> such as: Unit has been emergency issued. Notify the physician of this potential problem IMMEDIATELY, per hospital policy! </w:t>
            </w:r>
            <w:r>
              <w:t>The warning message displays during the execution of the various tests related to the compatibility of a blood unit. An exception report entry is generated at the save.</w:t>
            </w:r>
          </w:p>
          <w:p w:rsidR="00DE3FDB" w:rsidRDefault="002275D4" w:rsidP="00B571AC">
            <w:pPr>
              <w:pStyle w:val="NotesText"/>
            </w:pPr>
            <w:r>
              <w:t xml:space="preserve"> </w:t>
            </w:r>
          </w:p>
          <w:p w:rsidR="00DE3FDB" w:rsidRDefault="002275D4" w:rsidP="0071317D">
            <w:pPr>
              <w:pStyle w:val="NotesText"/>
            </w:pPr>
            <w:r w:rsidRPr="002275D4">
              <w:rPr>
                <w:vanish/>
              </w:rPr>
              <w:t xml:space="preserve">BR_54.07 </w:t>
            </w:r>
            <w:r>
              <w:t xml:space="preserve">A </w:t>
            </w:r>
            <w:r>
              <w:rPr>
                <w:vanish/>
              </w:rPr>
              <w:t>BRBR</w:t>
            </w:r>
            <w:r w:rsidR="00DE3FDB">
              <w:t xml:space="preserve">comment </w:t>
            </w:r>
            <w:r w:rsidR="0071317D">
              <w:t xml:space="preserve">appears on CPRS reports for patients with a </w:t>
            </w:r>
            <w:r w:rsidR="00DE3FDB">
              <w:t xml:space="preserve">positive </w:t>
            </w:r>
            <w:r w:rsidR="0071317D">
              <w:t xml:space="preserve">Antibody Screen or </w:t>
            </w:r>
            <w:r w:rsidR="00DE3FDB">
              <w:t xml:space="preserve">Direct Antiglobulin Test: </w:t>
            </w:r>
            <w:r w:rsidR="00DE3FDB" w:rsidRPr="0093080E">
              <w:t xml:space="preserve">Preparation of red cell components for transfusion may be delayed due to serologic problems. Contact transfusion service for information on </w:t>
            </w:r>
            <w:r w:rsidR="00DE3FDB" w:rsidRPr="0093080E">
              <w:lastRenderedPageBreak/>
              <w:t>potential clinical significance and availability of blood components</w:t>
            </w:r>
            <w:r>
              <w:t>.</w:t>
            </w:r>
          </w:p>
        </w:tc>
      </w:tr>
      <w:tr w:rsidR="00A80240" w:rsidTr="00381224">
        <w:tblPrEx>
          <w:tblCellMar>
            <w:top w:w="0" w:type="dxa"/>
            <w:bottom w:w="0" w:type="dxa"/>
          </w:tblCellMar>
        </w:tblPrEx>
        <w:tc>
          <w:tcPr>
            <w:tcW w:w="3240" w:type="dxa"/>
          </w:tcPr>
          <w:p w:rsidR="00A80240" w:rsidRPr="00396B2B" w:rsidRDefault="00A80240" w:rsidP="008E6859">
            <w:pPr>
              <w:pStyle w:val="TableTextNumbers"/>
            </w:pPr>
            <w:r>
              <w:lastRenderedPageBreak/>
              <w:t xml:space="preserve">User clicks </w:t>
            </w:r>
            <w:r w:rsidRPr="00A80240">
              <w:rPr>
                <w:b/>
              </w:rPr>
              <w:t>Yes</w:t>
            </w:r>
            <w:r>
              <w:t xml:space="preserve"> to confirm the acceptance or rejection of the selected test(s).</w:t>
            </w:r>
          </w:p>
        </w:tc>
        <w:tc>
          <w:tcPr>
            <w:tcW w:w="6120" w:type="dxa"/>
          </w:tcPr>
          <w:p w:rsidR="00A80240" w:rsidRDefault="00A80240" w:rsidP="00A80240">
            <w:pPr>
              <w:pStyle w:val="TableTextBullet"/>
            </w:pPr>
            <w:r>
              <w:t>Closes the Automated Testing – Pending Specimen Tests window and displays the desktop when there a no more pending tests to review.</w:t>
            </w:r>
          </w:p>
          <w:p w:rsidR="00A80240" w:rsidRDefault="00A80240" w:rsidP="00A80240">
            <w:pPr>
              <w:pStyle w:val="TableTextBullet"/>
            </w:pPr>
            <w:r>
              <w:t>Closes the Automated Testing – Pending Specimen Tests window and displays the Automated Testing – Pending Patient Orders window when there are pending tests to review.</w:t>
            </w:r>
          </w:p>
        </w:tc>
      </w:tr>
      <w:tr w:rsidR="008E6859" w:rsidTr="00381224">
        <w:tblPrEx>
          <w:tblCellMar>
            <w:top w:w="0" w:type="dxa"/>
            <w:bottom w:w="0" w:type="dxa"/>
          </w:tblCellMar>
        </w:tblPrEx>
        <w:tc>
          <w:tcPr>
            <w:tcW w:w="3240" w:type="dxa"/>
          </w:tcPr>
          <w:p w:rsidR="00B16194" w:rsidRPr="00B16194" w:rsidRDefault="00B16194" w:rsidP="00B16194">
            <w:pPr>
              <w:pStyle w:val="TableTextNumbers"/>
              <w:numPr>
                <w:ilvl w:val="0"/>
                <w:numId w:val="0"/>
              </w:numPr>
              <w:ind w:left="288"/>
              <w:rPr>
                <w:b/>
                <w:i/>
              </w:rPr>
            </w:pPr>
            <w:r w:rsidRPr="00B16194">
              <w:rPr>
                <w:b/>
                <w:i/>
              </w:rPr>
              <w:t>CROSSMATCH</w:t>
            </w:r>
          </w:p>
          <w:p w:rsidR="008E6859" w:rsidRDefault="0062092C" w:rsidP="008E6859">
            <w:pPr>
              <w:pStyle w:val="TableTextNumbers"/>
            </w:pPr>
            <w:r w:rsidRPr="00396B2B">
              <w:t>User selec</w:t>
            </w:r>
            <w:r>
              <w:t xml:space="preserve">ts </w:t>
            </w:r>
            <w:r w:rsidRPr="0062092C">
              <w:rPr>
                <w:b/>
              </w:rPr>
              <w:t>XMatch</w:t>
            </w:r>
            <w:r>
              <w:t xml:space="preserve"> from the testing tabs that are enabled on the Automated Testing – Pending Specimen Tests window</w:t>
            </w:r>
            <w:r w:rsidR="008F406C">
              <w:t>.</w:t>
            </w:r>
          </w:p>
        </w:tc>
        <w:tc>
          <w:tcPr>
            <w:tcW w:w="6120" w:type="dxa"/>
          </w:tcPr>
          <w:p w:rsidR="00274D41" w:rsidRDefault="004A39DB" w:rsidP="00274D41">
            <w:pPr>
              <w:pStyle w:val="TableTextBullet"/>
            </w:pPr>
            <w:r>
              <w:t>D</w:t>
            </w:r>
            <w:r w:rsidR="00274D41">
              <w:t>etermines that all appropriate test results were entered for the patient.</w:t>
            </w:r>
          </w:p>
          <w:p w:rsidR="00274D41" w:rsidRDefault="004A39DB" w:rsidP="00274D41">
            <w:pPr>
              <w:pStyle w:val="TableTextBullet"/>
            </w:pPr>
            <w:r>
              <w:t>V</w:t>
            </w:r>
            <w:r w:rsidR="00274D41">
              <w:t>alidates test results and displays Warning or Error indicator when results do not match expected pattern.</w:t>
            </w:r>
          </w:p>
          <w:p w:rsidR="00274D41" w:rsidRDefault="00274D41" w:rsidP="00274D41">
            <w:pPr>
              <w:pStyle w:val="TableTextBullet"/>
            </w:pPr>
            <w:r>
              <w:t>Displays comments from the Automated Instrument.</w:t>
            </w:r>
          </w:p>
          <w:p w:rsidR="0062092C" w:rsidRDefault="0062092C" w:rsidP="0062092C">
            <w:pPr>
              <w:pStyle w:val="TableText"/>
            </w:pPr>
          </w:p>
          <w:p w:rsidR="0062092C" w:rsidRDefault="00634BFC" w:rsidP="0062092C">
            <w:pPr>
              <w:pStyle w:val="TableText"/>
              <w:rPr>
                <w:b/>
                <w:bCs/>
                <w:szCs w:val="18"/>
              </w:rPr>
            </w:pPr>
            <w:r>
              <w:rPr>
                <w:b/>
                <w:bCs/>
                <w:noProof/>
              </w:rPr>
              <mc:AlternateContent>
                <mc:Choice Requires="wps">
                  <w:drawing>
                    <wp:anchor distT="0" distB="0" distL="114300" distR="114300" simplePos="0" relativeHeight="25181952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03" name="Line 1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2" o:spid="_x0000_s1026" style="position:absolute;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sEbFQIAAC4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NJm&#10;wRsVAgAALgQAAA4AAAAAAAAAAAAAAAAALgIAAGRycy9lMm9Eb2MueG1sUEsBAi0AFAAGAAgAAAAh&#10;ABdPMBLbAAAACAEAAA8AAAAAAAAAAAAAAAAAbwQAAGRycy9kb3ducmV2LnhtbFBLBQYAAAAABAAE&#10;APMAAAB3BQAAAAA=&#10;" strokeweight="1.5pt"/>
                  </w:pict>
                </mc:Fallback>
              </mc:AlternateContent>
            </w:r>
            <w:r w:rsidR="0062092C">
              <w:rPr>
                <w:b/>
                <w:bCs/>
                <w:szCs w:val="18"/>
              </w:rPr>
              <w:t>NOTES</w:t>
            </w:r>
          </w:p>
          <w:p w:rsidR="0062092C" w:rsidRDefault="0062092C" w:rsidP="0062092C">
            <w:pPr>
              <w:pStyle w:val="NotesText"/>
            </w:pPr>
          </w:p>
          <w:p w:rsidR="00274D41" w:rsidRPr="00F414D6" w:rsidRDefault="0062092C" w:rsidP="00F414D6">
            <w:pPr>
              <w:pStyle w:val="TableText"/>
              <w:ind w:left="720"/>
              <w:rPr>
                <w:rFonts w:cs="Arial"/>
                <w:szCs w:val="18"/>
              </w:rPr>
            </w:pPr>
            <w:r w:rsidRPr="0062092C">
              <w:rPr>
                <w:rFonts w:cs="Arial"/>
                <w:vanish/>
                <w:szCs w:val="18"/>
              </w:rPr>
              <w:t xml:space="preserve">BR_115.19 </w:t>
            </w:r>
            <w:r>
              <w:rPr>
                <w:rFonts w:cs="Arial"/>
                <w:szCs w:val="18"/>
              </w:rPr>
              <w:t>Units for</w:t>
            </w:r>
            <w:r w:rsidR="00274D41">
              <w:rPr>
                <w:rFonts w:cs="Arial"/>
                <w:szCs w:val="18"/>
              </w:rPr>
              <w:t xml:space="preserve"> crossmatch must be selected for the patient</w:t>
            </w:r>
            <w:r>
              <w:rPr>
                <w:rFonts w:cs="Arial"/>
                <w:szCs w:val="18"/>
              </w:rPr>
              <w:t xml:space="preserve"> prior to results transmission from the Automated Instrument for the results to appear </w:t>
            </w:r>
            <w:r w:rsidR="00274D41">
              <w:rPr>
                <w:rFonts w:cs="Arial"/>
                <w:szCs w:val="18"/>
              </w:rPr>
              <w:t>in</w:t>
            </w:r>
            <w:r>
              <w:rPr>
                <w:rFonts w:cs="Arial"/>
                <w:szCs w:val="18"/>
              </w:rPr>
              <w:t xml:space="preserve"> the </w:t>
            </w:r>
            <w:r w:rsidR="00274D41">
              <w:rPr>
                <w:rFonts w:cs="Arial"/>
                <w:szCs w:val="18"/>
              </w:rPr>
              <w:t xml:space="preserve">Automated Testing – Pending </w:t>
            </w:r>
            <w:r w:rsidR="002A4CB4">
              <w:rPr>
                <w:rFonts w:cs="Arial"/>
                <w:szCs w:val="18"/>
              </w:rPr>
              <w:t>Specimen</w:t>
            </w:r>
            <w:r w:rsidR="00274D41">
              <w:rPr>
                <w:rFonts w:cs="Arial"/>
                <w:szCs w:val="18"/>
              </w:rPr>
              <w:t xml:space="preserve"> Tests window on the XMatch tab</w:t>
            </w:r>
            <w:r>
              <w:rPr>
                <w:rFonts w:cs="Arial"/>
                <w:szCs w:val="18"/>
              </w:rPr>
              <w:t xml:space="preserve"> for review.</w:t>
            </w:r>
          </w:p>
          <w:p w:rsidR="00274D41" w:rsidRPr="00004A4C" w:rsidRDefault="00274D41" w:rsidP="00274D41">
            <w:pPr>
              <w:pStyle w:val="TableText"/>
              <w:ind w:left="720"/>
              <w:rPr>
                <w:noProof/>
                <w:color w:val="000000"/>
              </w:rPr>
            </w:pPr>
          </w:p>
        </w:tc>
      </w:tr>
      <w:tr w:rsidR="00274D41" w:rsidTr="00381224">
        <w:tblPrEx>
          <w:tblCellMar>
            <w:top w:w="0" w:type="dxa"/>
            <w:bottom w:w="0" w:type="dxa"/>
          </w:tblCellMar>
        </w:tblPrEx>
        <w:tc>
          <w:tcPr>
            <w:tcW w:w="3240" w:type="dxa"/>
          </w:tcPr>
          <w:p w:rsidR="00274D41" w:rsidRDefault="00274D41" w:rsidP="00274D41">
            <w:pPr>
              <w:pStyle w:val="TableTextNumbers"/>
            </w:pPr>
            <w:r>
              <w:t>User clicks on the checkbox next to the Unit crossmatch result to be accepted or rejected.</w:t>
            </w:r>
          </w:p>
          <w:p w:rsidR="00274D41" w:rsidRDefault="00274D41" w:rsidP="00274D41">
            <w:pPr>
              <w:pStyle w:val="TableTextNumbers"/>
              <w:numPr>
                <w:ilvl w:val="0"/>
                <w:numId w:val="0"/>
              </w:numPr>
              <w:ind w:left="288"/>
            </w:pPr>
          </w:p>
          <w:p w:rsidR="00274D41" w:rsidRDefault="00274D41" w:rsidP="00274D41">
            <w:pPr>
              <w:pStyle w:val="TableTextNumbers"/>
              <w:numPr>
                <w:ilvl w:val="0"/>
                <w:numId w:val="0"/>
              </w:numPr>
              <w:ind w:left="288"/>
            </w:pPr>
            <w:r>
              <w:t xml:space="preserve">Clicks on the comment balloon to enter </w:t>
            </w:r>
            <w:r w:rsidRPr="005F3685">
              <w:rPr>
                <w:b/>
              </w:rPr>
              <w:t>Review Comments</w:t>
            </w:r>
            <w:r>
              <w:t xml:space="preserve"> as needed.</w:t>
            </w:r>
          </w:p>
        </w:tc>
        <w:tc>
          <w:tcPr>
            <w:tcW w:w="6120" w:type="dxa"/>
          </w:tcPr>
          <w:p w:rsidR="00274D41" w:rsidRDefault="004A39DB" w:rsidP="00682345">
            <w:pPr>
              <w:pStyle w:val="TableTextBullet"/>
            </w:pPr>
            <w:r>
              <w:t>P</w:t>
            </w:r>
            <w:r w:rsidR="00274D41">
              <w:t>resents appropriate warning messages to the user.</w:t>
            </w:r>
          </w:p>
          <w:p w:rsidR="00274D41" w:rsidRPr="00274D41" w:rsidRDefault="00274D41" w:rsidP="00682345">
            <w:pPr>
              <w:pStyle w:val="TableTextBullet"/>
            </w:pPr>
            <w:r w:rsidRPr="00274D41">
              <w:rPr>
                <w:vanish/>
              </w:rPr>
              <w:t xml:space="preserve">BR_115.33 </w:t>
            </w:r>
            <w:r w:rsidR="004A39DB">
              <w:t>R</w:t>
            </w:r>
            <w:r>
              <w:t>equires the user to select the product code for the unit crossmatched when there are more than one unit selected for the patient with the same unit ID.</w:t>
            </w:r>
          </w:p>
          <w:p w:rsidR="00274D41" w:rsidRDefault="00274D41" w:rsidP="00682345">
            <w:pPr>
              <w:pStyle w:val="TableTextBullet"/>
            </w:pPr>
            <w:r w:rsidRPr="00EB70AF">
              <w:rPr>
                <w:vanish/>
              </w:rPr>
              <w:t xml:space="preserve">BR_115.13 </w:t>
            </w:r>
            <w:r w:rsidR="004A39DB">
              <w:t>A</w:t>
            </w:r>
            <w:r>
              <w:t>llows selection of multiple tests with a Valid indicator.</w:t>
            </w:r>
          </w:p>
          <w:p w:rsidR="00274D41" w:rsidRDefault="00274D41" w:rsidP="00682345">
            <w:pPr>
              <w:pStyle w:val="TableTextBullet"/>
            </w:pPr>
            <w:r w:rsidRPr="00EB70AF">
              <w:rPr>
                <w:vanish/>
              </w:rPr>
              <w:t xml:space="preserve">BR_115.25 </w:t>
            </w:r>
            <w:r w:rsidR="004A39DB">
              <w:t>R</w:t>
            </w:r>
            <w:r>
              <w:t>estricts the processing of tests with a Warning or Error indicator to one at a time.</w:t>
            </w:r>
          </w:p>
          <w:p w:rsidR="00274D41" w:rsidRDefault="00274D41" w:rsidP="00682345">
            <w:pPr>
              <w:pStyle w:val="TableText"/>
            </w:pPr>
          </w:p>
          <w:p w:rsidR="00274D41" w:rsidRDefault="00634BFC" w:rsidP="00682345">
            <w:pPr>
              <w:pStyle w:val="TableText"/>
              <w:rPr>
                <w:b/>
                <w:bCs/>
                <w:szCs w:val="18"/>
              </w:rPr>
            </w:pPr>
            <w:r>
              <w:rPr>
                <w:b/>
                <w:bCs/>
                <w:noProof/>
              </w:rPr>
              <mc:AlternateContent>
                <mc:Choice Requires="wps">
                  <w:drawing>
                    <wp:anchor distT="0" distB="0" distL="114300" distR="114300" simplePos="0" relativeHeight="25182054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02" name="Line 1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3" o:spid="_x0000_s1026" style="position:absolute;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wrFQIAAC4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DNy&#10;bCsVAgAALgQAAA4AAAAAAAAAAAAAAAAALgIAAGRycy9lMm9Eb2MueG1sUEsBAi0AFAAGAAgAAAAh&#10;ABdPMBLbAAAACAEAAA8AAAAAAAAAAAAAAAAAbwQAAGRycy9kb3ducmV2LnhtbFBLBQYAAAAABAAE&#10;APMAAAB3BQAAAAA=&#10;" strokeweight="1.5pt"/>
                  </w:pict>
                </mc:Fallback>
              </mc:AlternateContent>
            </w:r>
            <w:r w:rsidR="00274D41">
              <w:rPr>
                <w:b/>
                <w:bCs/>
                <w:szCs w:val="18"/>
              </w:rPr>
              <w:t>NOTES</w:t>
            </w:r>
          </w:p>
          <w:p w:rsidR="00274D41" w:rsidRDefault="00274D41" w:rsidP="00682345">
            <w:pPr>
              <w:pStyle w:val="NotesText"/>
            </w:pPr>
          </w:p>
          <w:p w:rsidR="00274D41" w:rsidRDefault="00274D41" w:rsidP="00AF08FF">
            <w:pPr>
              <w:pStyle w:val="NotesText"/>
            </w:pPr>
            <w:r w:rsidRPr="005F3685">
              <w:rPr>
                <w:vanish/>
              </w:rPr>
              <w:t xml:space="preserve">BR_92.09 </w:t>
            </w:r>
            <w:r>
              <w:t>When the user selects an expired task for processing, the system will provide an audible alert and generate a warning message: “This order is expired. Do you want to continue processing it?” When the user responds “No”, the task is cleared and a new task can be entered. When the user responds “Yes”, he must enter a comment and the system will generate an exception report entry.</w:t>
            </w:r>
          </w:p>
        </w:tc>
      </w:tr>
      <w:tr w:rsidR="00F414D6" w:rsidTr="00381224">
        <w:tblPrEx>
          <w:tblCellMar>
            <w:top w:w="0" w:type="dxa"/>
            <w:bottom w:w="0" w:type="dxa"/>
          </w:tblCellMar>
        </w:tblPrEx>
        <w:tc>
          <w:tcPr>
            <w:tcW w:w="3240" w:type="dxa"/>
          </w:tcPr>
          <w:p w:rsidR="00F414D6" w:rsidRDefault="00F414D6" w:rsidP="00274D41">
            <w:pPr>
              <w:pStyle w:val="TableTextNumbers"/>
            </w:pPr>
            <w:r>
              <w:t>User can change the XMatch Interp by using the drop down arrow to select another interpretation.</w:t>
            </w:r>
          </w:p>
        </w:tc>
        <w:tc>
          <w:tcPr>
            <w:tcW w:w="6120" w:type="dxa"/>
          </w:tcPr>
          <w:p w:rsidR="00F414D6" w:rsidRDefault="00F414D6" w:rsidP="00F414D6">
            <w:pPr>
              <w:pStyle w:val="TableTextBullet"/>
            </w:pPr>
            <w:r>
              <w:t xml:space="preserve">Displays the </w:t>
            </w:r>
            <w:r w:rsidR="001809EC">
              <w:t>crossmatch results from the Automated Instrument and allows the user to edit that interpretation before saving.</w:t>
            </w:r>
            <w:r>
              <w:t xml:space="preserve"> </w:t>
            </w:r>
          </w:p>
          <w:p w:rsidR="00F414D6" w:rsidRDefault="00F414D6" w:rsidP="00F414D6">
            <w:pPr>
              <w:pStyle w:val="TableTextBullet"/>
              <w:numPr>
                <w:ilvl w:val="0"/>
                <w:numId w:val="0"/>
              </w:numPr>
              <w:ind w:left="288"/>
            </w:pPr>
          </w:p>
          <w:p w:rsidR="00F414D6" w:rsidRDefault="00634BFC" w:rsidP="00F414D6">
            <w:pPr>
              <w:pStyle w:val="TableText"/>
              <w:rPr>
                <w:b/>
                <w:bCs/>
                <w:szCs w:val="18"/>
              </w:rPr>
            </w:pPr>
            <w:r>
              <w:rPr>
                <w:b/>
                <w:bCs/>
                <w:noProof/>
              </w:rPr>
              <mc:AlternateContent>
                <mc:Choice Requires="wps">
                  <w:drawing>
                    <wp:anchor distT="0" distB="0" distL="114300" distR="114300" simplePos="0" relativeHeight="25182156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01" name="Line 1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4" o:spid="_x0000_s1026" style="position:absolute;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G8pFQIAAC4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N1I&#10;bykVAgAALgQAAA4AAAAAAAAAAAAAAAAALgIAAGRycy9lMm9Eb2MueG1sUEsBAi0AFAAGAAgAAAAh&#10;ABdPMBLbAAAACAEAAA8AAAAAAAAAAAAAAAAAbwQAAGRycy9kb3ducmV2LnhtbFBLBQYAAAAABAAE&#10;APMAAAB3BQAAAAA=&#10;" strokeweight="1.5pt"/>
                  </w:pict>
                </mc:Fallback>
              </mc:AlternateContent>
            </w:r>
            <w:r w:rsidR="00F414D6">
              <w:rPr>
                <w:b/>
                <w:bCs/>
                <w:szCs w:val="18"/>
              </w:rPr>
              <w:t>NOTES</w:t>
            </w:r>
          </w:p>
          <w:p w:rsidR="00F414D6" w:rsidRDefault="00F414D6" w:rsidP="00F414D6">
            <w:pPr>
              <w:pStyle w:val="NotesText"/>
            </w:pPr>
          </w:p>
          <w:p w:rsidR="001809EC" w:rsidRDefault="001809EC" w:rsidP="001809EC">
            <w:pPr>
              <w:pStyle w:val="TableTextBullet"/>
              <w:numPr>
                <w:ilvl w:val="0"/>
                <w:numId w:val="0"/>
              </w:numPr>
              <w:ind w:left="720"/>
            </w:pPr>
            <w:r w:rsidRPr="001809EC">
              <w:rPr>
                <w:vanish/>
              </w:rPr>
              <w:t xml:space="preserve">BR_115.29 </w:t>
            </w:r>
            <w:r>
              <w:t xml:space="preserve">The system allows a user to change a final crossmatch interpretation of </w:t>
            </w:r>
            <w:r w:rsidRPr="00815BE1">
              <w:rPr>
                <w:b/>
                <w:i/>
              </w:rPr>
              <w:t>Crossmatch Compatible</w:t>
            </w:r>
            <w:r>
              <w:t xml:space="preserve"> (C) to </w:t>
            </w:r>
            <w:r w:rsidRPr="00815BE1">
              <w:rPr>
                <w:i/>
              </w:rPr>
              <w:t>Crossmatch Compatible: don’t transfuse</w:t>
            </w:r>
            <w:r>
              <w:t xml:space="preserve"> (D) prior to saving. The system re-evaluates changes made to the test interpretation and allows saving.</w:t>
            </w:r>
          </w:p>
          <w:p w:rsidR="001809EC" w:rsidRDefault="001809EC" w:rsidP="001809EC">
            <w:pPr>
              <w:pStyle w:val="TableTextBullet"/>
              <w:numPr>
                <w:ilvl w:val="0"/>
                <w:numId w:val="0"/>
              </w:numPr>
              <w:ind w:left="720"/>
            </w:pPr>
          </w:p>
          <w:p w:rsidR="001809EC" w:rsidRDefault="001809EC" w:rsidP="001809EC">
            <w:pPr>
              <w:pStyle w:val="TableTextBullet"/>
              <w:numPr>
                <w:ilvl w:val="0"/>
                <w:numId w:val="0"/>
              </w:numPr>
              <w:ind w:left="720"/>
            </w:pPr>
            <w:r>
              <w:t xml:space="preserve">The system allows a user to change a final crossmatch interpretation of </w:t>
            </w:r>
            <w:r w:rsidRPr="00815BE1">
              <w:rPr>
                <w:b/>
                <w:i/>
              </w:rPr>
              <w:t>Crossmatch Incompatible</w:t>
            </w:r>
            <w:r>
              <w:t xml:space="preserve"> (I) to </w:t>
            </w:r>
            <w:r>
              <w:rPr>
                <w:i/>
              </w:rPr>
              <w:t>Crossmatch Inc</w:t>
            </w:r>
            <w:r w:rsidRPr="00815BE1">
              <w:rPr>
                <w:i/>
              </w:rPr>
              <w:t xml:space="preserve">ompatible: </w:t>
            </w:r>
            <w:r>
              <w:rPr>
                <w:i/>
              </w:rPr>
              <w:t>give only with Medical Director approval</w:t>
            </w:r>
            <w:r>
              <w:t xml:space="preserve"> (G) prior to saving. The system re-evaluates changes made to the test interpretation and allows the user to save with appropriate warning messages and overrides.</w:t>
            </w:r>
          </w:p>
          <w:p w:rsidR="001809EC" w:rsidRDefault="001809EC" w:rsidP="001809EC">
            <w:pPr>
              <w:pStyle w:val="TableTextBullet"/>
              <w:numPr>
                <w:ilvl w:val="0"/>
                <w:numId w:val="0"/>
              </w:numPr>
              <w:ind w:left="720"/>
            </w:pPr>
          </w:p>
          <w:p w:rsidR="00F414D6" w:rsidRDefault="00F414D6" w:rsidP="008F1BE0">
            <w:pPr>
              <w:pStyle w:val="TableTextBullet"/>
              <w:numPr>
                <w:ilvl w:val="0"/>
                <w:numId w:val="0"/>
              </w:numPr>
              <w:ind w:left="720"/>
            </w:pPr>
            <w:r>
              <w:t>Refer to</w:t>
            </w:r>
            <w:r w:rsidR="008F1BE0">
              <w:t xml:space="preserve"> </w:t>
            </w:r>
            <w:r w:rsidR="008F1BE0">
              <w:fldChar w:fldCharType="begin"/>
            </w:r>
            <w:r w:rsidR="008F1BE0">
              <w:instrText xml:space="preserve"> REF _Ref446945905 \h </w:instrText>
            </w:r>
            <w:r w:rsidR="008F1BE0">
              <w:fldChar w:fldCharType="separate"/>
            </w:r>
            <w:r w:rsidR="005F38BC">
              <w:t xml:space="preserve">Table </w:t>
            </w:r>
            <w:r w:rsidR="005F38BC">
              <w:rPr>
                <w:noProof/>
              </w:rPr>
              <w:t>11</w:t>
            </w:r>
            <w:r w:rsidR="005F38BC">
              <w:t xml:space="preserve">: </w:t>
            </w:r>
            <w:r w:rsidR="005F38BC">
              <w:rPr>
                <w:rFonts w:cs="Arial"/>
                <w:b/>
                <w:vanish/>
              </w:rPr>
              <w:t xml:space="preserve">BR_40.14 </w:t>
            </w:r>
            <w:r w:rsidR="005F38BC">
              <w:t>Crossmatch Interpretations for Print Unit Caution Tag &amp; Transfusion Record Form</w:t>
            </w:r>
            <w:r w:rsidR="008F1BE0">
              <w:fldChar w:fldCharType="end"/>
            </w:r>
            <w:r w:rsidR="008F1BE0">
              <w:t>.</w:t>
            </w:r>
          </w:p>
        </w:tc>
      </w:tr>
      <w:tr w:rsidR="00A80240" w:rsidTr="00381224">
        <w:tblPrEx>
          <w:tblCellMar>
            <w:top w:w="0" w:type="dxa"/>
            <w:bottom w:w="0" w:type="dxa"/>
          </w:tblCellMar>
        </w:tblPrEx>
        <w:tc>
          <w:tcPr>
            <w:tcW w:w="3240" w:type="dxa"/>
          </w:tcPr>
          <w:p w:rsidR="00A80240" w:rsidRDefault="00E82F44" w:rsidP="00274D41">
            <w:pPr>
              <w:pStyle w:val="TableTextNumbers"/>
            </w:pPr>
            <w:r>
              <w:lastRenderedPageBreak/>
              <w:t>Refer to S</w:t>
            </w:r>
            <w:r w:rsidR="00B16194">
              <w:t>tep</w:t>
            </w:r>
            <w:r>
              <w:t xml:space="preserve"> 5 and S</w:t>
            </w:r>
            <w:r w:rsidR="00D279DE">
              <w:t>tep 6 for process to save the crossmatch results.</w:t>
            </w:r>
          </w:p>
        </w:tc>
        <w:tc>
          <w:tcPr>
            <w:tcW w:w="6120" w:type="dxa"/>
          </w:tcPr>
          <w:p w:rsidR="00A80240" w:rsidRDefault="00A80240" w:rsidP="00D279DE">
            <w:pPr>
              <w:pStyle w:val="TableTextBullet"/>
              <w:numPr>
                <w:ilvl w:val="0"/>
                <w:numId w:val="0"/>
              </w:numPr>
              <w:ind w:left="288"/>
            </w:pPr>
          </w:p>
        </w:tc>
      </w:tr>
    </w:tbl>
    <w:p w:rsidR="007A4841" w:rsidRDefault="007A4841" w:rsidP="00D65C6C">
      <w:pPr>
        <w:pStyle w:val="Heading1"/>
        <w:rPr>
          <w:rStyle w:val="BodyTextChar"/>
          <w:rFonts w:ascii="Times New Roman" w:hAnsi="Times New Roman" w:cs="Times New Roman"/>
          <w:b w:val="0"/>
        </w:rPr>
      </w:pPr>
    </w:p>
    <w:p w:rsidR="00937534" w:rsidRDefault="00937534" w:rsidP="00937534">
      <w:pPr>
        <w:pStyle w:val="Caption"/>
      </w:pPr>
      <w:bookmarkStart w:id="540" w:name="_Ref447168245"/>
      <w:r>
        <w:t xml:space="preserve">Figure </w:t>
      </w:r>
      <w:r>
        <w:fldChar w:fldCharType="begin"/>
      </w:r>
      <w:r>
        <w:instrText xml:space="preserve"> SEQ Figure \* ARABIC </w:instrText>
      </w:r>
      <w:r>
        <w:fldChar w:fldCharType="separate"/>
      </w:r>
      <w:r w:rsidR="005F38BC">
        <w:rPr>
          <w:noProof/>
        </w:rPr>
        <w:t>136</w:t>
      </w:r>
      <w:r>
        <w:fldChar w:fldCharType="end"/>
      </w:r>
      <w:bookmarkEnd w:id="540"/>
      <w:r>
        <w:t>: Automated Testing</w:t>
      </w:r>
      <w:r w:rsidR="00B46534">
        <w:t xml:space="preserve"> - Pending Specimen</w:t>
      </w:r>
      <w:r>
        <w:t xml:space="preserve"> Tests Window</w:t>
      </w:r>
    </w:p>
    <w:p w:rsidR="00481912" w:rsidRDefault="00634BFC" w:rsidP="00481912">
      <w:r>
        <w:rPr>
          <w:noProof/>
        </w:rPr>
        <w:drawing>
          <wp:inline distT="0" distB="0" distL="0" distR="0">
            <wp:extent cx="3857625" cy="1924050"/>
            <wp:effectExtent l="0" t="0" r="952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857625" cy="1924050"/>
                    </a:xfrm>
                    <a:prstGeom prst="rect">
                      <a:avLst/>
                    </a:prstGeom>
                    <a:noFill/>
                    <a:ln>
                      <a:noFill/>
                    </a:ln>
                  </pic:spPr>
                </pic:pic>
              </a:graphicData>
            </a:graphic>
          </wp:inline>
        </w:drawing>
      </w:r>
    </w:p>
    <w:p w:rsidR="00C36D9B" w:rsidRPr="00ED3C7A" w:rsidRDefault="00C36D9B" w:rsidP="00ED3C7A">
      <w:pPr>
        <w:jc w:val="center"/>
        <w:rPr>
          <w:rStyle w:val="BodyTextChar"/>
        </w:rPr>
      </w:pPr>
      <w:r w:rsidRPr="00ED3C7A">
        <w:rPr>
          <w:rStyle w:val="BodyTextChar"/>
        </w:rPr>
        <w:br w:type="page"/>
      </w:r>
      <w:r w:rsidRPr="00ED3C7A">
        <w:rPr>
          <w:rStyle w:val="BodyTextChar"/>
        </w:rPr>
        <w:lastRenderedPageBreak/>
        <w:t>This page intentionally left blank.</w:t>
      </w:r>
    </w:p>
    <w:p w:rsidR="00F328F5" w:rsidRPr="00C36D9B" w:rsidRDefault="00C36D9B" w:rsidP="00C36D9B">
      <w:pPr>
        <w:pStyle w:val="Heading1"/>
      </w:pPr>
      <w:r>
        <w:rPr>
          <w:rStyle w:val="BodyTextChar"/>
          <w:rFonts w:ascii="Times New Roman" w:hAnsi="Times New Roman" w:cs="Times New Roman"/>
          <w:b w:val="0"/>
        </w:rPr>
        <w:br w:type="page"/>
      </w:r>
      <w:bookmarkStart w:id="541" w:name="_Toc459900163"/>
      <w:r w:rsidR="002A21AE" w:rsidRPr="00C36D9B">
        <w:lastRenderedPageBreak/>
        <w:t>Reports</w:t>
      </w:r>
      <w:bookmarkEnd w:id="541"/>
    </w:p>
    <w:p w:rsidR="00E22860" w:rsidRPr="00716B49" w:rsidRDefault="00E22860" w:rsidP="00E22860">
      <w:pPr>
        <w:rPr>
          <w:sz w:val="22"/>
          <w:szCs w:val="22"/>
        </w:rPr>
      </w:pPr>
      <w:r w:rsidRPr="00716B49">
        <w:rPr>
          <w:sz w:val="22"/>
          <w:szCs w:val="22"/>
        </w:rPr>
        <w:t>The report information that is presented on-screen, not the print preview, can be sorted by clicking on each</w:t>
      </w:r>
      <w:r w:rsidR="000B4E47" w:rsidRPr="00716B49">
        <w:rPr>
          <w:sz w:val="22"/>
          <w:szCs w:val="22"/>
        </w:rPr>
        <w:t xml:space="preserve"> column header. The sort changes made do not apply to the printed reports. Reports print in a default sort order.</w:t>
      </w:r>
    </w:p>
    <w:p w:rsidR="00733A12" w:rsidRDefault="00733A12" w:rsidP="00E22860"/>
    <w:p w:rsidR="00733A12" w:rsidRPr="00716B49" w:rsidRDefault="00CA1FAF" w:rsidP="00E22860">
      <w:pPr>
        <w:rPr>
          <w:sz w:val="22"/>
          <w:szCs w:val="22"/>
        </w:rPr>
      </w:pPr>
      <w:r w:rsidRPr="00716B49">
        <w:rPr>
          <w:b/>
          <w:sz w:val="22"/>
          <w:szCs w:val="22"/>
        </w:rPr>
        <w:t>Note:</w:t>
      </w:r>
      <w:r w:rsidRPr="00716B49">
        <w:rPr>
          <w:sz w:val="22"/>
          <w:szCs w:val="22"/>
        </w:rPr>
        <w:t xml:space="preserve"> </w:t>
      </w:r>
      <w:r w:rsidR="00422E94">
        <w:rPr>
          <w:sz w:val="22"/>
          <w:szCs w:val="22"/>
        </w:rPr>
        <w:t xml:space="preserve">Switching to Normal layout view from Print layout view so the user can search the report may cause the error message </w:t>
      </w:r>
      <w:r w:rsidR="00422E94" w:rsidRPr="00716B49">
        <w:rPr>
          <w:b/>
          <w:sz w:val="22"/>
          <w:szCs w:val="22"/>
        </w:rPr>
        <w:t>“Error. Thread was being aborted</w:t>
      </w:r>
      <w:r w:rsidR="00422E94">
        <w:rPr>
          <w:b/>
          <w:sz w:val="22"/>
          <w:szCs w:val="22"/>
        </w:rPr>
        <w:t>.</w:t>
      </w:r>
      <w:r w:rsidR="00422E94" w:rsidRPr="00716B49">
        <w:rPr>
          <w:b/>
          <w:sz w:val="22"/>
          <w:szCs w:val="22"/>
        </w:rPr>
        <w:t>”</w:t>
      </w:r>
      <w:r w:rsidR="00422E94">
        <w:rPr>
          <w:sz w:val="22"/>
          <w:szCs w:val="22"/>
        </w:rPr>
        <w:t xml:space="preserve"> to appear for a large report. </w:t>
      </w:r>
      <w:r w:rsidRPr="00716B49">
        <w:rPr>
          <w:sz w:val="22"/>
          <w:szCs w:val="22"/>
        </w:rPr>
        <w:t>The report</w:t>
      </w:r>
      <w:r w:rsidR="00D441C9" w:rsidRPr="00716B49">
        <w:rPr>
          <w:sz w:val="22"/>
          <w:szCs w:val="22"/>
        </w:rPr>
        <w:t xml:space="preserve"> proceeds to load in the different layout </w:t>
      </w:r>
      <w:r w:rsidR="00422E94">
        <w:rPr>
          <w:sz w:val="22"/>
          <w:szCs w:val="22"/>
        </w:rPr>
        <w:t xml:space="preserve">view </w:t>
      </w:r>
      <w:r w:rsidR="00D441C9" w:rsidRPr="00716B49">
        <w:rPr>
          <w:sz w:val="22"/>
          <w:szCs w:val="22"/>
        </w:rPr>
        <w:t>chosen by the user. This is a normal behavior of a report engine and no harm is done.</w:t>
      </w:r>
      <w:r w:rsidR="00716B49" w:rsidRPr="00716B49">
        <w:rPr>
          <w:sz w:val="22"/>
          <w:szCs w:val="22"/>
        </w:rPr>
        <w:t xml:space="preserve"> </w:t>
      </w:r>
      <w:r w:rsidR="00716B49" w:rsidRPr="00716B49">
        <w:rPr>
          <w:vanish/>
          <w:sz w:val="22"/>
          <w:szCs w:val="22"/>
        </w:rPr>
        <w:t>DR 5059</w:t>
      </w:r>
    </w:p>
    <w:p w:rsidR="007A6EB0" w:rsidRDefault="007A6EB0" w:rsidP="007A6EB0">
      <w:pPr>
        <w:pStyle w:val="Heading2"/>
      </w:pPr>
      <w:bookmarkStart w:id="542" w:name="_Toc63680379"/>
      <w:bookmarkStart w:id="543" w:name="_Toc459900164"/>
      <w:bookmarkEnd w:id="532"/>
      <w:r>
        <w:t>Administrative Data Report</w:t>
      </w:r>
      <w:bookmarkEnd w:id="543"/>
      <w:r>
        <w:fldChar w:fldCharType="begin"/>
      </w:r>
      <w:r>
        <w:instrText xml:space="preserve"> XE “Administrative Data Report” </w:instrText>
      </w:r>
      <w:r>
        <w:fldChar w:fldCharType="end"/>
      </w:r>
      <w:r>
        <w:t xml:space="preserve"> </w:t>
      </w:r>
      <w:r>
        <w:rPr>
          <w:rFonts w:ascii="Times New Roman" w:hAnsi="Times New Roman" w:cs="Times New Roman"/>
          <w:b w:val="0"/>
          <w:i w:val="0"/>
          <w:vanish/>
          <w:sz w:val="22"/>
        </w:rPr>
        <w:t>UC_107</w:t>
      </w:r>
    </w:p>
    <w:p w:rsidR="007A6EB0" w:rsidRDefault="007A6EB0" w:rsidP="007A6EB0">
      <w:pPr>
        <w:pStyle w:val="BodyText"/>
      </w:pPr>
      <w:r>
        <w:t>The user views and</w:t>
      </w:r>
      <w:r w:rsidR="00EB1E5A">
        <w:t>/or</w:t>
      </w:r>
      <w:r>
        <w:t xml:space="preserve"> prints the Administrative Data Report.</w:t>
      </w:r>
    </w:p>
    <w:p w:rsidR="007A6EB0" w:rsidRDefault="007A6EB0" w:rsidP="007A6EB0">
      <w:pPr>
        <w:pStyle w:val="Heading4"/>
      </w:pPr>
      <w:r>
        <w:t>Assumptions</w:t>
      </w:r>
      <w:r>
        <w:rPr>
          <w:b w:val="0"/>
        </w:rPr>
        <w:t xml:space="preserve"> </w:t>
      </w:r>
    </w:p>
    <w:p w:rsidR="007A6EB0" w:rsidRDefault="007A6EB0" w:rsidP="007A6EB0">
      <w:pPr>
        <w:pStyle w:val="ListBullet"/>
        <w:rPr>
          <w:b/>
        </w:rPr>
      </w:pPr>
      <w:r>
        <w:t>Data are available for inclusion in the report.</w:t>
      </w:r>
    </w:p>
    <w:p w:rsidR="00AE521B" w:rsidRDefault="007A6EB0" w:rsidP="007A6EB0">
      <w:pPr>
        <w:pStyle w:val="Heading4"/>
      </w:pPr>
      <w:r>
        <w:t xml:space="preserve">Outcome </w:t>
      </w:r>
    </w:p>
    <w:p w:rsidR="007A6EB0" w:rsidRDefault="00AE521B" w:rsidP="00AE521B">
      <w:pPr>
        <w:pStyle w:val="ListBullet"/>
      </w:pPr>
      <w:r>
        <w:t>The user views and/or prints the report</w:t>
      </w:r>
      <w:r w:rsidR="007A6EB0">
        <w:t>.</w:t>
      </w:r>
    </w:p>
    <w:p w:rsidR="007A6EB0" w:rsidRDefault="007A6EB0" w:rsidP="007A6EB0">
      <w:pPr>
        <w:pStyle w:val="Heading4"/>
        <w:rPr>
          <w:b w:val="0"/>
        </w:rPr>
      </w:pPr>
      <w:r>
        <w:t>Limitations and Restrictions</w:t>
      </w:r>
      <w:r>
        <w:rPr>
          <w:b w:val="0"/>
        </w:rPr>
        <w:t xml:space="preserve"> </w:t>
      </w:r>
    </w:p>
    <w:p w:rsidR="007A6EB0" w:rsidRDefault="007A6EB0" w:rsidP="007A6EB0">
      <w:pPr>
        <w:pStyle w:val="ListBullet"/>
      </w:pPr>
      <w:r>
        <w:t>None</w:t>
      </w:r>
    </w:p>
    <w:p w:rsidR="007A6EB0" w:rsidRDefault="007A6EB0" w:rsidP="007A6EB0">
      <w:pPr>
        <w:pStyle w:val="Heading4"/>
      </w:pPr>
      <w:r>
        <w:t xml:space="preserve">Additional Information </w:t>
      </w:r>
    </w:p>
    <w:p w:rsidR="007A6EB0" w:rsidRDefault="007A6EB0" w:rsidP="007A6EB0">
      <w:pPr>
        <w:pStyle w:val="ListBullet"/>
      </w:pPr>
      <w:r>
        <w:t>The report is available as a single-division or multidivisional (all divisions) report.</w:t>
      </w:r>
    </w:p>
    <w:p w:rsidR="007A6EB0" w:rsidRDefault="007A6EB0" w:rsidP="007A6EB0">
      <w:pPr>
        <w:pStyle w:val="Heading4"/>
        <w:rPr>
          <w:b w:val="0"/>
        </w:rPr>
      </w:pPr>
      <w:r>
        <w:t>User Roles with Access to This Option</w:t>
      </w:r>
      <w:r>
        <w:rPr>
          <w:b w:val="0"/>
        </w:rPr>
        <w:t xml:space="preserve"> </w:t>
      </w:r>
    </w:p>
    <w:p w:rsidR="007A6EB0" w:rsidRDefault="007A6EB0" w:rsidP="007A6EB0">
      <w:pPr>
        <w:pStyle w:val="Roles"/>
      </w:pPr>
      <w:r>
        <w:t>All users</w:t>
      </w:r>
    </w:p>
    <w:p w:rsidR="007A6EB0" w:rsidRDefault="007A6EB0" w:rsidP="007A6EB0">
      <w:pPr>
        <w:pStyle w:val="Heading4"/>
      </w:pPr>
      <w:r>
        <w:t xml:space="preserve">Administrative Data Report </w:t>
      </w:r>
    </w:p>
    <w:p w:rsidR="007A6EB0" w:rsidRDefault="007A6EB0" w:rsidP="007A6EB0">
      <w:pPr>
        <w:pStyle w:val="BodyText"/>
      </w:pPr>
      <w:r>
        <w:t xml:space="preserve">The user </w:t>
      </w:r>
      <w:r w:rsidR="00FF1708">
        <w:t xml:space="preserve">views </w:t>
      </w:r>
      <w:r w:rsidR="00EB1E5A">
        <w:t>and/or</w:t>
      </w:r>
      <w:r w:rsidR="00FF1708">
        <w:t xml:space="preserve"> prints </w:t>
      </w:r>
      <w:r>
        <w:t>the Administrative Data Report</w:t>
      </w:r>
      <w:r w:rsidR="00A611B6">
        <w:t>, which includes blood product transactions</w:t>
      </w:r>
      <w:r>
        <w:t xml:space="preserve"> for a given date range.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7A6EB0">
        <w:tblPrEx>
          <w:tblCellMar>
            <w:top w:w="0" w:type="dxa"/>
            <w:bottom w:w="0" w:type="dxa"/>
          </w:tblCellMar>
        </w:tblPrEx>
        <w:trPr>
          <w:tblHeader/>
        </w:trPr>
        <w:tc>
          <w:tcPr>
            <w:tcW w:w="3240" w:type="dxa"/>
            <w:shd w:val="pct30" w:color="auto" w:fill="FFFFFF"/>
            <w:vAlign w:val="bottom"/>
          </w:tcPr>
          <w:p w:rsidR="007A6EB0" w:rsidRDefault="007A6EB0" w:rsidP="007A6EB0">
            <w:pPr>
              <w:pStyle w:val="TableText"/>
              <w:rPr>
                <w:b/>
              </w:rPr>
            </w:pPr>
            <w:r>
              <w:rPr>
                <w:b/>
              </w:rPr>
              <w:t>User Action</w:t>
            </w:r>
          </w:p>
        </w:tc>
        <w:tc>
          <w:tcPr>
            <w:tcW w:w="6120" w:type="dxa"/>
            <w:shd w:val="pct30" w:color="auto" w:fill="FFFFFF"/>
            <w:vAlign w:val="bottom"/>
          </w:tcPr>
          <w:p w:rsidR="007A6EB0" w:rsidRDefault="007A6EB0" w:rsidP="007A6EB0">
            <w:pPr>
              <w:pStyle w:val="TableText"/>
              <w:rPr>
                <w:b/>
              </w:rPr>
            </w:pPr>
            <w:r>
              <w:rPr>
                <w:b/>
              </w:rPr>
              <w:t>VBECS</w:t>
            </w:r>
          </w:p>
        </w:tc>
      </w:tr>
      <w:tr w:rsidR="007A6EB0">
        <w:tblPrEx>
          <w:tblCellMar>
            <w:top w:w="0" w:type="dxa"/>
            <w:bottom w:w="0" w:type="dxa"/>
          </w:tblCellMar>
        </w:tblPrEx>
        <w:tc>
          <w:tcPr>
            <w:tcW w:w="3240" w:type="dxa"/>
          </w:tcPr>
          <w:p w:rsidR="007A6EB0" w:rsidRDefault="007A6EB0" w:rsidP="00DB7466">
            <w:pPr>
              <w:pStyle w:val="TableTextNumbers"/>
              <w:numPr>
                <w:ilvl w:val="0"/>
                <w:numId w:val="59"/>
              </w:numPr>
            </w:pPr>
            <w:r>
              <w:t xml:space="preserve">Select </w:t>
            </w:r>
            <w:r w:rsidRPr="004831F9">
              <w:rPr>
                <w:b/>
              </w:rPr>
              <w:t>Reports</w:t>
            </w:r>
            <w:r>
              <w:t xml:space="preserve"> from the main menu.</w:t>
            </w:r>
          </w:p>
          <w:p w:rsidR="007A6EB0" w:rsidRDefault="007A6EB0" w:rsidP="007A6EB0">
            <w:pPr>
              <w:pStyle w:val="TableTextNumbersContinued"/>
            </w:pPr>
          </w:p>
          <w:p w:rsidR="007A6EB0" w:rsidRDefault="007A6EB0" w:rsidP="007A6EB0">
            <w:pPr>
              <w:pStyle w:val="TableTextNumbersContinued"/>
            </w:pPr>
            <w:r>
              <w:t xml:space="preserve">Select </w:t>
            </w:r>
            <w:r>
              <w:rPr>
                <w:b/>
              </w:rPr>
              <w:t>Administrative Data Report</w:t>
            </w:r>
            <w:r>
              <w:t>.</w:t>
            </w:r>
          </w:p>
        </w:tc>
        <w:tc>
          <w:tcPr>
            <w:tcW w:w="6120" w:type="dxa"/>
          </w:tcPr>
          <w:p w:rsidR="007A6EB0" w:rsidRDefault="007A6EB0" w:rsidP="007A6EB0">
            <w:pPr>
              <w:pStyle w:val="TableTextBullet"/>
            </w:pPr>
            <w:r>
              <w:t>Lists report names.</w:t>
            </w:r>
          </w:p>
          <w:p w:rsidR="007A6EB0" w:rsidRDefault="007A6EB0" w:rsidP="007A6EB0">
            <w:pPr>
              <w:pStyle w:val="TableTextBullet"/>
            </w:pPr>
            <w:r>
              <w:t xml:space="preserve">Displays report compilation criteria. </w:t>
            </w:r>
          </w:p>
          <w:p w:rsidR="007A6EB0" w:rsidRDefault="007A6EB0" w:rsidP="007A6EB0">
            <w:pPr>
              <w:pStyle w:val="TableTextBullet"/>
            </w:pPr>
            <w:r>
              <w:t>Displays a date range for selection.</w:t>
            </w:r>
          </w:p>
        </w:tc>
      </w:tr>
      <w:tr w:rsidR="007A6EB0">
        <w:tblPrEx>
          <w:tblCellMar>
            <w:top w:w="0" w:type="dxa"/>
            <w:bottom w:w="0" w:type="dxa"/>
          </w:tblCellMar>
        </w:tblPrEx>
        <w:tc>
          <w:tcPr>
            <w:tcW w:w="3240" w:type="dxa"/>
          </w:tcPr>
          <w:p w:rsidR="007A6EB0" w:rsidRDefault="007A6EB0" w:rsidP="007A6EB0">
            <w:pPr>
              <w:pStyle w:val="TableTextNumbers"/>
            </w:pPr>
            <w:r>
              <w:t xml:space="preserve">Click the </w:t>
            </w:r>
            <w:r>
              <w:rPr>
                <w:b/>
              </w:rPr>
              <w:t>Current Divisions</w:t>
            </w:r>
            <w:r>
              <w:t xml:space="preserve"> or</w:t>
            </w:r>
            <w:r>
              <w:rPr>
                <w:b/>
              </w:rPr>
              <w:t xml:space="preserve"> All Divisions </w:t>
            </w:r>
            <w:r w:rsidRPr="00BF2E41">
              <w:t>radio button</w:t>
            </w:r>
            <w:r>
              <w:t>.</w:t>
            </w:r>
          </w:p>
        </w:tc>
        <w:tc>
          <w:tcPr>
            <w:tcW w:w="6120" w:type="dxa"/>
          </w:tcPr>
          <w:p w:rsidR="007A6EB0" w:rsidRDefault="007A6EB0" w:rsidP="007A6EB0">
            <w:pPr>
              <w:pStyle w:val="TableTextBullet"/>
            </w:pPr>
            <w:r>
              <w:t>Allows the user to select one or all divisions.</w:t>
            </w:r>
          </w:p>
          <w:p w:rsidR="007A6EB0" w:rsidRDefault="007A6EB0" w:rsidP="007A6EB0">
            <w:pPr>
              <w:pStyle w:val="TableText"/>
              <w:rPr>
                <w:b/>
                <w:bCs/>
                <w:szCs w:val="18"/>
              </w:rPr>
            </w:pPr>
          </w:p>
          <w:p w:rsidR="007A6EB0" w:rsidRDefault="00634BFC" w:rsidP="007A6EB0">
            <w:pPr>
              <w:pStyle w:val="TableText"/>
              <w:rPr>
                <w:b/>
                <w:bCs/>
                <w:szCs w:val="18"/>
              </w:rPr>
            </w:pPr>
            <w:r>
              <w:rPr>
                <w:b/>
                <w:bCs/>
                <w:noProof/>
              </w:rPr>
              <mc:AlternateContent>
                <mc:Choice Requires="wps">
                  <w:drawing>
                    <wp:anchor distT="0" distB="0" distL="114300" distR="114300" simplePos="0" relativeHeight="25173862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300" name="Lin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3" o:spid="_x0000_s1026" style="position:absolute;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eYjFAIAAC4EAAAOAAAAZHJzL2Uyb0RvYy54bWysU8GO2jAQvVfqP1i+QxLIUo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" strokeweight="1.5pt"/>
                  </w:pict>
                </mc:Fallback>
              </mc:AlternateContent>
            </w:r>
            <w:r w:rsidR="007A6EB0">
              <w:rPr>
                <w:b/>
                <w:bCs/>
                <w:szCs w:val="18"/>
              </w:rPr>
              <w:t>NOTES</w:t>
            </w:r>
          </w:p>
          <w:p w:rsidR="007A6EB0" w:rsidRDefault="007A6EB0" w:rsidP="007A6EB0">
            <w:pPr>
              <w:pStyle w:val="NotesText"/>
            </w:pPr>
          </w:p>
          <w:p w:rsidR="007A6EB0" w:rsidRDefault="007A6EB0" w:rsidP="007A6EB0">
            <w:pPr>
              <w:pStyle w:val="NotesText"/>
            </w:pPr>
            <w:r>
              <w:t>For each component class and its subdivisions, VBECS tallies:</w:t>
            </w:r>
          </w:p>
          <w:p w:rsidR="007A6EB0" w:rsidRDefault="007A6EB0" w:rsidP="007A6EB0">
            <w:pPr>
              <w:pStyle w:val="NotesTextBullet"/>
              <w:tabs>
                <w:tab w:val="clear" w:pos="1008"/>
                <w:tab w:val="num" w:pos="288"/>
              </w:tabs>
            </w:pPr>
            <w:r>
              <w:rPr>
                <w:rFonts w:cs="Arial"/>
                <w:vanish/>
              </w:rPr>
              <w:t xml:space="preserve">BR_107.01 </w:t>
            </w:r>
            <w:r>
              <w:t>Products received</w:t>
            </w:r>
          </w:p>
          <w:p w:rsidR="007A6EB0" w:rsidRDefault="007A6EB0" w:rsidP="007A6EB0">
            <w:pPr>
              <w:pStyle w:val="NotesTextBullet"/>
              <w:tabs>
                <w:tab w:val="clear" w:pos="1008"/>
                <w:tab w:val="num" w:pos="288"/>
              </w:tabs>
            </w:pPr>
            <w:r>
              <w:rPr>
                <w:rFonts w:cs="Arial"/>
                <w:vanish/>
              </w:rPr>
              <w:t xml:space="preserve">BR_107.02 </w:t>
            </w:r>
            <w:r>
              <w:t>Products modified/prepared</w:t>
            </w:r>
          </w:p>
          <w:p w:rsidR="007A6EB0" w:rsidRDefault="007A6EB0" w:rsidP="007A6EB0">
            <w:pPr>
              <w:pStyle w:val="NotesTextBullet"/>
              <w:tabs>
                <w:tab w:val="clear" w:pos="1008"/>
                <w:tab w:val="num" w:pos="288"/>
              </w:tabs>
            </w:pPr>
            <w:r>
              <w:rPr>
                <w:rFonts w:cs="Arial"/>
                <w:vanish/>
              </w:rPr>
              <w:t xml:space="preserve">BR_107.03 </w:t>
            </w:r>
            <w:r>
              <w:t>Units transfused</w:t>
            </w:r>
          </w:p>
          <w:p w:rsidR="007A6EB0" w:rsidRDefault="007A6EB0" w:rsidP="007A6EB0">
            <w:pPr>
              <w:pStyle w:val="NotesTextBullet"/>
              <w:tabs>
                <w:tab w:val="clear" w:pos="1008"/>
                <w:tab w:val="num" w:pos="288"/>
              </w:tabs>
            </w:pPr>
            <w:r>
              <w:rPr>
                <w:rFonts w:cs="Arial"/>
                <w:vanish/>
              </w:rPr>
              <w:t xml:space="preserve">BR_107.04 </w:t>
            </w:r>
            <w:r>
              <w:t>Units shipped</w:t>
            </w:r>
          </w:p>
          <w:p w:rsidR="007A6EB0" w:rsidRDefault="007A6EB0" w:rsidP="007A6EB0">
            <w:pPr>
              <w:pStyle w:val="NotesTextBullet"/>
              <w:tabs>
                <w:tab w:val="clear" w:pos="1008"/>
                <w:tab w:val="num" w:pos="288"/>
              </w:tabs>
            </w:pPr>
            <w:r>
              <w:rPr>
                <w:rFonts w:cs="Arial"/>
                <w:vanish/>
              </w:rPr>
              <w:t xml:space="preserve">BR_107.05 </w:t>
            </w:r>
            <w:r>
              <w:t>Outdated units</w:t>
            </w:r>
          </w:p>
          <w:p w:rsidR="007A6EB0" w:rsidRDefault="007A6EB0" w:rsidP="007A6EB0">
            <w:pPr>
              <w:pStyle w:val="NotesTextBullet"/>
              <w:tabs>
                <w:tab w:val="clear" w:pos="1008"/>
                <w:tab w:val="num" w:pos="288"/>
              </w:tabs>
            </w:pPr>
            <w:r>
              <w:rPr>
                <w:rFonts w:cs="Arial"/>
                <w:vanish/>
              </w:rPr>
              <w:lastRenderedPageBreak/>
              <w:t xml:space="preserve">BR_107.06 </w:t>
            </w:r>
            <w:r>
              <w:t>Discarded credit units</w:t>
            </w:r>
          </w:p>
          <w:p w:rsidR="007A6EB0" w:rsidRDefault="007A6EB0" w:rsidP="007A6EB0">
            <w:pPr>
              <w:pStyle w:val="NotesTextBullet"/>
              <w:tabs>
                <w:tab w:val="clear" w:pos="1008"/>
                <w:tab w:val="num" w:pos="288"/>
              </w:tabs>
            </w:pPr>
            <w:r>
              <w:rPr>
                <w:rFonts w:cs="Arial"/>
                <w:vanish/>
              </w:rPr>
              <w:t xml:space="preserve">BR_107.07 </w:t>
            </w:r>
            <w:r>
              <w:t>Discarded waste units</w:t>
            </w:r>
          </w:p>
        </w:tc>
      </w:tr>
      <w:tr w:rsidR="007A6EB0">
        <w:tblPrEx>
          <w:tblCellMar>
            <w:top w:w="0" w:type="dxa"/>
            <w:bottom w:w="0" w:type="dxa"/>
          </w:tblCellMar>
        </w:tblPrEx>
        <w:tc>
          <w:tcPr>
            <w:tcW w:w="3240" w:type="dxa"/>
          </w:tcPr>
          <w:p w:rsidR="007A6EB0" w:rsidRDefault="007A6EB0" w:rsidP="007A6EB0">
            <w:pPr>
              <w:pStyle w:val="TableTextNumbers"/>
            </w:pPr>
            <w:r>
              <w:lastRenderedPageBreak/>
              <w:t>Enter or select start and end dates.</w:t>
            </w:r>
          </w:p>
        </w:tc>
        <w:tc>
          <w:tcPr>
            <w:tcW w:w="6120" w:type="dxa"/>
          </w:tcPr>
          <w:p w:rsidR="007A6EB0" w:rsidRDefault="007A6EB0" w:rsidP="007A6EB0">
            <w:pPr>
              <w:pStyle w:val="TableText"/>
            </w:pPr>
          </w:p>
        </w:tc>
      </w:tr>
      <w:tr w:rsidR="007A6EB0">
        <w:tblPrEx>
          <w:tblCellMar>
            <w:top w:w="0" w:type="dxa"/>
            <w:bottom w:w="0" w:type="dxa"/>
          </w:tblCellMar>
        </w:tblPrEx>
        <w:tc>
          <w:tcPr>
            <w:tcW w:w="3240" w:type="dxa"/>
          </w:tcPr>
          <w:p w:rsidR="007A6EB0" w:rsidRDefault="007A6EB0" w:rsidP="007A6EB0">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rsidR="007A6EB0" w:rsidRDefault="007A6EB0" w:rsidP="007A6EB0">
            <w:pPr>
              <w:pStyle w:val="TableTextNumbersContinued"/>
            </w:pPr>
          </w:p>
          <w:p w:rsidR="007A6EB0" w:rsidRDefault="007A6EB0" w:rsidP="007A6EB0">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rsidR="005B6A94" w:rsidRDefault="00F64B5C" w:rsidP="00AA2B2E">
            <w:pPr>
              <w:pStyle w:val="TableTextBullet"/>
            </w:pPr>
            <w:r>
              <w:t>Compiles and displays the report.</w:t>
            </w:r>
          </w:p>
        </w:tc>
      </w:tr>
      <w:tr w:rsidR="007A6EB0">
        <w:tblPrEx>
          <w:tblCellMar>
            <w:top w:w="0" w:type="dxa"/>
            <w:bottom w:w="0" w:type="dxa"/>
          </w:tblCellMar>
        </w:tblPrEx>
        <w:tc>
          <w:tcPr>
            <w:tcW w:w="3240" w:type="dxa"/>
          </w:tcPr>
          <w:p w:rsidR="007A6EB0" w:rsidRDefault="007A6EB0" w:rsidP="007A6EB0">
            <w:pPr>
              <w:pStyle w:val="TableTextNumbers"/>
            </w:pPr>
            <w:r>
              <w:t xml:space="preserve">Select </w:t>
            </w:r>
            <w:r>
              <w:rPr>
                <w:b/>
              </w:rPr>
              <w:t xml:space="preserve">Print </w:t>
            </w:r>
            <w:r>
              <w:t xml:space="preserve">to print the report and exit, or click </w:t>
            </w:r>
            <w:r>
              <w:rPr>
                <w:b/>
              </w:rPr>
              <w:t>Close</w:t>
            </w:r>
            <w:r>
              <w:t xml:space="preserve"> to exit without printing.</w:t>
            </w:r>
            <w:r w:rsidRPr="00B93B42">
              <w:rPr>
                <w:rStyle w:val="StyleTableTextNumbersWhite1Char"/>
              </w:rP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rsidR="007A6EB0" w:rsidRDefault="007A6EB0" w:rsidP="007A6EB0">
            <w:pPr>
              <w:pStyle w:val="TableTextBullet"/>
            </w:pPr>
            <w:r>
              <w:t xml:space="preserve">Prints the report on the selected printer. </w:t>
            </w:r>
          </w:p>
        </w:tc>
      </w:tr>
    </w:tbl>
    <w:p w:rsidR="00F55832" w:rsidRDefault="00F55832" w:rsidP="007A6EB0">
      <w:pPr>
        <w:pStyle w:val="Heading2"/>
      </w:pPr>
    </w:p>
    <w:p w:rsidR="002A21AE" w:rsidRDefault="00F55832" w:rsidP="007A6EB0">
      <w:pPr>
        <w:pStyle w:val="Heading2"/>
      </w:pPr>
      <w:r>
        <w:br w:type="page"/>
      </w:r>
      <w:bookmarkStart w:id="544" w:name="_Toc459900165"/>
      <w:r w:rsidR="002A21AE">
        <w:lastRenderedPageBreak/>
        <w:t>Audit Trail</w:t>
      </w:r>
      <w:bookmarkEnd w:id="544"/>
      <w:r w:rsidR="002A21AE">
        <w:fldChar w:fldCharType="begin"/>
      </w:r>
      <w:r w:rsidR="002A21AE">
        <w:instrText xml:space="preserve"> XE </w:instrText>
      </w:r>
      <w:r w:rsidR="00FA7E65">
        <w:instrText>“</w:instrText>
      </w:r>
      <w:r w:rsidR="002A21AE">
        <w:instrText>Audit Trail</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UC_77</w:t>
      </w:r>
    </w:p>
    <w:bookmarkEnd w:id="542"/>
    <w:p w:rsidR="002A21AE" w:rsidRDefault="002A21AE" w:rsidP="00FA7E65">
      <w:pPr>
        <w:pStyle w:val="BodyText"/>
      </w:pPr>
      <w:r>
        <w:t xml:space="preserve">The user views </w:t>
      </w:r>
      <w:r w:rsidR="00EB1E5A">
        <w:t>and/or</w:t>
      </w:r>
      <w:r>
        <w:t xml:space="preserve"> prints an Audit Trail Report. </w:t>
      </w:r>
    </w:p>
    <w:p w:rsidR="002A21AE" w:rsidRDefault="002A21AE">
      <w:pPr>
        <w:pStyle w:val="Heading4"/>
      </w:pPr>
      <w:r>
        <w:t>Assumptions</w:t>
      </w:r>
    </w:p>
    <w:p w:rsidR="002A21AE" w:rsidRDefault="002A21AE">
      <w:pPr>
        <w:pStyle w:val="ListBullet"/>
        <w:rPr>
          <w:b/>
        </w:rPr>
      </w:pPr>
      <w:r>
        <w:t>Data are available for inclusion in the report.</w:t>
      </w:r>
    </w:p>
    <w:p w:rsidR="002A21AE" w:rsidRDefault="002A21AE">
      <w:pPr>
        <w:pStyle w:val="ListBullet"/>
      </w:pPr>
      <w:r>
        <w:t>The user must be logged into the division in which the report is to be generated.</w:t>
      </w:r>
    </w:p>
    <w:p w:rsidR="002A21AE" w:rsidRDefault="002A21AE">
      <w:pPr>
        <w:pStyle w:val="Heading4"/>
      </w:pPr>
      <w:r>
        <w:t xml:space="preserve">Outcome </w:t>
      </w:r>
    </w:p>
    <w:p w:rsidR="002A21AE" w:rsidRDefault="00AE521B">
      <w:pPr>
        <w:pStyle w:val="ListBullet"/>
      </w:pPr>
      <w:r>
        <w:t>The user views and/or prints the report</w:t>
      </w:r>
      <w:r w:rsidR="002A21AE">
        <w:t xml:space="preserve">. </w:t>
      </w:r>
    </w:p>
    <w:p w:rsidR="002A21AE" w:rsidRDefault="002A21AE">
      <w:pPr>
        <w:pStyle w:val="Heading4"/>
        <w:rPr>
          <w:b w:val="0"/>
        </w:rPr>
      </w:pPr>
      <w:r>
        <w:t>Limitations and Restrictions</w:t>
      </w:r>
      <w:r>
        <w:rPr>
          <w:b w:val="0"/>
        </w:rPr>
        <w:t xml:space="preserve"> </w:t>
      </w:r>
    </w:p>
    <w:p w:rsidR="002A21AE" w:rsidRDefault="00170EEF" w:rsidP="005753B8">
      <w:pPr>
        <w:pStyle w:val="ListBullet"/>
      </w:pPr>
      <w:r>
        <w:t>VBECS does not accommodate online review (verification, signature) of reports.</w:t>
      </w:r>
    </w:p>
    <w:p w:rsidR="002A21AE" w:rsidRDefault="002A21AE">
      <w:pPr>
        <w:pStyle w:val="Heading4"/>
      </w:pPr>
      <w:r>
        <w:t>Additional Information</w:t>
      </w:r>
    </w:p>
    <w:p w:rsidR="002A21AE" w:rsidRDefault="002A21AE">
      <w:pPr>
        <w:pStyle w:val="ListBullet"/>
      </w:pPr>
      <w:r>
        <w:t xml:space="preserve">Audit trail entries reflect the actual date and time the change was made. </w:t>
      </w:r>
    </w:p>
    <w:p w:rsidR="002A21AE" w:rsidRDefault="002A21AE">
      <w:pPr>
        <w:pStyle w:val="Heading4"/>
        <w:rPr>
          <w:b w:val="0"/>
        </w:rPr>
      </w:pPr>
      <w:r>
        <w:t>User Roles with Access to This Option</w:t>
      </w:r>
      <w:r>
        <w:rPr>
          <w:b w:val="0"/>
        </w:rPr>
        <w:t xml:space="preserve"> </w:t>
      </w:r>
    </w:p>
    <w:p w:rsidR="002A21AE" w:rsidRDefault="00080A13">
      <w:pPr>
        <w:pStyle w:val="Roles"/>
        <w:rPr>
          <w:snapToGrid w:val="0"/>
        </w:rPr>
      </w:pPr>
      <w:r>
        <w:t>All users</w:t>
      </w:r>
    </w:p>
    <w:p w:rsidR="002A21AE" w:rsidRDefault="002A21AE">
      <w:pPr>
        <w:pStyle w:val="Heading4"/>
      </w:pPr>
      <w:r>
        <w:t>Audit Trail</w:t>
      </w:r>
    </w:p>
    <w:p w:rsidR="002A21AE" w:rsidRDefault="00EB1E5A" w:rsidP="00FA7E65">
      <w:pPr>
        <w:pStyle w:val="BodyText"/>
      </w:pPr>
      <w:r>
        <w:t>The user views and/or prints an Audit Trail Report, which</w:t>
      </w:r>
      <w:r w:rsidR="002A21AE">
        <w:t xml:space="preserve"> lists changes to specific patient, unit, and division configuration settings. It is a regulatory requirement to maintain documentation proving that these changes were reviewed. </w:t>
      </w:r>
      <w:r w:rsidR="00B25CE5" w:rsidRPr="00BE7BF6">
        <w:t>Modi</w:t>
      </w:r>
      <w:r w:rsidR="00B25CE5">
        <w:t>f</w:t>
      </w:r>
      <w:r w:rsidR="00B25CE5" w:rsidRPr="00BE7BF6">
        <w:t>y local record retention policy to instruct users to print, review, document, and save these reports.</w:t>
      </w:r>
      <w:r w:rsidR="002A21AE">
        <w:t xml:space="preserve"> The Audit Trail Report contains only data changes generated in the user’s login division.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pPr>
              <w:pStyle w:val="TableTextNumbers"/>
            </w:pPr>
            <w:r>
              <w:t xml:space="preserve">Select </w:t>
            </w:r>
            <w:r>
              <w:rPr>
                <w:b/>
              </w:rPr>
              <w:t>Reports</w:t>
            </w:r>
            <w:r>
              <w:t xml:space="preserve"> from the main menu.</w:t>
            </w:r>
          </w:p>
          <w:p w:rsidR="002A21AE" w:rsidRDefault="002A21AE">
            <w:pPr>
              <w:pStyle w:val="TableTextNumbersContinued"/>
            </w:pPr>
          </w:p>
          <w:p w:rsidR="002A21AE" w:rsidRDefault="002A21AE">
            <w:pPr>
              <w:pStyle w:val="TableTextNumbersContinued"/>
            </w:pPr>
            <w:r>
              <w:t xml:space="preserve">Select </w:t>
            </w:r>
            <w:r>
              <w:rPr>
                <w:b/>
              </w:rPr>
              <w:t>Audit Trail</w:t>
            </w:r>
            <w:r>
              <w:t>.</w:t>
            </w:r>
          </w:p>
        </w:tc>
        <w:tc>
          <w:tcPr>
            <w:tcW w:w="6120" w:type="dxa"/>
          </w:tcPr>
          <w:p w:rsidR="002A21AE" w:rsidRDefault="002A21AE">
            <w:pPr>
              <w:pStyle w:val="TableTextBullet"/>
            </w:pPr>
            <w:r>
              <w:t>Lists report names.</w:t>
            </w:r>
          </w:p>
          <w:p w:rsidR="002A21AE" w:rsidRDefault="002A21AE">
            <w:pPr>
              <w:pStyle w:val="TableTextBullet"/>
            </w:pPr>
            <w:r>
              <w:t xml:space="preserve">Displays report compilation criteria. </w:t>
            </w:r>
          </w:p>
          <w:p w:rsidR="002A21AE" w:rsidRDefault="002A21AE">
            <w:pPr>
              <w:pStyle w:val="TableTextBullet"/>
            </w:pPr>
            <w:r>
              <w:t>Displays a date range for selection.</w:t>
            </w:r>
          </w:p>
        </w:tc>
      </w:tr>
      <w:tr w:rsidR="002A21AE">
        <w:tblPrEx>
          <w:tblCellMar>
            <w:top w:w="0" w:type="dxa"/>
            <w:bottom w:w="0" w:type="dxa"/>
          </w:tblCellMar>
        </w:tblPrEx>
        <w:tc>
          <w:tcPr>
            <w:tcW w:w="3240" w:type="dxa"/>
          </w:tcPr>
          <w:p w:rsidR="002A21AE" w:rsidRDefault="002A21AE">
            <w:pPr>
              <w:pStyle w:val="TableTextNumbers"/>
            </w:pPr>
            <w:r>
              <w:t>Enter or select start and end dates.</w:t>
            </w:r>
          </w:p>
        </w:tc>
        <w:tc>
          <w:tcPr>
            <w:tcW w:w="6120" w:type="dxa"/>
          </w:tcPr>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3212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299" name="Lin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5"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3RFQ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C3E&#10;ndE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BR_77.06 </w:t>
            </w:r>
            <w:r>
              <w:t xml:space="preserve">The parameter table and Transfusion Requirements </w:t>
            </w:r>
            <w:r w:rsidR="00981F3F">
              <w:t>R</w:t>
            </w:r>
            <w:r>
              <w:t>eport sections include changes from no previous entry to an entry and from an entry to no entry.</w:t>
            </w:r>
          </w:p>
          <w:p w:rsidR="002A21AE" w:rsidRDefault="002A21AE">
            <w:pPr>
              <w:pStyle w:val="NotesText"/>
            </w:pPr>
          </w:p>
          <w:p w:rsidR="002A21AE" w:rsidRDefault="002A21AE">
            <w:pPr>
              <w:pStyle w:val="NotesText"/>
            </w:pPr>
            <w:r>
              <w:rPr>
                <w:rFonts w:cs="Arial"/>
                <w:vanish/>
              </w:rPr>
              <w:t xml:space="preserve">BR_77.08 </w:t>
            </w:r>
            <w:r>
              <w:t>Each entry includes an area for supervisor acknowledgement (signature or initials and date of review) and comment.</w:t>
            </w:r>
          </w:p>
        </w:tc>
      </w:tr>
      <w:tr w:rsidR="002A21AE">
        <w:tblPrEx>
          <w:tblCellMar>
            <w:top w:w="0" w:type="dxa"/>
            <w:bottom w:w="0" w:type="dxa"/>
          </w:tblCellMar>
        </w:tblPrEx>
        <w:tc>
          <w:tcPr>
            <w:tcW w:w="3240" w:type="dxa"/>
          </w:tcPr>
          <w:p w:rsidR="002A21AE" w:rsidRDefault="002A21AE">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rsidR="002A21AE" w:rsidRDefault="002A21AE">
            <w:pPr>
              <w:pStyle w:val="TableTextNumbersContinued"/>
            </w:pPr>
          </w:p>
          <w:p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rsidR="005B6A94" w:rsidRPr="00AA2B2E" w:rsidRDefault="00F64B5C" w:rsidP="00AA2B2E">
            <w:pPr>
              <w:pStyle w:val="TableTextBullet"/>
            </w:pPr>
            <w:r>
              <w:t>Compiles and displays the report.</w:t>
            </w:r>
          </w:p>
        </w:tc>
      </w:tr>
      <w:tr w:rsidR="002A21AE">
        <w:tblPrEx>
          <w:tblCellMar>
            <w:top w:w="0" w:type="dxa"/>
            <w:bottom w:w="0" w:type="dxa"/>
          </w:tblCellMar>
        </w:tblPrEx>
        <w:tc>
          <w:tcPr>
            <w:tcW w:w="3240" w:type="dxa"/>
          </w:tcPr>
          <w:p w:rsidR="002A21AE" w:rsidRDefault="002A21AE">
            <w:pPr>
              <w:pStyle w:val="TableTextNumbers"/>
            </w:pPr>
            <w:r>
              <w:t xml:space="preserve">Select </w:t>
            </w:r>
            <w:r>
              <w:rPr>
                <w:b/>
              </w:rPr>
              <w:t xml:space="preserve">Print </w:t>
            </w:r>
            <w:r>
              <w:t xml:space="preserve">to print the report and </w:t>
            </w:r>
            <w:r>
              <w:lastRenderedPageBreak/>
              <w:t xml:space="preserve">exit, or click </w:t>
            </w:r>
            <w:r>
              <w:rPr>
                <w:b/>
              </w:rPr>
              <w:t>Close</w:t>
            </w:r>
            <w:r>
              <w:t xml:space="preserve"> to exit without printing.</w:t>
            </w:r>
            <w:r w:rsidRPr="00B93B42">
              <w:rPr>
                <w:rStyle w:val="StyleTableTextNumbersWhite1Char"/>
              </w:rP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rsidR="002A21AE" w:rsidRDefault="002A21AE">
            <w:pPr>
              <w:pStyle w:val="TableTextBullet"/>
            </w:pPr>
            <w:r>
              <w:lastRenderedPageBreak/>
              <w:t xml:space="preserve">Prints the report on the selected printer. </w:t>
            </w:r>
          </w:p>
          <w:p w:rsidR="002A21AE" w:rsidRDefault="00245B2C">
            <w:pPr>
              <w:pStyle w:val="TableTextBullet"/>
            </w:pPr>
            <w:r>
              <w:lastRenderedPageBreak/>
              <w:t xml:space="preserve">See </w:t>
            </w:r>
            <w:r w:rsidR="00543DAF">
              <w:fldChar w:fldCharType="begin"/>
            </w:r>
            <w:r w:rsidR="00543DAF">
              <w:instrText xml:space="preserve"> REF _Ref170004931 \h </w:instrText>
            </w:r>
            <w:r w:rsidR="00543DAF">
              <w:fldChar w:fldCharType="separate"/>
            </w:r>
            <w:r w:rsidR="005F38BC">
              <w:t xml:space="preserve">Appendix </w:t>
            </w:r>
            <w:r w:rsidR="005F38BC">
              <w:rPr>
                <w:noProof/>
              </w:rPr>
              <w:t>B</w:t>
            </w:r>
            <w:r w:rsidR="00543DAF">
              <w:fldChar w:fldCharType="end"/>
            </w:r>
            <w:r>
              <w:t xml:space="preserve">: </w:t>
            </w:r>
            <w:r w:rsidR="00AE2DC1">
              <w:fldChar w:fldCharType="begin"/>
            </w:r>
            <w:r w:rsidR="00AE2DC1">
              <w:instrText xml:space="preserve"> REF _Ref126504486 \h </w:instrText>
            </w:r>
            <w:r w:rsidR="00AE2DC1">
              <w:fldChar w:fldCharType="separate"/>
            </w:r>
            <w:r w:rsidR="005F38BC">
              <w:t xml:space="preserve">Table </w:t>
            </w:r>
            <w:r w:rsidR="005F38BC">
              <w:rPr>
                <w:noProof/>
              </w:rPr>
              <w:t>19</w:t>
            </w:r>
            <w:r w:rsidR="005F38BC">
              <w:t xml:space="preserve">: </w:t>
            </w:r>
            <w:r w:rsidR="005F38BC">
              <w:rPr>
                <w:vanish/>
              </w:rPr>
              <w:t xml:space="preserve">TT_77.01 </w:t>
            </w:r>
            <w:r w:rsidR="005F38BC">
              <w:t>Details in Audit Trail Report</w:t>
            </w:r>
            <w:r w:rsidR="00AE2DC1">
              <w:fldChar w:fldCharType="end"/>
            </w:r>
            <w:r w:rsidR="002A21AE">
              <w:t>.</w:t>
            </w:r>
          </w:p>
        </w:tc>
      </w:tr>
    </w:tbl>
    <w:p w:rsidR="002A21AE" w:rsidRDefault="00F55832">
      <w:pPr>
        <w:pStyle w:val="Heading2"/>
      </w:pPr>
      <w:r>
        <w:lastRenderedPageBreak/>
        <w:br w:type="page"/>
      </w:r>
      <w:bookmarkStart w:id="545" w:name="_Toc459900166"/>
      <w:r w:rsidR="002A21AE">
        <w:lastRenderedPageBreak/>
        <w:t>Blood Availability</w:t>
      </w:r>
      <w:bookmarkEnd w:id="545"/>
      <w:r w:rsidR="002A21AE">
        <w:fldChar w:fldCharType="begin"/>
      </w:r>
      <w:r w:rsidR="002A21AE">
        <w:instrText xml:space="preserve"> XE </w:instrText>
      </w:r>
      <w:r w:rsidR="00FA7E65">
        <w:instrText>“</w:instrText>
      </w:r>
      <w:r w:rsidR="002A21AE">
        <w:instrText>Blood Availability</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UC_49</w:t>
      </w:r>
    </w:p>
    <w:p w:rsidR="002A21AE" w:rsidRDefault="002A21AE" w:rsidP="00FA7E65">
      <w:pPr>
        <w:pStyle w:val="BodyText"/>
      </w:pPr>
      <w:r>
        <w:t xml:space="preserve">The user </w:t>
      </w:r>
      <w:r w:rsidR="00FF1708">
        <w:t xml:space="preserve">views </w:t>
      </w:r>
      <w:r w:rsidR="00EB1E5A">
        <w:t>and/or</w:t>
      </w:r>
      <w:r w:rsidR="00FF1708">
        <w:t xml:space="preserve"> prints the Blood Availability Report</w:t>
      </w:r>
      <w:r>
        <w:t>.</w:t>
      </w:r>
    </w:p>
    <w:p w:rsidR="002A21AE" w:rsidRDefault="002A21AE">
      <w:pPr>
        <w:pStyle w:val="Heading4"/>
      </w:pPr>
      <w:r>
        <w:t>Assumptions</w:t>
      </w:r>
      <w:r>
        <w:rPr>
          <w:b w:val="0"/>
        </w:rPr>
        <w:t xml:space="preserve"> </w:t>
      </w:r>
    </w:p>
    <w:p w:rsidR="002A21AE" w:rsidRDefault="002A21AE">
      <w:pPr>
        <w:pStyle w:val="ListBullet"/>
      </w:pPr>
      <w:r>
        <w:t>A blood unit is logged into a division in the database.</w:t>
      </w:r>
    </w:p>
    <w:p w:rsidR="002A21AE" w:rsidRDefault="002A21AE">
      <w:pPr>
        <w:pStyle w:val="Heading4"/>
      </w:pPr>
      <w:r>
        <w:t xml:space="preserve">Outcome </w:t>
      </w:r>
    </w:p>
    <w:p w:rsidR="002A21AE" w:rsidRDefault="002A21AE">
      <w:pPr>
        <w:pStyle w:val="ListBullet"/>
      </w:pPr>
      <w:r>
        <w:t>VBECS users may view available blood unit data in several formats.</w:t>
      </w:r>
    </w:p>
    <w:p w:rsidR="002A21AE" w:rsidRDefault="002A21AE">
      <w:pPr>
        <w:pStyle w:val="Heading4"/>
      </w:pPr>
      <w:r>
        <w:t>Limitations and Restrictions</w:t>
      </w:r>
      <w:r>
        <w:rPr>
          <w:b w:val="0"/>
        </w:rPr>
        <w:t xml:space="preserve"> </w:t>
      </w:r>
    </w:p>
    <w:p w:rsidR="008F2BFA" w:rsidRDefault="00C3558E">
      <w:pPr>
        <w:pStyle w:val="ListBullet"/>
      </w:pPr>
      <w:r>
        <w:t>None.</w:t>
      </w:r>
    </w:p>
    <w:p w:rsidR="002A21AE" w:rsidRDefault="002A21AE">
      <w:pPr>
        <w:pStyle w:val="Heading4"/>
      </w:pPr>
      <w:r>
        <w:t xml:space="preserve">Additional Information </w:t>
      </w:r>
    </w:p>
    <w:p w:rsidR="002A21AE" w:rsidRDefault="002A21AE">
      <w:pPr>
        <w:pStyle w:val="ListBullet"/>
      </w:pPr>
      <w:r>
        <w:t>VBECS displays the defined reports and allows the user to view an individual Patient Blood Availability Report or to create a custom report.</w:t>
      </w:r>
    </w:p>
    <w:p w:rsidR="00F86A79" w:rsidRDefault="00F86A79" w:rsidP="00F86A79">
      <w:pPr>
        <w:pStyle w:val="ListBullet"/>
      </w:pPr>
      <w:r>
        <w:t>The report is available as a single-division or multidivisional (all divisions) report.</w:t>
      </w:r>
    </w:p>
    <w:p w:rsidR="002A21AE" w:rsidRDefault="002A21AE">
      <w:pPr>
        <w:pStyle w:val="Heading4"/>
        <w:rPr>
          <w:b w:val="0"/>
        </w:rPr>
      </w:pPr>
      <w:r>
        <w:t>User Roles with Access to This Option</w:t>
      </w:r>
      <w:r>
        <w:rPr>
          <w:b w:val="0"/>
        </w:rPr>
        <w:t xml:space="preserve"> </w:t>
      </w:r>
    </w:p>
    <w:p w:rsidR="002A21AE" w:rsidRDefault="00080A13">
      <w:pPr>
        <w:pStyle w:val="Roles"/>
      </w:pPr>
      <w:r>
        <w:t>All users</w:t>
      </w:r>
    </w:p>
    <w:p w:rsidR="002A21AE" w:rsidRDefault="002A21AE">
      <w:pPr>
        <w:pStyle w:val="Heading4"/>
      </w:pPr>
      <w:r>
        <w:t>Blood Availability</w:t>
      </w:r>
    </w:p>
    <w:p w:rsidR="002A21AE" w:rsidRDefault="002A21AE" w:rsidP="00FA7E65">
      <w:pPr>
        <w:pStyle w:val="BodyText"/>
      </w:pPr>
      <w:r>
        <w:t xml:space="preserve">The user may check the blood availability for a specific patient and view </w:t>
      </w:r>
      <w:r w:rsidR="00EB1E5A">
        <w:t>and/or</w:t>
      </w:r>
      <w:r>
        <w:t xml:space="preserve"> print a variety of Blood Inventory Reports from the user’s and other divisions, as available. Blood </w:t>
      </w:r>
      <w:r w:rsidR="001E776B">
        <w:t>A</w:t>
      </w:r>
      <w:r>
        <w:t xml:space="preserve">vailability </w:t>
      </w:r>
      <w:r w:rsidR="001E776B">
        <w:t>R</w:t>
      </w:r>
      <w:r>
        <w:t>eports include the product’s unit status, indicators, patient information for units in the “assigned” and “issued” statuses, restrictions, and special testing or handling of a unit.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pPr>
              <w:pStyle w:val="TableTextNumbers"/>
            </w:pPr>
            <w:r>
              <w:t xml:space="preserve">For a non-individual report, select </w:t>
            </w:r>
            <w:r>
              <w:rPr>
                <w:b/>
              </w:rPr>
              <w:t>Reports</w:t>
            </w:r>
            <w:r>
              <w:t xml:space="preserve"> from the main menu.</w:t>
            </w:r>
          </w:p>
          <w:p w:rsidR="002A21AE" w:rsidRDefault="002A21AE">
            <w:pPr>
              <w:pStyle w:val="TableTextNumbersContinued"/>
            </w:pPr>
          </w:p>
          <w:p w:rsidR="002A21AE" w:rsidRDefault="002A21AE">
            <w:pPr>
              <w:pStyle w:val="TableTextNumbersContinued"/>
            </w:pPr>
            <w:r>
              <w:t xml:space="preserve">Select </w:t>
            </w:r>
            <w:r>
              <w:rPr>
                <w:b/>
              </w:rPr>
              <w:t>Blood Availability</w:t>
            </w:r>
            <w:r>
              <w:t>, or</w:t>
            </w:r>
          </w:p>
          <w:p w:rsidR="002A21AE" w:rsidRDefault="002A21AE">
            <w:pPr>
              <w:pStyle w:val="TableTextNumbersContinued"/>
            </w:pPr>
          </w:p>
          <w:p w:rsidR="002A21AE" w:rsidRDefault="002A21AE">
            <w:pPr>
              <w:pStyle w:val="TableTextNumbersContinued"/>
            </w:pPr>
            <w:r>
              <w:t xml:space="preserve">For a patient-specific report, select </w:t>
            </w:r>
            <w:r>
              <w:rPr>
                <w:b/>
              </w:rPr>
              <w:t>Patients</w:t>
            </w:r>
            <w:r>
              <w:t xml:space="preserve"> from the main menu.</w:t>
            </w:r>
          </w:p>
          <w:p w:rsidR="002A21AE" w:rsidRDefault="002A21AE">
            <w:pPr>
              <w:pStyle w:val="TableTextNumbersContinued"/>
            </w:pPr>
          </w:p>
          <w:p w:rsidR="002A21AE" w:rsidRDefault="002A21AE">
            <w:pPr>
              <w:pStyle w:val="TableTextNumbersContinued"/>
            </w:pPr>
            <w:r>
              <w:t xml:space="preserve">Select </w:t>
            </w:r>
            <w:r>
              <w:rPr>
                <w:b/>
              </w:rPr>
              <w:t>Blood Availability</w:t>
            </w:r>
            <w:r>
              <w:t>.</w:t>
            </w:r>
          </w:p>
        </w:tc>
        <w:tc>
          <w:tcPr>
            <w:tcW w:w="6120" w:type="dxa"/>
          </w:tcPr>
          <w:p w:rsidR="002A21AE" w:rsidRDefault="002A21AE">
            <w:pPr>
              <w:pStyle w:val="TableTextBullet"/>
            </w:pPr>
            <w:r>
              <w:t>Displays options for generating, viewing, and printing blood reports.</w:t>
            </w:r>
          </w:p>
          <w:p w:rsidR="002A21AE" w:rsidRDefault="002A21AE">
            <w:pPr>
              <w:pStyle w:val="TableTextBullet"/>
            </w:pPr>
            <w:r>
              <w:t xml:space="preserve">Displays non-individual report type and compilation criteria. </w:t>
            </w:r>
          </w:p>
          <w:p w:rsidR="002A21AE" w:rsidRDefault="002A21AE">
            <w:pPr>
              <w:pStyle w:val="TableTextBullet"/>
            </w:pPr>
            <w:r>
              <w:t>Displays options for generating a patient-specific report.</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9526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298" name="Lin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3" o:spid="_x0000_s1026" style="position:absolute;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ElCFQIAAC0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K+A&#10;SUI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BR_49.08 </w:t>
            </w:r>
            <w:r>
              <w:t>The “issued to” location for an issued unit, special testing associated with a unit, disease marker testing, and comments are printed in the additional information area of the report.</w:t>
            </w:r>
          </w:p>
        </w:tc>
      </w:tr>
      <w:tr w:rsidR="002A21AE">
        <w:tblPrEx>
          <w:tblCellMar>
            <w:top w:w="0" w:type="dxa"/>
            <w:bottom w:w="0" w:type="dxa"/>
          </w:tblCellMar>
        </w:tblPrEx>
        <w:tc>
          <w:tcPr>
            <w:tcW w:w="3240" w:type="dxa"/>
          </w:tcPr>
          <w:p w:rsidR="00981244" w:rsidRDefault="00981244" w:rsidP="00981244">
            <w:pPr>
              <w:pStyle w:val="TableTextNumbers"/>
            </w:pPr>
            <w:r>
              <w:t>Click a radio button to select a report format:</w:t>
            </w:r>
          </w:p>
          <w:p w:rsidR="007A5DC2" w:rsidRPr="00945BF5" w:rsidRDefault="007A5DC2" w:rsidP="007A5DC2">
            <w:pPr>
              <w:pStyle w:val="TableTextNumbersBullet"/>
              <w:rPr>
                <w:b/>
              </w:rPr>
            </w:pPr>
            <w:r w:rsidRPr="00945BF5">
              <w:rPr>
                <w:b/>
              </w:rPr>
              <w:t>Daily Inventory (All Units)</w:t>
            </w:r>
          </w:p>
          <w:p w:rsidR="007A5DC2" w:rsidRPr="00945BF5" w:rsidRDefault="007A5DC2" w:rsidP="007A5DC2">
            <w:pPr>
              <w:pStyle w:val="TableTextNumbersBullet"/>
              <w:rPr>
                <w:b/>
              </w:rPr>
            </w:pPr>
            <w:r w:rsidRPr="00945BF5">
              <w:rPr>
                <w:b/>
              </w:rPr>
              <w:t>Daily Inventory (Available Units)</w:t>
            </w:r>
          </w:p>
          <w:p w:rsidR="007A5DC2" w:rsidRPr="00945BF5" w:rsidRDefault="007A5DC2" w:rsidP="007A5DC2">
            <w:pPr>
              <w:pStyle w:val="TableTextNumbersBullet"/>
              <w:rPr>
                <w:b/>
              </w:rPr>
            </w:pPr>
            <w:r w:rsidRPr="00945BF5">
              <w:rPr>
                <w:b/>
              </w:rPr>
              <w:t>Antigen Typed Inventory (Available Units)</w:t>
            </w:r>
          </w:p>
          <w:p w:rsidR="007A5DC2" w:rsidRPr="00945BF5" w:rsidRDefault="007A5DC2" w:rsidP="007A5DC2">
            <w:pPr>
              <w:pStyle w:val="TableTextNumbersBullet"/>
              <w:rPr>
                <w:b/>
              </w:rPr>
            </w:pPr>
            <w:r w:rsidRPr="00945BF5">
              <w:rPr>
                <w:b/>
              </w:rPr>
              <w:t>Units with No Disposition</w:t>
            </w:r>
            <w:r w:rsidR="0055440E" w:rsidRPr="00945BF5">
              <w:rPr>
                <w:b/>
              </w:rPr>
              <w:t xml:space="preserve"> (Available Expired)</w:t>
            </w:r>
          </w:p>
          <w:p w:rsidR="0055440E" w:rsidRPr="00945BF5" w:rsidRDefault="0055440E" w:rsidP="007A5DC2">
            <w:pPr>
              <w:pStyle w:val="TableTextNumbersBullet"/>
              <w:rPr>
                <w:b/>
              </w:rPr>
            </w:pPr>
            <w:r w:rsidRPr="00945BF5">
              <w:rPr>
                <w:b/>
              </w:rPr>
              <w:t>Units with Final Disposition (Not Transfused)</w:t>
            </w:r>
          </w:p>
          <w:p w:rsidR="007A5DC2" w:rsidRPr="00945BF5" w:rsidRDefault="007A5DC2" w:rsidP="007A5DC2">
            <w:pPr>
              <w:pStyle w:val="TableTextNumbersBullet"/>
              <w:rPr>
                <w:b/>
              </w:rPr>
            </w:pPr>
            <w:r w:rsidRPr="00945BF5">
              <w:rPr>
                <w:b/>
              </w:rPr>
              <w:t>Custom Report</w:t>
            </w:r>
          </w:p>
          <w:p w:rsidR="002A21AE" w:rsidRDefault="007A5DC2" w:rsidP="001E7BDC">
            <w:pPr>
              <w:pStyle w:val="TableTextNumbersBullet"/>
            </w:pPr>
            <w:r w:rsidRPr="00945BF5">
              <w:rPr>
                <w:b/>
              </w:rPr>
              <w:t xml:space="preserve">Individual Patient Blood </w:t>
            </w:r>
            <w:r w:rsidRPr="00945BF5">
              <w:rPr>
                <w:b/>
              </w:rPr>
              <w:lastRenderedPageBreak/>
              <w:t>Availability</w:t>
            </w:r>
          </w:p>
        </w:tc>
        <w:tc>
          <w:tcPr>
            <w:tcW w:w="6120" w:type="dxa"/>
          </w:tcPr>
          <w:p w:rsidR="002A21AE" w:rsidRDefault="002A21AE">
            <w:pPr>
              <w:pStyle w:val="TableTextBullet"/>
            </w:pPr>
            <w:r>
              <w:lastRenderedPageBreak/>
              <w:t xml:space="preserve">Displays a print preview of the report. </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9424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297" name="Line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1" o:spid="_x0000_s1026" style="position:absolute;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" strokeweight="1.5pt"/>
                  </w:pict>
                </mc:Fallback>
              </mc:AlternateContent>
            </w:r>
            <w:r w:rsidR="002A21AE">
              <w:rPr>
                <w:b/>
                <w:bCs/>
                <w:szCs w:val="18"/>
              </w:rPr>
              <w:t>NOTES</w:t>
            </w:r>
          </w:p>
          <w:p w:rsidR="002A21AE" w:rsidRDefault="002A21AE">
            <w:pPr>
              <w:pStyle w:val="NotesText"/>
            </w:pPr>
          </w:p>
          <w:p w:rsidR="00B20440" w:rsidRPr="00B20440" w:rsidRDefault="00B20440">
            <w:pPr>
              <w:pStyle w:val="NotesText"/>
              <w:rPr>
                <w:rFonts w:cs="Arial"/>
                <w:szCs w:val="18"/>
              </w:rPr>
            </w:pPr>
            <w:r w:rsidRPr="00B20440">
              <w:rPr>
                <w:rFonts w:cs="Arial"/>
                <w:szCs w:val="18"/>
              </w:rPr>
              <w:t xml:space="preserve">The user may click the </w:t>
            </w:r>
            <w:r w:rsidR="00B90391" w:rsidRPr="00B90391">
              <w:rPr>
                <w:rFonts w:cs="Arial"/>
                <w:b/>
                <w:szCs w:val="18"/>
              </w:rPr>
              <w:t xml:space="preserve">Custom Report </w:t>
            </w:r>
            <w:r w:rsidR="00B90391" w:rsidRPr="00BF2E41">
              <w:rPr>
                <w:rFonts w:cs="Arial"/>
                <w:szCs w:val="18"/>
              </w:rPr>
              <w:t>radio button</w:t>
            </w:r>
            <w:r w:rsidR="00B90391">
              <w:rPr>
                <w:rFonts w:cs="Arial"/>
                <w:szCs w:val="18"/>
              </w:rPr>
              <w:t xml:space="preserve"> and </w:t>
            </w:r>
            <w:r w:rsidR="00B90391" w:rsidRPr="00B90391">
              <w:rPr>
                <w:rFonts w:cs="Arial"/>
                <w:b/>
                <w:szCs w:val="18"/>
              </w:rPr>
              <w:t>OK</w:t>
            </w:r>
            <w:r w:rsidR="00B90391">
              <w:rPr>
                <w:rFonts w:cs="Arial"/>
                <w:szCs w:val="18"/>
              </w:rPr>
              <w:t xml:space="preserve">, and then click the </w:t>
            </w:r>
            <w:r w:rsidRPr="00B20440">
              <w:rPr>
                <w:rFonts w:cs="Arial"/>
                <w:szCs w:val="18"/>
              </w:rPr>
              <w:t xml:space="preserve">appropriate check boxes in the Component Class, Testing, Donation Type, Unit Status, Date Range, ABO/Rh, Product Attributes, and Division tabs </w:t>
            </w:r>
            <w:r w:rsidR="00D42D20">
              <w:rPr>
                <w:rFonts w:cs="Arial"/>
                <w:szCs w:val="18"/>
              </w:rPr>
              <w:t xml:space="preserve">to </w:t>
            </w:r>
            <w:r w:rsidRPr="00B20440">
              <w:rPr>
                <w:rFonts w:cs="Arial"/>
                <w:szCs w:val="18"/>
              </w:rPr>
              <w:t>custom</w:t>
            </w:r>
            <w:r w:rsidR="00D42D20">
              <w:rPr>
                <w:rFonts w:cs="Arial"/>
                <w:szCs w:val="18"/>
              </w:rPr>
              <w:t>ize the</w:t>
            </w:r>
            <w:r w:rsidRPr="00B20440">
              <w:rPr>
                <w:rFonts w:cs="Arial"/>
                <w:szCs w:val="18"/>
              </w:rPr>
              <w:t xml:space="preserve"> report.</w:t>
            </w:r>
          </w:p>
          <w:p w:rsidR="00B20440" w:rsidRDefault="00B20440">
            <w:pPr>
              <w:pStyle w:val="NotesText"/>
              <w:rPr>
                <w:rFonts w:cs="Arial"/>
                <w:vanish/>
              </w:rPr>
            </w:pPr>
          </w:p>
          <w:p w:rsidR="002A21AE" w:rsidRDefault="002A21AE">
            <w:pPr>
              <w:pStyle w:val="NotesText"/>
            </w:pPr>
            <w:r>
              <w:rPr>
                <w:rFonts w:cs="Arial"/>
                <w:vanish/>
              </w:rPr>
              <w:t xml:space="preserve">BR_49.02 </w:t>
            </w:r>
            <w:r>
              <w:t xml:space="preserve">The user may view </w:t>
            </w:r>
            <w:r w:rsidR="00FB501B">
              <w:t>i</w:t>
            </w:r>
            <w:r>
              <w:t>ndividual patient Blood Availability Reports, including only blood units currently assigned, crossmatched, or issued for a patient, online only.</w:t>
            </w:r>
          </w:p>
          <w:p w:rsidR="000D169A" w:rsidRDefault="000D169A">
            <w:pPr>
              <w:pStyle w:val="NotesText"/>
            </w:pPr>
          </w:p>
          <w:p w:rsidR="00CC1E5B" w:rsidRDefault="000D169A">
            <w:pPr>
              <w:pStyle w:val="NotesText"/>
            </w:pPr>
            <w:r w:rsidRPr="000D169A">
              <w:rPr>
                <w:vanish/>
                <w:szCs w:val="18"/>
              </w:rPr>
              <w:lastRenderedPageBreak/>
              <w:t>BR_49.22, BR_49.23, BR_49.24</w:t>
            </w:r>
            <w:r>
              <w:t xml:space="preserve"> </w:t>
            </w:r>
            <w:r w:rsidR="00CC1E5B">
              <w:t xml:space="preserve">When a user selects Units with </w:t>
            </w:r>
            <w:r w:rsidR="00EC6847">
              <w:t>Final</w:t>
            </w:r>
            <w:r w:rsidR="00CC1E5B">
              <w:t xml:space="preserve"> Disposition, the report includes </w:t>
            </w:r>
            <w:r>
              <w:t>units with a status of “discarded,” “modified,” or “</w:t>
            </w:r>
            <w:r w:rsidR="00CC1E5B">
              <w:t xml:space="preserve">transferred.” </w:t>
            </w:r>
          </w:p>
          <w:p w:rsidR="00CC1E5B" w:rsidRDefault="00CC1E5B">
            <w:pPr>
              <w:pStyle w:val="NotesText"/>
            </w:pPr>
          </w:p>
          <w:p w:rsidR="000D169A" w:rsidRDefault="000D169A">
            <w:pPr>
              <w:pStyle w:val="NotesText"/>
            </w:pPr>
            <w:r>
              <w:t>When a user selects Units with No Disposition, the report includes expired units with a status of “limited” or “available</w:t>
            </w:r>
            <w:r w:rsidR="00EC6847">
              <w:t>.</w:t>
            </w:r>
            <w:r>
              <w:t xml:space="preserve">” </w:t>
            </w:r>
          </w:p>
        </w:tc>
      </w:tr>
      <w:tr w:rsidR="001E7BDC">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1E7BDC" w:rsidRDefault="001E7BDC" w:rsidP="001E7BDC">
            <w:pPr>
              <w:pStyle w:val="TableTextNumbers"/>
            </w:pPr>
            <w:r>
              <w:lastRenderedPageBreak/>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rsidR="001E7BDC" w:rsidRDefault="001E7BDC" w:rsidP="001E7BDC">
            <w:pPr>
              <w:pStyle w:val="TableTextNumbersContinued"/>
            </w:pPr>
          </w:p>
          <w:p w:rsidR="001E7BDC" w:rsidRDefault="001E7BDC" w:rsidP="001E7BDC">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Borders>
              <w:top w:val="single" w:sz="4" w:space="0" w:color="auto"/>
              <w:left w:val="single" w:sz="4" w:space="0" w:color="auto"/>
              <w:bottom w:val="single" w:sz="4" w:space="0" w:color="auto"/>
              <w:right w:val="single" w:sz="4" w:space="0" w:color="auto"/>
            </w:tcBorders>
          </w:tcPr>
          <w:p w:rsidR="005B6A94" w:rsidRDefault="001E7BDC" w:rsidP="00AA2B2E">
            <w:pPr>
              <w:pStyle w:val="TableTextBullet"/>
            </w:pPr>
            <w:r>
              <w:t>Compiles and displays the report.</w:t>
            </w:r>
          </w:p>
        </w:tc>
      </w:tr>
      <w:tr w:rsidR="001E7BDC">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1E7BDC" w:rsidRDefault="001E7BDC" w:rsidP="001E7BDC">
            <w:pPr>
              <w:pStyle w:val="TableTextNumbers"/>
            </w:pPr>
            <w:r>
              <w:t xml:space="preserve">Select </w:t>
            </w:r>
            <w:r w:rsidRPr="001E7BDC">
              <w:rPr>
                <w:b/>
              </w:rPr>
              <w:t>Print</w:t>
            </w:r>
            <w:r w:rsidRPr="001E7BDC">
              <w:t xml:space="preserve"> </w:t>
            </w:r>
            <w:r>
              <w:t xml:space="preserve">to print the report and exit, or click </w:t>
            </w:r>
            <w:r w:rsidRPr="001E7BDC">
              <w:rPr>
                <w:b/>
              </w:rPr>
              <w:t>Close</w:t>
            </w:r>
            <w:r>
              <w:t xml:space="preserve"> to exit without printing.</w:t>
            </w:r>
            <w:r w:rsidRPr="00B93B42">
              <w:rPr>
                <w:rStyle w:val="StyleTableTextNumbersWhite1Char"/>
              </w:rPr>
              <w:t xml:space="preserve"> </w:t>
            </w:r>
          </w:p>
        </w:tc>
        <w:tc>
          <w:tcPr>
            <w:tcW w:w="6120" w:type="dxa"/>
            <w:tcBorders>
              <w:top w:val="single" w:sz="4" w:space="0" w:color="auto"/>
              <w:left w:val="single" w:sz="4" w:space="0" w:color="auto"/>
              <w:bottom w:val="single" w:sz="4" w:space="0" w:color="auto"/>
              <w:right w:val="single" w:sz="4" w:space="0" w:color="auto"/>
            </w:tcBorders>
          </w:tcPr>
          <w:p w:rsidR="00C62C4D" w:rsidRDefault="001E7BDC" w:rsidP="00C62C4D">
            <w:pPr>
              <w:pStyle w:val="TableTextBullet"/>
            </w:pPr>
            <w:r>
              <w:t>Prints the report on the selected printer.</w:t>
            </w:r>
          </w:p>
        </w:tc>
      </w:tr>
    </w:tbl>
    <w:p w:rsidR="002A21AE" w:rsidRDefault="0067521A">
      <w:pPr>
        <w:pStyle w:val="Heading2"/>
      </w:pPr>
      <w:r>
        <w:br w:type="page"/>
      </w:r>
      <w:bookmarkStart w:id="546" w:name="_Toc459900167"/>
      <w:r w:rsidR="002A21AE">
        <w:lastRenderedPageBreak/>
        <w:t>Cost Accounting Report</w:t>
      </w:r>
      <w:bookmarkEnd w:id="546"/>
      <w:r w:rsidR="002A21AE">
        <w:fldChar w:fldCharType="begin"/>
      </w:r>
      <w:r w:rsidR="002A21AE">
        <w:instrText xml:space="preserve"> XE </w:instrText>
      </w:r>
      <w:r w:rsidR="00FA7E65">
        <w:instrText>“</w:instrText>
      </w:r>
      <w:r w:rsidR="002A21AE">
        <w:instrText>Cost Accounting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UC_75</w:t>
      </w:r>
    </w:p>
    <w:p w:rsidR="002A21AE" w:rsidRDefault="002A21AE" w:rsidP="00FA7E65">
      <w:pPr>
        <w:pStyle w:val="BodyText"/>
      </w:pPr>
      <w:r>
        <w:t xml:space="preserve">The user views </w:t>
      </w:r>
      <w:r w:rsidR="00EB1E5A">
        <w:t xml:space="preserve">and/or </w:t>
      </w:r>
      <w:r>
        <w:t>prints the Cost Accounting Report.</w:t>
      </w:r>
    </w:p>
    <w:p w:rsidR="002A21AE" w:rsidRDefault="002A21AE">
      <w:pPr>
        <w:pStyle w:val="Heading4"/>
      </w:pPr>
      <w:r>
        <w:t>Assumptions</w:t>
      </w:r>
      <w:r>
        <w:rPr>
          <w:b w:val="0"/>
        </w:rPr>
        <w:t xml:space="preserve"> </w:t>
      </w:r>
    </w:p>
    <w:p w:rsidR="002A21AE" w:rsidRDefault="002A21AE">
      <w:pPr>
        <w:pStyle w:val="ListBullet"/>
      </w:pPr>
      <w:r>
        <w:t>Data for the report were saved in VBECS.</w:t>
      </w:r>
    </w:p>
    <w:p w:rsidR="002A21AE" w:rsidRDefault="002A21AE">
      <w:pPr>
        <w:pStyle w:val="Heading4"/>
      </w:pPr>
      <w:r>
        <w:t xml:space="preserve">Outcome </w:t>
      </w:r>
    </w:p>
    <w:p w:rsidR="002A21AE" w:rsidRDefault="002A21AE">
      <w:pPr>
        <w:pStyle w:val="ListBullet"/>
      </w:pPr>
      <w:r>
        <w:t>The report is viewable or printed.</w:t>
      </w:r>
    </w:p>
    <w:p w:rsidR="002A21AE" w:rsidRDefault="002A21AE">
      <w:pPr>
        <w:pStyle w:val="Heading4"/>
      </w:pPr>
      <w:r>
        <w:t>Limitations and Restrictions</w:t>
      </w:r>
      <w:r>
        <w:rPr>
          <w:b w:val="0"/>
        </w:rPr>
        <w:t xml:space="preserve"> </w:t>
      </w:r>
    </w:p>
    <w:p w:rsidR="002A21AE" w:rsidRDefault="006F5AE0">
      <w:pPr>
        <w:pStyle w:val="ListBullet"/>
      </w:pPr>
      <w:r>
        <w:t>None</w:t>
      </w:r>
    </w:p>
    <w:p w:rsidR="002A21AE" w:rsidRDefault="002A21AE">
      <w:pPr>
        <w:pStyle w:val="Heading4"/>
      </w:pPr>
      <w:r>
        <w:t xml:space="preserve">Additional Information </w:t>
      </w:r>
    </w:p>
    <w:p w:rsidR="002A21AE" w:rsidRDefault="002A21AE">
      <w:pPr>
        <w:pStyle w:val="ListBullet"/>
      </w:pPr>
      <w:r>
        <w:t>The report is for a single division.</w:t>
      </w:r>
    </w:p>
    <w:p w:rsidR="002A21AE" w:rsidRDefault="002A21AE">
      <w:pPr>
        <w:pStyle w:val="Heading4"/>
        <w:rPr>
          <w:b w:val="0"/>
        </w:rPr>
      </w:pPr>
      <w:r>
        <w:t>User Roles with Access to This Option</w:t>
      </w:r>
      <w:r>
        <w:rPr>
          <w:b w:val="0"/>
        </w:rPr>
        <w:t xml:space="preserve"> </w:t>
      </w:r>
    </w:p>
    <w:p w:rsidR="002A21AE" w:rsidRDefault="00606FB0">
      <w:pPr>
        <w:pStyle w:val="Roles"/>
      </w:pPr>
      <w:r>
        <w:t>All users</w:t>
      </w:r>
    </w:p>
    <w:p w:rsidR="002A21AE" w:rsidRDefault="002A21AE">
      <w:pPr>
        <w:pStyle w:val="Heading4"/>
      </w:pPr>
      <w:r>
        <w:t>Cost Accounting Report</w:t>
      </w:r>
    </w:p>
    <w:p w:rsidR="002A21AE" w:rsidRDefault="002A21AE" w:rsidP="00FA7E65">
      <w:pPr>
        <w:pStyle w:val="BodyText"/>
      </w:pPr>
      <w:r>
        <w:t xml:space="preserve">The user views </w:t>
      </w:r>
      <w:r w:rsidR="00EB1E5A">
        <w:t xml:space="preserve">and/or </w:t>
      </w:r>
      <w:r>
        <w:t xml:space="preserve">prints the Cost Accounting Report for a division. The Cost Accounting Report itemizes incoming and outgoing shipments, modifications of blood products, and patient testing costs for a given period. The report includes base cost, special testing, </w:t>
      </w:r>
      <w:r w:rsidR="006F5AE0">
        <w:t xml:space="preserve">modifications, </w:t>
      </w:r>
      <w:r>
        <w:t>and return credits for units, as applicable.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rsidP="002F6D7B">
            <w:pPr>
              <w:pStyle w:val="TableTextNumbers"/>
              <w:numPr>
                <w:ilvl w:val="0"/>
                <w:numId w:val="44"/>
              </w:numPr>
            </w:pPr>
            <w:r>
              <w:t xml:space="preserve">Select </w:t>
            </w:r>
            <w:r w:rsidRPr="002F2DF7">
              <w:t>Reports</w:t>
            </w:r>
            <w:r>
              <w:t xml:space="preserve"> from the main menu.</w:t>
            </w:r>
          </w:p>
          <w:p w:rsidR="002A21AE" w:rsidRDefault="002A21AE">
            <w:pPr>
              <w:pStyle w:val="TableTextNumbersContinued"/>
            </w:pPr>
          </w:p>
          <w:p w:rsidR="002A21AE" w:rsidRDefault="002A21AE">
            <w:pPr>
              <w:pStyle w:val="TableTextNumbersContinued"/>
            </w:pPr>
            <w:r>
              <w:t xml:space="preserve">Select </w:t>
            </w:r>
            <w:r>
              <w:rPr>
                <w:b/>
              </w:rPr>
              <w:t>Cost Accounting Report</w:t>
            </w:r>
            <w:r>
              <w:t>.</w:t>
            </w:r>
          </w:p>
        </w:tc>
        <w:tc>
          <w:tcPr>
            <w:tcW w:w="6120" w:type="dxa"/>
          </w:tcPr>
          <w:p w:rsidR="002A21AE" w:rsidRDefault="002A21AE">
            <w:pPr>
              <w:pStyle w:val="TableTextBullet"/>
            </w:pPr>
            <w:r>
              <w:t>Lists report names.</w:t>
            </w:r>
          </w:p>
          <w:p w:rsidR="002A21AE" w:rsidRDefault="002A21AE">
            <w:pPr>
              <w:pStyle w:val="TableTextBullet"/>
            </w:pPr>
            <w:r>
              <w:t xml:space="preserve">Displays report compilation criteria. </w:t>
            </w:r>
          </w:p>
          <w:p w:rsidR="002A21AE" w:rsidRDefault="002A21AE">
            <w:pPr>
              <w:pStyle w:val="TableTextBullet"/>
            </w:pPr>
            <w:r>
              <w:t>Displays a date range for selection.</w:t>
            </w:r>
          </w:p>
        </w:tc>
      </w:tr>
      <w:tr w:rsidR="002A21AE">
        <w:tblPrEx>
          <w:tblCellMar>
            <w:top w:w="0" w:type="dxa"/>
            <w:bottom w:w="0" w:type="dxa"/>
          </w:tblCellMar>
        </w:tblPrEx>
        <w:tc>
          <w:tcPr>
            <w:tcW w:w="3240" w:type="dxa"/>
          </w:tcPr>
          <w:p w:rsidR="002A21AE" w:rsidRDefault="002A21AE">
            <w:pPr>
              <w:pStyle w:val="TableTextNumbers"/>
            </w:pPr>
            <w:r>
              <w:t>Enter or select start and end dates.</w:t>
            </w:r>
          </w:p>
        </w:tc>
        <w:tc>
          <w:tcPr>
            <w:tcW w:w="6120" w:type="dxa"/>
          </w:tcPr>
          <w:p w:rsidR="002A21AE" w:rsidRDefault="002A21AE">
            <w:pPr>
              <w:pStyle w:val="TableTextBullet"/>
            </w:pPr>
            <w:r>
              <w:t xml:space="preserve">Compiles and displays the report. </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9049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296" name="Line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6"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hHVFQIAAC0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Bum&#10;EdU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BR_75.03 </w:t>
            </w:r>
            <w:r>
              <w:t>Final calculations appear at the end of the report:</w:t>
            </w:r>
          </w:p>
          <w:p w:rsidR="002A21AE" w:rsidRDefault="002A21AE">
            <w:pPr>
              <w:pStyle w:val="NotesTextBullet"/>
            </w:pPr>
            <w:r>
              <w:t>Subtotal of base cost per invoice (Incoming Shipment section only)</w:t>
            </w:r>
          </w:p>
          <w:p w:rsidR="002A21AE" w:rsidRDefault="002A21AE">
            <w:pPr>
              <w:pStyle w:val="NotesTextBullet"/>
            </w:pPr>
            <w:r>
              <w:t>Subtotal of special testing cost (Incoming Shipment section only)</w:t>
            </w:r>
          </w:p>
          <w:p w:rsidR="002A21AE" w:rsidRDefault="002A21AE">
            <w:pPr>
              <w:pStyle w:val="NotesTextBullet"/>
            </w:pPr>
            <w:r>
              <w:t>Subtotal of return credit for an invoice (Outgoing Shipment section only)</w:t>
            </w:r>
          </w:p>
          <w:p w:rsidR="002A21AE" w:rsidRDefault="002A21AE">
            <w:pPr>
              <w:pStyle w:val="NotesTextBullet"/>
            </w:pPr>
            <w:r>
              <w:t xml:space="preserve">Total base cost of all units </w:t>
            </w:r>
          </w:p>
          <w:p w:rsidR="002A21AE" w:rsidRDefault="002A21AE">
            <w:pPr>
              <w:pStyle w:val="NotesTextBullet"/>
            </w:pPr>
            <w:r>
              <w:t xml:space="preserve">Total return credits of all units </w:t>
            </w:r>
          </w:p>
          <w:p w:rsidR="002A21AE" w:rsidRDefault="002A21AE">
            <w:pPr>
              <w:pStyle w:val="NotesTextBullet"/>
            </w:pPr>
            <w:r>
              <w:t xml:space="preserve">Total special testing cost of all units </w:t>
            </w:r>
          </w:p>
          <w:p w:rsidR="002A21AE" w:rsidRDefault="002A21AE">
            <w:pPr>
              <w:pStyle w:val="NotesTextBullet"/>
            </w:pPr>
            <w:r>
              <w:t>Total off-site antibody identification testing cost</w:t>
            </w:r>
          </w:p>
          <w:p w:rsidR="002A21AE" w:rsidRDefault="002A21AE">
            <w:pPr>
              <w:pStyle w:val="NotesTextBullet"/>
            </w:pPr>
            <w:r>
              <w:t xml:space="preserve">Total number of units received </w:t>
            </w:r>
          </w:p>
          <w:p w:rsidR="002A21AE" w:rsidRDefault="002A21AE">
            <w:pPr>
              <w:pStyle w:val="NotesTextBullet"/>
            </w:pPr>
            <w:r>
              <w:t xml:space="preserve">Total number of units transferred </w:t>
            </w:r>
          </w:p>
          <w:p w:rsidR="002A21AE" w:rsidRDefault="002A21AE">
            <w:pPr>
              <w:pStyle w:val="NotesTextBullet"/>
            </w:pPr>
            <w:r>
              <w:t xml:space="preserve">Total number of units modified </w:t>
            </w:r>
          </w:p>
          <w:p w:rsidR="002A21AE" w:rsidRDefault="002A21AE">
            <w:pPr>
              <w:pStyle w:val="NotesTextBullet"/>
            </w:pPr>
            <w:r>
              <w:t>Total cost of modifications</w:t>
            </w:r>
          </w:p>
          <w:p w:rsidR="002A21AE" w:rsidRDefault="002A21AE">
            <w:pPr>
              <w:pStyle w:val="NotesTextBullet"/>
            </w:pPr>
            <w:r>
              <w:rPr>
                <w:color w:val="000000"/>
              </w:rPr>
              <w:t>Total number of units discarded</w:t>
            </w:r>
          </w:p>
        </w:tc>
      </w:tr>
      <w:tr w:rsidR="002A21AE">
        <w:tblPrEx>
          <w:tblCellMar>
            <w:top w:w="0" w:type="dxa"/>
            <w:bottom w:w="0" w:type="dxa"/>
          </w:tblCellMar>
        </w:tblPrEx>
        <w:tc>
          <w:tcPr>
            <w:tcW w:w="3240" w:type="dxa"/>
          </w:tcPr>
          <w:p w:rsidR="002A21AE" w:rsidRDefault="002A21AE">
            <w:pPr>
              <w:pStyle w:val="TableTextNumbers"/>
            </w:pPr>
            <w:r>
              <w:t xml:space="preserve">In the Report Compilation area, </w:t>
            </w:r>
            <w:r>
              <w:lastRenderedPageBreak/>
              <w:t xml:space="preserve">click the </w:t>
            </w:r>
            <w:r>
              <w:rPr>
                <w:b/>
              </w:rPr>
              <w:t>Create Report Now</w:t>
            </w:r>
            <w:r>
              <w:t xml:space="preserve"> </w:t>
            </w:r>
            <w:r w:rsidRPr="00BF2E41">
              <w:t>radio button</w:t>
            </w:r>
            <w:r>
              <w:t xml:space="preserve">. Click </w:t>
            </w:r>
            <w:r>
              <w:rPr>
                <w:b/>
              </w:rPr>
              <w:t>OK</w:t>
            </w:r>
            <w:r>
              <w:t xml:space="preserve"> to view the report, or</w:t>
            </w:r>
          </w:p>
          <w:p w:rsidR="002A21AE" w:rsidRDefault="002A21AE">
            <w:pPr>
              <w:pStyle w:val="TableTextNumbersContinued"/>
            </w:pPr>
          </w:p>
          <w:p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rsidR="002A21AE" w:rsidRDefault="00F64B5C" w:rsidP="00F64B5C">
            <w:pPr>
              <w:pStyle w:val="TableTextBullet"/>
            </w:pPr>
            <w:r>
              <w:lastRenderedPageBreak/>
              <w:t>Compiles and displays the report.</w:t>
            </w:r>
          </w:p>
          <w:p w:rsidR="005B6A94" w:rsidRDefault="005B6A94" w:rsidP="00AA2B2E">
            <w:pPr>
              <w:pStyle w:val="TableTextBullet"/>
              <w:numPr>
                <w:ilvl w:val="0"/>
                <w:numId w:val="0"/>
              </w:numPr>
            </w:pPr>
          </w:p>
        </w:tc>
      </w:tr>
      <w:tr w:rsidR="002A21AE">
        <w:tblPrEx>
          <w:tblCellMar>
            <w:top w:w="0" w:type="dxa"/>
            <w:bottom w:w="0" w:type="dxa"/>
          </w:tblCellMar>
        </w:tblPrEx>
        <w:tc>
          <w:tcPr>
            <w:tcW w:w="3240" w:type="dxa"/>
          </w:tcPr>
          <w:p w:rsidR="002A21AE" w:rsidRDefault="002A21AE">
            <w:pPr>
              <w:pStyle w:val="TableTextNumbers"/>
            </w:pPr>
            <w:r>
              <w:lastRenderedPageBreak/>
              <w:t xml:space="preserve">Select </w:t>
            </w:r>
            <w:r>
              <w:rPr>
                <w:b/>
              </w:rPr>
              <w:t xml:space="preserve">Print </w:t>
            </w:r>
            <w:r>
              <w:t xml:space="preserve">to print the report and exit, or click </w:t>
            </w:r>
            <w:r>
              <w:rPr>
                <w:b/>
              </w:rPr>
              <w:t>Close</w:t>
            </w:r>
            <w:r>
              <w:t xml:space="preserve"> to exit without printing.</w:t>
            </w:r>
            <w:r w:rsidRPr="00B93B42">
              <w:rPr>
                <w:rStyle w:val="StyleTableTextNumbersWhite1Char"/>
              </w:rP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rsidR="002A21AE" w:rsidRDefault="002A21AE" w:rsidP="000C0757">
            <w:pPr>
              <w:pStyle w:val="TableTextBullet"/>
            </w:pPr>
            <w:r>
              <w:t>Prints the report on the selected printer.</w:t>
            </w:r>
          </w:p>
        </w:tc>
      </w:tr>
    </w:tbl>
    <w:p w:rsidR="00F55832" w:rsidRDefault="00F55832">
      <w:pPr>
        <w:pStyle w:val="Heading2"/>
      </w:pPr>
    </w:p>
    <w:p w:rsidR="002A21AE" w:rsidRDefault="00F55832">
      <w:pPr>
        <w:pStyle w:val="Heading2"/>
      </w:pPr>
      <w:r>
        <w:br w:type="page"/>
      </w:r>
      <w:bookmarkStart w:id="547" w:name="_Toc459900168"/>
      <w:r w:rsidR="002A21AE">
        <w:lastRenderedPageBreak/>
        <w:t>C:T Ratio Report</w:t>
      </w:r>
      <w:bookmarkEnd w:id="547"/>
      <w:r w:rsidR="002A21AE">
        <w:fldChar w:fldCharType="begin"/>
      </w:r>
      <w:r w:rsidR="002A21AE">
        <w:instrText xml:space="preserve"> XE </w:instrText>
      </w:r>
      <w:r w:rsidR="00FA7E65">
        <w:instrText>“</w:instrText>
      </w:r>
      <w:r w:rsidR="002A21AE">
        <w:instrText>C\:T Ratio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UC_104</w:t>
      </w:r>
      <w:r w:rsidR="002A21AE">
        <w:rPr>
          <w:rStyle w:val="CommentReference"/>
          <w:rFonts w:ascii="Times New Roman" w:hAnsi="Times New Roman" w:cs="Times New Roman"/>
          <w:b w:val="0"/>
          <w:bCs w:val="0"/>
          <w:vanish/>
        </w:rPr>
        <w:t xml:space="preserve"> </w:t>
      </w:r>
    </w:p>
    <w:p w:rsidR="002A21AE" w:rsidRDefault="002A21AE" w:rsidP="00FA7E65">
      <w:pPr>
        <w:pStyle w:val="BodyText"/>
      </w:pPr>
      <w:r>
        <w:t xml:space="preserve">The user views </w:t>
      </w:r>
      <w:r w:rsidR="00EB1E5A">
        <w:t xml:space="preserve">and/or </w:t>
      </w:r>
      <w:r w:rsidR="00F86A79">
        <w:t>prints the C:T Ratio Report</w:t>
      </w:r>
      <w:r>
        <w:t>.</w:t>
      </w:r>
    </w:p>
    <w:p w:rsidR="002A21AE" w:rsidRDefault="002A21AE">
      <w:pPr>
        <w:pStyle w:val="Heading4"/>
      </w:pPr>
      <w:r>
        <w:t>Assumptions</w:t>
      </w:r>
      <w:r>
        <w:rPr>
          <w:b w:val="0"/>
        </w:rPr>
        <w:t xml:space="preserve"> </w:t>
      </w:r>
    </w:p>
    <w:p w:rsidR="002A21AE" w:rsidRDefault="002A21AE">
      <w:pPr>
        <w:pStyle w:val="ListBullet"/>
      </w:pPr>
      <w:r>
        <w:t>Data for the report are available.</w:t>
      </w:r>
    </w:p>
    <w:p w:rsidR="002A21AE" w:rsidRDefault="002A21AE">
      <w:pPr>
        <w:pStyle w:val="Heading4"/>
      </w:pPr>
      <w:r>
        <w:t xml:space="preserve">Outcome </w:t>
      </w:r>
    </w:p>
    <w:p w:rsidR="002A21AE" w:rsidRDefault="002A21AE">
      <w:pPr>
        <w:pStyle w:val="ListBullet"/>
      </w:pPr>
      <w:r>
        <w:t>The report is viewed or printed.</w:t>
      </w:r>
    </w:p>
    <w:p w:rsidR="002A21AE" w:rsidRDefault="002A21AE">
      <w:pPr>
        <w:pStyle w:val="Heading4"/>
        <w:rPr>
          <w:b w:val="0"/>
        </w:rPr>
      </w:pPr>
      <w:r>
        <w:t>Limitations and Restrictions</w:t>
      </w:r>
      <w:r>
        <w:rPr>
          <w:b w:val="0"/>
        </w:rPr>
        <w:t xml:space="preserve"> </w:t>
      </w:r>
    </w:p>
    <w:p w:rsidR="002A21AE" w:rsidRDefault="002A21AE">
      <w:pPr>
        <w:pStyle w:val="ListBullet"/>
      </w:pPr>
      <w:r>
        <w:t>None</w:t>
      </w:r>
    </w:p>
    <w:p w:rsidR="002A21AE" w:rsidRDefault="002A21AE">
      <w:pPr>
        <w:pStyle w:val="Heading4"/>
      </w:pPr>
      <w:r>
        <w:t xml:space="preserve">Additional Information </w:t>
      </w:r>
    </w:p>
    <w:p w:rsidR="002A21AE" w:rsidRDefault="002A21AE">
      <w:pPr>
        <w:pStyle w:val="ListBullet"/>
      </w:pPr>
      <w:r>
        <w:t>This calculation does not include component classes that do not require XMs (FRESH FROZEN PLASMA, PLATELETS, CRYOPRECIPITATE) and component types in the OTHER component class</w:t>
      </w:r>
      <w:r w:rsidR="00060DE4">
        <w:t xml:space="preserve"> (when no crossmatch is performed)</w:t>
      </w:r>
      <w:r>
        <w:t>.</w:t>
      </w:r>
    </w:p>
    <w:p w:rsidR="00F86A79" w:rsidRDefault="00F86A79" w:rsidP="00F86A79">
      <w:pPr>
        <w:pStyle w:val="ListBullet"/>
      </w:pPr>
      <w:r>
        <w:t>The report is available as a single-division or multidivisional (all divisions) report.</w:t>
      </w:r>
    </w:p>
    <w:p w:rsidR="002A21AE" w:rsidRDefault="002A21AE">
      <w:pPr>
        <w:pStyle w:val="Heading4"/>
        <w:rPr>
          <w:b w:val="0"/>
        </w:rPr>
      </w:pPr>
      <w:r>
        <w:t>User Roles with Access to This Option</w:t>
      </w:r>
      <w:r>
        <w:rPr>
          <w:b w:val="0"/>
        </w:rPr>
        <w:t xml:space="preserve"> </w:t>
      </w:r>
    </w:p>
    <w:p w:rsidR="002A21AE" w:rsidRDefault="00606FB0">
      <w:pPr>
        <w:pStyle w:val="Roles"/>
      </w:pPr>
      <w:r>
        <w:t>All users</w:t>
      </w:r>
    </w:p>
    <w:p w:rsidR="002A21AE" w:rsidRDefault="002A21AE">
      <w:pPr>
        <w:pStyle w:val="Heading4"/>
      </w:pPr>
      <w:r>
        <w:t>C:T Ratio Report</w:t>
      </w:r>
      <w:r>
        <w:rPr>
          <w:rStyle w:val="CommentReference"/>
          <w:rFonts w:ascii="Times New Roman" w:hAnsi="Times New Roman"/>
          <w:b w:val="0"/>
          <w:bCs/>
          <w:vanish/>
        </w:rPr>
        <w:t xml:space="preserve"> </w:t>
      </w:r>
    </w:p>
    <w:p w:rsidR="002A21AE" w:rsidRDefault="002A21AE" w:rsidP="00FA7E65">
      <w:pPr>
        <w:pStyle w:val="BodyText"/>
      </w:pPr>
      <w:r>
        <w:t>This option compiles and calculates the crossmatch-</w:t>
      </w:r>
      <w:r w:rsidR="00991CFE">
        <w:t>to-transfusion ratio.</w:t>
      </w:r>
      <w:r w:rsidR="00517AC6">
        <w:t xml:space="preserve"> The user may select one of five report formats.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pPr>
              <w:pStyle w:val="TableTextNumbers"/>
            </w:pPr>
            <w:r>
              <w:t xml:space="preserve">Select </w:t>
            </w:r>
            <w:r>
              <w:rPr>
                <w:b/>
              </w:rPr>
              <w:t>Reports</w:t>
            </w:r>
            <w:r>
              <w:t xml:space="preserve"> from the main menu.</w:t>
            </w:r>
          </w:p>
          <w:p w:rsidR="002A21AE" w:rsidRDefault="002A21AE">
            <w:pPr>
              <w:pStyle w:val="TableTextNumbersContinued"/>
            </w:pPr>
          </w:p>
          <w:p w:rsidR="002A21AE" w:rsidRDefault="002A21AE">
            <w:pPr>
              <w:pStyle w:val="TableTextNumbersContinued"/>
            </w:pPr>
            <w:r>
              <w:t xml:space="preserve">Select </w:t>
            </w:r>
            <w:r>
              <w:rPr>
                <w:b/>
              </w:rPr>
              <w:t>C:T Ratio Report</w:t>
            </w:r>
            <w:r>
              <w:t>.</w:t>
            </w:r>
          </w:p>
        </w:tc>
        <w:tc>
          <w:tcPr>
            <w:tcW w:w="6120" w:type="dxa"/>
          </w:tcPr>
          <w:p w:rsidR="002A21AE" w:rsidRDefault="002A21AE">
            <w:pPr>
              <w:pStyle w:val="TableTextBullet"/>
            </w:pPr>
            <w:r>
              <w:t>Lists report names.</w:t>
            </w:r>
          </w:p>
          <w:p w:rsidR="002A21AE" w:rsidRDefault="002A21AE">
            <w:pPr>
              <w:pStyle w:val="TableTextBullet"/>
            </w:pPr>
            <w:r>
              <w:t xml:space="preserve">Displays report type and compilation criteria. </w:t>
            </w:r>
          </w:p>
          <w:p w:rsidR="002A21AE" w:rsidRDefault="002A21AE">
            <w:pPr>
              <w:pStyle w:val="TableTextBullet"/>
            </w:pPr>
            <w:r>
              <w:t xml:space="preserve">Displays a crossmatched date range for selection. </w:t>
            </w:r>
          </w:p>
        </w:tc>
      </w:tr>
      <w:tr w:rsidR="002A21AE">
        <w:tblPrEx>
          <w:tblCellMar>
            <w:top w:w="0" w:type="dxa"/>
            <w:bottom w:w="0" w:type="dxa"/>
          </w:tblCellMar>
        </w:tblPrEx>
        <w:tc>
          <w:tcPr>
            <w:tcW w:w="3240" w:type="dxa"/>
          </w:tcPr>
          <w:p w:rsidR="002A21AE" w:rsidRDefault="002A21AE">
            <w:pPr>
              <w:pStyle w:val="TableTextNumbers"/>
            </w:pPr>
            <w:r>
              <w:t>Enter a crossmatched date range.</w:t>
            </w:r>
          </w:p>
        </w:tc>
        <w:tc>
          <w:tcPr>
            <w:tcW w:w="6120" w:type="dxa"/>
          </w:tcPr>
          <w:p w:rsidR="002A21AE" w:rsidRDefault="002A21AE" w:rsidP="00960693">
            <w:pPr>
              <w:pStyle w:val="TableTextBullet"/>
            </w:pPr>
            <w:r>
              <w:t>Displays an option to compile the report for one or all divisions in the database.</w:t>
            </w:r>
          </w:p>
        </w:tc>
      </w:tr>
      <w:tr w:rsidR="002A21AE">
        <w:tblPrEx>
          <w:tblCellMar>
            <w:top w:w="0" w:type="dxa"/>
            <w:bottom w:w="0" w:type="dxa"/>
          </w:tblCellMar>
        </w:tblPrEx>
        <w:tc>
          <w:tcPr>
            <w:tcW w:w="3240" w:type="dxa"/>
          </w:tcPr>
          <w:p w:rsidR="002A21AE" w:rsidRDefault="002A21AE">
            <w:pPr>
              <w:pStyle w:val="TableTextNumbers"/>
            </w:pPr>
            <w:r>
              <w:t xml:space="preserve">Click the </w:t>
            </w:r>
            <w:r>
              <w:rPr>
                <w:b/>
              </w:rPr>
              <w:t>Current Division</w:t>
            </w:r>
            <w:r>
              <w:t xml:space="preserve"> or </w:t>
            </w:r>
            <w:r>
              <w:rPr>
                <w:b/>
              </w:rPr>
              <w:t>All Divisions</w:t>
            </w:r>
            <w:r>
              <w:t xml:space="preserve"> </w:t>
            </w:r>
            <w:r w:rsidRPr="00BF2E41">
              <w:t>radio button</w:t>
            </w:r>
            <w:r>
              <w:t>.</w:t>
            </w:r>
          </w:p>
        </w:tc>
        <w:tc>
          <w:tcPr>
            <w:tcW w:w="6120" w:type="dxa"/>
          </w:tcPr>
          <w:p w:rsidR="002A21AE" w:rsidRDefault="002A21AE">
            <w:pPr>
              <w:pStyle w:val="TableTextBullet"/>
            </w:pPr>
            <w:r>
              <w:t>Allows the user to select a report format.</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4441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295" name="Line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3"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FqtFQ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K7c&#10;Wq0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BR_104.08 </w:t>
            </w:r>
            <w:r>
              <w:t>The user may request the</w:t>
            </w:r>
            <w:r w:rsidR="003D604B">
              <w:t xml:space="preserve"> Detailed R</w:t>
            </w:r>
            <w:r w:rsidR="0068564B">
              <w:t>eport, Physician Summary Report</w:t>
            </w:r>
            <w:r w:rsidR="003D604B">
              <w:t>, Treating Specialty Summary Report</w:t>
            </w:r>
            <w:r w:rsidR="0068564B">
              <w:t>, Detailed Report with Physician Summary, or Detailed Report with Treating Specialty Summary</w:t>
            </w:r>
            <w:r w:rsidR="003D604B">
              <w:t>.</w:t>
            </w:r>
            <w:r>
              <w:t xml:space="preserve"> </w:t>
            </w:r>
          </w:p>
        </w:tc>
      </w:tr>
      <w:tr w:rsidR="002A21AE">
        <w:tblPrEx>
          <w:tblCellMar>
            <w:top w:w="0" w:type="dxa"/>
            <w:bottom w:w="0" w:type="dxa"/>
          </w:tblCellMar>
        </w:tblPrEx>
        <w:tc>
          <w:tcPr>
            <w:tcW w:w="3240" w:type="dxa"/>
          </w:tcPr>
          <w:p w:rsidR="002A21AE" w:rsidRDefault="002A21AE">
            <w:pPr>
              <w:pStyle w:val="TableTextNumbers"/>
            </w:pPr>
            <w:r>
              <w:t>Click a radio button to select a report format:</w:t>
            </w:r>
          </w:p>
          <w:p w:rsidR="002A21AE" w:rsidRPr="00945BF5" w:rsidRDefault="002A21AE">
            <w:pPr>
              <w:pStyle w:val="TableTextNumbersBullet"/>
              <w:rPr>
                <w:b/>
              </w:rPr>
            </w:pPr>
            <w:r w:rsidRPr="00945BF5">
              <w:rPr>
                <w:b/>
              </w:rPr>
              <w:t>Detailed Report</w:t>
            </w:r>
          </w:p>
          <w:p w:rsidR="002A21AE" w:rsidRPr="00945BF5" w:rsidRDefault="002A21AE">
            <w:pPr>
              <w:pStyle w:val="TableTextNumbersBullet"/>
              <w:rPr>
                <w:b/>
              </w:rPr>
            </w:pPr>
            <w:r w:rsidRPr="00945BF5">
              <w:rPr>
                <w:b/>
              </w:rPr>
              <w:t>Physician Summary Report</w:t>
            </w:r>
          </w:p>
          <w:p w:rsidR="002A21AE" w:rsidRPr="00945BF5" w:rsidRDefault="002A21AE">
            <w:pPr>
              <w:pStyle w:val="TableTextNumbersBullet"/>
              <w:rPr>
                <w:b/>
              </w:rPr>
            </w:pPr>
            <w:r w:rsidRPr="00945BF5">
              <w:rPr>
                <w:b/>
              </w:rPr>
              <w:t>Treating Specialty Summary Report</w:t>
            </w:r>
          </w:p>
          <w:p w:rsidR="002A21AE" w:rsidRPr="00945BF5" w:rsidRDefault="002A21AE">
            <w:pPr>
              <w:pStyle w:val="TableTextNumbersBullet"/>
              <w:rPr>
                <w:b/>
              </w:rPr>
            </w:pPr>
            <w:r w:rsidRPr="00945BF5">
              <w:rPr>
                <w:b/>
              </w:rPr>
              <w:t>Detailed Report with Physician Summary</w:t>
            </w:r>
          </w:p>
          <w:p w:rsidR="002A21AE" w:rsidRDefault="002A21AE">
            <w:pPr>
              <w:pStyle w:val="TableTextNumbersBullet"/>
            </w:pPr>
            <w:r w:rsidRPr="00945BF5">
              <w:rPr>
                <w:b/>
              </w:rPr>
              <w:t>Detailed Report with Treating Specialty Summary</w:t>
            </w:r>
          </w:p>
        </w:tc>
        <w:tc>
          <w:tcPr>
            <w:tcW w:w="6120" w:type="dxa"/>
          </w:tcPr>
          <w:p w:rsidR="002A21AE" w:rsidRDefault="002A21AE">
            <w:pPr>
              <w:pStyle w:val="TableTextBullet"/>
            </w:pPr>
            <w:r>
              <w:t>Compiles the report and displays an option to print the report or exit.</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4544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294" name="Lin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4"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3u8FQIAAC0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HWv&#10;e7w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727AC7" w:rsidRDefault="002A21AE" w:rsidP="00727AC7">
            <w:pPr>
              <w:pStyle w:val="NotesText"/>
              <w:rPr>
                <w:rFonts w:cs="Arial"/>
                <w:vanish/>
              </w:rPr>
            </w:pPr>
            <w:r>
              <w:rPr>
                <w:rFonts w:cs="Arial"/>
                <w:vanish/>
              </w:rPr>
              <w:t xml:space="preserve">BR_104.03 </w:t>
            </w:r>
            <w:r>
              <w:t>The physician included in this report is the ordering physician.</w:t>
            </w:r>
            <w:r w:rsidR="00A1063F">
              <w:t xml:space="preserve"> </w:t>
            </w:r>
            <w:r w:rsidR="00727AC7">
              <w:rPr>
                <w:rFonts w:cs="Arial"/>
                <w:vanish/>
              </w:rPr>
              <w:t xml:space="preserve"> </w:t>
            </w:r>
          </w:p>
          <w:p w:rsidR="00727AC7" w:rsidRDefault="00727AC7" w:rsidP="00727AC7">
            <w:pPr>
              <w:pStyle w:val="NotesText"/>
              <w:rPr>
                <w:rFonts w:cs="Arial"/>
                <w:vanish/>
              </w:rPr>
            </w:pPr>
          </w:p>
          <w:p w:rsidR="00727AC7" w:rsidRDefault="00727AC7" w:rsidP="00727AC7">
            <w:pPr>
              <w:pStyle w:val="NotesText"/>
            </w:pPr>
            <w:r>
              <w:rPr>
                <w:rFonts w:cs="Arial"/>
                <w:vanish/>
              </w:rPr>
              <w:t xml:space="preserve">BR_104.06 </w:t>
            </w:r>
            <w:r>
              <w:t xml:space="preserve">VBECS compiles the C:T ratio report as a summary or detailed report. All versions include a single C:T ratio for the division. </w:t>
            </w:r>
          </w:p>
          <w:p w:rsidR="00727AC7" w:rsidRDefault="00727AC7" w:rsidP="00727AC7">
            <w:pPr>
              <w:pStyle w:val="NotesText"/>
            </w:pPr>
          </w:p>
          <w:p w:rsidR="00727AC7" w:rsidRDefault="00727AC7" w:rsidP="00727AC7">
            <w:pPr>
              <w:pStyle w:val="NotesText"/>
            </w:pPr>
            <w:r>
              <w:t xml:space="preserve">VBECS determines the C:T ratio for a division by dividing the number of units crossmatched </w:t>
            </w:r>
            <w:r w:rsidR="001F0C1C">
              <w:t>(electronic</w:t>
            </w:r>
            <w:r w:rsidR="00A9622F">
              <w:t>ally</w:t>
            </w:r>
            <w:r w:rsidR="001F0C1C">
              <w:t xml:space="preserve"> or serologic) </w:t>
            </w:r>
            <w:r>
              <w:t xml:space="preserve">during the period selected by the number of units transfused at the </w:t>
            </w:r>
            <w:r>
              <w:lastRenderedPageBreak/>
              <w:t xml:space="preserve">division. </w:t>
            </w:r>
          </w:p>
          <w:p w:rsidR="00727AC7" w:rsidRDefault="00727AC7" w:rsidP="00727AC7">
            <w:pPr>
              <w:pStyle w:val="NotesText"/>
            </w:pPr>
          </w:p>
          <w:p w:rsidR="002A21AE" w:rsidRDefault="00727AC7" w:rsidP="00727AC7">
            <w:pPr>
              <w:pStyle w:val="NotesText"/>
            </w:pPr>
            <w:r>
              <w:t>This calculation does not include units with a XM result of “Compatible - Don’t Transfuse” or “Incompatible - Unsafe to Transfuse.”</w:t>
            </w:r>
          </w:p>
          <w:p w:rsidR="00960693" w:rsidRDefault="00960693" w:rsidP="00960693">
            <w:pPr>
              <w:pStyle w:val="NotesText"/>
            </w:pPr>
          </w:p>
          <w:p w:rsidR="00960693" w:rsidRDefault="00960693" w:rsidP="00960693">
            <w:pPr>
              <w:pStyle w:val="NotesText"/>
            </w:pPr>
            <w:r>
              <w:rPr>
                <w:rFonts w:cs="Arial"/>
                <w:vanish/>
              </w:rPr>
              <w:t xml:space="preserve">BR_104.07 </w:t>
            </w:r>
            <w:r>
              <w:t xml:space="preserve">The detailed C:T ratio report includes a list of units crossmatched </w:t>
            </w:r>
            <w:r w:rsidR="00270ABE">
              <w:t>(electronic</w:t>
            </w:r>
            <w:r w:rsidR="00A9622F">
              <w:t>ally</w:t>
            </w:r>
            <w:r w:rsidR="00270ABE">
              <w:t xml:space="preserve"> or serologic) </w:t>
            </w:r>
            <w:r>
              <w:t>for a patient during the selected date range. The report includes the unit ID, physician name, treating specialty, XM interpretation, date and time the XM was completed, product short name, and an indication as to whether the unit was transfused or presumed transfused.</w:t>
            </w:r>
          </w:p>
          <w:p w:rsidR="002A21AE" w:rsidRDefault="002A21AE">
            <w:pPr>
              <w:pStyle w:val="NotesText"/>
            </w:pPr>
          </w:p>
          <w:p w:rsidR="002A21AE" w:rsidRDefault="002A21AE">
            <w:pPr>
              <w:pStyle w:val="NotesText"/>
            </w:pPr>
            <w:r>
              <w:rPr>
                <w:rFonts w:cs="Arial"/>
                <w:vanish/>
              </w:rPr>
              <w:t xml:space="preserve">BR_104.04 </w:t>
            </w:r>
            <w:r>
              <w:t xml:space="preserve">VBECS determines the C:T ratio for a physician by dividing the number of units that were crossmatched </w:t>
            </w:r>
            <w:r w:rsidR="00270ABE">
              <w:t>(electronic</w:t>
            </w:r>
            <w:r w:rsidR="00A9622F">
              <w:t>ally</w:t>
            </w:r>
            <w:r w:rsidR="00270ABE">
              <w:t xml:space="preserve"> or serologic) </w:t>
            </w:r>
            <w:r>
              <w:t xml:space="preserve">during the period selected by the number of transfused units. </w:t>
            </w:r>
          </w:p>
          <w:p w:rsidR="002A21AE" w:rsidRDefault="002A21AE">
            <w:pPr>
              <w:pStyle w:val="NotesText"/>
            </w:pPr>
          </w:p>
          <w:p w:rsidR="002A21AE" w:rsidRDefault="002A21AE" w:rsidP="00727AC7">
            <w:pPr>
              <w:pStyle w:val="NotesText"/>
            </w:pPr>
            <w:r>
              <w:rPr>
                <w:rFonts w:cs="Arial"/>
                <w:vanish/>
              </w:rPr>
              <w:t xml:space="preserve">BR_104.05 </w:t>
            </w:r>
            <w:r>
              <w:t xml:space="preserve">VBECS determines the C:T ratio for a treating specialty by dividing the number of units crossmatched </w:t>
            </w:r>
            <w:r w:rsidR="00270ABE">
              <w:t>(electronic</w:t>
            </w:r>
            <w:r w:rsidR="00A9622F">
              <w:t>ally</w:t>
            </w:r>
            <w:r w:rsidR="00270ABE">
              <w:t xml:space="preserve"> or serologic) </w:t>
            </w:r>
            <w:r>
              <w:t xml:space="preserve">for all patients listed in that treating specialty by the number of units transfused to all patients listed for that specialty. </w:t>
            </w:r>
          </w:p>
        </w:tc>
      </w:tr>
      <w:tr w:rsidR="002A21AE">
        <w:tblPrEx>
          <w:tblCellMar>
            <w:top w:w="0" w:type="dxa"/>
            <w:bottom w:w="0" w:type="dxa"/>
          </w:tblCellMar>
        </w:tblPrEx>
        <w:tc>
          <w:tcPr>
            <w:tcW w:w="3240" w:type="dxa"/>
          </w:tcPr>
          <w:p w:rsidR="002A21AE" w:rsidRDefault="002A21AE">
            <w:pPr>
              <w:pStyle w:val="TableTextNumbers"/>
            </w:pPr>
            <w:r>
              <w:lastRenderedPageBreak/>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rsidR="002A21AE" w:rsidRDefault="002A21AE">
            <w:pPr>
              <w:pStyle w:val="TableTextNumbersContinued"/>
            </w:pPr>
          </w:p>
          <w:p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rsidR="005B6A94" w:rsidRDefault="002A21AE" w:rsidP="00AA2B2E">
            <w:pPr>
              <w:pStyle w:val="TableTextBullet"/>
            </w:pPr>
            <w:r>
              <w:t>Compiles and displays the report.</w:t>
            </w:r>
          </w:p>
        </w:tc>
      </w:tr>
      <w:tr w:rsidR="002A21AE">
        <w:tblPrEx>
          <w:tblCellMar>
            <w:top w:w="0" w:type="dxa"/>
            <w:bottom w:w="0" w:type="dxa"/>
          </w:tblCellMar>
        </w:tblPrEx>
        <w:tc>
          <w:tcPr>
            <w:tcW w:w="3240" w:type="dxa"/>
          </w:tcPr>
          <w:p w:rsidR="002A21AE" w:rsidRDefault="002A21AE">
            <w:pPr>
              <w:pStyle w:val="TableTextNumbers"/>
            </w:pPr>
            <w:r>
              <w:t xml:space="preserve">Select </w:t>
            </w:r>
            <w:r>
              <w:rPr>
                <w:b/>
              </w:rPr>
              <w:t xml:space="preserve">Print </w:t>
            </w:r>
            <w:r>
              <w:t xml:space="preserve">to print the report and exit, or click </w:t>
            </w:r>
            <w:r>
              <w:rPr>
                <w:b/>
              </w:rPr>
              <w:t>Close</w:t>
            </w:r>
            <w:r>
              <w:t xml:space="preserve"> to exit without printing.</w:t>
            </w:r>
            <w:r w:rsidRPr="00B93B42">
              <w:rPr>
                <w:rStyle w:val="StyleTableTextNumbersWhite1Char"/>
              </w:rP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rsidR="002A21AE" w:rsidRDefault="002A21AE">
            <w:pPr>
              <w:pStyle w:val="TableTextBullet"/>
            </w:pPr>
            <w:r>
              <w:t>Prints the report on the selected printer.</w:t>
            </w:r>
          </w:p>
        </w:tc>
      </w:tr>
    </w:tbl>
    <w:p w:rsidR="00F55832" w:rsidRDefault="00F55832">
      <w:pPr>
        <w:pStyle w:val="Heading2"/>
      </w:pPr>
    </w:p>
    <w:p w:rsidR="002A21AE" w:rsidRDefault="00F55832">
      <w:pPr>
        <w:pStyle w:val="Heading2"/>
      </w:pPr>
      <w:r>
        <w:br w:type="page"/>
      </w:r>
      <w:bookmarkStart w:id="548" w:name="_Toc459900169"/>
      <w:r w:rsidR="002A21AE">
        <w:lastRenderedPageBreak/>
        <w:t>Division Transfusion Report</w:t>
      </w:r>
      <w:bookmarkEnd w:id="548"/>
      <w:r w:rsidR="002A21AE">
        <w:fldChar w:fldCharType="begin"/>
      </w:r>
      <w:r w:rsidR="002A21AE">
        <w:instrText xml:space="preserve"> XE </w:instrText>
      </w:r>
      <w:r w:rsidR="00FA7E65">
        <w:instrText>“</w:instrText>
      </w:r>
      <w:r w:rsidR="002A21AE">
        <w:instrText>Division Transfusion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UC_74</w:t>
      </w:r>
      <w:r w:rsidR="002A21AE">
        <w:rPr>
          <w:rStyle w:val="CommentReference"/>
          <w:rFonts w:ascii="Times New Roman" w:hAnsi="Times New Roman" w:cs="Times New Roman"/>
          <w:b w:val="0"/>
          <w:bCs w:val="0"/>
          <w:vanish/>
        </w:rPr>
        <w:t xml:space="preserve"> </w:t>
      </w:r>
    </w:p>
    <w:p w:rsidR="002A21AE" w:rsidRDefault="002A21AE" w:rsidP="00FA7E65">
      <w:pPr>
        <w:pStyle w:val="BodyText"/>
      </w:pPr>
      <w:r>
        <w:t xml:space="preserve">The user views </w:t>
      </w:r>
      <w:r w:rsidR="00EB1E5A">
        <w:t xml:space="preserve">and/or </w:t>
      </w:r>
      <w:r>
        <w:t>prints the Division Transfusion Report.</w:t>
      </w:r>
    </w:p>
    <w:p w:rsidR="002A21AE" w:rsidRDefault="002A21AE">
      <w:pPr>
        <w:pStyle w:val="Heading4"/>
      </w:pPr>
      <w:r>
        <w:t>Assumptions</w:t>
      </w:r>
      <w:r>
        <w:rPr>
          <w:b w:val="0"/>
        </w:rPr>
        <w:t xml:space="preserve"> </w:t>
      </w:r>
    </w:p>
    <w:p w:rsidR="002A21AE" w:rsidRDefault="002A21AE">
      <w:pPr>
        <w:pStyle w:val="ListBullet"/>
      </w:pPr>
      <w:r>
        <w:t>Transfused unit data for the report were saved in VBECS.</w:t>
      </w:r>
    </w:p>
    <w:p w:rsidR="002A21AE" w:rsidRDefault="002A21AE">
      <w:pPr>
        <w:pStyle w:val="Heading4"/>
      </w:pPr>
      <w:r>
        <w:t xml:space="preserve">Outcome </w:t>
      </w:r>
    </w:p>
    <w:p w:rsidR="002A21AE" w:rsidRDefault="00AE521B">
      <w:pPr>
        <w:pStyle w:val="ListBullet"/>
      </w:pPr>
      <w:r>
        <w:t>The user views and/or prints the report</w:t>
      </w:r>
      <w:r w:rsidR="002A21AE">
        <w:t xml:space="preserve">. </w:t>
      </w:r>
    </w:p>
    <w:p w:rsidR="002A21AE" w:rsidRDefault="002A21AE">
      <w:pPr>
        <w:pStyle w:val="Heading4"/>
        <w:rPr>
          <w:b w:val="0"/>
        </w:rPr>
      </w:pPr>
      <w:r>
        <w:t>Limitations and Restrictions</w:t>
      </w:r>
      <w:r>
        <w:rPr>
          <w:b w:val="0"/>
        </w:rPr>
        <w:t xml:space="preserve"> </w:t>
      </w:r>
    </w:p>
    <w:p w:rsidR="002A21AE" w:rsidRDefault="002A21AE">
      <w:pPr>
        <w:pStyle w:val="ListBullet"/>
      </w:pPr>
      <w:r>
        <w:t>None</w:t>
      </w:r>
    </w:p>
    <w:p w:rsidR="002A21AE" w:rsidRDefault="002A21AE">
      <w:pPr>
        <w:pStyle w:val="Heading4"/>
      </w:pPr>
      <w:r>
        <w:t xml:space="preserve">Additional Information </w:t>
      </w:r>
    </w:p>
    <w:p w:rsidR="002A21AE" w:rsidRDefault="002A21AE">
      <w:pPr>
        <w:pStyle w:val="ListBullet"/>
      </w:pPr>
      <w:r>
        <w:rPr>
          <w:rFonts w:ascii="Arial" w:hAnsi="Arial" w:cs="Arial"/>
          <w:vanish/>
          <w:spacing w:val="0"/>
          <w:sz w:val="18"/>
        </w:rPr>
        <w:t xml:space="preserve">BR_74.01 </w:t>
      </w:r>
      <w:r>
        <w:t>VBECS compiles data for the report from the user’s login division.</w:t>
      </w:r>
    </w:p>
    <w:bookmarkStart w:id="549" w:name="_Toc91323819"/>
    <w:p w:rsidR="002A21AE" w:rsidRDefault="00543DAF">
      <w:pPr>
        <w:pStyle w:val="ListBullet"/>
      </w:pPr>
      <w:r>
        <w:fldChar w:fldCharType="begin"/>
      </w:r>
      <w:r>
        <w:instrText xml:space="preserve"> REF _Ref170004931 \h </w:instrText>
      </w:r>
      <w:r>
        <w:fldChar w:fldCharType="separate"/>
      </w:r>
      <w:r w:rsidR="005F38BC">
        <w:t xml:space="preserve">Appendix </w:t>
      </w:r>
      <w:r w:rsidR="005F38BC">
        <w:rPr>
          <w:noProof/>
        </w:rPr>
        <w:t>B</w:t>
      </w:r>
      <w:r>
        <w:fldChar w:fldCharType="end"/>
      </w:r>
      <w:r w:rsidR="002A21AE">
        <w:t xml:space="preserve">: </w:t>
      </w:r>
      <w:bookmarkEnd w:id="549"/>
      <w:r w:rsidR="00AE2DC1">
        <w:fldChar w:fldCharType="begin"/>
      </w:r>
      <w:r w:rsidR="00AE2DC1">
        <w:instrText xml:space="preserve"> REF _Ref126504507 \h </w:instrText>
      </w:r>
      <w:r w:rsidR="00AE2DC1">
        <w:fldChar w:fldCharType="separate"/>
      </w:r>
      <w:r w:rsidR="005F38BC">
        <w:t xml:space="preserve">Table </w:t>
      </w:r>
      <w:r w:rsidR="005F38BC">
        <w:rPr>
          <w:noProof/>
        </w:rPr>
        <w:t>23</w:t>
      </w:r>
      <w:r w:rsidR="005F38BC">
        <w:t xml:space="preserve">: </w:t>
      </w:r>
      <w:r w:rsidR="005F38BC">
        <w:rPr>
          <w:vanish/>
        </w:rPr>
        <w:t xml:space="preserve">PT_105.01 </w:t>
      </w:r>
      <w:r w:rsidR="005F38BC">
        <w:t>National Treating Specialty Table</w:t>
      </w:r>
      <w:r w:rsidR="00AE2DC1">
        <w:fldChar w:fldCharType="end"/>
      </w:r>
      <w:r w:rsidR="002A21AE">
        <w:t xml:space="preserve"> defines the treating specialty.</w:t>
      </w:r>
    </w:p>
    <w:p w:rsidR="002A21AE" w:rsidRDefault="002A21AE">
      <w:pPr>
        <w:pStyle w:val="Heading4"/>
        <w:rPr>
          <w:b w:val="0"/>
        </w:rPr>
      </w:pPr>
      <w:r>
        <w:t>User Roles with Access to This Option</w:t>
      </w:r>
      <w:r>
        <w:rPr>
          <w:b w:val="0"/>
        </w:rPr>
        <w:t xml:space="preserve"> </w:t>
      </w:r>
    </w:p>
    <w:p w:rsidR="002A21AE" w:rsidRDefault="00606FB0">
      <w:pPr>
        <w:pStyle w:val="Roles"/>
      </w:pPr>
      <w:r>
        <w:t>All users</w:t>
      </w:r>
    </w:p>
    <w:p w:rsidR="002A21AE" w:rsidRDefault="002A21AE">
      <w:pPr>
        <w:pStyle w:val="Heading4"/>
      </w:pPr>
      <w:r>
        <w:t xml:space="preserve">Division Transfusion Report </w:t>
      </w:r>
    </w:p>
    <w:p w:rsidR="002A21AE" w:rsidRDefault="002A21AE" w:rsidP="00FA7E65">
      <w:pPr>
        <w:pStyle w:val="BodyText"/>
      </w:pPr>
      <w:r>
        <w:t xml:space="preserve">The user views </w:t>
      </w:r>
      <w:r w:rsidR="00EB1E5A">
        <w:t xml:space="preserve">and/or </w:t>
      </w:r>
      <w:r>
        <w:t>prints a Division Transfusion Report</w:t>
      </w:r>
      <w:r w:rsidR="000E7CF5">
        <w:t>, which lists details of units transfused during a selected period</w:t>
      </w:r>
      <w: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 xml:space="preserve">Select </w:t>
            </w:r>
            <w:r>
              <w:rPr>
                <w:b/>
              </w:rPr>
              <w:t>Reports</w:t>
            </w:r>
            <w:r>
              <w:t xml:space="preserve"> from the main menu.</w:t>
            </w:r>
          </w:p>
          <w:p w:rsidR="002A21AE" w:rsidRDefault="002A21AE">
            <w:pPr>
              <w:pStyle w:val="TableTextNumbersContinued"/>
            </w:pPr>
          </w:p>
          <w:p w:rsidR="002A21AE" w:rsidRDefault="002A21AE">
            <w:pPr>
              <w:pStyle w:val="TableTextNumbersContinued"/>
            </w:pPr>
            <w:r>
              <w:t xml:space="preserve">Select </w:t>
            </w:r>
            <w:r>
              <w:rPr>
                <w:b/>
              </w:rPr>
              <w:t>Division Transfusion Report</w:t>
            </w:r>
            <w:r>
              <w:t>.</w:t>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Bullet"/>
            </w:pPr>
            <w:r>
              <w:t>Lists report names.</w:t>
            </w:r>
          </w:p>
          <w:p w:rsidR="002A21AE" w:rsidRDefault="002A21AE">
            <w:pPr>
              <w:pStyle w:val="TableTextBullet"/>
            </w:pPr>
            <w:r>
              <w:t>Displays fields for entering a report date range.</w:t>
            </w:r>
          </w:p>
        </w:tc>
      </w:tr>
      <w:tr w:rsidR="002A21AE">
        <w:tblPrEx>
          <w:tblCellMar>
            <w:top w:w="0" w:type="dxa"/>
            <w:bottom w:w="0" w:type="dxa"/>
          </w:tblCellMar>
        </w:tblPrEx>
        <w:tc>
          <w:tcPr>
            <w:tcW w:w="3240" w:type="dxa"/>
          </w:tcPr>
          <w:p w:rsidR="002A21AE" w:rsidRDefault="002A21AE">
            <w:pPr>
              <w:pStyle w:val="TableTextNumbers"/>
            </w:pPr>
            <w:r>
              <w:t xml:space="preserve">Enter or select start and end dates. </w:t>
            </w:r>
          </w:p>
          <w:p w:rsidR="002A21AE" w:rsidRDefault="002A21AE">
            <w:pPr>
              <w:pStyle w:val="TableTextNumbersContinued"/>
            </w:pPr>
          </w:p>
          <w:p w:rsidR="002A21AE" w:rsidRDefault="002A21AE">
            <w:pPr>
              <w:pStyle w:val="TableTextNumbersContinued"/>
            </w:pPr>
            <w:r>
              <w:t xml:space="preserve">In the Report Type area, select the </w:t>
            </w:r>
            <w:r>
              <w:rPr>
                <w:b/>
              </w:rPr>
              <w:t>Issuing Physician Report</w:t>
            </w:r>
            <w:r>
              <w:t xml:space="preserve">, </w:t>
            </w:r>
            <w:r>
              <w:rPr>
                <w:b/>
              </w:rPr>
              <w:t>Treating Specialty Report</w:t>
            </w:r>
            <w:r>
              <w:t xml:space="preserve">, or </w:t>
            </w:r>
            <w:r>
              <w:rPr>
                <w:b/>
              </w:rPr>
              <w:t xml:space="preserve">Issued-To Location Report </w:t>
            </w:r>
            <w:r w:rsidRPr="00BF2E41">
              <w:t>radio button</w:t>
            </w:r>
            <w:r>
              <w:t>.</w:t>
            </w:r>
          </w:p>
        </w:tc>
        <w:tc>
          <w:tcPr>
            <w:tcW w:w="6120" w:type="dxa"/>
          </w:tcPr>
          <w:p w:rsidR="002A21AE" w:rsidRDefault="002A21AE">
            <w:pPr>
              <w:pStyle w:val="TableTextBullet"/>
            </w:pPr>
            <w:r>
              <w:rPr>
                <w:rFonts w:cs="Arial"/>
                <w:vanish/>
              </w:rPr>
              <w:t xml:space="preserve">BR_74.05 </w:t>
            </w:r>
            <w:r>
              <w:t>Allows the user to compile the report by issuing physician, by treating specialty, or by issued-to location.</w:t>
            </w:r>
          </w:p>
          <w:p w:rsidR="002A21AE" w:rsidRDefault="002A21AE">
            <w:pPr>
              <w:pStyle w:val="TableTextBullet"/>
            </w:pPr>
            <w:r>
              <w:rPr>
                <w:rFonts w:cs="Arial"/>
                <w:vanish/>
              </w:rPr>
              <w:t xml:space="preserve">BR_74.06 </w:t>
            </w:r>
            <w:r>
              <w:t>Allows the user to include some or all physicians, treating specialties, or issued-to locations.</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8844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293" name="Line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8"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uDFQ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NBw&#10;24M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p>
        </w:tc>
      </w:tr>
      <w:tr w:rsidR="002A21AE">
        <w:tblPrEx>
          <w:tblCellMar>
            <w:top w:w="0" w:type="dxa"/>
            <w:bottom w:w="0" w:type="dxa"/>
          </w:tblCellMar>
        </w:tblPrEx>
        <w:tc>
          <w:tcPr>
            <w:tcW w:w="3240" w:type="dxa"/>
          </w:tcPr>
          <w:p w:rsidR="002A21AE" w:rsidRDefault="006738EE">
            <w:pPr>
              <w:pStyle w:val="TableTextNumbers"/>
            </w:pPr>
            <w:r>
              <w:t xml:space="preserve">In the </w:t>
            </w:r>
            <w:r w:rsidRPr="006738EE">
              <w:t>Report Compilation</w:t>
            </w:r>
            <w:r>
              <w:t xml:space="preserve"> area, click the </w:t>
            </w:r>
            <w:r w:rsidRPr="006738EE">
              <w:rPr>
                <w:b/>
              </w:rPr>
              <w:t>Create Report Now</w:t>
            </w:r>
            <w:r>
              <w:t xml:space="preserve"> radio button. Click </w:t>
            </w:r>
            <w:r w:rsidRPr="006738EE">
              <w:rPr>
                <w:b/>
              </w:rPr>
              <w:t>OK</w:t>
            </w:r>
            <w:r>
              <w:t xml:space="preserve"> to review the report, or</w:t>
            </w:r>
          </w:p>
          <w:p w:rsidR="006738EE" w:rsidRDefault="006738EE" w:rsidP="006738EE">
            <w:pPr>
              <w:pStyle w:val="TableTextNumbers"/>
              <w:numPr>
                <w:ilvl w:val="0"/>
                <w:numId w:val="0"/>
              </w:numPr>
              <w:ind w:left="288" w:hanging="288"/>
            </w:pPr>
          </w:p>
          <w:p w:rsidR="006738EE" w:rsidRDefault="006738EE" w:rsidP="006738EE">
            <w:pPr>
              <w:pStyle w:val="TableTextNumbers"/>
              <w:numPr>
                <w:ilvl w:val="0"/>
                <w:numId w:val="0"/>
              </w:numPr>
              <w:ind w:left="270" w:firstLine="18"/>
            </w:pPr>
            <w:r>
              <w:t xml:space="preserve">Click the </w:t>
            </w:r>
            <w:r w:rsidRPr="006738EE">
              <w:rPr>
                <w:b/>
              </w:rPr>
              <w:t xml:space="preserve">Schedule Print Job </w:t>
            </w:r>
            <w:r w:rsidRPr="009554A6">
              <w:t xml:space="preserve">radio button </w:t>
            </w:r>
            <w:r>
              <w:t xml:space="preserve">and </w:t>
            </w:r>
            <w:r w:rsidRPr="006738EE">
              <w:rPr>
                <w:b/>
              </w:rPr>
              <w:t>OK</w:t>
            </w:r>
            <w:r>
              <w:t xml:space="preserve">, then enter or select a print date and printer name. Click </w:t>
            </w:r>
            <w:r w:rsidRPr="006738EE">
              <w:rPr>
                <w:b/>
              </w:rPr>
              <w:t>OK</w:t>
            </w:r>
            <w:r>
              <w:t xml:space="preserve"> to view and print the report.</w:t>
            </w:r>
          </w:p>
        </w:tc>
        <w:tc>
          <w:tcPr>
            <w:tcW w:w="6120" w:type="dxa"/>
          </w:tcPr>
          <w:p w:rsidR="002A21AE" w:rsidRDefault="002A21AE">
            <w:pPr>
              <w:pStyle w:val="TableTextBullet"/>
            </w:pPr>
            <w:r>
              <w:t>Compiles and displays the report.</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8742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292" name="Line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7"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BI1FgIAAC0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CR&#10;DBI1FgIAAC0EAAAOAAAAAAAAAAAAAAAAAC4CAABkcnMvZTJvRG9jLnhtbFBLAQItABQABgAIAAAA&#10;IQAXTzAS2wAAAAgBAAAPAAAAAAAAAAAAAAAAAHAEAABkcnMvZG93bnJldi54bWxQSwUGAAAAAAQA&#10;BADzAAAAeAU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BR_74.03 </w:t>
            </w:r>
            <w:r>
              <w:t>The report displays tallies of units transfused by component class within the date range, by:</w:t>
            </w:r>
          </w:p>
          <w:p w:rsidR="002A21AE" w:rsidRDefault="002A21AE">
            <w:pPr>
              <w:pStyle w:val="NotesTextBullet"/>
            </w:pPr>
            <w:r>
              <w:t>Physician name</w:t>
            </w:r>
          </w:p>
          <w:p w:rsidR="002A21AE" w:rsidRDefault="002A21AE">
            <w:pPr>
              <w:pStyle w:val="NotesTextBullet"/>
            </w:pPr>
            <w:r>
              <w:t>Treating specialty</w:t>
            </w:r>
          </w:p>
          <w:p w:rsidR="002A21AE" w:rsidRDefault="002A21AE">
            <w:pPr>
              <w:pStyle w:val="NotesTextBullet"/>
            </w:pPr>
            <w:r>
              <w:t>Issued-to location</w:t>
            </w:r>
          </w:p>
          <w:p w:rsidR="002A21AE" w:rsidRDefault="002A21AE">
            <w:pPr>
              <w:pStyle w:val="NotesTextBullet"/>
            </w:pPr>
            <w:r>
              <w:t>Number of units transfused</w:t>
            </w:r>
          </w:p>
          <w:p w:rsidR="002A21AE" w:rsidRDefault="002A21AE">
            <w:pPr>
              <w:pStyle w:val="NotesTextBullet"/>
            </w:pPr>
            <w:r>
              <w:t>Number of units presumed transfused</w:t>
            </w:r>
          </w:p>
          <w:p w:rsidR="002A21AE" w:rsidRDefault="002A21AE">
            <w:pPr>
              <w:pStyle w:val="NotesTextBullet"/>
            </w:pPr>
            <w:r>
              <w:t>Total number of patients transfused</w:t>
            </w:r>
          </w:p>
          <w:p w:rsidR="002A21AE" w:rsidRDefault="002A21AE">
            <w:pPr>
              <w:pStyle w:val="NotesTextBullet"/>
              <w:rPr>
                <w:rFonts w:cs="Arial"/>
              </w:rPr>
            </w:pPr>
            <w:r>
              <w:t>Total number of units transfused and presumed transfused</w:t>
            </w:r>
          </w:p>
          <w:p w:rsidR="002A21AE" w:rsidRDefault="002A21AE">
            <w:pPr>
              <w:pStyle w:val="NotesText"/>
            </w:pPr>
          </w:p>
          <w:p w:rsidR="002A21AE" w:rsidRDefault="002A21AE">
            <w:pPr>
              <w:pStyle w:val="NotesText"/>
            </w:pPr>
            <w:r>
              <w:rPr>
                <w:rFonts w:cs="Arial"/>
                <w:vanish/>
              </w:rPr>
              <w:lastRenderedPageBreak/>
              <w:t xml:space="preserve">BR_74.04 </w:t>
            </w:r>
            <w:r>
              <w:t>Reports include:</w:t>
            </w:r>
          </w:p>
          <w:p w:rsidR="002A21AE" w:rsidRDefault="002A21AE">
            <w:pPr>
              <w:pStyle w:val="NotesTextBullet"/>
            </w:pPr>
            <w:r>
              <w:t>Patient name</w:t>
            </w:r>
          </w:p>
          <w:p w:rsidR="002A21AE" w:rsidRDefault="002A21AE">
            <w:pPr>
              <w:pStyle w:val="NotesTextBullet"/>
            </w:pPr>
            <w:r>
              <w:t>Patient ID</w:t>
            </w:r>
          </w:p>
          <w:p w:rsidR="002A21AE" w:rsidRDefault="002A21AE">
            <w:pPr>
              <w:pStyle w:val="NotesTextBullet"/>
            </w:pPr>
            <w:r>
              <w:t>Unit ID</w:t>
            </w:r>
          </w:p>
          <w:p w:rsidR="002A21AE" w:rsidRDefault="002A21AE">
            <w:pPr>
              <w:pStyle w:val="NotesTextBullet"/>
            </w:pPr>
            <w:r>
              <w:t>Product short name</w:t>
            </w:r>
          </w:p>
          <w:p w:rsidR="002A21AE" w:rsidRDefault="002A21AE">
            <w:pPr>
              <w:pStyle w:val="NotesTextBullet"/>
            </w:pPr>
            <w:r>
              <w:t>If pooled, number of participants in pool</w:t>
            </w:r>
          </w:p>
          <w:p w:rsidR="002A21AE" w:rsidRDefault="002A21AE">
            <w:pPr>
              <w:pStyle w:val="NotesTextBullet"/>
            </w:pPr>
            <w:r>
              <w:t>Date and time Issued</w:t>
            </w:r>
          </w:p>
          <w:p w:rsidR="002A21AE" w:rsidRDefault="002A21AE">
            <w:pPr>
              <w:pStyle w:val="NotesTextBullet"/>
            </w:pPr>
            <w:r>
              <w:t>Issued-to location</w:t>
            </w:r>
          </w:p>
          <w:p w:rsidR="002A21AE" w:rsidRDefault="002A21AE">
            <w:pPr>
              <w:pStyle w:val="NotesTextBullet"/>
            </w:pPr>
            <w:r>
              <w:t>Physician</w:t>
            </w:r>
          </w:p>
          <w:p w:rsidR="002A21AE" w:rsidRDefault="002A21AE">
            <w:pPr>
              <w:pStyle w:val="NotesTextBullet"/>
            </w:pPr>
            <w:r>
              <w:t>Treating specialty</w:t>
            </w:r>
          </w:p>
          <w:p w:rsidR="002A21AE" w:rsidRDefault="002A21AE">
            <w:pPr>
              <w:pStyle w:val="NotesTextBullet"/>
            </w:pPr>
            <w:r>
              <w:t>Transfused or presumed transfused indicator, if present</w:t>
            </w:r>
          </w:p>
          <w:p w:rsidR="00801D1F" w:rsidRPr="00AA2B2E" w:rsidRDefault="002A21AE" w:rsidP="00AA2B2E">
            <w:pPr>
              <w:pStyle w:val="NotesTextBullet"/>
              <w:rPr>
                <w:rFonts w:cs="Arial"/>
              </w:rPr>
            </w:pPr>
            <w:r>
              <w:t>Transfusion comments, if any</w:t>
            </w:r>
          </w:p>
        </w:tc>
      </w:tr>
      <w:tr w:rsidR="002A21AE">
        <w:tblPrEx>
          <w:tblCellMar>
            <w:top w:w="0" w:type="dxa"/>
            <w:bottom w:w="0" w:type="dxa"/>
          </w:tblCellMar>
        </w:tblPrEx>
        <w:tc>
          <w:tcPr>
            <w:tcW w:w="3240" w:type="dxa"/>
          </w:tcPr>
          <w:p w:rsidR="002A21AE" w:rsidRDefault="002A21AE">
            <w:pPr>
              <w:pStyle w:val="TableTextNumbers"/>
            </w:pPr>
            <w:r>
              <w:lastRenderedPageBreak/>
              <w:t xml:space="preserve">Select </w:t>
            </w:r>
            <w:r>
              <w:rPr>
                <w:b/>
              </w:rPr>
              <w:t xml:space="preserve">Print </w:t>
            </w:r>
            <w:r>
              <w:t xml:space="preserve">to print the report and exit, or click </w:t>
            </w:r>
            <w:r>
              <w:rPr>
                <w:b/>
              </w:rPr>
              <w:t>Close</w:t>
            </w:r>
            <w:r>
              <w:t xml:space="preserve"> to exit without printing.</w:t>
            </w:r>
            <w:r w:rsidRPr="00B93B42">
              <w:rPr>
                <w:rStyle w:val="StyleTableTextNumbersWhite1Char"/>
              </w:rP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rsidR="002A21AE" w:rsidRDefault="002A21AE">
            <w:pPr>
              <w:pStyle w:val="TableTextBullet"/>
            </w:pPr>
            <w:r>
              <w:t>Prints the report on the selected printer.</w:t>
            </w:r>
          </w:p>
        </w:tc>
      </w:tr>
    </w:tbl>
    <w:p w:rsidR="00F55832" w:rsidRDefault="00F55832" w:rsidP="008C5564">
      <w:pPr>
        <w:pStyle w:val="Heading2"/>
      </w:pPr>
    </w:p>
    <w:p w:rsidR="008C5564" w:rsidRDefault="00F55832" w:rsidP="008C5564">
      <w:pPr>
        <w:pStyle w:val="Heading2"/>
      </w:pPr>
      <w:r>
        <w:br w:type="page"/>
      </w:r>
      <w:bookmarkStart w:id="550" w:name="_Toc459900170"/>
      <w:r w:rsidR="008C5564">
        <w:lastRenderedPageBreak/>
        <w:t>Division Workload Report</w:t>
      </w:r>
      <w:bookmarkEnd w:id="550"/>
      <w:r w:rsidR="008C5564">
        <w:fldChar w:fldCharType="begin"/>
      </w:r>
      <w:r w:rsidR="008C5564">
        <w:instrText xml:space="preserve"> XE </w:instrText>
      </w:r>
      <w:r w:rsidR="00FA7E65">
        <w:instrText>“</w:instrText>
      </w:r>
      <w:r w:rsidR="008C5564">
        <w:instrText>Division Workload Report</w:instrText>
      </w:r>
      <w:r w:rsidR="00FA7E65">
        <w:instrText>”</w:instrText>
      </w:r>
      <w:r w:rsidR="008C5564">
        <w:instrText xml:space="preserve"> </w:instrText>
      </w:r>
      <w:r w:rsidR="008C5564">
        <w:fldChar w:fldCharType="end"/>
      </w:r>
      <w:r w:rsidR="008C5564">
        <w:t xml:space="preserve"> </w:t>
      </w:r>
      <w:r w:rsidR="008C5564">
        <w:rPr>
          <w:vanish/>
        </w:rPr>
        <w:t>UC_79</w:t>
      </w:r>
    </w:p>
    <w:p w:rsidR="008C5564" w:rsidRDefault="008C5564" w:rsidP="00FA7E65">
      <w:pPr>
        <w:pStyle w:val="BodyText"/>
      </w:pPr>
      <w:r>
        <w:t xml:space="preserve">The user views </w:t>
      </w:r>
      <w:r w:rsidR="00EB1E5A">
        <w:t xml:space="preserve">and/or </w:t>
      </w:r>
      <w:r>
        <w:t>prints a workload report.</w:t>
      </w:r>
    </w:p>
    <w:p w:rsidR="008C5564" w:rsidRDefault="008C5564" w:rsidP="008C5564">
      <w:pPr>
        <w:pStyle w:val="Heading4"/>
      </w:pPr>
      <w:r>
        <w:t>Assumptions</w:t>
      </w:r>
      <w:r>
        <w:rPr>
          <w:b w:val="0"/>
        </w:rPr>
        <w:t xml:space="preserve"> </w:t>
      </w:r>
    </w:p>
    <w:p w:rsidR="008C5564" w:rsidRDefault="00CA6E27" w:rsidP="008C5564">
      <w:pPr>
        <w:pStyle w:val="ListBullet"/>
        <w:rPr>
          <w:b/>
        </w:rPr>
      </w:pPr>
      <w:r w:rsidRPr="00CA6E27">
        <w:rPr>
          <w:bCs/>
        </w:rPr>
        <w:t>VistA</w:t>
      </w:r>
      <w:r w:rsidR="008C5564">
        <w:t xml:space="preserve"> workload codes were assigned to VBECS processes through Workload Codes.</w:t>
      </w:r>
    </w:p>
    <w:p w:rsidR="008C5564" w:rsidRDefault="008C5564" w:rsidP="008C5564">
      <w:pPr>
        <w:pStyle w:val="ListBullet"/>
      </w:pPr>
      <w:r>
        <w:t xml:space="preserve">Data for the report were saved in VBECS. </w:t>
      </w:r>
    </w:p>
    <w:p w:rsidR="008C5564" w:rsidRDefault="008C5564" w:rsidP="008C5564">
      <w:pPr>
        <w:pStyle w:val="Heading4"/>
      </w:pPr>
      <w:r>
        <w:t xml:space="preserve">Outcome </w:t>
      </w:r>
    </w:p>
    <w:p w:rsidR="008C5564" w:rsidRDefault="00AE521B" w:rsidP="008C5564">
      <w:pPr>
        <w:pStyle w:val="ListBullet"/>
      </w:pPr>
      <w:r>
        <w:t>The user views and/or prints the report</w:t>
      </w:r>
      <w:r w:rsidR="008C5564">
        <w:t>.</w:t>
      </w:r>
    </w:p>
    <w:p w:rsidR="008C5564" w:rsidRDefault="008C5564" w:rsidP="008C5564">
      <w:pPr>
        <w:pStyle w:val="Heading4"/>
        <w:rPr>
          <w:b w:val="0"/>
        </w:rPr>
      </w:pPr>
      <w:r>
        <w:t>Limitations and Restrictions</w:t>
      </w:r>
      <w:r>
        <w:rPr>
          <w:b w:val="0"/>
        </w:rPr>
        <w:t xml:space="preserve"> </w:t>
      </w:r>
    </w:p>
    <w:p w:rsidR="008C5564" w:rsidRDefault="008C5564" w:rsidP="008C5564">
      <w:pPr>
        <w:pStyle w:val="ListBullet"/>
      </w:pPr>
      <w:r>
        <w:t>None</w:t>
      </w:r>
    </w:p>
    <w:p w:rsidR="008C5564" w:rsidRDefault="008C5564" w:rsidP="008C5564">
      <w:pPr>
        <w:pStyle w:val="Heading4"/>
      </w:pPr>
      <w:r>
        <w:t xml:space="preserve">Additional Information </w:t>
      </w:r>
    </w:p>
    <w:p w:rsidR="00991CFE" w:rsidRDefault="00991CFE" w:rsidP="00991CFE">
      <w:pPr>
        <w:pStyle w:val="ListBullet"/>
      </w:pPr>
      <w:r>
        <w:t>The report is available as a single-division or multidivisional (all divisions) report.</w:t>
      </w:r>
    </w:p>
    <w:p w:rsidR="008C5564" w:rsidRDefault="008C5564" w:rsidP="008C5564">
      <w:pPr>
        <w:pStyle w:val="Heading4"/>
      </w:pPr>
      <w:r>
        <w:t>User Roles with Access to This Option</w:t>
      </w:r>
    </w:p>
    <w:p w:rsidR="008C5564" w:rsidRDefault="00606FB0" w:rsidP="008C5564">
      <w:pPr>
        <w:pStyle w:val="Roles"/>
      </w:pPr>
      <w:r>
        <w:t>All users</w:t>
      </w:r>
    </w:p>
    <w:p w:rsidR="008C5564" w:rsidRDefault="008C5564" w:rsidP="008C5564">
      <w:pPr>
        <w:pStyle w:val="Heading4"/>
      </w:pPr>
      <w:r>
        <w:t>Division Workload Report</w:t>
      </w:r>
      <w:r>
        <w:rPr>
          <w:rStyle w:val="CommentReference"/>
          <w:rFonts w:ascii="Times New Roman" w:hAnsi="Times New Roman"/>
          <w:b w:val="0"/>
          <w:bCs/>
          <w:vanish/>
        </w:rPr>
        <w:t xml:space="preserve"> </w:t>
      </w:r>
    </w:p>
    <w:p w:rsidR="008C5564" w:rsidRDefault="008C5564" w:rsidP="00FA7E65">
      <w:pPr>
        <w:pStyle w:val="BodyText"/>
      </w:pPr>
      <w:r>
        <w:t xml:space="preserve">The user views </w:t>
      </w:r>
      <w:r w:rsidR="00EB1E5A">
        <w:t xml:space="preserve">and/or </w:t>
      </w:r>
      <w:r w:rsidR="00DC3B23">
        <w:t>prints</w:t>
      </w:r>
      <w:r>
        <w:t xml:space="preserve"> a workload report</w:t>
      </w:r>
      <w:r w:rsidR="00DC3B23">
        <w:t xml:space="preserve">, which includes totals of workload types, for one or </w:t>
      </w:r>
      <w:r w:rsidR="00DD0E58">
        <w:t>all</w:t>
      </w:r>
      <w:r w:rsidR="00DC3B23">
        <w:t xml:space="preserve"> divisions</w:t>
      </w:r>
      <w: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8C5564">
        <w:tblPrEx>
          <w:tblCellMar>
            <w:top w:w="0" w:type="dxa"/>
            <w:bottom w:w="0" w:type="dxa"/>
          </w:tblCellMar>
        </w:tblPrEx>
        <w:trPr>
          <w:cantSplit/>
          <w:tblHeader/>
        </w:trPr>
        <w:tc>
          <w:tcPr>
            <w:tcW w:w="3240" w:type="dxa"/>
            <w:shd w:val="pct30" w:color="auto" w:fill="FFFFFF"/>
            <w:vAlign w:val="bottom"/>
          </w:tcPr>
          <w:p w:rsidR="008C5564" w:rsidRDefault="008C5564" w:rsidP="008C5564">
            <w:pPr>
              <w:pStyle w:val="TableText"/>
              <w:rPr>
                <w:b/>
              </w:rPr>
            </w:pPr>
            <w:r>
              <w:rPr>
                <w:b/>
              </w:rPr>
              <w:t>User Action</w:t>
            </w:r>
          </w:p>
        </w:tc>
        <w:tc>
          <w:tcPr>
            <w:tcW w:w="6120" w:type="dxa"/>
            <w:shd w:val="pct30" w:color="auto" w:fill="FFFFFF"/>
            <w:vAlign w:val="bottom"/>
          </w:tcPr>
          <w:p w:rsidR="008C5564" w:rsidRDefault="008C5564" w:rsidP="008C5564">
            <w:pPr>
              <w:pStyle w:val="TableText"/>
              <w:rPr>
                <w:b/>
              </w:rPr>
            </w:pPr>
            <w:r>
              <w:rPr>
                <w:b/>
              </w:rPr>
              <w:t>VBECS</w:t>
            </w:r>
          </w:p>
        </w:tc>
      </w:tr>
      <w:tr w:rsidR="008C5564">
        <w:tblPrEx>
          <w:tblCellMar>
            <w:top w:w="0" w:type="dxa"/>
            <w:bottom w:w="0" w:type="dxa"/>
          </w:tblCellMar>
        </w:tblPrEx>
        <w:tc>
          <w:tcPr>
            <w:tcW w:w="3240" w:type="dxa"/>
          </w:tcPr>
          <w:p w:rsidR="008C5564" w:rsidRDefault="008C5564" w:rsidP="008C5564">
            <w:pPr>
              <w:pStyle w:val="TableTextNumbers"/>
            </w:pPr>
            <w:r>
              <w:t xml:space="preserve">Select </w:t>
            </w:r>
            <w:r>
              <w:rPr>
                <w:b/>
              </w:rPr>
              <w:t>Reports</w:t>
            </w:r>
            <w:r>
              <w:t xml:space="preserve"> from the main menu.</w:t>
            </w:r>
          </w:p>
          <w:p w:rsidR="008C5564" w:rsidRDefault="008C5564" w:rsidP="008C5564">
            <w:pPr>
              <w:pStyle w:val="TableTextNumbersContinued"/>
            </w:pPr>
          </w:p>
          <w:p w:rsidR="008C5564" w:rsidRDefault="008C5564" w:rsidP="008C5564">
            <w:pPr>
              <w:pStyle w:val="TableTextNumbersContinued"/>
            </w:pPr>
            <w:r>
              <w:t xml:space="preserve">Select </w:t>
            </w:r>
            <w:r>
              <w:rPr>
                <w:b/>
              </w:rPr>
              <w:t>Division Workload Report</w:t>
            </w:r>
            <w:r>
              <w:t>.</w:t>
            </w:r>
          </w:p>
        </w:tc>
        <w:tc>
          <w:tcPr>
            <w:tcW w:w="6120" w:type="dxa"/>
          </w:tcPr>
          <w:p w:rsidR="008C5564" w:rsidRDefault="008C5564" w:rsidP="008C5564">
            <w:pPr>
              <w:pStyle w:val="TableTextBullet"/>
            </w:pPr>
            <w:r>
              <w:t>Lists report names.</w:t>
            </w:r>
          </w:p>
          <w:p w:rsidR="008C5564" w:rsidRDefault="008C5564" w:rsidP="008C5564">
            <w:pPr>
              <w:pStyle w:val="TableTextBullet"/>
            </w:pPr>
            <w:r>
              <w:t xml:space="preserve">Displays report division and compilation criteria. </w:t>
            </w:r>
          </w:p>
          <w:p w:rsidR="008C5564" w:rsidRDefault="008C5564" w:rsidP="008C5564">
            <w:pPr>
              <w:pStyle w:val="TableTextBullet"/>
            </w:pPr>
            <w:r>
              <w:t>Displays a date range for selection.</w:t>
            </w:r>
          </w:p>
        </w:tc>
      </w:tr>
      <w:tr w:rsidR="008C5564">
        <w:tblPrEx>
          <w:tblCellMar>
            <w:top w:w="0" w:type="dxa"/>
            <w:bottom w:w="0" w:type="dxa"/>
          </w:tblCellMar>
        </w:tblPrEx>
        <w:tc>
          <w:tcPr>
            <w:tcW w:w="3240" w:type="dxa"/>
          </w:tcPr>
          <w:p w:rsidR="008C5564" w:rsidRDefault="008C5564" w:rsidP="008C5564">
            <w:pPr>
              <w:pStyle w:val="TableTextNumbers"/>
            </w:pPr>
            <w:r>
              <w:t xml:space="preserve">Click the </w:t>
            </w:r>
            <w:r>
              <w:rPr>
                <w:b/>
              </w:rPr>
              <w:t xml:space="preserve">Current Divisions </w:t>
            </w:r>
            <w:r>
              <w:t>or</w:t>
            </w:r>
            <w:r>
              <w:rPr>
                <w:b/>
              </w:rPr>
              <w:t xml:space="preserve"> All Divisions </w:t>
            </w:r>
            <w:r w:rsidRPr="00BF2E41">
              <w:t>radio button</w:t>
            </w:r>
            <w:r>
              <w:t>.</w:t>
            </w:r>
          </w:p>
        </w:tc>
        <w:tc>
          <w:tcPr>
            <w:tcW w:w="6120" w:type="dxa"/>
          </w:tcPr>
          <w:p w:rsidR="008C5564" w:rsidRDefault="008C5564" w:rsidP="008C5564">
            <w:pPr>
              <w:pStyle w:val="TableTextBullet"/>
            </w:pPr>
            <w:r>
              <w:t>Allows the user to select one or all divisions.</w:t>
            </w:r>
          </w:p>
          <w:p w:rsidR="008C5564" w:rsidRDefault="008C5564" w:rsidP="008C5564">
            <w:pPr>
              <w:pStyle w:val="TableTextBullet"/>
            </w:pPr>
            <w:r>
              <w:t>Displays a date range for selection.</w:t>
            </w:r>
          </w:p>
        </w:tc>
      </w:tr>
      <w:tr w:rsidR="008C5564">
        <w:tblPrEx>
          <w:tblCellMar>
            <w:top w:w="0" w:type="dxa"/>
            <w:bottom w:w="0" w:type="dxa"/>
          </w:tblCellMar>
        </w:tblPrEx>
        <w:tc>
          <w:tcPr>
            <w:tcW w:w="3240" w:type="dxa"/>
          </w:tcPr>
          <w:p w:rsidR="008C5564" w:rsidRDefault="008C5564" w:rsidP="008C5564">
            <w:pPr>
              <w:pStyle w:val="TableTextNumbers"/>
            </w:pPr>
            <w:r>
              <w:t>Enter or select start and end dates.</w:t>
            </w:r>
          </w:p>
        </w:tc>
        <w:tc>
          <w:tcPr>
            <w:tcW w:w="6120" w:type="dxa"/>
          </w:tcPr>
          <w:p w:rsidR="008C5564" w:rsidRDefault="008C5564" w:rsidP="008C5564">
            <w:pPr>
              <w:pStyle w:val="TableTextBullet"/>
            </w:pPr>
            <w:r>
              <w:t>Compiles and displays the report.</w:t>
            </w:r>
          </w:p>
          <w:p w:rsidR="008C5564" w:rsidRDefault="008C5564" w:rsidP="008C5564">
            <w:pPr>
              <w:pStyle w:val="TableTextBullet"/>
            </w:pPr>
            <w:r>
              <w:t>Allows the user to print the report.</w:t>
            </w:r>
          </w:p>
          <w:p w:rsidR="008C5564" w:rsidRDefault="008C5564" w:rsidP="008C5564">
            <w:pPr>
              <w:pStyle w:val="TableText"/>
            </w:pPr>
          </w:p>
          <w:p w:rsidR="008C5564" w:rsidRDefault="00634BFC" w:rsidP="008C5564">
            <w:pPr>
              <w:pStyle w:val="TableText"/>
              <w:rPr>
                <w:b/>
                <w:bCs/>
                <w:szCs w:val="18"/>
              </w:rPr>
            </w:pPr>
            <w:r>
              <w:rPr>
                <w:b/>
                <w:bCs/>
                <w:noProof/>
              </w:rPr>
              <mc:AlternateContent>
                <mc:Choice Requires="wps">
                  <w:drawing>
                    <wp:anchor distT="0" distB="0" distL="114300" distR="114300" simplePos="0" relativeHeight="25169766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291" name="Line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7"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priFQ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Pge&#10;muIVAgAALQQAAA4AAAAAAAAAAAAAAAAALgIAAGRycy9lMm9Eb2MueG1sUEsBAi0AFAAGAAgAAAAh&#10;ABdPMBLbAAAACAEAAA8AAAAAAAAAAAAAAAAAbwQAAGRycy9kb3ducmV2LnhtbFBLBQYAAAAABAAE&#10;APMAAAB3BQAAAAA=&#10;" strokeweight="1.5pt"/>
                  </w:pict>
                </mc:Fallback>
              </mc:AlternateContent>
            </w:r>
            <w:r w:rsidR="008C5564">
              <w:rPr>
                <w:b/>
                <w:bCs/>
                <w:szCs w:val="18"/>
              </w:rPr>
              <w:t>NOTES</w:t>
            </w:r>
          </w:p>
          <w:p w:rsidR="008C5564" w:rsidRDefault="008C5564" w:rsidP="008C5564">
            <w:pPr>
              <w:pStyle w:val="NotesText"/>
            </w:pPr>
          </w:p>
          <w:p w:rsidR="008C5564" w:rsidRDefault="008C5564" w:rsidP="008C5564">
            <w:pPr>
              <w:pStyle w:val="NotesText"/>
            </w:pPr>
            <w:r>
              <w:rPr>
                <w:rFonts w:cs="Arial"/>
                <w:vanish/>
              </w:rPr>
              <w:t xml:space="preserve">BR_79.03 </w:t>
            </w:r>
            <w:r>
              <w:t>A multiple-division workload report includes totals for each type of workload for each division requested in the report.</w:t>
            </w:r>
          </w:p>
          <w:p w:rsidR="008C5564" w:rsidRDefault="008C5564" w:rsidP="008C5564">
            <w:pPr>
              <w:pStyle w:val="NotesText"/>
            </w:pPr>
          </w:p>
          <w:p w:rsidR="008C5564" w:rsidRDefault="008C5564" w:rsidP="008C5564">
            <w:pPr>
              <w:pStyle w:val="NotesText"/>
            </w:pPr>
            <w:r>
              <w:rPr>
                <w:rFonts w:cs="Arial"/>
                <w:vanish/>
              </w:rPr>
              <w:t xml:space="preserve">BR_79.04 </w:t>
            </w:r>
            <w:r>
              <w:t>VBECS searches its workload file for entries within the selected date range.</w:t>
            </w:r>
          </w:p>
        </w:tc>
      </w:tr>
      <w:tr w:rsidR="008C5564">
        <w:tblPrEx>
          <w:tblCellMar>
            <w:top w:w="0" w:type="dxa"/>
            <w:bottom w:w="0" w:type="dxa"/>
          </w:tblCellMar>
        </w:tblPrEx>
        <w:tc>
          <w:tcPr>
            <w:tcW w:w="3240" w:type="dxa"/>
          </w:tcPr>
          <w:p w:rsidR="008C5564" w:rsidRDefault="008C5564" w:rsidP="008C5564">
            <w:pPr>
              <w:pStyle w:val="TableTextNumbers"/>
            </w:pPr>
            <w:r>
              <w:t xml:space="preserve">In the Report Compilation area, click the </w:t>
            </w:r>
            <w:r>
              <w:rPr>
                <w:b/>
              </w:rPr>
              <w:t xml:space="preserve">Create Report Now </w:t>
            </w:r>
            <w:r w:rsidRPr="00BF2E41">
              <w:t>radio button</w:t>
            </w:r>
            <w:r>
              <w:t xml:space="preserve">. Click </w:t>
            </w:r>
            <w:r>
              <w:rPr>
                <w:b/>
              </w:rPr>
              <w:t>OK</w:t>
            </w:r>
            <w:r>
              <w:t xml:space="preserve"> to view the report, or</w:t>
            </w:r>
          </w:p>
          <w:p w:rsidR="008C5564" w:rsidRDefault="008C5564" w:rsidP="008C5564">
            <w:pPr>
              <w:pStyle w:val="TableTextNumbersContinued"/>
              <w:rPr>
                <w:b/>
                <w:bCs/>
              </w:rPr>
            </w:pPr>
          </w:p>
          <w:p w:rsidR="008C5564" w:rsidRDefault="008C5564" w:rsidP="008C5564">
            <w:pPr>
              <w:pStyle w:val="TableTextNumbersContinued"/>
            </w:pPr>
            <w:r>
              <w:t xml:space="preserve">Click the </w:t>
            </w:r>
            <w:r>
              <w:rPr>
                <w:b/>
              </w:rPr>
              <w:t xml:space="preserve">Schedule Print Job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rsidR="005B6A94" w:rsidRDefault="00F64B5C" w:rsidP="00AA2B2E">
            <w:pPr>
              <w:pStyle w:val="TableTextBullet"/>
            </w:pPr>
            <w:r>
              <w:t>Compiles and displays the report.</w:t>
            </w:r>
          </w:p>
        </w:tc>
      </w:tr>
      <w:tr w:rsidR="008C5564">
        <w:tblPrEx>
          <w:tblCellMar>
            <w:top w:w="0" w:type="dxa"/>
            <w:bottom w:w="0" w:type="dxa"/>
          </w:tblCellMar>
        </w:tblPrEx>
        <w:tc>
          <w:tcPr>
            <w:tcW w:w="3240" w:type="dxa"/>
          </w:tcPr>
          <w:p w:rsidR="008C5564" w:rsidRDefault="008C5564" w:rsidP="008C5564">
            <w:pPr>
              <w:pStyle w:val="TableTextNumbers"/>
            </w:pPr>
            <w:r>
              <w:lastRenderedPageBreak/>
              <w:t xml:space="preserve">Select </w:t>
            </w:r>
            <w:r>
              <w:rPr>
                <w:b/>
              </w:rPr>
              <w:t xml:space="preserve">Print </w:t>
            </w:r>
            <w:r>
              <w:t xml:space="preserve">to print the report and exit, or click </w:t>
            </w:r>
            <w:r>
              <w:rPr>
                <w:b/>
              </w:rPr>
              <w:t>Close</w:t>
            </w:r>
            <w:r>
              <w:t xml:space="preserve"> to exit without printing.</w:t>
            </w:r>
            <w:r w:rsidRPr="00B93B42">
              <w:rPr>
                <w:rStyle w:val="StyleTableTextNumbersWhite1Char"/>
              </w:rPr>
              <w:t xml:space="preserve"> </w:t>
            </w:r>
            <w:r w:rsidRPr="008C5564">
              <w:rPr>
                <w:color w:val="FFFFFF"/>
              </w:rPr>
              <w:fldChar w:fldCharType="begin"/>
            </w:r>
            <w:r w:rsidRPr="008C5564">
              <w:rPr>
                <w:color w:val="FFFFFF"/>
              </w:rPr>
              <w:instrText xml:space="preserve"> LISTNUM \l 1 \s 0 </w:instrText>
            </w:r>
            <w:r w:rsidRPr="008C5564">
              <w:rPr>
                <w:color w:val="FFFFFF"/>
              </w:rPr>
              <w:fldChar w:fldCharType="end"/>
            </w:r>
          </w:p>
        </w:tc>
        <w:tc>
          <w:tcPr>
            <w:tcW w:w="6120" w:type="dxa"/>
          </w:tcPr>
          <w:p w:rsidR="008C5564" w:rsidRDefault="008C5564" w:rsidP="008C5564">
            <w:pPr>
              <w:pStyle w:val="TableTextBullet"/>
            </w:pPr>
            <w:r>
              <w:t>Prints the report on the selected printer.</w:t>
            </w:r>
          </w:p>
        </w:tc>
      </w:tr>
    </w:tbl>
    <w:p w:rsidR="00F55832" w:rsidRDefault="00F55832">
      <w:pPr>
        <w:pStyle w:val="Heading2"/>
      </w:pPr>
    </w:p>
    <w:p w:rsidR="002A21AE" w:rsidRDefault="00F55832">
      <w:pPr>
        <w:pStyle w:val="Heading2"/>
      </w:pPr>
      <w:r>
        <w:br w:type="page"/>
      </w:r>
      <w:bookmarkStart w:id="551" w:name="_Toc459900171"/>
      <w:r w:rsidR="002A21AE">
        <w:lastRenderedPageBreak/>
        <w:t>Exception Report</w:t>
      </w:r>
      <w:bookmarkEnd w:id="551"/>
      <w:r w:rsidR="002A21AE">
        <w:fldChar w:fldCharType="begin"/>
      </w:r>
      <w:r w:rsidR="002A21AE">
        <w:instrText xml:space="preserve"> XE </w:instrText>
      </w:r>
      <w:r w:rsidR="00FA7E65">
        <w:instrText>“</w:instrText>
      </w:r>
      <w:r w:rsidR="002A21AE">
        <w:instrText>Exception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UC_82</w:t>
      </w:r>
      <w:r w:rsidR="002A21AE">
        <w:rPr>
          <w:rStyle w:val="CommentReference"/>
          <w:b w:val="0"/>
          <w:vanish/>
        </w:rPr>
        <w:t xml:space="preserve"> </w:t>
      </w:r>
    </w:p>
    <w:p w:rsidR="002A21AE" w:rsidRDefault="002A21AE" w:rsidP="00FA7E65">
      <w:pPr>
        <w:pStyle w:val="BodyText"/>
      </w:pPr>
      <w:r>
        <w:t xml:space="preserve">The user views </w:t>
      </w:r>
      <w:r w:rsidR="00EB1E5A">
        <w:t xml:space="preserve">and/or </w:t>
      </w:r>
      <w:r>
        <w:t xml:space="preserve">prints an Exception Report. </w:t>
      </w:r>
    </w:p>
    <w:p w:rsidR="002A21AE" w:rsidRDefault="002A21AE">
      <w:pPr>
        <w:pStyle w:val="Heading4"/>
      </w:pPr>
      <w:r>
        <w:t>Assumptions</w:t>
      </w:r>
      <w:r>
        <w:rPr>
          <w:b w:val="0"/>
        </w:rPr>
        <w:t xml:space="preserve"> </w:t>
      </w:r>
    </w:p>
    <w:p w:rsidR="002A21AE" w:rsidRDefault="002A21AE">
      <w:pPr>
        <w:pStyle w:val="ListBullet"/>
      </w:pPr>
      <w:r>
        <w:t>Data are available for inclusion in the report.</w:t>
      </w:r>
    </w:p>
    <w:p w:rsidR="002A21AE" w:rsidRDefault="002A21AE">
      <w:pPr>
        <w:pStyle w:val="ListBullet"/>
      </w:pPr>
      <w:r>
        <w:t>The user must be logged into the division in which the report is to be generated.</w:t>
      </w:r>
    </w:p>
    <w:p w:rsidR="002A21AE" w:rsidRDefault="002A21AE">
      <w:pPr>
        <w:pStyle w:val="Heading4"/>
      </w:pPr>
      <w:r>
        <w:t xml:space="preserve">Outcome </w:t>
      </w:r>
    </w:p>
    <w:p w:rsidR="002A21AE" w:rsidRDefault="00AE521B">
      <w:pPr>
        <w:pStyle w:val="ListBullet"/>
      </w:pPr>
      <w:r>
        <w:t>The user views and/or prints the report</w:t>
      </w:r>
      <w:r w:rsidR="002A21AE">
        <w:t>.</w:t>
      </w:r>
    </w:p>
    <w:p w:rsidR="002A21AE" w:rsidRDefault="002A21AE">
      <w:pPr>
        <w:pStyle w:val="Heading4"/>
        <w:rPr>
          <w:b w:val="0"/>
        </w:rPr>
      </w:pPr>
      <w:r>
        <w:t>Limitations and Restrictions</w:t>
      </w:r>
      <w:r>
        <w:rPr>
          <w:b w:val="0"/>
        </w:rPr>
        <w:t xml:space="preserve"> </w:t>
      </w:r>
    </w:p>
    <w:p w:rsidR="002A21AE" w:rsidRDefault="00ED5339">
      <w:pPr>
        <w:pStyle w:val="ListBullet"/>
      </w:pPr>
      <w:r>
        <w:t xml:space="preserve">VBECS does not accommodate online review </w:t>
      </w:r>
      <w:r w:rsidR="006C1277">
        <w:t xml:space="preserve">(verification, signature) </w:t>
      </w:r>
      <w:r>
        <w:t>of reports.</w:t>
      </w:r>
    </w:p>
    <w:p w:rsidR="00C30F9C" w:rsidRDefault="00C30F9C">
      <w:pPr>
        <w:pStyle w:val="ListBullet"/>
      </w:pPr>
      <w:r>
        <w:t xml:space="preserve">Only the first twenty patient antigens will print on the report when an exception is generated for a unit issued with unsatisfied antigen negative requirements. </w:t>
      </w:r>
      <w:r w:rsidRPr="00C30F9C">
        <w:rPr>
          <w:vanish/>
        </w:rPr>
        <w:t>DR 4820</w:t>
      </w:r>
    </w:p>
    <w:p w:rsidR="002A21AE" w:rsidRDefault="002A21AE">
      <w:pPr>
        <w:pStyle w:val="Heading4"/>
      </w:pPr>
      <w:r>
        <w:t xml:space="preserve">Additional Information </w:t>
      </w:r>
    </w:p>
    <w:p w:rsidR="002A21AE" w:rsidRDefault="00DF389C">
      <w:pPr>
        <w:pStyle w:val="ListBullet"/>
      </w:pPr>
      <w:r>
        <w:t>A supervisor may use a</w:t>
      </w:r>
      <w:r w:rsidRPr="00DF389C">
        <w:t xml:space="preserve"> printed report</w:t>
      </w:r>
      <w:r>
        <w:t xml:space="preserve"> to document</w:t>
      </w:r>
      <w:r w:rsidRPr="00DF389C">
        <w:t xml:space="preserve"> the </w:t>
      </w:r>
      <w:r>
        <w:t>review</w:t>
      </w:r>
      <w:r w:rsidR="002A21AE">
        <w:t xml:space="preserve">. </w:t>
      </w:r>
    </w:p>
    <w:p w:rsidR="002A21AE" w:rsidRDefault="002A21AE">
      <w:pPr>
        <w:pStyle w:val="ListBullet"/>
      </w:pPr>
      <w:r>
        <w:t>Exception Report entries reflect the actual date and time an exception occurred.</w:t>
      </w:r>
    </w:p>
    <w:p w:rsidR="005E27C3" w:rsidRDefault="005E27C3">
      <w:pPr>
        <w:pStyle w:val="ListBullet"/>
      </w:pPr>
      <w:r>
        <w:t xml:space="preserve">Exception report entries associated with testing do not include additional information about method, manual or automated instrument. See the </w:t>
      </w:r>
      <w:r w:rsidRPr="00915EFD">
        <w:rPr>
          <w:i/>
        </w:rPr>
        <w:t>Testing Worklist Report , Patient History Report or Unit History Report</w:t>
      </w:r>
      <w:r>
        <w:t xml:space="preserve"> for test method information. </w:t>
      </w:r>
      <w:r w:rsidRPr="005E27C3">
        <w:rPr>
          <w:vanish/>
        </w:rPr>
        <w:t>UC_82</w:t>
      </w:r>
    </w:p>
    <w:p w:rsidR="0087596E" w:rsidRDefault="00497307">
      <w:pPr>
        <w:pStyle w:val="ListBullet"/>
      </w:pPr>
      <w:r>
        <w:t>Issue Blood Component exceptions that include the Testing Status field displays numeric values 0, 1,</w:t>
      </w:r>
      <w:r w:rsidR="00494357">
        <w:t xml:space="preserve"> 2 or 3. Those numbers represent</w:t>
      </w:r>
      <w:r>
        <w:t xml:space="preserve"> the unit’s disease marker testing</w:t>
      </w:r>
      <w:r w:rsidR="00494357">
        <w:t>.</w:t>
      </w:r>
    </w:p>
    <w:p w:rsidR="0087596E" w:rsidRDefault="0087596E" w:rsidP="002F6D7B">
      <w:pPr>
        <w:pStyle w:val="ListBullet"/>
        <w:numPr>
          <w:ilvl w:val="1"/>
          <w:numId w:val="15"/>
        </w:numPr>
      </w:pPr>
      <w:r>
        <w:t xml:space="preserve">(0) – </w:t>
      </w:r>
      <w:r w:rsidR="000876E5">
        <w:t>N/A</w:t>
      </w:r>
      <w:r>
        <w:t xml:space="preserve"> </w:t>
      </w:r>
      <w:r w:rsidR="00497307">
        <w:t>for non-autologous units</w:t>
      </w:r>
      <w:r w:rsidR="00756D8E">
        <w:t>,</w:t>
      </w:r>
    </w:p>
    <w:p w:rsidR="0087596E" w:rsidRDefault="0087596E" w:rsidP="002F6D7B">
      <w:pPr>
        <w:pStyle w:val="ListBullet"/>
        <w:numPr>
          <w:ilvl w:val="1"/>
          <w:numId w:val="15"/>
        </w:numPr>
      </w:pPr>
      <w:r>
        <w:t xml:space="preserve">(1) – </w:t>
      </w:r>
      <w:r w:rsidR="00497307">
        <w:t>NEG – Unit fully tested and negat</w:t>
      </w:r>
      <w:r>
        <w:t>ive for all disease markers</w:t>
      </w:r>
      <w:r w:rsidR="00756D8E">
        <w:t>,</w:t>
      </w:r>
    </w:p>
    <w:p w:rsidR="0087596E" w:rsidRDefault="0087596E" w:rsidP="002F6D7B">
      <w:pPr>
        <w:pStyle w:val="ListBullet"/>
        <w:numPr>
          <w:ilvl w:val="1"/>
          <w:numId w:val="15"/>
        </w:numPr>
      </w:pPr>
      <w:r>
        <w:t xml:space="preserve">(2) – </w:t>
      </w:r>
      <w:r w:rsidR="00497307">
        <w:t>POS – Unit tested and positive for one or more disease markers, Biohazard</w:t>
      </w:r>
      <w:r w:rsidR="00756D8E">
        <w:t>,</w:t>
      </w:r>
    </w:p>
    <w:p w:rsidR="00497307" w:rsidRDefault="0087596E" w:rsidP="002F6D7B">
      <w:pPr>
        <w:pStyle w:val="ListBullet"/>
        <w:numPr>
          <w:ilvl w:val="1"/>
          <w:numId w:val="15"/>
        </w:numPr>
      </w:pPr>
      <w:r>
        <w:t xml:space="preserve">(3) – </w:t>
      </w:r>
      <w:r w:rsidR="00497307">
        <w:t>NFT – Unit not fully tested for one or more disease</w:t>
      </w:r>
      <w:r w:rsidR="00756D8E">
        <w:t xml:space="preserve"> markers, Biohazard.</w:t>
      </w:r>
      <w:r>
        <w:t xml:space="preserve"> </w:t>
      </w:r>
      <w:r w:rsidRPr="00756D8E">
        <w:rPr>
          <w:vanish/>
        </w:rPr>
        <w:t>DR 4883</w:t>
      </w:r>
    </w:p>
    <w:p w:rsidR="002A21AE" w:rsidRDefault="002A21AE">
      <w:pPr>
        <w:pStyle w:val="Heading4"/>
        <w:rPr>
          <w:b w:val="0"/>
        </w:rPr>
      </w:pPr>
      <w:r>
        <w:t>User Roles with Access to This Option</w:t>
      </w:r>
      <w:r>
        <w:rPr>
          <w:b w:val="0"/>
        </w:rPr>
        <w:t xml:space="preserve"> </w:t>
      </w:r>
    </w:p>
    <w:p w:rsidR="002A21AE" w:rsidRDefault="00606FB0">
      <w:pPr>
        <w:pStyle w:val="Roles"/>
        <w:rPr>
          <w:snapToGrid w:val="0"/>
        </w:rPr>
      </w:pPr>
      <w:r>
        <w:t>All users</w:t>
      </w:r>
    </w:p>
    <w:p w:rsidR="002A21AE" w:rsidRDefault="002A21AE">
      <w:pPr>
        <w:pStyle w:val="Heading4"/>
      </w:pPr>
      <w:r>
        <w:t>Exception Report</w:t>
      </w:r>
    </w:p>
    <w:p w:rsidR="002A21AE" w:rsidRDefault="000054DE" w:rsidP="00FA7E65">
      <w:pPr>
        <w:pStyle w:val="BodyText"/>
      </w:pPr>
      <w:r>
        <w:t xml:space="preserve">The user views </w:t>
      </w:r>
      <w:r w:rsidR="00EB1E5A">
        <w:t xml:space="preserve">and/or </w:t>
      </w:r>
      <w:r>
        <w:t xml:space="preserve">prints an Exception Report. </w:t>
      </w:r>
      <w:r w:rsidR="002A21AE">
        <w:t xml:space="preserve">Exception Reports list details of transactions that involve overrides to warnings and selected transactions of interest to the supervisor (for example, quarantined units).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FFFFFF"/>
            <w:vAlign w:val="bottom"/>
          </w:tcPr>
          <w:p w:rsidR="002A21AE" w:rsidRDefault="002A21AE">
            <w:pPr>
              <w:pStyle w:val="TableText"/>
              <w:rPr>
                <w:b/>
              </w:rPr>
            </w:pPr>
            <w:r>
              <w:t>.</w:t>
            </w: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pPr>
              <w:pStyle w:val="TableTextNumbers"/>
            </w:pPr>
            <w:r>
              <w:t xml:space="preserve">Select </w:t>
            </w:r>
            <w:r>
              <w:rPr>
                <w:b/>
              </w:rPr>
              <w:t>Reports</w:t>
            </w:r>
            <w:r>
              <w:t xml:space="preserve"> from the main menu.</w:t>
            </w:r>
          </w:p>
          <w:p w:rsidR="002A21AE" w:rsidRDefault="002A21AE">
            <w:pPr>
              <w:pStyle w:val="TableTextNumbersContinued"/>
            </w:pPr>
          </w:p>
          <w:p w:rsidR="002A21AE" w:rsidRDefault="002A21AE">
            <w:pPr>
              <w:pStyle w:val="TableTextNumbersContinued"/>
            </w:pPr>
            <w:r>
              <w:t xml:space="preserve">Select </w:t>
            </w:r>
            <w:r>
              <w:rPr>
                <w:b/>
              </w:rPr>
              <w:t>Exception Report</w:t>
            </w:r>
            <w:r>
              <w:t>.</w:t>
            </w:r>
          </w:p>
        </w:tc>
        <w:tc>
          <w:tcPr>
            <w:tcW w:w="6120" w:type="dxa"/>
          </w:tcPr>
          <w:p w:rsidR="002A21AE" w:rsidRDefault="002A21AE">
            <w:pPr>
              <w:pStyle w:val="TableTextBullet"/>
            </w:pPr>
            <w:r>
              <w:t>Lists report names.</w:t>
            </w:r>
          </w:p>
          <w:p w:rsidR="002A21AE" w:rsidRDefault="002A21AE">
            <w:pPr>
              <w:pStyle w:val="TableTextBullet"/>
            </w:pPr>
            <w:r>
              <w:t xml:space="preserve">Displays report compilation criteria. </w:t>
            </w:r>
          </w:p>
          <w:p w:rsidR="002A21AE" w:rsidRDefault="002A21AE">
            <w:pPr>
              <w:pStyle w:val="TableTextBullet"/>
            </w:pPr>
            <w:r>
              <w:t>Displays a date range for selection.</w:t>
            </w:r>
          </w:p>
        </w:tc>
      </w:tr>
      <w:tr w:rsidR="002A21AE">
        <w:tblPrEx>
          <w:tblCellMar>
            <w:top w:w="0" w:type="dxa"/>
            <w:bottom w:w="0" w:type="dxa"/>
          </w:tblCellMar>
        </w:tblPrEx>
        <w:tc>
          <w:tcPr>
            <w:tcW w:w="3240" w:type="dxa"/>
          </w:tcPr>
          <w:p w:rsidR="002A21AE" w:rsidRDefault="002A21AE">
            <w:pPr>
              <w:pStyle w:val="TableTextNumbers"/>
            </w:pPr>
            <w:r>
              <w:t>Enter or select start and end dates.</w:t>
            </w:r>
          </w:p>
        </w:tc>
        <w:tc>
          <w:tcPr>
            <w:tcW w:w="6120" w:type="dxa"/>
          </w:tcPr>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3315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290" name="Line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7"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Bi5FQ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MRM&#10;GLk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BR_82.01 </w:t>
            </w:r>
            <w:r>
              <w:t>The report is sorted by exception type. Exception types are in chronological order.</w:t>
            </w:r>
          </w:p>
        </w:tc>
      </w:tr>
      <w:tr w:rsidR="002A21AE">
        <w:tblPrEx>
          <w:tblCellMar>
            <w:top w:w="0" w:type="dxa"/>
            <w:bottom w:w="0" w:type="dxa"/>
          </w:tblCellMar>
        </w:tblPrEx>
        <w:tc>
          <w:tcPr>
            <w:tcW w:w="3240" w:type="dxa"/>
          </w:tcPr>
          <w:p w:rsidR="002A21AE" w:rsidRDefault="002A21AE">
            <w:pPr>
              <w:pStyle w:val="TableTextNumbers"/>
            </w:pPr>
            <w:r>
              <w:t xml:space="preserve">In the Report Compilation area, click the </w:t>
            </w:r>
            <w:r>
              <w:rPr>
                <w:b/>
              </w:rPr>
              <w:t>Create Report Now</w:t>
            </w:r>
            <w:r>
              <w:t xml:space="preserve"> </w:t>
            </w:r>
            <w:r w:rsidRPr="00BF2E41">
              <w:lastRenderedPageBreak/>
              <w:t>radio button</w:t>
            </w:r>
            <w:r>
              <w:t xml:space="preserve">. Click </w:t>
            </w:r>
            <w:r>
              <w:rPr>
                <w:b/>
              </w:rPr>
              <w:t>OK</w:t>
            </w:r>
            <w:r>
              <w:t xml:space="preserve"> to view the report, or</w:t>
            </w:r>
          </w:p>
          <w:p w:rsidR="002A21AE" w:rsidRDefault="002A21AE">
            <w:pPr>
              <w:pStyle w:val="TableTextNumbersContinued"/>
            </w:pPr>
          </w:p>
          <w:p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rsidR="005B6A94" w:rsidRDefault="00F64B5C" w:rsidP="00AA2B2E">
            <w:pPr>
              <w:pStyle w:val="TableTextBullet"/>
            </w:pPr>
            <w:r>
              <w:lastRenderedPageBreak/>
              <w:t>Compiles and displays the report.</w:t>
            </w:r>
          </w:p>
        </w:tc>
      </w:tr>
      <w:tr w:rsidR="002A21AE" w:rsidTr="000518ED">
        <w:tblPrEx>
          <w:tblCellMar>
            <w:top w:w="0" w:type="dxa"/>
            <w:bottom w:w="0" w:type="dxa"/>
          </w:tblCellMar>
        </w:tblPrEx>
        <w:trPr>
          <w:trHeight w:val="467"/>
        </w:trPr>
        <w:tc>
          <w:tcPr>
            <w:tcW w:w="3240" w:type="dxa"/>
          </w:tcPr>
          <w:p w:rsidR="002A21AE" w:rsidRDefault="002A21AE">
            <w:pPr>
              <w:pStyle w:val="TableTextNumbers"/>
            </w:pPr>
            <w:r>
              <w:lastRenderedPageBreak/>
              <w:t xml:space="preserve">Select </w:t>
            </w:r>
            <w:r>
              <w:rPr>
                <w:b/>
              </w:rPr>
              <w:t xml:space="preserve">Print </w:t>
            </w:r>
            <w:r>
              <w:t xml:space="preserve">to print the report and exit, or click </w:t>
            </w:r>
            <w:r>
              <w:rPr>
                <w:b/>
              </w:rPr>
              <w:t>Close</w:t>
            </w:r>
            <w:r>
              <w:t xml:space="preserve"> to exit without printing.</w:t>
            </w:r>
            <w:r w:rsidRPr="00B93B42">
              <w:rPr>
                <w:rStyle w:val="StyleTableTextNumbersWhite1Char"/>
              </w:rP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rsidR="002A21AE" w:rsidRDefault="002A21AE">
            <w:pPr>
              <w:pStyle w:val="TableTextBullet"/>
            </w:pPr>
            <w:r>
              <w:t xml:space="preserve">Prints the report on the selected printer. </w:t>
            </w:r>
          </w:p>
          <w:p w:rsidR="002A21AE" w:rsidRDefault="002A21AE">
            <w:pPr>
              <w:pStyle w:val="TableTextBullet"/>
            </w:pPr>
            <w:r>
              <w:t xml:space="preserve">See </w:t>
            </w:r>
            <w:r w:rsidR="00543DAF">
              <w:fldChar w:fldCharType="begin"/>
            </w:r>
            <w:r w:rsidR="00543DAF">
              <w:instrText xml:space="preserve"> REF _Ref170004931 \h </w:instrText>
            </w:r>
            <w:r w:rsidR="00543DAF">
              <w:fldChar w:fldCharType="separate"/>
            </w:r>
            <w:r w:rsidR="005F38BC">
              <w:t xml:space="preserve">Appendix </w:t>
            </w:r>
            <w:r w:rsidR="005F38BC">
              <w:rPr>
                <w:noProof/>
              </w:rPr>
              <w:t>B</w:t>
            </w:r>
            <w:r w:rsidR="00543DAF">
              <w:fldChar w:fldCharType="end"/>
            </w:r>
            <w:r>
              <w:t xml:space="preserve">: </w:t>
            </w:r>
            <w:r w:rsidR="00AE2DC1">
              <w:fldChar w:fldCharType="begin"/>
            </w:r>
            <w:r w:rsidR="00AE2DC1">
              <w:instrText xml:space="preserve"> REF _Ref126504543 \h </w:instrText>
            </w:r>
            <w:r w:rsidR="00AE2DC1">
              <w:fldChar w:fldCharType="separate"/>
            </w:r>
            <w:r w:rsidR="005F38BC">
              <w:t xml:space="preserve">Table </w:t>
            </w:r>
            <w:r w:rsidR="005F38BC">
              <w:rPr>
                <w:noProof/>
              </w:rPr>
              <w:t>20</w:t>
            </w:r>
            <w:r w:rsidR="005F38BC">
              <w:t xml:space="preserve">: </w:t>
            </w:r>
            <w:r w:rsidR="005F38BC">
              <w:rPr>
                <w:vanish/>
              </w:rPr>
              <w:t xml:space="preserve">TT_82.01 </w:t>
            </w:r>
            <w:r w:rsidR="005F38BC">
              <w:t>Details in Exception Report</w:t>
            </w:r>
            <w:r w:rsidR="00AE2DC1">
              <w:fldChar w:fldCharType="end"/>
            </w:r>
            <w:r>
              <w:t>.</w:t>
            </w:r>
          </w:p>
        </w:tc>
      </w:tr>
    </w:tbl>
    <w:p w:rsidR="000518ED" w:rsidRDefault="000518ED" w:rsidP="00C400F4">
      <w:pPr>
        <w:pStyle w:val="Heading2"/>
      </w:pPr>
    </w:p>
    <w:p w:rsidR="00C400F4" w:rsidRPr="00C400F4" w:rsidRDefault="000518ED" w:rsidP="000518ED">
      <w:pPr>
        <w:pStyle w:val="Heading2"/>
      </w:pPr>
      <w:r>
        <w:br w:type="page"/>
      </w:r>
      <w:bookmarkStart w:id="552" w:name="_Toc459900172"/>
      <w:r w:rsidR="00C400F4">
        <w:lastRenderedPageBreak/>
        <w:t xml:space="preserve">Finalize/Print TRW </w:t>
      </w:r>
      <w:r w:rsidR="00C400F4" w:rsidRPr="00C400F4">
        <w:rPr>
          <w:rFonts w:ascii="Arial Bold" w:hAnsi="Arial Bold"/>
          <w:vanish/>
        </w:rPr>
        <w:t>UC_96</w:t>
      </w:r>
      <w:r w:rsidR="00C400F4">
        <w:rPr>
          <w:rFonts w:ascii="Arial Bold" w:hAnsi="Arial Bold"/>
          <w:vanish/>
        </w:rPr>
        <w:t xml:space="preserve"> </w:t>
      </w:r>
      <w:r w:rsidR="00BA595C">
        <w:t>(S</w:t>
      </w:r>
      <w:r w:rsidR="00C400F4">
        <w:t>ee Patient Services</w:t>
      </w:r>
      <w:r w:rsidR="00BC05B4">
        <w:t>, Finalize/Print TRW</w:t>
      </w:r>
      <w:r w:rsidR="00C400F4">
        <w:t>)</w:t>
      </w:r>
      <w:bookmarkEnd w:id="552"/>
    </w:p>
    <w:p w:rsidR="002A21AE" w:rsidRDefault="002A21AE">
      <w:pPr>
        <w:pStyle w:val="Heading2"/>
      </w:pPr>
      <w:bookmarkStart w:id="553" w:name="_Toc459900173"/>
      <w:r>
        <w:t>Inappropriate Transfusion Request Report</w:t>
      </w:r>
      <w:bookmarkEnd w:id="553"/>
      <w:r>
        <w:fldChar w:fldCharType="begin"/>
      </w:r>
      <w:r>
        <w:instrText xml:space="preserve"> XE </w:instrText>
      </w:r>
      <w:r w:rsidR="00FA7E65">
        <w:instrText>“</w:instrText>
      </w:r>
      <w:r>
        <w:instrText>Inappropriate Transfusion Request Report</w:instrText>
      </w:r>
      <w:r w:rsidR="00FA7E65">
        <w:instrText>”</w:instrText>
      </w:r>
      <w:r>
        <w:instrText xml:space="preserve"> </w:instrText>
      </w:r>
      <w:r>
        <w:fldChar w:fldCharType="end"/>
      </w:r>
      <w:r>
        <w:t xml:space="preserve"> </w:t>
      </w:r>
      <w:r>
        <w:rPr>
          <w:rFonts w:ascii="Times New Roman" w:hAnsi="Times New Roman" w:cs="Times New Roman"/>
          <w:b w:val="0"/>
          <w:i w:val="0"/>
          <w:vanish/>
          <w:sz w:val="22"/>
        </w:rPr>
        <w:t>UC_96</w:t>
      </w:r>
    </w:p>
    <w:p w:rsidR="002A21AE" w:rsidRDefault="002A21AE" w:rsidP="00FA7E65">
      <w:pPr>
        <w:pStyle w:val="BodyText"/>
      </w:pPr>
      <w:r>
        <w:t xml:space="preserve">The user views </w:t>
      </w:r>
      <w:r w:rsidR="00EB1E5A">
        <w:t xml:space="preserve">and/or </w:t>
      </w:r>
      <w:r>
        <w:t>prints the Inappropriate Transfusion Request Report.</w:t>
      </w:r>
    </w:p>
    <w:p w:rsidR="002A21AE" w:rsidRDefault="002A21AE">
      <w:pPr>
        <w:pStyle w:val="Heading4"/>
      </w:pPr>
      <w:r>
        <w:t>Assumptions</w:t>
      </w:r>
      <w:r>
        <w:rPr>
          <w:b w:val="0"/>
        </w:rPr>
        <w:t xml:space="preserve"> </w:t>
      </w:r>
    </w:p>
    <w:p w:rsidR="002A21AE" w:rsidRDefault="002A21AE">
      <w:pPr>
        <w:pStyle w:val="ListBullet"/>
      </w:pPr>
      <w:r>
        <w:t xml:space="preserve">The order is flagged as an inappropriate transfusion request during Accepting an Order. </w:t>
      </w:r>
    </w:p>
    <w:p w:rsidR="002A21AE" w:rsidRDefault="002A21AE">
      <w:pPr>
        <w:pStyle w:val="ListBullet"/>
      </w:pPr>
      <w:r>
        <w:t>Setting Component Requirements was processed and there are inappropriate test indicators associated with the component classes in the login division.</w:t>
      </w:r>
    </w:p>
    <w:p w:rsidR="002A21AE" w:rsidRDefault="002A21AE">
      <w:pPr>
        <w:pStyle w:val="ListBullet"/>
      </w:pPr>
      <w:r>
        <w:t>Data for the report were saved in VBECS.</w:t>
      </w:r>
    </w:p>
    <w:p w:rsidR="002A21AE" w:rsidRDefault="002A21AE">
      <w:pPr>
        <w:pStyle w:val="Heading4"/>
      </w:pPr>
      <w:r>
        <w:t xml:space="preserve">Outcome </w:t>
      </w:r>
    </w:p>
    <w:p w:rsidR="002A21AE" w:rsidRDefault="002A21AE">
      <w:pPr>
        <w:pStyle w:val="ListBullet"/>
      </w:pPr>
      <w:r>
        <w:t>The user view or prints the report.</w:t>
      </w:r>
    </w:p>
    <w:p w:rsidR="002A21AE" w:rsidRDefault="002A21AE">
      <w:pPr>
        <w:pStyle w:val="Heading4"/>
        <w:rPr>
          <w:b w:val="0"/>
        </w:rPr>
      </w:pPr>
      <w:r>
        <w:t>Limitations and Restrictions</w:t>
      </w:r>
      <w:r>
        <w:rPr>
          <w:b w:val="0"/>
        </w:rPr>
        <w:t xml:space="preserve"> </w:t>
      </w:r>
    </w:p>
    <w:p w:rsidR="002A21AE" w:rsidRDefault="002A21AE">
      <w:pPr>
        <w:pStyle w:val="ListBullet"/>
      </w:pPr>
      <w:r>
        <w:t>None</w:t>
      </w:r>
    </w:p>
    <w:p w:rsidR="002A21AE" w:rsidRDefault="002A21AE">
      <w:pPr>
        <w:pStyle w:val="Heading4"/>
      </w:pPr>
      <w:r>
        <w:t xml:space="preserve">Additional Information </w:t>
      </w:r>
    </w:p>
    <w:p w:rsidR="002A21AE" w:rsidRDefault="002A21AE">
      <w:pPr>
        <w:pStyle w:val="ListBullet"/>
      </w:pPr>
      <w:r>
        <w:t>None</w:t>
      </w:r>
    </w:p>
    <w:p w:rsidR="002A21AE" w:rsidRDefault="002A21AE">
      <w:pPr>
        <w:pStyle w:val="Heading4"/>
        <w:rPr>
          <w:b w:val="0"/>
        </w:rPr>
      </w:pPr>
      <w:r>
        <w:t>User Roles with Access to This Option</w:t>
      </w:r>
      <w:r>
        <w:rPr>
          <w:b w:val="0"/>
        </w:rPr>
        <w:t xml:space="preserve"> </w:t>
      </w:r>
    </w:p>
    <w:p w:rsidR="002A21AE" w:rsidRDefault="00184EA4">
      <w:pPr>
        <w:pStyle w:val="Roles"/>
      </w:pPr>
      <w:r>
        <w:t>All users</w:t>
      </w:r>
    </w:p>
    <w:p w:rsidR="002A21AE" w:rsidRDefault="002A21AE">
      <w:pPr>
        <w:pStyle w:val="Heading4"/>
      </w:pPr>
      <w:r>
        <w:t xml:space="preserve">Inappropriate Transfusion Request Report </w:t>
      </w:r>
    </w:p>
    <w:p w:rsidR="002A21AE" w:rsidRDefault="002A21AE" w:rsidP="00FA7E65">
      <w:pPr>
        <w:pStyle w:val="BodyText"/>
      </w:pPr>
      <w:r>
        <w:t xml:space="preserve">The user views </w:t>
      </w:r>
      <w:r w:rsidR="00EB1E5A">
        <w:t xml:space="preserve">and/or </w:t>
      </w:r>
      <w:r>
        <w:t>prints the Inappropriate Transfusion Request Report</w:t>
      </w:r>
      <w:r w:rsidR="000054DE">
        <w:t>,</w:t>
      </w:r>
      <w:r w:rsidR="000054DE" w:rsidRPr="000054DE">
        <w:t xml:space="preserve"> </w:t>
      </w:r>
      <w:r w:rsidR="000054DE">
        <w:t>which includes inappropriate transfusion orders determined by the division’s configuration of each component class</w:t>
      </w:r>
      <w: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FFFFFF"/>
            <w:vAlign w:val="bottom"/>
          </w:tcPr>
          <w:p w:rsidR="002A21AE" w:rsidRDefault="002A21AE">
            <w:pPr>
              <w:pStyle w:val="TableText"/>
              <w:rPr>
                <w:b/>
              </w:rPr>
            </w:pPr>
            <w:bookmarkStart w:id="554" w:name="_Toc43285442"/>
            <w:bookmarkStart w:id="555" w:name="_Toc71363876"/>
            <w:bookmarkStart w:id="556" w:name="_Toc74366719"/>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pPr>
              <w:pStyle w:val="TableTextNumbers"/>
            </w:pPr>
            <w:r>
              <w:t xml:space="preserve">Select </w:t>
            </w:r>
            <w:r>
              <w:rPr>
                <w:b/>
              </w:rPr>
              <w:t>Reports</w:t>
            </w:r>
            <w:r>
              <w:t xml:space="preserve"> from the main menu.</w:t>
            </w:r>
          </w:p>
          <w:p w:rsidR="002A21AE" w:rsidRDefault="002A21AE">
            <w:pPr>
              <w:pStyle w:val="TableTextNumbersContinued"/>
            </w:pPr>
          </w:p>
          <w:p w:rsidR="002A21AE" w:rsidRDefault="002A21AE">
            <w:pPr>
              <w:pStyle w:val="TableTextNumbersContinued"/>
            </w:pPr>
            <w:r>
              <w:t xml:space="preserve">Select </w:t>
            </w:r>
            <w:r>
              <w:rPr>
                <w:b/>
              </w:rPr>
              <w:t>Inappropriate Transfusion Request Report</w:t>
            </w:r>
            <w:r>
              <w:t>.</w:t>
            </w:r>
          </w:p>
        </w:tc>
        <w:tc>
          <w:tcPr>
            <w:tcW w:w="6120" w:type="dxa"/>
          </w:tcPr>
          <w:p w:rsidR="002A21AE" w:rsidRDefault="002A21AE">
            <w:pPr>
              <w:pStyle w:val="TableTextBullet"/>
            </w:pPr>
            <w:r>
              <w:t>Lists report names.</w:t>
            </w:r>
          </w:p>
          <w:p w:rsidR="002A21AE" w:rsidRDefault="002A21AE">
            <w:pPr>
              <w:pStyle w:val="TableTextBullet"/>
            </w:pPr>
            <w:r>
              <w:t xml:space="preserve">Displays report compilation criteria. </w:t>
            </w:r>
          </w:p>
          <w:p w:rsidR="002A21AE" w:rsidRDefault="002A21AE">
            <w:pPr>
              <w:pStyle w:val="TableTextBullet"/>
            </w:pPr>
            <w:r>
              <w:t>Displays a date range for selection.</w:t>
            </w:r>
          </w:p>
        </w:tc>
      </w:tr>
      <w:tr w:rsidR="002A21AE">
        <w:tblPrEx>
          <w:tblCellMar>
            <w:top w:w="0" w:type="dxa"/>
            <w:bottom w:w="0" w:type="dxa"/>
          </w:tblCellMar>
        </w:tblPrEx>
        <w:tc>
          <w:tcPr>
            <w:tcW w:w="3240" w:type="dxa"/>
          </w:tcPr>
          <w:p w:rsidR="002A21AE" w:rsidRDefault="002A21AE">
            <w:pPr>
              <w:pStyle w:val="TableTextNumbers"/>
            </w:pPr>
            <w:r>
              <w:t>Enter or select start and end dates.</w:t>
            </w:r>
          </w:p>
        </w:tc>
        <w:tc>
          <w:tcPr>
            <w:tcW w:w="6120" w:type="dxa"/>
          </w:tcPr>
          <w:p w:rsidR="002A21AE" w:rsidRDefault="002A21AE">
            <w:pPr>
              <w:pStyle w:val="TableTextBullet"/>
            </w:pPr>
            <w:r>
              <w:t xml:space="preserve">Compiles and displays the report. </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9152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289" name="Line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8"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AtFQIAAC0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E7D&#10;IC0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r>
              <w:t xml:space="preserve"> </w:t>
            </w:r>
          </w:p>
          <w:p w:rsidR="002A21AE" w:rsidRDefault="002A21AE">
            <w:pPr>
              <w:pStyle w:val="NotesText"/>
            </w:pPr>
            <w:r>
              <w:t xml:space="preserve">See </w:t>
            </w:r>
            <w:r w:rsidR="00543DAF">
              <w:fldChar w:fldCharType="begin"/>
            </w:r>
            <w:r w:rsidR="00543DAF">
              <w:instrText xml:space="preserve"> REF _Ref170004931 \h </w:instrText>
            </w:r>
            <w:r w:rsidR="00543DAF">
              <w:fldChar w:fldCharType="separate"/>
            </w:r>
            <w:r w:rsidR="005F38BC">
              <w:t xml:space="preserve">Appendix </w:t>
            </w:r>
            <w:r w:rsidR="005F38BC">
              <w:rPr>
                <w:noProof/>
              </w:rPr>
              <w:t>B</w:t>
            </w:r>
            <w:r w:rsidR="00543DAF">
              <w:fldChar w:fldCharType="end"/>
            </w:r>
            <w:r>
              <w:t xml:space="preserve">: </w:t>
            </w:r>
            <w:r w:rsidR="00AE2DC1">
              <w:fldChar w:fldCharType="begin"/>
            </w:r>
            <w:r w:rsidR="00AE2DC1">
              <w:instrText xml:space="preserve"> REF _Ref126504562 \h </w:instrText>
            </w:r>
            <w:r w:rsidR="00AE2DC1">
              <w:fldChar w:fldCharType="separate"/>
            </w:r>
            <w:r w:rsidR="005F38BC">
              <w:t xml:space="preserve">Table </w:t>
            </w:r>
            <w:r w:rsidR="005F38BC">
              <w:rPr>
                <w:noProof/>
              </w:rPr>
              <w:t>23</w:t>
            </w:r>
            <w:r w:rsidR="005F38BC">
              <w:t xml:space="preserve">: </w:t>
            </w:r>
            <w:r w:rsidR="005F38BC">
              <w:rPr>
                <w:vanish/>
              </w:rPr>
              <w:t xml:space="preserve">PT_105.01 </w:t>
            </w:r>
            <w:r w:rsidR="005F38BC">
              <w:t>National Treating Specialty Table</w:t>
            </w:r>
            <w:r w:rsidR="00AE2DC1">
              <w:fldChar w:fldCharType="end"/>
            </w:r>
            <w:r>
              <w:t>.</w:t>
            </w:r>
          </w:p>
        </w:tc>
      </w:tr>
      <w:tr w:rsidR="002A21AE">
        <w:tblPrEx>
          <w:tblCellMar>
            <w:top w:w="0" w:type="dxa"/>
            <w:bottom w:w="0" w:type="dxa"/>
          </w:tblCellMar>
        </w:tblPrEx>
        <w:tc>
          <w:tcPr>
            <w:tcW w:w="3240" w:type="dxa"/>
          </w:tcPr>
          <w:p w:rsidR="002A21AE" w:rsidRDefault="002A21AE">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rsidR="002A21AE" w:rsidRDefault="002A21AE">
            <w:pPr>
              <w:pStyle w:val="TableTextNumbersContinued"/>
            </w:pPr>
          </w:p>
          <w:p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rsidR="005B6A94" w:rsidRDefault="00F64B5C" w:rsidP="00AA2B2E">
            <w:pPr>
              <w:pStyle w:val="TableTextBullet"/>
            </w:pPr>
            <w:r>
              <w:t>Compiles and displays the report.</w:t>
            </w:r>
          </w:p>
        </w:tc>
      </w:tr>
      <w:tr w:rsidR="002A21AE">
        <w:tblPrEx>
          <w:tblCellMar>
            <w:top w:w="0" w:type="dxa"/>
            <w:bottom w:w="0" w:type="dxa"/>
          </w:tblCellMar>
        </w:tblPrEx>
        <w:tc>
          <w:tcPr>
            <w:tcW w:w="3240" w:type="dxa"/>
          </w:tcPr>
          <w:p w:rsidR="002A21AE" w:rsidRDefault="002A21AE">
            <w:pPr>
              <w:pStyle w:val="TableTextNumbers"/>
            </w:pPr>
            <w:r>
              <w:t xml:space="preserve">Select </w:t>
            </w:r>
            <w:r>
              <w:rPr>
                <w:b/>
              </w:rPr>
              <w:t xml:space="preserve">Print </w:t>
            </w:r>
            <w:r>
              <w:t xml:space="preserve">to print the report and exit, or click </w:t>
            </w:r>
            <w:r>
              <w:rPr>
                <w:b/>
              </w:rPr>
              <w:t>Close</w:t>
            </w:r>
            <w:r>
              <w:t xml:space="preserve"> to exit without </w:t>
            </w:r>
            <w:r>
              <w:lastRenderedPageBreak/>
              <w:t>printing.</w:t>
            </w:r>
            <w:r w:rsidRPr="00B93B42">
              <w:rPr>
                <w:rStyle w:val="StyleTableTextNumbersWhite1Char"/>
              </w:rPr>
              <w:t xml:space="preserve"> </w:t>
            </w:r>
            <w:r w:rsidRPr="009660C3">
              <w:rPr>
                <w:vanish/>
                <w:szCs w:val="18"/>
              </w:rPr>
              <w:fldChar w:fldCharType="begin"/>
            </w:r>
            <w:r w:rsidRPr="009660C3">
              <w:rPr>
                <w:vanish/>
                <w:szCs w:val="18"/>
              </w:rPr>
              <w:instrText xml:space="preserve"> LISTNUM \l 1 \s 0 </w:instrText>
            </w:r>
            <w:r w:rsidRPr="009660C3">
              <w:rPr>
                <w:vanish/>
                <w:szCs w:val="18"/>
              </w:rPr>
              <w:fldChar w:fldCharType="end"/>
            </w:r>
          </w:p>
        </w:tc>
        <w:tc>
          <w:tcPr>
            <w:tcW w:w="6120" w:type="dxa"/>
          </w:tcPr>
          <w:p w:rsidR="002A21AE" w:rsidRDefault="002A21AE" w:rsidP="000C0757">
            <w:pPr>
              <w:pStyle w:val="TableTextBullet"/>
            </w:pPr>
            <w:r>
              <w:lastRenderedPageBreak/>
              <w:t>Prints the report on the selected printer.</w:t>
            </w:r>
          </w:p>
        </w:tc>
      </w:tr>
      <w:bookmarkEnd w:id="554"/>
      <w:bookmarkEnd w:id="555"/>
      <w:bookmarkEnd w:id="556"/>
    </w:tbl>
    <w:p w:rsidR="002A21AE" w:rsidRDefault="002A21AE">
      <w:pPr>
        <w:pStyle w:val="BodyText"/>
      </w:pPr>
    </w:p>
    <w:p w:rsidR="002A21AE" w:rsidRDefault="002A21AE">
      <w:pPr>
        <w:pStyle w:val="Heading2"/>
      </w:pPr>
      <w:r>
        <w:br w:type="page"/>
      </w:r>
      <w:bookmarkStart w:id="557" w:name="_Toc459900174"/>
      <w:r>
        <w:lastRenderedPageBreak/>
        <w:t>Issued/Returned Unit Report</w:t>
      </w:r>
      <w:bookmarkEnd w:id="557"/>
      <w:r>
        <w:fldChar w:fldCharType="begin"/>
      </w:r>
      <w:r>
        <w:instrText xml:space="preserve"> XE </w:instrText>
      </w:r>
      <w:r w:rsidR="00FA7E65">
        <w:instrText>“</w:instrText>
      </w:r>
      <w:r>
        <w:instrText>Issued/Returned Unit Report</w:instrText>
      </w:r>
      <w:r w:rsidR="00FA7E65">
        <w:instrText>”</w:instrText>
      </w:r>
      <w:r>
        <w:instrText xml:space="preserve"> </w:instrText>
      </w:r>
      <w:r>
        <w:fldChar w:fldCharType="end"/>
      </w:r>
      <w:r>
        <w:t xml:space="preserve"> </w:t>
      </w:r>
      <w:r>
        <w:rPr>
          <w:rFonts w:ascii="Times New Roman" w:hAnsi="Times New Roman" w:cs="Times New Roman"/>
          <w:b w:val="0"/>
          <w:i w:val="0"/>
          <w:vanish/>
          <w:sz w:val="22"/>
        </w:rPr>
        <w:t>UC_76</w:t>
      </w:r>
    </w:p>
    <w:p w:rsidR="002A21AE" w:rsidRDefault="002A21AE" w:rsidP="00FA7E65">
      <w:pPr>
        <w:pStyle w:val="BodyText"/>
      </w:pPr>
      <w:r>
        <w:t xml:space="preserve">The user views </w:t>
      </w:r>
      <w:r w:rsidR="00EB1E5A">
        <w:t xml:space="preserve">and/or </w:t>
      </w:r>
      <w:r>
        <w:t xml:space="preserve">prints the Issued/Returned Unit Report. </w:t>
      </w:r>
    </w:p>
    <w:p w:rsidR="002A21AE" w:rsidRDefault="002A21AE">
      <w:pPr>
        <w:pStyle w:val="Heading4"/>
      </w:pPr>
      <w:r>
        <w:t>Assumptions</w:t>
      </w:r>
      <w:r>
        <w:rPr>
          <w:b w:val="0"/>
        </w:rPr>
        <w:t xml:space="preserve"> </w:t>
      </w:r>
    </w:p>
    <w:p w:rsidR="002A21AE" w:rsidRDefault="002A21AE">
      <w:pPr>
        <w:pStyle w:val="ListBullet"/>
      </w:pPr>
      <w:r>
        <w:t>Data for the report were saved in the VBECS database.</w:t>
      </w:r>
    </w:p>
    <w:p w:rsidR="002A21AE" w:rsidRDefault="002A21AE">
      <w:pPr>
        <w:pStyle w:val="Heading4"/>
      </w:pPr>
      <w:r>
        <w:t xml:space="preserve">Outcome </w:t>
      </w:r>
    </w:p>
    <w:p w:rsidR="002A21AE" w:rsidRDefault="00AE521B">
      <w:pPr>
        <w:pStyle w:val="ListBullet"/>
      </w:pPr>
      <w:r>
        <w:t>The user views and/or prints the report</w:t>
      </w:r>
      <w:r w:rsidR="002A21AE">
        <w:t xml:space="preserve">. </w:t>
      </w:r>
    </w:p>
    <w:p w:rsidR="002A21AE" w:rsidRDefault="002A21AE">
      <w:pPr>
        <w:pStyle w:val="Heading4"/>
        <w:rPr>
          <w:b w:val="0"/>
        </w:rPr>
      </w:pPr>
      <w:r>
        <w:t>Limitations and Restrictions</w:t>
      </w:r>
      <w:r>
        <w:rPr>
          <w:b w:val="0"/>
        </w:rPr>
        <w:t xml:space="preserve"> </w:t>
      </w:r>
    </w:p>
    <w:p w:rsidR="002A21AE" w:rsidRDefault="002A21AE">
      <w:pPr>
        <w:pStyle w:val="ListBullet"/>
      </w:pPr>
      <w:r>
        <w:t>None</w:t>
      </w:r>
    </w:p>
    <w:p w:rsidR="002A21AE" w:rsidRDefault="002A21AE">
      <w:pPr>
        <w:pStyle w:val="Heading4"/>
      </w:pPr>
      <w:r>
        <w:t xml:space="preserve">Additional Information </w:t>
      </w:r>
    </w:p>
    <w:p w:rsidR="002A21AE" w:rsidRDefault="002A21AE">
      <w:pPr>
        <w:pStyle w:val="ListBullet"/>
      </w:pPr>
      <w:r>
        <w:t>The report is compiled for one division.</w:t>
      </w:r>
    </w:p>
    <w:p w:rsidR="002A21AE" w:rsidRDefault="002A21AE">
      <w:pPr>
        <w:pStyle w:val="ListBullet"/>
      </w:pPr>
      <w:r>
        <w:rPr>
          <w:rFonts w:ascii="Arial" w:hAnsi="Arial" w:cs="Arial"/>
          <w:vanish/>
          <w:spacing w:val="0"/>
          <w:sz w:val="18"/>
        </w:rPr>
        <w:t xml:space="preserve">BR_76.04 </w:t>
      </w:r>
      <w:r>
        <w:t>Pooled units include the number of participants in the pool.</w:t>
      </w:r>
    </w:p>
    <w:p w:rsidR="002A21AE" w:rsidRDefault="002A21AE">
      <w:pPr>
        <w:pStyle w:val="Heading4"/>
      </w:pPr>
      <w:r>
        <w:t xml:space="preserve">User Roles with Access to This Option </w:t>
      </w:r>
    </w:p>
    <w:p w:rsidR="002A21AE" w:rsidRDefault="00184EA4">
      <w:pPr>
        <w:pStyle w:val="Roles"/>
      </w:pPr>
      <w:r>
        <w:t>All users</w:t>
      </w:r>
    </w:p>
    <w:p w:rsidR="002A21AE" w:rsidRDefault="002A21AE">
      <w:pPr>
        <w:pStyle w:val="Heading4"/>
      </w:pPr>
      <w:r>
        <w:t xml:space="preserve">Issued/Returned Unit Report </w:t>
      </w:r>
    </w:p>
    <w:p w:rsidR="002A21AE" w:rsidRDefault="002A21AE" w:rsidP="00FA7E65">
      <w:pPr>
        <w:pStyle w:val="BodyText"/>
      </w:pPr>
      <w:r>
        <w:t xml:space="preserve">The user views </w:t>
      </w:r>
      <w:r w:rsidR="00EB1E5A">
        <w:t xml:space="preserve">and/or </w:t>
      </w:r>
      <w:r>
        <w:t>prints a report of units issued and/or returned to patients within a specified date range for a division.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 xml:space="preserve">Select </w:t>
            </w:r>
            <w:r>
              <w:rPr>
                <w:b/>
              </w:rPr>
              <w:t>Reports</w:t>
            </w:r>
            <w:r>
              <w:t xml:space="preserve"> from the main menu.</w:t>
            </w:r>
          </w:p>
          <w:p w:rsidR="002A21AE" w:rsidRDefault="002A21AE">
            <w:pPr>
              <w:pStyle w:val="TableTextNumbersContinued"/>
            </w:pPr>
          </w:p>
          <w:p w:rsidR="002A21AE" w:rsidRDefault="002A21AE">
            <w:pPr>
              <w:pStyle w:val="TableTextNumbersContinued"/>
            </w:pPr>
            <w:r>
              <w:t xml:space="preserve">Select </w:t>
            </w:r>
            <w:r>
              <w:rPr>
                <w:b/>
              </w:rPr>
              <w:t>Issued/Returned Report</w:t>
            </w:r>
            <w:r>
              <w:t>.</w:t>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Bullet"/>
            </w:pPr>
            <w:r>
              <w:t>Lists report names.</w:t>
            </w:r>
          </w:p>
          <w:p w:rsidR="002A21AE" w:rsidRDefault="002A21AE">
            <w:pPr>
              <w:pStyle w:val="TableTextBullet"/>
            </w:pPr>
            <w:r>
              <w:t>Displays fields for entering a report date range.</w:t>
            </w:r>
          </w:p>
        </w:tc>
      </w:tr>
      <w:tr w:rsidR="002A21AE">
        <w:tblPrEx>
          <w:tblCellMar>
            <w:top w:w="0" w:type="dxa"/>
            <w:bottom w:w="0" w:type="dxa"/>
          </w:tblCellMar>
        </w:tblPrEx>
        <w:tc>
          <w:tcPr>
            <w:tcW w:w="3240" w:type="dxa"/>
          </w:tcPr>
          <w:p w:rsidR="002A21AE" w:rsidRDefault="002A21AE">
            <w:pPr>
              <w:pStyle w:val="TableTextNumbers"/>
            </w:pPr>
            <w:r>
              <w:t xml:space="preserve">Enter or select start and end dates. </w:t>
            </w:r>
          </w:p>
        </w:tc>
        <w:tc>
          <w:tcPr>
            <w:tcW w:w="6120" w:type="dxa"/>
          </w:tcPr>
          <w:p w:rsidR="002A21AE" w:rsidRDefault="002A21AE">
            <w:pPr>
              <w:pStyle w:val="TableTextBullet"/>
            </w:pPr>
            <w:r>
              <w:t>Allows the user to sort the report by issued date range or by patient name.</w:t>
            </w:r>
          </w:p>
        </w:tc>
      </w:tr>
      <w:tr w:rsidR="00B33FB0">
        <w:tblPrEx>
          <w:tblCellMar>
            <w:top w:w="0" w:type="dxa"/>
            <w:bottom w:w="0" w:type="dxa"/>
          </w:tblCellMar>
        </w:tblPrEx>
        <w:tc>
          <w:tcPr>
            <w:tcW w:w="3240" w:type="dxa"/>
          </w:tcPr>
          <w:p w:rsidR="00B33FB0" w:rsidRDefault="00B33FB0">
            <w:pPr>
              <w:pStyle w:val="TableTextNumbers"/>
            </w:pPr>
            <w:r>
              <w:t xml:space="preserve">In the Report Sort Order area, select the </w:t>
            </w:r>
            <w:r w:rsidRPr="000D2373">
              <w:rPr>
                <w:b/>
              </w:rPr>
              <w:t>Issue/Return Date</w:t>
            </w:r>
            <w:r>
              <w:t xml:space="preserve"> or </w:t>
            </w:r>
            <w:r w:rsidRPr="000D2373">
              <w:rPr>
                <w:b/>
              </w:rPr>
              <w:t>Patient Name</w:t>
            </w:r>
            <w:r>
              <w:t xml:space="preserve"> radio button.</w:t>
            </w:r>
          </w:p>
        </w:tc>
        <w:tc>
          <w:tcPr>
            <w:tcW w:w="6120" w:type="dxa"/>
          </w:tcPr>
          <w:p w:rsidR="00B33FB0" w:rsidRDefault="000D2373">
            <w:pPr>
              <w:pStyle w:val="TableTextBullet"/>
            </w:pPr>
            <w:r w:rsidRPr="000D2373">
              <w:rPr>
                <w:vanish/>
              </w:rPr>
              <w:t xml:space="preserve">BR_7601 </w:t>
            </w:r>
            <w:r>
              <w:t>Compiles the report and, for each unit issued and when units are returned, includes return information.</w:t>
            </w:r>
          </w:p>
          <w:p w:rsidR="000D2373" w:rsidRDefault="000D2373" w:rsidP="000D2373">
            <w:pPr>
              <w:pStyle w:val="TableTextBullet"/>
              <w:numPr>
                <w:ilvl w:val="0"/>
                <w:numId w:val="0"/>
              </w:numPr>
              <w:ind w:left="288" w:hanging="288"/>
            </w:pPr>
          </w:p>
          <w:p w:rsidR="000D2373" w:rsidRDefault="00634BFC" w:rsidP="000D2373">
            <w:pPr>
              <w:pStyle w:val="TableText"/>
              <w:rPr>
                <w:b/>
                <w:bCs/>
                <w:szCs w:val="18"/>
              </w:rPr>
            </w:pPr>
            <w:r>
              <w:rPr>
                <w:b/>
                <w:bCs/>
                <w:noProof/>
              </w:rPr>
              <mc:AlternateContent>
                <mc:Choice Requires="wps">
                  <w:drawing>
                    <wp:anchor distT="0" distB="0" distL="114300" distR="114300" simplePos="0" relativeHeight="25180518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63" name="Line 1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8" o:spid="_x0000_s1026" style="position:absolute;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toIFQ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FAi&#10;2ggVAgAALQQAAA4AAAAAAAAAAAAAAAAALgIAAGRycy9lMm9Eb2MueG1sUEsBAi0AFAAGAAgAAAAh&#10;ABdPMBLbAAAACAEAAA8AAAAAAAAAAAAAAAAAbwQAAGRycy9kb3ducmV2LnhtbFBLBQYAAAAABAAE&#10;APMAAAB3BQAAAAA=&#10;" strokeweight="1.5pt"/>
                  </w:pict>
                </mc:Fallback>
              </mc:AlternateContent>
            </w:r>
            <w:r w:rsidR="000D2373">
              <w:rPr>
                <w:b/>
                <w:bCs/>
                <w:szCs w:val="18"/>
              </w:rPr>
              <w:t>NOTES</w:t>
            </w:r>
          </w:p>
          <w:p w:rsidR="000D2373" w:rsidRDefault="000D2373" w:rsidP="000D2373">
            <w:pPr>
              <w:pStyle w:val="NotesText"/>
            </w:pPr>
          </w:p>
          <w:p w:rsidR="000D2373" w:rsidRDefault="000D2373" w:rsidP="000D2373">
            <w:pPr>
              <w:pStyle w:val="TableTextBullet"/>
              <w:numPr>
                <w:ilvl w:val="0"/>
                <w:numId w:val="0"/>
              </w:numPr>
              <w:ind w:left="738" w:hanging="18"/>
            </w:pPr>
            <w:r>
              <w:rPr>
                <w:rFonts w:cs="Arial"/>
                <w:vanish/>
              </w:rPr>
              <w:t xml:space="preserve">BR_76.02 </w:t>
            </w:r>
            <w:r>
              <w:t>The report includes a unit that is issued or returned within the entered date range. When a unit is identified as issued or returned during the entered date range, the report also includes unit return and issuance data, respectively, even when they fall outside the date range of the report.</w:t>
            </w:r>
          </w:p>
        </w:tc>
      </w:tr>
      <w:tr w:rsidR="00301F2A">
        <w:tblPrEx>
          <w:tblCellMar>
            <w:top w:w="0" w:type="dxa"/>
            <w:bottom w:w="0" w:type="dxa"/>
          </w:tblCellMar>
        </w:tblPrEx>
        <w:tc>
          <w:tcPr>
            <w:tcW w:w="3240" w:type="dxa"/>
          </w:tcPr>
          <w:p w:rsidR="00301F2A" w:rsidRDefault="00301F2A">
            <w:pPr>
              <w:pStyle w:val="TableTextNumbers"/>
            </w:pPr>
            <w:r>
              <w:t xml:space="preserve">In the Report Compilation area, click the </w:t>
            </w:r>
            <w:r w:rsidRPr="00B40DDD">
              <w:rPr>
                <w:b/>
              </w:rPr>
              <w:t>Create Report Now</w:t>
            </w:r>
            <w:r>
              <w:t xml:space="preserve"> radio button. Click </w:t>
            </w:r>
            <w:r w:rsidRPr="00B40DDD">
              <w:rPr>
                <w:b/>
              </w:rPr>
              <w:t>OK</w:t>
            </w:r>
            <w:r>
              <w:t xml:space="preserve"> to view the report, or</w:t>
            </w:r>
          </w:p>
          <w:p w:rsidR="00301F2A" w:rsidRDefault="00301F2A" w:rsidP="00301F2A">
            <w:pPr>
              <w:pStyle w:val="TableTextNumbers"/>
              <w:numPr>
                <w:ilvl w:val="0"/>
                <w:numId w:val="0"/>
              </w:numPr>
              <w:ind w:left="288"/>
            </w:pPr>
          </w:p>
          <w:p w:rsidR="00301F2A" w:rsidRDefault="00301F2A" w:rsidP="00301F2A">
            <w:pPr>
              <w:pStyle w:val="TableTextNumbers"/>
              <w:numPr>
                <w:ilvl w:val="0"/>
                <w:numId w:val="0"/>
              </w:numPr>
              <w:ind w:left="288"/>
            </w:pPr>
            <w:r>
              <w:t xml:space="preserve">Click the </w:t>
            </w:r>
            <w:r w:rsidRPr="00B40DDD">
              <w:rPr>
                <w:b/>
              </w:rPr>
              <w:t>Schedule Print Job</w:t>
            </w:r>
            <w:r>
              <w:t xml:space="preserve"> radio button and </w:t>
            </w:r>
            <w:r w:rsidRPr="00B40DDD">
              <w:rPr>
                <w:b/>
              </w:rPr>
              <w:t>OK</w:t>
            </w:r>
            <w:r>
              <w:t xml:space="preserve">, then enter or select a print date and printer name. Click </w:t>
            </w:r>
            <w:r w:rsidRPr="00B40DDD">
              <w:rPr>
                <w:b/>
              </w:rPr>
              <w:t>OK</w:t>
            </w:r>
            <w:r>
              <w:t xml:space="preserve"> to view and print the report.</w:t>
            </w:r>
          </w:p>
        </w:tc>
        <w:tc>
          <w:tcPr>
            <w:tcW w:w="6120" w:type="dxa"/>
          </w:tcPr>
          <w:p w:rsidR="00B40DDD" w:rsidRDefault="00B40DDD" w:rsidP="00AA2B2E">
            <w:pPr>
              <w:pStyle w:val="TableTextBullet"/>
            </w:pPr>
            <w:r>
              <w:t>Compiles and displays the report.</w:t>
            </w:r>
          </w:p>
        </w:tc>
      </w:tr>
      <w:tr w:rsidR="00301F2A">
        <w:tblPrEx>
          <w:tblCellMar>
            <w:top w:w="0" w:type="dxa"/>
            <w:bottom w:w="0" w:type="dxa"/>
          </w:tblCellMar>
        </w:tblPrEx>
        <w:tc>
          <w:tcPr>
            <w:tcW w:w="3240" w:type="dxa"/>
          </w:tcPr>
          <w:p w:rsidR="00301F2A" w:rsidRDefault="00B40DDD">
            <w:pPr>
              <w:pStyle w:val="TableTextNumbers"/>
            </w:pPr>
            <w:r>
              <w:t xml:space="preserve">Select </w:t>
            </w:r>
            <w:r w:rsidRPr="00B40DDD">
              <w:rPr>
                <w:b/>
              </w:rPr>
              <w:t>Print</w:t>
            </w:r>
            <w:r>
              <w:t xml:space="preserve"> to print the report and </w:t>
            </w:r>
            <w:r>
              <w:lastRenderedPageBreak/>
              <w:t xml:space="preserve">exit or click </w:t>
            </w:r>
            <w:r w:rsidRPr="00B40DDD">
              <w:rPr>
                <w:b/>
              </w:rPr>
              <w:t>Close</w:t>
            </w:r>
            <w:r>
              <w:t xml:space="preserve"> to exit without printing.</w:t>
            </w:r>
          </w:p>
        </w:tc>
        <w:tc>
          <w:tcPr>
            <w:tcW w:w="6120" w:type="dxa"/>
          </w:tcPr>
          <w:p w:rsidR="00301F2A" w:rsidRDefault="00B33FB0">
            <w:pPr>
              <w:pStyle w:val="TableTextBullet"/>
            </w:pPr>
            <w:r>
              <w:lastRenderedPageBreak/>
              <w:t>Prints the report on the selected printer.</w:t>
            </w:r>
          </w:p>
        </w:tc>
      </w:tr>
    </w:tbl>
    <w:p w:rsidR="00F55832" w:rsidRDefault="00F55832">
      <w:pPr>
        <w:pStyle w:val="Heading2"/>
      </w:pPr>
    </w:p>
    <w:p w:rsidR="00BA595C" w:rsidRDefault="00F55832">
      <w:pPr>
        <w:pStyle w:val="Heading2"/>
      </w:pPr>
      <w:r>
        <w:br w:type="page"/>
      </w:r>
      <w:bookmarkStart w:id="558" w:name="_Toc459900175"/>
      <w:r w:rsidR="00BA595C">
        <w:lastRenderedPageBreak/>
        <w:t xml:space="preserve">Medication Profile </w:t>
      </w:r>
      <w:r w:rsidR="00BA595C" w:rsidRPr="00BA595C">
        <w:rPr>
          <w:rFonts w:ascii="Arial Bold" w:hAnsi="Arial Bold"/>
          <w:vanish/>
        </w:rPr>
        <w:t xml:space="preserve">UC_46 </w:t>
      </w:r>
      <w:r w:rsidR="00BA595C">
        <w:t>(</w:t>
      </w:r>
      <w:r w:rsidR="00203702">
        <w:t>See Patient Information Toolbar</w:t>
      </w:r>
      <w:r w:rsidR="00BA595C">
        <w:t>)</w:t>
      </w:r>
      <w:bookmarkEnd w:id="558"/>
    </w:p>
    <w:p w:rsidR="002A21AE" w:rsidRDefault="002A21AE">
      <w:pPr>
        <w:pStyle w:val="Heading2"/>
      </w:pPr>
      <w:bookmarkStart w:id="559" w:name="_Toc459900176"/>
      <w:r>
        <w:t>Order History Report</w:t>
      </w:r>
      <w:bookmarkEnd w:id="559"/>
      <w:r>
        <w:fldChar w:fldCharType="begin"/>
      </w:r>
      <w:r>
        <w:instrText xml:space="preserve"> XE </w:instrText>
      </w:r>
      <w:r w:rsidR="00FA7E65">
        <w:instrText>“</w:instrText>
      </w:r>
      <w:r>
        <w:instrText>Order History Report</w:instrText>
      </w:r>
      <w:r w:rsidR="00FA7E65">
        <w:instrText>”</w:instrText>
      </w:r>
      <w:r>
        <w:instrText xml:space="preserve"> </w:instrText>
      </w:r>
      <w:r>
        <w:fldChar w:fldCharType="end"/>
      </w:r>
      <w:r>
        <w:t xml:space="preserve"> </w:t>
      </w:r>
      <w:r>
        <w:rPr>
          <w:rFonts w:ascii="Times New Roman" w:hAnsi="Times New Roman" w:cs="Times New Roman"/>
          <w:b w:val="0"/>
          <w:i w:val="0"/>
          <w:vanish/>
          <w:sz w:val="22"/>
        </w:rPr>
        <w:t>UC_86</w:t>
      </w:r>
      <w:r>
        <w:rPr>
          <w:rStyle w:val="CommentReference"/>
          <w:rFonts w:ascii="Times New Roman" w:hAnsi="Times New Roman" w:cs="Times New Roman"/>
          <w:b w:val="0"/>
          <w:bCs w:val="0"/>
          <w:vanish/>
        </w:rPr>
        <w:t xml:space="preserve"> </w:t>
      </w:r>
    </w:p>
    <w:p w:rsidR="002A21AE" w:rsidRDefault="002A21AE" w:rsidP="00FA7E65">
      <w:pPr>
        <w:pStyle w:val="BodyText"/>
      </w:pPr>
      <w:r>
        <w:t xml:space="preserve">The users views </w:t>
      </w:r>
      <w:r w:rsidR="00EB1E5A">
        <w:t xml:space="preserve">and/or </w:t>
      </w:r>
      <w:r>
        <w:t>prints a Single-Order History Report or an Order Summary Report.</w:t>
      </w:r>
    </w:p>
    <w:p w:rsidR="002A21AE" w:rsidRDefault="002A21AE">
      <w:pPr>
        <w:pStyle w:val="Heading4"/>
      </w:pPr>
      <w:r>
        <w:t>Assumptions</w:t>
      </w:r>
      <w:r>
        <w:rPr>
          <w:b w:val="0"/>
        </w:rPr>
        <w:t xml:space="preserve"> </w:t>
      </w:r>
    </w:p>
    <w:p w:rsidR="002A21AE" w:rsidRDefault="002A21AE">
      <w:pPr>
        <w:pStyle w:val="ListBullet"/>
      </w:pPr>
      <w:r>
        <w:t>Data for the report are available.</w:t>
      </w:r>
    </w:p>
    <w:p w:rsidR="002A21AE" w:rsidRDefault="002A21AE">
      <w:pPr>
        <w:pStyle w:val="Heading4"/>
      </w:pPr>
      <w:r>
        <w:t xml:space="preserve">Outcome </w:t>
      </w:r>
    </w:p>
    <w:p w:rsidR="002A21AE" w:rsidRDefault="002A21AE">
      <w:pPr>
        <w:pStyle w:val="ListBullet"/>
      </w:pPr>
      <w:r>
        <w:t>The user may view and/or print a report.</w:t>
      </w:r>
    </w:p>
    <w:p w:rsidR="002A21AE" w:rsidRDefault="002A21AE">
      <w:pPr>
        <w:pStyle w:val="Heading4"/>
        <w:rPr>
          <w:b w:val="0"/>
        </w:rPr>
      </w:pPr>
      <w:r>
        <w:t>Limitations and Restrictions</w:t>
      </w:r>
      <w:r>
        <w:rPr>
          <w:b w:val="0"/>
        </w:rPr>
        <w:t xml:space="preserve"> </w:t>
      </w:r>
    </w:p>
    <w:p w:rsidR="002A21AE" w:rsidRDefault="00C43421">
      <w:pPr>
        <w:pStyle w:val="ListBullet"/>
      </w:pPr>
      <w:r>
        <w:t>VBECS does not display the identity of the CPRS user who discontinues a signed order in CPRS.</w:t>
      </w:r>
      <w:r w:rsidR="00DC0F5E">
        <w:t xml:space="preserve"> The CPRS order detail</w:t>
      </w:r>
      <w:r w:rsidR="00DD73AD">
        <w:t>s option contains all pertinent</w:t>
      </w:r>
      <w:r w:rsidR="00DC0F5E">
        <w:t xml:space="preserve"> order information.</w:t>
      </w:r>
      <w:r>
        <w:rPr>
          <w:vanish/>
        </w:rPr>
        <w:t xml:space="preserve"> DR 3766</w:t>
      </w:r>
      <w:r w:rsidR="00DC0F5E">
        <w:t xml:space="preserve"> </w:t>
      </w:r>
    </w:p>
    <w:p w:rsidR="002A21AE" w:rsidRDefault="002A21AE">
      <w:pPr>
        <w:pStyle w:val="Heading4"/>
      </w:pPr>
      <w:r>
        <w:t xml:space="preserve">Additional Information </w:t>
      </w:r>
    </w:p>
    <w:p w:rsidR="002A21AE" w:rsidRDefault="002A21AE">
      <w:pPr>
        <w:pStyle w:val="ListBullet"/>
      </w:pPr>
      <w:r>
        <w:t>Test counts and workload information for other VBECS processes are in the Workload Report.</w:t>
      </w:r>
    </w:p>
    <w:p w:rsidR="002A21AE" w:rsidRDefault="002A21AE">
      <w:pPr>
        <w:pStyle w:val="Heading4"/>
        <w:rPr>
          <w:b w:val="0"/>
        </w:rPr>
      </w:pPr>
      <w:r>
        <w:t>User Roles with Access to This Option</w:t>
      </w:r>
      <w:r>
        <w:rPr>
          <w:b w:val="0"/>
        </w:rPr>
        <w:t xml:space="preserve"> </w:t>
      </w:r>
    </w:p>
    <w:p w:rsidR="002A21AE" w:rsidRDefault="00184EA4">
      <w:pPr>
        <w:pStyle w:val="Roles"/>
      </w:pPr>
      <w:r>
        <w:t>All users</w:t>
      </w:r>
    </w:p>
    <w:p w:rsidR="002A21AE" w:rsidRDefault="002A21AE">
      <w:pPr>
        <w:pStyle w:val="Heading4"/>
      </w:pPr>
      <w:r>
        <w:t>Order History Report</w:t>
      </w:r>
      <w:r>
        <w:rPr>
          <w:rStyle w:val="CommentReference"/>
          <w:rFonts w:ascii="Times New Roman" w:hAnsi="Times New Roman"/>
          <w:b w:val="0"/>
          <w:bCs/>
          <w:vanish/>
        </w:rPr>
        <w:t xml:space="preserve"> </w:t>
      </w:r>
    </w:p>
    <w:p w:rsidR="002A21AE" w:rsidRDefault="002A21AE" w:rsidP="00FA7E65">
      <w:pPr>
        <w:pStyle w:val="BodyText"/>
      </w:pPr>
      <w:r>
        <w:t>The user views and/or prints an Order History Report.</w:t>
      </w:r>
      <w:r w:rsidR="000054DE">
        <w:t xml:space="preserve"> </w:t>
      </w:r>
      <w:r>
        <w:t xml:space="preserve">The user may retrieve a report for a single order or </w:t>
      </w:r>
      <w:r w:rsidR="00C166BB">
        <w:t xml:space="preserve">a summary report </w:t>
      </w:r>
      <w:r>
        <w:t xml:space="preserve">for all VBECS orders within a date range. The user may sort the Order Summary Report by treating specialty or by patient location.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rPr>
          <w:trHeight w:val="773"/>
        </w:trPr>
        <w:tc>
          <w:tcPr>
            <w:tcW w:w="3240" w:type="dxa"/>
          </w:tcPr>
          <w:p w:rsidR="002A21AE" w:rsidRDefault="002A21AE" w:rsidP="002F6D7B">
            <w:pPr>
              <w:pStyle w:val="TableTextNumbers"/>
              <w:numPr>
                <w:ilvl w:val="0"/>
                <w:numId w:val="45"/>
              </w:numPr>
            </w:pPr>
            <w:r>
              <w:t xml:space="preserve">Select </w:t>
            </w:r>
            <w:r w:rsidRPr="002F2DF7">
              <w:rPr>
                <w:b/>
              </w:rPr>
              <w:t>Reports</w:t>
            </w:r>
            <w:r>
              <w:t xml:space="preserve"> from the main menu.</w:t>
            </w:r>
          </w:p>
          <w:p w:rsidR="002A21AE" w:rsidRDefault="002A21AE">
            <w:pPr>
              <w:pStyle w:val="TableTextNumbersContinued"/>
            </w:pPr>
          </w:p>
          <w:p w:rsidR="002A21AE" w:rsidRDefault="002A21AE">
            <w:pPr>
              <w:pStyle w:val="TableTextNumbersContinued"/>
            </w:pPr>
            <w:r>
              <w:t xml:space="preserve">Select </w:t>
            </w:r>
            <w:r>
              <w:rPr>
                <w:b/>
              </w:rPr>
              <w:t>Order History Report</w:t>
            </w:r>
            <w:r>
              <w:t>.</w:t>
            </w:r>
          </w:p>
        </w:tc>
        <w:tc>
          <w:tcPr>
            <w:tcW w:w="6120" w:type="dxa"/>
          </w:tcPr>
          <w:p w:rsidR="002A21AE" w:rsidRDefault="002A21AE">
            <w:pPr>
              <w:pStyle w:val="TableTextBullet"/>
            </w:pPr>
            <w:r>
              <w:t>Lists report names.</w:t>
            </w:r>
          </w:p>
          <w:p w:rsidR="002A21AE" w:rsidRDefault="002A21AE">
            <w:pPr>
              <w:pStyle w:val="TableTextBullet"/>
            </w:pPr>
            <w:r>
              <w:t>Displays options for generating, viewing, and printing reports.</w:t>
            </w:r>
          </w:p>
          <w:p w:rsidR="002A21AE" w:rsidRDefault="002A21AE">
            <w:pPr>
              <w:pStyle w:val="TableTextBullet"/>
            </w:pPr>
            <w:r>
              <w:t>Displays report type and compilation criteria.</w:t>
            </w:r>
          </w:p>
        </w:tc>
      </w:tr>
      <w:tr w:rsidR="002A21AE">
        <w:tblPrEx>
          <w:tblCellMar>
            <w:top w:w="0" w:type="dxa"/>
            <w:bottom w:w="0" w:type="dxa"/>
          </w:tblCellMar>
        </w:tblPrEx>
        <w:trPr>
          <w:trHeight w:val="773"/>
        </w:trPr>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 xml:space="preserve">Click the </w:t>
            </w:r>
            <w:r>
              <w:rPr>
                <w:b/>
              </w:rPr>
              <w:t>Order Summary Repor</w:t>
            </w:r>
            <w:r>
              <w:t xml:space="preserve">t or </w:t>
            </w:r>
            <w:r>
              <w:rPr>
                <w:b/>
              </w:rPr>
              <w:t>Single-Order History Report</w:t>
            </w:r>
            <w:r>
              <w:t xml:space="preserve"> </w:t>
            </w:r>
            <w:r w:rsidRPr="00BF2E41">
              <w:t>radio button</w:t>
            </w:r>
            <w:r>
              <w:t xml:space="preserve"> to select a report type.</w:t>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
            </w:pP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For an Order Summary Report, create a report date range:</w:t>
            </w:r>
          </w:p>
          <w:p w:rsidR="002A21AE" w:rsidRDefault="002A21AE">
            <w:pPr>
              <w:pStyle w:val="TableText"/>
            </w:pPr>
          </w:p>
          <w:p w:rsidR="002A21AE" w:rsidRDefault="002A21AE">
            <w:pPr>
              <w:pStyle w:val="TableTextNumbersContinued"/>
            </w:pPr>
            <w:r>
              <w:t xml:space="preserve">Select or edit the dates and times in the </w:t>
            </w:r>
            <w:r w:rsidRPr="00945BF5">
              <w:t>Start Date</w:t>
            </w:r>
            <w:r>
              <w:t xml:space="preserve"> and </w:t>
            </w:r>
            <w:r w:rsidRPr="00945BF5">
              <w:t>End Date</w:t>
            </w:r>
            <w:r>
              <w:t xml:space="preserve"> fields. </w:t>
            </w:r>
          </w:p>
          <w:p w:rsidR="002A21AE" w:rsidRDefault="002A21AE">
            <w:pPr>
              <w:pStyle w:val="TableTextNumbersContinued"/>
            </w:pPr>
          </w:p>
          <w:p w:rsidR="002A21AE" w:rsidRDefault="002A21AE">
            <w:pPr>
              <w:pStyle w:val="TableTextNumbersContinued"/>
            </w:pPr>
            <w:r>
              <w:t xml:space="preserve">In the </w:t>
            </w:r>
            <w:r w:rsidRPr="00E82663">
              <w:rPr>
                <w:b/>
              </w:rPr>
              <w:t>Report Sort Order</w:t>
            </w:r>
            <w:r>
              <w:t xml:space="preserve"> area, click the </w:t>
            </w:r>
            <w:r>
              <w:rPr>
                <w:b/>
              </w:rPr>
              <w:t>Treating Specialty</w:t>
            </w:r>
            <w:r>
              <w:t xml:space="preserve"> or </w:t>
            </w:r>
            <w:r>
              <w:rPr>
                <w:b/>
              </w:rPr>
              <w:t>Ordering Location</w:t>
            </w:r>
            <w:r>
              <w:t xml:space="preserve"> </w:t>
            </w:r>
            <w:r w:rsidRPr="00BF2E41">
              <w:t>radio button</w:t>
            </w:r>
            <w:r>
              <w:t xml:space="preserve"> and continue at Step 5. </w:t>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Bullet"/>
            </w:pPr>
            <w:r>
              <w:t>Displays the option to enter a date range for the report based on the date and time VBECS acknowledged the order.</w:t>
            </w:r>
          </w:p>
          <w:p w:rsidR="002A21AE" w:rsidRDefault="002A21AE">
            <w:pPr>
              <w:pStyle w:val="TableTextBullet"/>
            </w:pPr>
            <w:r>
              <w:t>Displays an option to sort the report by treating specialty or by ordering location. The report tallies orders in a given date range by ordering location and treating specialty.</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For a Single-Order History Report:</w:t>
            </w:r>
          </w:p>
          <w:p w:rsidR="002A21AE" w:rsidRDefault="002A21AE">
            <w:pPr>
              <w:pStyle w:val="TableTextNumbersContinued"/>
            </w:pPr>
          </w:p>
          <w:p w:rsidR="002A21AE" w:rsidRDefault="002A21AE">
            <w:pPr>
              <w:pStyle w:val="TableTextNumbersContinued"/>
            </w:pPr>
            <w:r>
              <w:t xml:space="preserve">Enter the search criteria and/or </w:t>
            </w:r>
            <w:r>
              <w:lastRenderedPageBreak/>
              <w:t xml:space="preserve">click the </w:t>
            </w:r>
            <w:r w:rsidR="00A6373D" w:rsidRPr="00945BF5">
              <w:rPr>
                <w:b/>
              </w:rPr>
              <w:t>find</w:t>
            </w:r>
            <w:r>
              <w:rPr>
                <w:b/>
              </w:rPr>
              <w:t xml:space="preserve"> </w:t>
            </w:r>
            <w:r w:rsidRPr="00D1100E">
              <w:t>button</w:t>
            </w:r>
            <w:r>
              <w:t xml:space="preserve"> to select an order from the list. </w:t>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Bullet"/>
              <w:rPr>
                <w:noProof/>
              </w:rPr>
            </w:pPr>
            <w:r>
              <w:rPr>
                <w:noProof/>
              </w:rPr>
              <w:lastRenderedPageBreak/>
              <w:t xml:space="preserve">Displays the </w:t>
            </w:r>
            <w:r>
              <w:t>Select</w:t>
            </w:r>
            <w:r>
              <w:rPr>
                <w:noProof/>
              </w:rPr>
              <w:t xml:space="preserve"> Patient Order window.</w:t>
            </w:r>
          </w:p>
          <w:p w:rsidR="002A21AE" w:rsidRDefault="002A21AE">
            <w:pPr>
              <w:pStyle w:val="TableText"/>
            </w:pPr>
          </w:p>
          <w:p w:rsidR="002A21AE" w:rsidRDefault="00634BFC">
            <w:pPr>
              <w:pStyle w:val="TableText"/>
            </w:pPr>
            <w:r>
              <w:rPr>
                <w:noProof/>
              </w:rPr>
              <mc:AlternateContent>
                <mc:Choice Requires="wps">
                  <w:drawing>
                    <wp:anchor distT="0" distB="0" distL="114300" distR="114300" simplePos="0" relativeHeight="251562496" behindDoc="0" locked="0" layoutInCell="1" allowOverlap="1">
                      <wp:simplePos x="0" y="0"/>
                      <wp:positionH relativeFrom="column">
                        <wp:posOffset>504190</wp:posOffset>
                      </wp:positionH>
                      <wp:positionV relativeFrom="paragraph">
                        <wp:posOffset>29845</wp:posOffset>
                      </wp:positionV>
                      <wp:extent cx="3200400" cy="0"/>
                      <wp:effectExtent l="18415" t="10795" r="10160" b="17780"/>
                      <wp:wrapNone/>
                      <wp:docPr id="59" name="Lin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4" o:spid="_x0000_s1026" style="position:absolute;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2.35pt" to="291.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ysiFA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lastRenderedPageBreak/>
              <w:t xml:space="preserve">BR_86.03 </w:t>
            </w:r>
            <w:r>
              <w:t xml:space="preserve">The user enters a date or a specimen UID, or selects a patient to locate an order. VBECS displays the following information based on the selected search option: </w:t>
            </w:r>
          </w:p>
          <w:p w:rsidR="002A21AE" w:rsidRDefault="002A21AE">
            <w:pPr>
              <w:pStyle w:val="NotesTextBullet"/>
            </w:pPr>
            <w:r>
              <w:t xml:space="preserve">When a user enters a date, VBECS displays orders accepted or canceled by VBECS on that date. </w:t>
            </w:r>
          </w:p>
          <w:p w:rsidR="002A21AE" w:rsidRDefault="002A21AE">
            <w:pPr>
              <w:pStyle w:val="NotesTextBullet"/>
            </w:pPr>
            <w:r>
              <w:t>When the specimen UID is entered, VBECS displays only orders associated with that specimen.</w:t>
            </w:r>
          </w:p>
          <w:p w:rsidR="002A21AE" w:rsidRDefault="002A21AE">
            <w:pPr>
              <w:pStyle w:val="NotesTextBullet"/>
              <w:rPr>
                <w:noProof/>
              </w:rPr>
            </w:pPr>
            <w:r>
              <w:t>When a patient name is selected, VBECS displays the patient’s orders listed in reverse chronological order for the last 90 days with an option to display all of the patient’s accepted and canceled orders.</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lastRenderedPageBreak/>
              <w:t xml:space="preserve">In the Report Compilation area, click the </w:t>
            </w:r>
            <w:r>
              <w:rPr>
                <w:b/>
              </w:rPr>
              <w:t>Create Report Now</w:t>
            </w:r>
            <w:r>
              <w:t xml:space="preserve"> </w:t>
            </w:r>
            <w:r w:rsidRPr="00BF2E41">
              <w:t>radio button</w:t>
            </w:r>
            <w:r>
              <w:t xml:space="preserve"> and </w:t>
            </w:r>
            <w:r>
              <w:rPr>
                <w:b/>
              </w:rPr>
              <w:t>OK</w:t>
            </w:r>
            <w:r>
              <w:t xml:space="preserve"> to view the report, or </w:t>
            </w:r>
          </w:p>
          <w:p w:rsidR="002A21AE" w:rsidRDefault="002A21AE">
            <w:pPr>
              <w:pStyle w:val="TableTextNumbersContinued"/>
            </w:pPr>
          </w:p>
          <w:p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then click </w:t>
            </w:r>
            <w:r>
              <w:rPr>
                <w:b/>
              </w:rPr>
              <w:t>OK</w:t>
            </w:r>
            <w:r>
              <w:t xml:space="preserve"> to view and print the report.</w:t>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Bullet"/>
            </w:pPr>
            <w:r>
              <w:t>Compiles and displays the report.</w:t>
            </w:r>
          </w:p>
          <w:p w:rsidR="002A21AE" w:rsidRDefault="002A21AE">
            <w:pPr>
              <w:pStyle w:val="TableText"/>
            </w:pPr>
          </w:p>
          <w:p w:rsidR="002A21AE" w:rsidRDefault="00634BFC">
            <w:pPr>
              <w:pStyle w:val="TableText"/>
              <w:rPr>
                <w:b/>
                <w:bCs/>
                <w:szCs w:val="18"/>
              </w:rPr>
            </w:pPr>
            <w:r>
              <w:rPr>
                <w:noProof/>
              </w:rPr>
              <mc:AlternateContent>
                <mc:Choice Requires="wps">
                  <w:drawing>
                    <wp:anchor distT="0" distB="0" distL="114300" distR="114300" simplePos="0" relativeHeight="25156352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271" name="Lin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5" o:spid="_x0000_s1026" style="position:absolute;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uykFQIAAC0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EDO&#10;7KQ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BR_86.04 </w:t>
            </w:r>
            <w:r>
              <w:t>The Order Summary Report includes a section for each treating specialty or ordering location, including accepted and canceled VBECS orders and the Diagnostic Test or Component Orders for the selected date range. The report lists individual orders by order type, including the Patient Name, ID, CPRS and Lab Order Numbers, and Date.</w:t>
            </w:r>
          </w:p>
          <w:p w:rsidR="002A21AE" w:rsidRDefault="002A21AE">
            <w:pPr>
              <w:pStyle w:val="NotesText"/>
            </w:pPr>
          </w:p>
          <w:p w:rsidR="005B6A94" w:rsidRDefault="002A21AE" w:rsidP="00AA2B2E">
            <w:pPr>
              <w:pStyle w:val="NotesText"/>
            </w:pPr>
            <w:r>
              <w:rPr>
                <w:rFonts w:cs="Arial"/>
                <w:vanish/>
              </w:rPr>
              <w:t xml:space="preserve">BR_86.01 </w:t>
            </w:r>
            <w:r>
              <w:t>The Single-Order History Report contains details of an individual order.</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 xml:space="preserve">Click </w:t>
            </w:r>
            <w:r>
              <w:rPr>
                <w:b/>
              </w:rPr>
              <w:t>Close</w:t>
            </w:r>
            <w:r>
              <w:t xml:space="preserve"> to exit. </w:t>
            </w:r>
            <w:r w:rsidRPr="009660C3">
              <w:rPr>
                <w:vanish/>
                <w:szCs w:val="18"/>
              </w:rPr>
              <w:fldChar w:fldCharType="begin"/>
            </w:r>
            <w:r w:rsidRPr="009660C3">
              <w:rPr>
                <w:vanish/>
                <w:szCs w:val="18"/>
              </w:rPr>
              <w:instrText xml:space="preserve"> LISTNUM \l 1 \s 0 </w:instrText>
            </w:r>
            <w:r w:rsidRPr="009660C3">
              <w:rPr>
                <w:vanish/>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
            </w:pPr>
          </w:p>
        </w:tc>
      </w:tr>
    </w:tbl>
    <w:p w:rsidR="00F55832" w:rsidRDefault="00F55832">
      <w:pPr>
        <w:pStyle w:val="Heading2"/>
      </w:pPr>
    </w:p>
    <w:p w:rsidR="002A21AE" w:rsidRDefault="00F55832">
      <w:pPr>
        <w:pStyle w:val="Heading2"/>
      </w:pPr>
      <w:r>
        <w:br w:type="page"/>
      </w:r>
      <w:bookmarkStart w:id="560" w:name="_Toc459900177"/>
      <w:r w:rsidR="002A21AE">
        <w:lastRenderedPageBreak/>
        <w:t>Patient History Report</w:t>
      </w:r>
      <w:bookmarkEnd w:id="560"/>
      <w:r w:rsidR="002A21AE">
        <w:fldChar w:fldCharType="begin"/>
      </w:r>
      <w:r w:rsidR="002A21AE">
        <w:instrText xml:space="preserve"> XE </w:instrText>
      </w:r>
      <w:r w:rsidR="00FA7E65">
        <w:instrText>“</w:instrText>
      </w:r>
      <w:r w:rsidR="002A21AE">
        <w:instrText>Patient History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UC_101</w:t>
      </w:r>
    </w:p>
    <w:p w:rsidR="002A21AE" w:rsidRDefault="002A21AE" w:rsidP="00FA7E65">
      <w:pPr>
        <w:pStyle w:val="BodyText"/>
      </w:pPr>
      <w:r>
        <w:t>The user views and</w:t>
      </w:r>
      <w:r w:rsidR="000054DE">
        <w:t>/or</w:t>
      </w:r>
      <w:r>
        <w:t xml:space="preserve"> prints </w:t>
      </w:r>
      <w:r w:rsidR="000054DE">
        <w:t>the Patient History Report</w:t>
      </w:r>
      <w:r>
        <w:t>.</w:t>
      </w:r>
    </w:p>
    <w:p w:rsidR="002A21AE" w:rsidRDefault="002A21AE">
      <w:pPr>
        <w:pStyle w:val="Heading4"/>
      </w:pPr>
      <w:bookmarkStart w:id="561" w:name="_Toc94349358"/>
      <w:r>
        <w:t>Assumptions</w:t>
      </w:r>
      <w:bookmarkEnd w:id="561"/>
      <w:r>
        <w:rPr>
          <w:b w:val="0"/>
        </w:rPr>
        <w:t xml:space="preserve"> </w:t>
      </w:r>
    </w:p>
    <w:p w:rsidR="002A21AE" w:rsidRDefault="002A21AE">
      <w:pPr>
        <w:pStyle w:val="ListBullet"/>
      </w:pPr>
      <w:r>
        <w:t>VBECS displays the report header even when there is no information in the report.</w:t>
      </w:r>
    </w:p>
    <w:p w:rsidR="002A21AE" w:rsidRDefault="002A21AE">
      <w:pPr>
        <w:pStyle w:val="Heading4"/>
      </w:pPr>
      <w:bookmarkStart w:id="562" w:name="_Toc94349359"/>
      <w:r>
        <w:t>Outcome</w:t>
      </w:r>
      <w:bookmarkEnd w:id="562"/>
      <w:r>
        <w:t xml:space="preserve"> </w:t>
      </w:r>
    </w:p>
    <w:p w:rsidR="002A21AE" w:rsidRDefault="002A21AE">
      <w:pPr>
        <w:pStyle w:val="ListBullet"/>
      </w:pPr>
      <w:r>
        <w:t>The user views and prints a patient’s VBECS record.</w:t>
      </w:r>
    </w:p>
    <w:p w:rsidR="002A21AE" w:rsidRDefault="002A21AE">
      <w:pPr>
        <w:pStyle w:val="Heading4"/>
      </w:pPr>
      <w:bookmarkStart w:id="563" w:name="_Toc94349360"/>
      <w:r>
        <w:t>Limitations and Restrictions</w:t>
      </w:r>
      <w:bookmarkEnd w:id="563"/>
      <w:r>
        <w:rPr>
          <w:b w:val="0"/>
        </w:rPr>
        <w:t xml:space="preserve"> </w:t>
      </w:r>
    </w:p>
    <w:p w:rsidR="002A21AE" w:rsidRPr="00D94DA3" w:rsidRDefault="00831D8F">
      <w:pPr>
        <w:pStyle w:val="ListBullet"/>
      </w:pPr>
      <w:r>
        <w:t>When units are restricted for a patient during Incoming Shipment, VBECS does not display the</w:t>
      </w:r>
      <w:r w:rsidR="006E3236">
        <w:t>m on the Patient History Report</w:t>
      </w:r>
      <w:r w:rsidR="002A21AE">
        <w:t>.</w:t>
      </w:r>
      <w:r>
        <w:t xml:space="preserve"> </w:t>
      </w:r>
      <w:r w:rsidRPr="00831D8F">
        <w:rPr>
          <w:vanish/>
        </w:rPr>
        <w:t>(UserDoc Task 1039)</w:t>
      </w:r>
    </w:p>
    <w:p w:rsidR="00D94DA3" w:rsidRDefault="00D94DA3" w:rsidP="00D94DA3">
      <w:pPr>
        <w:pStyle w:val="ListBullet"/>
      </w:pPr>
      <w:r>
        <w:t xml:space="preserve">VBECS displays these default values </w:t>
      </w:r>
      <w:r w:rsidR="00FF5006">
        <w:t>for</w:t>
      </w:r>
      <w:r>
        <w:t xml:space="preserve"> transfusion reactions converted from VistA to VBECS. </w:t>
      </w:r>
      <w:r w:rsidR="00FF5006">
        <w:t>They do not</w:t>
      </w:r>
      <w:r>
        <w:t xml:space="preserve"> </w:t>
      </w:r>
      <w:r w:rsidR="00FF5006">
        <w:t>reflect actual interpretations or results:</w:t>
      </w:r>
      <w:r w:rsidR="00FF5006" w:rsidRPr="00FF5006">
        <w:rPr>
          <w:vanish/>
        </w:rPr>
        <w:t xml:space="preserve"> (DR 2,724)</w:t>
      </w:r>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4"/>
        <w:gridCol w:w="3326"/>
      </w:tblGrid>
      <w:tr w:rsidR="00FF5006" w:rsidRPr="00887834">
        <w:trPr>
          <w:tblHeader/>
        </w:trPr>
        <w:tc>
          <w:tcPr>
            <w:tcW w:w="4428" w:type="dxa"/>
            <w:shd w:val="clear" w:color="auto" w:fill="B3B3B3"/>
          </w:tcPr>
          <w:p w:rsidR="00FF5006" w:rsidRPr="00887834" w:rsidRDefault="00FF5006" w:rsidP="00FF5006">
            <w:pPr>
              <w:pStyle w:val="TableText"/>
              <w:rPr>
                <w:b/>
              </w:rPr>
            </w:pPr>
            <w:r w:rsidRPr="00887834">
              <w:rPr>
                <w:b/>
              </w:rPr>
              <w:t>Converted Transfusion Reaction</w:t>
            </w:r>
          </w:p>
        </w:tc>
        <w:tc>
          <w:tcPr>
            <w:tcW w:w="2772" w:type="dxa"/>
            <w:shd w:val="clear" w:color="auto" w:fill="B3B3B3"/>
          </w:tcPr>
          <w:p w:rsidR="00FF5006" w:rsidRPr="00887834" w:rsidRDefault="00FF5006" w:rsidP="00FF5006">
            <w:pPr>
              <w:pStyle w:val="TableText"/>
              <w:rPr>
                <w:b/>
              </w:rPr>
            </w:pPr>
            <w:r w:rsidRPr="00887834">
              <w:rPr>
                <w:b/>
              </w:rPr>
              <w:t>Default</w:t>
            </w:r>
          </w:p>
        </w:tc>
      </w:tr>
      <w:tr w:rsidR="00FF5006">
        <w:tc>
          <w:tcPr>
            <w:tcW w:w="4428" w:type="dxa"/>
          </w:tcPr>
          <w:p w:rsidR="00FF5006" w:rsidRDefault="00FF5006" w:rsidP="00FF5006">
            <w:pPr>
              <w:pStyle w:val="TableText"/>
            </w:pPr>
            <w:r>
              <w:t xml:space="preserve">Pre-Transfusion Specimen Checks, Hemolysis Checks OK? </w:t>
            </w:r>
          </w:p>
        </w:tc>
        <w:tc>
          <w:tcPr>
            <w:tcW w:w="2772" w:type="dxa"/>
          </w:tcPr>
          <w:p w:rsidR="00FF5006" w:rsidRDefault="00FF5006" w:rsidP="00FF5006">
            <w:pPr>
              <w:pStyle w:val="TableText"/>
            </w:pPr>
            <w:r>
              <w:t>Yes</w:t>
            </w:r>
          </w:p>
        </w:tc>
      </w:tr>
      <w:tr w:rsidR="00FF5006">
        <w:tc>
          <w:tcPr>
            <w:tcW w:w="4428" w:type="dxa"/>
          </w:tcPr>
          <w:p w:rsidR="00FF5006" w:rsidRDefault="00FF5006" w:rsidP="00FF5006">
            <w:pPr>
              <w:pStyle w:val="TableText"/>
            </w:pPr>
            <w:r>
              <w:t xml:space="preserve">Post-Transfusion Specimen Checks, Hemolysis Checks OK? </w:t>
            </w:r>
          </w:p>
        </w:tc>
        <w:tc>
          <w:tcPr>
            <w:tcW w:w="2772" w:type="dxa"/>
          </w:tcPr>
          <w:p w:rsidR="00FF5006" w:rsidRDefault="00FF5006" w:rsidP="00FF5006">
            <w:pPr>
              <w:pStyle w:val="TableText"/>
            </w:pPr>
            <w:r>
              <w:t>Yes</w:t>
            </w:r>
          </w:p>
        </w:tc>
      </w:tr>
      <w:tr w:rsidR="00FF5006">
        <w:tc>
          <w:tcPr>
            <w:tcW w:w="4428" w:type="dxa"/>
          </w:tcPr>
          <w:p w:rsidR="00FF5006" w:rsidRDefault="00A1063F" w:rsidP="00FF5006">
            <w:pPr>
              <w:pStyle w:val="TableText"/>
            </w:pPr>
            <w:r>
              <w:t>Symptoms</w:t>
            </w:r>
          </w:p>
        </w:tc>
        <w:tc>
          <w:tcPr>
            <w:tcW w:w="2772" w:type="dxa"/>
          </w:tcPr>
          <w:p w:rsidR="00FF5006" w:rsidRDefault="00FF5006" w:rsidP="00FF5006">
            <w:pPr>
              <w:pStyle w:val="TableText"/>
            </w:pPr>
            <w:r>
              <w:t>No symptoms identified.</w:t>
            </w:r>
          </w:p>
        </w:tc>
      </w:tr>
      <w:tr w:rsidR="00FF5006">
        <w:tc>
          <w:tcPr>
            <w:tcW w:w="4428" w:type="dxa"/>
          </w:tcPr>
          <w:p w:rsidR="00FF5006" w:rsidRDefault="00FF5006" w:rsidP="00FF5006">
            <w:pPr>
              <w:pStyle w:val="TableText"/>
            </w:pPr>
            <w:r>
              <w:t>Implicated units</w:t>
            </w:r>
          </w:p>
        </w:tc>
        <w:tc>
          <w:tcPr>
            <w:tcW w:w="2772" w:type="dxa"/>
          </w:tcPr>
          <w:p w:rsidR="00FF5006" w:rsidRDefault="00FF5006" w:rsidP="00FF5006">
            <w:pPr>
              <w:pStyle w:val="TableText"/>
            </w:pPr>
            <w:r>
              <w:t>No units implicated in reaction.</w:t>
            </w:r>
          </w:p>
        </w:tc>
      </w:tr>
      <w:tr w:rsidR="00FF5006">
        <w:tc>
          <w:tcPr>
            <w:tcW w:w="4428" w:type="dxa"/>
          </w:tcPr>
          <w:p w:rsidR="00FF5006" w:rsidRDefault="00FF5006" w:rsidP="00FF5006">
            <w:pPr>
              <w:pStyle w:val="TableText"/>
            </w:pPr>
            <w:r>
              <w:t>Serologic tests</w:t>
            </w:r>
          </w:p>
        </w:tc>
        <w:tc>
          <w:tcPr>
            <w:tcW w:w="2772" w:type="dxa"/>
          </w:tcPr>
          <w:p w:rsidR="00FF5006" w:rsidRDefault="00FF5006" w:rsidP="00FF5006">
            <w:pPr>
              <w:pStyle w:val="TableText"/>
            </w:pPr>
            <w:r>
              <w:t>No serologic tests performed.</w:t>
            </w:r>
          </w:p>
        </w:tc>
      </w:tr>
    </w:tbl>
    <w:p w:rsidR="002A21AE" w:rsidRDefault="002A21AE">
      <w:pPr>
        <w:pStyle w:val="Heading4"/>
      </w:pPr>
      <w:bookmarkStart w:id="564" w:name="_Toc94349361"/>
      <w:r>
        <w:t>Additional Information</w:t>
      </w:r>
      <w:bookmarkEnd w:id="564"/>
      <w:r>
        <w:t xml:space="preserve"> </w:t>
      </w:r>
    </w:p>
    <w:p w:rsidR="00831D8F" w:rsidRDefault="00831D8F" w:rsidP="00831D8F">
      <w:pPr>
        <w:pStyle w:val="ListBullet"/>
      </w:pPr>
      <w:r>
        <w:t>The patient record report is divided into sections for report retrieval.</w:t>
      </w:r>
    </w:p>
    <w:p w:rsidR="004F0553" w:rsidRDefault="004F0553">
      <w:pPr>
        <w:pStyle w:val="ListBullet"/>
      </w:pPr>
      <w:r>
        <w:t>This report includes:</w:t>
      </w:r>
    </w:p>
    <w:p w:rsidR="004F0553" w:rsidRDefault="004F0553" w:rsidP="004F0553">
      <w:pPr>
        <w:pStyle w:val="ListBullet2"/>
      </w:pPr>
      <w:r>
        <w:t>Post-transfusion details.</w:t>
      </w:r>
    </w:p>
    <w:p w:rsidR="002A21AE" w:rsidRDefault="004F0553" w:rsidP="004F0553">
      <w:pPr>
        <w:pStyle w:val="ListBullet2"/>
      </w:pPr>
      <w:r>
        <w:t>Data</w:t>
      </w:r>
      <w:r w:rsidR="002A21AE">
        <w:t xml:space="preserve"> from all divisions within the database.</w:t>
      </w:r>
    </w:p>
    <w:p w:rsidR="002A21AE" w:rsidRDefault="002A21AE">
      <w:pPr>
        <w:pStyle w:val="Heading4"/>
        <w:rPr>
          <w:b w:val="0"/>
        </w:rPr>
      </w:pPr>
      <w:bookmarkStart w:id="565" w:name="_Toc94349362"/>
      <w:r>
        <w:t>User Roles with Access to This Option</w:t>
      </w:r>
      <w:bookmarkEnd w:id="565"/>
      <w:r>
        <w:rPr>
          <w:b w:val="0"/>
        </w:rPr>
        <w:t xml:space="preserve"> </w:t>
      </w:r>
    </w:p>
    <w:p w:rsidR="002A21AE" w:rsidRDefault="00184EA4">
      <w:pPr>
        <w:pStyle w:val="Roles"/>
      </w:pPr>
      <w:r>
        <w:t>All users</w:t>
      </w:r>
    </w:p>
    <w:p w:rsidR="002A21AE" w:rsidRDefault="002A21AE">
      <w:pPr>
        <w:pStyle w:val="Heading4"/>
      </w:pPr>
      <w:bookmarkStart w:id="566" w:name="_Toc94349363"/>
      <w:r>
        <w:t>Patient History Report</w:t>
      </w:r>
      <w:bookmarkEnd w:id="566"/>
    </w:p>
    <w:p w:rsidR="002A21AE" w:rsidRDefault="002A21AE" w:rsidP="00FA7E65">
      <w:pPr>
        <w:pStyle w:val="BodyText"/>
      </w:pPr>
      <w:r>
        <w:t>The user views and/or prints the patient’s VBECS record.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pPr>
              <w:pStyle w:val="TableTextNumbers"/>
            </w:pPr>
            <w:r>
              <w:t xml:space="preserve">Select </w:t>
            </w:r>
            <w:r>
              <w:rPr>
                <w:b/>
              </w:rPr>
              <w:t>Patients</w:t>
            </w:r>
            <w:r>
              <w:t xml:space="preserve"> or </w:t>
            </w:r>
            <w:r>
              <w:rPr>
                <w:b/>
              </w:rPr>
              <w:t>Reports</w:t>
            </w:r>
            <w:r>
              <w:t xml:space="preserve"> from the main menu.</w:t>
            </w:r>
          </w:p>
          <w:p w:rsidR="002A21AE" w:rsidRDefault="002A21AE">
            <w:pPr>
              <w:pStyle w:val="TableTextNumbersContinued"/>
            </w:pPr>
          </w:p>
          <w:p w:rsidR="002A21AE" w:rsidRDefault="002A21AE">
            <w:pPr>
              <w:pStyle w:val="TableTextNumbersContinued"/>
            </w:pPr>
            <w:r>
              <w:t xml:space="preserve">Select </w:t>
            </w:r>
            <w:r>
              <w:rPr>
                <w:b/>
              </w:rPr>
              <w:t>Patient History Report</w:t>
            </w:r>
            <w:r>
              <w:t>.</w:t>
            </w:r>
          </w:p>
        </w:tc>
        <w:tc>
          <w:tcPr>
            <w:tcW w:w="6120" w:type="dxa"/>
          </w:tcPr>
          <w:p w:rsidR="002A21AE" w:rsidRDefault="002A21AE">
            <w:pPr>
              <w:pStyle w:val="TableTextBullet"/>
            </w:pPr>
            <w:r>
              <w:t>Displays options for processing patient-related functions, or for generating, viewing, and printing reports.</w:t>
            </w:r>
          </w:p>
          <w:p w:rsidR="002A21AE" w:rsidRDefault="002A21AE">
            <w:pPr>
              <w:pStyle w:val="TableTextBullet"/>
            </w:pPr>
            <w:r>
              <w:t>Displays report sections and compilation criteria.</w:t>
            </w:r>
          </w:p>
        </w:tc>
      </w:tr>
      <w:tr w:rsidR="002A21AE">
        <w:tblPrEx>
          <w:tblCellMar>
            <w:top w:w="0" w:type="dxa"/>
            <w:bottom w:w="0" w:type="dxa"/>
          </w:tblCellMar>
        </w:tblPrEx>
        <w:tc>
          <w:tcPr>
            <w:tcW w:w="3240" w:type="dxa"/>
          </w:tcPr>
          <w:p w:rsidR="002A21AE" w:rsidRDefault="002A21AE">
            <w:pPr>
              <w:pStyle w:val="TableTextNumbers"/>
            </w:pPr>
            <w:r>
              <w:t xml:space="preserve">Enter the patient name </w:t>
            </w:r>
            <w:r w:rsidRPr="00945BF5">
              <w:t>and/or ID</w:t>
            </w:r>
            <w:r>
              <w:t xml:space="preserve">, or click the </w:t>
            </w:r>
            <w:r w:rsidR="00A6373D" w:rsidRPr="00945BF5">
              <w:rPr>
                <w:b/>
              </w:rPr>
              <w:t>find</w:t>
            </w:r>
            <w:r>
              <w:rPr>
                <w:b/>
              </w:rPr>
              <w:t xml:space="preserve"> </w:t>
            </w:r>
            <w:r w:rsidRPr="00D1100E">
              <w:t>button</w:t>
            </w:r>
            <w:r>
              <w:t xml:space="preserve"> to search for patient data.</w:t>
            </w:r>
          </w:p>
          <w:p w:rsidR="002A21AE" w:rsidRDefault="002A21AE">
            <w:pPr>
              <w:pStyle w:val="TableTextNumbersContinued"/>
            </w:pPr>
          </w:p>
          <w:p w:rsidR="002A21AE" w:rsidRDefault="002A21AE">
            <w:pPr>
              <w:pStyle w:val="TableTextNumbersContinued"/>
            </w:pPr>
            <w:r>
              <w:t xml:space="preserve">Click </w:t>
            </w:r>
            <w:r>
              <w:rPr>
                <w:b/>
              </w:rPr>
              <w:t>OK</w:t>
            </w:r>
            <w:r>
              <w:t>.</w:t>
            </w:r>
          </w:p>
        </w:tc>
        <w:tc>
          <w:tcPr>
            <w:tcW w:w="6120" w:type="dxa"/>
          </w:tcPr>
          <w:p w:rsidR="002A21AE" w:rsidRDefault="002A21AE">
            <w:pPr>
              <w:pStyle w:val="TableTextBullet"/>
              <w:tabs>
                <w:tab w:val="num" w:pos="360"/>
              </w:tabs>
            </w:pPr>
            <w:r>
              <w:t>Allows the entry or selection of a patient.</w:t>
            </w:r>
          </w:p>
          <w:p w:rsidR="002A21AE" w:rsidRDefault="002A21AE">
            <w:pPr>
              <w:pStyle w:val="TableTextBullet"/>
              <w:tabs>
                <w:tab w:val="num" w:pos="360"/>
              </w:tabs>
            </w:pPr>
            <w:r>
              <w:t>Displays the patient report section types for selection:</w:t>
            </w:r>
          </w:p>
          <w:p w:rsidR="002A21AE" w:rsidRDefault="002A21AE">
            <w:pPr>
              <w:pStyle w:val="TableTextBullet1"/>
            </w:pPr>
            <w:r>
              <w:t>Patient Demographic History</w:t>
            </w:r>
          </w:p>
          <w:p w:rsidR="002A21AE" w:rsidRDefault="002A21AE">
            <w:pPr>
              <w:pStyle w:val="TableTextBullet1"/>
            </w:pPr>
            <w:r>
              <w:t>Transfusion Requirements</w:t>
            </w:r>
          </w:p>
          <w:p w:rsidR="002A21AE" w:rsidRDefault="002A21AE">
            <w:pPr>
              <w:pStyle w:val="TableTextBullet1"/>
            </w:pPr>
            <w:r>
              <w:t>Testing Details</w:t>
            </w:r>
          </w:p>
          <w:p w:rsidR="002A21AE" w:rsidRDefault="002A21AE">
            <w:pPr>
              <w:pStyle w:val="TableTextBullet1"/>
            </w:pPr>
            <w:r>
              <w:t>Unit Assignment History</w:t>
            </w:r>
          </w:p>
          <w:p w:rsidR="002A21AE" w:rsidRDefault="002A21AE">
            <w:pPr>
              <w:pStyle w:val="TableTextBullet1"/>
            </w:pPr>
            <w:r>
              <w:t>Transfusion History</w:t>
            </w:r>
          </w:p>
          <w:p w:rsidR="002A21AE" w:rsidRDefault="002A21AE">
            <w:pPr>
              <w:pStyle w:val="TableTextBullet1"/>
            </w:pPr>
            <w:r>
              <w:t>Specimen Details</w:t>
            </w:r>
          </w:p>
          <w:p w:rsidR="002A21AE" w:rsidRDefault="002A21AE">
            <w:pPr>
              <w:pStyle w:val="TableTextBullet1"/>
            </w:pPr>
            <w:r>
              <w:t>Special Instructions</w:t>
            </w:r>
          </w:p>
          <w:p w:rsidR="002A21AE" w:rsidRDefault="002A21AE">
            <w:pPr>
              <w:pStyle w:val="TableTextBullet1"/>
            </w:pPr>
            <w:r>
              <w:t>Transfusion Reaction Details</w:t>
            </w:r>
          </w:p>
          <w:p w:rsidR="002A21AE" w:rsidRDefault="002A21AE">
            <w:pPr>
              <w:pStyle w:val="TableTextBullet1"/>
            </w:pPr>
            <w:r>
              <w:t>Exception Report Entries</w:t>
            </w:r>
          </w:p>
          <w:p w:rsidR="002A21AE" w:rsidRDefault="002A21AE">
            <w:pPr>
              <w:pStyle w:val="TableTextBullet1"/>
            </w:pPr>
            <w:r>
              <w:lastRenderedPageBreak/>
              <w:t>Assignments/Releases</w:t>
            </w:r>
          </w:p>
          <w:p w:rsidR="002A21AE" w:rsidRDefault="002A21AE">
            <w:pPr>
              <w:pStyle w:val="TableTextBullet1"/>
            </w:pPr>
            <w:r>
              <w:t>Audit Trail Report</w:t>
            </w:r>
          </w:p>
        </w:tc>
      </w:tr>
      <w:tr w:rsidR="002A21AE">
        <w:tblPrEx>
          <w:tblCellMar>
            <w:top w:w="0" w:type="dxa"/>
            <w:bottom w:w="0" w:type="dxa"/>
          </w:tblCellMar>
        </w:tblPrEx>
        <w:tc>
          <w:tcPr>
            <w:tcW w:w="3240" w:type="dxa"/>
          </w:tcPr>
          <w:p w:rsidR="002A21AE" w:rsidRDefault="002A21AE">
            <w:pPr>
              <w:pStyle w:val="TableTextNumbers"/>
            </w:pPr>
            <w:r>
              <w:lastRenderedPageBreak/>
              <w:t>Select one or more sections to include in the report.</w:t>
            </w:r>
          </w:p>
        </w:tc>
        <w:tc>
          <w:tcPr>
            <w:tcW w:w="6120" w:type="dxa"/>
          </w:tcPr>
          <w:p w:rsidR="002A21AE" w:rsidRDefault="002A21AE">
            <w:pPr>
              <w:pStyle w:val="TableText"/>
            </w:pPr>
          </w:p>
        </w:tc>
      </w:tr>
      <w:tr w:rsidR="002A21AE">
        <w:tblPrEx>
          <w:tblCellMar>
            <w:top w:w="0" w:type="dxa"/>
            <w:bottom w:w="0" w:type="dxa"/>
          </w:tblCellMar>
        </w:tblPrEx>
        <w:tc>
          <w:tcPr>
            <w:tcW w:w="3240" w:type="dxa"/>
          </w:tcPr>
          <w:p w:rsidR="002A21AE" w:rsidRDefault="002A21AE">
            <w:pPr>
              <w:pStyle w:val="TableTextNumbers"/>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rsidR="002A21AE" w:rsidRDefault="002A21AE">
            <w:pPr>
              <w:pStyle w:val="TableTextBullet"/>
              <w:tabs>
                <w:tab w:val="num" w:pos="360"/>
              </w:tabs>
            </w:pPr>
            <w:r>
              <w:t>Compiles and displays the report.</w:t>
            </w:r>
          </w:p>
          <w:p w:rsidR="002A21AE" w:rsidRDefault="002A21AE">
            <w:pPr>
              <w:pStyle w:val="TableTextBullet"/>
              <w:tabs>
                <w:tab w:val="num" w:pos="360"/>
              </w:tabs>
            </w:pPr>
            <w:r>
              <w:t xml:space="preserve">Allows the user to print the report. </w:t>
            </w:r>
          </w:p>
          <w:p w:rsidR="002A21AE" w:rsidRDefault="002A21AE">
            <w:pPr>
              <w:pStyle w:val="TableText"/>
            </w:pPr>
          </w:p>
          <w:p w:rsidR="002A21AE" w:rsidRDefault="00634BFC">
            <w:pPr>
              <w:pStyle w:val="TableText"/>
              <w:rPr>
                <w:b/>
                <w:bCs/>
              </w:rPr>
            </w:pPr>
            <w:r>
              <w:rPr>
                <w:b/>
                <w:bCs/>
                <w:noProof/>
              </w:rPr>
              <mc:AlternateContent>
                <mc:Choice Requires="wps">
                  <w:drawing>
                    <wp:anchor distT="0" distB="0" distL="114300" distR="114300" simplePos="0" relativeHeight="25167411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270" name="Line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4"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lgPFQ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CCO&#10;WA8VAgAALQQAAA4AAAAAAAAAAAAAAAAALgIAAGRycy9lMm9Eb2MueG1sUEsBAi0AFAAGAAgAAAAh&#10;ABdPMBLbAAAACAEAAA8AAAAAAAAAAAAAAAAAbwQAAGRycy9kb3ducmV2LnhtbFBLBQYAAAAABAAE&#10;APMAAAB3BQAAAAA=&#10;" strokeweight="1.5pt"/>
                  </w:pict>
                </mc:Fallback>
              </mc:AlternateContent>
            </w:r>
            <w:r w:rsidR="002A21AE">
              <w:rPr>
                <w:b/>
                <w:bCs/>
              </w:rPr>
              <w:t>NOTES</w:t>
            </w:r>
          </w:p>
          <w:p w:rsidR="002A21AE" w:rsidRDefault="002A21AE">
            <w:pPr>
              <w:pStyle w:val="NotesText"/>
            </w:pPr>
          </w:p>
          <w:p w:rsidR="005B6A94" w:rsidRDefault="002A21AE" w:rsidP="00AA2B2E">
            <w:pPr>
              <w:pStyle w:val="NotesText"/>
            </w:pPr>
            <w:r>
              <w:rPr>
                <w:rFonts w:cs="Arial"/>
                <w:vanish/>
              </w:rPr>
              <w:t xml:space="preserve">BR_101.04 </w:t>
            </w:r>
            <w:r>
              <w:t>When the patient has an ABO/Rh as the result of a conversion, VBECS displays a message in the Transfusion History section instructing the user to check the legacy records for additional information.</w:t>
            </w:r>
          </w:p>
        </w:tc>
      </w:tr>
      <w:tr w:rsidR="002A21AE">
        <w:tblPrEx>
          <w:tblCellMar>
            <w:top w:w="0" w:type="dxa"/>
            <w:bottom w:w="0" w:type="dxa"/>
          </w:tblCellMar>
        </w:tblPrEx>
        <w:tc>
          <w:tcPr>
            <w:tcW w:w="3240" w:type="dxa"/>
          </w:tcPr>
          <w:p w:rsidR="002A21AE" w:rsidRDefault="00CE38AA">
            <w:pPr>
              <w:pStyle w:val="TableTextNumbers"/>
            </w:pPr>
            <w:r>
              <w:t xml:space="preserve">Select </w:t>
            </w:r>
            <w:r w:rsidRPr="00CE38AA">
              <w:rPr>
                <w:b/>
              </w:rPr>
              <w:t>Print</w:t>
            </w:r>
            <w:r>
              <w:t xml:space="preserve"> to print the report and exit, or click </w:t>
            </w:r>
            <w:r w:rsidRPr="00CE38AA">
              <w:rPr>
                <w:b/>
              </w:rPr>
              <w:t>Close</w:t>
            </w:r>
            <w:r>
              <w:t xml:space="preserve"> to exit without printing.</w:t>
            </w:r>
            <w:r w:rsidR="002A21AE">
              <w:t xml:space="preserve"> </w:t>
            </w:r>
            <w:r w:rsidR="002A21AE" w:rsidRPr="009660C3">
              <w:rPr>
                <w:vanish/>
                <w:szCs w:val="18"/>
              </w:rPr>
              <w:fldChar w:fldCharType="begin"/>
            </w:r>
            <w:r w:rsidR="002A21AE" w:rsidRPr="009660C3">
              <w:rPr>
                <w:vanish/>
                <w:szCs w:val="18"/>
              </w:rPr>
              <w:instrText xml:space="preserve"> LISTNUM \l 1 \s 0 </w:instrText>
            </w:r>
            <w:r w:rsidR="002A21AE" w:rsidRPr="009660C3">
              <w:rPr>
                <w:vanish/>
                <w:szCs w:val="18"/>
              </w:rPr>
              <w:fldChar w:fldCharType="end"/>
            </w:r>
          </w:p>
        </w:tc>
        <w:tc>
          <w:tcPr>
            <w:tcW w:w="6120" w:type="dxa"/>
          </w:tcPr>
          <w:p w:rsidR="002A21AE" w:rsidRDefault="00CE38AA" w:rsidP="00CE38AA">
            <w:pPr>
              <w:pStyle w:val="TableTextBullet"/>
            </w:pPr>
            <w:r>
              <w:rPr>
                <w:noProof/>
              </w:rPr>
              <w:t>Prints the report on the selected printer.</w:t>
            </w:r>
          </w:p>
        </w:tc>
      </w:tr>
    </w:tbl>
    <w:p w:rsidR="00F55832" w:rsidRDefault="00F55832">
      <w:pPr>
        <w:pStyle w:val="Heading2"/>
      </w:pPr>
    </w:p>
    <w:p w:rsidR="002A21AE" w:rsidRDefault="00F55832">
      <w:pPr>
        <w:pStyle w:val="Heading2"/>
      </w:pPr>
      <w:r>
        <w:br w:type="page"/>
      </w:r>
      <w:bookmarkStart w:id="567" w:name="_Toc459900178"/>
      <w:r w:rsidR="002A21AE">
        <w:lastRenderedPageBreak/>
        <w:t>Prolonged Transfusion Time Report</w:t>
      </w:r>
      <w:bookmarkEnd w:id="567"/>
      <w:r w:rsidR="002A21AE">
        <w:fldChar w:fldCharType="begin"/>
      </w:r>
      <w:r w:rsidR="002A21AE">
        <w:instrText xml:space="preserve"> XE </w:instrText>
      </w:r>
      <w:r w:rsidR="00FA7E65">
        <w:instrText>“</w:instrText>
      </w:r>
      <w:r w:rsidR="002A21AE">
        <w:instrText>Prolonged Transfusion Time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UC_105</w:t>
      </w:r>
    </w:p>
    <w:p w:rsidR="002A21AE" w:rsidRDefault="002A21AE" w:rsidP="00FA7E65">
      <w:pPr>
        <w:pStyle w:val="BodyText"/>
      </w:pPr>
      <w:r>
        <w:t>The user views and</w:t>
      </w:r>
      <w:r w:rsidR="00587744">
        <w:t>/or</w:t>
      </w:r>
      <w:r>
        <w:t xml:space="preserve"> prints the Prolonged Transfusion Time Report. </w:t>
      </w:r>
    </w:p>
    <w:p w:rsidR="002A21AE" w:rsidRDefault="002A21AE">
      <w:pPr>
        <w:pStyle w:val="Heading4"/>
      </w:pPr>
      <w:bookmarkStart w:id="568" w:name="_Toc94349365"/>
      <w:r>
        <w:t>Assumptions</w:t>
      </w:r>
      <w:bookmarkEnd w:id="568"/>
      <w:r>
        <w:rPr>
          <w:b w:val="0"/>
        </w:rPr>
        <w:t xml:space="preserve"> </w:t>
      </w:r>
    </w:p>
    <w:p w:rsidR="002A21AE" w:rsidRDefault="002A21AE">
      <w:pPr>
        <w:pStyle w:val="ListBullet"/>
      </w:pPr>
      <w:r>
        <w:t>Data for the report were saved in VBECS.</w:t>
      </w:r>
    </w:p>
    <w:p w:rsidR="002A21AE" w:rsidRDefault="002A21AE">
      <w:pPr>
        <w:pStyle w:val="Heading4"/>
      </w:pPr>
      <w:bookmarkStart w:id="569" w:name="_Toc94349366"/>
      <w:r>
        <w:t>Outcome</w:t>
      </w:r>
      <w:bookmarkEnd w:id="569"/>
      <w:r>
        <w:t xml:space="preserve"> </w:t>
      </w:r>
    </w:p>
    <w:p w:rsidR="002A21AE" w:rsidRDefault="002A21AE">
      <w:pPr>
        <w:pStyle w:val="ListBullet"/>
      </w:pPr>
      <w:r>
        <w:t>The user views and prints the report.</w:t>
      </w:r>
    </w:p>
    <w:p w:rsidR="002A21AE" w:rsidRDefault="002A21AE">
      <w:pPr>
        <w:pStyle w:val="Heading4"/>
        <w:rPr>
          <w:b w:val="0"/>
        </w:rPr>
      </w:pPr>
      <w:bookmarkStart w:id="570" w:name="_Toc94349367"/>
      <w:r>
        <w:t>Limitations and Restrictions</w:t>
      </w:r>
      <w:bookmarkEnd w:id="570"/>
      <w:r>
        <w:rPr>
          <w:b w:val="0"/>
        </w:rPr>
        <w:t xml:space="preserve"> </w:t>
      </w:r>
    </w:p>
    <w:p w:rsidR="002A21AE" w:rsidRDefault="002A21AE">
      <w:pPr>
        <w:pStyle w:val="ListBullet"/>
      </w:pPr>
      <w:r>
        <w:t>This report does not include p</w:t>
      </w:r>
      <w:r>
        <w:rPr>
          <w:rStyle w:val="ListBulletChar"/>
        </w:rPr>
        <w:t>r</w:t>
      </w:r>
      <w:r>
        <w:t>esumed transfused units or units issued to a remote storage location.</w:t>
      </w:r>
    </w:p>
    <w:p w:rsidR="002A21AE" w:rsidRDefault="002A21AE">
      <w:pPr>
        <w:pStyle w:val="Heading4"/>
      </w:pPr>
      <w:bookmarkStart w:id="571" w:name="_Toc94349368"/>
      <w:r>
        <w:t>Additional Information</w:t>
      </w:r>
      <w:bookmarkEnd w:id="571"/>
      <w:r>
        <w:t xml:space="preserve"> </w:t>
      </w:r>
    </w:p>
    <w:p w:rsidR="002A21AE" w:rsidRDefault="002A21AE">
      <w:pPr>
        <w:pStyle w:val="ListBullet"/>
        <w:rPr>
          <w:b/>
        </w:rPr>
      </w:pPr>
      <w:r>
        <w:rPr>
          <w:vanish/>
        </w:rPr>
        <w:t xml:space="preserve">PT_105.01 </w:t>
      </w:r>
      <w:r>
        <w:t xml:space="preserve">This option uses the </w:t>
      </w:r>
      <w:r w:rsidR="00543DAF">
        <w:fldChar w:fldCharType="begin"/>
      </w:r>
      <w:r w:rsidR="00543DAF">
        <w:instrText xml:space="preserve"> REF _Ref170004931 \h </w:instrText>
      </w:r>
      <w:r w:rsidR="00543DAF">
        <w:fldChar w:fldCharType="separate"/>
      </w:r>
      <w:r w:rsidR="005F38BC">
        <w:t xml:space="preserve">Appendix </w:t>
      </w:r>
      <w:r w:rsidR="005F38BC">
        <w:rPr>
          <w:noProof/>
        </w:rPr>
        <w:t>B</w:t>
      </w:r>
      <w:r w:rsidR="00543DAF">
        <w:fldChar w:fldCharType="end"/>
      </w:r>
      <w:r>
        <w:t xml:space="preserve">: </w:t>
      </w:r>
      <w:r w:rsidR="00CF5477">
        <w:fldChar w:fldCharType="begin"/>
      </w:r>
      <w:r w:rsidR="00CF5477">
        <w:instrText xml:space="preserve"> REF _Ref126504594 \h </w:instrText>
      </w:r>
      <w:r w:rsidR="00CF5477">
        <w:fldChar w:fldCharType="separate"/>
      </w:r>
      <w:r w:rsidR="005F38BC">
        <w:t xml:space="preserve">Table </w:t>
      </w:r>
      <w:r w:rsidR="005F38BC">
        <w:rPr>
          <w:noProof/>
        </w:rPr>
        <w:t>23</w:t>
      </w:r>
      <w:r w:rsidR="005F38BC">
        <w:t xml:space="preserve">: </w:t>
      </w:r>
      <w:r w:rsidR="005F38BC">
        <w:rPr>
          <w:vanish/>
        </w:rPr>
        <w:t xml:space="preserve">PT_105.01 </w:t>
      </w:r>
      <w:r w:rsidR="005F38BC">
        <w:t>National Treating Specialty Table</w:t>
      </w:r>
      <w:r w:rsidR="00CF5477">
        <w:fldChar w:fldCharType="end"/>
      </w:r>
      <w:r>
        <w:t xml:space="preserve">, not a local list. </w:t>
      </w:r>
      <w:bookmarkStart w:id="572" w:name="_Toc94349369"/>
    </w:p>
    <w:p w:rsidR="002A21AE" w:rsidRDefault="002A21AE">
      <w:pPr>
        <w:pStyle w:val="Heading4"/>
      </w:pPr>
      <w:r>
        <w:t>User Roles with Access to This Option</w:t>
      </w:r>
      <w:bookmarkEnd w:id="572"/>
      <w:r>
        <w:t xml:space="preserve"> </w:t>
      </w:r>
    </w:p>
    <w:p w:rsidR="002A21AE" w:rsidRDefault="00184EA4">
      <w:pPr>
        <w:pStyle w:val="Roles"/>
      </w:pPr>
      <w:r>
        <w:t>All users</w:t>
      </w:r>
    </w:p>
    <w:p w:rsidR="002A21AE" w:rsidRDefault="002A21AE">
      <w:pPr>
        <w:pStyle w:val="Heading4"/>
      </w:pPr>
      <w:bookmarkStart w:id="573" w:name="_Toc94349370"/>
      <w:r>
        <w:t>Prolonged Transfusion Time Report</w:t>
      </w:r>
      <w:bookmarkEnd w:id="573"/>
    </w:p>
    <w:p w:rsidR="002A21AE" w:rsidRDefault="002A21AE" w:rsidP="00FA7E65">
      <w:pPr>
        <w:pStyle w:val="BodyText"/>
      </w:pPr>
      <w:r>
        <w:t>The user views and/or prints the Prolonged Transfusion Time Report</w:t>
      </w:r>
      <w:r w:rsidR="003A39EF">
        <w:t>, which shows transfusions started more than 30 minutes after issue and units transfused for more than the maximum transfusion time set by each division</w:t>
      </w:r>
      <w: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pPr>
              <w:pStyle w:val="TableTextNumbers"/>
            </w:pPr>
            <w:r>
              <w:t xml:space="preserve">Select </w:t>
            </w:r>
            <w:r>
              <w:rPr>
                <w:b/>
              </w:rPr>
              <w:t>Reports</w:t>
            </w:r>
            <w:r>
              <w:t xml:space="preserve"> from the main menu.</w:t>
            </w:r>
          </w:p>
          <w:p w:rsidR="002A21AE" w:rsidRDefault="002A21AE">
            <w:pPr>
              <w:pStyle w:val="TableTextNumbersContinued"/>
            </w:pPr>
          </w:p>
          <w:p w:rsidR="002A21AE" w:rsidRDefault="002A21AE">
            <w:pPr>
              <w:pStyle w:val="TableTextNumbersContinued"/>
            </w:pPr>
            <w:r>
              <w:t xml:space="preserve">Select </w:t>
            </w:r>
            <w:r>
              <w:rPr>
                <w:b/>
              </w:rPr>
              <w:t>Prolonged Transfusion Time Report</w:t>
            </w:r>
            <w:r>
              <w:t>.</w:t>
            </w:r>
          </w:p>
        </w:tc>
        <w:tc>
          <w:tcPr>
            <w:tcW w:w="6120" w:type="dxa"/>
          </w:tcPr>
          <w:p w:rsidR="002A21AE" w:rsidRDefault="002A21AE">
            <w:pPr>
              <w:pStyle w:val="TableTextBullet"/>
            </w:pPr>
            <w:r>
              <w:t>Displays options for generating, viewing, and printing reports.</w:t>
            </w:r>
          </w:p>
          <w:p w:rsidR="002A21AE" w:rsidRDefault="002A21AE">
            <w:pPr>
              <w:pStyle w:val="TableTextBullet"/>
            </w:pPr>
            <w:r>
              <w:t>Displays a date range for selection.</w:t>
            </w:r>
          </w:p>
          <w:p w:rsidR="002A21AE" w:rsidRDefault="002A21AE">
            <w:pPr>
              <w:pStyle w:val="TableTextBullet"/>
            </w:pPr>
            <w:r>
              <w:t>Displays report sort order and compilation criteria.</w:t>
            </w:r>
          </w:p>
        </w:tc>
      </w:tr>
      <w:tr w:rsidR="002A21AE">
        <w:tblPrEx>
          <w:tblCellMar>
            <w:top w:w="0" w:type="dxa"/>
            <w:bottom w:w="0" w:type="dxa"/>
          </w:tblCellMar>
        </w:tblPrEx>
        <w:tc>
          <w:tcPr>
            <w:tcW w:w="3240" w:type="dxa"/>
          </w:tcPr>
          <w:p w:rsidR="002A21AE" w:rsidRDefault="002A21AE">
            <w:pPr>
              <w:pStyle w:val="TableTextNumbers"/>
            </w:pPr>
            <w:r>
              <w:t>Enter a date range.</w:t>
            </w:r>
          </w:p>
          <w:p w:rsidR="002A21AE" w:rsidRDefault="002A21AE">
            <w:pPr>
              <w:pStyle w:val="TableTextNumbersContinued"/>
            </w:pPr>
          </w:p>
          <w:p w:rsidR="002A21AE" w:rsidRDefault="002A21AE">
            <w:pPr>
              <w:pStyle w:val="TableTextNumbersContinued"/>
            </w:pPr>
            <w:r>
              <w:t xml:space="preserve">Click the </w:t>
            </w:r>
            <w:r>
              <w:rPr>
                <w:b/>
              </w:rPr>
              <w:t>Transfusion Date (Reverse Chronological)</w:t>
            </w:r>
            <w:r>
              <w:t xml:space="preserve"> or </w:t>
            </w:r>
            <w:r>
              <w:rPr>
                <w:b/>
              </w:rPr>
              <w:t xml:space="preserve">Issue-To Location </w:t>
            </w:r>
            <w:r w:rsidRPr="00BF2E41">
              <w:t>radio button</w:t>
            </w:r>
            <w:r>
              <w:t xml:space="preserve"> to select a sort order.</w:t>
            </w:r>
          </w:p>
        </w:tc>
        <w:tc>
          <w:tcPr>
            <w:tcW w:w="6120" w:type="dxa"/>
          </w:tcPr>
          <w:p w:rsidR="002A21AE" w:rsidRDefault="002A21AE">
            <w:pPr>
              <w:pStyle w:val="TableText"/>
            </w:pPr>
            <w:r>
              <w:t xml:space="preserve"> </w:t>
            </w:r>
          </w:p>
        </w:tc>
      </w:tr>
      <w:tr w:rsidR="002A21AE">
        <w:tblPrEx>
          <w:tblCellMar>
            <w:top w:w="0" w:type="dxa"/>
            <w:bottom w:w="0" w:type="dxa"/>
          </w:tblCellMar>
        </w:tblPrEx>
        <w:tc>
          <w:tcPr>
            <w:tcW w:w="3240" w:type="dxa"/>
          </w:tcPr>
          <w:p w:rsidR="002A21AE" w:rsidRDefault="002A21AE">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rsidR="002A21AE" w:rsidRDefault="002A21AE">
            <w:pPr>
              <w:pStyle w:val="TableTextNumbersContinued"/>
            </w:pPr>
          </w:p>
          <w:p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rsidR="002A21AE" w:rsidRDefault="002A21AE">
            <w:pPr>
              <w:pStyle w:val="TableTextBullet"/>
              <w:rPr>
                <w:b/>
                <w:bCs/>
                <w:szCs w:val="18"/>
              </w:rPr>
            </w:pPr>
            <w:r>
              <w:t>Compiles and displays the report.</w:t>
            </w:r>
            <w:r>
              <w:rPr>
                <w:b/>
                <w:bCs/>
              </w:rPr>
              <w:t xml:space="preserve"> </w:t>
            </w:r>
          </w:p>
          <w:p w:rsidR="002A21AE" w:rsidRDefault="002A21AE">
            <w:pPr>
              <w:pStyle w:val="TableText"/>
            </w:pPr>
          </w:p>
          <w:p w:rsidR="002A21AE" w:rsidRDefault="00634BFC">
            <w:pPr>
              <w:pStyle w:val="TableText"/>
              <w:rPr>
                <w:b/>
                <w:bCs/>
              </w:rPr>
            </w:pPr>
            <w:r>
              <w:rPr>
                <w:b/>
                <w:bCs/>
                <w:noProof/>
              </w:rPr>
              <mc:AlternateContent>
                <mc:Choice Requires="wps">
                  <w:drawing>
                    <wp:anchor distT="0" distB="0" distL="114300" distR="114300" simplePos="0" relativeHeight="25167513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269" name="Line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5"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jKTFQ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O6S&#10;MpMVAgAALQQAAA4AAAAAAAAAAAAAAAAALgIAAGRycy9lMm9Eb2MueG1sUEsBAi0AFAAGAAgAAAAh&#10;ABdPMBLbAAAACAEAAA8AAAAAAAAAAAAAAAAAbwQAAGRycy9kb3ducmV2LnhtbFBLBQYAAAAABAAE&#10;APMAAAB3BQAAAAA=&#10;" strokeweight="1.5pt"/>
                  </w:pict>
                </mc:Fallback>
              </mc:AlternateContent>
            </w:r>
            <w:r w:rsidR="002A21AE">
              <w:rPr>
                <w:b/>
                <w:bCs/>
              </w:rPr>
              <w:t>NOTES</w:t>
            </w:r>
          </w:p>
          <w:p w:rsidR="002A21AE" w:rsidRDefault="002A21AE">
            <w:pPr>
              <w:pStyle w:val="NotesText"/>
            </w:pPr>
          </w:p>
          <w:p w:rsidR="002A21AE" w:rsidRDefault="002A21AE">
            <w:pPr>
              <w:pStyle w:val="NotesText"/>
              <w:rPr>
                <w:rFonts w:cs="Arial"/>
              </w:rPr>
            </w:pPr>
            <w:r>
              <w:t>The report includes:</w:t>
            </w:r>
            <w:r>
              <w:rPr>
                <w:rFonts w:cs="Arial"/>
              </w:rPr>
              <w:t xml:space="preserve"> </w:t>
            </w:r>
          </w:p>
          <w:p w:rsidR="002A21AE" w:rsidRDefault="002A21AE">
            <w:pPr>
              <w:pStyle w:val="NotesTextBullet"/>
            </w:pPr>
            <w:r>
              <w:t>Issue-to location</w:t>
            </w:r>
          </w:p>
          <w:p w:rsidR="002A21AE" w:rsidRDefault="002A21AE">
            <w:pPr>
              <w:pStyle w:val="NotesTextBullet"/>
            </w:pPr>
            <w:r>
              <w:t>Unit ID</w:t>
            </w:r>
          </w:p>
          <w:p w:rsidR="002A21AE" w:rsidRDefault="002A21AE">
            <w:pPr>
              <w:pStyle w:val="NotesTextBullet"/>
            </w:pPr>
            <w:r>
              <w:t>Product short name</w:t>
            </w:r>
          </w:p>
          <w:p w:rsidR="002A21AE" w:rsidRDefault="002A21AE">
            <w:pPr>
              <w:pStyle w:val="NotesTextBullet"/>
            </w:pPr>
            <w:r>
              <w:t>Issue Date/time</w:t>
            </w:r>
          </w:p>
          <w:p w:rsidR="002A21AE" w:rsidRDefault="002A21AE">
            <w:pPr>
              <w:pStyle w:val="NotesTextBullet"/>
            </w:pPr>
            <w:r>
              <w:t xml:space="preserve">Start Date/time </w:t>
            </w:r>
          </w:p>
          <w:p w:rsidR="002A21AE" w:rsidRDefault="002A21AE">
            <w:pPr>
              <w:pStyle w:val="NotesTextBullet"/>
            </w:pPr>
            <w:r>
              <w:t>End Date/time</w:t>
            </w:r>
          </w:p>
          <w:p w:rsidR="002A21AE" w:rsidRDefault="002A21AE">
            <w:pPr>
              <w:pStyle w:val="NotesTextBullet"/>
            </w:pPr>
            <w:r>
              <w:t>Number of minutes elapsed between unit issue and start time, when exceeds 30 minutes</w:t>
            </w:r>
          </w:p>
          <w:p w:rsidR="002A21AE" w:rsidRDefault="002A21AE">
            <w:pPr>
              <w:pStyle w:val="NotesTextBullet"/>
            </w:pPr>
            <w:r>
              <w:t xml:space="preserve">Number of minutes elapsed between the unit start and end dates and times, when they exceed the maximum transfusion setting for the component class. </w:t>
            </w:r>
          </w:p>
          <w:p w:rsidR="002A21AE" w:rsidRDefault="002A21AE">
            <w:pPr>
              <w:pStyle w:val="NotesTextBullet"/>
            </w:pPr>
            <w:r>
              <w:lastRenderedPageBreak/>
              <w:t>Patient Name</w:t>
            </w:r>
          </w:p>
          <w:p w:rsidR="002A21AE" w:rsidRDefault="002A21AE">
            <w:pPr>
              <w:pStyle w:val="NotesTextBullet"/>
            </w:pPr>
            <w:r>
              <w:t>Patient ID</w:t>
            </w:r>
          </w:p>
          <w:p w:rsidR="002A21AE" w:rsidRDefault="002A21AE">
            <w:pPr>
              <w:pStyle w:val="NotesTextBullet"/>
            </w:pPr>
            <w:r>
              <w:t>Treating Specialty</w:t>
            </w:r>
          </w:p>
          <w:p w:rsidR="002A21AE" w:rsidRDefault="002A21AE">
            <w:pPr>
              <w:pStyle w:val="NotesText"/>
            </w:pPr>
          </w:p>
          <w:p w:rsidR="002A21AE" w:rsidRDefault="002A21AE">
            <w:pPr>
              <w:pStyle w:val="NotesText"/>
            </w:pPr>
            <w:r>
              <w:rPr>
                <w:rFonts w:cs="Arial"/>
                <w:vanish/>
              </w:rPr>
              <w:t xml:space="preserve">BR_105.02 </w:t>
            </w:r>
            <w:r>
              <w:t>The report includes instances of a prolonged start time and/or the prolonged transfusion time.</w:t>
            </w:r>
          </w:p>
          <w:p w:rsidR="002A21AE" w:rsidRDefault="002A21AE">
            <w:pPr>
              <w:pStyle w:val="NotesText"/>
            </w:pPr>
          </w:p>
          <w:p w:rsidR="002A21AE" w:rsidRDefault="002A21AE">
            <w:pPr>
              <w:pStyle w:val="NotesText"/>
            </w:pPr>
            <w:r>
              <w:rPr>
                <w:rFonts w:cs="Arial"/>
                <w:vanish/>
              </w:rPr>
              <w:t xml:space="preserve">BR_105.03 </w:t>
            </w:r>
            <w:r>
              <w:t>A prolonged transfusion time is the number of minutes elapsed between the transfusion start and end times and the maximum transfusion time setting for the component class. When the number of minutes exceeds the maximum transfusion time setting for the component class, the unit and its transfusion data are included in the report.</w:t>
            </w:r>
          </w:p>
          <w:p w:rsidR="002A21AE" w:rsidRDefault="002A21AE">
            <w:pPr>
              <w:pStyle w:val="NotesText"/>
            </w:pPr>
          </w:p>
          <w:p w:rsidR="002A21AE" w:rsidRDefault="002A21AE">
            <w:pPr>
              <w:pStyle w:val="NotesText"/>
            </w:pPr>
            <w:r>
              <w:rPr>
                <w:rFonts w:cs="Arial"/>
                <w:vanish/>
              </w:rPr>
              <w:t xml:space="preserve">BR_105.04 </w:t>
            </w:r>
            <w:r>
              <w:t>A delayed start of transfusion is the number of minutes elapsed between the issue time and the transfusion start time. When the start time of the unit</w:t>
            </w:r>
            <w:r w:rsidR="00FA7E65">
              <w:t>’</w:t>
            </w:r>
            <w:r>
              <w:t>s transfusion is greater than 30 minutes from the unit</w:t>
            </w:r>
            <w:r w:rsidR="00FA7E65">
              <w:t>’</w:t>
            </w:r>
            <w:r>
              <w:t xml:space="preserve">s issue time, the unit and its transfusion data are included in the report. When no start time is entered, </w:t>
            </w:r>
            <w:r w:rsidR="0060282D">
              <w:t xml:space="preserve">VBECS records the issue time as the start time; it does not calculate </w:t>
            </w:r>
            <w:r>
              <w:t>a delayed start time.</w:t>
            </w:r>
          </w:p>
          <w:p w:rsidR="002A21AE" w:rsidRDefault="002A21AE">
            <w:pPr>
              <w:pStyle w:val="NotesText"/>
            </w:pPr>
          </w:p>
          <w:p w:rsidR="002A21AE" w:rsidRDefault="002A21AE">
            <w:pPr>
              <w:pStyle w:val="NotesText"/>
            </w:pPr>
            <w:r>
              <w:rPr>
                <w:rFonts w:cs="Arial"/>
                <w:vanish/>
              </w:rPr>
              <w:t xml:space="preserve">BR_105.06 </w:t>
            </w:r>
            <w:r>
              <w:t>The total transfusion time is the number of minutes elapsed between the issue and end times.</w:t>
            </w:r>
          </w:p>
          <w:p w:rsidR="002A21AE" w:rsidRDefault="002A21AE">
            <w:pPr>
              <w:pStyle w:val="NotesText"/>
            </w:pPr>
          </w:p>
          <w:p w:rsidR="002A21AE" w:rsidRDefault="002A21AE">
            <w:pPr>
              <w:pStyle w:val="NotesText"/>
            </w:pPr>
            <w:r>
              <w:rPr>
                <w:rFonts w:cs="Arial"/>
                <w:vanish/>
              </w:rPr>
              <w:t xml:space="preserve">BR_105.05 </w:t>
            </w:r>
            <w:r>
              <w:t>The report includes:</w:t>
            </w:r>
          </w:p>
          <w:p w:rsidR="002A21AE" w:rsidRDefault="002A21AE">
            <w:pPr>
              <w:pStyle w:val="NotesTextBullet"/>
            </w:pPr>
            <w:r>
              <w:t>Issue-To Location</w:t>
            </w:r>
          </w:p>
          <w:p w:rsidR="002A21AE" w:rsidRDefault="002A21AE">
            <w:pPr>
              <w:pStyle w:val="NotesTextBullet"/>
            </w:pPr>
            <w:r>
              <w:t>Unit ID</w:t>
            </w:r>
          </w:p>
          <w:p w:rsidR="002A21AE" w:rsidRDefault="002A21AE">
            <w:pPr>
              <w:pStyle w:val="NotesTextBullet"/>
            </w:pPr>
            <w:r>
              <w:t>Product Short Name</w:t>
            </w:r>
          </w:p>
          <w:p w:rsidR="002A21AE" w:rsidRDefault="002A21AE">
            <w:pPr>
              <w:pStyle w:val="NotesTextBullet"/>
            </w:pPr>
            <w:r>
              <w:t>Issue Date/Time</w:t>
            </w:r>
          </w:p>
          <w:p w:rsidR="002A21AE" w:rsidRDefault="002A21AE">
            <w:pPr>
              <w:pStyle w:val="NotesTextBullet"/>
            </w:pPr>
            <w:r>
              <w:t xml:space="preserve">Start Date/Time </w:t>
            </w:r>
          </w:p>
          <w:p w:rsidR="002A21AE" w:rsidRDefault="002A21AE">
            <w:pPr>
              <w:pStyle w:val="NotesTextBullet"/>
            </w:pPr>
            <w:r>
              <w:t>End Date/Time</w:t>
            </w:r>
          </w:p>
          <w:p w:rsidR="002A21AE" w:rsidRDefault="002A21AE">
            <w:pPr>
              <w:pStyle w:val="NotesTextBullet"/>
            </w:pPr>
            <w:r>
              <w:t>Delayed start interval (the number of minutes elapsed between unit issue and start times, when it exceeds 30 minutes)</w:t>
            </w:r>
          </w:p>
          <w:p w:rsidR="002A21AE" w:rsidRDefault="002A21AE">
            <w:pPr>
              <w:pStyle w:val="NotesTextBullet"/>
            </w:pPr>
            <w:r>
              <w:t xml:space="preserve">Prolonged </w:t>
            </w:r>
            <w:r w:rsidR="00191CFE">
              <w:t>transfusion</w:t>
            </w:r>
            <w:r>
              <w:t xml:space="preserve"> interval (the number of minutes elapsed between unit start and end dates and times, when they exceed the maximum transfusion setting for the component class)</w:t>
            </w:r>
          </w:p>
          <w:p w:rsidR="002A21AE" w:rsidRDefault="002A21AE">
            <w:pPr>
              <w:pStyle w:val="NotesTextBullet"/>
            </w:pPr>
            <w:r>
              <w:t>Patient Name</w:t>
            </w:r>
          </w:p>
          <w:p w:rsidR="002A21AE" w:rsidRDefault="002A21AE">
            <w:pPr>
              <w:pStyle w:val="NotesTextBullet"/>
            </w:pPr>
            <w:r>
              <w:t xml:space="preserve">Patient ID </w:t>
            </w:r>
          </w:p>
          <w:p w:rsidR="000566D6" w:rsidRDefault="002A21AE" w:rsidP="00AA2B2E">
            <w:pPr>
              <w:pStyle w:val="NotesTextBullet"/>
            </w:pPr>
            <w:r>
              <w:t>Treating Specialty</w:t>
            </w:r>
          </w:p>
        </w:tc>
      </w:tr>
      <w:tr w:rsidR="002A21AE">
        <w:tblPrEx>
          <w:tblCellMar>
            <w:top w:w="0" w:type="dxa"/>
            <w:bottom w:w="0" w:type="dxa"/>
          </w:tblCellMar>
        </w:tblPrEx>
        <w:tc>
          <w:tcPr>
            <w:tcW w:w="3240" w:type="dxa"/>
          </w:tcPr>
          <w:p w:rsidR="002A21AE" w:rsidRDefault="002A21AE">
            <w:pPr>
              <w:pStyle w:val="TableTextNumbers"/>
            </w:pPr>
            <w:r>
              <w:lastRenderedPageBreak/>
              <w:t xml:space="preserve">Select </w:t>
            </w:r>
            <w:r>
              <w:rPr>
                <w:b/>
              </w:rPr>
              <w:t xml:space="preserve">Print </w:t>
            </w:r>
            <w:r>
              <w:t xml:space="preserve">to print the report and exit, or click </w:t>
            </w:r>
            <w:r>
              <w:rPr>
                <w:b/>
              </w:rPr>
              <w:t>Close</w:t>
            </w:r>
            <w:r>
              <w:t xml:space="preserve"> to exit without printing.</w:t>
            </w:r>
            <w:r>
              <w:rPr>
                <w:color w:val="FFFFFF"/>
              </w:rPr>
              <w:t xml:space="preserve"> </w:t>
            </w:r>
            <w:r w:rsidRPr="009660C3">
              <w:rPr>
                <w:vanish/>
                <w:szCs w:val="18"/>
              </w:rPr>
              <w:fldChar w:fldCharType="begin"/>
            </w:r>
            <w:r w:rsidRPr="009660C3">
              <w:rPr>
                <w:vanish/>
                <w:szCs w:val="18"/>
              </w:rPr>
              <w:instrText xml:space="preserve"> LISTNUM \l 1 \s 0 </w:instrText>
            </w:r>
            <w:r w:rsidRPr="009660C3">
              <w:rPr>
                <w:vanish/>
                <w:szCs w:val="18"/>
              </w:rPr>
              <w:fldChar w:fldCharType="end"/>
            </w:r>
          </w:p>
        </w:tc>
        <w:tc>
          <w:tcPr>
            <w:tcW w:w="6120" w:type="dxa"/>
          </w:tcPr>
          <w:p w:rsidR="002A21AE" w:rsidRDefault="002A21AE">
            <w:pPr>
              <w:pStyle w:val="TableTextBullet"/>
            </w:pPr>
            <w:r>
              <w:t>Prints the report on the selected printer.</w:t>
            </w:r>
          </w:p>
        </w:tc>
      </w:tr>
    </w:tbl>
    <w:p w:rsidR="00F55832" w:rsidRDefault="00F55832">
      <w:pPr>
        <w:pStyle w:val="Heading2"/>
      </w:pPr>
    </w:p>
    <w:p w:rsidR="002A21AE" w:rsidRDefault="00F55832">
      <w:pPr>
        <w:pStyle w:val="Heading2"/>
      </w:pPr>
      <w:r>
        <w:br w:type="page"/>
      </w:r>
      <w:bookmarkStart w:id="574" w:name="_Toc459900179"/>
      <w:r w:rsidR="000E7760">
        <w:lastRenderedPageBreak/>
        <w:t>Patient Testing Worklist and Testing Worklist Reports</w:t>
      </w:r>
      <w:bookmarkEnd w:id="574"/>
      <w:r w:rsidR="002A21AE">
        <w:fldChar w:fldCharType="begin"/>
      </w:r>
      <w:r w:rsidR="002A21AE">
        <w:instrText xml:space="preserve"> XE </w:instrText>
      </w:r>
      <w:r w:rsidR="00FA7E65">
        <w:instrText>“</w:instrText>
      </w:r>
      <w:r w:rsidR="000E7760">
        <w:instrText>Patient Testing Worklist and Testing Worklist Reports</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UC_48</w:t>
      </w:r>
    </w:p>
    <w:p w:rsidR="002A21AE" w:rsidRDefault="002A21AE" w:rsidP="00FA7E65">
      <w:pPr>
        <w:pStyle w:val="BodyText"/>
      </w:pPr>
      <w:r>
        <w:t>The user views and</w:t>
      </w:r>
      <w:r w:rsidR="003A39EF">
        <w:t>/or</w:t>
      </w:r>
      <w:r>
        <w:t xml:space="preserve"> prints the</w:t>
      </w:r>
      <w:r w:rsidR="003D604B">
        <w:t xml:space="preserve"> Patient Testing Worklist and Testing Worklist Reports.</w:t>
      </w:r>
    </w:p>
    <w:p w:rsidR="002A21AE" w:rsidRDefault="002A21AE">
      <w:pPr>
        <w:pStyle w:val="Heading4"/>
      </w:pPr>
      <w:r>
        <w:t>Assumptions</w:t>
      </w:r>
      <w:r>
        <w:rPr>
          <w:b w:val="0"/>
        </w:rPr>
        <w:t xml:space="preserve"> </w:t>
      </w:r>
    </w:p>
    <w:p w:rsidR="002A21AE" w:rsidRDefault="002A21AE">
      <w:pPr>
        <w:pStyle w:val="ListBullet"/>
      </w:pPr>
      <w:r>
        <w:t>The user must be logged into the division in which the report is to be generated.</w:t>
      </w:r>
    </w:p>
    <w:p w:rsidR="002A21AE" w:rsidRDefault="002A21AE">
      <w:pPr>
        <w:pStyle w:val="Heading4"/>
      </w:pPr>
      <w:r>
        <w:t xml:space="preserve">Outcome </w:t>
      </w:r>
    </w:p>
    <w:p w:rsidR="002A21AE" w:rsidRDefault="002728D7">
      <w:pPr>
        <w:pStyle w:val="ListBullet"/>
      </w:pPr>
      <w:r>
        <w:t>The user views and/or prints</w:t>
      </w:r>
      <w:r w:rsidR="002A21AE">
        <w:t xml:space="preserve"> a report, or schedules a report for future compilation and printing.</w:t>
      </w:r>
    </w:p>
    <w:p w:rsidR="002A21AE" w:rsidRDefault="002A21AE">
      <w:pPr>
        <w:pStyle w:val="Heading4"/>
      </w:pPr>
      <w:r>
        <w:t>Limitations and Restrictions</w:t>
      </w:r>
      <w:r>
        <w:rPr>
          <w:b w:val="0"/>
        </w:rPr>
        <w:t xml:space="preserve"> </w:t>
      </w:r>
    </w:p>
    <w:p w:rsidR="002A21AE" w:rsidRDefault="000A5167">
      <w:pPr>
        <w:pStyle w:val="ListBullet"/>
      </w:pPr>
      <w:r>
        <w:t>Reports do</w:t>
      </w:r>
      <w:r w:rsidR="002A21AE">
        <w:t xml:space="preserve"> not include Transfusion Reaction Workup (TRW) test results.</w:t>
      </w:r>
    </w:p>
    <w:p w:rsidR="002A21AE" w:rsidRDefault="00170EEF">
      <w:pPr>
        <w:pStyle w:val="ListBullet"/>
      </w:pPr>
      <w:r>
        <w:t>VBECS does not accommodate online review (verification, signature) of reports.</w:t>
      </w:r>
    </w:p>
    <w:p w:rsidR="002A21AE" w:rsidRDefault="002A21AE">
      <w:pPr>
        <w:pStyle w:val="Heading4"/>
      </w:pPr>
      <w:r>
        <w:t xml:space="preserve">Additional Information </w:t>
      </w:r>
    </w:p>
    <w:p w:rsidR="002A21AE" w:rsidRDefault="002A21AE">
      <w:pPr>
        <w:pStyle w:val="ListBullet"/>
      </w:pPr>
      <w:r w:rsidRPr="00D231F7">
        <w:rPr>
          <w:vanish/>
        </w:rPr>
        <w:t xml:space="preserve">BR_48.03 </w:t>
      </w:r>
      <w:r w:rsidR="00D231F7" w:rsidRPr="00D231F7">
        <w:t xml:space="preserve">In a </w:t>
      </w:r>
      <w:r w:rsidRPr="00D231F7">
        <w:t>t</w:t>
      </w:r>
      <w:r w:rsidR="00D231F7" w:rsidRPr="00D231F7">
        <w:t>ransfusi</w:t>
      </w:r>
      <w:r w:rsidR="00D231F7">
        <w:t xml:space="preserve">on-only facility, </w:t>
      </w:r>
      <w:r>
        <w:t>VBECS does not populate the test cell or phase results sections.</w:t>
      </w:r>
    </w:p>
    <w:p w:rsidR="002A21AE" w:rsidRDefault="002A21AE">
      <w:pPr>
        <w:pStyle w:val="ListBullet"/>
      </w:pPr>
      <w:r>
        <w:t>VBECS collates complete, incomplete, and invalidated unit test results entered in the user’s division when the date tested falls within the supplied date range for the unit testing, reagent QC, and patient testing sections of the report.</w:t>
      </w:r>
    </w:p>
    <w:p w:rsidR="002A21AE" w:rsidRDefault="002A21AE">
      <w:pPr>
        <w:pStyle w:val="ListBullet"/>
      </w:pPr>
      <w:r w:rsidRPr="007D540F">
        <w:rPr>
          <w:vanish/>
        </w:rPr>
        <w:t xml:space="preserve">BR_48.10 </w:t>
      </w:r>
      <w:r>
        <w:t xml:space="preserve">VBECS includes test results on all units, regardless of status, for the unit testing section. CMV and Sickle Cell test results are not included in the report. </w:t>
      </w:r>
    </w:p>
    <w:p w:rsidR="002A21AE" w:rsidRDefault="002A21AE">
      <w:pPr>
        <w:pStyle w:val="ListBullet"/>
      </w:pPr>
      <w:r w:rsidRPr="007D540F">
        <w:rPr>
          <w:vanish/>
        </w:rPr>
        <w:t xml:space="preserve">BR_48.11 </w:t>
      </w:r>
      <w:r>
        <w:t>VBECS includes the results of the daily rack QC and patient and unit control testing for the reagent QC section.</w:t>
      </w:r>
    </w:p>
    <w:p w:rsidR="002A21AE" w:rsidRDefault="002A21AE">
      <w:pPr>
        <w:pStyle w:val="ListBullet"/>
      </w:pPr>
      <w:r w:rsidRPr="007D540F">
        <w:rPr>
          <w:vanish/>
        </w:rPr>
        <w:t xml:space="preserve">BR_48.06 </w:t>
      </w:r>
      <w:r>
        <w:t xml:space="preserve">For the patient testing section: </w:t>
      </w:r>
    </w:p>
    <w:p w:rsidR="002A21AE" w:rsidRDefault="002A21AE" w:rsidP="00927C99">
      <w:pPr>
        <w:pStyle w:val="ListBullet2"/>
        <w:ind w:left="900" w:hanging="252"/>
      </w:pPr>
      <w:r>
        <w:t xml:space="preserve">VBECS collates as above for the selected patient specimens </w:t>
      </w:r>
      <w:r w:rsidR="00665443">
        <w:t>within a</w:t>
      </w:r>
      <w:r w:rsidR="00CC0418">
        <w:t xml:space="preserve"> specified </w:t>
      </w:r>
      <w:r w:rsidR="00665443">
        <w:t>date range</w:t>
      </w:r>
      <w:r>
        <w:t>.</w:t>
      </w:r>
    </w:p>
    <w:p w:rsidR="002A21AE" w:rsidRDefault="002A21AE" w:rsidP="00927C99">
      <w:pPr>
        <w:pStyle w:val="ListBullet2"/>
        <w:ind w:left="900" w:hanging="252"/>
      </w:pPr>
      <w:r>
        <w:t xml:space="preserve">The report does not include TRW test results. </w:t>
      </w:r>
    </w:p>
    <w:p w:rsidR="004C1952" w:rsidRDefault="002A21AE" w:rsidP="00927C99">
      <w:pPr>
        <w:pStyle w:val="ListBullet2"/>
        <w:ind w:left="900" w:hanging="252"/>
      </w:pPr>
      <w:r w:rsidRPr="0045199E">
        <w:rPr>
          <w:vanish/>
        </w:rPr>
        <w:t xml:space="preserve">BR_48.08 </w:t>
      </w:r>
      <w:r>
        <w:t>VBECS includes XMs only in the patient testing section.</w:t>
      </w:r>
    </w:p>
    <w:p w:rsidR="002A21AE" w:rsidRDefault="002A21AE" w:rsidP="004C1952">
      <w:pPr>
        <w:pStyle w:val="ListBullet2"/>
        <w:ind w:left="900" w:hanging="252"/>
      </w:pPr>
      <w:r w:rsidRPr="007D540F">
        <w:rPr>
          <w:vanish/>
          <w:spacing w:val="-5"/>
        </w:rPr>
        <w:t xml:space="preserve">BR_48.12 </w:t>
      </w:r>
      <w:r>
        <w:t>VBECS displays individual tests within the TAS and a statement in the Additional Information Column to this effect.</w:t>
      </w:r>
    </w:p>
    <w:p w:rsidR="002A21AE" w:rsidRDefault="002A21AE" w:rsidP="004C1952">
      <w:pPr>
        <w:pStyle w:val="ListBullet2"/>
        <w:ind w:left="900" w:hanging="252"/>
      </w:pPr>
      <w:r w:rsidRPr="007D540F">
        <w:rPr>
          <w:vanish/>
          <w:spacing w:val="-5"/>
        </w:rPr>
        <w:t xml:space="preserve">BR_48.05 </w:t>
      </w:r>
      <w:r>
        <w:t>When</w:t>
      </w:r>
      <w:r w:rsidR="00FF1406" w:rsidRPr="00FF1406">
        <w:t xml:space="preserve"> </w:t>
      </w:r>
      <w:r w:rsidR="00FF1406">
        <w:t xml:space="preserve">Antibody Identification (ABID) testing </w:t>
      </w:r>
      <w:r>
        <w:t>was performed at an outside facility, VBECS prints the name of the outside facility in the Additional Information column.</w:t>
      </w:r>
    </w:p>
    <w:p w:rsidR="0088290C" w:rsidRPr="00622C54" w:rsidRDefault="0088290C" w:rsidP="0088290C">
      <w:pPr>
        <w:pStyle w:val="ListBullet"/>
      </w:pPr>
      <w:r w:rsidRPr="00622C54">
        <w:t xml:space="preserve">If a rack has </w:t>
      </w:r>
      <w:r w:rsidR="006D0362">
        <w:t>only</w:t>
      </w:r>
      <w:r w:rsidR="008F5298">
        <w:t xml:space="preserve"> </w:t>
      </w:r>
      <w:r w:rsidRPr="00622C54">
        <w:t xml:space="preserve">been tested offline </w:t>
      </w:r>
      <w:r w:rsidR="006D0362">
        <w:t>(</w:t>
      </w:r>
      <w:r w:rsidR="008F5298">
        <w:t>never tested within VBECS</w:t>
      </w:r>
      <w:r w:rsidR="006D0362">
        <w:t>)</w:t>
      </w:r>
      <w:r w:rsidR="008F5298">
        <w:t xml:space="preserve"> </w:t>
      </w:r>
      <w:r w:rsidRPr="00622C54">
        <w:t>and the QC has expired</w:t>
      </w:r>
      <w:r w:rsidR="006F2884" w:rsidRPr="00622C54">
        <w:t>, the message “Rack was never QC’d and cannot be used.”</w:t>
      </w:r>
      <w:r w:rsidR="00CF410C" w:rsidRPr="00622C54">
        <w:t xml:space="preserve"> is displayed</w:t>
      </w:r>
      <w:r w:rsidR="006F2884" w:rsidRPr="00622C54">
        <w:t>.</w:t>
      </w:r>
      <w:r w:rsidR="001545B8" w:rsidRPr="00622C54">
        <w:t xml:space="preserve"> </w:t>
      </w:r>
      <w:r w:rsidR="001545B8" w:rsidRPr="00622C54">
        <w:rPr>
          <w:vanish/>
        </w:rPr>
        <w:t>DR 4317</w:t>
      </w:r>
    </w:p>
    <w:p w:rsidR="00F62041" w:rsidRPr="00622C54" w:rsidRDefault="00F62041" w:rsidP="0088290C">
      <w:pPr>
        <w:pStyle w:val="ListBullet"/>
      </w:pPr>
      <w:r w:rsidRPr="00622C54">
        <w:t xml:space="preserve">The Testing Worklist Report does not display any information for Rack QC when QC Documentation Offline has been checked for that date. </w:t>
      </w:r>
      <w:r w:rsidRPr="00622C54">
        <w:rPr>
          <w:vanish/>
        </w:rPr>
        <w:t>DR 4317</w:t>
      </w:r>
    </w:p>
    <w:p w:rsidR="002A21AE" w:rsidRDefault="002A21AE">
      <w:pPr>
        <w:pStyle w:val="Heading4"/>
        <w:rPr>
          <w:b w:val="0"/>
          <w:bCs/>
          <w:snapToGrid w:val="0"/>
        </w:rPr>
      </w:pPr>
      <w:r>
        <w:rPr>
          <w:bCs/>
          <w:snapToGrid w:val="0"/>
        </w:rPr>
        <w:t>User Roles with Access to This Option</w:t>
      </w:r>
      <w:r>
        <w:rPr>
          <w:b w:val="0"/>
          <w:bCs/>
          <w:snapToGrid w:val="0"/>
        </w:rPr>
        <w:t xml:space="preserve"> </w:t>
      </w:r>
    </w:p>
    <w:p w:rsidR="002A21AE" w:rsidRDefault="00184EA4">
      <w:pPr>
        <w:pStyle w:val="Roles"/>
      </w:pPr>
      <w:r>
        <w:t>All users</w:t>
      </w:r>
    </w:p>
    <w:p w:rsidR="00752960" w:rsidRDefault="00F55832" w:rsidP="00752960">
      <w:pPr>
        <w:pStyle w:val="Heading4"/>
      </w:pPr>
      <w:r>
        <w:br w:type="page"/>
      </w:r>
      <w:r w:rsidR="00752960">
        <w:lastRenderedPageBreak/>
        <w:t>Patient Testing Worklist and Testing Worklist Reports</w:t>
      </w:r>
    </w:p>
    <w:p w:rsidR="002A21AE" w:rsidRDefault="002A21AE" w:rsidP="00FA7E65">
      <w:pPr>
        <w:pStyle w:val="BodyText"/>
      </w:pPr>
      <w:r>
        <w:t xml:space="preserve">The user </w:t>
      </w:r>
      <w:r w:rsidR="003A39EF">
        <w:t>views and/or prints</w:t>
      </w:r>
      <w:r>
        <w:t xml:space="preserve"> a</w:t>
      </w:r>
      <w:r w:rsidR="00455261">
        <w:t xml:space="preserve"> Patient Testing Worklist Report for</w:t>
      </w:r>
      <w:r>
        <w:t xml:space="preserve"> a specific patient</w:t>
      </w:r>
      <w:r w:rsidR="00455261">
        <w:t xml:space="preserve"> or a Testing Worklist Report for a division. </w:t>
      </w:r>
      <w:r>
        <w:t>The report</w:t>
      </w:r>
      <w:r w:rsidR="000E7760">
        <w:t>s</w:t>
      </w:r>
      <w:r>
        <w:t xml:space="preserve"> contain both partially completed and completed testing data entries on patients, units, and reagents created in the same division as the user generating the report.</w:t>
      </w:r>
      <w:r w:rsidR="003A39EF">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pPr>
              <w:pStyle w:val="TableTextNumbers"/>
            </w:pPr>
            <w:r>
              <w:t xml:space="preserve">For </w:t>
            </w:r>
            <w:r w:rsidR="00F05FA1">
              <w:t>a Patient Testing Worklist Report (for</w:t>
            </w:r>
            <w:r>
              <w:t xml:space="preserve"> a single patient, select </w:t>
            </w:r>
            <w:r>
              <w:rPr>
                <w:b/>
              </w:rPr>
              <w:t>Patients</w:t>
            </w:r>
            <w:r>
              <w:t xml:space="preserve"> from the main menu. </w:t>
            </w:r>
          </w:p>
          <w:p w:rsidR="002A21AE" w:rsidRDefault="002A21AE">
            <w:pPr>
              <w:pStyle w:val="TableTextNumbersContinued"/>
            </w:pPr>
          </w:p>
          <w:p w:rsidR="002A21AE" w:rsidRDefault="002A21AE">
            <w:pPr>
              <w:pStyle w:val="TableTextNumbersContinued"/>
            </w:pPr>
            <w:r>
              <w:t xml:space="preserve">Select </w:t>
            </w:r>
            <w:r>
              <w:rPr>
                <w:b/>
              </w:rPr>
              <w:t>Patient</w:t>
            </w:r>
            <w:r>
              <w:t xml:space="preserve"> </w:t>
            </w:r>
            <w:r>
              <w:rPr>
                <w:b/>
              </w:rPr>
              <w:t>Testing Worklist Report</w:t>
            </w:r>
            <w:r>
              <w:t>.</w:t>
            </w:r>
          </w:p>
          <w:p w:rsidR="002A21AE" w:rsidRDefault="002A21AE">
            <w:pPr>
              <w:pStyle w:val="TableTextNumbersContinued"/>
            </w:pPr>
          </w:p>
          <w:p w:rsidR="002A21AE" w:rsidRDefault="002A21AE">
            <w:pPr>
              <w:pStyle w:val="TableTextNumbersContinued"/>
            </w:pPr>
            <w:r>
              <w:t xml:space="preserve">For a </w:t>
            </w:r>
            <w:r w:rsidR="000E7760">
              <w:t>Testing Worklist Report</w:t>
            </w:r>
            <w:r>
              <w:t xml:space="preserve"> for a division, go to Step 5.</w:t>
            </w:r>
          </w:p>
        </w:tc>
        <w:tc>
          <w:tcPr>
            <w:tcW w:w="6120" w:type="dxa"/>
          </w:tcPr>
          <w:p w:rsidR="002A21AE" w:rsidRDefault="002A21AE">
            <w:pPr>
              <w:pStyle w:val="TableTextBullet"/>
            </w:pPr>
            <w:r>
              <w:t>Displays options for processing patient-related functions.</w:t>
            </w:r>
          </w:p>
          <w:p w:rsidR="002A21AE" w:rsidRDefault="002A21AE">
            <w:pPr>
              <w:pStyle w:val="TableTextBullet"/>
            </w:pPr>
            <w:r>
              <w:t>Displays patient search criteria.</w:t>
            </w:r>
          </w:p>
        </w:tc>
      </w:tr>
      <w:tr w:rsidR="002A21AE">
        <w:tblPrEx>
          <w:tblCellMar>
            <w:top w:w="0" w:type="dxa"/>
            <w:bottom w:w="0" w:type="dxa"/>
          </w:tblCellMar>
        </w:tblPrEx>
        <w:tc>
          <w:tcPr>
            <w:tcW w:w="3240" w:type="dxa"/>
          </w:tcPr>
          <w:p w:rsidR="002A21AE" w:rsidRDefault="002A21AE">
            <w:pPr>
              <w:pStyle w:val="TableTextNumbers"/>
            </w:pPr>
            <w:r>
              <w:t xml:space="preserve">Enter the </w:t>
            </w:r>
            <w:r w:rsidRPr="00945BF5">
              <w:t>patient name or identification number.</w:t>
            </w:r>
            <w:r>
              <w:t xml:space="preserve"> </w:t>
            </w:r>
          </w:p>
          <w:p w:rsidR="002A21AE" w:rsidRDefault="002A21AE">
            <w:pPr>
              <w:pStyle w:val="TableTextNumbersContinued"/>
            </w:pPr>
          </w:p>
          <w:p w:rsidR="002A21AE" w:rsidRDefault="002A21AE">
            <w:pPr>
              <w:pStyle w:val="TableTextNumbersContinued"/>
            </w:pPr>
            <w:r>
              <w:t xml:space="preserve">Click </w:t>
            </w:r>
            <w:r>
              <w:rPr>
                <w:b/>
              </w:rPr>
              <w:t xml:space="preserve">Search, </w:t>
            </w:r>
            <w:r>
              <w:t xml:space="preserve">as required. </w:t>
            </w:r>
          </w:p>
          <w:p w:rsidR="002A21AE" w:rsidRDefault="002A21AE">
            <w:pPr>
              <w:pStyle w:val="TableTextNumbersContinued"/>
            </w:pPr>
          </w:p>
          <w:p w:rsidR="002A21AE" w:rsidRDefault="002A21AE">
            <w:pPr>
              <w:pStyle w:val="TableTextNumbersContinued"/>
            </w:pPr>
            <w:r>
              <w:t xml:space="preserve">Select a patient and click </w:t>
            </w:r>
            <w:r>
              <w:rPr>
                <w:b/>
              </w:rPr>
              <w:t>OK</w:t>
            </w:r>
            <w:r>
              <w:t>.</w:t>
            </w:r>
          </w:p>
        </w:tc>
        <w:tc>
          <w:tcPr>
            <w:tcW w:w="6120" w:type="dxa"/>
          </w:tcPr>
          <w:p w:rsidR="002A21AE" w:rsidRDefault="002A21AE">
            <w:pPr>
              <w:pStyle w:val="TableTextBullet"/>
            </w:pPr>
            <w:r>
              <w:t>Requires the user to select a patient.</w:t>
            </w:r>
          </w:p>
          <w:p w:rsidR="002A21AE" w:rsidRDefault="002A21AE">
            <w:pPr>
              <w:pStyle w:val="TableTextBullet"/>
            </w:pPr>
            <w:r>
              <w:t>Displays specimen search criteria.</w:t>
            </w:r>
          </w:p>
        </w:tc>
      </w:tr>
      <w:tr w:rsidR="002A21AE">
        <w:tblPrEx>
          <w:tblCellMar>
            <w:top w:w="0" w:type="dxa"/>
            <w:bottom w:w="0" w:type="dxa"/>
          </w:tblCellMar>
        </w:tblPrEx>
        <w:tc>
          <w:tcPr>
            <w:tcW w:w="3240" w:type="dxa"/>
          </w:tcPr>
          <w:p w:rsidR="002A21AE" w:rsidRDefault="002A21AE">
            <w:pPr>
              <w:pStyle w:val="TableTextNumbers"/>
            </w:pPr>
            <w:r>
              <w:t>Select or edit the dates and times in the Sp</w:t>
            </w:r>
            <w:r w:rsidRPr="00CE38AA">
              <w:t>ecimen Received Start Date and End Date fields</w:t>
            </w:r>
            <w:r w:rsidRPr="00945BF5">
              <w:t>.</w:t>
            </w:r>
          </w:p>
          <w:p w:rsidR="002A21AE" w:rsidRDefault="002A21AE">
            <w:pPr>
              <w:pStyle w:val="TableTextNumbersContinued"/>
            </w:pPr>
          </w:p>
          <w:p w:rsidR="002A21AE" w:rsidRDefault="002A21AE">
            <w:pPr>
              <w:pStyle w:val="TableTextNumbersContinued"/>
            </w:pPr>
            <w:r>
              <w:t xml:space="preserve">Click </w:t>
            </w:r>
            <w:r>
              <w:rPr>
                <w:b/>
              </w:rPr>
              <w:t>Search</w:t>
            </w:r>
            <w:r>
              <w:t>, as required.</w:t>
            </w:r>
          </w:p>
        </w:tc>
        <w:tc>
          <w:tcPr>
            <w:tcW w:w="6120" w:type="dxa"/>
          </w:tcPr>
          <w:p w:rsidR="002A21AE" w:rsidRDefault="002A21AE">
            <w:pPr>
              <w:pStyle w:val="TableTextBullet"/>
            </w:pPr>
            <w:r>
              <w:t>Allows the user to indicate a date range and patient specimens to include in the report.</w:t>
            </w:r>
          </w:p>
          <w:p w:rsidR="002A21AE" w:rsidRDefault="002A21AE">
            <w:pPr>
              <w:pStyle w:val="TableTextBullet"/>
            </w:pPr>
            <w:r>
              <w:t xml:space="preserve">Displays specimens with associated testing for the selected patient. </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58912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268" name="Lin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3" o:spid="_x0000_s1026" style="position:absolute;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lRaFgIAAC0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Dp&#10;elRaFgIAAC0EAAAOAAAAAAAAAAAAAAAAAC4CAABkcnMvZTJvRG9jLnhtbFBLAQItABQABgAIAAAA&#10;IQAXTzAS2wAAAAgBAAAPAAAAAAAAAAAAAAAAAHAEAABkcnMvZG93bnJldi54bWxQSwUGAAAAAAQA&#10;BADzAAAAeAU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BR_48.15 </w:t>
            </w:r>
            <w:r>
              <w:t xml:space="preserve">The individual </w:t>
            </w:r>
            <w:r w:rsidR="00F05FA1">
              <w:t xml:space="preserve">Patient Testing Worklist Report </w:t>
            </w:r>
            <w:r>
              <w:t xml:space="preserve">includes VBECS specimen UIDs from the last 90 days, by default. The user may remove one or more specimen UIDs and/or edit the default date range. </w:t>
            </w:r>
          </w:p>
          <w:p w:rsidR="002A21AE" w:rsidRDefault="002A21AE">
            <w:pPr>
              <w:pStyle w:val="NotesText"/>
            </w:pPr>
          </w:p>
          <w:p w:rsidR="002A21AE" w:rsidRDefault="002A21AE">
            <w:pPr>
              <w:pStyle w:val="NotesText"/>
            </w:pPr>
            <w:r>
              <w:rPr>
                <w:rFonts w:cs="Arial"/>
                <w:vanish/>
              </w:rPr>
              <w:t xml:space="preserve">BR_48.04 </w:t>
            </w:r>
            <w:r>
              <w:t>When the patient record is not found, VBECS notifies the user that no matching patients were found.</w:t>
            </w:r>
          </w:p>
          <w:p w:rsidR="002A21AE" w:rsidRDefault="002A21AE">
            <w:pPr>
              <w:pStyle w:val="NotesText"/>
            </w:pPr>
          </w:p>
          <w:p w:rsidR="002A21AE" w:rsidRDefault="002A21AE">
            <w:pPr>
              <w:pStyle w:val="NotesText"/>
            </w:pPr>
            <w:r>
              <w:rPr>
                <w:rFonts w:cs="Arial"/>
                <w:vanish/>
              </w:rPr>
              <w:t xml:space="preserve">BR_48.01 </w:t>
            </w:r>
            <w:r>
              <w:t>When the selected patient has no specimen on file within the division, VBECS warns the user and asks the user to select a different patient.</w:t>
            </w:r>
          </w:p>
          <w:p w:rsidR="002A21AE" w:rsidRDefault="002A21AE">
            <w:pPr>
              <w:pStyle w:val="NotesText"/>
            </w:pPr>
          </w:p>
          <w:p w:rsidR="002A21AE" w:rsidRDefault="002A21AE">
            <w:pPr>
              <w:pStyle w:val="NotesText"/>
            </w:pPr>
            <w:r>
              <w:t>Requires the user to indicate the format of the report:</w:t>
            </w:r>
          </w:p>
          <w:p w:rsidR="00661E8D" w:rsidRDefault="00661E8D">
            <w:pPr>
              <w:pStyle w:val="NotesTextBullet"/>
            </w:pPr>
            <w:r>
              <w:t>Patient Testing</w:t>
            </w:r>
          </w:p>
          <w:p w:rsidR="00661E8D" w:rsidRDefault="00661E8D">
            <w:pPr>
              <w:pStyle w:val="NotesTextBullet"/>
            </w:pPr>
            <w:r>
              <w:t>Unit Testing</w:t>
            </w:r>
          </w:p>
          <w:p w:rsidR="00661E8D" w:rsidRDefault="00661E8D">
            <w:pPr>
              <w:pStyle w:val="NotesTextBullet"/>
            </w:pPr>
            <w:r>
              <w:t>Daily QC</w:t>
            </w:r>
          </w:p>
          <w:p w:rsidR="002A21AE" w:rsidRDefault="00661E8D">
            <w:pPr>
              <w:pStyle w:val="NotesTextBullet"/>
            </w:pPr>
            <w:r>
              <w:t>Miscellaneous Reagent QC</w:t>
            </w:r>
          </w:p>
        </w:tc>
      </w:tr>
      <w:tr w:rsidR="002A21AE">
        <w:tblPrEx>
          <w:tblCellMar>
            <w:top w:w="0" w:type="dxa"/>
            <w:bottom w:w="0" w:type="dxa"/>
          </w:tblCellMar>
        </w:tblPrEx>
        <w:tc>
          <w:tcPr>
            <w:tcW w:w="3240" w:type="dxa"/>
          </w:tcPr>
          <w:p w:rsidR="002A21AE" w:rsidRDefault="002A21AE">
            <w:pPr>
              <w:pStyle w:val="TableTextNumbers"/>
            </w:pPr>
            <w:r>
              <w:t>Click one or more check boxes to select specimens.</w:t>
            </w:r>
          </w:p>
          <w:p w:rsidR="002A21AE" w:rsidRDefault="002A21AE">
            <w:pPr>
              <w:pStyle w:val="TableTextNumbersContinued"/>
            </w:pPr>
          </w:p>
          <w:p w:rsidR="002A21AE" w:rsidRDefault="002A21AE">
            <w:pPr>
              <w:pStyle w:val="TableTextNumbersContinued"/>
            </w:pPr>
            <w:r>
              <w:t xml:space="preserve">Click </w:t>
            </w:r>
            <w:r>
              <w:rPr>
                <w:b/>
              </w:rPr>
              <w:t>OK</w:t>
            </w:r>
            <w:r>
              <w:t>.</w:t>
            </w:r>
          </w:p>
          <w:p w:rsidR="002A21AE" w:rsidRDefault="002A21AE">
            <w:pPr>
              <w:pStyle w:val="TableTextNumbersContinued"/>
            </w:pPr>
          </w:p>
          <w:p w:rsidR="002A21AE" w:rsidRDefault="002A21AE">
            <w:pPr>
              <w:pStyle w:val="TableTextNumbersContinued"/>
            </w:pPr>
            <w:r>
              <w:t>Go to Step 8.</w:t>
            </w:r>
          </w:p>
        </w:tc>
        <w:tc>
          <w:tcPr>
            <w:tcW w:w="6120" w:type="dxa"/>
          </w:tcPr>
          <w:p w:rsidR="002A21AE" w:rsidRDefault="002A21AE">
            <w:pPr>
              <w:pStyle w:val="TableTextBullet"/>
            </w:pPr>
            <w:r>
              <w:t>Displays the report.</w:t>
            </w:r>
          </w:p>
          <w:p w:rsidR="002A21AE" w:rsidRDefault="002A21AE">
            <w:pPr>
              <w:pStyle w:val="TableTextBullet"/>
            </w:pPr>
            <w:r>
              <w:t>Allows the user to print the report.</w:t>
            </w:r>
          </w:p>
        </w:tc>
      </w:tr>
      <w:tr w:rsidR="002A21AE">
        <w:tblPrEx>
          <w:tblCellMar>
            <w:top w:w="0" w:type="dxa"/>
            <w:bottom w:w="0" w:type="dxa"/>
          </w:tblCellMar>
        </w:tblPrEx>
        <w:tc>
          <w:tcPr>
            <w:tcW w:w="3240" w:type="dxa"/>
          </w:tcPr>
          <w:p w:rsidR="002A21AE" w:rsidRDefault="002A21AE">
            <w:pPr>
              <w:pStyle w:val="TableTextNumbers"/>
            </w:pPr>
            <w:r>
              <w:t xml:space="preserve">For a Testing Worklist Report for a division, select </w:t>
            </w:r>
            <w:r>
              <w:rPr>
                <w:b/>
              </w:rPr>
              <w:t>Reports</w:t>
            </w:r>
            <w:r>
              <w:t xml:space="preserve"> from the main menu.</w:t>
            </w:r>
          </w:p>
          <w:p w:rsidR="002A21AE" w:rsidRDefault="002A21AE">
            <w:pPr>
              <w:pStyle w:val="TableTextNumbersContinued"/>
            </w:pPr>
          </w:p>
          <w:p w:rsidR="002A21AE" w:rsidRDefault="002A21AE">
            <w:pPr>
              <w:pStyle w:val="TableTextNumbersContinued"/>
            </w:pPr>
            <w:r>
              <w:t xml:space="preserve">Select </w:t>
            </w:r>
            <w:r>
              <w:rPr>
                <w:b/>
              </w:rPr>
              <w:t>Testing Worklist Report</w:t>
            </w:r>
            <w:r>
              <w:t>.</w:t>
            </w:r>
          </w:p>
        </w:tc>
        <w:tc>
          <w:tcPr>
            <w:tcW w:w="6120" w:type="dxa"/>
          </w:tcPr>
          <w:p w:rsidR="002A21AE" w:rsidRDefault="002A21AE">
            <w:pPr>
              <w:pStyle w:val="TableTextBullet"/>
            </w:pPr>
            <w:r>
              <w:t>Lists report names.</w:t>
            </w:r>
          </w:p>
          <w:p w:rsidR="002A21AE" w:rsidRDefault="002A21AE">
            <w:pPr>
              <w:pStyle w:val="TableTextBullet"/>
            </w:pPr>
            <w:r>
              <w:t>Displays the report date range, sections</w:t>
            </w:r>
            <w:r w:rsidR="00E3701B">
              <w:t xml:space="preserve"> (Patient Testing, Unit Testing, Rack QC, and Miscellaneous Reagent QC)</w:t>
            </w:r>
            <w:r>
              <w:t>, and compilation criteria.</w:t>
            </w:r>
          </w:p>
        </w:tc>
      </w:tr>
      <w:tr w:rsidR="002A21AE">
        <w:tblPrEx>
          <w:tblCellMar>
            <w:top w:w="0" w:type="dxa"/>
            <w:bottom w:w="0" w:type="dxa"/>
          </w:tblCellMar>
        </w:tblPrEx>
        <w:tc>
          <w:tcPr>
            <w:tcW w:w="3240" w:type="dxa"/>
          </w:tcPr>
          <w:p w:rsidR="002A21AE" w:rsidRDefault="002A21AE">
            <w:pPr>
              <w:pStyle w:val="TableTextNumbers"/>
            </w:pPr>
            <w:r>
              <w:t xml:space="preserve">Select or edit the dates and times in the </w:t>
            </w:r>
            <w:r w:rsidRPr="00945BF5">
              <w:rPr>
                <w:b/>
              </w:rPr>
              <w:t>Start Date</w:t>
            </w:r>
            <w:r w:rsidRPr="00945BF5">
              <w:t xml:space="preserve"> and </w:t>
            </w:r>
            <w:r w:rsidRPr="00945BF5">
              <w:rPr>
                <w:b/>
              </w:rPr>
              <w:t>End Date</w:t>
            </w:r>
            <w:r>
              <w:t xml:space="preserve"> </w:t>
            </w:r>
            <w:r>
              <w:lastRenderedPageBreak/>
              <w:t>fields.</w:t>
            </w:r>
          </w:p>
        </w:tc>
        <w:tc>
          <w:tcPr>
            <w:tcW w:w="6120" w:type="dxa"/>
          </w:tcPr>
          <w:p w:rsidR="002A21AE" w:rsidRDefault="002A21AE">
            <w:pPr>
              <w:pStyle w:val="TableTextBullet"/>
            </w:pPr>
            <w:r>
              <w:lastRenderedPageBreak/>
              <w:t>Displays the option to enter a date range for the report based on the date and time VBECS acknowledged the order.</w:t>
            </w:r>
          </w:p>
        </w:tc>
      </w:tr>
      <w:tr w:rsidR="002A21AE">
        <w:tblPrEx>
          <w:tblCellMar>
            <w:top w:w="0" w:type="dxa"/>
            <w:bottom w:w="0" w:type="dxa"/>
          </w:tblCellMar>
        </w:tblPrEx>
        <w:tc>
          <w:tcPr>
            <w:tcW w:w="3240" w:type="dxa"/>
          </w:tcPr>
          <w:p w:rsidR="002A21AE" w:rsidRDefault="002A21AE" w:rsidP="001D6377">
            <w:pPr>
              <w:pStyle w:val="TableTextNumbers"/>
            </w:pPr>
            <w:r>
              <w:lastRenderedPageBreak/>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rsidR="002A21AE" w:rsidRDefault="002A21AE">
            <w:pPr>
              <w:pStyle w:val="TableTextNumbersContinued"/>
            </w:pPr>
          </w:p>
          <w:p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rsidR="000566D6" w:rsidRDefault="002A21AE" w:rsidP="00AA2B2E">
            <w:pPr>
              <w:pStyle w:val="TableTextBullet"/>
            </w:pPr>
            <w:r>
              <w:t>Compiles and displays the report.</w:t>
            </w:r>
          </w:p>
        </w:tc>
      </w:tr>
      <w:tr w:rsidR="002A21AE">
        <w:tblPrEx>
          <w:tblCellMar>
            <w:top w:w="0" w:type="dxa"/>
            <w:bottom w:w="0" w:type="dxa"/>
          </w:tblCellMar>
        </w:tblPrEx>
        <w:tc>
          <w:tcPr>
            <w:tcW w:w="3240" w:type="dxa"/>
          </w:tcPr>
          <w:p w:rsidR="002A21AE" w:rsidRDefault="002A21AE">
            <w:pPr>
              <w:pStyle w:val="TableTextNumbers"/>
            </w:pPr>
            <w:r>
              <w:t xml:space="preserve">Select </w:t>
            </w:r>
            <w:r>
              <w:rPr>
                <w:b/>
              </w:rPr>
              <w:t xml:space="preserve">Print </w:t>
            </w:r>
            <w:r>
              <w:t xml:space="preserve">to print the report and exit, or click </w:t>
            </w:r>
            <w:r>
              <w:rPr>
                <w:b/>
              </w:rPr>
              <w:t>Close</w:t>
            </w:r>
            <w:r>
              <w:t xml:space="preserve"> to exit without printing.</w:t>
            </w:r>
            <w:r>
              <w:rPr>
                <w:color w:val="FFFFFF"/>
              </w:rPr>
              <w:t xml:space="preserve"> </w:t>
            </w:r>
            <w:r w:rsidRPr="00C34869">
              <w:rPr>
                <w:color w:val="FFFFFF"/>
              </w:rPr>
              <w:fldChar w:fldCharType="begin"/>
            </w:r>
            <w:r w:rsidRPr="00C34869">
              <w:rPr>
                <w:color w:val="FFFFFF"/>
              </w:rPr>
              <w:instrText xml:space="preserve"> LISTNUM \l 1 \s 0 </w:instrText>
            </w:r>
            <w:r w:rsidRPr="00C34869">
              <w:rPr>
                <w:color w:val="FFFFFF"/>
              </w:rPr>
              <w:fldChar w:fldCharType="end"/>
            </w:r>
          </w:p>
        </w:tc>
        <w:tc>
          <w:tcPr>
            <w:tcW w:w="6120" w:type="dxa"/>
          </w:tcPr>
          <w:p w:rsidR="002A21AE" w:rsidRDefault="002A21AE">
            <w:pPr>
              <w:pStyle w:val="TableTextBullet"/>
            </w:pPr>
            <w:r>
              <w:t>Prints the report on the selected printer.</w:t>
            </w:r>
          </w:p>
        </w:tc>
      </w:tr>
    </w:tbl>
    <w:p w:rsidR="00F55832" w:rsidRDefault="00F55832">
      <w:pPr>
        <w:pStyle w:val="Heading2"/>
      </w:pPr>
    </w:p>
    <w:p w:rsidR="002A21AE" w:rsidRDefault="00F55832">
      <w:pPr>
        <w:pStyle w:val="Heading2"/>
      </w:pPr>
      <w:r>
        <w:br w:type="page"/>
      </w:r>
      <w:bookmarkStart w:id="575" w:name="_Toc459900180"/>
      <w:r w:rsidR="002A21AE">
        <w:lastRenderedPageBreak/>
        <w:t>Transfusion Complications Report</w:t>
      </w:r>
      <w:bookmarkEnd w:id="575"/>
      <w:r w:rsidR="002A21AE">
        <w:fldChar w:fldCharType="begin"/>
      </w:r>
      <w:r w:rsidR="002A21AE">
        <w:instrText xml:space="preserve"> XE </w:instrText>
      </w:r>
      <w:r w:rsidR="00FA7E65">
        <w:instrText>“</w:instrText>
      </w:r>
      <w:r w:rsidR="002A21AE">
        <w:instrText>Transfusion Complications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UC_90</w:t>
      </w:r>
    </w:p>
    <w:p w:rsidR="002A21AE" w:rsidRDefault="002A21AE" w:rsidP="00FA7E65">
      <w:pPr>
        <w:pStyle w:val="BodyText"/>
      </w:pPr>
      <w:r>
        <w:t xml:space="preserve">The user views </w:t>
      </w:r>
      <w:r w:rsidR="003F3B4B">
        <w:t>and</w:t>
      </w:r>
      <w:r w:rsidR="009162DB">
        <w:t>/or</w:t>
      </w:r>
      <w:r>
        <w:t xml:space="preserve"> prints the T</w:t>
      </w:r>
      <w:r w:rsidR="009162DB">
        <w:t>ransfusion Complications Report</w:t>
      </w:r>
      <w:r>
        <w:t xml:space="preserve">. </w:t>
      </w:r>
    </w:p>
    <w:p w:rsidR="002A21AE" w:rsidRDefault="002A21AE">
      <w:pPr>
        <w:pStyle w:val="Heading4"/>
      </w:pPr>
      <w:r>
        <w:t>Assumptions</w:t>
      </w:r>
      <w:r>
        <w:rPr>
          <w:b w:val="0"/>
        </w:rPr>
        <w:t xml:space="preserve"> </w:t>
      </w:r>
    </w:p>
    <w:p w:rsidR="00CA6E27" w:rsidRDefault="00CA6E27">
      <w:pPr>
        <w:pStyle w:val="ListBullet"/>
      </w:pPr>
      <w:r w:rsidRPr="00CA6E27">
        <w:rPr>
          <w:bCs/>
        </w:rPr>
        <w:t>VistA</w:t>
      </w:r>
      <w:r w:rsidR="002A21AE">
        <w:t xml:space="preserve"> tests are defined</w:t>
      </w:r>
      <w:r w:rsidR="00DF389C">
        <w:t xml:space="preserve"> in Transfusion Complications</w:t>
      </w:r>
      <w:r>
        <w:t>.</w:t>
      </w:r>
    </w:p>
    <w:p w:rsidR="002A21AE" w:rsidRDefault="00CA6E27">
      <w:pPr>
        <w:pStyle w:val="ListBullet"/>
      </w:pPr>
      <w:r>
        <w:t>T</w:t>
      </w:r>
      <w:r w:rsidR="002A21AE">
        <w:t xml:space="preserve">he connection to </w:t>
      </w:r>
      <w:r w:rsidRPr="00CA6E27">
        <w:rPr>
          <w:bCs/>
        </w:rPr>
        <w:t>VistA</w:t>
      </w:r>
      <w:r w:rsidR="002A21AE">
        <w:t xml:space="preserve"> is active.</w:t>
      </w:r>
    </w:p>
    <w:p w:rsidR="002A21AE" w:rsidRDefault="002A21AE">
      <w:pPr>
        <w:pStyle w:val="ListBullet"/>
      </w:pPr>
      <w:r>
        <w:t>Transfusion Complications was processed and post-transfusion complication tests are defined.</w:t>
      </w:r>
    </w:p>
    <w:p w:rsidR="002A21AE" w:rsidRDefault="002A21AE">
      <w:pPr>
        <w:pStyle w:val="ListBullet"/>
      </w:pPr>
      <w:r>
        <w:t>Units have a status of presumed transfused or transfused for the patient.</w:t>
      </w:r>
    </w:p>
    <w:p w:rsidR="002A21AE" w:rsidRDefault="002A21AE">
      <w:pPr>
        <w:pStyle w:val="Heading4"/>
      </w:pPr>
      <w:r>
        <w:t xml:space="preserve">Outcome </w:t>
      </w:r>
    </w:p>
    <w:p w:rsidR="002A21AE" w:rsidRDefault="00AE521B">
      <w:pPr>
        <w:pStyle w:val="ListBullet"/>
      </w:pPr>
      <w:r>
        <w:t>The user views and/or prints the report</w:t>
      </w:r>
      <w:r w:rsidR="002A21AE">
        <w:t xml:space="preserve">. </w:t>
      </w:r>
    </w:p>
    <w:p w:rsidR="002A21AE" w:rsidRDefault="002A21AE">
      <w:pPr>
        <w:pStyle w:val="Heading4"/>
      </w:pPr>
      <w:r>
        <w:t>Limitations and Restrictions</w:t>
      </w:r>
      <w:r>
        <w:rPr>
          <w:b w:val="0"/>
        </w:rPr>
        <w:t xml:space="preserve"> </w:t>
      </w:r>
    </w:p>
    <w:p w:rsidR="002A21AE" w:rsidRDefault="002A21AE">
      <w:pPr>
        <w:pStyle w:val="ListBullet"/>
      </w:pPr>
      <w:r>
        <w:t>The report does not include units in an issued status.</w:t>
      </w:r>
    </w:p>
    <w:p w:rsidR="002A21AE" w:rsidRDefault="002A21AE">
      <w:pPr>
        <w:pStyle w:val="Heading4"/>
      </w:pPr>
      <w:r>
        <w:t xml:space="preserve">Additional Information </w:t>
      </w:r>
    </w:p>
    <w:p w:rsidR="002A21AE" w:rsidRDefault="002A21AE">
      <w:pPr>
        <w:pStyle w:val="ListBullet"/>
      </w:pPr>
      <w:r>
        <w:rPr>
          <w:rFonts w:ascii="Arial" w:hAnsi="Arial" w:cs="Arial"/>
          <w:vanish/>
          <w:spacing w:val="0"/>
          <w:sz w:val="18"/>
        </w:rPr>
        <w:t xml:space="preserve">BR_90.01 </w:t>
      </w:r>
      <w:r>
        <w:t xml:space="preserve">The report searches for evidence of a transfusion in VBECS only. If the user enters a start date that requires a search of </w:t>
      </w:r>
      <w:r w:rsidR="00CA6E27" w:rsidRPr="00CA6E27">
        <w:rPr>
          <w:bCs/>
        </w:rPr>
        <w:t>VistA</w:t>
      </w:r>
      <w:r>
        <w:t xml:space="preserve"> records to check back a full 12 months, the report includes a message indicating that only transfusions documented in VBECS are included in the report and that the user needs to run a supplementary report in </w:t>
      </w:r>
      <w:r w:rsidR="00CA6E27" w:rsidRPr="00CA6E27">
        <w:rPr>
          <w:bCs/>
        </w:rPr>
        <w:t>VistA</w:t>
      </w:r>
      <w:r>
        <w:t>.</w:t>
      </w:r>
    </w:p>
    <w:p w:rsidR="002A21AE" w:rsidRDefault="002A21AE">
      <w:pPr>
        <w:pStyle w:val="ListBullet"/>
      </w:pPr>
      <w:r>
        <w:t xml:space="preserve">The report searches for </w:t>
      </w:r>
      <w:r w:rsidR="00CA6E27" w:rsidRPr="00CA6E27">
        <w:rPr>
          <w:bCs/>
        </w:rPr>
        <w:t>VistA</w:t>
      </w:r>
      <w:r>
        <w:t xml:space="preserve"> tests defined in Transfusion Complications when the report is requested.</w:t>
      </w:r>
    </w:p>
    <w:p w:rsidR="002A21AE" w:rsidRDefault="002A21AE">
      <w:pPr>
        <w:pStyle w:val="ListBullet"/>
      </w:pPr>
      <w:r>
        <w:t>If threshold values are words, they are case insensitive.</w:t>
      </w:r>
    </w:p>
    <w:p w:rsidR="002A21AE" w:rsidRDefault="002A21AE">
      <w:pPr>
        <w:pStyle w:val="ListBullet"/>
      </w:pPr>
      <w:r>
        <w:t>A patient’s test results and transfusions are not directly linked by date, episode, or admission event.</w:t>
      </w:r>
    </w:p>
    <w:p w:rsidR="002A21AE" w:rsidRDefault="002A21AE">
      <w:pPr>
        <w:pStyle w:val="ListBullet"/>
      </w:pPr>
      <w:r>
        <w:t>Lab test data retrieved for the report are not saved in VBECS.</w:t>
      </w:r>
    </w:p>
    <w:p w:rsidR="002A21AE" w:rsidRDefault="002A21AE">
      <w:pPr>
        <w:pStyle w:val="ListBullet"/>
      </w:pPr>
      <w:r>
        <w:t>The report is not saved in VBECS.</w:t>
      </w:r>
    </w:p>
    <w:p w:rsidR="002A21AE" w:rsidRDefault="002A21AE">
      <w:pPr>
        <w:pStyle w:val="Heading4"/>
        <w:rPr>
          <w:b w:val="0"/>
        </w:rPr>
      </w:pPr>
      <w:r>
        <w:t>User Roles with Access to This Option</w:t>
      </w:r>
      <w:r>
        <w:rPr>
          <w:b w:val="0"/>
        </w:rPr>
        <w:t xml:space="preserve"> </w:t>
      </w:r>
    </w:p>
    <w:p w:rsidR="002A21AE" w:rsidRDefault="00184EA4">
      <w:pPr>
        <w:pStyle w:val="Roles"/>
      </w:pPr>
      <w:r>
        <w:t>All users</w:t>
      </w:r>
    </w:p>
    <w:p w:rsidR="002A21AE" w:rsidRDefault="002A21AE">
      <w:pPr>
        <w:pStyle w:val="Heading4"/>
        <w:tabs>
          <w:tab w:val="left" w:pos="6885"/>
        </w:tabs>
      </w:pPr>
      <w:r>
        <w:t xml:space="preserve">Transfusion Complications Report </w:t>
      </w:r>
      <w:r>
        <w:tab/>
      </w:r>
    </w:p>
    <w:p w:rsidR="002A21AE" w:rsidRDefault="002A21AE" w:rsidP="00FA7E65">
      <w:pPr>
        <w:pStyle w:val="BodyText"/>
      </w:pPr>
      <w:r>
        <w:t xml:space="preserve">The user views </w:t>
      </w:r>
      <w:r w:rsidR="009162DB">
        <w:t>and/</w:t>
      </w:r>
      <w:r>
        <w:t>or prints the Transfusion Complications Report</w:t>
      </w:r>
      <w:r w:rsidR="009162DB">
        <w:t>, which includes patients transfused in his division with a test result that exceeds the threshold set in Transfusion Complications for that test</w:t>
      </w:r>
      <w:r>
        <w:t>. Tests associated with possible post-transfusion complications are gathered by searching for results in a user-defined date range for the report. The report also includes the documented patient transfusions from 12 months prior to the start date of the report through the end date of the report.</w:t>
      </w:r>
      <w:r w:rsidR="009162DB">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2A21AE" w:rsidRDefault="002A21AE">
            <w:pPr>
              <w:pStyle w:val="TableTextNumbers"/>
            </w:pPr>
            <w:r>
              <w:t xml:space="preserve">Select </w:t>
            </w:r>
            <w:r>
              <w:rPr>
                <w:b/>
              </w:rPr>
              <w:t>Reports</w:t>
            </w:r>
            <w:r>
              <w:t xml:space="preserve"> from the main menu.</w:t>
            </w:r>
          </w:p>
          <w:p w:rsidR="002A21AE" w:rsidRDefault="002A21AE">
            <w:pPr>
              <w:pStyle w:val="TableTextNumbersContinued"/>
            </w:pPr>
          </w:p>
          <w:p w:rsidR="002A21AE" w:rsidRDefault="002A21AE">
            <w:pPr>
              <w:pStyle w:val="TableTextNumbersContinued"/>
            </w:pPr>
            <w:r>
              <w:t xml:space="preserve">Select </w:t>
            </w:r>
            <w:r>
              <w:rPr>
                <w:b/>
              </w:rPr>
              <w:t>Transfusion Complications Report</w:t>
            </w:r>
            <w:r>
              <w:t>.</w:t>
            </w:r>
          </w:p>
        </w:tc>
        <w:tc>
          <w:tcPr>
            <w:tcW w:w="6120" w:type="dxa"/>
            <w:tcBorders>
              <w:top w:val="single" w:sz="4" w:space="0" w:color="auto"/>
              <w:left w:val="single" w:sz="4" w:space="0" w:color="auto"/>
              <w:bottom w:val="single" w:sz="4" w:space="0" w:color="auto"/>
              <w:right w:val="single" w:sz="4" w:space="0" w:color="auto"/>
            </w:tcBorders>
          </w:tcPr>
          <w:p w:rsidR="002A21AE" w:rsidRDefault="002A21AE">
            <w:pPr>
              <w:pStyle w:val="TableTextBullet"/>
            </w:pPr>
            <w:r>
              <w:t>Lists report names.</w:t>
            </w:r>
          </w:p>
          <w:p w:rsidR="002A21AE" w:rsidRDefault="002A21AE">
            <w:pPr>
              <w:pStyle w:val="TableTextBullet"/>
            </w:pPr>
            <w:r>
              <w:t>Displays fields for entering a report date range.</w:t>
            </w:r>
          </w:p>
        </w:tc>
      </w:tr>
      <w:tr w:rsidR="002A21AE">
        <w:tblPrEx>
          <w:tblCellMar>
            <w:top w:w="0" w:type="dxa"/>
            <w:bottom w:w="0" w:type="dxa"/>
          </w:tblCellMar>
        </w:tblPrEx>
        <w:tc>
          <w:tcPr>
            <w:tcW w:w="3240" w:type="dxa"/>
          </w:tcPr>
          <w:p w:rsidR="002A21AE" w:rsidRDefault="002A21AE">
            <w:pPr>
              <w:pStyle w:val="TableTextNumbers"/>
            </w:pPr>
            <w:r>
              <w:t>Enter or select start and end dates.</w:t>
            </w:r>
          </w:p>
        </w:tc>
        <w:tc>
          <w:tcPr>
            <w:tcW w:w="6120" w:type="dxa"/>
          </w:tcPr>
          <w:p w:rsidR="002A21AE" w:rsidRDefault="002A21AE">
            <w:pPr>
              <w:pStyle w:val="TableTextBullet"/>
            </w:pPr>
            <w:r>
              <w:t>Compiles and displays the report and allows the user to print it.</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8947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267" name="Line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0"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C/&#10;kjQ5FgIAAC0EAAAOAAAAAAAAAAAAAAAAAC4CAABkcnMvZTJvRG9jLnhtbFBLAQItABQABgAIAAAA&#10;IQAXTzAS2wAAAAgBAAAPAAAAAAAAAAAAAAAAAHAEAABkcnMvZG93bnJldi54bWxQSwUGAAAAAAQA&#10;BADzAAAAeAU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BR_90.02 </w:t>
            </w:r>
            <w:r>
              <w:t xml:space="preserve">VBECS searches the Laboratory files (VistALink) and gathers instances of tests that exceed the threshold result of the tests set </w:t>
            </w:r>
            <w:r>
              <w:lastRenderedPageBreak/>
              <w:t>in Transfusion Complications within the specified date range. Retrieved test results are then filtered so that the report includes results only</w:t>
            </w:r>
            <w:r>
              <w:rPr>
                <w:b/>
              </w:rPr>
              <w:t xml:space="preserve"> </w:t>
            </w:r>
            <w:r>
              <w:t>for patients who have transfusions documented in VBECS within the last 12 months prior to the start date of the report through the end date.</w:t>
            </w:r>
          </w:p>
          <w:p w:rsidR="002A21AE" w:rsidRDefault="002A21AE">
            <w:pPr>
              <w:pStyle w:val="NotesText"/>
            </w:pPr>
          </w:p>
          <w:p w:rsidR="002A21AE" w:rsidRDefault="002A21AE">
            <w:pPr>
              <w:pStyle w:val="NotesText"/>
            </w:pPr>
            <w:r>
              <w:rPr>
                <w:rFonts w:cs="Arial"/>
                <w:vanish/>
              </w:rPr>
              <w:t xml:space="preserve">BR_90.03 </w:t>
            </w:r>
            <w:r>
              <w:t>VBECS includes the evaluated tests and their threshold values in the report criteria section.</w:t>
            </w:r>
          </w:p>
          <w:p w:rsidR="002A21AE" w:rsidRDefault="002A21AE">
            <w:pPr>
              <w:pStyle w:val="NotesText"/>
            </w:pPr>
          </w:p>
          <w:p w:rsidR="002A21AE" w:rsidRDefault="002A21AE">
            <w:pPr>
              <w:pStyle w:val="NotesText"/>
            </w:pPr>
            <w:r>
              <w:rPr>
                <w:rFonts w:cs="Arial"/>
                <w:vanish/>
              </w:rPr>
              <w:t xml:space="preserve">BR_90.04 </w:t>
            </w:r>
            <w:r>
              <w:rPr>
                <w:color w:val="000000"/>
              </w:rPr>
              <w:t>Details of the report include</w:t>
            </w:r>
            <w:r>
              <w:t>:</w:t>
            </w:r>
          </w:p>
          <w:p w:rsidR="002A21AE" w:rsidRDefault="002A21AE">
            <w:pPr>
              <w:pStyle w:val="NotesTextBullet"/>
            </w:pPr>
            <w:r>
              <w:t>Patient name</w:t>
            </w:r>
          </w:p>
          <w:p w:rsidR="002A21AE" w:rsidRDefault="002A21AE">
            <w:pPr>
              <w:pStyle w:val="NotesTextBullet"/>
            </w:pPr>
            <w:r>
              <w:t>Patient ID</w:t>
            </w:r>
          </w:p>
          <w:p w:rsidR="002A21AE" w:rsidRDefault="002A21AE">
            <w:pPr>
              <w:pStyle w:val="NotesTextBullet"/>
            </w:pPr>
            <w:r>
              <w:t>Current hospital location</w:t>
            </w:r>
          </w:p>
          <w:p w:rsidR="002A21AE" w:rsidRDefault="002A21AE">
            <w:pPr>
              <w:pStyle w:val="NotesTextBullet"/>
            </w:pPr>
            <w:r>
              <w:t>Date of death (in lieu of location if patient died)</w:t>
            </w:r>
          </w:p>
          <w:p w:rsidR="002A21AE" w:rsidRDefault="002A21AE">
            <w:pPr>
              <w:pStyle w:val="NotesTextBullet"/>
            </w:pPr>
            <w:r>
              <w:t>Unit ID</w:t>
            </w:r>
          </w:p>
          <w:p w:rsidR="002A21AE" w:rsidRDefault="002A21AE">
            <w:pPr>
              <w:pStyle w:val="NotesTextBullet"/>
            </w:pPr>
            <w:r>
              <w:t>Unit short name</w:t>
            </w:r>
          </w:p>
          <w:p w:rsidR="002A21AE" w:rsidRDefault="002A21AE">
            <w:pPr>
              <w:pStyle w:val="NotesTextBullet"/>
            </w:pPr>
            <w:r>
              <w:t>End date and time of the unit’s transfusion, if available</w:t>
            </w:r>
          </w:p>
          <w:p w:rsidR="002A21AE" w:rsidRDefault="002A21AE">
            <w:pPr>
              <w:pStyle w:val="NotesText"/>
            </w:pPr>
          </w:p>
          <w:p w:rsidR="002A21AE" w:rsidRDefault="002A21AE">
            <w:pPr>
              <w:pStyle w:val="NotesText"/>
            </w:pPr>
            <w:r>
              <w:t xml:space="preserve">From </w:t>
            </w:r>
            <w:r w:rsidR="00CA6E27" w:rsidRPr="00CA6E27">
              <w:rPr>
                <w:bCs/>
              </w:rPr>
              <w:t>VistA</w:t>
            </w:r>
            <w:r>
              <w:t xml:space="preserve"> for each patient’s tests:</w:t>
            </w:r>
          </w:p>
          <w:p w:rsidR="002A21AE" w:rsidRDefault="002A21AE">
            <w:pPr>
              <w:pStyle w:val="NotesTextBullet"/>
            </w:pPr>
            <w:r>
              <w:t>Test name</w:t>
            </w:r>
          </w:p>
          <w:p w:rsidR="002A21AE" w:rsidRDefault="002A21AE">
            <w:pPr>
              <w:pStyle w:val="NotesTextBullet"/>
            </w:pPr>
            <w:r>
              <w:t>Associated test result</w:t>
            </w:r>
          </w:p>
          <w:p w:rsidR="002A21AE" w:rsidRDefault="002A21AE">
            <w:pPr>
              <w:pStyle w:val="NotesTextBullet"/>
            </w:pPr>
            <w:r>
              <w:t>Date and time recorded</w:t>
            </w:r>
          </w:p>
        </w:tc>
      </w:tr>
      <w:tr w:rsidR="000D2373">
        <w:tblPrEx>
          <w:tblCellMar>
            <w:top w:w="0" w:type="dxa"/>
            <w:bottom w:w="0" w:type="dxa"/>
          </w:tblCellMar>
        </w:tblPrEx>
        <w:tc>
          <w:tcPr>
            <w:tcW w:w="3240" w:type="dxa"/>
          </w:tcPr>
          <w:p w:rsidR="000D2373" w:rsidRDefault="000D2373" w:rsidP="000D2373">
            <w:pPr>
              <w:pStyle w:val="TableTextNumbers"/>
            </w:pPr>
            <w:r>
              <w:lastRenderedPageBreak/>
              <w:t xml:space="preserve">In the Report Compilation area, click the </w:t>
            </w:r>
            <w:r w:rsidRPr="00B40DDD">
              <w:rPr>
                <w:b/>
              </w:rPr>
              <w:t>Create Report Now</w:t>
            </w:r>
            <w:r>
              <w:t xml:space="preserve"> radio button. Click </w:t>
            </w:r>
            <w:r w:rsidRPr="00B40DDD">
              <w:rPr>
                <w:b/>
              </w:rPr>
              <w:t>OK</w:t>
            </w:r>
            <w:r>
              <w:t xml:space="preserve"> to view the report, or</w:t>
            </w:r>
          </w:p>
          <w:p w:rsidR="000D2373" w:rsidRDefault="000D2373" w:rsidP="000D2373">
            <w:pPr>
              <w:pStyle w:val="TableTextNumbers"/>
              <w:numPr>
                <w:ilvl w:val="0"/>
                <w:numId w:val="0"/>
              </w:numPr>
              <w:ind w:left="288"/>
            </w:pPr>
          </w:p>
          <w:p w:rsidR="000D2373" w:rsidRDefault="000D2373" w:rsidP="000D2373">
            <w:pPr>
              <w:pStyle w:val="TableTextNumbers"/>
              <w:numPr>
                <w:ilvl w:val="0"/>
                <w:numId w:val="0"/>
              </w:numPr>
              <w:ind w:left="288"/>
            </w:pPr>
            <w:r>
              <w:t xml:space="preserve">Click the </w:t>
            </w:r>
            <w:r w:rsidRPr="00B40DDD">
              <w:rPr>
                <w:b/>
              </w:rPr>
              <w:t>Schedule Print Job</w:t>
            </w:r>
            <w:r>
              <w:t xml:space="preserve"> radio button and </w:t>
            </w:r>
            <w:r w:rsidRPr="00B40DDD">
              <w:rPr>
                <w:b/>
              </w:rPr>
              <w:t>OK</w:t>
            </w:r>
            <w:r>
              <w:t xml:space="preserve">, then enter or select a print date and printer name. Click </w:t>
            </w:r>
            <w:r w:rsidRPr="00B40DDD">
              <w:rPr>
                <w:b/>
              </w:rPr>
              <w:t>OK</w:t>
            </w:r>
            <w:r>
              <w:t xml:space="preserve"> to view and print the report.</w:t>
            </w:r>
          </w:p>
        </w:tc>
        <w:tc>
          <w:tcPr>
            <w:tcW w:w="6120" w:type="dxa"/>
          </w:tcPr>
          <w:p w:rsidR="000D2373" w:rsidRDefault="000D2373" w:rsidP="000D2373">
            <w:pPr>
              <w:pStyle w:val="TableTextBullet"/>
            </w:pPr>
            <w:r>
              <w:t>Compiles and displays the report.</w:t>
            </w:r>
          </w:p>
          <w:p w:rsidR="000D2373" w:rsidRDefault="000D2373" w:rsidP="000D2373">
            <w:pPr>
              <w:pStyle w:val="TableText"/>
              <w:rPr>
                <w:b/>
                <w:bCs/>
                <w:szCs w:val="18"/>
              </w:rPr>
            </w:pPr>
          </w:p>
          <w:p w:rsidR="000D2373" w:rsidRDefault="00634BFC" w:rsidP="000D2373">
            <w:pPr>
              <w:pStyle w:val="TableText"/>
              <w:rPr>
                <w:b/>
                <w:bCs/>
                <w:szCs w:val="18"/>
              </w:rPr>
            </w:pPr>
            <w:r>
              <w:rPr>
                <w:b/>
                <w:bCs/>
                <w:noProof/>
              </w:rPr>
              <mc:AlternateContent>
                <mc:Choice Requires="wps">
                  <w:drawing>
                    <wp:anchor distT="0" distB="0" distL="114300" distR="114300" simplePos="0" relativeHeight="25180620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266" name="Line 1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9" o:spid="_x0000_s1026" style="position:absolute;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9FgIAAC4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Aj&#10;sT+9FgIAAC4EAAAOAAAAAAAAAAAAAAAAAC4CAABkcnMvZTJvRG9jLnhtbFBLAQItABQABgAIAAAA&#10;IQAXTzAS2wAAAAgBAAAPAAAAAAAAAAAAAAAAAHAEAABkcnMvZG93bnJldi54bWxQSwUGAAAAAAQA&#10;BADzAAAAeAUAAAAA&#10;" strokeweight="1.5pt"/>
                  </w:pict>
                </mc:Fallback>
              </mc:AlternateContent>
            </w:r>
            <w:r w:rsidR="000D2373">
              <w:rPr>
                <w:b/>
                <w:bCs/>
                <w:szCs w:val="18"/>
              </w:rPr>
              <w:t>NOTES</w:t>
            </w:r>
          </w:p>
          <w:p w:rsidR="000D2373" w:rsidRDefault="000D2373" w:rsidP="000D2373">
            <w:pPr>
              <w:pStyle w:val="NotesText"/>
            </w:pPr>
          </w:p>
          <w:p w:rsidR="00CD40A5" w:rsidRDefault="00CD40A5" w:rsidP="000D2373">
            <w:pPr>
              <w:pStyle w:val="TableTextBullet"/>
            </w:pPr>
            <w:r>
              <w:rPr>
                <w:rFonts w:cs="Arial"/>
              </w:rPr>
              <w:t>This report requires a logged on VistA user to retrieve the lab results.</w:t>
            </w:r>
            <w:r>
              <w:t xml:space="preserve"> It cannot be scheduled to print. </w:t>
            </w:r>
            <w:r w:rsidRPr="00124A3D">
              <w:rPr>
                <w:vanish/>
              </w:rPr>
              <w:t>DR 4810</w:t>
            </w:r>
          </w:p>
        </w:tc>
      </w:tr>
      <w:tr w:rsidR="002A21AE">
        <w:tblPrEx>
          <w:tblCellMar>
            <w:top w:w="0" w:type="dxa"/>
            <w:bottom w:w="0" w:type="dxa"/>
          </w:tblCellMar>
        </w:tblPrEx>
        <w:tc>
          <w:tcPr>
            <w:tcW w:w="3240" w:type="dxa"/>
          </w:tcPr>
          <w:p w:rsidR="002A21AE" w:rsidRDefault="002A21AE">
            <w:pPr>
              <w:pStyle w:val="TableTextNumbers"/>
            </w:pPr>
            <w:r>
              <w:t xml:space="preserve">Select </w:t>
            </w:r>
            <w:r>
              <w:rPr>
                <w:b/>
              </w:rPr>
              <w:t xml:space="preserve">Print </w:t>
            </w:r>
            <w:r>
              <w:t xml:space="preserve">to print the report and exit, or click </w:t>
            </w:r>
            <w:r>
              <w:rPr>
                <w:b/>
              </w:rPr>
              <w:t>Close</w:t>
            </w:r>
            <w:r>
              <w:t xml:space="preserve"> to exit without printing.</w:t>
            </w:r>
            <w:r>
              <w:rPr>
                <w:color w:val="FFFFFF"/>
              </w:rPr>
              <w:t xml:space="preserve"> </w:t>
            </w:r>
            <w:r w:rsidRPr="009660C3">
              <w:rPr>
                <w:vanish/>
                <w:szCs w:val="18"/>
              </w:rPr>
              <w:fldChar w:fldCharType="begin"/>
            </w:r>
            <w:r w:rsidRPr="009660C3">
              <w:rPr>
                <w:vanish/>
                <w:szCs w:val="18"/>
              </w:rPr>
              <w:instrText xml:space="preserve"> LISTNUM \l 1 \s 0 </w:instrText>
            </w:r>
            <w:r w:rsidRPr="009660C3">
              <w:rPr>
                <w:vanish/>
                <w:szCs w:val="18"/>
              </w:rPr>
              <w:fldChar w:fldCharType="end"/>
            </w:r>
          </w:p>
        </w:tc>
        <w:tc>
          <w:tcPr>
            <w:tcW w:w="6120" w:type="dxa"/>
          </w:tcPr>
          <w:p w:rsidR="002A21AE" w:rsidRDefault="002A21AE">
            <w:pPr>
              <w:pStyle w:val="TableTextBullet"/>
            </w:pPr>
            <w:r>
              <w:t>Prints the report on the selected printer.</w:t>
            </w:r>
          </w:p>
        </w:tc>
      </w:tr>
    </w:tbl>
    <w:p w:rsidR="00F55832" w:rsidRDefault="00F55832">
      <w:pPr>
        <w:pStyle w:val="Heading2"/>
      </w:pPr>
    </w:p>
    <w:p w:rsidR="002A21AE" w:rsidRDefault="00F55832">
      <w:pPr>
        <w:pStyle w:val="Heading2"/>
      </w:pPr>
      <w:r>
        <w:br w:type="page"/>
      </w:r>
      <w:bookmarkStart w:id="576" w:name="_Toc459900181"/>
      <w:r w:rsidR="002A21AE">
        <w:lastRenderedPageBreak/>
        <w:t>Transfusion Effectiveness Report</w:t>
      </w:r>
      <w:bookmarkEnd w:id="576"/>
      <w:r w:rsidR="002A21AE">
        <w:fldChar w:fldCharType="begin"/>
      </w:r>
      <w:r w:rsidR="002A21AE">
        <w:instrText xml:space="preserve"> XE </w:instrText>
      </w:r>
      <w:r w:rsidR="00FA7E65">
        <w:instrText>“</w:instrText>
      </w:r>
      <w:r w:rsidR="002A21AE">
        <w:instrText>Transfusion Effectiveness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UC_91</w:t>
      </w:r>
    </w:p>
    <w:p w:rsidR="002A21AE" w:rsidRDefault="002A21AE" w:rsidP="00FA7E65">
      <w:pPr>
        <w:pStyle w:val="BodyText"/>
      </w:pPr>
      <w:r>
        <w:t>The user views and</w:t>
      </w:r>
      <w:r w:rsidR="00AF59E4">
        <w:t>/or</w:t>
      </w:r>
      <w:r>
        <w:t xml:space="preserve"> prints a Transfusion Effectiveness Report.</w:t>
      </w:r>
    </w:p>
    <w:p w:rsidR="002A21AE" w:rsidRDefault="002A21AE">
      <w:pPr>
        <w:pStyle w:val="Heading4"/>
      </w:pPr>
      <w:r>
        <w:t>Assumptions</w:t>
      </w:r>
      <w:r>
        <w:rPr>
          <w:b w:val="0"/>
        </w:rPr>
        <w:t xml:space="preserve"> </w:t>
      </w:r>
    </w:p>
    <w:p w:rsidR="007A48D1" w:rsidRDefault="00CA6E27">
      <w:pPr>
        <w:pStyle w:val="ListBullet"/>
      </w:pPr>
      <w:r w:rsidRPr="00CA6E27">
        <w:rPr>
          <w:bCs/>
        </w:rPr>
        <w:t>VistA</w:t>
      </w:r>
      <w:r w:rsidR="002A21AE">
        <w:t xml:space="preserve"> tests are defined </w:t>
      </w:r>
      <w:r w:rsidR="007A48D1">
        <w:t>in Transfusion Effectiveness.</w:t>
      </w:r>
    </w:p>
    <w:p w:rsidR="002A21AE" w:rsidRDefault="007A48D1">
      <w:pPr>
        <w:pStyle w:val="ListBullet"/>
      </w:pPr>
      <w:r>
        <w:t>Th</w:t>
      </w:r>
      <w:r w:rsidR="002A21AE">
        <w:t xml:space="preserve">e connection to </w:t>
      </w:r>
      <w:r w:rsidR="00CA6E27" w:rsidRPr="00CA6E27">
        <w:rPr>
          <w:bCs/>
        </w:rPr>
        <w:t>VistA</w:t>
      </w:r>
      <w:r w:rsidR="002A21AE">
        <w:t xml:space="preserve"> is active.</w:t>
      </w:r>
    </w:p>
    <w:p w:rsidR="007A48D1" w:rsidRDefault="007A48D1">
      <w:pPr>
        <w:pStyle w:val="ListBullet"/>
      </w:pPr>
      <w:r>
        <w:t>Units have a status of presumed transfused or transfused for the patient.</w:t>
      </w:r>
    </w:p>
    <w:p w:rsidR="002A21AE" w:rsidRDefault="002A21AE">
      <w:pPr>
        <w:pStyle w:val="ListBullet"/>
      </w:pPr>
      <w:r>
        <w:t xml:space="preserve">Data for the report were saved in VBECS and in </w:t>
      </w:r>
      <w:r w:rsidR="00CA6E27" w:rsidRPr="00CA6E27">
        <w:rPr>
          <w:bCs/>
        </w:rPr>
        <w:t>VistA</w:t>
      </w:r>
      <w:r>
        <w:t>.</w:t>
      </w:r>
    </w:p>
    <w:p w:rsidR="002A21AE" w:rsidRDefault="002A21AE">
      <w:pPr>
        <w:pStyle w:val="Heading4"/>
      </w:pPr>
      <w:r>
        <w:t xml:space="preserve">Outcome </w:t>
      </w:r>
    </w:p>
    <w:p w:rsidR="002A21AE" w:rsidRDefault="00AE521B">
      <w:pPr>
        <w:pStyle w:val="ListBullet"/>
      </w:pPr>
      <w:r>
        <w:t>The user views and/or prints the report</w:t>
      </w:r>
      <w:r w:rsidR="002A21AE">
        <w:t>.</w:t>
      </w:r>
    </w:p>
    <w:p w:rsidR="002A21AE" w:rsidRDefault="002A21AE">
      <w:pPr>
        <w:pStyle w:val="Heading4"/>
      </w:pPr>
      <w:r>
        <w:t>Limitations and Restrictions</w:t>
      </w:r>
      <w:r>
        <w:rPr>
          <w:b w:val="0"/>
        </w:rPr>
        <w:t xml:space="preserve"> </w:t>
      </w:r>
    </w:p>
    <w:p w:rsidR="002A21AE" w:rsidRDefault="002A21AE">
      <w:pPr>
        <w:pStyle w:val="ListBullet"/>
      </w:pPr>
      <w:r>
        <w:t>The report does not include VBECS diagnostic tests.</w:t>
      </w:r>
    </w:p>
    <w:p w:rsidR="002A21AE" w:rsidRDefault="002A21AE">
      <w:pPr>
        <w:pStyle w:val="Heading4"/>
      </w:pPr>
      <w:r>
        <w:t xml:space="preserve">Additional Information </w:t>
      </w:r>
    </w:p>
    <w:p w:rsidR="002A21AE" w:rsidRDefault="002A21AE">
      <w:pPr>
        <w:pStyle w:val="ListBullet"/>
      </w:pPr>
      <w:r>
        <w:rPr>
          <w:rFonts w:ascii="Arial" w:hAnsi="Arial" w:cs="Arial"/>
          <w:vanish/>
          <w:spacing w:val="0"/>
          <w:sz w:val="18"/>
        </w:rPr>
        <w:t xml:space="preserve">BR_91.01 </w:t>
      </w:r>
      <w:r>
        <w:t xml:space="preserve">Only verified Laboratory test results are available from </w:t>
      </w:r>
      <w:r w:rsidR="00CA6E27" w:rsidRPr="00CA6E27">
        <w:rPr>
          <w:bCs/>
        </w:rPr>
        <w:t>VistA</w:t>
      </w:r>
      <w:r>
        <w:t xml:space="preserve">. </w:t>
      </w:r>
    </w:p>
    <w:p w:rsidR="002A21AE" w:rsidRDefault="002A21AE">
      <w:pPr>
        <w:pStyle w:val="ListBullet"/>
      </w:pPr>
      <w:r>
        <w:t xml:space="preserve">Laboratory test data retrieved for the report from </w:t>
      </w:r>
      <w:r w:rsidR="00CA6E27" w:rsidRPr="00CA6E27">
        <w:rPr>
          <w:bCs/>
        </w:rPr>
        <w:t>VistA</w:t>
      </w:r>
      <w:r>
        <w:t xml:space="preserve"> are not saved in VBECS. </w:t>
      </w:r>
    </w:p>
    <w:p w:rsidR="002A21AE" w:rsidRDefault="002A21AE">
      <w:pPr>
        <w:pStyle w:val="ListBullet"/>
      </w:pPr>
      <w:r>
        <w:rPr>
          <w:rFonts w:ascii="Arial" w:hAnsi="Arial" w:cs="Arial"/>
          <w:vanish/>
          <w:spacing w:val="0"/>
          <w:sz w:val="18"/>
        </w:rPr>
        <w:t xml:space="preserve">BR_91.03 </w:t>
      </w:r>
      <w:r>
        <w:t>A new page is started for each patient in the report.</w:t>
      </w:r>
    </w:p>
    <w:p w:rsidR="002A21AE" w:rsidRDefault="002A21AE">
      <w:pPr>
        <w:pStyle w:val="ListBullet"/>
      </w:pPr>
      <w:r>
        <w:t>Test results in the report do not include units of measure or normal ranges.</w:t>
      </w:r>
    </w:p>
    <w:p w:rsidR="002A21AE" w:rsidRDefault="002A21AE">
      <w:pPr>
        <w:pStyle w:val="Heading4"/>
        <w:rPr>
          <w:b w:val="0"/>
        </w:rPr>
      </w:pPr>
      <w:r>
        <w:t>User Roles with Access to This Option</w:t>
      </w:r>
      <w:r>
        <w:rPr>
          <w:b w:val="0"/>
        </w:rPr>
        <w:t xml:space="preserve"> </w:t>
      </w:r>
    </w:p>
    <w:p w:rsidR="002A21AE" w:rsidRDefault="00184EA4">
      <w:pPr>
        <w:pStyle w:val="Roles"/>
      </w:pPr>
      <w:r>
        <w:t>All users</w:t>
      </w:r>
    </w:p>
    <w:p w:rsidR="002A21AE" w:rsidRDefault="002A21AE">
      <w:pPr>
        <w:pStyle w:val="Heading4"/>
      </w:pPr>
      <w:r>
        <w:t xml:space="preserve">Transfusion Effectiveness Report </w:t>
      </w:r>
    </w:p>
    <w:p w:rsidR="002A21AE" w:rsidRDefault="002A21AE" w:rsidP="00FA7E65">
      <w:pPr>
        <w:pStyle w:val="BodyText"/>
      </w:pPr>
      <w:r>
        <w:t xml:space="preserve">The user views </w:t>
      </w:r>
      <w:r w:rsidR="00AF59E4">
        <w:t>and/</w:t>
      </w:r>
      <w:r>
        <w:t>or prints the Transfusion Effectiveness Report</w:t>
      </w:r>
      <w:r w:rsidR="00AF59E4">
        <w:t>, which contains transfusion episodes and Laboratory results for patients for a selected period</w:t>
      </w:r>
      <w: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pPr>
              <w:pStyle w:val="TableTextNumbers"/>
            </w:pPr>
            <w:r>
              <w:t xml:space="preserve">Select </w:t>
            </w:r>
            <w:r>
              <w:rPr>
                <w:b/>
              </w:rPr>
              <w:t>Reports</w:t>
            </w:r>
            <w:r>
              <w:t xml:space="preserve"> from the main menu.</w:t>
            </w:r>
          </w:p>
          <w:p w:rsidR="002A21AE" w:rsidRDefault="002A21AE">
            <w:pPr>
              <w:pStyle w:val="TableTextNumbersContinued"/>
            </w:pPr>
          </w:p>
          <w:p w:rsidR="002A21AE" w:rsidRDefault="002A21AE">
            <w:pPr>
              <w:pStyle w:val="TableTextNumbersContinued"/>
            </w:pPr>
            <w:r>
              <w:t xml:space="preserve">Select </w:t>
            </w:r>
            <w:r>
              <w:rPr>
                <w:b/>
              </w:rPr>
              <w:t>Transfusion Effectiveness Report</w:t>
            </w:r>
            <w:r>
              <w:t>.</w:t>
            </w:r>
          </w:p>
        </w:tc>
        <w:tc>
          <w:tcPr>
            <w:tcW w:w="6120" w:type="dxa"/>
          </w:tcPr>
          <w:p w:rsidR="002A21AE" w:rsidRDefault="002A21AE">
            <w:pPr>
              <w:pStyle w:val="TableTextBullet"/>
            </w:pPr>
            <w:r>
              <w:t>Lists report names.</w:t>
            </w:r>
          </w:p>
          <w:p w:rsidR="002A21AE" w:rsidRDefault="002A21AE">
            <w:pPr>
              <w:pStyle w:val="TableTextBullet"/>
            </w:pPr>
            <w:r>
              <w:t xml:space="preserve">Displays report compilation criteria. </w:t>
            </w:r>
          </w:p>
          <w:p w:rsidR="002A21AE" w:rsidRDefault="002A21AE">
            <w:pPr>
              <w:pStyle w:val="TableTextBullet"/>
            </w:pPr>
            <w:r>
              <w:t>Displays a date range for selection.</w:t>
            </w:r>
          </w:p>
        </w:tc>
      </w:tr>
      <w:tr w:rsidR="002A21AE">
        <w:tblPrEx>
          <w:tblCellMar>
            <w:top w:w="0" w:type="dxa"/>
            <w:bottom w:w="0" w:type="dxa"/>
          </w:tblCellMar>
        </w:tblPrEx>
        <w:tc>
          <w:tcPr>
            <w:tcW w:w="3240" w:type="dxa"/>
          </w:tcPr>
          <w:p w:rsidR="002A21AE" w:rsidRDefault="002A21AE">
            <w:pPr>
              <w:pStyle w:val="TableTextNumbers"/>
            </w:pPr>
            <w:r>
              <w:t>Enter or select start and end dates.</w:t>
            </w:r>
          </w:p>
        </w:tc>
        <w:tc>
          <w:tcPr>
            <w:tcW w:w="6120" w:type="dxa"/>
          </w:tcPr>
          <w:p w:rsidR="002A21AE" w:rsidRDefault="002A21AE">
            <w:pPr>
              <w:pStyle w:val="NotesText"/>
            </w:pPr>
          </w:p>
        </w:tc>
      </w:tr>
      <w:tr w:rsidR="002A21AE">
        <w:tblPrEx>
          <w:tblCellMar>
            <w:top w:w="0" w:type="dxa"/>
            <w:bottom w:w="0" w:type="dxa"/>
          </w:tblCellMar>
        </w:tblPrEx>
        <w:tc>
          <w:tcPr>
            <w:tcW w:w="3240" w:type="dxa"/>
          </w:tcPr>
          <w:p w:rsidR="002A21AE" w:rsidRDefault="002A21AE">
            <w:pPr>
              <w:pStyle w:val="TableTextNumbers"/>
            </w:pPr>
            <w:r>
              <w:t xml:space="preserve">In the Report Type area, select the </w:t>
            </w:r>
            <w:r>
              <w:rPr>
                <w:b/>
              </w:rPr>
              <w:t>All Patients</w:t>
            </w:r>
            <w:r>
              <w:t xml:space="preserve"> </w:t>
            </w:r>
            <w:r w:rsidRPr="00BF2E41">
              <w:t>radio button</w:t>
            </w:r>
            <w:r>
              <w:t xml:space="preserve">, or </w:t>
            </w:r>
          </w:p>
          <w:p w:rsidR="002A21AE" w:rsidRDefault="002A21AE">
            <w:pPr>
              <w:pStyle w:val="TableTextNumbersContinued"/>
            </w:pPr>
          </w:p>
          <w:p w:rsidR="002A21AE" w:rsidRDefault="002A21AE">
            <w:pPr>
              <w:pStyle w:val="TableTextNumbersContinued"/>
            </w:pPr>
            <w:r>
              <w:t xml:space="preserve">Click the </w:t>
            </w:r>
            <w:r>
              <w:rPr>
                <w:b/>
              </w:rPr>
              <w:t xml:space="preserve">Individual Patient Report </w:t>
            </w:r>
            <w:r w:rsidRPr="00ED1C1B">
              <w:t>radio</w:t>
            </w:r>
            <w:r>
              <w:rPr>
                <w:b/>
              </w:rPr>
              <w:t xml:space="preserve"> </w:t>
            </w:r>
            <w:r w:rsidRPr="00BF2E41">
              <w:t>button</w:t>
            </w:r>
            <w:r>
              <w:t xml:space="preserve"> and the </w:t>
            </w:r>
            <w:r w:rsidR="00A6373D" w:rsidRPr="00945BF5">
              <w:rPr>
                <w:b/>
              </w:rPr>
              <w:t>find</w:t>
            </w:r>
            <w:r>
              <w:rPr>
                <w:b/>
              </w:rPr>
              <w:t xml:space="preserve"> </w:t>
            </w:r>
            <w:r w:rsidRPr="00BF2E41">
              <w:t>button</w:t>
            </w:r>
            <w:r>
              <w:rPr>
                <w:b/>
              </w:rPr>
              <w:t xml:space="preserve"> </w:t>
            </w:r>
            <w:r>
              <w:t>to search for a patient.</w:t>
            </w:r>
          </w:p>
        </w:tc>
        <w:tc>
          <w:tcPr>
            <w:tcW w:w="6120" w:type="dxa"/>
          </w:tcPr>
          <w:p w:rsidR="002A21AE" w:rsidRDefault="002A21AE">
            <w:pPr>
              <w:pStyle w:val="TableTextBullet"/>
            </w:pPr>
            <w:r>
              <w:t xml:space="preserve">Compiles and displays the report. </w:t>
            </w:r>
          </w:p>
        </w:tc>
      </w:tr>
      <w:tr w:rsidR="002A21AE">
        <w:tblPrEx>
          <w:tblCellMar>
            <w:top w:w="0" w:type="dxa"/>
            <w:bottom w:w="0" w:type="dxa"/>
          </w:tblCellMar>
        </w:tblPrEx>
        <w:tc>
          <w:tcPr>
            <w:tcW w:w="3240" w:type="dxa"/>
          </w:tcPr>
          <w:p w:rsidR="002A21AE" w:rsidRDefault="002A21AE">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rsidR="002A21AE" w:rsidRDefault="002A21AE">
            <w:pPr>
              <w:pStyle w:val="TableTextNumbersContinued"/>
            </w:pPr>
          </w:p>
          <w:p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w:t>
            </w:r>
            <w:r>
              <w:lastRenderedPageBreak/>
              <w:t xml:space="preserve">name. Click </w:t>
            </w:r>
            <w:r>
              <w:rPr>
                <w:b/>
              </w:rPr>
              <w:t>OK</w:t>
            </w:r>
            <w:r>
              <w:t xml:space="preserve"> to view and print the report.</w:t>
            </w:r>
          </w:p>
        </w:tc>
        <w:tc>
          <w:tcPr>
            <w:tcW w:w="6120" w:type="dxa"/>
          </w:tcPr>
          <w:p w:rsidR="002A21AE" w:rsidRDefault="00F64B5C" w:rsidP="00F64B5C">
            <w:pPr>
              <w:pStyle w:val="TableTextBullet"/>
            </w:pPr>
            <w:r>
              <w:lastRenderedPageBreak/>
              <w:t>Compiles and displays the report.</w:t>
            </w:r>
          </w:p>
          <w:p w:rsidR="000566D6" w:rsidRDefault="000566D6" w:rsidP="000566D6">
            <w:pPr>
              <w:pStyle w:val="TableTextBullet"/>
              <w:numPr>
                <w:ilvl w:val="0"/>
                <w:numId w:val="0"/>
              </w:numPr>
              <w:ind w:left="288"/>
            </w:pPr>
          </w:p>
          <w:p w:rsidR="000566D6" w:rsidRDefault="00634BFC" w:rsidP="000566D6">
            <w:pPr>
              <w:pStyle w:val="TableText"/>
              <w:rPr>
                <w:b/>
                <w:bCs/>
                <w:szCs w:val="18"/>
              </w:rPr>
            </w:pPr>
            <w:r>
              <w:rPr>
                <w:b/>
                <w:bCs/>
                <w:noProof/>
              </w:rPr>
              <mc:AlternateContent>
                <mc:Choice Requires="wps">
                  <w:drawing>
                    <wp:anchor distT="0" distB="0" distL="114300" distR="114300" simplePos="0" relativeHeight="25180211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265" name="Line 1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6" o:spid="_x0000_s1026" style="position:absolute;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Q3MFQIAAC4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PWV&#10;DcwVAgAALgQAAA4AAAAAAAAAAAAAAAAALgIAAGRycy9lMm9Eb2MueG1sUEsBAi0AFAAGAAgAAAAh&#10;ABdPMBLbAAAACAEAAA8AAAAAAAAAAAAAAAAAbwQAAGRycy9kb3ducmV2LnhtbFBLBQYAAAAABAAE&#10;APMAAAB3BQAAAAA=&#10;" strokeweight="1.5pt"/>
                  </w:pict>
                </mc:Fallback>
              </mc:AlternateContent>
            </w:r>
            <w:r w:rsidR="000566D6">
              <w:rPr>
                <w:b/>
                <w:bCs/>
                <w:szCs w:val="18"/>
              </w:rPr>
              <w:t>NOTES</w:t>
            </w:r>
          </w:p>
          <w:p w:rsidR="00124A3D" w:rsidRDefault="00124A3D" w:rsidP="00AA2B2E">
            <w:pPr>
              <w:pStyle w:val="TableTextBullet"/>
              <w:numPr>
                <w:ilvl w:val="0"/>
                <w:numId w:val="0"/>
              </w:numPr>
              <w:rPr>
                <w:rFonts w:cs="Arial"/>
              </w:rPr>
            </w:pPr>
          </w:p>
          <w:p w:rsidR="00124A3D" w:rsidRPr="00EF5693" w:rsidRDefault="00124A3D" w:rsidP="00EF5693">
            <w:pPr>
              <w:pStyle w:val="TableTextBullet"/>
              <w:rPr>
                <w:rFonts w:cs="Arial"/>
              </w:rPr>
            </w:pPr>
            <w:r>
              <w:rPr>
                <w:rFonts w:cs="Arial"/>
              </w:rPr>
              <w:t>This report requires a logged on VistA user to retrieve the lab results.</w:t>
            </w:r>
            <w:r w:rsidRPr="00EF5693">
              <w:rPr>
                <w:rFonts w:cs="Arial"/>
              </w:rPr>
              <w:t xml:space="preserve"> It cannot be scheduled to print.</w:t>
            </w:r>
            <w:r w:rsidRPr="00EF5693">
              <w:rPr>
                <w:rFonts w:cs="Arial"/>
                <w:vanish/>
              </w:rPr>
              <w:t xml:space="preserve"> DR 4810</w:t>
            </w:r>
          </w:p>
          <w:p w:rsidR="000566D6" w:rsidRDefault="000566D6" w:rsidP="000566D6">
            <w:pPr>
              <w:pStyle w:val="TableTextBullet"/>
              <w:numPr>
                <w:ilvl w:val="0"/>
                <w:numId w:val="0"/>
              </w:numPr>
              <w:ind w:left="720"/>
            </w:pPr>
            <w:r>
              <w:rPr>
                <w:rFonts w:cs="Arial"/>
                <w:vanish/>
              </w:rPr>
              <w:t xml:space="preserve"> DR 4013</w:t>
            </w:r>
          </w:p>
        </w:tc>
      </w:tr>
      <w:tr w:rsidR="002A21AE">
        <w:tblPrEx>
          <w:tblCellMar>
            <w:top w:w="0" w:type="dxa"/>
            <w:bottom w:w="0" w:type="dxa"/>
          </w:tblCellMar>
        </w:tblPrEx>
        <w:tc>
          <w:tcPr>
            <w:tcW w:w="3240" w:type="dxa"/>
          </w:tcPr>
          <w:p w:rsidR="002A21AE" w:rsidRDefault="002A21AE">
            <w:pPr>
              <w:pStyle w:val="TableTextNumbers"/>
            </w:pPr>
            <w:r>
              <w:lastRenderedPageBreak/>
              <w:t xml:space="preserve">Select </w:t>
            </w:r>
            <w:r>
              <w:rPr>
                <w:b/>
              </w:rPr>
              <w:t xml:space="preserve">Print </w:t>
            </w:r>
            <w:r>
              <w:t xml:space="preserve">to print the report and exit, or click </w:t>
            </w:r>
            <w:r>
              <w:rPr>
                <w:b/>
              </w:rPr>
              <w:t>Close</w:t>
            </w:r>
            <w:r>
              <w:t xml:space="preserve"> to exit without printing.</w:t>
            </w:r>
            <w:r>
              <w:rPr>
                <w:color w:val="FFFFFF"/>
              </w:rPr>
              <w:t xml:space="preserve"> </w:t>
            </w:r>
            <w:r w:rsidRPr="003F3B4B">
              <w:rPr>
                <w:rFonts w:ascii="Times New Roman" w:hAnsi="Times New Roman"/>
                <w:vanish/>
                <w:szCs w:val="18"/>
              </w:rPr>
              <w:fldChar w:fldCharType="begin"/>
            </w:r>
            <w:r w:rsidRPr="003F3B4B">
              <w:rPr>
                <w:rFonts w:ascii="Times New Roman" w:hAnsi="Times New Roman"/>
                <w:vanish/>
                <w:szCs w:val="18"/>
              </w:rPr>
              <w:instrText xml:space="preserve"> LISTNUM \l 1 \s 0 </w:instrText>
            </w:r>
            <w:r w:rsidRPr="003F3B4B">
              <w:rPr>
                <w:rFonts w:ascii="Times New Roman" w:hAnsi="Times New Roman"/>
                <w:vanish/>
                <w:szCs w:val="18"/>
              </w:rPr>
              <w:fldChar w:fldCharType="end"/>
            </w:r>
          </w:p>
        </w:tc>
        <w:tc>
          <w:tcPr>
            <w:tcW w:w="6120" w:type="dxa"/>
          </w:tcPr>
          <w:p w:rsidR="002A21AE" w:rsidRDefault="002A21AE">
            <w:pPr>
              <w:pStyle w:val="TableTextBullet"/>
            </w:pPr>
            <w:r>
              <w:t>Prints the report on the selected printer.</w:t>
            </w:r>
          </w:p>
        </w:tc>
      </w:tr>
    </w:tbl>
    <w:p w:rsidR="002813A3" w:rsidRDefault="002813A3">
      <w:pPr>
        <w:pStyle w:val="Heading2"/>
      </w:pPr>
    </w:p>
    <w:p w:rsidR="002A21AE" w:rsidRDefault="002813A3">
      <w:pPr>
        <w:pStyle w:val="Heading2"/>
      </w:pPr>
      <w:r>
        <w:br w:type="page"/>
      </w:r>
      <w:bookmarkStart w:id="577" w:name="_Toc459900182"/>
      <w:r w:rsidR="002A21AE">
        <w:lastRenderedPageBreak/>
        <w:t>Transfusion Reaction Count Report</w:t>
      </w:r>
      <w:bookmarkEnd w:id="577"/>
      <w:r w:rsidR="002A21AE">
        <w:fldChar w:fldCharType="begin"/>
      </w:r>
      <w:r w:rsidR="002A21AE">
        <w:instrText xml:space="preserve"> XE </w:instrText>
      </w:r>
      <w:r w:rsidR="00FA7E65">
        <w:instrText>“</w:instrText>
      </w:r>
      <w:r w:rsidR="002A21AE">
        <w:instrText>Transfusion Reaction Count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UC_106</w:t>
      </w:r>
    </w:p>
    <w:p w:rsidR="002A21AE" w:rsidRDefault="002A21AE" w:rsidP="00FA7E65">
      <w:pPr>
        <w:pStyle w:val="BodyText"/>
      </w:pPr>
      <w:r>
        <w:t>The user views and</w:t>
      </w:r>
      <w:r w:rsidR="00DD0E58">
        <w:t>/or</w:t>
      </w:r>
      <w:r>
        <w:t xml:space="preserve"> prints a Transfusion Reaction Count Report.</w:t>
      </w:r>
    </w:p>
    <w:p w:rsidR="002A21AE" w:rsidRDefault="002A21AE">
      <w:pPr>
        <w:pStyle w:val="Heading4"/>
      </w:pPr>
      <w:r>
        <w:t>Assumptions</w:t>
      </w:r>
      <w:r>
        <w:rPr>
          <w:b w:val="0"/>
        </w:rPr>
        <w:t xml:space="preserve"> </w:t>
      </w:r>
    </w:p>
    <w:p w:rsidR="002A21AE" w:rsidRDefault="002A21AE">
      <w:pPr>
        <w:pStyle w:val="ListBullet"/>
      </w:pPr>
      <w:r>
        <w:t>Data for the report were saved in VBECS.</w:t>
      </w:r>
    </w:p>
    <w:p w:rsidR="002A21AE" w:rsidRDefault="002A21AE">
      <w:pPr>
        <w:pStyle w:val="Heading4"/>
      </w:pPr>
      <w:r>
        <w:t xml:space="preserve">Outcome </w:t>
      </w:r>
    </w:p>
    <w:p w:rsidR="002A21AE" w:rsidRDefault="00AE521B">
      <w:pPr>
        <w:pStyle w:val="ListBullet"/>
      </w:pPr>
      <w:r>
        <w:t>The user views and/or prints the report</w:t>
      </w:r>
      <w:r w:rsidR="002A21AE">
        <w:t>.</w:t>
      </w:r>
    </w:p>
    <w:p w:rsidR="002A21AE" w:rsidRDefault="002A21AE">
      <w:pPr>
        <w:pStyle w:val="Heading4"/>
        <w:rPr>
          <w:b w:val="0"/>
        </w:rPr>
      </w:pPr>
      <w:r>
        <w:t>Limitations and Restrictions</w:t>
      </w:r>
      <w:r>
        <w:rPr>
          <w:b w:val="0"/>
        </w:rPr>
        <w:t xml:space="preserve"> </w:t>
      </w:r>
    </w:p>
    <w:p w:rsidR="002A21AE" w:rsidRDefault="002A21AE">
      <w:pPr>
        <w:pStyle w:val="ListBullet"/>
      </w:pPr>
      <w:r>
        <w:t>None</w:t>
      </w:r>
    </w:p>
    <w:p w:rsidR="002A21AE" w:rsidRDefault="002A21AE">
      <w:pPr>
        <w:pStyle w:val="Heading4"/>
      </w:pPr>
      <w:r>
        <w:t xml:space="preserve">Additional Information </w:t>
      </w:r>
    </w:p>
    <w:p w:rsidR="00991CFE" w:rsidRDefault="00991CFE" w:rsidP="00991CFE">
      <w:pPr>
        <w:pStyle w:val="ListBullet"/>
      </w:pPr>
      <w:r>
        <w:t>The report is available as a single-division or multidivisional (all divisions) report.</w:t>
      </w:r>
    </w:p>
    <w:p w:rsidR="002A21AE" w:rsidRDefault="002A21AE">
      <w:pPr>
        <w:pStyle w:val="Heading4"/>
        <w:tabs>
          <w:tab w:val="left" w:pos="4140"/>
        </w:tabs>
        <w:rPr>
          <w:b w:val="0"/>
        </w:rPr>
      </w:pPr>
      <w:r>
        <w:t>User Roles with Access to This Option</w:t>
      </w:r>
      <w:r>
        <w:rPr>
          <w:b w:val="0"/>
        </w:rPr>
        <w:t xml:space="preserve"> </w:t>
      </w:r>
    </w:p>
    <w:p w:rsidR="002A21AE" w:rsidRDefault="00184EA4">
      <w:pPr>
        <w:pStyle w:val="Roles"/>
      </w:pPr>
      <w:r>
        <w:t>All users</w:t>
      </w:r>
    </w:p>
    <w:p w:rsidR="002A21AE" w:rsidRDefault="002A21AE">
      <w:pPr>
        <w:pStyle w:val="Heading4"/>
      </w:pPr>
      <w:r>
        <w:t>Transfusion Reaction Count Report</w:t>
      </w:r>
    </w:p>
    <w:p w:rsidR="002A21AE" w:rsidRDefault="002A21AE" w:rsidP="00FA7E65">
      <w:pPr>
        <w:pStyle w:val="BodyText"/>
      </w:pPr>
      <w:r>
        <w:t>The user views and/or prints the Transfusion Reaction Count Report for a single division or for all divisions in the database.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pPr>
              <w:pStyle w:val="TableTextNumbers"/>
            </w:pPr>
            <w:r>
              <w:t xml:space="preserve">Select </w:t>
            </w:r>
            <w:r>
              <w:rPr>
                <w:b/>
              </w:rPr>
              <w:t>Reports</w:t>
            </w:r>
            <w:r>
              <w:t xml:space="preserve"> from the main menu.</w:t>
            </w:r>
          </w:p>
          <w:p w:rsidR="002A21AE" w:rsidRDefault="002A21AE">
            <w:pPr>
              <w:pStyle w:val="TableTextNumbersContinued"/>
            </w:pPr>
          </w:p>
          <w:p w:rsidR="002A21AE" w:rsidRDefault="002A21AE">
            <w:pPr>
              <w:pStyle w:val="TableTextNumbersContinued"/>
            </w:pPr>
            <w:r>
              <w:t xml:space="preserve">Select </w:t>
            </w:r>
            <w:r>
              <w:rPr>
                <w:b/>
              </w:rPr>
              <w:t>Transfusion Reaction Count Report</w:t>
            </w:r>
            <w:r>
              <w:t>.</w:t>
            </w:r>
          </w:p>
        </w:tc>
        <w:tc>
          <w:tcPr>
            <w:tcW w:w="6120" w:type="dxa"/>
          </w:tcPr>
          <w:p w:rsidR="002A21AE" w:rsidRDefault="002A21AE">
            <w:pPr>
              <w:pStyle w:val="TableTextBullet"/>
            </w:pPr>
            <w:r>
              <w:t>Lists report names.</w:t>
            </w:r>
          </w:p>
          <w:p w:rsidR="002A21AE" w:rsidRDefault="002A21AE">
            <w:pPr>
              <w:pStyle w:val="TableTextBullet"/>
            </w:pPr>
            <w:r>
              <w:t xml:space="preserve">Displays report division, format, and compilation criteria. </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2905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264" name="Line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0"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L3FgIAAC0EAAAOAAAAZHJzL2Uyb0RvYy54bWysU8GO2jAQvVfqP1i+QxI2Sy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D+&#10;UpL3FgIAAC0EAAAOAAAAAAAAAAAAAAAAAC4CAABkcnMvZTJvRG9jLnhtbFBLAQItABQABgAIAAAA&#10;IQAXTzAS2wAAAAgBAAAPAAAAAAAAAAAAAAAAAHAEAABkcnMvZG93bnJldi54bWxQSwUGAAAAAAQA&#10;BADzAAAAeAU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BR_106.01 </w:t>
            </w:r>
            <w:r>
              <w:t>The report includes transfusion reactions that are ordered, pending, completed, or finalized</w:t>
            </w:r>
            <w:r w:rsidR="00AF0CB8">
              <w:t>, and those indicated during Post-Transfusion Information.</w:t>
            </w:r>
          </w:p>
        </w:tc>
      </w:tr>
      <w:tr w:rsidR="002A21AE">
        <w:tblPrEx>
          <w:tblCellMar>
            <w:top w:w="0" w:type="dxa"/>
            <w:bottom w:w="0" w:type="dxa"/>
          </w:tblCellMar>
        </w:tblPrEx>
        <w:tc>
          <w:tcPr>
            <w:tcW w:w="3240" w:type="dxa"/>
          </w:tcPr>
          <w:p w:rsidR="002A21AE" w:rsidRDefault="002A21AE">
            <w:pPr>
              <w:pStyle w:val="TableTextNumbers"/>
            </w:pPr>
            <w:r>
              <w:t>Enter or select start and end dates.</w:t>
            </w:r>
          </w:p>
        </w:tc>
        <w:tc>
          <w:tcPr>
            <w:tcW w:w="6120" w:type="dxa"/>
          </w:tcPr>
          <w:p w:rsidR="002A21AE" w:rsidRDefault="002A21AE">
            <w:pPr>
              <w:pStyle w:val="TableTextBullet"/>
            </w:pPr>
            <w:r>
              <w:t>Compiles and displays the report.</w:t>
            </w:r>
          </w:p>
          <w:p w:rsidR="002A21AE" w:rsidRDefault="002A21AE">
            <w:pPr>
              <w:pStyle w:val="TableTextBullet"/>
            </w:pPr>
            <w:r>
              <w:t>Allows the user to print the report.</w:t>
            </w:r>
          </w:p>
        </w:tc>
      </w:tr>
      <w:tr w:rsidR="002A21AE">
        <w:tblPrEx>
          <w:tblCellMar>
            <w:top w:w="0" w:type="dxa"/>
            <w:bottom w:w="0" w:type="dxa"/>
          </w:tblCellMar>
        </w:tblPrEx>
        <w:tc>
          <w:tcPr>
            <w:tcW w:w="3240" w:type="dxa"/>
          </w:tcPr>
          <w:p w:rsidR="002A21AE" w:rsidRDefault="002A21AE">
            <w:pPr>
              <w:pStyle w:val="TableTextNumbers"/>
            </w:pPr>
            <w:r>
              <w:t xml:space="preserve">Click the </w:t>
            </w:r>
            <w:r>
              <w:rPr>
                <w:b/>
              </w:rPr>
              <w:t xml:space="preserve">Current Divisions </w:t>
            </w:r>
            <w:r>
              <w:t>or</w:t>
            </w:r>
            <w:r>
              <w:rPr>
                <w:b/>
              </w:rPr>
              <w:t xml:space="preserve"> All Divisions </w:t>
            </w:r>
            <w:r w:rsidRPr="00BF2E41">
              <w:t>radio button</w:t>
            </w:r>
            <w:r>
              <w:t>.</w:t>
            </w:r>
          </w:p>
        </w:tc>
        <w:tc>
          <w:tcPr>
            <w:tcW w:w="6120" w:type="dxa"/>
          </w:tcPr>
          <w:p w:rsidR="002A21AE" w:rsidRDefault="002A21AE">
            <w:pPr>
              <w:pStyle w:val="TableTextBullet"/>
            </w:pPr>
            <w:r>
              <w:t>Allows the user to select one or all divisions.</w:t>
            </w:r>
          </w:p>
          <w:p w:rsidR="002A21AE" w:rsidRDefault="002A21AE">
            <w:pPr>
              <w:pStyle w:val="TableTextBullet"/>
            </w:pPr>
            <w:r>
              <w:t>Displays a date range for selection.</w:t>
            </w:r>
          </w:p>
          <w:p w:rsidR="002A21AE" w:rsidRDefault="002A21AE">
            <w:pPr>
              <w:pStyle w:val="TableText"/>
              <w:rPr>
                <w:b/>
                <w:bCs/>
                <w:szCs w:val="18"/>
              </w:rPr>
            </w:pPr>
          </w:p>
          <w:p w:rsidR="002A21AE" w:rsidRDefault="00634BFC">
            <w:pPr>
              <w:pStyle w:val="TableText"/>
              <w:rPr>
                <w:b/>
                <w:bCs/>
                <w:szCs w:val="18"/>
              </w:rPr>
            </w:pPr>
            <w:r>
              <w:rPr>
                <w:b/>
                <w:bCs/>
                <w:noProof/>
              </w:rPr>
              <mc:AlternateContent>
                <mc:Choice Requires="wps">
                  <w:drawing>
                    <wp:anchor distT="0" distB="0" distL="114300" distR="114300" simplePos="0" relativeHeight="25163008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263" name="Lin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1"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FHFgIAAC0EAAAOAAAAZHJzL2Uyb0RvYy54bWysU8uu2jAQ3VfqP1jeQxLIpR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BH&#10;FyFHFgIAAC0EAAAOAAAAAAAAAAAAAAAAAC4CAABkcnMvZTJvRG9jLnhtbFBLAQItABQABgAIAAAA&#10;IQAXTzAS2wAAAAgBAAAPAAAAAAAAAAAAAAAAAHAEAABkcnMvZG93bnJldi54bWxQSwUGAAAAAAQA&#10;BADzAAAAeAU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BR_106.03 </w:t>
            </w:r>
            <w:r>
              <w:t>The Transfusion Reaction Count Report by type includes specific patient information indicated by the user. The default report setting excludes patient names.</w:t>
            </w:r>
          </w:p>
        </w:tc>
      </w:tr>
      <w:tr w:rsidR="002A21AE">
        <w:tblPrEx>
          <w:tblCellMar>
            <w:top w:w="0" w:type="dxa"/>
            <w:bottom w:w="0" w:type="dxa"/>
          </w:tblCellMar>
        </w:tblPrEx>
        <w:tc>
          <w:tcPr>
            <w:tcW w:w="3240" w:type="dxa"/>
          </w:tcPr>
          <w:p w:rsidR="002A21AE" w:rsidRDefault="002A21AE">
            <w:pPr>
              <w:pStyle w:val="TableTextNumbers"/>
            </w:pPr>
            <w:r>
              <w:t xml:space="preserve">Click the </w:t>
            </w:r>
            <w:r>
              <w:rPr>
                <w:b/>
              </w:rPr>
              <w:t xml:space="preserve">Detailed Report </w:t>
            </w:r>
            <w:r>
              <w:t>or</w:t>
            </w:r>
            <w:r>
              <w:rPr>
                <w:b/>
              </w:rPr>
              <w:t xml:space="preserve"> Summary Report </w:t>
            </w:r>
            <w:r w:rsidRPr="00BF2E41">
              <w:t>radio button</w:t>
            </w:r>
            <w:r>
              <w:t>.</w:t>
            </w:r>
          </w:p>
        </w:tc>
        <w:tc>
          <w:tcPr>
            <w:tcW w:w="6120" w:type="dxa"/>
          </w:tcPr>
          <w:p w:rsidR="002A21AE" w:rsidRDefault="002A21AE">
            <w:pPr>
              <w:pStyle w:val="TableTextBullet"/>
            </w:pPr>
            <w:r>
              <w:t>Displays an option to compile the report as detailed or summary.</w:t>
            </w:r>
          </w:p>
          <w:p w:rsidR="002A21AE" w:rsidRDefault="002A21AE">
            <w:pPr>
              <w:pStyle w:val="TableTextBullet"/>
            </w:pPr>
            <w:r>
              <w:t>Compiles and displays the report.</w:t>
            </w:r>
          </w:p>
          <w:p w:rsidR="002A21AE" w:rsidRDefault="002A21AE">
            <w:pPr>
              <w:pStyle w:val="TableTextBullet"/>
            </w:pPr>
            <w:r>
              <w:t xml:space="preserve">Allows the user to print the report. </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3110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262" name="Line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2"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FFj&#10;9AU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BR_106.04 </w:t>
            </w:r>
            <w:r>
              <w:t>The Transfusion Reaction Count Report prints the implicated unit numbers or “no implicated units,” as appropriate.</w:t>
            </w:r>
          </w:p>
          <w:p w:rsidR="002A21AE" w:rsidRDefault="002A21AE">
            <w:pPr>
              <w:pStyle w:val="NotesText"/>
            </w:pPr>
          </w:p>
          <w:p w:rsidR="002A21AE" w:rsidRDefault="002A21AE" w:rsidP="0053173B">
            <w:pPr>
              <w:pStyle w:val="NotesText"/>
            </w:pPr>
            <w:r>
              <w:rPr>
                <w:rFonts w:cs="Arial"/>
                <w:vanish/>
              </w:rPr>
              <w:t xml:space="preserve">BR_106.06 </w:t>
            </w:r>
            <w:r>
              <w:t xml:space="preserve">VBECS reports the total number of patient transfusion reactions </w:t>
            </w:r>
            <w:r>
              <w:lastRenderedPageBreak/>
              <w:t>in the selected date range.</w:t>
            </w:r>
          </w:p>
        </w:tc>
      </w:tr>
      <w:tr w:rsidR="002A21AE">
        <w:tblPrEx>
          <w:tblCellMar>
            <w:top w:w="0" w:type="dxa"/>
            <w:bottom w:w="0" w:type="dxa"/>
          </w:tblCellMar>
        </w:tblPrEx>
        <w:tc>
          <w:tcPr>
            <w:tcW w:w="3240" w:type="dxa"/>
          </w:tcPr>
          <w:p w:rsidR="002A21AE" w:rsidRDefault="002A21AE">
            <w:pPr>
              <w:pStyle w:val="TableTextNumbers"/>
            </w:pPr>
            <w:r>
              <w:lastRenderedPageBreak/>
              <w:t xml:space="preserve">In the Report Compilation area, click the </w:t>
            </w:r>
            <w:r>
              <w:rPr>
                <w:b/>
              </w:rPr>
              <w:t xml:space="preserve">Create Report Now </w:t>
            </w:r>
            <w:r w:rsidRPr="00BF2E41">
              <w:t>radio button</w:t>
            </w:r>
            <w:r>
              <w:t xml:space="preserve">. Click </w:t>
            </w:r>
            <w:r>
              <w:rPr>
                <w:b/>
              </w:rPr>
              <w:t>OK</w:t>
            </w:r>
            <w:r>
              <w:t xml:space="preserve"> to view the report, or</w:t>
            </w:r>
          </w:p>
          <w:p w:rsidR="002A21AE" w:rsidRDefault="002A21AE">
            <w:pPr>
              <w:pStyle w:val="TableTextNumbersContinued"/>
              <w:rPr>
                <w:b/>
                <w:bCs/>
              </w:rPr>
            </w:pPr>
          </w:p>
          <w:p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 or click </w:t>
            </w:r>
            <w:r>
              <w:rPr>
                <w:b/>
              </w:rPr>
              <w:t>Close</w:t>
            </w:r>
            <w:r>
              <w:t xml:space="preserve"> to exit without printing.</w:t>
            </w:r>
            <w:r>
              <w:rPr>
                <w:color w:val="FFFFFF"/>
              </w:rPr>
              <w:t xml:space="preserve"> </w:t>
            </w:r>
          </w:p>
        </w:tc>
        <w:tc>
          <w:tcPr>
            <w:tcW w:w="6120" w:type="dxa"/>
          </w:tcPr>
          <w:p w:rsidR="000566D6" w:rsidRDefault="00F64B5C" w:rsidP="00AA2B2E">
            <w:pPr>
              <w:pStyle w:val="TableTextBullet"/>
            </w:pPr>
            <w:r>
              <w:t>Compiles and displays the report.</w:t>
            </w:r>
          </w:p>
        </w:tc>
      </w:tr>
      <w:tr w:rsidR="00F64B5C">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tcPr>
          <w:p w:rsidR="00F64B5C" w:rsidRDefault="00F64B5C" w:rsidP="007E0D91">
            <w:pPr>
              <w:pStyle w:val="TableTextNumbers"/>
            </w:pPr>
            <w:r>
              <w:t xml:space="preserve">Select </w:t>
            </w:r>
            <w:r w:rsidRPr="00B46EEA">
              <w:rPr>
                <w:b/>
              </w:rPr>
              <w:t xml:space="preserve">Print </w:t>
            </w:r>
            <w:r>
              <w:t xml:space="preserve">to print the report and exit, or click </w:t>
            </w:r>
            <w:r w:rsidRPr="00B46EEA">
              <w:rPr>
                <w:b/>
              </w:rPr>
              <w:t>Close</w:t>
            </w:r>
            <w:r>
              <w:t xml:space="preserve"> to exit without printing.</w:t>
            </w:r>
            <w:r w:rsidRPr="00200B6D">
              <w:rPr>
                <w:vanish/>
                <w:szCs w:val="18"/>
              </w:rPr>
              <w:t xml:space="preserve"> </w:t>
            </w:r>
            <w:r w:rsidRPr="00200B6D">
              <w:rPr>
                <w:vanish/>
                <w:szCs w:val="18"/>
              </w:rPr>
              <w:fldChar w:fldCharType="begin"/>
            </w:r>
            <w:r w:rsidRPr="00200B6D">
              <w:rPr>
                <w:vanish/>
                <w:szCs w:val="18"/>
              </w:rPr>
              <w:instrText xml:space="preserve"> LISTNUM \l 1 \s 0 </w:instrText>
            </w:r>
            <w:r w:rsidRPr="00200B6D">
              <w:rPr>
                <w:vanish/>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rsidR="00F64B5C" w:rsidRDefault="00F64B5C" w:rsidP="007E0D91">
            <w:pPr>
              <w:pStyle w:val="TableTextBullet"/>
            </w:pPr>
            <w:r>
              <w:t xml:space="preserve">Prints the report on the selected printer. </w:t>
            </w:r>
          </w:p>
        </w:tc>
      </w:tr>
    </w:tbl>
    <w:p w:rsidR="002813A3" w:rsidRDefault="002813A3">
      <w:pPr>
        <w:pStyle w:val="Heading2"/>
      </w:pPr>
    </w:p>
    <w:p w:rsidR="002A21AE" w:rsidRDefault="002813A3">
      <w:pPr>
        <w:pStyle w:val="Heading2"/>
      </w:pPr>
      <w:r>
        <w:br w:type="page"/>
      </w:r>
      <w:bookmarkStart w:id="578" w:name="_Toc459900183"/>
      <w:r w:rsidR="002A21AE">
        <w:lastRenderedPageBreak/>
        <w:t>Transfusion Requirements Report</w:t>
      </w:r>
      <w:bookmarkEnd w:id="578"/>
      <w:r w:rsidR="002A21AE">
        <w:fldChar w:fldCharType="begin"/>
      </w:r>
      <w:r w:rsidR="002A21AE">
        <w:instrText xml:space="preserve"> XE </w:instrText>
      </w:r>
      <w:r w:rsidR="00FA7E65">
        <w:instrText>“</w:instrText>
      </w:r>
      <w:r w:rsidR="002A21AE">
        <w:instrText>Transfusion Requirements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UC_89</w:t>
      </w:r>
    </w:p>
    <w:p w:rsidR="002A21AE" w:rsidRDefault="002A21AE" w:rsidP="00FA7E65">
      <w:pPr>
        <w:pStyle w:val="BodyText"/>
      </w:pPr>
      <w:r>
        <w:t xml:space="preserve">The user views </w:t>
      </w:r>
      <w:r w:rsidR="00EB1E5A">
        <w:t xml:space="preserve">and/or </w:t>
      </w:r>
      <w:r>
        <w:t xml:space="preserve">prints a Transfusion Requirements Report. </w:t>
      </w:r>
    </w:p>
    <w:p w:rsidR="002A21AE" w:rsidRDefault="002A21AE">
      <w:pPr>
        <w:pStyle w:val="Heading4"/>
      </w:pPr>
      <w:r>
        <w:t>Assumptions</w:t>
      </w:r>
      <w:r>
        <w:rPr>
          <w:b w:val="0"/>
        </w:rPr>
        <w:t xml:space="preserve"> </w:t>
      </w:r>
    </w:p>
    <w:p w:rsidR="002A21AE" w:rsidRDefault="002A21AE">
      <w:pPr>
        <w:pStyle w:val="ListBullet"/>
      </w:pPr>
      <w:r>
        <w:t xml:space="preserve">The database conversion of </w:t>
      </w:r>
      <w:r w:rsidR="00CA6E27" w:rsidRPr="00CA6E27">
        <w:rPr>
          <w:bCs/>
        </w:rPr>
        <w:t>VistA</w:t>
      </w:r>
      <w:r>
        <w:t xml:space="preserve"> patient files is complete.</w:t>
      </w:r>
    </w:p>
    <w:p w:rsidR="002A21AE" w:rsidRDefault="002A21AE">
      <w:pPr>
        <w:pStyle w:val="ListBullet"/>
      </w:pPr>
      <w:r>
        <w:t>Data for the report were saved in VBECS.</w:t>
      </w:r>
    </w:p>
    <w:p w:rsidR="002A21AE" w:rsidRDefault="002A21AE">
      <w:pPr>
        <w:pStyle w:val="Heading4"/>
      </w:pPr>
      <w:r>
        <w:t xml:space="preserve">Outcome </w:t>
      </w:r>
    </w:p>
    <w:p w:rsidR="002A21AE" w:rsidRDefault="00AE521B">
      <w:pPr>
        <w:pStyle w:val="ListBullet"/>
      </w:pPr>
      <w:r>
        <w:t>The user views and/or prints the report</w:t>
      </w:r>
      <w:r w:rsidR="002A21AE">
        <w:t>.</w:t>
      </w:r>
    </w:p>
    <w:p w:rsidR="002A21AE" w:rsidRDefault="002A21AE">
      <w:pPr>
        <w:pStyle w:val="Heading4"/>
      </w:pPr>
      <w:r>
        <w:t>Limitations and Restrictions</w:t>
      </w:r>
      <w:r>
        <w:rPr>
          <w:b w:val="0"/>
        </w:rPr>
        <w:t xml:space="preserve"> </w:t>
      </w:r>
    </w:p>
    <w:p w:rsidR="002A21AE" w:rsidRPr="00B93109" w:rsidRDefault="002A21AE">
      <w:pPr>
        <w:pStyle w:val="ListBullet"/>
      </w:pPr>
      <w:r>
        <w:rPr>
          <w:rFonts w:ascii="Arial" w:hAnsi="Arial" w:cs="Arial"/>
          <w:vanish/>
          <w:spacing w:val="0"/>
          <w:sz w:val="18"/>
        </w:rPr>
        <w:t xml:space="preserve">BR_89.01 </w:t>
      </w:r>
      <w:r w:rsidR="00B93109" w:rsidRPr="00B93109">
        <w:rPr>
          <w:spacing w:val="0"/>
        </w:rPr>
        <w:t xml:space="preserve">Deceased patient records do not appear on the report when </w:t>
      </w:r>
      <w:r w:rsidR="00B93109">
        <w:rPr>
          <w:spacing w:val="0"/>
        </w:rPr>
        <w:t xml:space="preserve">they are </w:t>
      </w:r>
      <w:r w:rsidR="00B93109" w:rsidRPr="00B93109">
        <w:rPr>
          <w:spacing w:val="0"/>
        </w:rPr>
        <w:t>generated after the patient has been marked</w:t>
      </w:r>
      <w:r w:rsidR="00DB68D8">
        <w:rPr>
          <w:spacing w:val="0"/>
        </w:rPr>
        <w:t xml:space="preserve"> as deceased</w:t>
      </w:r>
      <w:r w:rsidR="00B93109" w:rsidRPr="00B93109">
        <w:rPr>
          <w:spacing w:val="0"/>
        </w:rPr>
        <w:t xml:space="preserve"> in the VBECS database via a VistA Death Notification Update.</w:t>
      </w:r>
      <w:r w:rsidR="00DB68D8">
        <w:rPr>
          <w:spacing w:val="0"/>
        </w:rPr>
        <w:t xml:space="preserve"> </w:t>
      </w:r>
      <w:r w:rsidR="00DB68D8" w:rsidRPr="00DB68D8">
        <w:rPr>
          <w:vanish/>
          <w:spacing w:val="0"/>
        </w:rPr>
        <w:t>DR 50</w:t>
      </w:r>
      <w:r w:rsidR="00DB68D8">
        <w:rPr>
          <w:vanish/>
          <w:spacing w:val="0"/>
        </w:rPr>
        <w:t>86</w:t>
      </w:r>
    </w:p>
    <w:p w:rsidR="002A21AE" w:rsidRDefault="002A21AE">
      <w:pPr>
        <w:pStyle w:val="Heading4"/>
      </w:pPr>
      <w:r>
        <w:t>Additional Information</w:t>
      </w:r>
      <w:r>
        <w:rPr>
          <w:rFonts w:ascii="Times New Roman" w:hAnsi="Times New Roman"/>
          <w:i/>
          <w:sz w:val="24"/>
        </w:rPr>
        <w:t xml:space="preserve"> </w:t>
      </w:r>
    </w:p>
    <w:p w:rsidR="002A21AE" w:rsidRPr="00E53D6C" w:rsidRDefault="002A21AE" w:rsidP="00E53D6C">
      <w:pPr>
        <w:pStyle w:val="ListBullet"/>
        <w:tabs>
          <w:tab w:val="clear" w:pos="648"/>
          <w:tab w:val="num" w:pos="630"/>
        </w:tabs>
        <w:ind w:left="720"/>
      </w:pPr>
      <w:r>
        <w:rPr>
          <w:rFonts w:ascii="Arial" w:hAnsi="Arial" w:cs="Arial"/>
          <w:vanish/>
          <w:spacing w:val="0"/>
          <w:sz w:val="18"/>
        </w:rPr>
        <w:t xml:space="preserve">BR_89.06 </w:t>
      </w:r>
      <w:r w:rsidRPr="00F32AB8">
        <w:rPr>
          <w:vanish/>
        </w:rPr>
        <w:t xml:space="preserve"> </w:t>
      </w:r>
      <w:r w:rsidR="00F32AB8" w:rsidRPr="00E53D6C">
        <w:t xml:space="preserve">A </w:t>
      </w:r>
      <w:r w:rsidRPr="00E53D6C">
        <w:t xml:space="preserve">Transfusion Requirements report is compiled </w:t>
      </w:r>
      <w:r w:rsidR="00875D04" w:rsidRPr="00E53D6C">
        <w:t xml:space="preserve">from </w:t>
      </w:r>
      <w:r w:rsidR="00F32AB8" w:rsidRPr="00E53D6C">
        <w:t xml:space="preserve">all VBECS </w:t>
      </w:r>
      <w:r w:rsidRPr="00E53D6C">
        <w:t>divisions</w:t>
      </w:r>
      <w:r w:rsidR="00F32AB8" w:rsidRPr="00E53D6C">
        <w:t xml:space="preserve"> defined in the VBECS database.</w:t>
      </w:r>
    </w:p>
    <w:p w:rsidR="002A21AE" w:rsidRPr="00E53D6C" w:rsidRDefault="002A21AE">
      <w:pPr>
        <w:pStyle w:val="ListBullet"/>
        <w:tabs>
          <w:tab w:val="num" w:pos="720"/>
        </w:tabs>
        <w:ind w:left="720"/>
      </w:pPr>
      <w:r w:rsidRPr="00E53D6C">
        <w:rPr>
          <w:vanish/>
          <w:spacing w:val="0"/>
        </w:rPr>
        <w:t xml:space="preserve">BR_89.02 </w:t>
      </w:r>
      <w:r w:rsidRPr="00E53D6C">
        <w:t>VBECS does not allow a report to be printed when no data are available.</w:t>
      </w:r>
    </w:p>
    <w:p w:rsidR="002A21AE" w:rsidRPr="00E53D6C" w:rsidRDefault="002A21AE" w:rsidP="00E53D6C">
      <w:pPr>
        <w:pStyle w:val="ListBullet"/>
        <w:tabs>
          <w:tab w:val="clear" w:pos="648"/>
          <w:tab w:val="left" w:pos="630"/>
          <w:tab w:val="num" w:pos="720"/>
        </w:tabs>
        <w:ind w:left="720"/>
      </w:pPr>
      <w:r w:rsidRPr="00E53D6C">
        <w:rPr>
          <w:vanish/>
          <w:spacing w:val="0"/>
        </w:rPr>
        <w:t xml:space="preserve">BR_89.04 </w:t>
      </w:r>
      <w:r w:rsidRPr="00E53D6C">
        <w:t>When the date range includes a future date and time, VBECS displays “Partial” in the report header on each page of the report.</w:t>
      </w:r>
    </w:p>
    <w:p w:rsidR="007E0D91" w:rsidRPr="00E53D6C" w:rsidRDefault="002A21AE" w:rsidP="007E0D91">
      <w:pPr>
        <w:pStyle w:val="ListBullet"/>
        <w:tabs>
          <w:tab w:val="num" w:pos="720"/>
        </w:tabs>
        <w:ind w:left="720"/>
      </w:pPr>
      <w:r w:rsidRPr="00E53D6C">
        <w:rPr>
          <w:vanish/>
          <w:spacing w:val="0"/>
        </w:rPr>
        <w:t xml:space="preserve">BR_89.05 </w:t>
      </w:r>
      <w:r w:rsidRPr="00E53D6C">
        <w:t>Each page containing patient information includes the patient name.</w:t>
      </w:r>
    </w:p>
    <w:p w:rsidR="007E0D91" w:rsidRPr="00E53D6C" w:rsidRDefault="007E0D91" w:rsidP="007E0D91">
      <w:pPr>
        <w:pStyle w:val="ListBullet"/>
        <w:tabs>
          <w:tab w:val="num" w:pos="720"/>
        </w:tabs>
        <w:ind w:left="720"/>
      </w:pPr>
      <w:r w:rsidRPr="00E53D6C">
        <w:t>Divisions in a multidivisional database may view each other’s Special Instructions (SI) comments.</w:t>
      </w:r>
    </w:p>
    <w:p w:rsidR="00E53D6C" w:rsidRPr="00E53D6C" w:rsidRDefault="00E53D6C" w:rsidP="00E53D6C">
      <w:pPr>
        <w:pStyle w:val="ListBullet"/>
        <w:tabs>
          <w:tab w:val="clear" w:pos="648"/>
          <w:tab w:val="left" w:pos="630"/>
          <w:tab w:val="num" w:pos="720"/>
        </w:tabs>
        <w:ind w:left="720"/>
      </w:pPr>
      <w:r w:rsidRPr="00E53D6C">
        <w:t>Important transfusion related information for a patient may</w:t>
      </w:r>
      <w:r>
        <w:t xml:space="preserve"> appear on more than one page. </w:t>
      </w:r>
      <w:r w:rsidRPr="00E53D6C">
        <w:t>Always check the next page for additional patient information.</w:t>
      </w:r>
      <w:r>
        <w:t xml:space="preserve"> </w:t>
      </w:r>
      <w:r w:rsidRPr="00E53D6C">
        <w:rPr>
          <w:vanish/>
        </w:rPr>
        <w:t>DR 5125</w:t>
      </w:r>
    </w:p>
    <w:p w:rsidR="002A21AE" w:rsidRDefault="002A21AE">
      <w:pPr>
        <w:pStyle w:val="Heading4"/>
        <w:rPr>
          <w:b w:val="0"/>
        </w:rPr>
      </w:pPr>
      <w:r>
        <w:t>User Roles with Access to This Option</w:t>
      </w:r>
      <w:r>
        <w:rPr>
          <w:b w:val="0"/>
        </w:rPr>
        <w:t xml:space="preserve"> </w:t>
      </w:r>
    </w:p>
    <w:p w:rsidR="002A21AE" w:rsidRDefault="00184EA4">
      <w:pPr>
        <w:pStyle w:val="Roles"/>
      </w:pPr>
      <w:r>
        <w:t>All users</w:t>
      </w:r>
    </w:p>
    <w:p w:rsidR="002A21AE" w:rsidRDefault="002A21AE">
      <w:pPr>
        <w:pStyle w:val="Heading4"/>
      </w:pPr>
      <w:r>
        <w:t xml:space="preserve">Transfusion Requirements Report </w:t>
      </w:r>
    </w:p>
    <w:p w:rsidR="002A21AE" w:rsidRDefault="002A21AE" w:rsidP="00FA7E65">
      <w:pPr>
        <w:pStyle w:val="BodyText"/>
      </w:pPr>
      <w:r>
        <w:t xml:space="preserve">The user views </w:t>
      </w:r>
      <w:r w:rsidR="00EB1E5A">
        <w:t xml:space="preserve">and/or </w:t>
      </w:r>
      <w:r>
        <w:t>prints the Transfusion Requirements Report</w:t>
      </w:r>
      <w:r w:rsidR="00B04E4F">
        <w:t xml:space="preserve"> for a division</w:t>
      </w:r>
      <w:r>
        <w:t>. This option describes the continuous compilation of the complete file of patients in the VBECS database</w:t>
      </w:r>
      <w:r w:rsidR="00B04E4F">
        <w:t xml:space="preserve"> for historic record checking during downtime.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pPr>
              <w:pStyle w:val="TableTextNumbers"/>
            </w:pPr>
            <w:r>
              <w:t xml:space="preserve">Select </w:t>
            </w:r>
            <w:r>
              <w:rPr>
                <w:b/>
              </w:rPr>
              <w:t>Reports</w:t>
            </w:r>
            <w:r>
              <w:t xml:space="preserve"> from the main menu.</w:t>
            </w:r>
          </w:p>
          <w:p w:rsidR="002A21AE" w:rsidRDefault="002A21AE">
            <w:pPr>
              <w:pStyle w:val="TableTextNumbersContinued"/>
            </w:pPr>
          </w:p>
          <w:p w:rsidR="002A21AE" w:rsidRDefault="002A21AE">
            <w:pPr>
              <w:pStyle w:val="TableTextNumbersContinued"/>
            </w:pPr>
            <w:r>
              <w:t xml:space="preserve">Select </w:t>
            </w:r>
            <w:r>
              <w:rPr>
                <w:b/>
              </w:rPr>
              <w:t>Transfusion Requirements Report</w:t>
            </w:r>
            <w:r>
              <w:t>.</w:t>
            </w:r>
          </w:p>
        </w:tc>
        <w:tc>
          <w:tcPr>
            <w:tcW w:w="6120" w:type="dxa"/>
          </w:tcPr>
          <w:p w:rsidR="002A21AE" w:rsidRDefault="002A21AE">
            <w:pPr>
              <w:pStyle w:val="TableTextBullet"/>
            </w:pPr>
            <w:r>
              <w:t>Lists report names.</w:t>
            </w:r>
          </w:p>
          <w:p w:rsidR="002A21AE" w:rsidRDefault="002A21AE">
            <w:pPr>
              <w:pStyle w:val="TableTextBullet"/>
            </w:pPr>
            <w:r>
              <w:t xml:space="preserve">Displays report compilation criteria. </w:t>
            </w:r>
          </w:p>
          <w:p w:rsidR="002A21AE" w:rsidRDefault="002A21AE">
            <w:pPr>
              <w:pStyle w:val="TableTextBullet"/>
            </w:pPr>
            <w:r>
              <w:t>Displays a date range for selection.</w:t>
            </w:r>
          </w:p>
        </w:tc>
      </w:tr>
      <w:tr w:rsidR="002A21AE">
        <w:tblPrEx>
          <w:tblCellMar>
            <w:top w:w="0" w:type="dxa"/>
            <w:bottom w:w="0" w:type="dxa"/>
          </w:tblCellMar>
        </w:tblPrEx>
        <w:tc>
          <w:tcPr>
            <w:tcW w:w="3240" w:type="dxa"/>
          </w:tcPr>
          <w:p w:rsidR="002A21AE" w:rsidRDefault="002A21AE">
            <w:pPr>
              <w:pStyle w:val="TableTextNumbers"/>
            </w:pPr>
            <w:r>
              <w:t xml:space="preserve">In the </w:t>
            </w:r>
            <w:r w:rsidRPr="00B46EEA">
              <w:rPr>
                <w:b/>
              </w:rPr>
              <w:t>Report Type</w:t>
            </w:r>
            <w:r>
              <w:t xml:space="preserve"> area, select the </w:t>
            </w:r>
            <w:r>
              <w:rPr>
                <w:b/>
              </w:rPr>
              <w:t>Cumulative Report</w:t>
            </w:r>
            <w:r>
              <w:t xml:space="preserve"> </w:t>
            </w:r>
            <w:r w:rsidRPr="00BF2E41">
              <w:t>radio button</w:t>
            </w:r>
            <w:r>
              <w:t xml:space="preserve">, or </w:t>
            </w:r>
          </w:p>
          <w:p w:rsidR="002A21AE" w:rsidRDefault="002A21AE">
            <w:pPr>
              <w:pStyle w:val="TableTextNumbersContinued"/>
            </w:pPr>
          </w:p>
          <w:p w:rsidR="002A21AE" w:rsidRDefault="002A21AE">
            <w:pPr>
              <w:pStyle w:val="TableTextNumbersContinued"/>
            </w:pPr>
            <w:r>
              <w:t xml:space="preserve">Click the </w:t>
            </w:r>
            <w:r>
              <w:rPr>
                <w:b/>
              </w:rPr>
              <w:t xml:space="preserve">Partial Report </w:t>
            </w:r>
            <w:r w:rsidRPr="00BF2E41">
              <w:t>radio button</w:t>
            </w:r>
            <w:r>
              <w:t xml:space="preserve"> and enter or select start and end dates.</w:t>
            </w:r>
          </w:p>
        </w:tc>
        <w:tc>
          <w:tcPr>
            <w:tcW w:w="6120" w:type="dxa"/>
          </w:tcPr>
          <w:p w:rsidR="00811C5F" w:rsidRDefault="002A21AE">
            <w:pPr>
              <w:pStyle w:val="TableTextBullet"/>
            </w:pPr>
            <w:r>
              <w:t>Compiles and displays the report.</w:t>
            </w:r>
          </w:p>
          <w:p w:rsidR="00811C5F" w:rsidRDefault="00811C5F" w:rsidP="00811C5F">
            <w:pPr>
              <w:pStyle w:val="TableText"/>
              <w:rPr>
                <w:b/>
                <w:bCs/>
                <w:szCs w:val="18"/>
              </w:rPr>
            </w:pPr>
          </w:p>
          <w:p w:rsidR="00811C5F" w:rsidRDefault="00634BFC" w:rsidP="00811C5F">
            <w:pPr>
              <w:pStyle w:val="TableText"/>
              <w:rPr>
                <w:b/>
                <w:bCs/>
                <w:szCs w:val="18"/>
              </w:rPr>
            </w:pPr>
            <w:r>
              <w:rPr>
                <w:b/>
                <w:bCs/>
                <w:noProof/>
              </w:rPr>
              <mc:AlternateContent>
                <mc:Choice Requires="wps">
                  <w:drawing>
                    <wp:anchor distT="0" distB="0" distL="114300" distR="114300" simplePos="0" relativeHeight="25179187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260" name="Line 1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0" o:spid="_x0000_s1026" style="position:absolute;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Cd&#10;SSipFgIAAC4EAAAOAAAAAAAAAAAAAAAAAC4CAABkcnMvZTJvRG9jLnhtbFBLAQItABQABgAIAAAA&#10;IQAXTzAS2wAAAAgBAAAPAAAAAAAAAAAAAAAAAHAEAABkcnMvZG93bnJldi54bWxQSwUGAAAAAAQA&#10;BADzAAAAeAUAAAAA&#10;" strokeweight="1.5pt"/>
                  </w:pict>
                </mc:Fallback>
              </mc:AlternateContent>
            </w:r>
            <w:r w:rsidR="00811C5F">
              <w:rPr>
                <w:b/>
                <w:bCs/>
                <w:szCs w:val="18"/>
              </w:rPr>
              <w:t>NOTES</w:t>
            </w:r>
          </w:p>
          <w:p w:rsidR="00811C5F" w:rsidRDefault="00811C5F" w:rsidP="00811C5F">
            <w:pPr>
              <w:pStyle w:val="NotesText"/>
              <w:ind w:left="0"/>
            </w:pPr>
          </w:p>
          <w:p w:rsidR="00F9149B" w:rsidRPr="00DC4D3E" w:rsidRDefault="00BC7A6E" w:rsidP="00811C5F">
            <w:pPr>
              <w:pStyle w:val="NotesText"/>
            </w:pPr>
            <w:r>
              <w:t>Patients who do not have a blood type, SI, TR, or Transfusion Reaction in their VBECS record do not display on the Transfusion Requirements Report in either the Cumulative or Partial format.</w:t>
            </w:r>
            <w:r w:rsidR="00DC4D3E">
              <w:rPr>
                <w:vanish/>
              </w:rPr>
              <w:t xml:space="preserve"> DR 3356</w:t>
            </w:r>
          </w:p>
          <w:p w:rsidR="00F9149B" w:rsidRDefault="00F9149B" w:rsidP="00811C5F">
            <w:pPr>
              <w:pStyle w:val="NotesText"/>
            </w:pPr>
          </w:p>
          <w:p w:rsidR="00F9149B" w:rsidRDefault="00811C5F" w:rsidP="00811C5F">
            <w:pPr>
              <w:pStyle w:val="NotesText"/>
            </w:pPr>
            <w:r>
              <w:t xml:space="preserve">The Cumulative Report displays patients that have a blood type, </w:t>
            </w:r>
            <w:r>
              <w:lastRenderedPageBreak/>
              <w:t>SI, TR</w:t>
            </w:r>
            <w:r w:rsidR="00F9149B">
              <w:t>, or Transfusion Reaction.</w:t>
            </w:r>
          </w:p>
          <w:p w:rsidR="00F9149B" w:rsidRDefault="00F9149B" w:rsidP="00811C5F">
            <w:pPr>
              <w:pStyle w:val="NotesText"/>
            </w:pPr>
          </w:p>
          <w:p w:rsidR="00811C5F" w:rsidRDefault="00811C5F" w:rsidP="00811C5F">
            <w:pPr>
              <w:pStyle w:val="NotesText"/>
            </w:pPr>
            <w:r>
              <w:t xml:space="preserve">The Partial Report displays </w:t>
            </w:r>
            <w:r w:rsidR="00313C6B">
              <w:t>patient</w:t>
            </w:r>
            <w:r w:rsidR="00F9149B">
              <w:t>s that have a change to their VBECS record within the date range of the requested report.</w:t>
            </w:r>
          </w:p>
          <w:p w:rsidR="00F9149B" w:rsidRDefault="00F9149B" w:rsidP="00811C5F">
            <w:pPr>
              <w:pStyle w:val="NotesText"/>
            </w:pPr>
            <w:r>
              <w:t>Changes are defined as:</w:t>
            </w:r>
          </w:p>
          <w:p w:rsidR="00F9149B" w:rsidRDefault="00F9149B" w:rsidP="00F9149B">
            <w:pPr>
              <w:pStyle w:val="NotesTextBullet"/>
            </w:pPr>
            <w:r>
              <w:t>New order</w:t>
            </w:r>
          </w:p>
          <w:p w:rsidR="00F9149B" w:rsidRDefault="00F9149B" w:rsidP="00F9149B">
            <w:pPr>
              <w:pStyle w:val="NotesTextBullet"/>
            </w:pPr>
            <w:r>
              <w:t>Record of testing</w:t>
            </w:r>
          </w:p>
          <w:p w:rsidR="00F9149B" w:rsidRDefault="00F9149B" w:rsidP="00F9149B">
            <w:pPr>
              <w:pStyle w:val="NotesTextBullet"/>
            </w:pPr>
            <w:r>
              <w:t>Patient Update event</w:t>
            </w:r>
          </w:p>
          <w:p w:rsidR="00F9149B" w:rsidRDefault="00F9149B" w:rsidP="00F9149B">
            <w:pPr>
              <w:pStyle w:val="NotesTextBullet"/>
            </w:pPr>
            <w:r>
              <w:t>New SI entered</w:t>
            </w:r>
          </w:p>
          <w:p w:rsidR="00F9149B" w:rsidRDefault="00F9149B" w:rsidP="00F9149B">
            <w:pPr>
              <w:pStyle w:val="NotesTextBullet"/>
            </w:pPr>
            <w:r>
              <w:t>New TR entered</w:t>
            </w:r>
          </w:p>
          <w:p w:rsidR="00811C5F" w:rsidRDefault="00F9149B" w:rsidP="00DC4D3E">
            <w:pPr>
              <w:pStyle w:val="NotesTextBullet"/>
            </w:pPr>
            <w:r>
              <w:t>New Transfusion Reaction entered</w:t>
            </w:r>
          </w:p>
        </w:tc>
      </w:tr>
      <w:tr w:rsidR="002A21AE">
        <w:tblPrEx>
          <w:tblCellMar>
            <w:top w:w="0" w:type="dxa"/>
            <w:bottom w:w="0" w:type="dxa"/>
          </w:tblCellMar>
        </w:tblPrEx>
        <w:tc>
          <w:tcPr>
            <w:tcW w:w="3240" w:type="dxa"/>
          </w:tcPr>
          <w:p w:rsidR="002A21AE" w:rsidRDefault="002A21AE">
            <w:pPr>
              <w:pStyle w:val="TableTextNumbers"/>
            </w:pPr>
            <w:r>
              <w:lastRenderedPageBreak/>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rsidR="002A21AE" w:rsidRDefault="002A21AE">
            <w:pPr>
              <w:pStyle w:val="TableTextNumbersContinued"/>
            </w:pPr>
          </w:p>
          <w:p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rsidR="000566D6" w:rsidRDefault="00F64B5C" w:rsidP="00AA2B2E">
            <w:pPr>
              <w:pStyle w:val="TableTextBullet"/>
            </w:pPr>
            <w:r>
              <w:t>Compiles and displays the report.</w:t>
            </w:r>
          </w:p>
        </w:tc>
      </w:tr>
      <w:tr w:rsidR="002A21AE">
        <w:tblPrEx>
          <w:tblCellMar>
            <w:top w:w="0" w:type="dxa"/>
            <w:bottom w:w="0" w:type="dxa"/>
          </w:tblCellMar>
        </w:tblPrEx>
        <w:tc>
          <w:tcPr>
            <w:tcW w:w="3240" w:type="dxa"/>
          </w:tcPr>
          <w:p w:rsidR="002A21AE" w:rsidRDefault="002A21AE">
            <w:pPr>
              <w:pStyle w:val="TableTextNumbers"/>
            </w:pPr>
            <w:r>
              <w:t xml:space="preserve">Select </w:t>
            </w:r>
            <w:r>
              <w:rPr>
                <w:b/>
              </w:rPr>
              <w:t xml:space="preserve">Print </w:t>
            </w:r>
            <w:r>
              <w:t xml:space="preserve">to print the report and exit, or click </w:t>
            </w:r>
            <w:r>
              <w:rPr>
                <w:b/>
              </w:rPr>
              <w:t>Close</w:t>
            </w:r>
            <w:r>
              <w:t xml:space="preserve"> to exit without printing.</w:t>
            </w:r>
            <w:r>
              <w:rPr>
                <w:color w:val="FFFFFF"/>
              </w:rPr>
              <w:t xml:space="preserve"> </w:t>
            </w:r>
            <w:r w:rsidRPr="00200B6D">
              <w:rPr>
                <w:rFonts w:cs="Arial"/>
                <w:vanish/>
                <w:szCs w:val="18"/>
              </w:rPr>
              <w:fldChar w:fldCharType="begin"/>
            </w:r>
            <w:r w:rsidRPr="00200B6D">
              <w:rPr>
                <w:rFonts w:cs="Arial"/>
                <w:vanish/>
                <w:szCs w:val="18"/>
              </w:rPr>
              <w:instrText xml:space="preserve"> LISTNUM \l 1 \s 0 </w:instrText>
            </w:r>
            <w:r w:rsidRPr="00200B6D">
              <w:rPr>
                <w:rFonts w:cs="Arial"/>
                <w:vanish/>
                <w:szCs w:val="18"/>
              </w:rPr>
              <w:fldChar w:fldCharType="end"/>
            </w:r>
          </w:p>
        </w:tc>
        <w:tc>
          <w:tcPr>
            <w:tcW w:w="6120" w:type="dxa"/>
          </w:tcPr>
          <w:p w:rsidR="002A21AE" w:rsidRDefault="002A21AE">
            <w:pPr>
              <w:pStyle w:val="TableTextBullet"/>
            </w:pPr>
            <w:r>
              <w:t>Prints the report on the selected printer.</w:t>
            </w:r>
          </w:p>
        </w:tc>
      </w:tr>
    </w:tbl>
    <w:p w:rsidR="002A21AE" w:rsidRDefault="002A21AE">
      <w:pPr>
        <w:pStyle w:val="Heading2"/>
      </w:pPr>
      <w:r>
        <w:br w:type="page"/>
      </w:r>
      <w:bookmarkStart w:id="579" w:name="_Toc459900184"/>
      <w:r>
        <w:lastRenderedPageBreak/>
        <w:t>Unit History Report</w:t>
      </w:r>
      <w:bookmarkEnd w:id="579"/>
      <w:r>
        <w:fldChar w:fldCharType="begin"/>
      </w:r>
      <w:r>
        <w:instrText xml:space="preserve"> XE </w:instrText>
      </w:r>
      <w:r w:rsidR="00FA7E65">
        <w:instrText>“</w:instrText>
      </w:r>
      <w:r>
        <w:instrText>Unit History Report</w:instrText>
      </w:r>
      <w:r w:rsidR="00FA7E65">
        <w:instrText>”</w:instrText>
      </w:r>
      <w:r>
        <w:instrText xml:space="preserve"> </w:instrText>
      </w:r>
      <w:r>
        <w:fldChar w:fldCharType="end"/>
      </w:r>
      <w:r>
        <w:t xml:space="preserve"> </w:t>
      </w:r>
      <w:r>
        <w:rPr>
          <w:rFonts w:ascii="Times New Roman" w:hAnsi="Times New Roman" w:cs="Times New Roman"/>
          <w:b w:val="0"/>
          <w:i w:val="0"/>
          <w:vanish/>
          <w:sz w:val="22"/>
        </w:rPr>
        <w:t>UC_85</w:t>
      </w:r>
    </w:p>
    <w:p w:rsidR="002A21AE" w:rsidRDefault="002A21AE" w:rsidP="00FA7E65">
      <w:pPr>
        <w:pStyle w:val="BodyText"/>
      </w:pPr>
      <w:r>
        <w:t xml:space="preserve">The user views </w:t>
      </w:r>
      <w:r w:rsidR="00EB1E5A">
        <w:t xml:space="preserve">and/or </w:t>
      </w:r>
      <w:r>
        <w:t xml:space="preserve">prints a Unit History Report. </w:t>
      </w:r>
    </w:p>
    <w:p w:rsidR="002A21AE" w:rsidRDefault="002A21AE">
      <w:pPr>
        <w:pStyle w:val="Heading4"/>
      </w:pPr>
      <w:r>
        <w:t>Assumptions</w:t>
      </w:r>
      <w:r>
        <w:rPr>
          <w:b w:val="0"/>
        </w:rPr>
        <w:t xml:space="preserve"> </w:t>
      </w:r>
    </w:p>
    <w:p w:rsidR="002A21AE" w:rsidRDefault="002A21AE">
      <w:pPr>
        <w:pStyle w:val="ListBullet"/>
      </w:pPr>
      <w:r>
        <w:t>The unit exists in the user’s division.</w:t>
      </w:r>
    </w:p>
    <w:p w:rsidR="002A21AE" w:rsidRDefault="002A21AE">
      <w:pPr>
        <w:pStyle w:val="Heading4"/>
      </w:pPr>
      <w:r>
        <w:t xml:space="preserve">Outcome </w:t>
      </w:r>
    </w:p>
    <w:p w:rsidR="002A21AE" w:rsidRDefault="00AE521B">
      <w:pPr>
        <w:pStyle w:val="ListBullet"/>
      </w:pPr>
      <w:r>
        <w:t>The user views and/or prints the report</w:t>
      </w:r>
      <w:r w:rsidR="002A21AE">
        <w:t>.</w:t>
      </w:r>
    </w:p>
    <w:p w:rsidR="002A21AE" w:rsidRDefault="002A21AE">
      <w:pPr>
        <w:pStyle w:val="Heading4"/>
      </w:pPr>
      <w:r>
        <w:t>Limitations and Restrictions</w:t>
      </w:r>
      <w:r>
        <w:rPr>
          <w:b w:val="0"/>
        </w:rPr>
        <w:t xml:space="preserve"> </w:t>
      </w:r>
    </w:p>
    <w:p w:rsidR="002A21AE" w:rsidRDefault="002A21AE">
      <w:pPr>
        <w:pStyle w:val="ListBullet"/>
      </w:pPr>
      <w:r>
        <w:t xml:space="preserve">The report is not multidivisional. </w:t>
      </w:r>
    </w:p>
    <w:p w:rsidR="00DD7CAF" w:rsidRDefault="00DD7CAF">
      <w:pPr>
        <w:pStyle w:val="ListBullet"/>
      </w:pPr>
      <w:r>
        <w:t>When a user retroactively updates a unit status through Discard or Quarantine, the Unit History Report displays the updated information, but does not display the date the change was made.</w:t>
      </w:r>
    </w:p>
    <w:p w:rsidR="002A21AE" w:rsidRDefault="002A21AE">
      <w:pPr>
        <w:pStyle w:val="Heading4"/>
      </w:pPr>
      <w:r>
        <w:t xml:space="preserve">Additional Information </w:t>
      </w:r>
    </w:p>
    <w:p w:rsidR="002A21AE" w:rsidRDefault="002A21AE">
      <w:pPr>
        <w:pStyle w:val="ListBullet"/>
      </w:pPr>
      <w:r>
        <w:t>There may be multiple instances of the same unit number and product code in the same division. Inactivated unit records may have a unit ID and product code that duplicate an active unit ID and product code.</w:t>
      </w:r>
    </w:p>
    <w:p w:rsidR="002A21AE" w:rsidRDefault="002A21AE">
      <w:pPr>
        <w:pStyle w:val="ListBullet"/>
      </w:pPr>
      <w:r>
        <w:t xml:space="preserve">VBECS always displays the current unit status when the user selects a blood unit, so there is no need for a separate report option, as is possible in </w:t>
      </w:r>
      <w:r w:rsidR="00CA6E27" w:rsidRPr="00CA6E27">
        <w:rPr>
          <w:bCs/>
        </w:rPr>
        <w:t>VistA</w:t>
      </w:r>
      <w:r>
        <w:t>.</w:t>
      </w:r>
    </w:p>
    <w:p w:rsidR="002A21AE" w:rsidRDefault="002A21AE">
      <w:pPr>
        <w:pStyle w:val="ListBullet"/>
      </w:pPr>
      <w:r>
        <w:t>Unit testing details are included in Testing Worklist Report.</w:t>
      </w:r>
    </w:p>
    <w:p w:rsidR="002A21AE" w:rsidRDefault="002A21AE">
      <w:pPr>
        <w:pStyle w:val="Heading4"/>
        <w:rPr>
          <w:b w:val="0"/>
        </w:rPr>
      </w:pPr>
      <w:r>
        <w:t>User Roles with Access to This Option</w:t>
      </w:r>
      <w:r>
        <w:rPr>
          <w:b w:val="0"/>
        </w:rPr>
        <w:t xml:space="preserve"> </w:t>
      </w:r>
    </w:p>
    <w:p w:rsidR="002A21AE" w:rsidRDefault="00184EA4">
      <w:pPr>
        <w:pStyle w:val="Roles"/>
      </w:pPr>
      <w:r>
        <w:t>All users</w:t>
      </w:r>
    </w:p>
    <w:p w:rsidR="002A21AE" w:rsidRDefault="002A21AE">
      <w:pPr>
        <w:pStyle w:val="Heading4"/>
      </w:pPr>
      <w:r>
        <w:t xml:space="preserve">Unit History Report </w:t>
      </w:r>
    </w:p>
    <w:p w:rsidR="002A21AE" w:rsidRDefault="002A21AE" w:rsidP="00FA7E65">
      <w:pPr>
        <w:pStyle w:val="BodyText"/>
      </w:pPr>
      <w:r>
        <w:t xml:space="preserve">The user views </w:t>
      </w:r>
      <w:r w:rsidR="00EB1E5A">
        <w:t xml:space="preserve">and/or </w:t>
      </w:r>
      <w:r>
        <w:t>prints the complete record for a blood unit</w:t>
      </w:r>
      <w:r w:rsidR="00160D7B">
        <w:t>, from incoming shipment through final status, including unit activities saved in the VBECS database</w:t>
      </w:r>
      <w:r>
        <w:t>. VBECS compiles data for that unit for one division.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tblPrEx>
          <w:tblCellMar>
            <w:top w:w="0" w:type="dxa"/>
            <w:bottom w:w="0" w:type="dxa"/>
          </w:tblCellMar>
        </w:tblPrEx>
        <w:trPr>
          <w:cantSplit/>
          <w:tblHeader/>
        </w:trPr>
        <w:tc>
          <w:tcPr>
            <w:tcW w:w="3240" w:type="dxa"/>
            <w:shd w:val="pct30" w:color="auto" w:fill="FFFFFF"/>
            <w:vAlign w:val="bottom"/>
          </w:tcPr>
          <w:p w:rsidR="002A21AE" w:rsidRDefault="002A21AE">
            <w:pPr>
              <w:pStyle w:val="TableText"/>
              <w:rPr>
                <w:b/>
              </w:rPr>
            </w:pPr>
            <w:r>
              <w:rPr>
                <w:b/>
              </w:rPr>
              <w:t>User Action</w:t>
            </w:r>
          </w:p>
        </w:tc>
        <w:tc>
          <w:tcPr>
            <w:tcW w:w="6120" w:type="dxa"/>
            <w:shd w:val="pct30" w:color="auto" w:fill="FFFFFF"/>
            <w:vAlign w:val="bottom"/>
          </w:tcPr>
          <w:p w:rsidR="002A21AE" w:rsidRDefault="002A21AE">
            <w:pPr>
              <w:pStyle w:val="TableText"/>
              <w:rPr>
                <w:b/>
              </w:rPr>
            </w:pPr>
            <w:r>
              <w:rPr>
                <w:b/>
              </w:rPr>
              <w:t>VBECS</w:t>
            </w:r>
          </w:p>
        </w:tc>
      </w:tr>
      <w:tr w:rsidR="002A21AE">
        <w:tblPrEx>
          <w:tblCellMar>
            <w:top w:w="0" w:type="dxa"/>
            <w:bottom w:w="0" w:type="dxa"/>
          </w:tblCellMar>
        </w:tblPrEx>
        <w:tc>
          <w:tcPr>
            <w:tcW w:w="3240" w:type="dxa"/>
          </w:tcPr>
          <w:p w:rsidR="002A21AE" w:rsidRDefault="002A21AE">
            <w:pPr>
              <w:pStyle w:val="TableTextNumbers"/>
            </w:pPr>
            <w:r>
              <w:t xml:space="preserve">Select </w:t>
            </w:r>
            <w:r>
              <w:rPr>
                <w:b/>
              </w:rPr>
              <w:t>Reports</w:t>
            </w:r>
            <w:r>
              <w:t xml:space="preserve"> from the main menu.</w:t>
            </w:r>
          </w:p>
          <w:p w:rsidR="002A21AE" w:rsidRDefault="002A21AE">
            <w:pPr>
              <w:pStyle w:val="TableTextNumbersContinued"/>
            </w:pPr>
          </w:p>
          <w:p w:rsidR="002A21AE" w:rsidRDefault="002A21AE">
            <w:pPr>
              <w:pStyle w:val="TableTextNumbersContinued"/>
            </w:pPr>
            <w:r>
              <w:t xml:space="preserve">Select </w:t>
            </w:r>
            <w:r>
              <w:rPr>
                <w:b/>
              </w:rPr>
              <w:t>Unit History Report</w:t>
            </w:r>
            <w:r>
              <w:t>.</w:t>
            </w:r>
          </w:p>
        </w:tc>
        <w:tc>
          <w:tcPr>
            <w:tcW w:w="6120" w:type="dxa"/>
          </w:tcPr>
          <w:p w:rsidR="002A21AE" w:rsidRDefault="002A21AE">
            <w:pPr>
              <w:pStyle w:val="TableTextBullet"/>
            </w:pPr>
            <w:r>
              <w:t>Lists report names.</w:t>
            </w:r>
          </w:p>
          <w:p w:rsidR="002A21AE" w:rsidRDefault="002A21AE">
            <w:pPr>
              <w:pStyle w:val="TableTextBullet"/>
            </w:pPr>
            <w:r>
              <w:t>Allows the user to scan or enter a unit ID and product code.</w:t>
            </w:r>
          </w:p>
          <w:p w:rsidR="002A21AE" w:rsidRDefault="002A21AE" w:rsidP="009D2266">
            <w:pPr>
              <w:pStyle w:val="TableTextBullet"/>
              <w:numPr>
                <w:ilvl w:val="0"/>
                <w:numId w:val="10"/>
              </w:numPr>
              <w:tabs>
                <w:tab w:val="clear" w:pos="720"/>
                <w:tab w:val="num" w:pos="288"/>
              </w:tabs>
              <w:ind w:left="288" w:hanging="288"/>
            </w:pPr>
            <w:r>
              <w:t xml:space="preserve">Displays compilation criteria. </w:t>
            </w:r>
          </w:p>
        </w:tc>
      </w:tr>
      <w:tr w:rsidR="002A21AE">
        <w:tblPrEx>
          <w:tblCellMar>
            <w:top w:w="0" w:type="dxa"/>
            <w:bottom w:w="0" w:type="dxa"/>
          </w:tblCellMar>
        </w:tblPrEx>
        <w:tc>
          <w:tcPr>
            <w:tcW w:w="3240" w:type="dxa"/>
          </w:tcPr>
          <w:p w:rsidR="002A21AE" w:rsidRDefault="002A21AE">
            <w:pPr>
              <w:pStyle w:val="TableTextNumbers"/>
            </w:pPr>
            <w:r>
              <w:t xml:space="preserve">Scan or enter the unit ID and product code, or click the </w:t>
            </w:r>
            <w:r w:rsidR="00A6373D" w:rsidRPr="00945BF5">
              <w:rPr>
                <w:b/>
              </w:rPr>
              <w:t>find</w:t>
            </w:r>
            <w:r>
              <w:rPr>
                <w:b/>
              </w:rPr>
              <w:t xml:space="preserve"> </w:t>
            </w:r>
            <w:r w:rsidRPr="00D1100E">
              <w:t>button</w:t>
            </w:r>
            <w:r>
              <w:t xml:space="preserve"> to search for and select a unit.</w:t>
            </w:r>
          </w:p>
        </w:tc>
        <w:tc>
          <w:tcPr>
            <w:tcW w:w="6120" w:type="dxa"/>
          </w:tcPr>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9254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259" name="Line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9"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DUt&#10;PHUVAgAALQQAAA4AAAAAAAAAAAAAAAAALgIAAGRycy9lMm9Eb2MueG1sUEsBAi0AFAAGAAgAAAAh&#10;ABdPMBLbAAAACAEAAA8AAAAAAAAAAAAAAAAAbwQAAGRycy9kb3ducmV2LnhtbFBLBQYAAAAABAAE&#10;APMAAAB3BQAAAAA=&#10;" strokeweight="1.5pt"/>
                  </w:pict>
                </mc:Fallback>
              </mc:AlternateContent>
            </w:r>
            <w:r w:rsidR="002A21AE">
              <w:rPr>
                <w:b/>
                <w:bCs/>
                <w:szCs w:val="18"/>
              </w:rPr>
              <w:t>NOTES</w:t>
            </w:r>
          </w:p>
          <w:p w:rsidR="002A21AE" w:rsidRDefault="002A21AE">
            <w:pPr>
              <w:pStyle w:val="NotesText"/>
            </w:pPr>
          </w:p>
          <w:p w:rsidR="002A21AE" w:rsidRDefault="002A21AE">
            <w:pPr>
              <w:pStyle w:val="NotesText"/>
            </w:pPr>
            <w:r>
              <w:rPr>
                <w:rFonts w:cs="Arial"/>
                <w:vanish/>
              </w:rPr>
              <w:t xml:space="preserve">BR_85.01 </w:t>
            </w:r>
            <w:r>
              <w:t>The user may select any unit (active or inactive) in a division. VBECS marks the units so that the active ones are distinct from the inactive ones.</w:t>
            </w:r>
          </w:p>
        </w:tc>
      </w:tr>
      <w:tr w:rsidR="002A21AE">
        <w:tblPrEx>
          <w:tblCellMar>
            <w:top w:w="0" w:type="dxa"/>
            <w:bottom w:w="0" w:type="dxa"/>
          </w:tblCellMar>
        </w:tblPrEx>
        <w:tc>
          <w:tcPr>
            <w:tcW w:w="3240" w:type="dxa"/>
          </w:tcPr>
          <w:p w:rsidR="002A21AE" w:rsidRDefault="002A21AE">
            <w:pPr>
              <w:pStyle w:val="TableTextNumbers"/>
            </w:pPr>
            <w:r>
              <w:t xml:space="preserve">In the </w:t>
            </w:r>
            <w:r w:rsidRPr="00B46EEA">
              <w:rPr>
                <w:b/>
              </w:rPr>
              <w:t>Include Report Sections</w:t>
            </w:r>
            <w:r>
              <w:t xml:space="preserve"> area, click one or more check boxes to select report sections.</w:t>
            </w:r>
          </w:p>
        </w:tc>
        <w:tc>
          <w:tcPr>
            <w:tcW w:w="6120" w:type="dxa"/>
          </w:tcPr>
          <w:p w:rsidR="002A21AE" w:rsidRDefault="002A21AE">
            <w:pPr>
              <w:pStyle w:val="TableTextBullet"/>
            </w:pPr>
            <w:r>
              <w:rPr>
                <w:rFonts w:cs="Arial"/>
                <w:vanish/>
              </w:rPr>
              <w:t xml:space="preserve">BR_85.02 </w:t>
            </w:r>
            <w:r>
              <w:t>Displays the unit report section types for selection:</w:t>
            </w:r>
          </w:p>
          <w:p w:rsidR="00753E10" w:rsidRDefault="00753E10" w:rsidP="00100276">
            <w:pPr>
              <w:pStyle w:val="TableTextBullet1"/>
            </w:pPr>
            <w:r>
              <w:t>Incoming Shipment</w:t>
            </w:r>
          </w:p>
          <w:p w:rsidR="00753E10" w:rsidRDefault="00753E10" w:rsidP="00AC5D7B">
            <w:pPr>
              <w:pStyle w:val="TableTextBullet1"/>
            </w:pPr>
            <w:r>
              <w:t>Outgoing Shipment</w:t>
            </w:r>
          </w:p>
          <w:p w:rsidR="00753E10" w:rsidRDefault="00753E10" w:rsidP="00AC5D7B">
            <w:pPr>
              <w:pStyle w:val="TableTextBullet1"/>
            </w:pPr>
            <w:r>
              <w:t>Unit Quarantine Information</w:t>
            </w:r>
          </w:p>
          <w:p w:rsidR="00753E10" w:rsidRDefault="00753E10" w:rsidP="00AC5D7B">
            <w:pPr>
              <w:pStyle w:val="TableTextBullet1"/>
            </w:pPr>
            <w:r>
              <w:t>Unit Financials</w:t>
            </w:r>
          </w:p>
          <w:p w:rsidR="00753E10" w:rsidRDefault="00753E10" w:rsidP="00AC5D7B">
            <w:pPr>
              <w:pStyle w:val="TableTextBullet1"/>
            </w:pPr>
            <w:r>
              <w:t>Patient Associations History</w:t>
            </w:r>
          </w:p>
          <w:p w:rsidR="00753E10" w:rsidRDefault="00753E10" w:rsidP="00AC5D7B">
            <w:pPr>
              <w:pStyle w:val="TableTextBullet1"/>
            </w:pPr>
            <w:r>
              <w:t>Issue Information</w:t>
            </w:r>
          </w:p>
          <w:p w:rsidR="00753E10" w:rsidRDefault="00753E10" w:rsidP="00AC5D7B">
            <w:pPr>
              <w:pStyle w:val="TableTextBullet1"/>
            </w:pPr>
            <w:r>
              <w:t>Testing</w:t>
            </w:r>
          </w:p>
          <w:p w:rsidR="00753E10" w:rsidRDefault="00753E10" w:rsidP="00AC5D7B">
            <w:pPr>
              <w:pStyle w:val="TableTextBullet1"/>
            </w:pPr>
            <w:r>
              <w:lastRenderedPageBreak/>
              <w:t>Crossmatch</w:t>
            </w:r>
          </w:p>
          <w:p w:rsidR="00753E10" w:rsidRDefault="00753E10" w:rsidP="00AC5D7B">
            <w:pPr>
              <w:pStyle w:val="TableTextBullet1"/>
            </w:pPr>
            <w:r>
              <w:t>Modification</w:t>
            </w:r>
          </w:p>
          <w:p w:rsidR="00753E10" w:rsidRDefault="00753E10" w:rsidP="00AC5D7B">
            <w:pPr>
              <w:pStyle w:val="TableTextBullet1"/>
            </w:pPr>
            <w:r>
              <w:t>Transfused To</w:t>
            </w:r>
          </w:p>
          <w:p w:rsidR="00753E10" w:rsidRDefault="00753E10" w:rsidP="00AC5D7B">
            <w:pPr>
              <w:pStyle w:val="TableTextBullet1"/>
            </w:pPr>
            <w:r>
              <w:t>Exception Report</w:t>
            </w:r>
          </w:p>
        </w:tc>
      </w:tr>
      <w:tr w:rsidR="002A21AE">
        <w:tblPrEx>
          <w:tblCellMar>
            <w:top w:w="0" w:type="dxa"/>
            <w:bottom w:w="0" w:type="dxa"/>
          </w:tblCellMar>
        </w:tblPrEx>
        <w:tc>
          <w:tcPr>
            <w:tcW w:w="3240" w:type="dxa"/>
          </w:tcPr>
          <w:p w:rsidR="002A21AE" w:rsidRDefault="002A21AE">
            <w:pPr>
              <w:pStyle w:val="TableTextNumbers"/>
            </w:pPr>
            <w:r>
              <w:lastRenderedPageBreak/>
              <w:t xml:space="preserve">In the </w:t>
            </w:r>
            <w:r w:rsidRPr="009554A6">
              <w:t>Report Compilation</w:t>
            </w:r>
            <w:r>
              <w:t xml:space="preserve"> area, click the </w:t>
            </w:r>
            <w:r>
              <w:rPr>
                <w:b/>
              </w:rPr>
              <w:t xml:space="preserve">Create Report Now </w:t>
            </w:r>
            <w:r w:rsidRPr="00BF2E41">
              <w:t>radio button</w:t>
            </w:r>
            <w:r>
              <w:t xml:space="preserve">. Click </w:t>
            </w:r>
            <w:r>
              <w:rPr>
                <w:b/>
              </w:rPr>
              <w:t>OK</w:t>
            </w:r>
            <w:r>
              <w:t xml:space="preserve"> to view the report, or</w:t>
            </w:r>
          </w:p>
          <w:p w:rsidR="002A21AE" w:rsidRDefault="002A21AE">
            <w:pPr>
              <w:pStyle w:val="TableTextNumbersContinued"/>
              <w:rPr>
                <w:b/>
                <w:bCs/>
              </w:rPr>
            </w:pPr>
          </w:p>
          <w:p w:rsidR="002A21AE" w:rsidRDefault="002A21AE">
            <w:pPr>
              <w:pStyle w:val="TableTextNumbersContinued"/>
            </w:pPr>
            <w:r>
              <w:t xml:space="preserve">Click the </w:t>
            </w:r>
            <w:r>
              <w:rPr>
                <w:b/>
              </w:rPr>
              <w:t xml:space="preserve">Schedule Print Job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rsidR="002A21AE" w:rsidRDefault="002A21AE">
            <w:pPr>
              <w:pStyle w:val="TableTextBullet"/>
            </w:pPr>
            <w:r>
              <w:rPr>
                <w:rFonts w:cs="Arial"/>
                <w:vanish/>
              </w:rPr>
              <w:t xml:space="preserve">BR_74.01 </w:t>
            </w:r>
            <w:r>
              <w:t>Compiles and displays the report for the user’s login division.</w:t>
            </w:r>
          </w:p>
          <w:p w:rsidR="002A21AE" w:rsidRDefault="002A21AE">
            <w:pPr>
              <w:pStyle w:val="TableText"/>
            </w:pPr>
          </w:p>
          <w:p w:rsidR="002A21AE" w:rsidRDefault="00634BFC">
            <w:pPr>
              <w:pStyle w:val="TableText"/>
              <w:rPr>
                <w:b/>
                <w:bCs/>
                <w:szCs w:val="18"/>
              </w:rPr>
            </w:pPr>
            <w:r>
              <w:rPr>
                <w:b/>
                <w:bCs/>
                <w:noProof/>
              </w:rPr>
              <mc:AlternateContent>
                <mc:Choice Requires="wps">
                  <w:drawing>
                    <wp:anchor distT="0" distB="0" distL="114300" distR="114300" simplePos="0" relativeHeight="25169356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258" name="Line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0"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5qAFgIAAC0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" strokeweight="1.5pt"/>
                  </w:pict>
                </mc:Fallback>
              </mc:AlternateContent>
            </w:r>
            <w:r w:rsidR="002A21AE">
              <w:rPr>
                <w:b/>
                <w:bCs/>
                <w:szCs w:val="18"/>
              </w:rPr>
              <w:t>NOTES</w:t>
            </w:r>
          </w:p>
          <w:p w:rsidR="002A21AE" w:rsidRDefault="002A21AE" w:rsidP="00AD6A88">
            <w:pPr>
              <w:pStyle w:val="NotesText"/>
            </w:pPr>
          </w:p>
          <w:p w:rsidR="002A21AE" w:rsidRDefault="002A21AE">
            <w:pPr>
              <w:pStyle w:val="NotesText"/>
            </w:pPr>
            <w:r>
              <w:rPr>
                <w:rFonts w:cs="Arial"/>
                <w:vanish/>
              </w:rPr>
              <w:t xml:space="preserve">BR_85.03 </w:t>
            </w:r>
            <w:r>
              <w:t>The page header includes the standard VBECS header, the unit ID, product, donation type, expiration date, restricted for patient, status, ABO/Rh, division, product long name, and user.</w:t>
            </w:r>
          </w:p>
          <w:p w:rsidR="002A21AE" w:rsidRDefault="002A21AE">
            <w:pPr>
              <w:pStyle w:val="NotesText"/>
            </w:pPr>
          </w:p>
          <w:p w:rsidR="002A21AE" w:rsidRDefault="002A21AE">
            <w:pPr>
              <w:pStyle w:val="NotesText"/>
            </w:pPr>
            <w:r>
              <w:rPr>
                <w:rFonts w:cs="Arial"/>
                <w:vanish/>
              </w:rPr>
              <w:t xml:space="preserve">BR_85.04 </w:t>
            </w:r>
            <w:r>
              <w:t xml:space="preserve">VBECS displays entries from only the related reports (Audit Trail and Exception Reports) specific to the selected unit or patient. </w:t>
            </w:r>
          </w:p>
          <w:p w:rsidR="002A21AE" w:rsidRDefault="002A21AE">
            <w:pPr>
              <w:pStyle w:val="NotesText"/>
            </w:pPr>
          </w:p>
          <w:p w:rsidR="002A21AE" w:rsidRDefault="002A21AE">
            <w:pPr>
              <w:pStyle w:val="NotesText"/>
            </w:pPr>
            <w:r>
              <w:t>Audit Trail and Exception Reports that record only unit override information are linked to the unit</w:t>
            </w:r>
            <w:r w:rsidR="00FA7E65">
              <w:t>’</w:t>
            </w:r>
            <w:r>
              <w:t xml:space="preserve">s </w:t>
            </w:r>
            <w:r w:rsidR="0051757B">
              <w:t>historic</w:t>
            </w:r>
            <w:r>
              <w:t xml:space="preserve"> record. Those that record only patient override information are linked to the patient</w:t>
            </w:r>
            <w:r w:rsidR="00FA7E65">
              <w:t>’</w:t>
            </w:r>
            <w:r>
              <w:t xml:space="preserve">s </w:t>
            </w:r>
            <w:r w:rsidR="0051757B">
              <w:t>historic</w:t>
            </w:r>
            <w:r>
              <w:t xml:space="preserve"> record. Those that record both are accessible in unit and patient </w:t>
            </w:r>
            <w:r w:rsidR="0051757B">
              <w:t>historic</w:t>
            </w:r>
            <w:r>
              <w:t xml:space="preserve"> records.</w:t>
            </w:r>
          </w:p>
          <w:p w:rsidR="002A21AE" w:rsidRDefault="002A21AE">
            <w:pPr>
              <w:pStyle w:val="NotesText"/>
              <w:rPr>
                <w:rFonts w:eastAsia="Symbol" w:cs="Arial"/>
                <w:sz w:val="20"/>
              </w:rPr>
            </w:pPr>
          </w:p>
          <w:p w:rsidR="002A21AE" w:rsidRDefault="002A21AE">
            <w:pPr>
              <w:pStyle w:val="NotesText"/>
            </w:pPr>
            <w:r>
              <w:t xml:space="preserve">See </w:t>
            </w:r>
            <w:r w:rsidR="007D7892">
              <w:fldChar w:fldCharType="begin"/>
            </w:r>
            <w:r w:rsidR="007D7892">
              <w:instrText xml:space="preserve"> REF _Ref170004931 \h </w:instrText>
            </w:r>
            <w:r w:rsidR="007D7892">
              <w:fldChar w:fldCharType="separate"/>
            </w:r>
            <w:r w:rsidR="005F38BC">
              <w:t xml:space="preserve">Appendix </w:t>
            </w:r>
            <w:r w:rsidR="005F38BC">
              <w:rPr>
                <w:noProof/>
              </w:rPr>
              <w:t>B</w:t>
            </w:r>
            <w:r w:rsidR="007D7892">
              <w:fldChar w:fldCharType="end"/>
            </w:r>
            <w:r>
              <w:t xml:space="preserve">: </w:t>
            </w:r>
            <w:r w:rsidR="00CF5477">
              <w:fldChar w:fldCharType="begin"/>
            </w:r>
            <w:r w:rsidR="00CF5477">
              <w:instrText xml:space="preserve"> REF _Ref126504618 \h </w:instrText>
            </w:r>
            <w:r w:rsidR="00CF5477">
              <w:fldChar w:fldCharType="separate"/>
            </w:r>
            <w:r w:rsidR="005F38BC">
              <w:t xml:space="preserve">Table </w:t>
            </w:r>
            <w:r w:rsidR="005F38BC">
              <w:rPr>
                <w:noProof/>
              </w:rPr>
              <w:t>19</w:t>
            </w:r>
            <w:r w:rsidR="005F38BC">
              <w:t xml:space="preserve">: </w:t>
            </w:r>
            <w:r w:rsidR="005F38BC">
              <w:rPr>
                <w:vanish/>
              </w:rPr>
              <w:t xml:space="preserve">TT_77.01 </w:t>
            </w:r>
            <w:r w:rsidR="005F38BC">
              <w:t>Details in Audit Trail Report</w:t>
            </w:r>
            <w:r w:rsidR="00CF5477">
              <w:fldChar w:fldCharType="end"/>
            </w:r>
            <w:r>
              <w:t xml:space="preserve"> and </w:t>
            </w:r>
            <w:r w:rsidR="00CF5477">
              <w:fldChar w:fldCharType="begin"/>
            </w:r>
            <w:r w:rsidR="00CF5477">
              <w:instrText xml:space="preserve"> REF _Ref126504629 \h </w:instrText>
            </w:r>
            <w:r w:rsidR="00CF5477">
              <w:fldChar w:fldCharType="separate"/>
            </w:r>
            <w:r w:rsidR="005F38BC">
              <w:t xml:space="preserve">Table </w:t>
            </w:r>
            <w:r w:rsidR="005F38BC">
              <w:rPr>
                <w:noProof/>
              </w:rPr>
              <w:t>20</w:t>
            </w:r>
            <w:r w:rsidR="005F38BC">
              <w:t xml:space="preserve">: </w:t>
            </w:r>
            <w:r w:rsidR="005F38BC">
              <w:rPr>
                <w:vanish/>
              </w:rPr>
              <w:t xml:space="preserve">TT_82.01 </w:t>
            </w:r>
            <w:r w:rsidR="005F38BC">
              <w:t>Details in Exception Report</w:t>
            </w:r>
            <w:r w:rsidR="00CF5477">
              <w:fldChar w:fldCharType="end"/>
            </w:r>
            <w:r>
              <w:t>.</w:t>
            </w:r>
          </w:p>
          <w:p w:rsidR="002A21AE" w:rsidRDefault="002A21AE">
            <w:pPr>
              <w:pStyle w:val="NotesText"/>
            </w:pPr>
          </w:p>
          <w:p w:rsidR="002A21AE" w:rsidRDefault="002A21AE">
            <w:pPr>
              <w:pStyle w:val="NotesText"/>
              <w:rPr>
                <w:rFonts w:eastAsia="Symbol" w:cs="Arial"/>
                <w:sz w:val="20"/>
              </w:rPr>
            </w:pPr>
            <w:r>
              <w:rPr>
                <w:rFonts w:cs="Arial"/>
                <w:vanish/>
              </w:rPr>
              <w:t xml:space="preserve">BR_85.05 </w:t>
            </w:r>
            <w:r>
              <w:t>The report displays the product long name.</w:t>
            </w:r>
          </w:p>
          <w:p w:rsidR="002A21AE" w:rsidRDefault="002A21AE">
            <w:pPr>
              <w:pStyle w:val="NotesText"/>
            </w:pPr>
          </w:p>
          <w:p w:rsidR="002A21AE" w:rsidRDefault="002A21AE">
            <w:pPr>
              <w:pStyle w:val="NotesText"/>
              <w:rPr>
                <w:rFonts w:eastAsia="Symbol" w:cs="Arial"/>
                <w:sz w:val="20"/>
              </w:rPr>
            </w:pPr>
            <w:r>
              <w:rPr>
                <w:rFonts w:cs="Arial"/>
                <w:vanish/>
              </w:rPr>
              <w:t xml:space="preserve">BR_85.08 </w:t>
            </w:r>
            <w:r>
              <w:t>The report displays “CMV neg” and/or “SC neg” in the “Special Testing” column when a unit qualifies.</w:t>
            </w:r>
          </w:p>
          <w:p w:rsidR="002A21AE" w:rsidRDefault="002A21AE">
            <w:pPr>
              <w:pStyle w:val="NotesText"/>
            </w:pPr>
          </w:p>
          <w:p w:rsidR="002A21AE" w:rsidRDefault="002A21AE">
            <w:pPr>
              <w:pStyle w:val="NotesText"/>
            </w:pPr>
            <w:r>
              <w:rPr>
                <w:rFonts w:cs="Arial"/>
                <w:vanish/>
              </w:rPr>
              <w:t xml:space="preserve">BR_85.09 </w:t>
            </w:r>
            <w:r>
              <w:t>The report displays the unit’s quarantine indicator in the “Quarantined” column: blank when never quarantined, “Yes” when quarantined, and “No” when released from quarantine.</w:t>
            </w:r>
          </w:p>
          <w:p w:rsidR="002A21AE" w:rsidRDefault="002A21AE">
            <w:pPr>
              <w:pStyle w:val="NotesText"/>
              <w:rPr>
                <w:rFonts w:eastAsia="Symbol" w:cs="Arial"/>
                <w:sz w:val="20"/>
              </w:rPr>
            </w:pPr>
          </w:p>
          <w:p w:rsidR="000566D6" w:rsidRDefault="002A21AE" w:rsidP="00AA2B2E">
            <w:pPr>
              <w:pStyle w:val="NotesText"/>
            </w:pPr>
            <w:r>
              <w:rPr>
                <w:rFonts w:cs="Arial"/>
                <w:vanish/>
              </w:rPr>
              <w:t xml:space="preserve">BR_85.10 </w:t>
            </w:r>
            <w:r>
              <w:t>The report displays the unit’s biohazardous indicator in the “Biohazard” column: blank when never marked as biohazardous, “Yes” when biohazardous, and “No” when the biohazard indicator was removed.</w:t>
            </w:r>
          </w:p>
        </w:tc>
      </w:tr>
      <w:tr w:rsidR="002A21AE">
        <w:tblPrEx>
          <w:tblCellMar>
            <w:top w:w="0" w:type="dxa"/>
            <w:bottom w:w="0" w:type="dxa"/>
          </w:tblCellMar>
        </w:tblPrEx>
        <w:tc>
          <w:tcPr>
            <w:tcW w:w="3240" w:type="dxa"/>
          </w:tcPr>
          <w:p w:rsidR="002A21AE" w:rsidRDefault="002A21AE">
            <w:pPr>
              <w:pStyle w:val="TableTextNumbers"/>
            </w:pPr>
            <w:r>
              <w:t xml:space="preserve">Select </w:t>
            </w:r>
            <w:r>
              <w:rPr>
                <w:b/>
              </w:rPr>
              <w:t xml:space="preserve">Print </w:t>
            </w:r>
            <w:r>
              <w:t xml:space="preserve">to print the report and exit, or click </w:t>
            </w:r>
            <w:r>
              <w:rPr>
                <w:b/>
              </w:rPr>
              <w:t>Close</w:t>
            </w:r>
            <w:r>
              <w:t xml:space="preserve"> to exit without printing.</w:t>
            </w:r>
            <w:r>
              <w:rPr>
                <w:color w:val="FFFFFF"/>
              </w:rPr>
              <w:t xml:space="preserve"> </w:t>
            </w:r>
            <w:r w:rsidRPr="0071663C">
              <w:rPr>
                <w:color w:val="FFFFFF"/>
              </w:rPr>
              <w:fldChar w:fldCharType="begin"/>
            </w:r>
            <w:r w:rsidRPr="0071663C">
              <w:rPr>
                <w:color w:val="FFFFFF"/>
              </w:rPr>
              <w:instrText xml:space="preserve"> LISTNUM \l 1 \s 0 </w:instrText>
            </w:r>
            <w:r w:rsidRPr="0071663C">
              <w:rPr>
                <w:color w:val="FFFFFF"/>
              </w:rPr>
              <w:fldChar w:fldCharType="end"/>
            </w:r>
          </w:p>
        </w:tc>
        <w:tc>
          <w:tcPr>
            <w:tcW w:w="6120" w:type="dxa"/>
          </w:tcPr>
          <w:p w:rsidR="002A21AE" w:rsidRDefault="002A21AE">
            <w:pPr>
              <w:pStyle w:val="TableTextBullet"/>
            </w:pPr>
            <w:r>
              <w:t>Prints the report on the selected printer.</w:t>
            </w:r>
          </w:p>
        </w:tc>
      </w:tr>
    </w:tbl>
    <w:p w:rsidR="0015667D" w:rsidRDefault="0015667D" w:rsidP="0015667D"/>
    <w:p w:rsidR="0050722E" w:rsidRPr="0015667D" w:rsidRDefault="0015667D" w:rsidP="0015667D">
      <w:pPr>
        <w:jc w:val="center"/>
        <w:rPr>
          <w:sz w:val="22"/>
          <w:szCs w:val="22"/>
        </w:rPr>
      </w:pPr>
      <w:r>
        <w:br w:type="page"/>
      </w:r>
      <w:r w:rsidRPr="0015667D">
        <w:rPr>
          <w:sz w:val="22"/>
          <w:szCs w:val="22"/>
        </w:rPr>
        <w:lastRenderedPageBreak/>
        <w:t>This page intentionally left blank.</w:t>
      </w:r>
    </w:p>
    <w:p w:rsidR="002A21AE" w:rsidRDefault="00A04F10" w:rsidP="00A04F10">
      <w:pPr>
        <w:pStyle w:val="Heading1"/>
      </w:pPr>
      <w:r>
        <w:br w:type="page"/>
      </w:r>
      <w:bookmarkStart w:id="580" w:name="_Toc459900185"/>
      <w:r w:rsidR="002A21AE">
        <w:lastRenderedPageBreak/>
        <w:t>References</w:t>
      </w:r>
      <w:bookmarkEnd w:id="580"/>
      <w:r w:rsidR="002A21AE">
        <w:fldChar w:fldCharType="begin"/>
      </w:r>
      <w:r w:rsidR="002A21AE">
        <w:instrText xml:space="preserve"> XE </w:instrText>
      </w:r>
      <w:r w:rsidR="00FA7E65">
        <w:instrText>“</w:instrText>
      </w:r>
      <w:r w:rsidR="002A21AE">
        <w:instrText>References</w:instrText>
      </w:r>
      <w:r w:rsidR="00FA7E65">
        <w:instrText>”</w:instrText>
      </w:r>
      <w:r w:rsidR="002A21AE">
        <w:instrText xml:space="preserve"> </w:instrText>
      </w:r>
      <w:r w:rsidR="002A21AE">
        <w:fldChar w:fldCharType="end"/>
      </w:r>
    </w:p>
    <w:p w:rsidR="002A21AE" w:rsidRDefault="002A21AE">
      <w:pPr>
        <w:pStyle w:val="ListBullet"/>
        <w:rPr>
          <w:i/>
        </w:rPr>
      </w:pPr>
      <w:r>
        <w:t>Association for the Advancement of Medical Instrumentation, Arlington, Virginia.</w:t>
      </w:r>
      <w:r>
        <w:rPr>
          <w:i/>
        </w:rPr>
        <w:t xml:space="preserve"> The Quality System Compendium: GMP Requirements &amp; Industry Practice, </w:t>
      </w:r>
      <w:r>
        <w:t>1998.</w:t>
      </w:r>
    </w:p>
    <w:p w:rsidR="002A21AE" w:rsidRPr="0026301E" w:rsidRDefault="002A21AE">
      <w:pPr>
        <w:pStyle w:val="ListBullet"/>
        <w:rPr>
          <w:i/>
        </w:rPr>
      </w:pPr>
      <w:r w:rsidRPr="0026301E">
        <w:t>Association for the Advancement of Medical Instrumentation.</w:t>
      </w:r>
      <w:r>
        <w:rPr>
          <w:i/>
        </w:rPr>
        <w:t xml:space="preserve"> </w:t>
      </w:r>
      <w:r w:rsidRPr="0026301E">
        <w:rPr>
          <w:i/>
        </w:rPr>
        <w:t>Medical device software—Software life cycle processes (ANSI/AAMI SW68:2001), 2001.</w:t>
      </w:r>
    </w:p>
    <w:p w:rsidR="002A21AE" w:rsidRDefault="002A21AE">
      <w:pPr>
        <w:pStyle w:val="ListBullet"/>
        <w:rPr>
          <w:i/>
        </w:rPr>
      </w:pPr>
      <w:r w:rsidRPr="0026301E">
        <w:t>Brandt, Gwyneth. ClinicalTrialJobs.com. “Preparing for FDA Inspections.” July 18, 2002.</w:t>
      </w:r>
    </w:p>
    <w:p w:rsidR="002A21AE" w:rsidRDefault="002A21AE">
      <w:pPr>
        <w:pStyle w:val="ListBullet"/>
      </w:pPr>
      <w:r>
        <w:rPr>
          <w:i/>
        </w:rPr>
        <w:t>Clinical Laboratory Technical Procedure Manuals</w:t>
      </w:r>
      <w:r>
        <w:rPr>
          <w:i/>
          <w:iCs/>
        </w:rPr>
        <w:t>; Approved Guideline—Fourth Edition</w:t>
      </w:r>
      <w:r>
        <w:t>, NCCLS document GP2-A4 (Wayne, PA: National Committee for Clinical Laboratory Standards, 2002).</w:t>
      </w:r>
    </w:p>
    <w:p w:rsidR="002A21AE" w:rsidRDefault="002A21AE">
      <w:pPr>
        <w:pStyle w:val="ListBullet"/>
        <w:rPr>
          <w:i/>
        </w:rPr>
      </w:pPr>
      <w:r w:rsidRPr="0026301E">
        <w:t>CMMI Product Development Team, Carnegie Mellon Software Engineering Institute.</w:t>
      </w:r>
      <w:r>
        <w:rPr>
          <w:i/>
        </w:rPr>
        <w:t xml:space="preserve"> </w:t>
      </w:r>
      <w:r w:rsidRPr="0026301E">
        <w:rPr>
          <w:i/>
        </w:rPr>
        <w:t>CMMI</w:t>
      </w:r>
      <w:r w:rsidRPr="0026301E">
        <w:rPr>
          <w:i/>
          <w:vertAlign w:val="superscript"/>
        </w:rPr>
        <w:t>SM</w:t>
      </w:r>
      <w:r w:rsidRPr="0026301E">
        <w:rPr>
          <w:i/>
        </w:rPr>
        <w:t xml:space="preserve">-SE/SW, V1.0, Capability Maturity Model®—Integrated for Systems Engineering/Software Engineering, Version 1.0 </w:t>
      </w:r>
      <w:r w:rsidRPr="0026301E">
        <w:t>(Pittsburgh, PA: Carnegie Mellon Software Engineering Institute, August 2000).</w:t>
      </w:r>
    </w:p>
    <w:p w:rsidR="002A21AE" w:rsidRDefault="002A21AE">
      <w:pPr>
        <w:pStyle w:val="ListBullet"/>
      </w:pPr>
      <w:r w:rsidRPr="0026301E">
        <w:t xml:space="preserve">Commission on Laboratory Accreditation, Laboratory Accreditation Program. </w:t>
      </w:r>
      <w:r>
        <w:rPr>
          <w:i/>
        </w:rPr>
        <w:t>Laboratory General Checklist</w:t>
      </w:r>
      <w:r>
        <w:t xml:space="preserve"> (Northfield, IL: </w:t>
      </w:r>
      <w:bookmarkStart w:id="581" w:name="OLE_LINK15"/>
      <w:bookmarkStart w:id="582" w:name="OLE_LINK16"/>
      <w:r>
        <w:t>College of American Pathologists</w:t>
      </w:r>
      <w:bookmarkEnd w:id="581"/>
      <w:bookmarkEnd w:id="582"/>
      <w:r w:rsidR="00680E9A">
        <w:t>, 201</w:t>
      </w:r>
      <w:r w:rsidR="00920AB3">
        <w:t>5</w:t>
      </w:r>
      <w:r>
        <w:t>).</w:t>
      </w:r>
    </w:p>
    <w:p w:rsidR="002A21AE" w:rsidRDefault="002A21AE">
      <w:pPr>
        <w:pStyle w:val="ListBullet"/>
      </w:pPr>
      <w:r w:rsidRPr="0026301E">
        <w:t xml:space="preserve">Commission on Laboratory Accreditation, Laboratory Accreditation Program. </w:t>
      </w:r>
      <w:r>
        <w:rPr>
          <w:i/>
        </w:rPr>
        <w:t>Transfusion Medicine Checklist</w:t>
      </w:r>
      <w:r>
        <w:t xml:space="preserve"> (Northfield, IL: Colle</w:t>
      </w:r>
      <w:r w:rsidR="00680E9A">
        <w:t>ge of American Pathologists, 201</w:t>
      </w:r>
      <w:r w:rsidR="00920AB3">
        <w:t>5</w:t>
      </w:r>
      <w:r>
        <w:t>).</w:t>
      </w:r>
    </w:p>
    <w:p w:rsidR="002A21AE" w:rsidRDefault="002A21AE">
      <w:pPr>
        <w:pStyle w:val="ListBullet"/>
      </w:pPr>
      <w:r>
        <w:rPr>
          <w:i/>
        </w:rPr>
        <w:t>Comprehensive Accreditation Manual for Hospitals: The Official Handbook (CAMH)</w:t>
      </w:r>
      <w:r>
        <w:t>. (Oakbrook Terrace, Illinois: Joint Commission on Accreditation o</w:t>
      </w:r>
      <w:r w:rsidR="00680E9A">
        <w:t>f Healthcare Organizations, 2012</w:t>
      </w:r>
      <w:r>
        <w:t>).</w:t>
      </w:r>
    </w:p>
    <w:p w:rsidR="002A21AE" w:rsidRDefault="002A21AE">
      <w:pPr>
        <w:pStyle w:val="ListBullet"/>
        <w:rPr>
          <w:i/>
        </w:rPr>
      </w:pPr>
      <w:r>
        <w:t xml:space="preserve">Joint Commission on Accreditation of Healthcare Organizations. </w:t>
      </w:r>
      <w:r>
        <w:rPr>
          <w:i/>
        </w:rPr>
        <w:t>Comprehensive Accreditation Manual for Hospitals: The Official Handbook (CAMH)</w:t>
      </w:r>
      <w:r>
        <w:t>. (Oakbrook Terrace, Illinois: Joint Commission on Accreditation o</w:t>
      </w:r>
      <w:r w:rsidR="00680E9A">
        <w:t>f Healthcare Organizations, 2013</w:t>
      </w:r>
      <w:r>
        <w:t>).</w:t>
      </w:r>
    </w:p>
    <w:p w:rsidR="002A21AE" w:rsidRDefault="002A21AE">
      <w:pPr>
        <w:pStyle w:val="ListBullet"/>
      </w:pPr>
      <w:r>
        <w:t xml:space="preserve">Cotliar, William and Larry Bauer. </w:t>
      </w:r>
      <w:r>
        <w:rPr>
          <w:i/>
        </w:rPr>
        <w:t xml:space="preserve">Complying with FDA Good Manufacturing Practice Requirements: How to Develop Your Quality System Manual. </w:t>
      </w:r>
      <w:r>
        <w:t>5th edition. (Arlington, VA: Association for the Advancement of Medical Instrumentation, 1996).</w:t>
      </w:r>
    </w:p>
    <w:p w:rsidR="00C10667" w:rsidRDefault="00C10667">
      <w:pPr>
        <w:pStyle w:val="ListBullet"/>
      </w:pPr>
      <w:r>
        <w:t xml:space="preserve">Department of Veterans Affairs, </w:t>
      </w:r>
      <w:r w:rsidRPr="005F521F">
        <w:t>Software Engineering Process Group</w:t>
      </w:r>
      <w:r>
        <w:t xml:space="preserve"> (SEPG) and </w:t>
      </w:r>
      <w:r w:rsidRPr="005F521F">
        <w:t>Software Quality Assurance (SQA)</w:t>
      </w:r>
      <w:r>
        <w:t xml:space="preserve">, </w:t>
      </w:r>
      <w:r w:rsidRPr="00FF500D">
        <w:rPr>
          <w:i/>
        </w:rPr>
        <w:t>National Documentation Standards</w:t>
      </w:r>
      <w:r>
        <w:t xml:space="preserve"> (</w:t>
      </w:r>
      <w:r w:rsidR="00C827F9">
        <w:t>October</w:t>
      </w:r>
      <w:r>
        <w:t xml:space="preserve"> 2005).</w:t>
      </w:r>
    </w:p>
    <w:p w:rsidR="00C10667" w:rsidRPr="001C6432" w:rsidRDefault="00C10667">
      <w:pPr>
        <w:pStyle w:val="ListBullet"/>
        <w:rPr>
          <w:i/>
        </w:rPr>
      </w:pPr>
      <w:r>
        <w:t xml:space="preserve">Department of Veterans Affairs, Veterans Health Administration. </w:t>
      </w:r>
      <w:r>
        <w:rPr>
          <w:i/>
        </w:rPr>
        <w:t>VHA Directive 99-053, VistA Blood Bank Software</w:t>
      </w:r>
      <w:r>
        <w:t>, November 10, 1999.</w:t>
      </w:r>
    </w:p>
    <w:p w:rsidR="001C6432" w:rsidRDefault="001C6432">
      <w:pPr>
        <w:pStyle w:val="ListBullet"/>
        <w:rPr>
          <w:i/>
        </w:rPr>
      </w:pPr>
      <w:r>
        <w:t xml:space="preserve">Department of Veterans Affairs, Veterans Health Administration. </w:t>
      </w:r>
      <w:r>
        <w:rPr>
          <w:i/>
        </w:rPr>
        <w:t xml:space="preserve">VHA Directive 2005-029, Transfusion Verification and Identification </w:t>
      </w:r>
      <w:r w:rsidR="00A10483">
        <w:rPr>
          <w:i/>
        </w:rPr>
        <w:t>Requirements</w:t>
      </w:r>
      <w:r>
        <w:rPr>
          <w:i/>
        </w:rPr>
        <w:t xml:space="preserve"> for All Sites</w:t>
      </w:r>
      <w:r w:rsidRPr="001C6432">
        <w:t>, July 1, 2005.</w:t>
      </w:r>
    </w:p>
    <w:p w:rsidR="00C10667" w:rsidRPr="005F521F" w:rsidRDefault="00C10667" w:rsidP="005F521F">
      <w:pPr>
        <w:pStyle w:val="ListBullet"/>
        <w:rPr>
          <w:sz w:val="20"/>
          <w:szCs w:val="20"/>
        </w:rPr>
      </w:pPr>
      <w:r>
        <w:t xml:space="preserve">Department of Veterans Affairs: Office of Acquisition and Materiel Management. </w:t>
      </w:r>
      <w:r>
        <w:rPr>
          <w:i/>
        </w:rPr>
        <w:t xml:space="preserve">Veterans Affairs Acquisition Regulation </w:t>
      </w:r>
      <w:r>
        <w:t>(Washington, DC: 1997).</w:t>
      </w:r>
    </w:p>
    <w:p w:rsidR="002A21AE" w:rsidRDefault="002A21AE">
      <w:pPr>
        <w:pStyle w:val="ListBullet"/>
        <w:rPr>
          <w:i/>
        </w:rPr>
      </w:pPr>
      <w:r>
        <w:t xml:space="preserve">Galloway, Dianne. </w:t>
      </w:r>
      <w:r>
        <w:rPr>
          <w:i/>
        </w:rPr>
        <w:t>Mapping Work Processes</w:t>
      </w:r>
      <w:r>
        <w:t>. (Milwaukee, Wisconsin: ASQ Quality Press, 1994).</w:t>
      </w:r>
    </w:p>
    <w:p w:rsidR="002A21AE" w:rsidRDefault="002A21AE">
      <w:pPr>
        <w:pStyle w:val="ListBullet"/>
        <w:rPr>
          <w:i/>
        </w:rPr>
      </w:pPr>
      <w:r>
        <w:rPr>
          <w:i/>
        </w:rPr>
        <w:t>General Principles of Software Validation; Final Guidance for Industry and FDA Staff</w:t>
      </w:r>
      <w:r>
        <w:t xml:space="preserve"> (U.S. Department Of Health and Human Services, Food and Drug Administration, Center for Devices and Radiological Health, Center for Biologics Evaluation and Research, January 11, 2002).</w:t>
      </w:r>
    </w:p>
    <w:p w:rsidR="002A21AE" w:rsidRDefault="002A21AE">
      <w:pPr>
        <w:pStyle w:val="ListBullet"/>
      </w:pPr>
      <w:r>
        <w:rPr>
          <w:i/>
        </w:rPr>
        <w:t>Guidance for Industry and FDA Premarket and Design Control Reviewers, Medical Device Use-Safety: Incorporating Human Factors Engineering into Risk Management</w:t>
      </w:r>
      <w:r>
        <w:t xml:space="preserve"> (U.S. Department of Health and Human Services, Food and Drug Administration, Center for Devices and Radiological Health, Division of Device User Programs and Systems Analysis, Office of Health and Industry Programs, July 18, 2000).</w:t>
      </w:r>
    </w:p>
    <w:p w:rsidR="002A21AE" w:rsidRPr="0000295A" w:rsidRDefault="002A21AE">
      <w:pPr>
        <w:pStyle w:val="ListBullet"/>
        <w:rPr>
          <w:i/>
        </w:rPr>
      </w:pPr>
      <w:r>
        <w:rPr>
          <w:i/>
        </w:rPr>
        <w:t>Guidance for Industry, FDA Reviewers and Compliance on Off-The-Shelf Software Use in Medical Devices</w:t>
      </w:r>
      <w:r>
        <w:t xml:space="preserve"> (U.S. Department Of Health And Human Services, Food and Drug Administration, Center for Devices and Radiological Health, Office of Device Evaluation, September 9, 1999).</w:t>
      </w:r>
    </w:p>
    <w:p w:rsidR="0000295A" w:rsidRDefault="0000295A">
      <w:pPr>
        <w:pStyle w:val="ListBullet"/>
        <w:rPr>
          <w:i/>
        </w:rPr>
      </w:pPr>
      <w:r w:rsidRPr="00257AD6">
        <w:rPr>
          <w:i/>
        </w:rPr>
        <w:t xml:space="preserve">Guidelines for </w:t>
      </w:r>
      <w:r w:rsidRPr="00257AD6">
        <w:rPr>
          <w:bCs/>
          <w:i/>
        </w:rPr>
        <w:t>Implementing the Electronic Crossmatch</w:t>
      </w:r>
      <w:r w:rsidRPr="0026301E">
        <w:t xml:space="preserve"> (Bethesda, MD: American Association of Blood Banks, 200</w:t>
      </w:r>
      <w:r>
        <w:t>3</w:t>
      </w:r>
      <w:r w:rsidRPr="0026301E">
        <w:t>).</w:t>
      </w:r>
    </w:p>
    <w:p w:rsidR="002A21AE" w:rsidRPr="0026301E" w:rsidRDefault="002A21AE">
      <w:pPr>
        <w:pStyle w:val="ListBullet"/>
        <w:rPr>
          <w:i/>
        </w:rPr>
      </w:pPr>
      <w:r w:rsidRPr="0026301E">
        <w:rPr>
          <w:i/>
        </w:rPr>
        <w:lastRenderedPageBreak/>
        <w:t xml:space="preserve">Guidelines for the Labeling of Specimens for Compatibility Testing. </w:t>
      </w:r>
      <w:r w:rsidRPr="0026301E">
        <w:t>Ed. James P. AuBuchon, MD. (Bethesda, MD: American Association of Blood Banks, 2002).</w:t>
      </w:r>
    </w:p>
    <w:p w:rsidR="002A21AE" w:rsidRDefault="002A21AE">
      <w:pPr>
        <w:pStyle w:val="ListBullet"/>
        <w:rPr>
          <w:i/>
        </w:rPr>
      </w:pPr>
      <w:r>
        <w:rPr>
          <w:i/>
          <w:iCs/>
        </w:rPr>
        <w:t>Guidelines for the Laboratory Evaluation of Transfusion Reactions</w:t>
      </w:r>
      <w:r>
        <w:t xml:space="preserve"> (Bethesda, MD: American Association of Blood Banks, 2003).</w:t>
      </w:r>
    </w:p>
    <w:p w:rsidR="002A21AE" w:rsidRDefault="002A21AE">
      <w:pPr>
        <w:pStyle w:val="ListBullet"/>
      </w:pPr>
      <w:r>
        <w:rPr>
          <w:i/>
        </w:rPr>
        <w:t>IEEE Standard for Software Configuration Management Plans</w:t>
      </w:r>
      <w:r>
        <w:rPr>
          <w:iCs/>
        </w:rPr>
        <w:t xml:space="preserve"> (IEEE Std 828-1998) (New York: Institute of Electrical and Electronic Engineers, Inc., 1998).</w:t>
      </w:r>
    </w:p>
    <w:p w:rsidR="002A21AE" w:rsidRDefault="002A21AE">
      <w:pPr>
        <w:pStyle w:val="ListBullet"/>
      </w:pPr>
      <w:r>
        <w:rPr>
          <w:i/>
        </w:rPr>
        <w:t>ISBT 128 Bar Code Symbology and Application Specification for Labeling of Whole Blood and Blood Components,</w:t>
      </w:r>
      <w:r>
        <w:t xml:space="preserve"> Version Number 1.4.0 [York, PA: International Council for Commonality in Blood Banking Automation (ICCBBA), June 2001].</w:t>
      </w:r>
    </w:p>
    <w:p w:rsidR="002A21AE" w:rsidRDefault="002A21AE">
      <w:pPr>
        <w:pStyle w:val="ListBullet"/>
        <w:rPr>
          <w:i/>
        </w:rPr>
      </w:pPr>
      <w:r>
        <w:t xml:space="preserve">Jacobson, Ivar, Grady Booch, and James Rumbaugh. </w:t>
      </w:r>
      <w:r>
        <w:rPr>
          <w:i/>
        </w:rPr>
        <w:t>The Unified Software Development Process</w:t>
      </w:r>
      <w:r>
        <w:t xml:space="preserve"> (Boston: Addison-Wesley, 1999).</w:t>
      </w:r>
    </w:p>
    <w:p w:rsidR="002A21AE" w:rsidRDefault="002A21AE">
      <w:pPr>
        <w:pStyle w:val="ListBullet"/>
        <w:rPr>
          <w:i/>
        </w:rPr>
      </w:pPr>
      <w:r>
        <w:rPr>
          <w:i/>
        </w:rPr>
        <w:t>Medical Device Reporting—Baseline Report</w:t>
      </w:r>
      <w:r>
        <w:t>, Form FDA 3417</w:t>
      </w:r>
      <w:r w:rsidR="00BA2FFC">
        <w:t>.</w:t>
      </w:r>
    </w:p>
    <w:p w:rsidR="002A21AE" w:rsidRDefault="002A21AE">
      <w:pPr>
        <w:pStyle w:val="ListBullet"/>
        <w:rPr>
          <w:i/>
        </w:rPr>
      </w:pPr>
      <w:r>
        <w:rPr>
          <w:i/>
        </w:rPr>
        <w:t>Medical devices—Application of risk management to medical devices</w:t>
      </w:r>
      <w:r>
        <w:t xml:space="preserve"> (ANSI/AAMI/ISO 14971:2000), 2001. Association for the Advancement of Medical Instrumentation.</w:t>
      </w:r>
    </w:p>
    <w:p w:rsidR="002A21AE" w:rsidRDefault="002A21AE">
      <w:pPr>
        <w:pStyle w:val="ListBullet"/>
      </w:pPr>
      <w:r>
        <w:t xml:space="preserve">Nevalainen, D. E. and M. F. Callery. </w:t>
      </w:r>
      <w:r>
        <w:rPr>
          <w:i/>
        </w:rPr>
        <w:t>Applying Self-Assessment and Process Analysis to Create a Quality System</w:t>
      </w:r>
      <w:r>
        <w:t xml:space="preserve"> (Basel, Switzerland: S. Karger Publishing, 1995).</w:t>
      </w:r>
    </w:p>
    <w:p w:rsidR="00994DBA" w:rsidRDefault="00994DBA">
      <w:pPr>
        <w:pStyle w:val="ListBullet"/>
      </w:pPr>
      <w:r>
        <w:t xml:space="preserve">Nozick, Robin F. “Demystifying the Information Systems Validation Process,” </w:t>
      </w:r>
      <w:r w:rsidRPr="008D14C3">
        <w:rPr>
          <w:i/>
        </w:rPr>
        <w:t>AABB News</w:t>
      </w:r>
      <w:r>
        <w:t xml:space="preserve"> 7:6 (</w:t>
      </w:r>
      <w:r w:rsidR="008D14C3">
        <w:t xml:space="preserve">2005): </w:t>
      </w:r>
      <w:r>
        <w:t>50–51.</w:t>
      </w:r>
    </w:p>
    <w:p w:rsidR="002A21AE" w:rsidRPr="00BA2FFC" w:rsidRDefault="002A21AE">
      <w:pPr>
        <w:pStyle w:val="ListBullet"/>
      </w:pPr>
      <w:r w:rsidRPr="00BA2FFC">
        <w:rPr>
          <w:i/>
        </w:rPr>
        <w:t>Object-Oriented Analysis and Design Using the UML: Student Manual, Book 1, Version 4.2</w:t>
      </w:r>
      <w:r w:rsidRPr="00BA2FFC">
        <w:t xml:space="preserve"> (Cupertino, CA: Rational Corporation, 1999).</w:t>
      </w:r>
    </w:p>
    <w:p w:rsidR="002A21AE" w:rsidRDefault="002A21AE">
      <w:pPr>
        <w:pStyle w:val="ListBullet"/>
      </w:pPr>
      <w:r w:rsidRPr="00BA2FFC">
        <w:rPr>
          <w:i/>
        </w:rPr>
        <w:t>Rational ClearQuest</w:t>
      </w:r>
      <w:r w:rsidRPr="00BA2FFC">
        <w:rPr>
          <w:i/>
          <w:vertAlign w:val="superscript"/>
        </w:rPr>
        <w:t>®</w:t>
      </w:r>
      <w:r w:rsidRPr="00BA2FFC">
        <w:rPr>
          <w:i/>
        </w:rPr>
        <w:t xml:space="preserve"> </w:t>
      </w:r>
      <w:r>
        <w:rPr>
          <w:i/>
        </w:rPr>
        <w:t xml:space="preserve">Introduction. Version: 2002.05.00. Part Number: 800-025123-000. Windows/UNIX. </w:t>
      </w:r>
      <w:r w:rsidRPr="00BA2FFC">
        <w:rPr>
          <w:vertAlign w:val="superscript"/>
        </w:rPr>
        <w:t>©</w:t>
      </w:r>
      <w:r w:rsidRPr="00BA2FFC">
        <w:t>1997–2002 Rational Software Corporation.</w:t>
      </w:r>
    </w:p>
    <w:p w:rsidR="002A21AE" w:rsidRPr="00BA2FFC" w:rsidRDefault="002A21AE">
      <w:pPr>
        <w:pStyle w:val="ListBullet"/>
      </w:pPr>
      <w:r w:rsidRPr="00BA2FFC">
        <w:rPr>
          <w:i/>
        </w:rPr>
        <w:t>Reviewer Guidance for a Premarket Notification Submission for Blood Establishment Computer Software</w:t>
      </w:r>
      <w:r w:rsidRPr="00BA2FFC">
        <w:t xml:space="preserve"> (U.S. Department Of Health and Human Services, Food and Drug Administration, Center for Devices and Radiological Health, Center for Biologics Evaluation and Research, Office of Blood research and Review, Division of Blood Applications (January 13, 1997).</w:t>
      </w:r>
    </w:p>
    <w:p w:rsidR="002A21AE" w:rsidRDefault="002A21AE">
      <w:pPr>
        <w:pStyle w:val="ListBullet"/>
      </w:pPr>
      <w:r>
        <w:rPr>
          <w:i/>
        </w:rPr>
        <w:t>Software Documentation Style Standards</w:t>
      </w:r>
      <w:r>
        <w:t>, SOP 11.</w:t>
      </w:r>
    </w:p>
    <w:p w:rsidR="002A21AE" w:rsidRDefault="002A21AE">
      <w:pPr>
        <w:pStyle w:val="ListBullet"/>
        <w:rPr>
          <w:i/>
        </w:rPr>
      </w:pPr>
      <w:r>
        <w:rPr>
          <w:i/>
        </w:rPr>
        <w:t xml:space="preserve">Standards for Blood Banks and Transfusion Services. </w:t>
      </w:r>
      <w:r>
        <w:t>Twenty-</w:t>
      </w:r>
      <w:r w:rsidR="00680E9A">
        <w:t>ninth</w:t>
      </w:r>
      <w:r>
        <w:t xml:space="preserve"> edition (Bethesda, MD: American Association </w:t>
      </w:r>
      <w:r w:rsidR="00680E9A">
        <w:t>of Blood Banks, 2014</w:t>
      </w:r>
      <w:r>
        <w:t>).</w:t>
      </w:r>
    </w:p>
    <w:p w:rsidR="002A21AE" w:rsidRDefault="002A21AE">
      <w:pPr>
        <w:pStyle w:val="ListBullet"/>
        <w:rPr>
          <w:i/>
        </w:rPr>
      </w:pPr>
      <w:r>
        <w:rPr>
          <w:i/>
        </w:rPr>
        <w:t xml:space="preserve">Technical Manual. </w:t>
      </w:r>
      <w:r w:rsidR="00680E9A">
        <w:rPr>
          <w:i/>
        </w:rPr>
        <w:t>Eighteenth</w:t>
      </w:r>
      <w:r>
        <w:rPr>
          <w:i/>
        </w:rPr>
        <w:t xml:space="preserve"> edition </w:t>
      </w:r>
      <w:r>
        <w:t>(Bethesda, MD: American</w:t>
      </w:r>
      <w:r w:rsidR="00680E9A">
        <w:t xml:space="preserve"> Association of Blood Banks, 2014</w:t>
      </w:r>
      <w:r>
        <w:t>).</w:t>
      </w:r>
    </w:p>
    <w:p w:rsidR="00D931C3" w:rsidRPr="00D931C3" w:rsidRDefault="00D931C3" w:rsidP="00D931C3">
      <w:pPr>
        <w:pStyle w:val="ListBullet"/>
      </w:pPr>
      <w:r w:rsidRPr="00D931C3">
        <w:rPr>
          <w:i/>
        </w:rPr>
        <w:t>The Chicago Manual of Style</w:t>
      </w:r>
      <w:r w:rsidR="00680E9A">
        <w:t>, 16</w:t>
      </w:r>
      <w:r w:rsidRPr="00D931C3">
        <w:t>th</w:t>
      </w:r>
      <w:r>
        <w:t xml:space="preserve"> ed., (Chicago: The U</w:t>
      </w:r>
      <w:r w:rsidR="00680E9A">
        <w:t>niversity of Chicago Press, 2014</w:t>
      </w:r>
      <w:r>
        <w:t>).</w:t>
      </w:r>
    </w:p>
    <w:p w:rsidR="002A21AE" w:rsidRDefault="002A21AE">
      <w:pPr>
        <w:pStyle w:val="ListBullet"/>
        <w:rPr>
          <w:i/>
        </w:rPr>
      </w:pPr>
      <w:r>
        <w:rPr>
          <w:i/>
        </w:rPr>
        <w:t>Title 21 Code of Federal Regulations,</w:t>
      </w:r>
      <w:r>
        <w:t xml:space="preserve"> Part 11, Electronic Records; Electronic Signatures.</w:t>
      </w:r>
    </w:p>
    <w:p w:rsidR="002A21AE" w:rsidRDefault="002A21AE">
      <w:pPr>
        <w:pStyle w:val="ListBullet"/>
        <w:rPr>
          <w:i/>
        </w:rPr>
      </w:pPr>
      <w:r>
        <w:rPr>
          <w:i/>
        </w:rPr>
        <w:t xml:space="preserve">Title 21 Code of Federal Regulations, </w:t>
      </w:r>
      <w:r>
        <w:t>Part 803, Medical Device Reporting.</w:t>
      </w:r>
    </w:p>
    <w:p w:rsidR="002A21AE" w:rsidRDefault="002A21AE">
      <w:pPr>
        <w:pStyle w:val="ListBullet"/>
        <w:rPr>
          <w:i/>
        </w:rPr>
      </w:pPr>
      <w:r>
        <w:rPr>
          <w:i/>
        </w:rPr>
        <w:t xml:space="preserve">Title 21 Code of Federal Regulations, </w:t>
      </w:r>
      <w:r>
        <w:t>Part 806, Medical Devices; Reports of Corrections and Removals.</w:t>
      </w:r>
    </w:p>
    <w:p w:rsidR="002A21AE" w:rsidRDefault="002A21AE">
      <w:pPr>
        <w:pStyle w:val="ListBullet"/>
        <w:rPr>
          <w:i/>
        </w:rPr>
      </w:pPr>
      <w:r>
        <w:rPr>
          <w:i/>
        </w:rPr>
        <w:t>Title 21 Code of Federal Regulations,</w:t>
      </w:r>
      <w:r>
        <w:t xml:space="preserve"> Part 807, Establishment Registration and Device Listing for Manufacturers and Initial Importers of Devices.</w:t>
      </w:r>
    </w:p>
    <w:p w:rsidR="002A21AE" w:rsidRDefault="002A21AE">
      <w:pPr>
        <w:pStyle w:val="ListBullet"/>
        <w:rPr>
          <w:i/>
        </w:rPr>
      </w:pPr>
      <w:r>
        <w:rPr>
          <w:i/>
        </w:rPr>
        <w:t>Title 21 Code of Federal Regulations</w:t>
      </w:r>
      <w:r>
        <w:t>, Part 810, Medical Device Recall Authority.</w:t>
      </w:r>
    </w:p>
    <w:p w:rsidR="002A21AE" w:rsidRDefault="002A21AE">
      <w:pPr>
        <w:pStyle w:val="ListBullet"/>
        <w:rPr>
          <w:i/>
        </w:rPr>
      </w:pPr>
      <w:r>
        <w:rPr>
          <w:i/>
        </w:rPr>
        <w:t xml:space="preserve">Title 21 Code of Federal Regulations, </w:t>
      </w:r>
      <w:r>
        <w:t>Part 820, Quality System Regulation.</w:t>
      </w:r>
    </w:p>
    <w:p w:rsidR="002A21AE" w:rsidRDefault="002A21AE">
      <w:pPr>
        <w:pStyle w:val="ListBullet"/>
        <w:rPr>
          <w:i/>
        </w:rPr>
      </w:pPr>
      <w:r>
        <w:rPr>
          <w:i/>
        </w:rPr>
        <w:t>Title 21 Code of Federal Regulations,</w:t>
      </w:r>
      <w:r>
        <w:t xml:space="preserve"> Parts 200 to 299, Food and Drugs.</w:t>
      </w:r>
    </w:p>
    <w:p w:rsidR="002A21AE" w:rsidRDefault="002A21AE">
      <w:pPr>
        <w:pStyle w:val="ListBullet"/>
        <w:rPr>
          <w:i/>
        </w:rPr>
      </w:pPr>
      <w:r>
        <w:rPr>
          <w:i/>
        </w:rPr>
        <w:t>Title 21 Code of Federal Regulations,</w:t>
      </w:r>
      <w:r>
        <w:t xml:space="preserve"> Parts 600 to 799, Food and Drugs.</w:t>
      </w:r>
    </w:p>
    <w:p w:rsidR="002A21AE" w:rsidRDefault="002A21AE">
      <w:pPr>
        <w:pStyle w:val="ListBullet"/>
        <w:rPr>
          <w:i/>
        </w:rPr>
      </w:pPr>
      <w:r>
        <w:rPr>
          <w:i/>
        </w:rPr>
        <w:t>Title 21 Code of Federal Regulations,</w:t>
      </w:r>
      <w:r>
        <w:t xml:space="preserve"> Parts 800 to 1299, Food and Drugs.</w:t>
      </w:r>
    </w:p>
    <w:p w:rsidR="002A21AE" w:rsidRDefault="002A21AE">
      <w:pPr>
        <w:pStyle w:val="ListBullet"/>
      </w:pPr>
      <w:r>
        <w:t xml:space="preserve">Trautman, Kimberly A. </w:t>
      </w:r>
      <w:r>
        <w:rPr>
          <w:i/>
        </w:rPr>
        <w:t xml:space="preserve">The FDA and Worldwide Quality System Requirements Guidebook for Medical Devices </w:t>
      </w:r>
      <w:r>
        <w:t>(Milwaukee, Wisconsin: ASQ Quality Press, 1997).</w:t>
      </w:r>
    </w:p>
    <w:p w:rsidR="002A21AE" w:rsidRDefault="002A21AE">
      <w:pPr>
        <w:pStyle w:val="ListBullet"/>
      </w:pPr>
      <w:r>
        <w:t xml:space="preserve">U.S. Department Of Health and Human Services, Food and Drug Administration, Center for Devices and Radiological Health. </w:t>
      </w:r>
      <w:r>
        <w:rPr>
          <w:i/>
        </w:rPr>
        <w:t>Design Control Guidance for Medical Device Manufacturers</w:t>
      </w:r>
      <w:r>
        <w:t>, March 11, 1997.</w:t>
      </w:r>
    </w:p>
    <w:p w:rsidR="002A21AE" w:rsidRDefault="002A21AE">
      <w:pPr>
        <w:pStyle w:val="ListBullet"/>
      </w:pPr>
      <w:r>
        <w:lastRenderedPageBreak/>
        <w:t xml:space="preserve">U.S. Department Of Health and Human Services, Food and Drug Administration, Center for Devices and Radiological Health. </w:t>
      </w:r>
      <w:r>
        <w:rPr>
          <w:i/>
        </w:rPr>
        <w:t>Inspection of Medical Device Manufacturers, Final Guidance for Industry and FDA</w:t>
      </w:r>
      <w:r>
        <w:t>, February 7, 2001.</w:t>
      </w:r>
    </w:p>
    <w:p w:rsidR="002A21AE" w:rsidRDefault="002A21AE">
      <w:pPr>
        <w:pStyle w:val="ListBullet"/>
      </w:pPr>
      <w:r>
        <w:t xml:space="preserve">U.S. Department Of Health and Human Services, Food and Drug Administration, Center for Devices and Radiological Health. </w:t>
      </w:r>
      <w:r>
        <w:rPr>
          <w:i/>
        </w:rPr>
        <w:t>Medical Device Quality Systems Manual: A Small Entity Compliance Guide</w:t>
      </w:r>
      <w:r>
        <w:t>. First edition, December 1996.</w:t>
      </w:r>
    </w:p>
    <w:p w:rsidR="002A21AE" w:rsidRDefault="002A21AE">
      <w:pPr>
        <w:pStyle w:val="ListBullet"/>
        <w:rPr>
          <w:i/>
        </w:rPr>
      </w:pPr>
      <w:r>
        <w:t xml:space="preserve">U.S. Department Of Health And Human Services, Food and Drug Administration, Center for Devices and Radiological Health, Office of Device Evaluation. </w:t>
      </w:r>
      <w:r>
        <w:rPr>
          <w:i/>
        </w:rPr>
        <w:t>Guidance for the Content of Premarket Submissions for Software Contained in Medical Devices</w:t>
      </w:r>
      <w:r>
        <w:t>, May 29, 1998.</w:t>
      </w:r>
    </w:p>
    <w:p w:rsidR="002A21AE" w:rsidRDefault="002A21AE">
      <w:pPr>
        <w:pStyle w:val="ListBullet"/>
        <w:rPr>
          <w:i/>
        </w:rPr>
      </w:pPr>
      <w:r>
        <w:t xml:space="preserve">U.S. Department Of Health And Human Services, Food and Drug Administration, Center for Devices and Radiological Health, Office of Regulatory Affairs. </w:t>
      </w:r>
      <w:r>
        <w:rPr>
          <w:i/>
        </w:rPr>
        <w:t>Glossary of Computerized System and Software Development Terminology</w:t>
      </w:r>
      <w:r>
        <w:t>, August 1995.</w:t>
      </w:r>
    </w:p>
    <w:p w:rsidR="002A21AE" w:rsidRDefault="002A21AE">
      <w:pPr>
        <w:pStyle w:val="ListBullet"/>
        <w:rPr>
          <w:i/>
        </w:rPr>
      </w:pPr>
      <w:r>
        <w:t xml:space="preserve">U.S. Department Of Health and Human Services, Food and Drug Administration, Center for Devices and Radiological Health. </w:t>
      </w:r>
      <w:r>
        <w:rPr>
          <w:i/>
        </w:rPr>
        <w:t>Premarket Approval Manual</w:t>
      </w:r>
      <w:r>
        <w:t>. January 1998.</w:t>
      </w:r>
    </w:p>
    <w:p w:rsidR="002A21AE" w:rsidRDefault="002A21AE">
      <w:pPr>
        <w:pStyle w:val="ListBullet"/>
      </w:pPr>
      <w:r>
        <w:t>U.S. Food and Drug Administration, Office of Regulatory Affairs and the Center for Devices and Radiological Health</w:t>
      </w:r>
      <w:r w:rsidR="00845D52">
        <w:t>.</w:t>
      </w:r>
      <w:r>
        <w:t xml:space="preserve"> </w:t>
      </w:r>
      <w:r>
        <w:rPr>
          <w:i/>
        </w:rPr>
        <w:t>Guide to Inspections of Medical Device Manufacturers</w:t>
      </w:r>
      <w:r>
        <w:t>,</w:t>
      </w:r>
      <w:r>
        <w:rPr>
          <w:i/>
        </w:rPr>
        <w:t xml:space="preserve"> </w:t>
      </w:r>
      <w:r>
        <w:t>December 1997.</w:t>
      </w:r>
    </w:p>
    <w:p w:rsidR="002A21AE" w:rsidRDefault="002A21AE">
      <w:pPr>
        <w:pStyle w:val="ListBullet"/>
      </w:pPr>
      <w:r>
        <w:t xml:space="preserve">U.S. Food and Drug Administration, ORA Inspectional References, Quality Inspection System Technique. </w:t>
      </w:r>
      <w:r>
        <w:rPr>
          <w:i/>
        </w:rPr>
        <w:t>Guide to Inspections of Quality Systems</w:t>
      </w:r>
      <w:r>
        <w:t>, August 1999.</w:t>
      </w:r>
    </w:p>
    <w:p w:rsidR="002A21AE" w:rsidRDefault="002A21AE">
      <w:pPr>
        <w:pStyle w:val="ListBullet"/>
      </w:pPr>
      <w:r>
        <w:rPr>
          <w:i/>
        </w:rPr>
        <w:t>United States Industry Consensus Standard for the Uniform Labeling of Blood and Blood Components Using</w:t>
      </w:r>
      <w:r w:rsidRPr="00845D52">
        <w:rPr>
          <w:i/>
        </w:rPr>
        <w:t xml:space="preserve"> ISBT 128, Version 1.2.0</w:t>
      </w:r>
      <w:r>
        <w:t>, prepared by the International Council for Commonality in Blood Banking Automation, Inc. (U.S. Department of Health and Human Services, Food and Drug Administration, Center for Biologics Evaluation and Research, November 1999).</w:t>
      </w:r>
    </w:p>
    <w:p w:rsidR="002A21AE" w:rsidRDefault="002A21AE">
      <w:pPr>
        <w:pStyle w:val="ListBullet"/>
      </w:pPr>
      <w:r>
        <w:t xml:space="preserve">VHA Office of Information, System Design &amp; Development, Software Engineering Process Group, </w:t>
      </w:r>
      <w:r w:rsidRPr="00845D52">
        <w:rPr>
          <w:i/>
        </w:rPr>
        <w:t>RequisitePro Requirements Plan</w:t>
      </w:r>
      <w:r>
        <w:t>, October 2000.</w:t>
      </w:r>
    </w:p>
    <w:p w:rsidR="002A21AE" w:rsidRDefault="002A21AE">
      <w:pPr>
        <w:pStyle w:val="ListBullet"/>
      </w:pPr>
      <w:r>
        <w:rPr>
          <w:i/>
        </w:rPr>
        <w:t>Veterans Health Administration Software Documentation Handbook</w:t>
      </w:r>
      <w:r>
        <w:t>.</w:t>
      </w:r>
    </w:p>
    <w:p w:rsidR="002A21AE" w:rsidRDefault="002A21AE">
      <w:pPr>
        <w:pStyle w:val="ListBullet"/>
      </w:pPr>
      <w:r>
        <w:t xml:space="preserve">VistA Data Systems &amp; Integration Service (VDSI), VHA Office of Information—System Design &amp; Development. </w:t>
      </w:r>
      <w:r w:rsidRPr="00CA6E27">
        <w:rPr>
          <w:i/>
        </w:rPr>
        <w:t xml:space="preserve">VistA </w:t>
      </w:r>
      <w:r>
        <w:rPr>
          <w:i/>
        </w:rPr>
        <w:t>Data Systems &amp; Integration Review Program</w:t>
      </w:r>
      <w:r>
        <w:t>. VistA Data Systems &amp; Integration Service (VDSI), VHA Office of Information—System Design &amp; Development, April 2002].</w:t>
      </w:r>
    </w:p>
    <w:p w:rsidR="002A21AE" w:rsidRDefault="002A21AE">
      <w:pPr>
        <w:pStyle w:val="ListBullet"/>
      </w:pPr>
      <w:r>
        <w:t xml:space="preserve">Wilson, Paul F., Larry D. Dell, and Gaylord F. Anderson. </w:t>
      </w:r>
      <w:r>
        <w:rPr>
          <w:i/>
        </w:rPr>
        <w:t>Root Cause Analysis: A Tool for Total Quality Management</w:t>
      </w:r>
      <w:r>
        <w:t xml:space="preserve"> (Milwaukee, Wisconsin: ASQ Quality Press, 1993).</w:t>
      </w:r>
    </w:p>
    <w:p w:rsidR="002A21AE" w:rsidRDefault="002A21AE">
      <w:pPr>
        <w:pStyle w:val="ListBullet"/>
      </w:pPr>
      <w:r>
        <w:rPr>
          <w:i/>
        </w:rPr>
        <w:t>ZPL II Programming Guide</w:t>
      </w:r>
      <w:r>
        <w:t>,</w:t>
      </w:r>
      <w:r>
        <w:rPr>
          <w:i/>
        </w:rPr>
        <w:t xml:space="preserve"> </w:t>
      </w:r>
      <w:r>
        <w:t>Rev. 1, Customer order # 46530L, Manufacturer part # 46530LB (Zebr</w:t>
      </w:r>
      <w:r w:rsidR="00680E9A">
        <w:t>a Technologies Corporation, 2006</w:t>
      </w:r>
      <w:r>
        <w:t>).</w:t>
      </w:r>
    </w:p>
    <w:p w:rsidR="00CF32F4" w:rsidRDefault="002A21AE" w:rsidP="00CF32F4">
      <w:pPr>
        <w:pStyle w:val="BodyText"/>
        <w:jc w:val="center"/>
      </w:pPr>
      <w:r>
        <w:br w:type="page"/>
      </w:r>
      <w:r w:rsidR="002249FA">
        <w:lastRenderedPageBreak/>
        <w:t>This page intentionally left</w:t>
      </w:r>
      <w:r w:rsidR="000014DD">
        <w:t xml:space="preserve"> </w:t>
      </w:r>
      <w:r w:rsidR="002249FA">
        <w:t>blank.</w:t>
      </w:r>
    </w:p>
    <w:p w:rsidR="002A21AE" w:rsidRDefault="002A21AE">
      <w:pPr>
        <w:pStyle w:val="Heading1"/>
      </w:pPr>
      <w:r>
        <w:br w:type="page"/>
      </w:r>
      <w:bookmarkStart w:id="583" w:name="_Toc459900186"/>
      <w:r>
        <w:lastRenderedPageBreak/>
        <w:t>Glossary</w:t>
      </w:r>
      <w:bookmarkEnd w:id="583"/>
      <w:r>
        <w:fldChar w:fldCharType="begin"/>
      </w:r>
      <w:r>
        <w:instrText xml:space="preserve"> XE </w:instrText>
      </w:r>
      <w:r w:rsidR="00FA7E65">
        <w:instrText>“</w:instrText>
      </w:r>
      <w:r>
        <w:instrText>Glossary</w:instrText>
      </w:r>
      <w:r w:rsidR="00FA7E65">
        <w:instrText>”</w:instrText>
      </w:r>
      <w:r>
        <w:instrText xml:space="preserve"> </w:instrText>
      </w:r>
      <w:r>
        <w:fldChar w:fldCharType="end"/>
      </w:r>
    </w:p>
    <w:tbl>
      <w:tblPr>
        <w:tblW w:w="4944" w:type="pct"/>
        <w:tblLook w:val="0000" w:firstRow="0" w:lastRow="0" w:firstColumn="0" w:lastColumn="0" w:noHBand="0" w:noVBand="0"/>
      </w:tblPr>
      <w:tblGrid>
        <w:gridCol w:w="3168"/>
        <w:gridCol w:w="6301"/>
      </w:tblGrid>
      <w:tr w:rsidR="00AF274B">
        <w:tblPrEx>
          <w:tblCellMar>
            <w:top w:w="0" w:type="dxa"/>
            <w:bottom w:w="0" w:type="dxa"/>
          </w:tblCellMar>
        </w:tblPrEx>
        <w:trPr>
          <w:cantSplit/>
          <w:trHeight w:val="403"/>
          <w:tblHeader/>
        </w:trPr>
        <w:tc>
          <w:tcPr>
            <w:tcW w:w="1673" w:type="pct"/>
            <w:shd w:val="clear" w:color="auto" w:fill="B3B3B3"/>
            <w:vAlign w:val="bottom"/>
          </w:tcPr>
          <w:p w:rsidR="00AF274B" w:rsidRDefault="00AF274B">
            <w:pPr>
              <w:pStyle w:val="GlossaryTableText"/>
              <w:rPr>
                <w:b/>
                <w:bCs/>
              </w:rPr>
            </w:pPr>
            <w:r>
              <w:rPr>
                <w:b/>
                <w:bCs/>
              </w:rPr>
              <w:t>Acronym, Term</w:t>
            </w:r>
          </w:p>
        </w:tc>
        <w:tc>
          <w:tcPr>
            <w:tcW w:w="3327" w:type="pct"/>
            <w:shd w:val="clear" w:color="auto" w:fill="B3B3B3"/>
            <w:vAlign w:val="bottom"/>
          </w:tcPr>
          <w:p w:rsidR="00AF274B" w:rsidRDefault="00AF274B">
            <w:pPr>
              <w:pStyle w:val="GlossaryTableText"/>
              <w:rPr>
                <w:b/>
                <w:bCs/>
              </w:rPr>
            </w:pPr>
            <w:r>
              <w:rPr>
                <w:b/>
                <w:bCs/>
              </w:rPr>
              <w:t>Definition</w:t>
            </w:r>
          </w:p>
        </w:tc>
      </w:tr>
      <w:tr w:rsidR="00AF274B">
        <w:tblPrEx>
          <w:tblCellMar>
            <w:top w:w="0" w:type="dxa"/>
            <w:bottom w:w="0" w:type="dxa"/>
          </w:tblCellMar>
        </w:tblPrEx>
        <w:trPr>
          <w:cantSplit/>
        </w:trPr>
        <w:tc>
          <w:tcPr>
            <w:tcW w:w="1673" w:type="pct"/>
          </w:tcPr>
          <w:p w:rsidR="00AF274B" w:rsidRDefault="00AF274B">
            <w:pPr>
              <w:pStyle w:val="GlossaryTableText"/>
              <w:rPr>
                <w:rFonts w:ascii="Symbol"/>
                <w:b/>
              </w:rPr>
            </w:pPr>
            <w:r>
              <w:rPr>
                <w:b/>
              </w:rPr>
              <w:t>AABB</w:t>
            </w:r>
          </w:p>
        </w:tc>
        <w:tc>
          <w:tcPr>
            <w:tcW w:w="3327" w:type="pct"/>
          </w:tcPr>
          <w:p w:rsidR="00AF274B" w:rsidRDefault="00AF274B">
            <w:pPr>
              <w:pStyle w:val="GlossaryTableText"/>
            </w:pPr>
            <w:r>
              <w:t>American Association of Blood Banks.</w:t>
            </w:r>
          </w:p>
        </w:tc>
      </w:tr>
      <w:tr w:rsidR="001A1559">
        <w:tblPrEx>
          <w:tblCellMar>
            <w:top w:w="0" w:type="dxa"/>
            <w:bottom w:w="0" w:type="dxa"/>
          </w:tblCellMar>
        </w:tblPrEx>
        <w:trPr>
          <w:cantSplit/>
        </w:trPr>
        <w:tc>
          <w:tcPr>
            <w:tcW w:w="1673" w:type="pct"/>
          </w:tcPr>
          <w:p w:rsidR="001A1559" w:rsidRDefault="001A1559">
            <w:pPr>
              <w:pStyle w:val="GlossaryTableText"/>
              <w:rPr>
                <w:b/>
              </w:rPr>
            </w:pPr>
            <w:r>
              <w:rPr>
                <w:b/>
              </w:rPr>
              <w:t>ABID</w:t>
            </w:r>
          </w:p>
        </w:tc>
        <w:tc>
          <w:tcPr>
            <w:tcW w:w="3327" w:type="pct"/>
          </w:tcPr>
          <w:p w:rsidR="001A1559" w:rsidRDefault="001A1559">
            <w:pPr>
              <w:pStyle w:val="GlossaryTableText"/>
            </w:pPr>
            <w:r>
              <w:t>Antibody identification.</w:t>
            </w:r>
          </w:p>
        </w:tc>
      </w:tr>
      <w:tr w:rsidR="00AF274B">
        <w:tblPrEx>
          <w:tblCellMar>
            <w:top w:w="0" w:type="dxa"/>
            <w:bottom w:w="0" w:type="dxa"/>
          </w:tblCellMar>
        </w:tblPrEx>
        <w:trPr>
          <w:cantSplit/>
        </w:trPr>
        <w:tc>
          <w:tcPr>
            <w:tcW w:w="1673" w:type="pct"/>
          </w:tcPr>
          <w:p w:rsidR="00AF274B" w:rsidRDefault="00AF274B">
            <w:pPr>
              <w:pStyle w:val="GlossaryTableText"/>
              <w:rPr>
                <w:b/>
              </w:rPr>
            </w:pPr>
            <w:r>
              <w:rPr>
                <w:b/>
              </w:rPr>
              <w:t>ABO</w:t>
            </w:r>
          </w:p>
        </w:tc>
        <w:tc>
          <w:tcPr>
            <w:tcW w:w="3327" w:type="pct"/>
          </w:tcPr>
          <w:p w:rsidR="00AF274B" w:rsidRDefault="00AF274B">
            <w:pPr>
              <w:pStyle w:val="GlossaryTableText"/>
            </w:pPr>
            <w:r>
              <w:t>A group for classifying human blood, based on the presence or absence of specific antigens in the blood, which contains four blood types: A, B, AB, and O. The ABO group is the most critical of the human blood systems. It is used to determine general compatibility of donor units to a recipient.</w:t>
            </w:r>
          </w:p>
        </w:tc>
      </w:tr>
      <w:tr w:rsidR="00AF274B">
        <w:tblPrEx>
          <w:tblCellMar>
            <w:top w:w="0" w:type="dxa"/>
            <w:bottom w:w="0" w:type="dxa"/>
          </w:tblCellMar>
        </w:tblPrEx>
        <w:trPr>
          <w:cantSplit/>
        </w:trPr>
        <w:tc>
          <w:tcPr>
            <w:tcW w:w="1673" w:type="pct"/>
          </w:tcPr>
          <w:p w:rsidR="00AF274B" w:rsidRDefault="00AF274B">
            <w:pPr>
              <w:pStyle w:val="GlossaryTableText"/>
              <w:rPr>
                <w:b/>
              </w:rPr>
            </w:pPr>
            <w:r>
              <w:rPr>
                <w:b/>
              </w:rPr>
              <w:t>ABS</w:t>
            </w:r>
          </w:p>
        </w:tc>
        <w:tc>
          <w:tcPr>
            <w:tcW w:w="3327" w:type="pct"/>
          </w:tcPr>
          <w:p w:rsidR="00AF274B" w:rsidRDefault="00AF274B">
            <w:pPr>
              <w:pStyle w:val="GlossaryTableText"/>
            </w:pPr>
            <w:r>
              <w:t xml:space="preserve">Antibody screen, </w:t>
            </w:r>
            <w:r w:rsidR="008E2E30">
              <w:t>Antibody Screen Test</w:t>
            </w:r>
            <w:r>
              <w:t>.</w:t>
            </w:r>
          </w:p>
        </w:tc>
      </w:tr>
      <w:tr w:rsidR="00AF274B">
        <w:tblPrEx>
          <w:tblCellMar>
            <w:top w:w="0" w:type="dxa"/>
            <w:bottom w:w="0" w:type="dxa"/>
          </w:tblCellMar>
        </w:tblPrEx>
        <w:trPr>
          <w:cantSplit/>
        </w:trPr>
        <w:tc>
          <w:tcPr>
            <w:tcW w:w="1673" w:type="pct"/>
          </w:tcPr>
          <w:p w:rsidR="00AF274B" w:rsidRDefault="00AF274B">
            <w:pPr>
              <w:pStyle w:val="GlossaryTableText"/>
              <w:rPr>
                <w:b/>
              </w:rPr>
            </w:pPr>
            <w:r>
              <w:rPr>
                <w:b/>
              </w:rPr>
              <w:t>Access Code</w:t>
            </w:r>
          </w:p>
        </w:tc>
        <w:tc>
          <w:tcPr>
            <w:tcW w:w="3327" w:type="pct"/>
          </w:tcPr>
          <w:p w:rsidR="00AF274B" w:rsidRDefault="00AF274B">
            <w:pPr>
              <w:pStyle w:val="GlossaryTableText"/>
            </w:pPr>
            <w:r>
              <w:t xml:space="preserve">A field in the </w:t>
            </w:r>
            <w:r w:rsidRPr="00CA6E27">
              <w:rPr>
                <w:bCs/>
              </w:rPr>
              <w:t>VistA</w:t>
            </w:r>
            <w:r>
              <w:t xml:space="preserve"> New Person file used to uniquely identify a user on the </w:t>
            </w:r>
            <w:r w:rsidRPr="00CA6E27">
              <w:rPr>
                <w:bCs/>
              </w:rPr>
              <w:t>VistA</w:t>
            </w:r>
            <w:r>
              <w:t xml:space="preserve"> system.</w:t>
            </w:r>
          </w:p>
        </w:tc>
      </w:tr>
      <w:tr w:rsidR="00AF274B">
        <w:tblPrEx>
          <w:tblCellMar>
            <w:top w:w="0" w:type="dxa"/>
            <w:bottom w:w="0" w:type="dxa"/>
          </w:tblCellMar>
        </w:tblPrEx>
        <w:trPr>
          <w:cantSplit/>
        </w:trPr>
        <w:tc>
          <w:tcPr>
            <w:tcW w:w="1673" w:type="pct"/>
          </w:tcPr>
          <w:p w:rsidR="00AF274B" w:rsidRDefault="00AF274B">
            <w:pPr>
              <w:pStyle w:val="GlossaryTableText"/>
              <w:rPr>
                <w:b/>
              </w:rPr>
            </w:pPr>
            <w:r>
              <w:rPr>
                <w:b/>
              </w:rPr>
              <w:t>Accessioned</w:t>
            </w:r>
          </w:p>
        </w:tc>
        <w:tc>
          <w:tcPr>
            <w:tcW w:w="3327" w:type="pct"/>
          </w:tcPr>
          <w:p w:rsidR="00AF274B" w:rsidRDefault="00AF274B">
            <w:pPr>
              <w:pStyle w:val="GlossaryTableText"/>
            </w:pPr>
            <w:r>
              <w:t xml:space="preserve">Describes an order when a specimen has been collected or has been placed on a current collection list by the </w:t>
            </w:r>
            <w:r w:rsidRPr="00CA6E27">
              <w:rPr>
                <w:bCs/>
              </w:rPr>
              <w:t>VistA</w:t>
            </w:r>
            <w:r>
              <w:t xml:space="preserve"> Laboratory software. </w:t>
            </w:r>
            <w:r>
              <w:rPr>
                <w:i/>
              </w:rPr>
              <w:t>A mechanism for accessioning orders for blood components that do not require a specimen needs to be designed.</w:t>
            </w:r>
          </w:p>
        </w:tc>
      </w:tr>
      <w:tr w:rsidR="00AF274B">
        <w:tblPrEx>
          <w:tblCellMar>
            <w:top w:w="0" w:type="dxa"/>
            <w:bottom w:w="0" w:type="dxa"/>
          </w:tblCellMar>
        </w:tblPrEx>
        <w:trPr>
          <w:cantSplit/>
        </w:trPr>
        <w:tc>
          <w:tcPr>
            <w:tcW w:w="1673" w:type="pct"/>
          </w:tcPr>
          <w:p w:rsidR="00AF274B" w:rsidRDefault="00AF274B">
            <w:pPr>
              <w:pStyle w:val="GlossaryTableText"/>
              <w:rPr>
                <w:b/>
              </w:rPr>
            </w:pPr>
            <w:r>
              <w:rPr>
                <w:b/>
                <w:snapToGrid w:val="0"/>
              </w:rPr>
              <w:t>Active order</w:t>
            </w:r>
          </w:p>
        </w:tc>
        <w:tc>
          <w:tcPr>
            <w:tcW w:w="3327" w:type="pct"/>
          </w:tcPr>
          <w:p w:rsidR="00AF274B" w:rsidRDefault="00AF274B">
            <w:pPr>
              <w:pStyle w:val="GlossaryTableText"/>
            </w:pPr>
            <w:r>
              <w:t>A patient order for blood product(s) that is not completed or expired. Depending on the component class, an accompanying specimen may be required.</w:t>
            </w:r>
          </w:p>
        </w:tc>
      </w:tr>
      <w:tr w:rsidR="00AF274B">
        <w:tblPrEx>
          <w:tblCellMar>
            <w:top w:w="0" w:type="dxa"/>
            <w:bottom w:w="0" w:type="dxa"/>
          </w:tblCellMar>
        </w:tblPrEx>
        <w:trPr>
          <w:cantSplit/>
        </w:trPr>
        <w:tc>
          <w:tcPr>
            <w:tcW w:w="1673" w:type="pct"/>
          </w:tcPr>
          <w:p w:rsidR="00AF274B" w:rsidRDefault="00AF274B">
            <w:pPr>
              <w:pStyle w:val="GlossaryTableText"/>
              <w:rPr>
                <w:b/>
              </w:rPr>
            </w:pPr>
            <w:r>
              <w:rPr>
                <w:b/>
              </w:rPr>
              <w:t>Active user</w:t>
            </w:r>
          </w:p>
        </w:tc>
        <w:tc>
          <w:tcPr>
            <w:tcW w:w="3327" w:type="pct"/>
          </w:tcPr>
          <w:p w:rsidR="00AF274B" w:rsidRDefault="00AF274B">
            <w:pPr>
              <w:pStyle w:val="GlossaryTableText"/>
            </w:pPr>
            <w:r>
              <w:t xml:space="preserve">A user with a setting in </w:t>
            </w:r>
            <w:r w:rsidRPr="00CA6E27">
              <w:t>VistA</w:t>
            </w:r>
            <w:r>
              <w:t xml:space="preserve"> that allows him to access VBECS. Inactive use</w:t>
            </w:r>
            <w:r w:rsidR="000D6CFB">
              <w:t>rs may no longer access VBECS.</w:t>
            </w:r>
          </w:p>
        </w:tc>
      </w:tr>
      <w:tr w:rsidR="00AF274B">
        <w:tblPrEx>
          <w:tblCellMar>
            <w:top w:w="0" w:type="dxa"/>
            <w:bottom w:w="0" w:type="dxa"/>
          </w:tblCellMar>
        </w:tblPrEx>
        <w:trPr>
          <w:cantSplit/>
        </w:trPr>
        <w:tc>
          <w:tcPr>
            <w:tcW w:w="1673" w:type="pct"/>
          </w:tcPr>
          <w:p w:rsidR="00AF274B" w:rsidRDefault="00AF274B">
            <w:pPr>
              <w:pStyle w:val="GlossaryTableText"/>
              <w:rPr>
                <w:b/>
              </w:rPr>
            </w:pPr>
            <w:r>
              <w:rPr>
                <w:b/>
              </w:rPr>
              <w:t>Activities</w:t>
            </w:r>
          </w:p>
        </w:tc>
        <w:tc>
          <w:tcPr>
            <w:tcW w:w="3327" w:type="pct"/>
          </w:tcPr>
          <w:p w:rsidR="00AF274B" w:rsidRDefault="00AF274B">
            <w:pPr>
              <w:pStyle w:val="GlossaryTableText"/>
            </w:pPr>
            <w:r>
              <w:t>Business processes that the product supports.</w:t>
            </w:r>
          </w:p>
        </w:tc>
      </w:tr>
      <w:tr w:rsidR="00AF274B">
        <w:tblPrEx>
          <w:tblCellMar>
            <w:top w:w="0" w:type="dxa"/>
            <w:bottom w:w="0" w:type="dxa"/>
          </w:tblCellMar>
        </w:tblPrEx>
        <w:trPr>
          <w:cantSplit/>
        </w:trPr>
        <w:tc>
          <w:tcPr>
            <w:tcW w:w="1673" w:type="pct"/>
          </w:tcPr>
          <w:p w:rsidR="00AF274B" w:rsidRDefault="00AF274B">
            <w:pPr>
              <w:pStyle w:val="GlossaryTableText"/>
              <w:rPr>
                <w:b/>
              </w:rPr>
            </w:pPr>
            <w:r>
              <w:rPr>
                <w:b/>
              </w:rPr>
              <w:t>Activity</w:t>
            </w:r>
          </w:p>
        </w:tc>
        <w:tc>
          <w:tcPr>
            <w:tcW w:w="3327" w:type="pct"/>
          </w:tcPr>
          <w:p w:rsidR="00AF274B" w:rsidRDefault="00AF274B">
            <w:pPr>
              <w:pStyle w:val="GlossaryTableText"/>
            </w:pPr>
            <w:r>
              <w:t>An identified verification and validation task.</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rPr>
            </w:pPr>
            <w:r>
              <w:rPr>
                <w:b/>
              </w:rPr>
              <w:t>ADPAC</w:t>
            </w:r>
          </w:p>
        </w:tc>
        <w:tc>
          <w:tcPr>
            <w:tcW w:w="3327" w:type="pct"/>
            <w:tcBorders>
              <w:top w:val="nil"/>
              <w:left w:val="nil"/>
              <w:bottom w:val="nil"/>
              <w:right w:val="nil"/>
            </w:tcBorders>
          </w:tcPr>
          <w:p w:rsidR="00AF274B" w:rsidRDefault="00AF274B">
            <w:pPr>
              <w:pStyle w:val="GlossaryTableText"/>
            </w:pPr>
            <w:r>
              <w:t>Automated Data Processing Application Coordinator.</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rPr>
            </w:pPr>
            <w:r>
              <w:rPr>
                <w:b/>
              </w:rPr>
              <w:t>AHG</w:t>
            </w:r>
          </w:p>
        </w:tc>
        <w:tc>
          <w:tcPr>
            <w:tcW w:w="3327" w:type="pct"/>
            <w:tcBorders>
              <w:top w:val="nil"/>
              <w:left w:val="nil"/>
              <w:bottom w:val="nil"/>
              <w:right w:val="nil"/>
            </w:tcBorders>
          </w:tcPr>
          <w:p w:rsidR="00AF274B" w:rsidRDefault="00AF274B">
            <w:pPr>
              <w:pStyle w:val="GlossaryTableText"/>
            </w:pPr>
            <w:r>
              <w:t>Anti-Human Globulin.</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rPr>
            </w:pPr>
            <w:r>
              <w:rPr>
                <w:b/>
              </w:rPr>
              <w:t>Aliquot</w:t>
            </w:r>
          </w:p>
        </w:tc>
        <w:tc>
          <w:tcPr>
            <w:tcW w:w="3327" w:type="pct"/>
            <w:tcBorders>
              <w:top w:val="nil"/>
              <w:left w:val="nil"/>
              <w:bottom w:val="nil"/>
              <w:right w:val="nil"/>
            </w:tcBorders>
          </w:tcPr>
          <w:p w:rsidR="00AF274B" w:rsidRDefault="00AF274B">
            <w:pPr>
              <w:pStyle w:val="GlossaryTableText"/>
            </w:pPr>
            <w:r>
              <w:t>A sample/portion divided off or separated as a part of a whole.</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rPr>
            </w:pPr>
            <w:r>
              <w:rPr>
                <w:b/>
              </w:rPr>
              <w:t>Allogeneic</w:t>
            </w:r>
          </w:p>
        </w:tc>
        <w:tc>
          <w:tcPr>
            <w:tcW w:w="3327" w:type="pct"/>
            <w:tcBorders>
              <w:top w:val="nil"/>
              <w:left w:val="nil"/>
              <w:bottom w:val="nil"/>
              <w:right w:val="nil"/>
            </w:tcBorders>
          </w:tcPr>
          <w:p w:rsidR="00AF274B" w:rsidRDefault="00AF274B">
            <w:pPr>
              <w:pStyle w:val="GlossaryTableText"/>
            </w:pPr>
            <w:r>
              <w:t>See “Homologous.”</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rPr>
            </w:pPr>
            <w:r>
              <w:rPr>
                <w:b/>
                <w:snapToGrid w:val="0"/>
              </w:rPr>
              <w:t>Antibody</w:t>
            </w:r>
          </w:p>
        </w:tc>
        <w:tc>
          <w:tcPr>
            <w:tcW w:w="3327" w:type="pct"/>
            <w:tcBorders>
              <w:top w:val="nil"/>
              <w:left w:val="nil"/>
              <w:bottom w:val="nil"/>
              <w:right w:val="nil"/>
            </w:tcBorders>
          </w:tcPr>
          <w:p w:rsidR="00AF274B" w:rsidRDefault="00AF274B">
            <w:pPr>
              <w:pStyle w:val="GlossaryTableText"/>
            </w:pPr>
            <w:r>
              <w:rPr>
                <w:snapToGrid w:val="0"/>
              </w:rPr>
              <w:t xml:space="preserve">A protein in the serum of some people that will react to a specific antigen on the blood cells. </w:t>
            </w:r>
            <w:r>
              <w:rPr>
                <w:i/>
                <w:snapToGrid w:val="0"/>
              </w:rPr>
              <w:t>In the case of a red blood cell transfusion, a patient with a clinically significant (leading to a transfusion reaction and possible patient harm) identified antibody must receive only red cells that are typed and found negative for the associated antigen. Once a clinically significant antibody is identified, antigen-negative cells must always be transfused even if a current specimen no longer shows the presence of the antibody. The antibody table in VBECS addresses the antibodies associated with red cell antigens. Though many antibodies are considered clinically significant, some are more of a nuisance to testing than a problem for transfusion. Many antibodies have documentation that defines their clinical significance; that information is used to define the VBECS table system warnings and overrides.</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snapToGrid w:val="0"/>
              </w:rPr>
            </w:pPr>
            <w:r>
              <w:rPr>
                <w:b/>
              </w:rPr>
              <w:t>Antigen</w:t>
            </w:r>
          </w:p>
        </w:tc>
        <w:tc>
          <w:tcPr>
            <w:tcW w:w="3327" w:type="pct"/>
            <w:tcBorders>
              <w:top w:val="nil"/>
              <w:left w:val="nil"/>
              <w:bottom w:val="nil"/>
              <w:right w:val="nil"/>
            </w:tcBorders>
          </w:tcPr>
          <w:p w:rsidR="00AF274B" w:rsidRDefault="00AF274B">
            <w:pPr>
              <w:pStyle w:val="GlossaryTableText"/>
              <w:rPr>
                <w:snapToGrid w:val="0"/>
              </w:rPr>
            </w:pPr>
            <w:r>
              <w:t>A substance on the surface of a red cell that stimulates an immune response (formation of an antibody).</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snapToGrid w:val="0"/>
              </w:rPr>
            </w:pPr>
            <w:r>
              <w:rPr>
                <w:b/>
                <w:snapToGrid w:val="0"/>
              </w:rPr>
              <w:t>Antigen negative requirement</w:t>
            </w:r>
          </w:p>
        </w:tc>
        <w:tc>
          <w:tcPr>
            <w:tcW w:w="3327" w:type="pct"/>
            <w:tcBorders>
              <w:top w:val="nil"/>
              <w:left w:val="nil"/>
              <w:bottom w:val="nil"/>
              <w:right w:val="nil"/>
            </w:tcBorders>
          </w:tcPr>
          <w:p w:rsidR="00AF274B" w:rsidRDefault="00AF274B">
            <w:pPr>
              <w:pStyle w:val="GlossaryTableText"/>
              <w:rPr>
                <w:snapToGrid w:val="0"/>
              </w:rPr>
            </w:pPr>
            <w:r>
              <w:rPr>
                <w:snapToGrid w:val="0"/>
              </w:rPr>
              <w:t>A prerequisite that specified blood product categories must not contain stated characteristics.</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rPr>
            </w:pPr>
            <w:r>
              <w:rPr>
                <w:b/>
              </w:rPr>
              <w:lastRenderedPageBreak/>
              <w:t>Antigen typing</w:t>
            </w:r>
          </w:p>
        </w:tc>
        <w:tc>
          <w:tcPr>
            <w:tcW w:w="3327" w:type="pct"/>
            <w:tcBorders>
              <w:top w:val="nil"/>
              <w:left w:val="nil"/>
              <w:bottom w:val="nil"/>
              <w:right w:val="nil"/>
            </w:tcBorders>
          </w:tcPr>
          <w:p w:rsidR="00AF274B" w:rsidRDefault="00AF274B">
            <w:pPr>
              <w:pStyle w:val="GlossaryTableText"/>
            </w:pPr>
            <w:r>
              <w:t>Testing for the presence or absence of an antigen on a red blood cell.</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snapToGrid w:val="0"/>
              </w:rPr>
            </w:pPr>
            <w:r>
              <w:rPr>
                <w:b/>
              </w:rPr>
              <w:t>Antiglobulin</w:t>
            </w:r>
          </w:p>
        </w:tc>
        <w:tc>
          <w:tcPr>
            <w:tcW w:w="3327" w:type="pct"/>
            <w:tcBorders>
              <w:top w:val="nil"/>
              <w:left w:val="nil"/>
              <w:bottom w:val="nil"/>
              <w:right w:val="nil"/>
            </w:tcBorders>
          </w:tcPr>
          <w:p w:rsidR="00AF274B" w:rsidRDefault="00AF274B">
            <w:pPr>
              <w:pStyle w:val="GlossaryTableText"/>
              <w:rPr>
                <w:snapToGrid w:val="0"/>
              </w:rPr>
            </w:pPr>
            <w:r>
              <w:t>An antibody that combines with a specific protein on a different type of antibody.</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rPr>
            </w:pPr>
            <w:r>
              <w:rPr>
                <w:b/>
                <w:snapToGrid w:val="0"/>
              </w:rPr>
              <w:t>Anti-Human Globulin</w:t>
            </w:r>
          </w:p>
        </w:tc>
        <w:tc>
          <w:tcPr>
            <w:tcW w:w="3327" w:type="pct"/>
            <w:tcBorders>
              <w:top w:val="nil"/>
              <w:left w:val="nil"/>
              <w:bottom w:val="nil"/>
              <w:right w:val="nil"/>
            </w:tcBorders>
          </w:tcPr>
          <w:p w:rsidR="00AF274B" w:rsidRDefault="00AF274B">
            <w:pPr>
              <w:pStyle w:val="GlossaryTableText"/>
            </w:pPr>
            <w:r>
              <w:rPr>
                <w:snapToGrid w:val="0"/>
              </w:rPr>
              <w:t>A commercial reagent that binds to immunoglobulin molecules attached to the surface of a red blood cell.</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rPr>
            </w:pPr>
            <w:r>
              <w:rPr>
                <w:b/>
              </w:rPr>
              <w:t>Antisera</w:t>
            </w:r>
          </w:p>
        </w:tc>
        <w:tc>
          <w:tcPr>
            <w:tcW w:w="3327" w:type="pct"/>
            <w:tcBorders>
              <w:top w:val="nil"/>
              <w:left w:val="nil"/>
              <w:bottom w:val="nil"/>
              <w:right w:val="nil"/>
            </w:tcBorders>
          </w:tcPr>
          <w:p w:rsidR="00AF274B" w:rsidRDefault="00AF274B">
            <w:pPr>
              <w:pStyle w:val="GlossaryTableText"/>
            </w:pPr>
            <w:r>
              <w:t>Plural of “antiserum.”</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rPr>
            </w:pPr>
            <w:r>
              <w:rPr>
                <w:b/>
              </w:rPr>
              <w:t>Antiserum</w:t>
            </w:r>
          </w:p>
        </w:tc>
        <w:tc>
          <w:tcPr>
            <w:tcW w:w="3327" w:type="pct"/>
            <w:tcBorders>
              <w:top w:val="nil"/>
              <w:left w:val="nil"/>
              <w:bottom w:val="nil"/>
              <w:right w:val="nil"/>
            </w:tcBorders>
          </w:tcPr>
          <w:p w:rsidR="00AF274B" w:rsidRDefault="00AF274B">
            <w:pPr>
              <w:pStyle w:val="GlossaryTableText"/>
            </w:pPr>
            <w:r>
              <w:t>Blood serum (human, animal, monoclonal) containing antibodies that are specific for one or more antigens.</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rPr>
            </w:pPr>
            <w:r>
              <w:rPr>
                <w:b/>
              </w:rPr>
              <w:t>Assigned</w:t>
            </w:r>
          </w:p>
        </w:tc>
        <w:tc>
          <w:tcPr>
            <w:tcW w:w="3327" w:type="pct"/>
            <w:tcBorders>
              <w:top w:val="nil"/>
              <w:left w:val="nil"/>
              <w:bottom w:val="nil"/>
              <w:right w:val="nil"/>
            </w:tcBorders>
          </w:tcPr>
          <w:p w:rsidR="00AF274B" w:rsidRDefault="00AF274B">
            <w:pPr>
              <w:pStyle w:val="GlossaryTableText"/>
            </w:pPr>
            <w:r>
              <w:t>Describes a unit of blood in a state that can be issued for transfusion and assigned to a patient. See “Selected.”</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rPr>
            </w:pPr>
            <w:r>
              <w:rPr>
                <w:b/>
              </w:rPr>
              <w:t>Attribute</w:t>
            </w:r>
          </w:p>
        </w:tc>
        <w:tc>
          <w:tcPr>
            <w:tcW w:w="3327" w:type="pct"/>
            <w:tcBorders>
              <w:top w:val="nil"/>
              <w:left w:val="nil"/>
              <w:bottom w:val="nil"/>
              <w:right w:val="nil"/>
            </w:tcBorders>
          </w:tcPr>
          <w:p w:rsidR="00AF274B" w:rsidRDefault="00AF274B">
            <w:pPr>
              <w:pStyle w:val="GlossaryTableText"/>
            </w:pPr>
            <w:r>
              <w:t xml:space="preserve">ISBT 128 term that describes a property of a collected blood product. </w:t>
            </w:r>
            <w:r>
              <w:rPr>
                <w:i/>
              </w:rPr>
              <w:t>Examples include “Irradiated” and “Residual Leukocyte Content” (Leukopoor).</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rPr>
            </w:pPr>
            <w:r>
              <w:rPr>
                <w:b/>
              </w:rPr>
              <w:t>Audit Trail Report</w:t>
            </w:r>
          </w:p>
        </w:tc>
        <w:tc>
          <w:tcPr>
            <w:tcW w:w="3327" w:type="pct"/>
            <w:tcBorders>
              <w:top w:val="nil"/>
              <w:left w:val="nil"/>
              <w:bottom w:val="nil"/>
              <w:right w:val="nil"/>
            </w:tcBorders>
          </w:tcPr>
          <w:p w:rsidR="00AF274B" w:rsidRDefault="00AF274B">
            <w:pPr>
              <w:pStyle w:val="GlossaryTableText"/>
            </w:pPr>
            <w:r>
              <w:t xml:space="preserve">The report of changes made to previously verified data. </w:t>
            </w:r>
            <w:r>
              <w:rPr>
                <w:i/>
              </w:rPr>
              <w:t>Regulations require that a mechanism be in place to prevent “electronic white-out.” An audit report contains details of the change, before and after data, date, and who made the change.</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snapToGrid w:val="0"/>
              </w:rPr>
            </w:pPr>
            <w:r>
              <w:rPr>
                <w:b/>
                <w:snapToGrid w:val="0"/>
              </w:rPr>
              <w:t>Autocontrol</w:t>
            </w:r>
          </w:p>
        </w:tc>
        <w:tc>
          <w:tcPr>
            <w:tcW w:w="3327" w:type="pct"/>
            <w:tcBorders>
              <w:top w:val="nil"/>
              <w:left w:val="nil"/>
              <w:bottom w:val="nil"/>
              <w:right w:val="nil"/>
            </w:tcBorders>
          </w:tcPr>
          <w:p w:rsidR="00AF274B" w:rsidRDefault="00AF274B">
            <w:pPr>
              <w:pStyle w:val="GlossaryTableText"/>
              <w:rPr>
                <w:snapToGrid w:val="0"/>
              </w:rPr>
            </w:pPr>
            <w:r>
              <w:rPr>
                <w:snapToGrid w:val="0"/>
              </w:rPr>
              <w:t>A test using a patient’s serum (plasma) and cells under the same conditions as the accompanying test.</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snapToGrid w:val="0"/>
              </w:rPr>
            </w:pPr>
            <w:r>
              <w:rPr>
                <w:b/>
              </w:rPr>
              <w:t>Autodiscriminate</w:t>
            </w:r>
          </w:p>
        </w:tc>
        <w:tc>
          <w:tcPr>
            <w:tcW w:w="3327" w:type="pct"/>
            <w:tcBorders>
              <w:top w:val="nil"/>
              <w:left w:val="nil"/>
              <w:bottom w:val="nil"/>
              <w:right w:val="nil"/>
            </w:tcBorders>
          </w:tcPr>
          <w:p w:rsidR="00AF274B" w:rsidRDefault="00AF274B">
            <w:pPr>
              <w:pStyle w:val="GlossaryTableText"/>
              <w:rPr>
                <w:snapToGrid w:val="0"/>
              </w:rPr>
            </w:pPr>
            <w:r>
              <w:t>Describes the ability of a barcode scanner to identify and interpret more than one barcode symbology without having to adjust any software or hardware parameters.</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snapToGrid w:val="0"/>
              </w:rPr>
            </w:pPr>
            <w:r>
              <w:rPr>
                <w:b/>
              </w:rPr>
              <w:t>Autologous</w:t>
            </w:r>
          </w:p>
        </w:tc>
        <w:tc>
          <w:tcPr>
            <w:tcW w:w="3327" w:type="pct"/>
            <w:tcBorders>
              <w:top w:val="nil"/>
              <w:left w:val="nil"/>
              <w:bottom w:val="nil"/>
              <w:right w:val="nil"/>
            </w:tcBorders>
          </w:tcPr>
          <w:p w:rsidR="00AF274B" w:rsidRDefault="00AF274B">
            <w:pPr>
              <w:pStyle w:val="GlossaryTableText"/>
              <w:rPr>
                <w:snapToGrid w:val="0"/>
              </w:rPr>
            </w:pPr>
            <w:r>
              <w:t xml:space="preserve">Describes blood donated in advance for use by the donor in the future, often for elective surgery. </w:t>
            </w:r>
            <w:r>
              <w:rPr>
                <w:i/>
              </w:rPr>
              <w:t>Regulations allow for processing patients with diseases that otherwise would preclude them from donating blood to donate for themselves autologously. It is imperative that software guarantee that such blood is never available for use by anyone other than the intended recipient.</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snapToGrid w:val="0"/>
              </w:rPr>
            </w:pPr>
            <w:r>
              <w:rPr>
                <w:b/>
              </w:rPr>
              <w:t>Automated problem-reporting system (also referred to as the problem-reporting system)</w:t>
            </w:r>
          </w:p>
        </w:tc>
        <w:tc>
          <w:tcPr>
            <w:tcW w:w="3327" w:type="pct"/>
            <w:tcBorders>
              <w:top w:val="nil"/>
              <w:left w:val="nil"/>
              <w:bottom w:val="nil"/>
              <w:right w:val="nil"/>
            </w:tcBorders>
          </w:tcPr>
          <w:p w:rsidR="00AF274B" w:rsidRPr="00C510BD" w:rsidRDefault="00AF274B">
            <w:pPr>
              <w:pStyle w:val="GlossaryTableText"/>
              <w:rPr>
                <w:i/>
              </w:rPr>
            </w:pPr>
            <w:r>
              <w:t>See “Remedy.”</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rPr>
            </w:pPr>
            <w:r>
              <w:rPr>
                <w:b/>
              </w:rPr>
              <w:t>Barcode scanner</w:t>
            </w:r>
          </w:p>
        </w:tc>
        <w:tc>
          <w:tcPr>
            <w:tcW w:w="3327" w:type="pct"/>
            <w:tcBorders>
              <w:top w:val="nil"/>
              <w:left w:val="nil"/>
              <w:bottom w:val="nil"/>
              <w:right w:val="nil"/>
            </w:tcBorders>
          </w:tcPr>
          <w:p w:rsidR="00AF274B" w:rsidRDefault="00AF274B">
            <w:pPr>
              <w:pStyle w:val="GlossaryTableText"/>
            </w:pPr>
            <w:r>
              <w:t>An electronic device that uses a finely focused beam of light to sense and transmit the data in a barcode image.</w:t>
            </w:r>
          </w:p>
        </w:tc>
      </w:tr>
      <w:tr w:rsidR="00083B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083B7D" w:rsidRDefault="00083B7D">
            <w:pPr>
              <w:pStyle w:val="GlossaryTableText"/>
              <w:rPr>
                <w:b/>
              </w:rPr>
            </w:pPr>
            <w:r>
              <w:rPr>
                <w:b/>
              </w:rPr>
              <w:t>BCE</w:t>
            </w:r>
          </w:p>
        </w:tc>
        <w:tc>
          <w:tcPr>
            <w:tcW w:w="3327" w:type="pct"/>
            <w:tcBorders>
              <w:top w:val="nil"/>
              <w:left w:val="nil"/>
              <w:bottom w:val="nil"/>
              <w:right w:val="nil"/>
            </w:tcBorders>
          </w:tcPr>
          <w:p w:rsidR="00083B7D" w:rsidRDefault="00083B7D">
            <w:pPr>
              <w:pStyle w:val="GlossaryTableText"/>
            </w:pPr>
            <w:r>
              <w:t>Bar Code Enhancement.</w:t>
            </w:r>
          </w:p>
        </w:tc>
      </w:tr>
      <w:tr w:rsidR="00083B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083B7D" w:rsidRDefault="00083B7D">
            <w:pPr>
              <w:pStyle w:val="GlossaryTableText"/>
              <w:rPr>
                <w:b/>
              </w:rPr>
            </w:pPr>
            <w:r>
              <w:rPr>
                <w:b/>
              </w:rPr>
              <w:t>BCE-PPI</w:t>
            </w:r>
          </w:p>
        </w:tc>
        <w:tc>
          <w:tcPr>
            <w:tcW w:w="3327" w:type="pct"/>
            <w:tcBorders>
              <w:top w:val="nil"/>
              <w:left w:val="nil"/>
              <w:bottom w:val="nil"/>
              <w:right w:val="nil"/>
            </w:tcBorders>
          </w:tcPr>
          <w:p w:rsidR="00083B7D" w:rsidRDefault="00083B7D">
            <w:pPr>
              <w:pStyle w:val="GlossaryTableText"/>
            </w:pPr>
            <w:r>
              <w:t>Bar Code Enhancement – Positive Patient Identification.</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rPr>
            </w:pPr>
            <w:r>
              <w:rPr>
                <w:b/>
              </w:rPr>
              <w:t>Billable</w:t>
            </w:r>
          </w:p>
        </w:tc>
        <w:tc>
          <w:tcPr>
            <w:tcW w:w="3327" w:type="pct"/>
            <w:tcBorders>
              <w:top w:val="nil"/>
              <w:left w:val="nil"/>
              <w:bottom w:val="nil"/>
              <w:right w:val="nil"/>
            </w:tcBorders>
          </w:tcPr>
          <w:p w:rsidR="00AF274B" w:rsidRDefault="00AF274B">
            <w:pPr>
              <w:pStyle w:val="GlossaryTableText"/>
            </w:pPr>
            <w:r>
              <w:t>A characteristic of an LMIP workload code that determines if statistics gathered as a result of that workload code should be included in the monthly report to the Austin Automation Center.</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rPr>
            </w:pPr>
            <w:r>
              <w:rPr>
                <w:b/>
              </w:rPr>
              <w:t>Blood product</w:t>
            </w:r>
          </w:p>
        </w:tc>
        <w:tc>
          <w:tcPr>
            <w:tcW w:w="3327" w:type="pct"/>
            <w:tcBorders>
              <w:top w:val="nil"/>
              <w:left w:val="nil"/>
              <w:bottom w:val="nil"/>
              <w:right w:val="nil"/>
            </w:tcBorders>
          </w:tcPr>
          <w:p w:rsidR="00AF274B" w:rsidRDefault="00AF274B">
            <w:pPr>
              <w:pStyle w:val="GlossaryTableText"/>
            </w:pPr>
            <w:r>
              <w:t>See “Component Type.”</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rPr>
            </w:pPr>
            <w:r>
              <w:rPr>
                <w:b/>
              </w:rPr>
              <w:t>Blood Transfusion Record Form (BTRF)</w:t>
            </w:r>
          </w:p>
        </w:tc>
        <w:tc>
          <w:tcPr>
            <w:tcW w:w="3327" w:type="pct"/>
            <w:tcBorders>
              <w:top w:val="nil"/>
              <w:left w:val="nil"/>
              <w:bottom w:val="nil"/>
              <w:right w:val="nil"/>
            </w:tcBorders>
          </w:tcPr>
          <w:p w:rsidR="00AF274B" w:rsidRDefault="00AF274B">
            <w:pPr>
              <w:pStyle w:val="GlossaryTableText"/>
              <w:rPr>
                <w:b/>
                <w:i/>
              </w:rPr>
            </w:pPr>
            <w:r>
              <w:t xml:space="preserve">A form printed in the blood bank used to record the actual events of a transfusion. </w:t>
            </w:r>
            <w:r>
              <w:rPr>
                <w:i/>
              </w:rPr>
              <w:t>Examples: start/stop time, transfusionists, vitals, reaction information. Formerly “SF 518 equivalent”</w:t>
            </w:r>
            <w:r>
              <w:t xml:space="preserve"> (</w:t>
            </w:r>
            <w:r w:rsidRPr="00CA6E27">
              <w:rPr>
                <w:bCs/>
                <w:i/>
              </w:rPr>
              <w:t>VistA</w:t>
            </w:r>
            <w:r>
              <w:rPr>
                <w:i/>
              </w:rPr>
              <w:t xml:space="preserve"> nomenclature).</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rPr>
            </w:pPr>
            <w:r>
              <w:rPr>
                <w:b/>
              </w:rPr>
              <w:t>Blood type (blood group)</w:t>
            </w:r>
          </w:p>
        </w:tc>
        <w:tc>
          <w:tcPr>
            <w:tcW w:w="3327" w:type="pct"/>
            <w:tcBorders>
              <w:top w:val="nil"/>
              <w:left w:val="nil"/>
              <w:bottom w:val="nil"/>
              <w:right w:val="nil"/>
            </w:tcBorders>
          </w:tcPr>
          <w:p w:rsidR="00AF274B" w:rsidRDefault="00AF274B">
            <w:pPr>
              <w:pStyle w:val="GlossaryTableText"/>
            </w:pPr>
            <w:r>
              <w:t>The ABO and Rh type of blood determined by testing.</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lastRenderedPageBreak/>
              <w:t>Canned comment</w:t>
            </w:r>
          </w:p>
        </w:tc>
        <w:tc>
          <w:tcPr>
            <w:tcW w:w="3327" w:type="pct"/>
            <w:tcBorders>
              <w:top w:val="nil"/>
              <w:left w:val="nil"/>
              <w:bottom w:val="nil"/>
              <w:right w:val="nil"/>
            </w:tcBorders>
          </w:tcPr>
          <w:p w:rsidR="00AF274B" w:rsidRDefault="00AF274B">
            <w:pPr>
              <w:pStyle w:val="GlossaryTableText"/>
            </w:pPr>
            <w:r>
              <w:t xml:space="preserve">Defined comments, entered in abbreviated form and displayed as expanded text, used to enter supporting information at a variety of data entry points. </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snapToGrid w:val="0"/>
              </w:rPr>
              <w:t>Category type</w:t>
            </w:r>
          </w:p>
        </w:tc>
        <w:tc>
          <w:tcPr>
            <w:tcW w:w="3327" w:type="pct"/>
            <w:tcBorders>
              <w:top w:val="nil"/>
              <w:left w:val="nil"/>
              <w:bottom w:val="nil"/>
              <w:right w:val="nil"/>
            </w:tcBorders>
          </w:tcPr>
          <w:p w:rsidR="00AF274B" w:rsidRDefault="00AF274B">
            <w:pPr>
              <w:pStyle w:val="GlossaryTableText"/>
            </w:pPr>
            <w:r>
              <w:rPr>
                <w:snapToGrid w:val="0"/>
              </w:rPr>
              <w:t>When used in relation to the file of canned comments, the category of the comment that determines in which functionality the comment may be selected and associated with other data.</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Caution Tag</w:t>
            </w:r>
          </w:p>
        </w:tc>
        <w:tc>
          <w:tcPr>
            <w:tcW w:w="3327" w:type="pct"/>
            <w:tcBorders>
              <w:top w:val="nil"/>
              <w:left w:val="nil"/>
              <w:bottom w:val="nil"/>
              <w:right w:val="nil"/>
            </w:tcBorders>
          </w:tcPr>
          <w:p w:rsidR="00AF274B" w:rsidRDefault="00AF274B">
            <w:pPr>
              <w:pStyle w:val="GlossaryTableText"/>
            </w:pPr>
            <w:r>
              <w:t>A blood bank-generated form attached to a unit of blood when the unit is assigned or crossmatched.</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CC</w:t>
            </w:r>
          </w:p>
        </w:tc>
        <w:tc>
          <w:tcPr>
            <w:tcW w:w="3327" w:type="pct"/>
            <w:tcBorders>
              <w:top w:val="nil"/>
              <w:left w:val="nil"/>
              <w:bottom w:val="nil"/>
              <w:right w:val="nil"/>
            </w:tcBorders>
          </w:tcPr>
          <w:p w:rsidR="00AF274B" w:rsidRDefault="00AF274B">
            <w:pPr>
              <w:pStyle w:val="GlossaryTableText"/>
            </w:pPr>
            <w:r>
              <w:t>Check Cell.</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Check Cell (CC)</w:t>
            </w:r>
          </w:p>
        </w:tc>
        <w:tc>
          <w:tcPr>
            <w:tcW w:w="3327" w:type="pct"/>
            <w:tcBorders>
              <w:top w:val="nil"/>
              <w:left w:val="nil"/>
              <w:bottom w:val="nil"/>
              <w:right w:val="nil"/>
            </w:tcBorders>
          </w:tcPr>
          <w:p w:rsidR="00AF274B" w:rsidRDefault="00AF274B">
            <w:pPr>
              <w:pStyle w:val="GlossaryTableText"/>
            </w:pPr>
            <w:r>
              <w:t xml:space="preserve">A type of reagent red cell used in the blood bank to verify the reactivity of antiglobulin antisera when the results of an antiglobulin test are negative. </w:t>
            </w:r>
            <w:r>
              <w:rPr>
                <w:i/>
              </w:rPr>
              <w:t>Also referred to as “Coombs Control cells.”</w:t>
            </w:r>
          </w:p>
        </w:tc>
      </w:tr>
      <w:tr w:rsidR="00BE42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BE425A" w:rsidRDefault="00BE425A">
            <w:pPr>
              <w:pStyle w:val="GlossaryTableText"/>
              <w:rPr>
                <w:b/>
                <w:bCs/>
              </w:rPr>
            </w:pPr>
            <w:r>
              <w:rPr>
                <w:b/>
                <w:bCs/>
              </w:rPr>
              <w:t>Check character</w:t>
            </w:r>
          </w:p>
        </w:tc>
        <w:tc>
          <w:tcPr>
            <w:tcW w:w="3327" w:type="pct"/>
            <w:tcBorders>
              <w:top w:val="nil"/>
              <w:left w:val="nil"/>
              <w:bottom w:val="nil"/>
              <w:right w:val="nil"/>
            </w:tcBorders>
          </w:tcPr>
          <w:p w:rsidR="00BE425A" w:rsidRDefault="00BE425A">
            <w:pPr>
              <w:pStyle w:val="GlossaryTableText"/>
            </w:pPr>
            <w:r>
              <w:rPr>
                <w:rFonts w:cs="Arial"/>
              </w:rPr>
              <w:t>A character used to check the integrity of a barcode</w:t>
            </w:r>
            <w:r w:rsidR="005C2D6C">
              <w:rPr>
                <w:rFonts w:cs="Arial"/>
              </w:rPr>
              <w:t xml:space="preserve"> symbol.</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Clinically significant antibodies</w:t>
            </w:r>
          </w:p>
        </w:tc>
        <w:tc>
          <w:tcPr>
            <w:tcW w:w="3327" w:type="pct"/>
            <w:tcBorders>
              <w:top w:val="nil"/>
              <w:left w:val="nil"/>
              <w:bottom w:val="nil"/>
              <w:right w:val="nil"/>
            </w:tcBorders>
          </w:tcPr>
          <w:p w:rsidR="00AF274B" w:rsidRDefault="00AF274B">
            <w:pPr>
              <w:pStyle w:val="GlossaryTableText"/>
              <w:rPr>
                <w:i/>
              </w:rPr>
            </w:pPr>
            <w:r>
              <w:t xml:space="preserve">If there is a chance of an adverse reaction to a transfusion, the antibodies associated with the antigens in that unit are considered clinically significant. </w:t>
            </w:r>
            <w:r>
              <w:rPr>
                <w:i/>
              </w:rPr>
              <w:t>Only clinically significant antibodies require that the patient receive red cells that have been phenotyped as negative for the associated antigen.</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CMS</w:t>
            </w:r>
          </w:p>
        </w:tc>
        <w:tc>
          <w:tcPr>
            <w:tcW w:w="3327" w:type="pct"/>
            <w:tcBorders>
              <w:top w:val="nil"/>
              <w:left w:val="nil"/>
              <w:bottom w:val="nil"/>
              <w:right w:val="nil"/>
            </w:tcBorders>
          </w:tcPr>
          <w:p w:rsidR="00AF274B" w:rsidRDefault="00AF274B">
            <w:pPr>
              <w:pStyle w:val="GlossaryTableText"/>
            </w:pPr>
            <w:r>
              <w:t xml:space="preserve">Centers for Medicare and Medicaid Services. </w:t>
            </w:r>
            <w:r w:rsidR="00F13656">
              <w:t xml:space="preserve">The federal agency responsible for administering the Medicare and Medicaid programs as well as certain other healthcare entitlement programs. </w:t>
            </w:r>
            <w:r w:rsidR="00A42B8B">
              <w:t>“</w:t>
            </w:r>
            <w:r w:rsidR="00F13656">
              <w:t>CMS</w:t>
            </w:r>
            <w:r w:rsidR="00A42B8B">
              <w:t>”</w:t>
            </w:r>
            <w:r>
              <w:t xml:space="preserve"> is the new name for HCFA (Health Care Financing Administration) under the Bush administration.</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CMV</w:t>
            </w:r>
          </w:p>
        </w:tc>
        <w:tc>
          <w:tcPr>
            <w:tcW w:w="3327" w:type="pct"/>
            <w:tcBorders>
              <w:top w:val="nil"/>
              <w:left w:val="nil"/>
              <w:bottom w:val="nil"/>
              <w:right w:val="nil"/>
            </w:tcBorders>
          </w:tcPr>
          <w:p w:rsidR="00AF274B" w:rsidRDefault="00AF274B">
            <w:pPr>
              <w:pStyle w:val="GlossaryTableText"/>
            </w:pPr>
            <w:r>
              <w:t>Cytomegalovirus. Some patients should receive only blood units that have been tested and found negative for CMV.</w:t>
            </w:r>
          </w:p>
        </w:tc>
      </w:tr>
      <w:tr w:rsidR="00083B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083B7D" w:rsidRDefault="00083B7D">
            <w:pPr>
              <w:pStyle w:val="GlossaryTableText"/>
              <w:rPr>
                <w:b/>
                <w:bCs/>
              </w:rPr>
            </w:pPr>
            <w:r>
              <w:rPr>
                <w:b/>
                <w:bCs/>
              </w:rPr>
              <w:t>COTS</w:t>
            </w:r>
          </w:p>
        </w:tc>
        <w:tc>
          <w:tcPr>
            <w:tcW w:w="3327" w:type="pct"/>
            <w:tcBorders>
              <w:top w:val="nil"/>
              <w:left w:val="nil"/>
              <w:bottom w:val="nil"/>
              <w:right w:val="nil"/>
            </w:tcBorders>
          </w:tcPr>
          <w:p w:rsidR="00083B7D" w:rsidRDefault="00083B7D">
            <w:pPr>
              <w:pStyle w:val="GlossaryTableText"/>
            </w:pPr>
            <w:r>
              <w:t>Commercial-Off-The-Shelf.</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Codabar</w:t>
            </w:r>
          </w:p>
        </w:tc>
        <w:tc>
          <w:tcPr>
            <w:tcW w:w="3327" w:type="pct"/>
            <w:tcBorders>
              <w:top w:val="nil"/>
              <w:left w:val="nil"/>
              <w:bottom w:val="nil"/>
              <w:right w:val="nil"/>
            </w:tcBorders>
          </w:tcPr>
          <w:p w:rsidR="00AF274B" w:rsidRDefault="00AF274B">
            <w:pPr>
              <w:pStyle w:val="GlossaryTableText"/>
            </w:pPr>
            <w:r>
              <w:t xml:space="preserve">Standard symbology used to define the format of barcode labels used to label all blood units. </w:t>
            </w:r>
            <w:r>
              <w:rPr>
                <w:i/>
              </w:rPr>
              <w:t>ISBT 128 will replace Codabar.</w:t>
            </w:r>
            <w:r>
              <w:t xml:space="preserve"> </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Compatibility testing</w:t>
            </w:r>
          </w:p>
        </w:tc>
        <w:tc>
          <w:tcPr>
            <w:tcW w:w="3327" w:type="pct"/>
            <w:tcBorders>
              <w:top w:val="nil"/>
              <w:left w:val="nil"/>
              <w:bottom w:val="nil"/>
              <w:right w:val="nil"/>
            </w:tcBorders>
          </w:tcPr>
          <w:p w:rsidR="00AF274B" w:rsidRDefault="00AF274B">
            <w:pPr>
              <w:pStyle w:val="GlossaryTableText"/>
            </w:pPr>
            <w:r>
              <w:t xml:space="preserve">Tests performed in the blood bank to determine the suitability of a unit of blood for a patient. </w:t>
            </w:r>
            <w:r>
              <w:rPr>
                <w:i/>
              </w:rPr>
              <w:t>Depending on the component class, compatibility testing can be as limited as comparing donor and patient ABO/Rh or as complex as requiring crossmatch.</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Completed TRW</w:t>
            </w:r>
          </w:p>
        </w:tc>
        <w:tc>
          <w:tcPr>
            <w:tcW w:w="3327" w:type="pct"/>
            <w:tcBorders>
              <w:top w:val="nil"/>
              <w:left w:val="nil"/>
              <w:bottom w:val="nil"/>
              <w:right w:val="nil"/>
            </w:tcBorders>
          </w:tcPr>
          <w:p w:rsidR="00AF274B" w:rsidRDefault="00AF274B">
            <w:pPr>
              <w:pStyle w:val="GlossaryTableText"/>
            </w:pPr>
            <w:r w:rsidRPr="007F427E">
              <w:t xml:space="preserve">A completed TRW indicates that serologic testing was completed. </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Component</w:t>
            </w:r>
          </w:p>
        </w:tc>
        <w:tc>
          <w:tcPr>
            <w:tcW w:w="3327" w:type="pct"/>
            <w:tcBorders>
              <w:top w:val="nil"/>
              <w:left w:val="nil"/>
              <w:bottom w:val="nil"/>
              <w:right w:val="nil"/>
            </w:tcBorders>
          </w:tcPr>
          <w:p w:rsidR="00AF274B" w:rsidRDefault="00AF274B">
            <w:pPr>
              <w:pStyle w:val="GlossaryTableText"/>
            </w:pPr>
            <w:r>
              <w:t>Any raw material, substance, piece, part, software, firmware, labeling, or assembly that is intended to be included as part of the finished, packaged, and labeled device.</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Component class</w:t>
            </w:r>
          </w:p>
        </w:tc>
        <w:tc>
          <w:tcPr>
            <w:tcW w:w="3327" w:type="pct"/>
            <w:tcBorders>
              <w:top w:val="nil"/>
              <w:left w:val="nil"/>
              <w:bottom w:val="nil"/>
              <w:right w:val="nil"/>
            </w:tcBorders>
          </w:tcPr>
          <w:p w:rsidR="00AF274B" w:rsidRDefault="00AF274B">
            <w:pPr>
              <w:pStyle w:val="GlossaryTableText"/>
            </w:pPr>
            <w:r>
              <w:t xml:space="preserve">The general form of a specific product produced by a blood supplier. </w:t>
            </w:r>
            <w:r>
              <w:rPr>
                <w:i/>
              </w:rPr>
              <w:t>Example: Red Blood Cells, Fresh Frozen Plasma, and Platelets. (</w:t>
            </w:r>
            <w:r>
              <w:t>Product Type</w:t>
            </w:r>
            <w:r>
              <w:rPr>
                <w:i/>
              </w:rPr>
              <w:t xml:space="preserve"> in VBECS model)</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Coombs test</w:t>
            </w:r>
          </w:p>
        </w:tc>
        <w:tc>
          <w:tcPr>
            <w:tcW w:w="3327" w:type="pct"/>
            <w:tcBorders>
              <w:top w:val="nil"/>
              <w:left w:val="nil"/>
              <w:bottom w:val="nil"/>
              <w:right w:val="nil"/>
            </w:tcBorders>
          </w:tcPr>
          <w:p w:rsidR="00AF274B" w:rsidRPr="00366313" w:rsidRDefault="00AF274B" w:rsidP="00366313">
            <w:pPr>
              <w:pStyle w:val="GlossaryTableText"/>
            </w:pPr>
            <w:r w:rsidRPr="00366313">
              <w:t xml:space="preserve">See </w:t>
            </w:r>
            <w:r>
              <w:t>“</w:t>
            </w:r>
            <w:r w:rsidRPr="00366313">
              <w:t>Anti-Human Globulin.</w:t>
            </w:r>
            <w:r>
              <w:t>”</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CPRS</w:t>
            </w:r>
          </w:p>
        </w:tc>
        <w:tc>
          <w:tcPr>
            <w:tcW w:w="3327" w:type="pct"/>
            <w:tcBorders>
              <w:top w:val="nil"/>
              <w:left w:val="nil"/>
              <w:bottom w:val="nil"/>
              <w:right w:val="nil"/>
            </w:tcBorders>
          </w:tcPr>
          <w:p w:rsidR="00AF274B" w:rsidRDefault="00AF274B">
            <w:pPr>
              <w:pStyle w:val="GlossaryTableText"/>
            </w:pPr>
            <w:r>
              <w:t xml:space="preserve">Computerized Patient Record System. A </w:t>
            </w:r>
            <w:r w:rsidRPr="00CA6E27">
              <w:rPr>
                <w:bCs/>
              </w:rPr>
              <w:t>VistA</w:t>
            </w:r>
            <w:r>
              <w:t xml:space="preserve"> software application that provides an integrated patient record system for use by clinicians, managers, quality assurance staff, and researchers.</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lastRenderedPageBreak/>
              <w:t>CPT</w:t>
            </w:r>
          </w:p>
        </w:tc>
        <w:tc>
          <w:tcPr>
            <w:tcW w:w="3327" w:type="pct"/>
            <w:tcBorders>
              <w:top w:val="nil"/>
              <w:left w:val="nil"/>
              <w:bottom w:val="nil"/>
              <w:right w:val="nil"/>
            </w:tcBorders>
          </w:tcPr>
          <w:p w:rsidR="00AF274B" w:rsidRDefault="00AF274B">
            <w:pPr>
              <w:pStyle w:val="GlossaryTableText"/>
              <w:rPr>
                <w:i/>
              </w:rPr>
            </w:pPr>
            <w:r>
              <w:t xml:space="preserve">Current Procedural Terminology. A proprietary terminology system owned by the AMA that enumerates medical and surgical services typically provided by physicians. </w:t>
            </w:r>
            <w:r>
              <w:rPr>
                <w:i/>
                <w:iCs/>
              </w:rPr>
              <w:t>Although CPT is proprietary, CMS (formerly HCFA) includes it in HCPCS and requires its use for outpatient claims submitted for Medicare and Medicaid beneficiaries.</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Crossmatch</w:t>
            </w:r>
          </w:p>
        </w:tc>
        <w:tc>
          <w:tcPr>
            <w:tcW w:w="3327" w:type="pct"/>
            <w:tcBorders>
              <w:top w:val="nil"/>
              <w:left w:val="nil"/>
              <w:bottom w:val="nil"/>
              <w:right w:val="nil"/>
            </w:tcBorders>
          </w:tcPr>
          <w:p w:rsidR="00AF274B" w:rsidRDefault="00AF274B">
            <w:pPr>
              <w:pStyle w:val="GlossaryTableText"/>
            </w:pPr>
            <w:r>
              <w:t xml:space="preserve">A procedure that demonstrates ABO compatibility and the absence of clinically significant antibody reactions between a patient and a unit of blood. </w:t>
            </w:r>
            <w:r>
              <w:rPr>
                <w:i/>
              </w:rPr>
              <w:t>Traditionally, a crossmatch consists of a serological test between the patient’s blood and a sample of the blood unit to be transfused. New regulations allow for what is called “computer/electronic crossmatch” in defined circumstances.</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Crossover</w:t>
            </w:r>
          </w:p>
        </w:tc>
        <w:tc>
          <w:tcPr>
            <w:tcW w:w="3327" w:type="pct"/>
            <w:tcBorders>
              <w:top w:val="nil"/>
              <w:left w:val="nil"/>
              <w:bottom w:val="nil"/>
              <w:right w:val="nil"/>
            </w:tcBorders>
          </w:tcPr>
          <w:p w:rsidR="00AF274B" w:rsidRDefault="00AF274B">
            <w:pPr>
              <w:pStyle w:val="GlossaryTableText"/>
              <w:rPr>
                <w:i/>
              </w:rPr>
            </w:pPr>
            <w:r>
              <w:t xml:space="preserve">A process by which an autologous or directed donor unit is released from the intended recipient and made available for general transfusion. </w:t>
            </w:r>
            <w:r>
              <w:rPr>
                <w:i/>
              </w:rPr>
              <w:t>VBECS supports only directed unit crossover.</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D</w:t>
            </w:r>
          </w:p>
        </w:tc>
        <w:tc>
          <w:tcPr>
            <w:tcW w:w="3327" w:type="pct"/>
            <w:tcBorders>
              <w:top w:val="nil"/>
              <w:left w:val="nil"/>
              <w:bottom w:val="nil"/>
              <w:right w:val="nil"/>
            </w:tcBorders>
          </w:tcPr>
          <w:p w:rsidR="00AF274B" w:rsidRDefault="00AF274B">
            <w:pPr>
              <w:pStyle w:val="GlossaryTableText"/>
            </w:pPr>
            <w:r>
              <w:t>The major antigen of the Rh system. Also “Rh</w:t>
            </w:r>
            <w:r>
              <w:rPr>
                <w:vertAlign w:val="subscript"/>
              </w:rPr>
              <w:t>o</w:t>
            </w:r>
            <w:r>
              <w:t xml:space="preserve">.” </w:t>
            </w:r>
            <w:r>
              <w:rPr>
                <w:i/>
              </w:rPr>
              <w:t>The presence of this antigen on red blood cells determines if a patient or donor is Rh Pos or Rh Neg. A weak expression of the D antigen, referred to as “Du” or “weak D,” may require additional testing to determine its presence. “D negative” is another term for “Rh negative”; “D control” is another term for “Rh control.” The convention for VBECS GUIs is D control.</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rPr>
            </w:pPr>
            <w:r>
              <w:rPr>
                <w:b/>
                <w:snapToGrid w:val="0"/>
              </w:rPr>
              <w:t>Data entry grid</w:t>
            </w:r>
          </w:p>
        </w:tc>
        <w:tc>
          <w:tcPr>
            <w:tcW w:w="3327" w:type="pct"/>
            <w:tcBorders>
              <w:top w:val="nil"/>
              <w:left w:val="nil"/>
              <w:bottom w:val="nil"/>
              <w:right w:val="nil"/>
            </w:tcBorders>
          </w:tcPr>
          <w:p w:rsidR="00AF274B" w:rsidRDefault="00AF274B">
            <w:pPr>
              <w:pStyle w:val="GlossaryTableText"/>
              <w:rPr>
                <w:snapToGrid w:val="0"/>
              </w:rPr>
            </w:pPr>
            <w:r>
              <w:rPr>
                <w:snapToGrid w:val="0"/>
              </w:rPr>
              <w:t>A grid that contains observations and interpretations of observations.</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rPr>
            </w:pPr>
            <w:r>
              <w:rPr>
                <w:b/>
              </w:rPr>
              <w:t>Database</w:t>
            </w:r>
          </w:p>
        </w:tc>
        <w:tc>
          <w:tcPr>
            <w:tcW w:w="3327" w:type="pct"/>
            <w:tcBorders>
              <w:top w:val="nil"/>
              <w:left w:val="nil"/>
              <w:bottom w:val="nil"/>
              <w:right w:val="nil"/>
            </w:tcBorders>
          </w:tcPr>
          <w:p w:rsidR="00AF274B" w:rsidRDefault="00AF274B">
            <w:pPr>
              <w:pStyle w:val="GlossaryTableText"/>
            </w:pPr>
            <w:r>
              <w:t>A collection of data arranged for ease and speed of retrieval that may or may not contain data from multiple VBECS divisions.</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rPr>
            </w:pPr>
            <w:r>
              <w:rPr>
                <w:b/>
              </w:rPr>
              <w:t>Day of use</w:t>
            </w:r>
          </w:p>
        </w:tc>
        <w:tc>
          <w:tcPr>
            <w:tcW w:w="3327" w:type="pct"/>
            <w:tcBorders>
              <w:top w:val="nil"/>
              <w:left w:val="nil"/>
              <w:bottom w:val="nil"/>
              <w:right w:val="nil"/>
            </w:tcBorders>
          </w:tcPr>
          <w:p w:rsidR="00AF274B" w:rsidRDefault="00AF274B">
            <w:pPr>
              <w:pStyle w:val="GlossaryTableText"/>
              <w:rPr>
                <w:snapToGrid w:val="0"/>
              </w:rPr>
            </w:pPr>
            <w:r>
              <w:t>The calendar date times (0000–2359) a reagent is used.</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rPr>
            </w:pPr>
            <w:r>
              <w:rPr>
                <w:b/>
              </w:rPr>
              <w:t>DDE</w:t>
            </w:r>
          </w:p>
        </w:tc>
        <w:tc>
          <w:tcPr>
            <w:tcW w:w="3327" w:type="pct"/>
            <w:tcBorders>
              <w:top w:val="nil"/>
              <w:left w:val="nil"/>
              <w:bottom w:val="nil"/>
              <w:right w:val="nil"/>
            </w:tcBorders>
          </w:tcPr>
          <w:p w:rsidR="00AF274B" w:rsidRDefault="00AF274B">
            <w:pPr>
              <w:pStyle w:val="GlossaryTableText"/>
            </w:pPr>
            <w:r>
              <w:t xml:space="preserve">Direct data entry. </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Decision support system</w:t>
            </w:r>
            <w:r w:rsidR="00BD5506">
              <w:rPr>
                <w:b/>
                <w:bCs/>
              </w:rPr>
              <w:t xml:space="preserve"> (DSS)</w:t>
            </w:r>
          </w:p>
        </w:tc>
        <w:tc>
          <w:tcPr>
            <w:tcW w:w="3327" w:type="pct"/>
            <w:tcBorders>
              <w:top w:val="nil"/>
              <w:left w:val="nil"/>
              <w:bottom w:val="nil"/>
              <w:right w:val="nil"/>
            </w:tcBorders>
          </w:tcPr>
          <w:p w:rsidR="00AF274B" w:rsidRDefault="00AF274B" w:rsidP="00A814C4">
            <w:pPr>
              <w:pStyle w:val="GlossaryTableText"/>
            </w:pPr>
            <w:r>
              <w:rPr>
                <w:snapToGrid w:val="0"/>
              </w:rPr>
              <w:t xml:space="preserve">A financial/cost tracking system for VA hospitals. </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rPr>
            </w:pPr>
            <w:r>
              <w:rPr>
                <w:b/>
              </w:rPr>
              <w:t>Delete</w:t>
            </w:r>
          </w:p>
        </w:tc>
        <w:tc>
          <w:tcPr>
            <w:tcW w:w="3327" w:type="pct"/>
            <w:tcBorders>
              <w:top w:val="nil"/>
              <w:left w:val="nil"/>
              <w:bottom w:val="nil"/>
              <w:right w:val="nil"/>
            </w:tcBorders>
          </w:tcPr>
          <w:p w:rsidR="00AF274B" w:rsidRPr="007A099E" w:rsidRDefault="00AF274B" w:rsidP="007A099E">
            <w:pPr>
              <w:pStyle w:val="TableText"/>
            </w:pPr>
            <w:r>
              <w:t>Remove a VBECS record from user access and keep it in the database.</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rPr>
            </w:pPr>
            <w:r>
              <w:rPr>
                <w:b/>
              </w:rPr>
              <w:t>Direct Antiglobulin Test (DAT)</w:t>
            </w:r>
          </w:p>
        </w:tc>
        <w:tc>
          <w:tcPr>
            <w:tcW w:w="3327" w:type="pct"/>
            <w:tcBorders>
              <w:top w:val="nil"/>
              <w:left w:val="nil"/>
              <w:bottom w:val="nil"/>
              <w:right w:val="nil"/>
            </w:tcBorders>
          </w:tcPr>
          <w:p w:rsidR="00AF274B" w:rsidRDefault="00AF274B">
            <w:pPr>
              <w:pStyle w:val="GlossaryTableText"/>
              <w:rPr>
                <w:b/>
              </w:rPr>
            </w:pPr>
            <w:r>
              <w:t xml:space="preserve">A laboratory test performed in a blood bank in conjunction with pre-transfusion testing or as a diagnostic test. </w:t>
            </w:r>
            <w:r>
              <w:rPr>
                <w:i/>
              </w:rPr>
              <w:t>A positive DAT indicates that an antibody-antigen reaction may have occurred in vivo, which may be related to medications or previous transfusions. “Direct Coombs” and “DAT” are used interchangeably.</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rPr>
            </w:pPr>
            <w:r>
              <w:rPr>
                <w:b/>
              </w:rPr>
              <w:t>Direct data entry (DDE)</w:t>
            </w:r>
          </w:p>
        </w:tc>
        <w:tc>
          <w:tcPr>
            <w:tcW w:w="3327" w:type="pct"/>
            <w:tcBorders>
              <w:top w:val="nil"/>
              <w:left w:val="nil"/>
              <w:bottom w:val="nil"/>
              <w:right w:val="nil"/>
            </w:tcBorders>
          </w:tcPr>
          <w:p w:rsidR="00AF274B" w:rsidRDefault="00AF274B">
            <w:pPr>
              <w:pStyle w:val="GlossaryTableText"/>
            </w:pPr>
            <w:r>
              <w:t>The process of entering test results in a computer rather than recording them on paper.</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rPr>
            </w:pPr>
            <w:r>
              <w:rPr>
                <w:b/>
              </w:rPr>
              <w:t>Directed</w:t>
            </w:r>
          </w:p>
        </w:tc>
        <w:tc>
          <w:tcPr>
            <w:tcW w:w="3327" w:type="pct"/>
            <w:tcBorders>
              <w:top w:val="nil"/>
              <w:left w:val="nil"/>
              <w:bottom w:val="nil"/>
              <w:right w:val="nil"/>
            </w:tcBorders>
          </w:tcPr>
          <w:p w:rsidR="00AF274B" w:rsidRDefault="00AF274B">
            <w:pPr>
              <w:pStyle w:val="GlossaryTableText"/>
            </w:pPr>
            <w:r>
              <w:t xml:space="preserve">Blood that is donated in advance to be set aside for a specific patient. </w:t>
            </w:r>
            <w:r>
              <w:rPr>
                <w:i/>
              </w:rPr>
              <w:t>Directed donation units must meet all of the requirements of any regular unit of donated blood (all disease marker testing must be negative). If not needed by the intended recipient, a directed unit may be released for general use.</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rPr>
            </w:pPr>
            <w:r>
              <w:rPr>
                <w:b/>
              </w:rPr>
              <w:t>Disposition</w:t>
            </w:r>
          </w:p>
        </w:tc>
        <w:tc>
          <w:tcPr>
            <w:tcW w:w="3327" w:type="pct"/>
            <w:tcBorders>
              <w:top w:val="nil"/>
              <w:left w:val="nil"/>
              <w:bottom w:val="nil"/>
              <w:right w:val="nil"/>
            </w:tcBorders>
          </w:tcPr>
          <w:p w:rsidR="00AF274B" w:rsidRDefault="00AF274B">
            <w:pPr>
              <w:pStyle w:val="GlossaryTableText"/>
            </w:pPr>
            <w:r>
              <w:t xml:space="preserve">The recorded final state of a blood unit. </w:t>
            </w:r>
            <w:r>
              <w:rPr>
                <w:i/>
              </w:rPr>
              <w:t>A blood unit with a disposition is no longer available for routine processing.</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Edit</w:t>
            </w:r>
          </w:p>
        </w:tc>
        <w:tc>
          <w:tcPr>
            <w:tcW w:w="3327" w:type="pct"/>
            <w:tcBorders>
              <w:top w:val="nil"/>
              <w:left w:val="nil"/>
              <w:bottom w:val="nil"/>
              <w:right w:val="nil"/>
            </w:tcBorders>
          </w:tcPr>
          <w:p w:rsidR="00AF274B" w:rsidRDefault="00AF274B">
            <w:pPr>
              <w:pStyle w:val="GlossaryTableText"/>
            </w:pPr>
            <w:r>
              <w:t xml:space="preserve">To enter or change previously saved information. </w:t>
            </w:r>
            <w:r>
              <w:rPr>
                <w:i/>
              </w:rPr>
              <w:t>VistA overwrites the data and does not create an audit trail. VBECS overlays the data and creates an audit trail.</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lastRenderedPageBreak/>
              <w:t>Elution</w:t>
            </w:r>
          </w:p>
        </w:tc>
        <w:tc>
          <w:tcPr>
            <w:tcW w:w="3327" w:type="pct"/>
            <w:tcBorders>
              <w:top w:val="nil"/>
              <w:left w:val="nil"/>
              <w:bottom w:val="nil"/>
              <w:right w:val="nil"/>
            </w:tcBorders>
          </w:tcPr>
          <w:p w:rsidR="00AF274B" w:rsidRDefault="00AF274B">
            <w:pPr>
              <w:pStyle w:val="GlossaryTableText"/>
            </w:pPr>
            <w:r>
              <w:t xml:space="preserve">A procedure performed by a blood bank technologist to investigate a positive DAT. </w:t>
            </w:r>
            <w:r>
              <w:rPr>
                <w:i/>
              </w:rPr>
              <w:t>A positive eluate is further tested to determine the specificity of the antibody, which has been eluted from the patient’s red cells.</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Emergency issue</w:t>
            </w:r>
          </w:p>
        </w:tc>
        <w:tc>
          <w:tcPr>
            <w:tcW w:w="3327" w:type="pct"/>
            <w:tcBorders>
              <w:top w:val="nil"/>
              <w:left w:val="nil"/>
              <w:bottom w:val="nil"/>
              <w:right w:val="nil"/>
            </w:tcBorders>
          </w:tcPr>
          <w:p w:rsidR="00AF274B" w:rsidRDefault="00AF274B">
            <w:pPr>
              <w:pStyle w:val="GlossaryTableText"/>
            </w:pPr>
            <w:r>
              <w:t xml:space="preserve">The release of blood prior to pre-transfusion testing and crossmatch. </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Exception Report</w:t>
            </w:r>
          </w:p>
        </w:tc>
        <w:tc>
          <w:tcPr>
            <w:tcW w:w="3327" w:type="pct"/>
            <w:tcBorders>
              <w:top w:val="nil"/>
              <w:left w:val="nil"/>
              <w:bottom w:val="nil"/>
              <w:right w:val="nil"/>
            </w:tcBorders>
          </w:tcPr>
          <w:p w:rsidR="00AF274B" w:rsidRDefault="00AF274B">
            <w:pPr>
              <w:pStyle w:val="GlossaryTableText"/>
            </w:pPr>
            <w:r>
              <w:t xml:space="preserve">A report that details a user deviation from a standard process. </w:t>
            </w:r>
            <w:r>
              <w:rPr>
                <w:i/>
              </w:rPr>
              <w:t>Example: a user overrides a warning and is required to enter a justification for continuing.</w:t>
            </w:r>
            <w:r>
              <w:t xml:space="preserve"> </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snapToGrid w:val="0"/>
              </w:rPr>
              <w:t>eXM</w:t>
            </w:r>
          </w:p>
        </w:tc>
        <w:tc>
          <w:tcPr>
            <w:tcW w:w="3327" w:type="pct"/>
            <w:tcBorders>
              <w:top w:val="nil"/>
              <w:left w:val="nil"/>
              <w:bottom w:val="nil"/>
              <w:right w:val="nil"/>
            </w:tcBorders>
          </w:tcPr>
          <w:p w:rsidR="00AF274B" w:rsidRDefault="00AF274B">
            <w:pPr>
              <w:pStyle w:val="GlossaryTableText"/>
              <w:rPr>
                <w:b/>
              </w:rPr>
            </w:pPr>
            <w:r>
              <w:rPr>
                <w:snapToGrid w:val="0"/>
              </w:rPr>
              <w:t>Electronic crossmatch.</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Expiration date</w:t>
            </w:r>
          </w:p>
        </w:tc>
        <w:tc>
          <w:tcPr>
            <w:tcW w:w="3327" w:type="pct"/>
            <w:tcBorders>
              <w:top w:val="nil"/>
              <w:left w:val="nil"/>
              <w:bottom w:val="nil"/>
              <w:right w:val="nil"/>
            </w:tcBorders>
          </w:tcPr>
          <w:p w:rsidR="00AF274B" w:rsidRDefault="00AF274B">
            <w:pPr>
              <w:pStyle w:val="GlossaryTableText"/>
            </w:pPr>
            <w:r>
              <w:t xml:space="preserve">The last date during which a blood component can be considered safe for transfusion. </w:t>
            </w:r>
            <w:r>
              <w:rPr>
                <w:i/>
              </w:rPr>
              <w:t>If the expiration date does not include a time, the time is assumed to be midnight.</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Eye-readable prefix</w:t>
            </w:r>
          </w:p>
        </w:tc>
        <w:tc>
          <w:tcPr>
            <w:tcW w:w="3327" w:type="pct"/>
            <w:tcBorders>
              <w:top w:val="nil"/>
              <w:left w:val="nil"/>
              <w:bottom w:val="nil"/>
              <w:right w:val="nil"/>
            </w:tcBorders>
          </w:tcPr>
          <w:p w:rsidR="00AF274B" w:rsidRDefault="00AF274B">
            <w:pPr>
              <w:pStyle w:val="GlossaryTableText"/>
            </w:pPr>
            <w:r>
              <w:t xml:space="preserve">Two non-scannable numbers appended to a Codabar Unit ID label by some collection facilities. </w:t>
            </w:r>
            <w:r>
              <w:rPr>
                <w:i/>
              </w:rPr>
              <w:t>Most Red Cross blood suppliers use eye-readable prefixes; not all private blood suppliers do. Eye-readable prefixes correlate with collection facilities.</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Facility (see “Site”)</w:t>
            </w:r>
          </w:p>
        </w:tc>
        <w:tc>
          <w:tcPr>
            <w:tcW w:w="3327" w:type="pct"/>
            <w:tcBorders>
              <w:top w:val="nil"/>
              <w:left w:val="nil"/>
              <w:bottom w:val="nil"/>
              <w:right w:val="nil"/>
            </w:tcBorders>
          </w:tcPr>
          <w:p w:rsidR="00AF274B" w:rsidRDefault="00AF274B">
            <w:pPr>
              <w:pStyle w:val="GlossaryTableText"/>
            </w:pPr>
            <w:r>
              <w:t>A blood bank laboratory where a blood unit is located.</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FDA</w:t>
            </w:r>
          </w:p>
        </w:tc>
        <w:tc>
          <w:tcPr>
            <w:tcW w:w="3327" w:type="pct"/>
            <w:tcBorders>
              <w:top w:val="nil"/>
              <w:left w:val="nil"/>
              <w:bottom w:val="nil"/>
              <w:right w:val="nil"/>
            </w:tcBorders>
          </w:tcPr>
          <w:p w:rsidR="00AF274B" w:rsidRDefault="00AF274B">
            <w:pPr>
              <w:pStyle w:val="GlossaryTableText"/>
            </w:pPr>
            <w:r>
              <w:t>Food and Drug Administration.</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File</w:t>
            </w:r>
          </w:p>
        </w:tc>
        <w:tc>
          <w:tcPr>
            <w:tcW w:w="3327" w:type="pct"/>
            <w:tcBorders>
              <w:top w:val="nil"/>
              <w:left w:val="nil"/>
              <w:bottom w:val="nil"/>
              <w:right w:val="nil"/>
            </w:tcBorders>
          </w:tcPr>
          <w:p w:rsidR="00AF274B" w:rsidRDefault="00AF274B">
            <w:pPr>
              <w:pStyle w:val="GlossaryTableText"/>
            </w:pPr>
            <w:r>
              <w:t>Source code, data, and documentation.</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Finalized TRW</w:t>
            </w:r>
          </w:p>
        </w:tc>
        <w:tc>
          <w:tcPr>
            <w:tcW w:w="3327" w:type="pct"/>
            <w:tcBorders>
              <w:top w:val="nil"/>
              <w:left w:val="nil"/>
              <w:bottom w:val="nil"/>
              <w:right w:val="nil"/>
            </w:tcBorders>
          </w:tcPr>
          <w:p w:rsidR="00AF274B" w:rsidRDefault="00AF274B">
            <w:pPr>
              <w:pStyle w:val="GlossaryTableText"/>
            </w:pPr>
            <w:r w:rsidRPr="007F427E">
              <w:t>A finalized TRW indicates that the medical director reviewed the TRW, classified the reaction, and may make recommendations for future transfusions.</w:t>
            </w:r>
          </w:p>
        </w:tc>
      </w:tr>
      <w:tr w:rsidR="001A15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1A1559" w:rsidRDefault="001A1559">
            <w:pPr>
              <w:pStyle w:val="GlossaryTableText"/>
              <w:rPr>
                <w:b/>
                <w:bCs/>
              </w:rPr>
            </w:pPr>
            <w:r>
              <w:rPr>
                <w:b/>
                <w:bCs/>
              </w:rPr>
              <w:t>FOIA</w:t>
            </w:r>
          </w:p>
        </w:tc>
        <w:tc>
          <w:tcPr>
            <w:tcW w:w="3327" w:type="pct"/>
            <w:tcBorders>
              <w:top w:val="nil"/>
              <w:left w:val="nil"/>
              <w:bottom w:val="nil"/>
              <w:right w:val="nil"/>
            </w:tcBorders>
          </w:tcPr>
          <w:p w:rsidR="001A1559" w:rsidRDefault="001A1559">
            <w:pPr>
              <w:pStyle w:val="GlossaryTableText"/>
            </w:pPr>
            <w:r>
              <w:t>Freedom of Information Act.</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HCPCS</w:t>
            </w:r>
          </w:p>
        </w:tc>
        <w:tc>
          <w:tcPr>
            <w:tcW w:w="3327" w:type="pct"/>
            <w:tcBorders>
              <w:top w:val="nil"/>
              <w:left w:val="nil"/>
              <w:bottom w:val="nil"/>
              <w:right w:val="nil"/>
            </w:tcBorders>
          </w:tcPr>
          <w:p w:rsidR="00AF274B" w:rsidRDefault="00AF274B">
            <w:pPr>
              <w:pStyle w:val="GlossaryTableText"/>
              <w:rPr>
                <w:b/>
              </w:rPr>
            </w:pPr>
            <w:r>
              <w:t xml:space="preserve">Healthcare Common Procedure Coding System. Codes used to enumerate medical and surgical services and supplies in the outpatient setting. </w:t>
            </w:r>
            <w:r>
              <w:rPr>
                <w:i/>
                <w:iCs/>
              </w:rPr>
              <w:t>CMS (formerly HCFA) uses HCPCS for Medicare and Medicaid reimbursement. HCPCS are the required code set for medical and surgical services and supplies for the outpatient setting under the final code set standards for HIPAA. There are three levels of HCPCS codes: level I are CPT codes from AMA; level II are additional codes developed by HCFA for services and supplies not covered by CPT; level III are local codes assigned by individual state Medicare carriers. Level III codes are scheduled to be phased out under HIPAA.</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HIPAA</w:t>
            </w:r>
          </w:p>
        </w:tc>
        <w:tc>
          <w:tcPr>
            <w:tcW w:w="3327" w:type="pct"/>
            <w:tcBorders>
              <w:top w:val="nil"/>
              <w:left w:val="nil"/>
              <w:bottom w:val="nil"/>
              <w:right w:val="nil"/>
            </w:tcBorders>
          </w:tcPr>
          <w:p w:rsidR="00AF274B" w:rsidRDefault="00AF274B">
            <w:pPr>
              <w:pStyle w:val="GlossaryTableText"/>
            </w:pPr>
            <w:r>
              <w:rPr>
                <w:bCs/>
              </w:rPr>
              <w:t>Health Insurance Portability and Accountability Act</w:t>
            </w:r>
            <w:r w:rsidR="00F717BC">
              <w:rPr>
                <w:bCs/>
              </w:rPr>
              <w:t xml:space="preserve"> of 1996</w:t>
            </w:r>
            <w:r>
              <w:rPr>
                <w:bCs/>
              </w:rPr>
              <w:t>.</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Historical ABO/Rh</w:t>
            </w:r>
          </w:p>
        </w:tc>
        <w:tc>
          <w:tcPr>
            <w:tcW w:w="3327" w:type="pct"/>
            <w:tcBorders>
              <w:top w:val="nil"/>
              <w:left w:val="nil"/>
              <w:bottom w:val="nil"/>
              <w:right w:val="nil"/>
            </w:tcBorders>
          </w:tcPr>
          <w:p w:rsidR="00AF274B" w:rsidRDefault="00AF274B">
            <w:pPr>
              <w:pStyle w:val="GlossaryTableText"/>
              <w:rPr>
                <w:rFonts w:ascii="Symbol"/>
              </w:rPr>
            </w:pPr>
            <w:r>
              <w:t>The most recent valid entry entered in the same division as the current order/treatment record, not from the database conversion.</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rsidP="005957FF">
            <w:pPr>
              <w:pStyle w:val="GlossaryTableText"/>
              <w:rPr>
                <w:b/>
                <w:bCs/>
              </w:rPr>
            </w:pPr>
            <w:r>
              <w:rPr>
                <w:b/>
                <w:bCs/>
              </w:rPr>
              <w:t>Historical record</w:t>
            </w:r>
          </w:p>
        </w:tc>
        <w:tc>
          <w:tcPr>
            <w:tcW w:w="3327" w:type="pct"/>
            <w:tcBorders>
              <w:top w:val="nil"/>
              <w:left w:val="nil"/>
              <w:bottom w:val="nil"/>
              <w:right w:val="nil"/>
            </w:tcBorders>
          </w:tcPr>
          <w:p w:rsidR="00AF274B" w:rsidRDefault="00AF274B" w:rsidP="005957FF">
            <w:pPr>
              <w:pStyle w:val="GlossaryTableText"/>
            </w:pPr>
            <w:r>
              <w:t>Cumulative, redundant data, referenced continually throughout VBECS.</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HL7</w:t>
            </w:r>
          </w:p>
        </w:tc>
        <w:tc>
          <w:tcPr>
            <w:tcW w:w="3327" w:type="pct"/>
            <w:tcBorders>
              <w:top w:val="nil"/>
              <w:left w:val="nil"/>
              <w:bottom w:val="nil"/>
              <w:right w:val="nil"/>
            </w:tcBorders>
          </w:tcPr>
          <w:p w:rsidR="00AF274B" w:rsidRDefault="00AF274B">
            <w:pPr>
              <w:pStyle w:val="GlossaryTableText"/>
            </w:pPr>
            <w:r>
              <w:t>Health Level 7. An international messaging standard used predominantly in the healthcare industry.</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snapToGrid w:val="0"/>
              </w:rPr>
              <w:t>HLA (histocompatibility locus antigens)</w:t>
            </w:r>
          </w:p>
        </w:tc>
        <w:tc>
          <w:tcPr>
            <w:tcW w:w="3327" w:type="pct"/>
            <w:tcBorders>
              <w:top w:val="nil"/>
              <w:left w:val="nil"/>
              <w:bottom w:val="nil"/>
              <w:right w:val="nil"/>
            </w:tcBorders>
          </w:tcPr>
          <w:p w:rsidR="00AF274B" w:rsidRDefault="00AF274B">
            <w:pPr>
              <w:pStyle w:val="GlossaryTableText"/>
              <w:rPr>
                <w:b/>
              </w:rPr>
            </w:pPr>
            <w:r>
              <w:rPr>
                <w:snapToGrid w:val="0"/>
              </w:rPr>
              <w:t>Antigens associated with cellular immunity.</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Homologous (also “allogeneic”)</w:t>
            </w:r>
          </w:p>
        </w:tc>
        <w:tc>
          <w:tcPr>
            <w:tcW w:w="3327" w:type="pct"/>
            <w:tcBorders>
              <w:top w:val="nil"/>
              <w:left w:val="nil"/>
              <w:bottom w:val="nil"/>
              <w:right w:val="nil"/>
            </w:tcBorders>
          </w:tcPr>
          <w:p w:rsidR="00AF274B" w:rsidRDefault="00AF274B">
            <w:pPr>
              <w:pStyle w:val="GlossaryTableText"/>
            </w:pPr>
            <w:r>
              <w:t>The standard type of blood donation: a volunteer donor reports to a blood collection facility and donates a unit of blood. The blood is tested and released for general use.</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lastRenderedPageBreak/>
              <w:t>ICCBBA</w:t>
            </w:r>
          </w:p>
        </w:tc>
        <w:tc>
          <w:tcPr>
            <w:tcW w:w="3327" w:type="pct"/>
            <w:tcBorders>
              <w:top w:val="nil"/>
              <w:left w:val="nil"/>
              <w:bottom w:val="nil"/>
              <w:right w:val="nil"/>
            </w:tcBorders>
          </w:tcPr>
          <w:p w:rsidR="00AF274B" w:rsidRDefault="00AF274B">
            <w:pPr>
              <w:pStyle w:val="GlossaryTableText"/>
            </w:pPr>
            <w:r>
              <w:t>International Council for Commonality in Blood Banking Automation, Inc. The governing body that developed and maintained the database that governs the ISBT 128 blood labeling system.</w:t>
            </w:r>
          </w:p>
        </w:tc>
      </w:tr>
      <w:tr w:rsidR="001A15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1A1559" w:rsidRDefault="001A1559">
            <w:pPr>
              <w:pStyle w:val="GlossaryTableText"/>
              <w:rPr>
                <w:b/>
                <w:bCs/>
                <w:snapToGrid w:val="0"/>
              </w:rPr>
            </w:pPr>
            <w:r>
              <w:rPr>
                <w:b/>
                <w:bCs/>
                <w:snapToGrid w:val="0"/>
              </w:rPr>
              <w:t>IEN</w:t>
            </w:r>
          </w:p>
        </w:tc>
        <w:tc>
          <w:tcPr>
            <w:tcW w:w="3327" w:type="pct"/>
            <w:tcBorders>
              <w:top w:val="nil"/>
              <w:left w:val="nil"/>
              <w:bottom w:val="nil"/>
              <w:right w:val="nil"/>
            </w:tcBorders>
          </w:tcPr>
          <w:p w:rsidR="001A1559" w:rsidRDefault="001A1559">
            <w:pPr>
              <w:pStyle w:val="GlossaryTableText"/>
              <w:rPr>
                <w:snapToGrid w:val="0"/>
              </w:rPr>
            </w:pPr>
            <w:r>
              <w:rPr>
                <w:snapToGrid w:val="0"/>
              </w:rPr>
              <w:t xml:space="preserve">Internal Entry Number. </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snapToGrid w:val="0"/>
              </w:rPr>
              <w:t>IgA (Immunoglobulin A)</w:t>
            </w:r>
          </w:p>
        </w:tc>
        <w:tc>
          <w:tcPr>
            <w:tcW w:w="3327" w:type="pct"/>
            <w:tcBorders>
              <w:top w:val="nil"/>
              <w:left w:val="nil"/>
              <w:bottom w:val="nil"/>
              <w:right w:val="nil"/>
            </w:tcBorders>
          </w:tcPr>
          <w:p w:rsidR="00AF274B" w:rsidRDefault="00AF274B">
            <w:pPr>
              <w:pStyle w:val="GlossaryTableText"/>
              <w:rPr>
                <w:b/>
              </w:rPr>
            </w:pPr>
            <w:r>
              <w:rPr>
                <w:snapToGrid w:val="0"/>
              </w:rPr>
              <w:t>Immune protein usually associated with tissue response (hypersensitivity).</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In-date</w:t>
            </w:r>
          </w:p>
        </w:tc>
        <w:tc>
          <w:tcPr>
            <w:tcW w:w="3327" w:type="pct"/>
            <w:tcBorders>
              <w:top w:val="nil"/>
              <w:left w:val="nil"/>
              <w:bottom w:val="nil"/>
              <w:right w:val="nil"/>
            </w:tcBorders>
          </w:tcPr>
          <w:p w:rsidR="00AF274B" w:rsidRDefault="00AF274B">
            <w:pPr>
              <w:pStyle w:val="GlossaryTableText"/>
            </w:pPr>
            <w:r>
              <w:t xml:space="preserve">Describes the state of a unit of blood when the expiration date/time of the unit is in the future. </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Interpretation</w:t>
            </w:r>
          </w:p>
        </w:tc>
        <w:tc>
          <w:tcPr>
            <w:tcW w:w="3327" w:type="pct"/>
            <w:tcBorders>
              <w:top w:val="nil"/>
              <w:left w:val="nil"/>
              <w:bottom w:val="nil"/>
              <w:right w:val="nil"/>
            </w:tcBorders>
          </w:tcPr>
          <w:p w:rsidR="00AF274B" w:rsidRDefault="00AF274B">
            <w:pPr>
              <w:pStyle w:val="GlossaryTableText"/>
            </w:pPr>
            <w:r>
              <w:t>The evaluation of serologic test reactions.</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IRM</w:t>
            </w:r>
          </w:p>
        </w:tc>
        <w:tc>
          <w:tcPr>
            <w:tcW w:w="3327" w:type="pct"/>
            <w:tcBorders>
              <w:top w:val="nil"/>
              <w:left w:val="nil"/>
              <w:bottom w:val="nil"/>
              <w:right w:val="nil"/>
            </w:tcBorders>
          </w:tcPr>
          <w:p w:rsidR="00AF274B" w:rsidRDefault="00AF274B">
            <w:pPr>
              <w:pStyle w:val="GlossaryTableText"/>
              <w:rPr>
                <w:rFonts w:ascii="Symbol"/>
              </w:rPr>
            </w:pPr>
            <w:r>
              <w:t>Information Resource Management.</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snapToGrid w:val="0"/>
              </w:rPr>
              <w:t>Irradiate</w:t>
            </w:r>
          </w:p>
        </w:tc>
        <w:tc>
          <w:tcPr>
            <w:tcW w:w="3327" w:type="pct"/>
            <w:tcBorders>
              <w:top w:val="nil"/>
              <w:left w:val="nil"/>
              <w:bottom w:val="nil"/>
              <w:right w:val="nil"/>
            </w:tcBorders>
          </w:tcPr>
          <w:p w:rsidR="00C64C05" w:rsidRPr="00C64C05" w:rsidRDefault="00BB6868" w:rsidP="00BB6868">
            <w:pPr>
              <w:pStyle w:val="GlossaryTableText"/>
            </w:pPr>
            <w:r>
              <w:t xml:space="preserve">To expose blood products to radiation to damage white cells and </w:t>
            </w:r>
            <w:r w:rsidR="00A77C51">
              <w:t>avoid graft-versus-</w:t>
            </w:r>
            <w:r>
              <w:t>host disease.</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ISBT</w:t>
            </w:r>
          </w:p>
        </w:tc>
        <w:tc>
          <w:tcPr>
            <w:tcW w:w="3327" w:type="pct"/>
            <w:tcBorders>
              <w:top w:val="nil"/>
              <w:left w:val="nil"/>
              <w:bottom w:val="nil"/>
              <w:right w:val="nil"/>
            </w:tcBorders>
          </w:tcPr>
          <w:p w:rsidR="00AF274B" w:rsidRDefault="00AF274B">
            <w:pPr>
              <w:pStyle w:val="GlossaryTableText"/>
            </w:pPr>
            <w:r>
              <w:t>International Society of Blood Transfusion.</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ISBT 128</w:t>
            </w:r>
          </w:p>
        </w:tc>
        <w:tc>
          <w:tcPr>
            <w:tcW w:w="3327" w:type="pct"/>
            <w:tcBorders>
              <w:top w:val="nil"/>
              <w:left w:val="nil"/>
              <w:bottom w:val="nil"/>
              <w:right w:val="nil"/>
            </w:tcBorders>
          </w:tcPr>
          <w:p w:rsidR="00AF274B" w:rsidRDefault="00AF274B">
            <w:pPr>
              <w:pStyle w:val="GlossaryTableText"/>
            </w:pPr>
            <w:r>
              <w:t xml:space="preserve">New standardized method for labeling blood units. </w:t>
            </w:r>
            <w:r>
              <w:rPr>
                <w:i/>
              </w:rPr>
              <w:t>It includes much more information within the barcodes than is possible with Codabar. Its rules are much more structured than Codabar. It is not backwards compatible with Codabar.</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snapToGrid w:val="0"/>
              </w:rPr>
            </w:pPr>
            <w:r>
              <w:rPr>
                <w:b/>
                <w:bCs/>
                <w:snapToGrid w:val="0"/>
              </w:rPr>
              <w:t>Leukopoor</w:t>
            </w:r>
          </w:p>
        </w:tc>
        <w:tc>
          <w:tcPr>
            <w:tcW w:w="3327" w:type="pct"/>
            <w:tcBorders>
              <w:top w:val="nil"/>
              <w:left w:val="nil"/>
              <w:bottom w:val="nil"/>
              <w:right w:val="nil"/>
            </w:tcBorders>
          </w:tcPr>
          <w:p w:rsidR="00AF274B" w:rsidRDefault="00AF274B">
            <w:pPr>
              <w:pStyle w:val="GlossaryTableText"/>
            </w:pPr>
            <w:r>
              <w:t>See “leukoreduce.”</w:t>
            </w:r>
          </w:p>
        </w:tc>
      </w:tr>
      <w:tr w:rsidR="00E85C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E85CF4" w:rsidRDefault="00E85CF4" w:rsidP="00AD0B01">
            <w:pPr>
              <w:pStyle w:val="GlossaryTableText"/>
              <w:rPr>
                <w:b/>
                <w:bCs/>
                <w:snapToGrid w:val="0"/>
              </w:rPr>
            </w:pPr>
          </w:p>
          <w:p w:rsidR="00E85CF4" w:rsidRDefault="00E85CF4" w:rsidP="00AD0B01">
            <w:pPr>
              <w:pStyle w:val="GlossaryTableText"/>
              <w:rPr>
                <w:b/>
                <w:bCs/>
                <w:snapToGrid w:val="0"/>
              </w:rPr>
            </w:pPr>
            <w:r>
              <w:rPr>
                <w:b/>
                <w:bCs/>
                <w:snapToGrid w:val="0"/>
              </w:rPr>
              <w:t>Leukoreduce</w:t>
            </w:r>
          </w:p>
        </w:tc>
        <w:tc>
          <w:tcPr>
            <w:tcW w:w="3327" w:type="pct"/>
            <w:tcBorders>
              <w:top w:val="nil"/>
              <w:left w:val="nil"/>
              <w:bottom w:val="nil"/>
              <w:right w:val="nil"/>
            </w:tcBorders>
          </w:tcPr>
          <w:p w:rsidR="00E85CF4" w:rsidRDefault="00E85CF4" w:rsidP="00AD0B01">
            <w:pPr>
              <w:pStyle w:val="GlossaryTableText"/>
            </w:pPr>
            <w:r>
              <w:t>To remove white cells from a cellular product through filtration. The resulting product is considered “leukoreduced” or “leukopoor.”</w:t>
            </w:r>
          </w:p>
        </w:tc>
      </w:tr>
      <w:tr w:rsidR="000318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03186D" w:rsidRDefault="0003186D">
            <w:pPr>
              <w:pStyle w:val="GlossaryTableText"/>
              <w:rPr>
                <w:b/>
                <w:bCs/>
              </w:rPr>
            </w:pPr>
            <w:r>
              <w:rPr>
                <w:b/>
                <w:bCs/>
              </w:rPr>
              <w:t>ListServ</w:t>
            </w:r>
          </w:p>
        </w:tc>
        <w:tc>
          <w:tcPr>
            <w:tcW w:w="3327" w:type="pct"/>
            <w:tcBorders>
              <w:top w:val="nil"/>
              <w:left w:val="nil"/>
              <w:bottom w:val="nil"/>
              <w:right w:val="nil"/>
            </w:tcBorders>
          </w:tcPr>
          <w:p w:rsidR="0003186D" w:rsidRDefault="0003186D">
            <w:pPr>
              <w:pStyle w:val="GlossaryTableText"/>
            </w:pPr>
            <w:r>
              <w:t>A</w:t>
            </w:r>
            <w:r w:rsidRPr="00F05B26">
              <w:t>n email distribution list to manage discussion groups</w:t>
            </w:r>
            <w:r>
              <w:t>.</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LMIP</w:t>
            </w:r>
          </w:p>
        </w:tc>
        <w:tc>
          <w:tcPr>
            <w:tcW w:w="3327" w:type="pct"/>
            <w:tcBorders>
              <w:top w:val="nil"/>
              <w:left w:val="nil"/>
              <w:bottom w:val="nil"/>
              <w:right w:val="nil"/>
            </w:tcBorders>
          </w:tcPr>
          <w:p w:rsidR="00AF274B" w:rsidRDefault="00AF274B">
            <w:pPr>
              <w:pStyle w:val="GlossaryTableText"/>
            </w:pPr>
            <w:r>
              <w:t>Laboratory Management Index Program. Coding system used by the College of American Pathologists (CAP) to describe various procedures performed in a clinical laboratory with the purpose of assisting in calculating productivity.</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rsidP="003004A7">
            <w:pPr>
              <w:pStyle w:val="GlossaryTableText"/>
              <w:rPr>
                <w:b/>
              </w:rPr>
            </w:pPr>
            <w:r>
              <w:rPr>
                <w:b/>
              </w:rPr>
              <w:t>Medical device</w:t>
            </w:r>
          </w:p>
        </w:tc>
        <w:tc>
          <w:tcPr>
            <w:tcW w:w="3327" w:type="pct"/>
            <w:tcBorders>
              <w:top w:val="nil"/>
              <w:left w:val="nil"/>
              <w:bottom w:val="nil"/>
              <w:right w:val="nil"/>
            </w:tcBorders>
          </w:tcPr>
          <w:p w:rsidR="00AF274B" w:rsidRDefault="00142B16" w:rsidP="00142B16">
            <w:pPr>
              <w:pStyle w:val="GlossaryTableText"/>
            </w:pPr>
            <w:r>
              <w:t>An instrument, apparatus, implement, machine, contrivance, implant, in vitro reagent, or other similar or related article, including a component part, or accessory that is intended for use in the diagnosis of disease or other conditions, or in the cure, mitigation, treatment, or prevention of disease.</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Modifier</w:t>
            </w:r>
          </w:p>
        </w:tc>
        <w:tc>
          <w:tcPr>
            <w:tcW w:w="3327" w:type="pct"/>
            <w:tcBorders>
              <w:top w:val="nil"/>
              <w:left w:val="nil"/>
              <w:bottom w:val="nil"/>
              <w:right w:val="nil"/>
            </w:tcBorders>
          </w:tcPr>
          <w:p w:rsidR="00AF274B" w:rsidRDefault="00AF274B">
            <w:pPr>
              <w:pStyle w:val="GlossaryTableText"/>
            </w:pPr>
            <w:r>
              <w:t xml:space="preserve">An ISBT 128 term that describes a characteristic of a donated unit of blood that distinguishes it from other members of the component class. </w:t>
            </w:r>
            <w:r>
              <w:rPr>
                <w:i/>
              </w:rPr>
              <w:t>The VBECS application is concerned with the modifiers “Washed,” “Thawed,” “Liquid,” “Frozen,” “Rejuvenated,” and “Deglycerolized.”</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rsidP="005957FF">
            <w:pPr>
              <w:pStyle w:val="GlossaryTableText"/>
              <w:rPr>
                <w:b/>
                <w:bCs/>
              </w:rPr>
            </w:pPr>
            <w:r>
              <w:rPr>
                <w:b/>
                <w:bCs/>
              </w:rPr>
              <w:t>Modifier (order)</w:t>
            </w:r>
          </w:p>
        </w:tc>
        <w:tc>
          <w:tcPr>
            <w:tcW w:w="3327" w:type="pct"/>
            <w:tcBorders>
              <w:top w:val="nil"/>
              <w:left w:val="nil"/>
              <w:bottom w:val="nil"/>
              <w:right w:val="nil"/>
            </w:tcBorders>
          </w:tcPr>
          <w:p w:rsidR="00AF274B" w:rsidRDefault="00AF274B" w:rsidP="005957FF">
            <w:pPr>
              <w:pStyle w:val="GlossaryTableText"/>
            </w:pPr>
            <w:r>
              <w:t xml:space="preserve">Component requirements associated with a specific component order. </w:t>
            </w:r>
            <w:r>
              <w:rPr>
                <w:i/>
              </w:rPr>
              <w:t>Example: a component order where red blood cells must be leukoreduced. When a component order is accompanied by special requirements, units issued for transfusion must meet specific criteria that translate into “Modifiers” or “Attributes” in ISBT 128.</w:t>
            </w:r>
            <w:r>
              <w:t xml:space="preserve"> </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MSBOS</w:t>
            </w:r>
          </w:p>
        </w:tc>
        <w:tc>
          <w:tcPr>
            <w:tcW w:w="3327" w:type="pct"/>
            <w:tcBorders>
              <w:top w:val="nil"/>
              <w:left w:val="nil"/>
              <w:bottom w:val="nil"/>
              <w:right w:val="nil"/>
            </w:tcBorders>
          </w:tcPr>
          <w:p w:rsidR="00AF274B" w:rsidRDefault="00AF274B">
            <w:pPr>
              <w:pStyle w:val="GlossaryTableText"/>
            </w:pPr>
            <w:r>
              <w:t xml:space="preserve">Maximum Surgical Blood Ordering Schedule. The appropriate number of specific blood components to be ordered for selected surgeries at a facility. </w:t>
            </w:r>
            <w:r>
              <w:rPr>
                <w:i/>
              </w:rPr>
              <w:t>Preoperative blood component orders are compared with this list and details of orders falling outside of these established criteria are recorded and reportable.</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Multidivisional database</w:t>
            </w:r>
          </w:p>
        </w:tc>
        <w:tc>
          <w:tcPr>
            <w:tcW w:w="3327" w:type="pct"/>
            <w:tcBorders>
              <w:top w:val="nil"/>
              <w:left w:val="nil"/>
              <w:bottom w:val="nil"/>
              <w:right w:val="nil"/>
            </w:tcBorders>
          </w:tcPr>
          <w:p w:rsidR="00AF274B" w:rsidRDefault="00AF274B">
            <w:pPr>
              <w:pStyle w:val="GlossaryTableText"/>
            </w:pPr>
            <w:r>
              <w:t>More than one separate transfusion services share a database.</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lastRenderedPageBreak/>
              <w:t>Negative control</w:t>
            </w:r>
          </w:p>
        </w:tc>
        <w:tc>
          <w:tcPr>
            <w:tcW w:w="3327" w:type="pct"/>
            <w:tcBorders>
              <w:top w:val="nil"/>
              <w:left w:val="nil"/>
              <w:bottom w:val="nil"/>
              <w:right w:val="nil"/>
            </w:tcBorders>
          </w:tcPr>
          <w:p w:rsidR="00AF274B" w:rsidRDefault="00AF274B">
            <w:pPr>
              <w:pStyle w:val="GlossaryTableText"/>
            </w:pPr>
            <w:r>
              <w:t>The negative control cell is known to lack the antigen the antiserum type is to detect. This cell should demonstrate negative serologic reaction, and, therefore, have a valid negative interpretation.</w:t>
            </w:r>
          </w:p>
          <w:p w:rsidR="00AF274B" w:rsidRDefault="00AF274B">
            <w:pPr>
              <w:pStyle w:val="GlossaryTableText"/>
            </w:pPr>
            <w:r>
              <w:t>The positive and negative control cells must demonstrate a valid positive or negative set of serologic reactions and interpretations for the test of the unit or patient to be considered valid, regardless of the row validation of the unit test itself. (See “Positive control.”</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NFT</w:t>
            </w:r>
          </w:p>
        </w:tc>
        <w:tc>
          <w:tcPr>
            <w:tcW w:w="3327" w:type="pct"/>
            <w:tcBorders>
              <w:top w:val="nil"/>
              <w:left w:val="nil"/>
              <w:bottom w:val="nil"/>
              <w:right w:val="nil"/>
            </w:tcBorders>
          </w:tcPr>
          <w:p w:rsidR="00AF274B" w:rsidRDefault="00AF274B">
            <w:pPr>
              <w:pStyle w:val="GlossaryTableText"/>
              <w:rPr>
                <w:b/>
              </w:rPr>
            </w:pPr>
            <w:r>
              <w:t>Not fully tested.</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NLT</w:t>
            </w:r>
          </w:p>
        </w:tc>
        <w:tc>
          <w:tcPr>
            <w:tcW w:w="3327" w:type="pct"/>
            <w:tcBorders>
              <w:top w:val="nil"/>
              <w:left w:val="nil"/>
              <w:bottom w:val="nil"/>
              <w:right w:val="nil"/>
            </w:tcBorders>
          </w:tcPr>
          <w:p w:rsidR="00AF274B" w:rsidRDefault="00AF274B">
            <w:pPr>
              <w:pStyle w:val="GlossaryTableText"/>
            </w:pPr>
            <w:r>
              <w:t xml:space="preserve">National Laboratory Test code. Coding schema used by the </w:t>
            </w:r>
            <w:r w:rsidRPr="00CA6E27">
              <w:rPr>
                <w:bCs/>
              </w:rPr>
              <w:t>VistA</w:t>
            </w:r>
            <w:r>
              <w:t xml:space="preserve"> Laboratory software to assign numeric </w:t>
            </w:r>
            <w:r>
              <w:rPr>
                <w:color w:val="000000"/>
              </w:rPr>
              <w:t>identifier</w:t>
            </w:r>
            <w:r>
              <w:t xml:space="preserve"> code to specific tests. Also known as Workload Code (WKLD CODE).</w:t>
            </w:r>
          </w:p>
        </w:tc>
      </w:tr>
      <w:tr w:rsidR="00C84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C84BC5" w:rsidRPr="00C84BC5" w:rsidRDefault="00C84BC5">
            <w:pPr>
              <w:pStyle w:val="GlossaryTableText"/>
              <w:rPr>
                <w:b/>
                <w:bCs/>
              </w:rPr>
            </w:pPr>
            <w:r w:rsidRPr="0003186D">
              <w:rPr>
                <w:b/>
                <w:bCs/>
              </w:rPr>
              <w:t>OI NT&amp;EO</w:t>
            </w:r>
          </w:p>
        </w:tc>
        <w:tc>
          <w:tcPr>
            <w:tcW w:w="3327" w:type="pct"/>
            <w:tcBorders>
              <w:top w:val="nil"/>
              <w:left w:val="nil"/>
              <w:bottom w:val="nil"/>
              <w:right w:val="nil"/>
            </w:tcBorders>
          </w:tcPr>
          <w:p w:rsidR="00C84BC5" w:rsidRDefault="00C84BC5">
            <w:pPr>
              <w:pStyle w:val="GlossaryTableText"/>
            </w:pPr>
            <w:r w:rsidRPr="0003186D">
              <w:t>Office of Information National Training and Education Office.</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Order</w:t>
            </w:r>
          </w:p>
        </w:tc>
        <w:tc>
          <w:tcPr>
            <w:tcW w:w="3327" w:type="pct"/>
            <w:tcBorders>
              <w:top w:val="nil"/>
              <w:left w:val="nil"/>
              <w:bottom w:val="nil"/>
              <w:right w:val="nil"/>
            </w:tcBorders>
          </w:tcPr>
          <w:p w:rsidR="00AF274B" w:rsidRDefault="00AF274B">
            <w:pPr>
              <w:pStyle w:val="GlossaryTableText"/>
            </w:pPr>
            <w:r>
              <w:t xml:space="preserve">Request for a service. </w:t>
            </w:r>
            <w:r>
              <w:rPr>
                <w:i/>
              </w:rPr>
              <w:t>The request may specify when the order is to be completed, e.g., immediately (STAT). VBECS acts on the order when it has been “accessioned.”</w:t>
            </w:r>
          </w:p>
        </w:tc>
      </w:tr>
      <w:tr w:rsidR="001A15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1A1559" w:rsidRDefault="001A1559">
            <w:pPr>
              <w:pStyle w:val="GlossaryTableText"/>
              <w:rPr>
                <w:b/>
                <w:bCs/>
              </w:rPr>
            </w:pPr>
            <w:r>
              <w:rPr>
                <w:b/>
                <w:bCs/>
              </w:rPr>
              <w:t>Original unit</w:t>
            </w:r>
          </w:p>
        </w:tc>
        <w:tc>
          <w:tcPr>
            <w:tcW w:w="3327" w:type="pct"/>
            <w:tcBorders>
              <w:top w:val="nil"/>
              <w:left w:val="nil"/>
              <w:bottom w:val="nil"/>
              <w:right w:val="nil"/>
            </w:tcBorders>
          </w:tcPr>
          <w:p w:rsidR="001A1559" w:rsidRDefault="001A1559">
            <w:pPr>
              <w:pStyle w:val="GlossaryTableText"/>
            </w:pPr>
            <w:r>
              <w:rPr>
                <w:snapToGrid w:val="0"/>
              </w:rPr>
              <w:t xml:space="preserve">A unit </w:t>
            </w:r>
            <w:r w:rsidR="004974ED">
              <w:rPr>
                <w:snapToGrid w:val="0"/>
              </w:rPr>
              <w:t>before modification</w:t>
            </w:r>
            <w:r>
              <w:rPr>
                <w:snapToGrid w:val="0"/>
              </w:rPr>
              <w:t>.</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Outdated</w:t>
            </w:r>
          </w:p>
        </w:tc>
        <w:tc>
          <w:tcPr>
            <w:tcW w:w="3327" w:type="pct"/>
            <w:tcBorders>
              <w:top w:val="nil"/>
              <w:left w:val="nil"/>
              <w:bottom w:val="nil"/>
              <w:right w:val="nil"/>
            </w:tcBorders>
          </w:tcPr>
          <w:p w:rsidR="00AF274B" w:rsidRDefault="00AF274B">
            <w:pPr>
              <w:pStyle w:val="GlossaryTableText"/>
            </w:pPr>
            <w:r>
              <w:t xml:space="preserve">Describes the state of a unit of blood that has passed the expiration date/time. </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Patch</w:t>
            </w:r>
          </w:p>
        </w:tc>
        <w:tc>
          <w:tcPr>
            <w:tcW w:w="3327" w:type="pct"/>
            <w:tcBorders>
              <w:top w:val="nil"/>
              <w:left w:val="nil"/>
              <w:bottom w:val="nil"/>
              <w:right w:val="nil"/>
            </w:tcBorders>
          </w:tcPr>
          <w:p w:rsidR="00AF274B" w:rsidRDefault="00AF274B">
            <w:pPr>
              <w:pStyle w:val="GlossaryTableText"/>
            </w:pPr>
            <w:r>
              <w:rPr>
                <w:color w:val="000000"/>
              </w:rPr>
              <w:t>Software developed and released to correct a defect, or change or enhance existing functionality; usually a modified subset or small addition to existing software.</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snapToGrid w:val="0"/>
              </w:rPr>
              <w:t>Patient care encounter (PCE)</w:t>
            </w:r>
          </w:p>
        </w:tc>
        <w:tc>
          <w:tcPr>
            <w:tcW w:w="3327" w:type="pct"/>
            <w:tcBorders>
              <w:top w:val="nil"/>
              <w:left w:val="nil"/>
              <w:bottom w:val="nil"/>
              <w:right w:val="nil"/>
            </w:tcBorders>
          </w:tcPr>
          <w:p w:rsidR="00AF274B" w:rsidRDefault="00AF274B">
            <w:pPr>
              <w:pStyle w:val="GlossaryTableText"/>
              <w:rPr>
                <w:snapToGrid w:val="0"/>
              </w:rPr>
            </w:pPr>
            <w:r>
              <w:rPr>
                <w:snapToGrid w:val="0"/>
              </w:rPr>
              <w:t>A contact with a patient documented in the patient’s record.</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PCE</w:t>
            </w:r>
          </w:p>
        </w:tc>
        <w:tc>
          <w:tcPr>
            <w:tcW w:w="3327" w:type="pct"/>
            <w:tcBorders>
              <w:top w:val="nil"/>
              <w:left w:val="nil"/>
              <w:bottom w:val="nil"/>
              <w:right w:val="nil"/>
            </w:tcBorders>
          </w:tcPr>
          <w:p w:rsidR="00AF274B" w:rsidRDefault="00AF274B">
            <w:pPr>
              <w:pStyle w:val="GlossaryTableText"/>
            </w:pPr>
            <w:r>
              <w:t>Patient care encounter.</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snapToGrid w:val="0"/>
              </w:rPr>
              <w:t>Pending Order List (POL)</w:t>
            </w:r>
          </w:p>
        </w:tc>
        <w:tc>
          <w:tcPr>
            <w:tcW w:w="3327" w:type="pct"/>
            <w:tcBorders>
              <w:top w:val="nil"/>
              <w:left w:val="nil"/>
              <w:bottom w:val="nil"/>
              <w:right w:val="nil"/>
            </w:tcBorders>
          </w:tcPr>
          <w:p w:rsidR="00AF274B" w:rsidRDefault="00AF274B">
            <w:pPr>
              <w:pStyle w:val="GlossaryTableText"/>
              <w:rPr>
                <w:snapToGrid w:val="0"/>
              </w:rPr>
            </w:pPr>
            <w:r>
              <w:rPr>
                <w:snapToGrid w:val="0"/>
              </w:rPr>
              <w:t>A list of orders transmitted from CPRS waiting to be processed.</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snapToGrid w:val="0"/>
              </w:rPr>
              <w:t>Pending Task List (PTL)</w:t>
            </w:r>
          </w:p>
        </w:tc>
        <w:tc>
          <w:tcPr>
            <w:tcW w:w="3327" w:type="pct"/>
            <w:tcBorders>
              <w:top w:val="nil"/>
              <w:left w:val="nil"/>
              <w:bottom w:val="nil"/>
              <w:right w:val="nil"/>
            </w:tcBorders>
          </w:tcPr>
          <w:p w:rsidR="00AF274B" w:rsidRDefault="00AF274B">
            <w:pPr>
              <w:pStyle w:val="GlossaryTableText"/>
              <w:rPr>
                <w:snapToGrid w:val="0"/>
              </w:rPr>
            </w:pPr>
            <w:r>
              <w:t>A list of tasks to be processed in the blood bank.</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Phenotype</w:t>
            </w:r>
          </w:p>
        </w:tc>
        <w:tc>
          <w:tcPr>
            <w:tcW w:w="3327" w:type="pct"/>
            <w:tcBorders>
              <w:top w:val="nil"/>
              <w:left w:val="nil"/>
              <w:bottom w:val="nil"/>
              <w:right w:val="nil"/>
            </w:tcBorders>
          </w:tcPr>
          <w:p w:rsidR="00AF274B" w:rsidRDefault="00AF274B">
            <w:pPr>
              <w:pStyle w:val="GlossaryTableText"/>
            </w:pPr>
            <w:r>
              <w:t>Describes the presence or absence of specific antigens.</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Phenotyping</w:t>
            </w:r>
          </w:p>
        </w:tc>
        <w:tc>
          <w:tcPr>
            <w:tcW w:w="3327" w:type="pct"/>
            <w:tcBorders>
              <w:top w:val="nil"/>
              <w:left w:val="nil"/>
              <w:bottom w:val="nil"/>
              <w:right w:val="nil"/>
            </w:tcBorders>
          </w:tcPr>
          <w:p w:rsidR="00AF274B" w:rsidRDefault="00AF274B">
            <w:pPr>
              <w:pStyle w:val="GlossaryTableText"/>
            </w:pPr>
            <w:r>
              <w:t>Testing for the presence or absence of specific antigens. See “Antigen typing.”</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snapToGrid w:val="0"/>
              </w:rPr>
              <w:t>Pick list</w:t>
            </w:r>
          </w:p>
        </w:tc>
        <w:tc>
          <w:tcPr>
            <w:tcW w:w="3327" w:type="pct"/>
            <w:tcBorders>
              <w:top w:val="nil"/>
              <w:left w:val="nil"/>
              <w:bottom w:val="nil"/>
              <w:right w:val="nil"/>
            </w:tcBorders>
          </w:tcPr>
          <w:p w:rsidR="00AF274B" w:rsidRDefault="00AF274B">
            <w:pPr>
              <w:pStyle w:val="GlossaryTableText"/>
              <w:rPr>
                <w:snapToGrid w:val="0"/>
              </w:rPr>
            </w:pPr>
            <w:r>
              <w:rPr>
                <w:snapToGrid w:val="0"/>
              </w:rPr>
              <w:t>A system-generated list that allows a user to select one or more entries.</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snapToGrid w:val="0"/>
              </w:rPr>
              <w:t>POL</w:t>
            </w:r>
          </w:p>
        </w:tc>
        <w:tc>
          <w:tcPr>
            <w:tcW w:w="3327" w:type="pct"/>
            <w:tcBorders>
              <w:top w:val="nil"/>
              <w:left w:val="nil"/>
              <w:bottom w:val="nil"/>
              <w:right w:val="nil"/>
            </w:tcBorders>
          </w:tcPr>
          <w:p w:rsidR="00AF274B" w:rsidRDefault="00AF274B">
            <w:pPr>
              <w:pStyle w:val="GlossaryTableText"/>
              <w:rPr>
                <w:snapToGrid w:val="0"/>
              </w:rPr>
            </w:pPr>
            <w:r>
              <w:rPr>
                <w:snapToGrid w:val="0"/>
              </w:rPr>
              <w:t>Pending Order List.</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Pool</w:t>
            </w:r>
          </w:p>
        </w:tc>
        <w:tc>
          <w:tcPr>
            <w:tcW w:w="3327" w:type="pct"/>
            <w:tcBorders>
              <w:top w:val="nil"/>
              <w:left w:val="nil"/>
              <w:bottom w:val="nil"/>
              <w:right w:val="nil"/>
            </w:tcBorders>
          </w:tcPr>
          <w:p w:rsidR="008A6FC3" w:rsidRPr="008A6FC3" w:rsidRDefault="008A6FC3" w:rsidP="008A6FC3">
            <w:pPr>
              <w:pStyle w:val="GlossaryTableText"/>
            </w:pPr>
            <w:r>
              <w:t>A blood product from many donors stored for later use.</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Positive control</w:t>
            </w:r>
          </w:p>
        </w:tc>
        <w:tc>
          <w:tcPr>
            <w:tcW w:w="3327" w:type="pct"/>
            <w:tcBorders>
              <w:top w:val="nil"/>
              <w:left w:val="nil"/>
              <w:bottom w:val="nil"/>
              <w:right w:val="nil"/>
            </w:tcBorders>
          </w:tcPr>
          <w:p w:rsidR="00AF274B" w:rsidRDefault="00AF274B">
            <w:pPr>
              <w:pStyle w:val="GlossaryTableText"/>
            </w:pPr>
            <w:r>
              <w:t xml:space="preserve">The positive control cell is known to have the antigen that the reagent antiserum type is to detect. This cell should demonstrate positive serologic reaction and, therefore, have a valid positive interpretation. </w:t>
            </w:r>
          </w:p>
          <w:p w:rsidR="00AF274B" w:rsidRDefault="00AF274B">
            <w:pPr>
              <w:pStyle w:val="GlossaryTableText"/>
            </w:pPr>
            <w:r>
              <w:t>The positive and negative control cells must demonstrate a valid positive or negative set of serologic reactions and interpretations for the test of the unit or patient to be considered valid, regardless of the row validation of the unit test itself. (See “Negative control.”)</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Potential hazard</w:t>
            </w:r>
          </w:p>
        </w:tc>
        <w:tc>
          <w:tcPr>
            <w:tcW w:w="3327" w:type="pct"/>
            <w:tcBorders>
              <w:top w:val="nil"/>
              <w:left w:val="nil"/>
              <w:bottom w:val="nil"/>
              <w:right w:val="nil"/>
            </w:tcBorders>
          </w:tcPr>
          <w:p w:rsidR="00AF274B" w:rsidRDefault="00AF274B">
            <w:pPr>
              <w:pStyle w:val="GlossaryTableText"/>
            </w:pPr>
            <w:r>
              <w:t>An event that compromises the safety of the patient or blood supply.</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Pre-transfusion testing</w:t>
            </w:r>
          </w:p>
        </w:tc>
        <w:tc>
          <w:tcPr>
            <w:tcW w:w="3327" w:type="pct"/>
            <w:tcBorders>
              <w:top w:val="nil"/>
              <w:left w:val="nil"/>
              <w:bottom w:val="nil"/>
              <w:right w:val="nil"/>
            </w:tcBorders>
          </w:tcPr>
          <w:p w:rsidR="00AF274B" w:rsidRDefault="00AF274B">
            <w:pPr>
              <w:pStyle w:val="GlossaryTableText"/>
            </w:pPr>
            <w:r>
              <w:t>A group of tests, including ABO/Rh and an antibody screen, that must be performed on a sample of blood prior to crossmatching red cells for transfusion.</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Product</w:t>
            </w:r>
          </w:p>
        </w:tc>
        <w:tc>
          <w:tcPr>
            <w:tcW w:w="3327" w:type="pct"/>
            <w:tcBorders>
              <w:top w:val="nil"/>
              <w:left w:val="nil"/>
              <w:bottom w:val="nil"/>
              <w:right w:val="nil"/>
            </w:tcBorders>
          </w:tcPr>
          <w:p w:rsidR="00AF274B" w:rsidRDefault="00AF274B">
            <w:pPr>
              <w:pStyle w:val="GlossaryTableText"/>
            </w:pPr>
            <w:r>
              <w:t>Components, manufacturing materials, in-process devices, finished devices, and returned devices.</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lastRenderedPageBreak/>
              <w:t>Product type</w:t>
            </w:r>
          </w:p>
        </w:tc>
        <w:tc>
          <w:tcPr>
            <w:tcW w:w="3327" w:type="pct"/>
            <w:tcBorders>
              <w:top w:val="nil"/>
              <w:left w:val="nil"/>
              <w:bottom w:val="nil"/>
              <w:right w:val="nil"/>
            </w:tcBorders>
          </w:tcPr>
          <w:p w:rsidR="00AF274B" w:rsidRDefault="00AF274B">
            <w:pPr>
              <w:pStyle w:val="GlossaryTableText"/>
            </w:pPr>
            <w:r>
              <w:t>See “Component class.”</w:t>
            </w:r>
          </w:p>
        </w:tc>
      </w:tr>
      <w:tr w:rsidR="00542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542729" w:rsidRDefault="00542729">
            <w:pPr>
              <w:pStyle w:val="GlossaryTableText"/>
              <w:rPr>
                <w:b/>
                <w:bCs/>
              </w:rPr>
            </w:pPr>
            <w:r>
              <w:rPr>
                <w:b/>
                <w:bCs/>
              </w:rPr>
              <w:t>Presumed transfused</w:t>
            </w:r>
          </w:p>
        </w:tc>
        <w:tc>
          <w:tcPr>
            <w:tcW w:w="3327" w:type="pct"/>
            <w:tcBorders>
              <w:top w:val="nil"/>
              <w:left w:val="nil"/>
              <w:bottom w:val="nil"/>
              <w:right w:val="nil"/>
            </w:tcBorders>
          </w:tcPr>
          <w:p w:rsidR="00542729" w:rsidRDefault="00542729">
            <w:pPr>
              <w:pStyle w:val="GlossaryTableText"/>
            </w:pPr>
            <w:r>
              <w:t>Unit status that VBECS assigns 48 hours after issue of a bl</w:t>
            </w:r>
            <w:r w:rsidR="006B7AA9">
              <w:t>ood product.</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QC</w:t>
            </w:r>
          </w:p>
        </w:tc>
        <w:tc>
          <w:tcPr>
            <w:tcW w:w="3327" w:type="pct"/>
            <w:tcBorders>
              <w:top w:val="nil"/>
              <w:left w:val="nil"/>
              <w:bottom w:val="nil"/>
              <w:right w:val="nil"/>
            </w:tcBorders>
          </w:tcPr>
          <w:p w:rsidR="00AF274B" w:rsidRDefault="00AF274B">
            <w:pPr>
              <w:pStyle w:val="GlossaryTableText"/>
            </w:pPr>
            <w:r>
              <w:t xml:space="preserve">Quality control. Testing routinely performed to ensure the proper functioning of materials, equipment, and methods. </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Quality</w:t>
            </w:r>
          </w:p>
        </w:tc>
        <w:tc>
          <w:tcPr>
            <w:tcW w:w="3327" w:type="pct"/>
            <w:tcBorders>
              <w:top w:val="nil"/>
              <w:left w:val="nil"/>
              <w:bottom w:val="nil"/>
              <w:right w:val="nil"/>
            </w:tcBorders>
          </w:tcPr>
          <w:p w:rsidR="00AF274B" w:rsidRDefault="00AF274B">
            <w:pPr>
              <w:pStyle w:val="GlossaryTableText"/>
            </w:pPr>
            <w:r>
              <w:t>The totality of features and characteristics that affect the ability of a device to satisfy fitness-for-use, including safety and performance.</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Reagent rack (also “rack”)</w:t>
            </w:r>
          </w:p>
        </w:tc>
        <w:tc>
          <w:tcPr>
            <w:tcW w:w="3327" w:type="pct"/>
            <w:tcBorders>
              <w:top w:val="nil"/>
              <w:left w:val="nil"/>
              <w:bottom w:val="nil"/>
              <w:right w:val="nil"/>
            </w:tcBorders>
          </w:tcPr>
          <w:p w:rsidR="00AF274B" w:rsidRDefault="00AF274B">
            <w:pPr>
              <w:pStyle w:val="GlossaryTableText"/>
            </w:pPr>
            <w:r>
              <w:t>A group of reagents used in routine blood bank testing.</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Reagent red blood cells</w:t>
            </w:r>
          </w:p>
        </w:tc>
        <w:tc>
          <w:tcPr>
            <w:tcW w:w="3327" w:type="pct"/>
            <w:tcBorders>
              <w:top w:val="nil"/>
              <w:left w:val="nil"/>
              <w:bottom w:val="nil"/>
              <w:right w:val="nil"/>
            </w:tcBorders>
          </w:tcPr>
          <w:p w:rsidR="00AF274B" w:rsidRDefault="00AF274B">
            <w:pPr>
              <w:pStyle w:val="GlossaryTableText"/>
            </w:pPr>
            <w:r>
              <w:t>Non-patient testing materials, usually from a commercial source.</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Reflex order</w:t>
            </w:r>
          </w:p>
        </w:tc>
        <w:tc>
          <w:tcPr>
            <w:tcW w:w="3327" w:type="pct"/>
            <w:tcBorders>
              <w:top w:val="nil"/>
              <w:left w:val="nil"/>
              <w:bottom w:val="nil"/>
              <w:right w:val="nil"/>
            </w:tcBorders>
          </w:tcPr>
          <w:p w:rsidR="00AF274B" w:rsidRDefault="00AF274B">
            <w:pPr>
              <w:pStyle w:val="GlossaryTableText"/>
            </w:pPr>
            <w:r>
              <w:t>An order for additional testing to be performed resulting from observations of previous testing.</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Reflex test</w:t>
            </w:r>
          </w:p>
        </w:tc>
        <w:tc>
          <w:tcPr>
            <w:tcW w:w="3327" w:type="pct"/>
            <w:tcBorders>
              <w:top w:val="nil"/>
              <w:left w:val="nil"/>
              <w:bottom w:val="nil"/>
              <w:right w:val="nil"/>
            </w:tcBorders>
          </w:tcPr>
          <w:p w:rsidR="00AF274B" w:rsidRDefault="00AF274B">
            <w:pPr>
              <w:pStyle w:val="GlossaryTableText"/>
            </w:pPr>
            <w:r>
              <w:t>A laboratory test not ordered by a physician but performed in response to results of other laboratory tests.</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Remedy</w:t>
            </w:r>
          </w:p>
        </w:tc>
        <w:tc>
          <w:tcPr>
            <w:tcW w:w="3327" w:type="pct"/>
            <w:tcBorders>
              <w:top w:val="nil"/>
              <w:left w:val="nil"/>
              <w:bottom w:val="nil"/>
              <w:right w:val="nil"/>
            </w:tcBorders>
          </w:tcPr>
          <w:p w:rsidR="00AF274B" w:rsidRDefault="00AF274B">
            <w:pPr>
              <w:pStyle w:val="GlossaryTableText"/>
            </w:pPr>
            <w:r>
              <w:t xml:space="preserve">A computer application for reporting, logging, and tracking problems associated with the daily operation of computer systems within </w:t>
            </w:r>
            <w:r w:rsidRPr="00CA6E27">
              <w:rPr>
                <w:bCs/>
              </w:rPr>
              <w:t>VistA</w:t>
            </w:r>
            <w:r>
              <w:t>.</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snapToGrid w:val="0"/>
              </w:rPr>
              <w:t>Rh (also “Rh factor”)</w:t>
            </w:r>
          </w:p>
        </w:tc>
        <w:tc>
          <w:tcPr>
            <w:tcW w:w="3327" w:type="pct"/>
            <w:tcBorders>
              <w:top w:val="nil"/>
              <w:left w:val="nil"/>
              <w:bottom w:val="nil"/>
              <w:right w:val="nil"/>
            </w:tcBorders>
          </w:tcPr>
          <w:p w:rsidR="00AF274B" w:rsidRDefault="00AF274B">
            <w:pPr>
              <w:pStyle w:val="GlossaryTableText"/>
              <w:rPr>
                <w:snapToGrid w:val="0"/>
              </w:rPr>
            </w:pPr>
            <w:r>
              <w:rPr>
                <w:snapToGrid w:val="0"/>
              </w:rPr>
              <w:t xml:space="preserve">Rhesus factor. </w:t>
            </w:r>
            <w:r>
              <w:t>The major antigen of the Rh system. Also “D.”</w:t>
            </w:r>
            <w:r>
              <w:rPr>
                <w:i/>
              </w:rPr>
              <w:t xml:space="preserve"> The presence of this antigen on red blood cells determines if a patient or donor is Rh Pos or Rh Neg. A weak expression of the D antigen, referred to as “Du” or “weak D,” may require additional testing to determine its presence.</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snapToGrid w:val="0"/>
              </w:rPr>
              <w:t>SC</w:t>
            </w:r>
          </w:p>
        </w:tc>
        <w:tc>
          <w:tcPr>
            <w:tcW w:w="3327" w:type="pct"/>
            <w:tcBorders>
              <w:top w:val="nil"/>
              <w:left w:val="nil"/>
              <w:bottom w:val="nil"/>
              <w:right w:val="nil"/>
            </w:tcBorders>
          </w:tcPr>
          <w:p w:rsidR="00AF274B" w:rsidRDefault="00AF274B">
            <w:pPr>
              <w:pStyle w:val="GlossaryTableText"/>
              <w:rPr>
                <w:snapToGrid w:val="0"/>
              </w:rPr>
            </w:pPr>
            <w:r>
              <w:rPr>
                <w:snapToGrid w:val="0"/>
              </w:rPr>
              <w:t>Screening cells.</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snapToGrid w:val="0"/>
              </w:rPr>
              <w:t>SCD</w:t>
            </w:r>
          </w:p>
        </w:tc>
        <w:tc>
          <w:tcPr>
            <w:tcW w:w="3327" w:type="pct"/>
            <w:tcBorders>
              <w:top w:val="nil"/>
              <w:left w:val="nil"/>
              <w:bottom w:val="nil"/>
              <w:right w:val="nil"/>
            </w:tcBorders>
          </w:tcPr>
          <w:p w:rsidR="00AF274B" w:rsidRDefault="00AF274B">
            <w:pPr>
              <w:pStyle w:val="GlossaryTableText"/>
              <w:rPr>
                <w:snapToGrid w:val="0"/>
              </w:rPr>
            </w:pPr>
            <w:r>
              <w:rPr>
                <w:snapToGrid w:val="0"/>
              </w:rPr>
              <w:t>Sterile connection device.</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snapToGrid w:val="0"/>
              </w:rPr>
              <w:t>Screening cell (SC)</w:t>
            </w:r>
          </w:p>
        </w:tc>
        <w:tc>
          <w:tcPr>
            <w:tcW w:w="3327" w:type="pct"/>
            <w:tcBorders>
              <w:top w:val="nil"/>
              <w:left w:val="nil"/>
              <w:bottom w:val="nil"/>
              <w:right w:val="nil"/>
            </w:tcBorders>
          </w:tcPr>
          <w:p w:rsidR="00AF274B" w:rsidRDefault="00AF274B">
            <w:pPr>
              <w:pStyle w:val="GlossaryTableText"/>
              <w:rPr>
                <w:snapToGrid w:val="0"/>
              </w:rPr>
            </w:pPr>
            <w:r>
              <w:rPr>
                <w:snapToGrid w:val="0"/>
              </w:rPr>
              <w:t>Antigenically defined cells used to detect alloantibodies.</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Selected</w:t>
            </w:r>
          </w:p>
        </w:tc>
        <w:tc>
          <w:tcPr>
            <w:tcW w:w="3327" w:type="pct"/>
            <w:tcBorders>
              <w:top w:val="nil"/>
              <w:left w:val="nil"/>
              <w:bottom w:val="nil"/>
              <w:right w:val="nil"/>
            </w:tcBorders>
          </w:tcPr>
          <w:p w:rsidR="00AF274B" w:rsidRDefault="00AF274B">
            <w:pPr>
              <w:pStyle w:val="GlossaryTableText"/>
            </w:pPr>
            <w:r>
              <w:t xml:space="preserve">Status of a unit of red cells when the blood bank technician selects it from available inventory to be crossmatched with a patient specimen. </w:t>
            </w:r>
            <w:r>
              <w:rPr>
                <w:i/>
              </w:rPr>
              <w:t>A unit in “selected” state is not available to be issued for transfusion. By entering a crossmatch result of “compatible,” the state changes from “selected” to “assigned.”</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snapToGrid w:val="0"/>
              </w:rPr>
              <w:t>Serologic crossmatch</w:t>
            </w:r>
          </w:p>
        </w:tc>
        <w:tc>
          <w:tcPr>
            <w:tcW w:w="3327" w:type="pct"/>
            <w:tcBorders>
              <w:top w:val="nil"/>
              <w:left w:val="nil"/>
              <w:bottom w:val="nil"/>
              <w:right w:val="nil"/>
            </w:tcBorders>
          </w:tcPr>
          <w:p w:rsidR="00AF274B" w:rsidRDefault="00AF274B">
            <w:pPr>
              <w:pStyle w:val="GlossaryTableText"/>
              <w:rPr>
                <w:b/>
              </w:rPr>
            </w:pPr>
            <w:r>
              <w:rPr>
                <w:snapToGrid w:val="0"/>
              </w:rPr>
              <w:t>Performance of a laboratory test to predict post-transfusion survival of transfused blood.</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Serum</w:t>
            </w:r>
          </w:p>
        </w:tc>
        <w:tc>
          <w:tcPr>
            <w:tcW w:w="3327" w:type="pct"/>
            <w:tcBorders>
              <w:top w:val="nil"/>
              <w:left w:val="nil"/>
              <w:bottom w:val="nil"/>
              <w:right w:val="nil"/>
            </w:tcBorders>
          </w:tcPr>
          <w:p w:rsidR="00AF274B" w:rsidRDefault="00AF274B">
            <w:pPr>
              <w:pStyle w:val="GlossaryTableText"/>
            </w:pPr>
            <w:r>
              <w:t>The liquid portion of blood used to detect antibodies.</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Server</w:t>
            </w:r>
          </w:p>
        </w:tc>
        <w:tc>
          <w:tcPr>
            <w:tcW w:w="3327" w:type="pct"/>
            <w:tcBorders>
              <w:top w:val="nil"/>
              <w:left w:val="nil"/>
              <w:bottom w:val="nil"/>
              <w:right w:val="nil"/>
            </w:tcBorders>
          </w:tcPr>
          <w:p w:rsidR="00AF274B" w:rsidRDefault="00AF274B">
            <w:pPr>
              <w:pStyle w:val="GlossaryTableText"/>
            </w:pPr>
            <w:r>
              <w:t>A computer system in a network shared by multiple users.</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SF 518 equivalent</w:t>
            </w:r>
          </w:p>
        </w:tc>
        <w:tc>
          <w:tcPr>
            <w:tcW w:w="3327" w:type="pct"/>
            <w:tcBorders>
              <w:top w:val="nil"/>
              <w:left w:val="nil"/>
              <w:bottom w:val="nil"/>
              <w:right w:val="nil"/>
            </w:tcBorders>
          </w:tcPr>
          <w:p w:rsidR="00AF274B" w:rsidRDefault="00AF274B">
            <w:pPr>
              <w:pStyle w:val="GlossaryTableText"/>
            </w:pPr>
            <w:r>
              <w:t>See “Blood Transfusion Reaction Form.”</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Site (see also “Facility”)</w:t>
            </w:r>
          </w:p>
        </w:tc>
        <w:tc>
          <w:tcPr>
            <w:tcW w:w="3327" w:type="pct"/>
            <w:tcBorders>
              <w:top w:val="nil"/>
              <w:left w:val="nil"/>
              <w:bottom w:val="nil"/>
              <w:right w:val="nil"/>
            </w:tcBorders>
          </w:tcPr>
          <w:p w:rsidR="00AF274B" w:rsidRDefault="00AF274B">
            <w:pPr>
              <w:pStyle w:val="GlossaryTableText"/>
            </w:pPr>
            <w:r>
              <w:t>A blood bank laboratory where a blood unit is located.</w:t>
            </w:r>
          </w:p>
        </w:tc>
      </w:tr>
      <w:tr w:rsidR="001A15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1A1559" w:rsidRDefault="001A1559">
            <w:pPr>
              <w:pStyle w:val="GlossaryTableText"/>
              <w:rPr>
                <w:b/>
                <w:bCs/>
              </w:rPr>
            </w:pPr>
            <w:r>
              <w:rPr>
                <w:b/>
                <w:bCs/>
              </w:rPr>
              <w:t>SME</w:t>
            </w:r>
          </w:p>
        </w:tc>
        <w:tc>
          <w:tcPr>
            <w:tcW w:w="3327" w:type="pct"/>
            <w:tcBorders>
              <w:top w:val="nil"/>
              <w:left w:val="nil"/>
              <w:bottom w:val="nil"/>
              <w:right w:val="nil"/>
            </w:tcBorders>
          </w:tcPr>
          <w:p w:rsidR="001A1559" w:rsidRDefault="001A1559">
            <w:pPr>
              <w:pStyle w:val="GlossaryTableText"/>
            </w:pPr>
            <w:r>
              <w:t>Subject matter expert.</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Software</w:t>
            </w:r>
          </w:p>
        </w:tc>
        <w:tc>
          <w:tcPr>
            <w:tcW w:w="3327" w:type="pct"/>
            <w:tcBorders>
              <w:top w:val="nil"/>
              <w:left w:val="nil"/>
              <w:bottom w:val="nil"/>
              <w:right w:val="nil"/>
            </w:tcBorders>
          </w:tcPr>
          <w:p w:rsidR="00AF274B" w:rsidRDefault="00AF274B">
            <w:pPr>
              <w:pStyle w:val="GlossaryTableText"/>
              <w:rPr>
                <w:b/>
              </w:rPr>
            </w:pPr>
            <w:r>
              <w:t>Computer programs and associated documentation pertaining to the operation of a system.</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snapToGrid w:val="0"/>
              </w:rPr>
              <w:t>Special Instructions (SIs)</w:t>
            </w:r>
          </w:p>
        </w:tc>
        <w:tc>
          <w:tcPr>
            <w:tcW w:w="3327" w:type="pct"/>
            <w:tcBorders>
              <w:top w:val="nil"/>
              <w:left w:val="nil"/>
              <w:bottom w:val="nil"/>
              <w:right w:val="nil"/>
            </w:tcBorders>
          </w:tcPr>
          <w:p w:rsidR="00AF274B" w:rsidRDefault="00AF274B">
            <w:pPr>
              <w:pStyle w:val="GlossaryTableText"/>
              <w:rPr>
                <w:snapToGrid w:val="0"/>
              </w:rPr>
            </w:pPr>
            <w:r>
              <w:rPr>
                <w:snapToGrid w:val="0"/>
              </w:rPr>
              <w:t>Free-text or canned comments entered by the Blood Bank Technologist to communicate problems, restrictions, and considerations not otherwise documented in a patient’s record.</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Status</w:t>
            </w:r>
          </w:p>
        </w:tc>
        <w:tc>
          <w:tcPr>
            <w:tcW w:w="3327" w:type="pct"/>
            <w:tcBorders>
              <w:top w:val="nil"/>
              <w:left w:val="nil"/>
              <w:bottom w:val="nil"/>
              <w:right w:val="nil"/>
            </w:tcBorders>
          </w:tcPr>
          <w:p w:rsidR="00AF274B" w:rsidRDefault="00AF274B">
            <w:pPr>
              <w:pStyle w:val="GlossaryTableText"/>
            </w:pPr>
            <w:r>
              <w:t>The disposition of a unit of blood.</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snapToGrid w:val="0"/>
              </w:rPr>
              <w:t>Sterile connection device</w:t>
            </w:r>
          </w:p>
        </w:tc>
        <w:tc>
          <w:tcPr>
            <w:tcW w:w="3327" w:type="pct"/>
            <w:tcBorders>
              <w:top w:val="nil"/>
              <w:left w:val="nil"/>
              <w:bottom w:val="nil"/>
              <w:right w:val="nil"/>
            </w:tcBorders>
          </w:tcPr>
          <w:p w:rsidR="00AF274B" w:rsidRDefault="00AF274B">
            <w:pPr>
              <w:pStyle w:val="GlossaryTableText"/>
              <w:rPr>
                <w:snapToGrid w:val="0"/>
              </w:rPr>
            </w:pPr>
            <w:r>
              <w:rPr>
                <w:snapToGrid w:val="0"/>
              </w:rPr>
              <w:t>An instrument that connects two plastic tubes while maintaining sterility.</w:t>
            </w:r>
          </w:p>
        </w:tc>
      </w:tr>
      <w:tr w:rsidR="009A6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9A6A1E" w:rsidRDefault="009A6A1E">
            <w:pPr>
              <w:pStyle w:val="GlossaryTableText"/>
              <w:rPr>
                <w:b/>
                <w:bCs/>
                <w:snapToGrid w:val="0"/>
              </w:rPr>
            </w:pPr>
            <w:r>
              <w:rPr>
                <w:b/>
                <w:bCs/>
                <w:snapToGrid w:val="0"/>
              </w:rPr>
              <w:t>SSRS</w:t>
            </w:r>
          </w:p>
        </w:tc>
        <w:tc>
          <w:tcPr>
            <w:tcW w:w="3327" w:type="pct"/>
            <w:tcBorders>
              <w:top w:val="nil"/>
              <w:left w:val="nil"/>
              <w:bottom w:val="nil"/>
              <w:right w:val="nil"/>
            </w:tcBorders>
          </w:tcPr>
          <w:p w:rsidR="009A6A1E" w:rsidRDefault="009A6A1E">
            <w:pPr>
              <w:pStyle w:val="GlossaryTableText"/>
              <w:rPr>
                <w:snapToGrid w:val="0"/>
              </w:rPr>
            </w:pPr>
            <w:r>
              <w:rPr>
                <w:snapToGrid w:val="0"/>
              </w:rPr>
              <w:t>SQL Server Reporting Services.</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snapToGrid w:val="0"/>
              </w:rPr>
            </w:pPr>
            <w:r>
              <w:rPr>
                <w:b/>
                <w:bCs/>
                <w:snapToGrid w:val="0"/>
              </w:rPr>
              <w:lastRenderedPageBreak/>
              <w:t>Target unit</w:t>
            </w:r>
          </w:p>
        </w:tc>
        <w:tc>
          <w:tcPr>
            <w:tcW w:w="3327" w:type="pct"/>
            <w:tcBorders>
              <w:top w:val="nil"/>
              <w:left w:val="nil"/>
              <w:bottom w:val="nil"/>
              <w:right w:val="nil"/>
            </w:tcBorders>
          </w:tcPr>
          <w:p w:rsidR="00AF274B" w:rsidRDefault="00AF274B">
            <w:pPr>
              <w:pStyle w:val="GlossaryTableText"/>
              <w:rPr>
                <w:snapToGrid w:val="0"/>
              </w:rPr>
            </w:pPr>
            <w:r>
              <w:rPr>
                <w:snapToGrid w:val="0"/>
              </w:rPr>
              <w:t>A unit formed as a result of a pool or split.</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snapToGrid w:val="0"/>
              </w:rPr>
              <w:t>TAS</w:t>
            </w:r>
          </w:p>
        </w:tc>
        <w:tc>
          <w:tcPr>
            <w:tcW w:w="3327" w:type="pct"/>
            <w:tcBorders>
              <w:top w:val="nil"/>
              <w:left w:val="nil"/>
              <w:bottom w:val="nil"/>
              <w:right w:val="nil"/>
            </w:tcBorders>
          </w:tcPr>
          <w:p w:rsidR="00AF274B" w:rsidRDefault="00AF274B">
            <w:pPr>
              <w:pStyle w:val="GlossaryTableText"/>
              <w:rPr>
                <w:snapToGrid w:val="0"/>
              </w:rPr>
            </w:pPr>
            <w:r>
              <w:rPr>
                <w:snapToGrid w:val="0"/>
              </w:rPr>
              <w:t>Type &amp; Screen.</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sidRPr="00741C68">
              <w:rPr>
                <w:b/>
                <w:bCs/>
                <w:snapToGrid w:val="0"/>
              </w:rPr>
              <w:t>TCP/IP</w:t>
            </w:r>
          </w:p>
        </w:tc>
        <w:tc>
          <w:tcPr>
            <w:tcW w:w="3327" w:type="pct"/>
            <w:tcBorders>
              <w:top w:val="nil"/>
              <w:left w:val="nil"/>
              <w:bottom w:val="nil"/>
              <w:right w:val="nil"/>
            </w:tcBorders>
          </w:tcPr>
          <w:p w:rsidR="00AF274B" w:rsidRDefault="00AF274B">
            <w:pPr>
              <w:pStyle w:val="GlossaryTableText"/>
            </w:pPr>
            <w:r>
              <w:t>Transmission Control Protocol/Internet Protocol.</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Test (in general and laboratory contexts)</w:t>
            </w:r>
          </w:p>
        </w:tc>
        <w:tc>
          <w:tcPr>
            <w:tcW w:w="3327" w:type="pct"/>
            <w:tcBorders>
              <w:top w:val="nil"/>
              <w:left w:val="nil"/>
              <w:bottom w:val="nil"/>
              <w:right w:val="nil"/>
            </w:tcBorders>
          </w:tcPr>
          <w:p w:rsidR="00AF274B" w:rsidRDefault="00AF274B">
            <w:pPr>
              <w:pStyle w:val="GlossaryTableText"/>
            </w:pPr>
            <w:r>
              <w:t>A means of examination to determine a property. In the context of the VBECS database, the contents of a single grid entry (test cell).</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Test cell</w:t>
            </w:r>
          </w:p>
        </w:tc>
        <w:tc>
          <w:tcPr>
            <w:tcW w:w="3327" w:type="pct"/>
            <w:tcBorders>
              <w:top w:val="nil"/>
              <w:left w:val="nil"/>
              <w:bottom w:val="nil"/>
              <w:right w:val="nil"/>
            </w:tcBorders>
          </w:tcPr>
          <w:p w:rsidR="00AF274B" w:rsidRDefault="00AF274B">
            <w:pPr>
              <w:pStyle w:val="GlossaryTableText"/>
              <w:rPr>
                <w:b/>
              </w:rPr>
            </w:pPr>
            <w:r>
              <w:t>In the context of the VBECS database: A grid space. In a laboratory: Red cells, in a reagent vial, used in a test.</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Testing phase</w:t>
            </w:r>
          </w:p>
        </w:tc>
        <w:tc>
          <w:tcPr>
            <w:tcW w:w="3327" w:type="pct"/>
            <w:tcBorders>
              <w:top w:val="nil"/>
              <w:left w:val="nil"/>
              <w:bottom w:val="nil"/>
              <w:right w:val="nil"/>
            </w:tcBorders>
          </w:tcPr>
          <w:p w:rsidR="00AF274B" w:rsidRDefault="00AF274B">
            <w:pPr>
              <w:pStyle w:val="GlossaryTableText"/>
            </w:pPr>
            <w:r>
              <w:t>1. The portion of a laboratory test in which an interpretation is recorded. 2. The phase of the development process in which the functionality is available for testing.</w:t>
            </w:r>
          </w:p>
        </w:tc>
      </w:tr>
      <w:tr w:rsidR="001A15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1A1559" w:rsidRDefault="001A1559">
            <w:pPr>
              <w:pStyle w:val="GlossaryTableText"/>
              <w:rPr>
                <w:b/>
                <w:bCs/>
                <w:snapToGrid w:val="0"/>
              </w:rPr>
            </w:pPr>
            <w:r>
              <w:rPr>
                <w:b/>
                <w:bCs/>
                <w:snapToGrid w:val="0"/>
              </w:rPr>
              <w:t>TIU</w:t>
            </w:r>
          </w:p>
        </w:tc>
        <w:tc>
          <w:tcPr>
            <w:tcW w:w="3327" w:type="pct"/>
            <w:tcBorders>
              <w:top w:val="nil"/>
              <w:left w:val="nil"/>
              <w:bottom w:val="nil"/>
              <w:right w:val="nil"/>
            </w:tcBorders>
          </w:tcPr>
          <w:p w:rsidR="001A1559" w:rsidRDefault="001A1559">
            <w:pPr>
              <w:pStyle w:val="GlossaryTableText"/>
              <w:rPr>
                <w:snapToGrid w:val="0"/>
              </w:rPr>
            </w:pPr>
            <w:r>
              <w:t>Text Integration Utility.</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snapToGrid w:val="0"/>
              </w:rPr>
              <w:t>Transfusion Requirements (TRs)</w:t>
            </w:r>
          </w:p>
        </w:tc>
        <w:tc>
          <w:tcPr>
            <w:tcW w:w="3327" w:type="pct"/>
            <w:tcBorders>
              <w:top w:val="nil"/>
              <w:left w:val="nil"/>
              <w:bottom w:val="nil"/>
              <w:right w:val="nil"/>
            </w:tcBorders>
          </w:tcPr>
          <w:p w:rsidR="00AF274B" w:rsidRDefault="00AF274B">
            <w:pPr>
              <w:pStyle w:val="GlossaryTableText"/>
              <w:rPr>
                <w:snapToGrid w:val="0"/>
              </w:rPr>
            </w:pPr>
            <w:r>
              <w:rPr>
                <w:snapToGrid w:val="0"/>
              </w:rPr>
              <w:t>Mandatory blood product attributes applied to every transfusion.</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Truth table</w:t>
            </w:r>
          </w:p>
        </w:tc>
        <w:tc>
          <w:tcPr>
            <w:tcW w:w="3327" w:type="pct"/>
            <w:tcBorders>
              <w:top w:val="nil"/>
              <w:left w:val="nil"/>
              <w:bottom w:val="nil"/>
              <w:right w:val="nil"/>
            </w:tcBorders>
          </w:tcPr>
          <w:p w:rsidR="00AF274B" w:rsidRDefault="00AF274B">
            <w:pPr>
              <w:pStyle w:val="GlossaryTableText"/>
            </w:pPr>
            <w:r>
              <w:t>A table, specific to a test or action, listing all possible combinations of user inputs and the corresponding acceptable results and/or interpretations. It allows the system to verify user input based on established parameters.</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TRW</w:t>
            </w:r>
          </w:p>
        </w:tc>
        <w:tc>
          <w:tcPr>
            <w:tcW w:w="3327" w:type="pct"/>
            <w:tcBorders>
              <w:top w:val="nil"/>
              <w:left w:val="nil"/>
              <w:bottom w:val="nil"/>
              <w:right w:val="nil"/>
            </w:tcBorders>
          </w:tcPr>
          <w:p w:rsidR="00AF274B" w:rsidRDefault="00AF274B">
            <w:pPr>
              <w:pStyle w:val="GlossaryTableText"/>
            </w:pPr>
            <w:r>
              <w:t>Transfusion reaction workup.</w:t>
            </w:r>
          </w:p>
        </w:tc>
      </w:tr>
      <w:tr w:rsidR="001A15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1A1559" w:rsidRDefault="001A1559">
            <w:pPr>
              <w:pStyle w:val="GlossaryTableText"/>
              <w:rPr>
                <w:b/>
                <w:bCs/>
              </w:rPr>
            </w:pPr>
            <w:r>
              <w:rPr>
                <w:b/>
                <w:bCs/>
              </w:rPr>
              <w:t>UBS</w:t>
            </w:r>
          </w:p>
        </w:tc>
        <w:tc>
          <w:tcPr>
            <w:tcW w:w="3327" w:type="pct"/>
            <w:tcBorders>
              <w:top w:val="nil"/>
              <w:left w:val="nil"/>
              <w:bottom w:val="nil"/>
              <w:right w:val="nil"/>
            </w:tcBorders>
          </w:tcPr>
          <w:p w:rsidR="001A1559" w:rsidRDefault="001A1559">
            <w:pPr>
              <w:pStyle w:val="GlossaryTableText"/>
            </w:pPr>
            <w:r>
              <w:t>United Blood Services.</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UID</w:t>
            </w:r>
          </w:p>
        </w:tc>
        <w:tc>
          <w:tcPr>
            <w:tcW w:w="3327" w:type="pct"/>
            <w:tcBorders>
              <w:top w:val="nil"/>
              <w:left w:val="nil"/>
              <w:bottom w:val="nil"/>
              <w:right w:val="nil"/>
            </w:tcBorders>
          </w:tcPr>
          <w:p w:rsidR="00AF274B" w:rsidRDefault="00AF274B">
            <w:pPr>
              <w:pStyle w:val="GlossaryTableText"/>
              <w:rPr>
                <w:i/>
              </w:rPr>
            </w:pPr>
            <w:r>
              <w:t xml:space="preserve">Universal ID. An eye-readable and barcode-scannable coded representation of the Accession Number assigned by the laboratory package. </w:t>
            </w:r>
            <w:r>
              <w:rPr>
                <w:i/>
              </w:rPr>
              <w:t>UID is unique to the generating information system where the specimen was received.</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Unit</w:t>
            </w:r>
          </w:p>
        </w:tc>
        <w:tc>
          <w:tcPr>
            <w:tcW w:w="3327" w:type="pct"/>
            <w:tcBorders>
              <w:top w:val="nil"/>
              <w:left w:val="nil"/>
              <w:bottom w:val="nil"/>
              <w:right w:val="nil"/>
            </w:tcBorders>
          </w:tcPr>
          <w:p w:rsidR="00AF274B" w:rsidRDefault="00AF274B">
            <w:pPr>
              <w:pStyle w:val="GlossaryTableText"/>
            </w:pPr>
            <w:r>
              <w:t>A single example of a blood component type. Example: a single unit of red cells, a unit of plasma, a unit of platelets.</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Unit ID</w:t>
            </w:r>
          </w:p>
        </w:tc>
        <w:tc>
          <w:tcPr>
            <w:tcW w:w="3327" w:type="pct"/>
            <w:tcBorders>
              <w:top w:val="nil"/>
              <w:left w:val="nil"/>
              <w:bottom w:val="nil"/>
              <w:right w:val="nil"/>
            </w:tcBorders>
          </w:tcPr>
          <w:p w:rsidR="00AF274B" w:rsidRDefault="00AF274B">
            <w:pPr>
              <w:pStyle w:val="GlossaryTableText"/>
            </w:pPr>
            <w:r>
              <w:t>The label identifier, consisting of a string of characters, of the unit of blood, barcoded on the blood bag label and scanned when a blood unit is received in the blood bank in a shipment.</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lastRenderedPageBreak/>
              <w:t>Unit status</w:t>
            </w:r>
          </w:p>
        </w:tc>
        <w:tc>
          <w:tcPr>
            <w:tcW w:w="3327" w:type="pct"/>
            <w:tcBorders>
              <w:top w:val="nil"/>
              <w:left w:val="nil"/>
              <w:bottom w:val="nil"/>
              <w:right w:val="nil"/>
            </w:tcBorders>
          </w:tcPr>
          <w:p w:rsidR="00AF274B" w:rsidRDefault="00AF274B">
            <w:pPr>
              <w:pStyle w:val="GlossaryTableText"/>
              <w:rPr>
                <w:u w:val="single"/>
              </w:rPr>
            </w:pPr>
            <w:r>
              <w:t>The state of a unit of blood at any given time.</w:t>
            </w:r>
          </w:p>
          <w:p w:rsidR="00AF274B" w:rsidRDefault="00AF274B">
            <w:pPr>
              <w:pStyle w:val="GlossaryTableTextBullets"/>
            </w:pPr>
            <w:r>
              <w:t>Available: Required processing is complete.</w:t>
            </w:r>
          </w:p>
          <w:p w:rsidR="00AF274B" w:rsidRDefault="00AF274B">
            <w:pPr>
              <w:pStyle w:val="GlossaryTableTextBullets"/>
            </w:pPr>
            <w:r>
              <w:t>Crossmatched/Assigned: The unit is immediately available for transfusion. All required compatibility testing, including crossmatch if indicated, is performed.</w:t>
            </w:r>
          </w:p>
          <w:p w:rsidR="00AF274B" w:rsidRDefault="00AF274B">
            <w:pPr>
              <w:pStyle w:val="GlossaryTableTextBullets"/>
            </w:pPr>
            <w:r>
              <w:t>Discarded: The unit has been destroyed and is no longer available.</w:t>
            </w:r>
          </w:p>
          <w:p w:rsidR="00AF274B" w:rsidRDefault="00AF274B">
            <w:pPr>
              <w:pStyle w:val="GlossaryTableTextBullets"/>
            </w:pPr>
            <w:r>
              <w:t xml:space="preserve">Issued: The unit is not currently located in the blood bank. </w:t>
            </w:r>
          </w:p>
          <w:p w:rsidR="00AF274B" w:rsidRDefault="00AF274B">
            <w:pPr>
              <w:pStyle w:val="GlossaryTableTextBullets"/>
            </w:pPr>
            <w:r>
              <w:t>Limited: Required processing is complete, except for ABO/Rh confirmation</w:t>
            </w:r>
            <w:r w:rsidR="009204CC">
              <w:t>.</w:t>
            </w:r>
          </w:p>
          <w:p w:rsidR="00AF274B" w:rsidRDefault="00AF274B">
            <w:pPr>
              <w:pStyle w:val="GlossaryTableTextBullets"/>
            </w:pPr>
            <w:r>
              <w:t>Quarantine: The unit cannot be selected.</w:t>
            </w:r>
          </w:p>
          <w:p w:rsidR="00AF274B" w:rsidRDefault="00AF274B">
            <w:pPr>
              <w:pStyle w:val="GlossaryTableTextBullets"/>
            </w:pPr>
            <w:r>
              <w:t>Selected: The unit is reserved for one or more patients. Additional compatibility testing is required, such as antigen phenotype, crossmatch, and unit ABO/Rh confirmation.</w:t>
            </w:r>
          </w:p>
          <w:p w:rsidR="00AF274B" w:rsidRDefault="00AF274B">
            <w:pPr>
              <w:pStyle w:val="GlossaryTableTextBullets"/>
              <w:rPr>
                <w:b/>
              </w:rPr>
            </w:pPr>
            <w:r>
              <w:t>Transferred: The unit has been returned to the original supplier or transferred to a different facility.</w:t>
            </w:r>
          </w:p>
          <w:p w:rsidR="00AF274B" w:rsidRDefault="00AF274B">
            <w:pPr>
              <w:pStyle w:val="GlossaryTableTextBullets"/>
              <w:rPr>
                <w:b/>
              </w:rPr>
            </w:pPr>
            <w:r>
              <w:t>Transfused: The unit has been infused into a patient and is no longer available.</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Validation</w:t>
            </w:r>
          </w:p>
        </w:tc>
        <w:tc>
          <w:tcPr>
            <w:tcW w:w="3327" w:type="pct"/>
            <w:tcBorders>
              <w:top w:val="nil"/>
              <w:left w:val="nil"/>
              <w:bottom w:val="nil"/>
              <w:right w:val="nil"/>
            </w:tcBorders>
          </w:tcPr>
          <w:p w:rsidR="00AF274B" w:rsidRDefault="00AF274B">
            <w:pPr>
              <w:pStyle w:val="GlossaryTableText"/>
            </w:pPr>
            <w:r>
              <w:t>Establishment by objective evidence that a specific process or device specification conforms to user needs and intended use.</w:t>
            </w:r>
          </w:p>
        </w:tc>
      </w:tr>
      <w:tr w:rsidR="00807B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807BFB" w:rsidRDefault="00807BFB">
            <w:pPr>
              <w:pStyle w:val="GlossaryTableText"/>
              <w:rPr>
                <w:b/>
                <w:bCs/>
                <w:snapToGrid w:val="0"/>
              </w:rPr>
            </w:pPr>
            <w:r>
              <w:rPr>
                <w:b/>
                <w:bCs/>
                <w:snapToGrid w:val="0"/>
              </w:rPr>
              <w:t>VASD</w:t>
            </w:r>
          </w:p>
        </w:tc>
        <w:tc>
          <w:tcPr>
            <w:tcW w:w="3327" w:type="pct"/>
            <w:tcBorders>
              <w:top w:val="nil"/>
              <w:left w:val="nil"/>
              <w:bottom w:val="nil"/>
              <w:right w:val="nil"/>
            </w:tcBorders>
          </w:tcPr>
          <w:p w:rsidR="00807BFB" w:rsidRDefault="00807BFB">
            <w:pPr>
              <w:pStyle w:val="GlossaryTableText"/>
              <w:rPr>
                <w:snapToGrid w:val="0"/>
              </w:rPr>
            </w:pPr>
            <w:r>
              <w:rPr>
                <w:snapToGrid w:val="0"/>
              </w:rPr>
              <w:t>VA Service Desk (formerly National Help Desk).</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snapToGrid w:val="0"/>
              </w:rPr>
              <w:t>VBECS specimen number</w:t>
            </w:r>
          </w:p>
        </w:tc>
        <w:tc>
          <w:tcPr>
            <w:tcW w:w="3327" w:type="pct"/>
            <w:tcBorders>
              <w:top w:val="nil"/>
              <w:left w:val="nil"/>
              <w:bottom w:val="nil"/>
              <w:right w:val="nil"/>
            </w:tcBorders>
          </w:tcPr>
          <w:p w:rsidR="00AF274B" w:rsidRDefault="00AF274B">
            <w:pPr>
              <w:pStyle w:val="GlossaryTableText"/>
              <w:rPr>
                <w:snapToGrid w:val="0"/>
              </w:rPr>
            </w:pPr>
            <w:r>
              <w:rPr>
                <w:snapToGrid w:val="0"/>
              </w:rPr>
              <w:t>A blood bank-specific identifier for specimens.</w:t>
            </w:r>
          </w:p>
        </w:tc>
      </w:tr>
      <w:tr w:rsidR="001A15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1A1559" w:rsidRDefault="004974ED">
            <w:pPr>
              <w:pStyle w:val="GlossaryTableText"/>
              <w:rPr>
                <w:b/>
                <w:bCs/>
              </w:rPr>
            </w:pPr>
            <w:r>
              <w:rPr>
                <w:b/>
                <w:bCs/>
              </w:rPr>
              <w:t>VDL</w:t>
            </w:r>
          </w:p>
        </w:tc>
        <w:tc>
          <w:tcPr>
            <w:tcW w:w="3327" w:type="pct"/>
            <w:tcBorders>
              <w:top w:val="nil"/>
              <w:left w:val="nil"/>
              <w:bottom w:val="nil"/>
              <w:right w:val="nil"/>
            </w:tcBorders>
          </w:tcPr>
          <w:p w:rsidR="001A1559" w:rsidRDefault="004974ED">
            <w:pPr>
              <w:pStyle w:val="GlossaryTableText"/>
            </w:pPr>
            <w:r w:rsidRPr="000C7684">
              <w:rPr>
                <w:bCs/>
              </w:rPr>
              <w:t>VistA</w:t>
            </w:r>
            <w:r>
              <w:t xml:space="preserve"> Documentation Library.</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Verification</w:t>
            </w:r>
          </w:p>
        </w:tc>
        <w:tc>
          <w:tcPr>
            <w:tcW w:w="3327" w:type="pct"/>
            <w:tcBorders>
              <w:top w:val="nil"/>
              <w:left w:val="nil"/>
              <w:bottom w:val="nil"/>
              <w:right w:val="nil"/>
            </w:tcBorders>
          </w:tcPr>
          <w:p w:rsidR="00AF274B" w:rsidRDefault="00AF274B">
            <w:pPr>
              <w:pStyle w:val="GlossaryTableText"/>
            </w:pPr>
            <w:r>
              <w:t>Confirmation by examination and provision of objective evidence that requirements were fulfilled.</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Verify Code</w:t>
            </w:r>
          </w:p>
        </w:tc>
        <w:tc>
          <w:tcPr>
            <w:tcW w:w="3327" w:type="pct"/>
            <w:tcBorders>
              <w:top w:val="nil"/>
              <w:left w:val="nil"/>
              <w:bottom w:val="nil"/>
              <w:right w:val="nil"/>
            </w:tcBorders>
          </w:tcPr>
          <w:p w:rsidR="00AF274B" w:rsidRDefault="00AF274B">
            <w:pPr>
              <w:pStyle w:val="GlossaryTableText"/>
              <w:rPr>
                <w:b/>
              </w:rPr>
            </w:pPr>
            <w:r>
              <w:t xml:space="preserve">A field in the </w:t>
            </w:r>
            <w:r w:rsidRPr="00CA6E27">
              <w:rPr>
                <w:bCs/>
              </w:rPr>
              <w:t>VistA</w:t>
            </w:r>
            <w:r>
              <w:t xml:space="preserve"> New Person file used to verify the identity of a user associated with an Access Code.</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Vial identifier</w:t>
            </w:r>
          </w:p>
        </w:tc>
        <w:tc>
          <w:tcPr>
            <w:tcW w:w="3327" w:type="pct"/>
            <w:tcBorders>
              <w:top w:val="nil"/>
              <w:left w:val="nil"/>
              <w:bottom w:val="nil"/>
              <w:right w:val="nil"/>
            </w:tcBorders>
          </w:tcPr>
          <w:p w:rsidR="00AF274B" w:rsidRDefault="00AF274B">
            <w:pPr>
              <w:pStyle w:val="GlossaryTableText"/>
              <w:rPr>
                <w:b/>
              </w:rPr>
            </w:pPr>
            <w:r>
              <w:t xml:space="preserve">A one- or two-character number that identifies a specific vial contained within a kit of reagents. </w:t>
            </w:r>
            <w:r>
              <w:rPr>
                <w:i/>
              </w:rPr>
              <w:t>A vial contains antigen positive or antigen negative blood cells to be used in quality control of antisera. Also referred to as “cell identifier.”</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VISN</w:t>
            </w:r>
          </w:p>
        </w:tc>
        <w:tc>
          <w:tcPr>
            <w:tcW w:w="3327" w:type="pct"/>
            <w:tcBorders>
              <w:top w:val="nil"/>
              <w:left w:val="nil"/>
              <w:bottom w:val="nil"/>
              <w:right w:val="nil"/>
            </w:tcBorders>
          </w:tcPr>
          <w:p w:rsidR="00AF274B" w:rsidRDefault="00AF274B">
            <w:pPr>
              <w:pStyle w:val="GlossaryTableText"/>
            </w:pPr>
            <w:r>
              <w:t>Veterans Integrated Services Network.</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Pr="00CA6E27" w:rsidRDefault="00AF274B">
            <w:pPr>
              <w:pStyle w:val="GlossaryTableText"/>
              <w:rPr>
                <w:b/>
                <w:bCs/>
              </w:rPr>
            </w:pPr>
            <w:r w:rsidRPr="00CA6E27">
              <w:rPr>
                <w:b/>
                <w:bCs/>
              </w:rPr>
              <w:t>VistA</w:t>
            </w:r>
          </w:p>
        </w:tc>
        <w:tc>
          <w:tcPr>
            <w:tcW w:w="3327" w:type="pct"/>
            <w:tcBorders>
              <w:top w:val="nil"/>
              <w:left w:val="nil"/>
              <w:bottom w:val="nil"/>
              <w:right w:val="nil"/>
            </w:tcBorders>
          </w:tcPr>
          <w:p w:rsidR="00AF274B" w:rsidRDefault="00AF274B">
            <w:pPr>
              <w:pStyle w:val="GlossaryTableText"/>
            </w:pPr>
            <w:r>
              <w:t>Veterans Health Information Systems and Technology Architecture.</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VistALink</w:t>
            </w:r>
          </w:p>
        </w:tc>
        <w:tc>
          <w:tcPr>
            <w:tcW w:w="3327" w:type="pct"/>
            <w:tcBorders>
              <w:top w:val="nil"/>
              <w:left w:val="nil"/>
              <w:bottom w:val="nil"/>
              <w:right w:val="nil"/>
            </w:tcBorders>
          </w:tcPr>
          <w:p w:rsidR="00AF274B" w:rsidRDefault="00AF274B">
            <w:pPr>
              <w:pStyle w:val="GlossaryTableText"/>
            </w:pPr>
            <w:r>
              <w:t xml:space="preserve">A real-time communication link that provides connectivity and utilities for data exchange between </w:t>
            </w:r>
            <w:r w:rsidRPr="00CA6E27">
              <w:rPr>
                <w:bCs/>
              </w:rPr>
              <w:t>VistA</w:t>
            </w:r>
            <w:r>
              <w:t xml:space="preserve"> and VBECS.</w:t>
            </w:r>
          </w:p>
        </w:tc>
      </w:tr>
      <w:tr w:rsidR="004974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4974ED" w:rsidRDefault="004974ED">
            <w:pPr>
              <w:pStyle w:val="GlossaryTableText"/>
              <w:rPr>
                <w:b/>
                <w:bCs/>
                <w:snapToGrid w:val="0"/>
              </w:rPr>
            </w:pPr>
            <w:r>
              <w:rPr>
                <w:b/>
                <w:bCs/>
                <w:snapToGrid w:val="0"/>
              </w:rPr>
              <w:t>WAN</w:t>
            </w:r>
          </w:p>
        </w:tc>
        <w:tc>
          <w:tcPr>
            <w:tcW w:w="3327" w:type="pct"/>
            <w:tcBorders>
              <w:top w:val="nil"/>
              <w:left w:val="nil"/>
              <w:bottom w:val="nil"/>
              <w:right w:val="nil"/>
            </w:tcBorders>
          </w:tcPr>
          <w:p w:rsidR="004974ED" w:rsidRDefault="004974ED">
            <w:pPr>
              <w:pStyle w:val="GlossaryTableText"/>
              <w:rPr>
                <w:snapToGrid w:val="0"/>
              </w:rPr>
            </w:pPr>
            <w:r>
              <w:rPr>
                <w:snapToGrid w:val="0"/>
              </w:rPr>
              <w:t>Wide Area Network.</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snapToGrid w:val="0"/>
              </w:rPr>
              <w:t>Worklist</w:t>
            </w:r>
          </w:p>
        </w:tc>
        <w:tc>
          <w:tcPr>
            <w:tcW w:w="3327" w:type="pct"/>
            <w:tcBorders>
              <w:top w:val="nil"/>
              <w:left w:val="nil"/>
              <w:bottom w:val="nil"/>
              <w:right w:val="nil"/>
            </w:tcBorders>
          </w:tcPr>
          <w:p w:rsidR="00AF274B" w:rsidRDefault="00AF274B">
            <w:pPr>
              <w:pStyle w:val="GlossaryTableText"/>
              <w:rPr>
                <w:snapToGrid w:val="0"/>
              </w:rPr>
            </w:pPr>
            <w:r>
              <w:rPr>
                <w:snapToGrid w:val="0"/>
              </w:rPr>
              <w:t>A list detailing work to be performed.</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rPr>
              <w:t>Workload</w:t>
            </w:r>
          </w:p>
        </w:tc>
        <w:tc>
          <w:tcPr>
            <w:tcW w:w="3327" w:type="pct"/>
            <w:tcBorders>
              <w:top w:val="nil"/>
              <w:left w:val="nil"/>
              <w:bottom w:val="nil"/>
              <w:right w:val="nil"/>
            </w:tcBorders>
          </w:tcPr>
          <w:p w:rsidR="00AF274B" w:rsidRDefault="00AF274B">
            <w:pPr>
              <w:pStyle w:val="GlossaryTableText"/>
            </w:pPr>
            <w:r>
              <w:t>Statistical data used to calculate productivity.</w:t>
            </w:r>
          </w:p>
        </w:tc>
      </w:tr>
      <w:tr w:rsidR="00AF2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AF274B" w:rsidRDefault="00AF274B">
            <w:pPr>
              <w:pStyle w:val="GlossaryTableText"/>
              <w:rPr>
                <w:b/>
                <w:bCs/>
              </w:rPr>
            </w:pPr>
            <w:r>
              <w:rPr>
                <w:b/>
                <w:bCs/>
                <w:snapToGrid w:val="0"/>
              </w:rPr>
              <w:t>XM</w:t>
            </w:r>
          </w:p>
        </w:tc>
        <w:tc>
          <w:tcPr>
            <w:tcW w:w="3327" w:type="pct"/>
            <w:tcBorders>
              <w:top w:val="nil"/>
              <w:left w:val="nil"/>
              <w:bottom w:val="nil"/>
              <w:right w:val="nil"/>
            </w:tcBorders>
          </w:tcPr>
          <w:p w:rsidR="00AF274B" w:rsidRDefault="00AF274B">
            <w:pPr>
              <w:pStyle w:val="GlossaryTableText"/>
              <w:rPr>
                <w:snapToGrid w:val="0"/>
              </w:rPr>
            </w:pPr>
            <w:r>
              <w:rPr>
                <w:snapToGrid w:val="0"/>
              </w:rPr>
              <w:t>Crossmatch.</w:t>
            </w:r>
          </w:p>
        </w:tc>
      </w:tr>
      <w:tr w:rsidR="004974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673" w:type="pct"/>
            <w:tcBorders>
              <w:top w:val="nil"/>
              <w:left w:val="nil"/>
              <w:bottom w:val="nil"/>
              <w:right w:val="nil"/>
            </w:tcBorders>
          </w:tcPr>
          <w:p w:rsidR="004974ED" w:rsidRDefault="004974ED">
            <w:pPr>
              <w:pStyle w:val="GlossaryTableText"/>
              <w:rPr>
                <w:b/>
                <w:bCs/>
                <w:snapToGrid w:val="0"/>
              </w:rPr>
            </w:pPr>
            <w:r>
              <w:rPr>
                <w:b/>
                <w:bCs/>
                <w:snapToGrid w:val="0"/>
              </w:rPr>
              <w:t>XML</w:t>
            </w:r>
          </w:p>
        </w:tc>
        <w:tc>
          <w:tcPr>
            <w:tcW w:w="3327" w:type="pct"/>
            <w:tcBorders>
              <w:top w:val="nil"/>
              <w:left w:val="nil"/>
              <w:bottom w:val="nil"/>
              <w:right w:val="nil"/>
            </w:tcBorders>
          </w:tcPr>
          <w:p w:rsidR="004974ED" w:rsidRDefault="004974ED">
            <w:pPr>
              <w:pStyle w:val="GlossaryTableText"/>
              <w:rPr>
                <w:snapToGrid w:val="0"/>
              </w:rPr>
            </w:pPr>
            <w:r>
              <w:t>Extensible Markup Language.</w:t>
            </w:r>
          </w:p>
        </w:tc>
      </w:tr>
    </w:tbl>
    <w:p w:rsidR="00D65C6C" w:rsidRDefault="00D65C6C" w:rsidP="00B10AB7"/>
    <w:p w:rsidR="002A21AE" w:rsidRDefault="0086066C" w:rsidP="0086066C">
      <w:pPr>
        <w:pStyle w:val="Heading1"/>
      </w:pPr>
      <w:r>
        <w:rPr>
          <w:kern w:val="0"/>
          <w:sz w:val="22"/>
          <w:szCs w:val="22"/>
        </w:rPr>
        <w:br w:type="page"/>
      </w:r>
      <w:bookmarkStart w:id="584" w:name="_Toc459900187"/>
      <w:r w:rsidR="002A21AE">
        <w:lastRenderedPageBreak/>
        <w:t>Appendices</w:t>
      </w:r>
      <w:bookmarkEnd w:id="584"/>
    </w:p>
    <w:p w:rsidR="002A21AE" w:rsidRDefault="002A21AE">
      <w:pPr>
        <w:pStyle w:val="Heading2"/>
      </w:pPr>
      <w:bookmarkStart w:id="585" w:name="_Toc459900188"/>
      <w:r>
        <w:t xml:space="preserve">Appendix </w:t>
      </w:r>
      <w:r>
        <w:fldChar w:fldCharType="begin"/>
      </w:r>
      <w:r>
        <w:instrText xml:space="preserve"> SEQ Appendix \* ALPHABETIC </w:instrText>
      </w:r>
      <w:r>
        <w:fldChar w:fldCharType="separate"/>
      </w:r>
      <w:r w:rsidR="005F38BC">
        <w:rPr>
          <w:noProof/>
        </w:rPr>
        <w:t>A</w:t>
      </w:r>
      <w:r>
        <w:fldChar w:fldCharType="end"/>
      </w:r>
      <w:r>
        <w:t>: Downtime Forms and Instructions</w:t>
      </w:r>
      <w:bookmarkEnd w:id="585"/>
      <w:r>
        <w:fldChar w:fldCharType="begin"/>
      </w:r>
      <w:r>
        <w:instrText xml:space="preserve"> XE </w:instrText>
      </w:r>
      <w:r w:rsidR="00FA7E65">
        <w:instrText>“</w:instrText>
      </w:r>
      <w:r>
        <w:instrText>Downtime Forms and Instructions</w:instrText>
      </w:r>
      <w:r w:rsidR="00FA7E65">
        <w:instrText>”</w:instrText>
      </w:r>
      <w:r>
        <w:instrText xml:space="preserve"> </w:instrText>
      </w:r>
      <w:r>
        <w:fldChar w:fldCharType="end"/>
      </w:r>
    </w:p>
    <w:p w:rsidR="00270245" w:rsidRDefault="00270245" w:rsidP="00270245">
      <w:pPr>
        <w:pStyle w:val="BodyText"/>
      </w:pPr>
      <w:r>
        <w:t>Each site establishes its own policies, procedures, and processes to address unexpected VBECS downtime issues such as:</w:t>
      </w:r>
      <w:r>
        <w:rPr>
          <w:rStyle w:val="CommentReference"/>
          <w:b/>
          <w:bCs/>
          <w:vanish/>
        </w:rPr>
        <w:t xml:space="preserve"> </w:t>
      </w:r>
    </w:p>
    <w:p w:rsidR="00270245" w:rsidRDefault="00270245" w:rsidP="00270245">
      <w:pPr>
        <w:pStyle w:val="ListBullet"/>
      </w:pPr>
      <w:r>
        <w:t>The interface is unavailable. It is recommended that blood bank staff notify clinicians when messaging between CPRS and VBECS fails during order completion: clinicians may need to know that blood units are ready for pickup and transfusion.</w:t>
      </w:r>
      <w:r>
        <w:rPr>
          <w:vanish/>
        </w:rPr>
        <w:t xml:space="preserve"> (ClearQuest Task 386)</w:t>
      </w:r>
    </w:p>
    <w:p w:rsidR="00270245" w:rsidRDefault="00270245" w:rsidP="00270245">
      <w:pPr>
        <w:pStyle w:val="ListBullet"/>
      </w:pPr>
      <w:r>
        <w:rPr>
          <w:szCs w:val="20"/>
        </w:rPr>
        <w:t>T</w:t>
      </w:r>
      <w:r>
        <w:t>est order handling and completion when the serologic testing is performed off-site or in a non-VA facility. The CPRS test order must be processed and completed even when testing is done off-site.</w:t>
      </w:r>
    </w:p>
    <w:p w:rsidR="00270245" w:rsidRDefault="00270245" w:rsidP="00270245">
      <w:pPr>
        <w:pStyle w:val="ListBullet"/>
      </w:pPr>
      <w:r>
        <w:t xml:space="preserve">The physical handling of a blood unit when it </w:t>
      </w:r>
      <w:r w:rsidR="00313C6B">
        <w:t>cannot</w:t>
      </w:r>
      <w:r>
        <w:t xml:space="preserve"> be logged into inventory because VistALink is down and the patient is not in the VBECS database. The unit does not exist in VBECS until it is logged in, but is physically available.</w:t>
      </w:r>
      <w:r>
        <w:rPr>
          <w:vanish/>
        </w:rPr>
        <w:t xml:space="preserve"> (ClearQuest Task 387)</w:t>
      </w:r>
    </w:p>
    <w:p w:rsidR="00270245" w:rsidRDefault="00270245" w:rsidP="00270245">
      <w:pPr>
        <w:pStyle w:val="ListBullet"/>
      </w:pPr>
      <w:r>
        <w:t>Manual blood labeling, verification of labels, and tracking documentation of the downtime labeling.</w:t>
      </w:r>
      <w:r>
        <w:rPr>
          <w:vanish/>
        </w:rPr>
        <w:t xml:space="preserve"> (ClearQuest Task 521)</w:t>
      </w:r>
    </w:p>
    <w:p w:rsidR="00270245" w:rsidRDefault="00270245" w:rsidP="00270245">
      <w:pPr>
        <w:pStyle w:val="ListBullet"/>
      </w:pPr>
      <w:r>
        <w:t>Some Special Instructions (SIs) that were moved to VBECS during the database conversion must be entered as Transfusion Requirements (TRs) in VBECS. Inactivate the old SI and create a TR and new updated SI: the database conversion software cannot automatically translate the SI from database conversion into a rule-based TR.</w:t>
      </w:r>
    </w:p>
    <w:p w:rsidR="00270245" w:rsidRDefault="00270245" w:rsidP="00270245">
      <w:pPr>
        <w:pStyle w:val="ListBullet"/>
      </w:pPr>
      <w:r>
        <w:t>Creating the Audit Trail, Exception, and Testing Worklist Reports.</w:t>
      </w:r>
    </w:p>
    <w:p w:rsidR="00270245" w:rsidRDefault="00270245" w:rsidP="00270245">
      <w:pPr>
        <w:pStyle w:val="ListBullet"/>
      </w:pPr>
      <w:r>
        <w:t>Mitigation of the risk of patient identification conflicts due to patient merge issues (changing patient name or ID). It is recommended that staff submit the patient name and ID in writing to the blood bank when picking up blood products.</w:t>
      </w:r>
      <w:r>
        <w:rPr>
          <w:vanish/>
        </w:rPr>
        <w:t xml:space="preserve"> (ClearQuest Task 395)</w:t>
      </w:r>
    </w:p>
    <w:p w:rsidR="00270245" w:rsidRDefault="00270245" w:rsidP="00270245">
      <w:pPr>
        <w:pStyle w:val="ListBullet"/>
      </w:pPr>
      <w:r>
        <w:t xml:space="preserve">VBECS is unavailable. To ensure accurate entry of information when VBECS is running, users must record the unit number and ID on their downtime form. </w:t>
      </w:r>
    </w:p>
    <w:p w:rsidR="00E27E7A" w:rsidRDefault="00640159" w:rsidP="00FA7E65">
      <w:pPr>
        <w:pStyle w:val="BodyText"/>
      </w:pPr>
      <w:r>
        <w:t>It is recommended that e</w:t>
      </w:r>
      <w:r w:rsidR="00780A01">
        <w:t xml:space="preserve">ach site have </w:t>
      </w:r>
      <w:r w:rsidR="001B6D4B">
        <w:t>available</w:t>
      </w:r>
      <w:r w:rsidR="00780A01">
        <w:t>:</w:t>
      </w:r>
    </w:p>
    <w:p w:rsidR="00112590" w:rsidRDefault="00112590" w:rsidP="00780A01">
      <w:pPr>
        <w:pStyle w:val="ListBullet"/>
      </w:pPr>
      <w:r>
        <w:t>Antibody Workup Forms</w:t>
      </w:r>
    </w:p>
    <w:p w:rsidR="00112590" w:rsidRDefault="00112590" w:rsidP="00780A01">
      <w:pPr>
        <w:pStyle w:val="ListBullet"/>
      </w:pPr>
      <w:r>
        <w:t>Antigen Typing Forms (for patient)</w:t>
      </w:r>
    </w:p>
    <w:p w:rsidR="00112590" w:rsidRDefault="00112590" w:rsidP="00780A01">
      <w:pPr>
        <w:pStyle w:val="ListBullet"/>
      </w:pPr>
      <w:r>
        <w:t>Antigen Typing Forms (for unit)</w:t>
      </w:r>
    </w:p>
    <w:p w:rsidR="00112590" w:rsidRDefault="00112590" w:rsidP="00780A01">
      <w:pPr>
        <w:pStyle w:val="ListBullet"/>
      </w:pPr>
      <w:r>
        <w:t>Blood Transfusion Record Forms</w:t>
      </w:r>
    </w:p>
    <w:p w:rsidR="00112590" w:rsidRDefault="00112590" w:rsidP="00780A01">
      <w:pPr>
        <w:pStyle w:val="ListBullet"/>
      </w:pPr>
      <w:r>
        <w:t>Caution Tags</w:t>
      </w:r>
    </w:p>
    <w:p w:rsidR="00112590" w:rsidRDefault="00112590" w:rsidP="00780A01">
      <w:pPr>
        <w:pStyle w:val="ListBullet"/>
      </w:pPr>
      <w:r>
        <w:t>Daily QC Forms</w:t>
      </w:r>
    </w:p>
    <w:p w:rsidR="00112590" w:rsidRDefault="00112590" w:rsidP="0095796B">
      <w:pPr>
        <w:pStyle w:val="ListBullet"/>
      </w:pPr>
      <w:r>
        <w:t>Emergency Issue Forms: developed by each site to reflect site-specific emergency issue policies and procedures</w:t>
      </w:r>
    </w:p>
    <w:p w:rsidR="00112590" w:rsidRDefault="00112590" w:rsidP="00780A01">
      <w:pPr>
        <w:pStyle w:val="ListBullet"/>
      </w:pPr>
      <w:r>
        <w:t>Reagent Receipt Log</w:t>
      </w:r>
    </w:p>
    <w:p w:rsidR="00112590" w:rsidRDefault="00112590" w:rsidP="00780A01">
      <w:pPr>
        <w:pStyle w:val="ListBullet"/>
      </w:pPr>
      <w:r>
        <w:t>Supply Receipt Log</w:t>
      </w:r>
    </w:p>
    <w:p w:rsidR="00112590" w:rsidRDefault="00112590" w:rsidP="00780A01">
      <w:pPr>
        <w:pStyle w:val="ListBullet"/>
      </w:pPr>
      <w:r>
        <w:t>Transfusion Reaction Forms</w:t>
      </w:r>
    </w:p>
    <w:p w:rsidR="00112590" w:rsidRDefault="00112590" w:rsidP="0095796B">
      <w:pPr>
        <w:pStyle w:val="ListBullet"/>
      </w:pPr>
      <w:r>
        <w:t>Transfusion Requirements Report: current printed version must be available at all times for user</w:t>
      </w:r>
      <w:r w:rsidR="004C1E6C">
        <w:t>s to check patient historic records and Transfusion Requirements</w:t>
      </w:r>
      <w:r>
        <w:t>. (See</w:t>
      </w:r>
      <w:r w:rsidR="00EE4647">
        <w:t xml:space="preserve"> </w:t>
      </w:r>
      <w:r w:rsidR="00EE4647">
        <w:fldChar w:fldCharType="begin"/>
      </w:r>
      <w:r w:rsidR="00EE4647">
        <w:instrText xml:space="preserve"> REF _Ref256684287 \h </w:instrText>
      </w:r>
      <w:r w:rsidR="00EE4647">
        <w:fldChar w:fldCharType="separate"/>
      </w:r>
      <w:r w:rsidR="005F38BC">
        <w:t xml:space="preserve">Appendix </w:t>
      </w:r>
      <w:r w:rsidR="005F38BC">
        <w:rPr>
          <w:noProof/>
        </w:rPr>
        <w:t>J</w:t>
      </w:r>
      <w:r w:rsidR="005F38BC">
        <w:t>: Recommended Report Usage</w:t>
      </w:r>
      <w:r w:rsidR="00EE4647">
        <w:fldChar w:fldCharType="end"/>
      </w:r>
      <w:r>
        <w:t xml:space="preserve">: </w:t>
      </w:r>
      <w:r w:rsidR="00CF5477">
        <w:fldChar w:fldCharType="begin"/>
      </w:r>
      <w:r w:rsidR="00CF5477">
        <w:instrText xml:space="preserve"> REF _Ref126504669 \h </w:instrText>
      </w:r>
      <w:r w:rsidR="00CF5477">
        <w:fldChar w:fldCharType="separate"/>
      </w:r>
      <w:r w:rsidR="005F38BC">
        <w:t xml:space="preserve">Table </w:t>
      </w:r>
      <w:r w:rsidR="005F38BC">
        <w:rPr>
          <w:noProof/>
        </w:rPr>
        <w:t>38</w:t>
      </w:r>
      <w:r w:rsidR="005F38BC">
        <w:t>: Recommended Report Usage</w:t>
      </w:r>
      <w:r w:rsidR="00CF5477">
        <w:fldChar w:fldCharType="end"/>
      </w:r>
      <w:r>
        <w:t>.)</w:t>
      </w:r>
    </w:p>
    <w:p w:rsidR="004C542E" w:rsidRDefault="0000620B" w:rsidP="004C542E">
      <w:pPr>
        <w:pStyle w:val="BodyText"/>
      </w:pPr>
      <w:r>
        <w:t>Each site may use</w:t>
      </w:r>
      <w:r w:rsidR="004C542E">
        <w:t xml:space="preserve"> and modify</w:t>
      </w:r>
      <w:r>
        <w:t xml:space="preserve"> (included in this appendix)</w:t>
      </w:r>
      <w:r w:rsidR="004C542E">
        <w:t>:</w:t>
      </w:r>
      <w:r w:rsidR="001D72C9">
        <w:t xml:space="preserve"> </w:t>
      </w:r>
    </w:p>
    <w:p w:rsidR="0000620B" w:rsidRDefault="0000620B" w:rsidP="004C542E">
      <w:pPr>
        <w:pStyle w:val="ListBullet"/>
      </w:pPr>
      <w:r>
        <w:t>Patient Testing Forms</w:t>
      </w:r>
    </w:p>
    <w:p w:rsidR="0000620B" w:rsidRDefault="0000620B" w:rsidP="004C542E">
      <w:pPr>
        <w:pStyle w:val="ListBullet"/>
      </w:pPr>
      <w:r>
        <w:t>Unit ABO/Rh Confirmation Forms</w:t>
      </w:r>
    </w:p>
    <w:p w:rsidR="0000620B" w:rsidRDefault="0000620B" w:rsidP="004C542E">
      <w:pPr>
        <w:pStyle w:val="ListBullet"/>
      </w:pPr>
      <w:r>
        <w:t>Unit Issue and Inspection Logs</w:t>
      </w:r>
    </w:p>
    <w:p w:rsidR="0000620B" w:rsidRDefault="0000620B" w:rsidP="004C542E">
      <w:pPr>
        <w:pStyle w:val="ListBullet"/>
      </w:pPr>
      <w:r>
        <w:lastRenderedPageBreak/>
        <w:t>Unit Modification Forms</w:t>
      </w:r>
    </w:p>
    <w:p w:rsidR="004C542E" w:rsidRDefault="004C542E" w:rsidP="004C542E">
      <w:pPr>
        <w:pStyle w:val="BodyText"/>
      </w:pPr>
      <w:r>
        <w:t>The information on these forms match</w:t>
      </w:r>
      <w:r w:rsidR="00672426">
        <w:t>es</w:t>
      </w:r>
      <w:r>
        <w:t xml:space="preserve"> information to be input in VBECS.</w:t>
      </w:r>
    </w:p>
    <w:p w:rsidR="002A21AE" w:rsidRDefault="002A21AE">
      <w:pPr>
        <w:pStyle w:val="ListBullet"/>
        <w:numPr>
          <w:ilvl w:val="0"/>
          <w:numId w:val="0"/>
        </w:numPr>
        <w:ind w:left="576" w:hanging="288"/>
        <w:sectPr w:rsidR="002A21AE" w:rsidSect="00EE771C">
          <w:pgSz w:w="12240" w:h="15840" w:code="1"/>
          <w:pgMar w:top="1440" w:right="1440" w:bottom="1440" w:left="1440" w:header="720" w:footer="720" w:gutter="0"/>
          <w:cols w:space="720"/>
          <w:docGrid w:linePitch="360"/>
        </w:sectPr>
      </w:pPr>
    </w:p>
    <w:p w:rsidR="004A6408" w:rsidRDefault="004A6408" w:rsidP="00266EAB">
      <w:pPr>
        <w:pStyle w:val="Heading3"/>
      </w:pPr>
      <w:bookmarkStart w:id="586" w:name="_Toc459900189"/>
      <w:r w:rsidRPr="009244E2">
        <w:lastRenderedPageBreak/>
        <w:t>Patient Testing Form</w:t>
      </w:r>
      <w:bookmarkEnd w:id="586"/>
      <w:r w:rsidR="00246F04">
        <w:fldChar w:fldCharType="begin"/>
      </w:r>
      <w:r w:rsidR="00246F04">
        <w:instrText xml:space="preserve"> XE "</w:instrText>
      </w:r>
      <w:r w:rsidR="00246F04" w:rsidRPr="004C6254">
        <w:instrText>Patient Testing Form</w:instrText>
      </w:r>
      <w:r w:rsidR="00246F04">
        <w:instrText xml:space="preserve">" </w:instrText>
      </w:r>
      <w:r w:rsidR="00246F04">
        <w:fldChar w:fldCharType="end"/>
      </w:r>
      <w:r w:rsidR="00A95965">
        <w:fldChar w:fldCharType="begin"/>
      </w:r>
      <w:r w:rsidR="00A95965">
        <w:instrText xml:space="preserve"> XE “Forms:Patient Testing Form” </w:instrText>
      </w:r>
      <w:r w:rsidR="00A95965">
        <w:fldChar w:fldCharType="end"/>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5"/>
        <w:gridCol w:w="2189"/>
        <w:gridCol w:w="1244"/>
        <w:gridCol w:w="1420"/>
        <w:gridCol w:w="897"/>
        <w:gridCol w:w="603"/>
        <w:gridCol w:w="1020"/>
        <w:gridCol w:w="694"/>
        <w:gridCol w:w="457"/>
        <w:gridCol w:w="702"/>
        <w:gridCol w:w="1459"/>
      </w:tblGrid>
      <w:tr w:rsidR="003F4F8B">
        <w:tc>
          <w:tcPr>
            <w:tcW w:w="12960" w:type="dxa"/>
            <w:gridSpan w:val="11"/>
          </w:tcPr>
          <w:p w:rsidR="003F4F8B" w:rsidRPr="003F4F8B" w:rsidRDefault="003F4F8B" w:rsidP="00FC4396">
            <w:pPr>
              <w:pStyle w:val="TableText"/>
            </w:pPr>
            <w:r w:rsidRPr="00887834">
              <w:rPr>
                <w:b/>
              </w:rPr>
              <w:t xml:space="preserve">Facility Name: </w:t>
            </w:r>
          </w:p>
        </w:tc>
      </w:tr>
      <w:tr w:rsidR="003F4F8B">
        <w:tc>
          <w:tcPr>
            <w:tcW w:w="12960" w:type="dxa"/>
            <w:gridSpan w:val="11"/>
          </w:tcPr>
          <w:p w:rsidR="003F4F8B" w:rsidRPr="003F4F8B" w:rsidRDefault="003F4F8B" w:rsidP="00FC4396">
            <w:pPr>
              <w:pStyle w:val="TableText"/>
            </w:pPr>
            <w:r w:rsidRPr="00887834">
              <w:rPr>
                <w:b/>
              </w:rPr>
              <w:t xml:space="preserve">Address: </w:t>
            </w:r>
          </w:p>
        </w:tc>
      </w:tr>
      <w:tr w:rsidR="003F4F8B">
        <w:tc>
          <w:tcPr>
            <w:tcW w:w="12960" w:type="dxa"/>
            <w:gridSpan w:val="11"/>
          </w:tcPr>
          <w:p w:rsidR="003F4F8B" w:rsidRPr="003F4F8B" w:rsidRDefault="003F4F8B" w:rsidP="00FC4396">
            <w:pPr>
              <w:pStyle w:val="TableText"/>
            </w:pPr>
            <w:r w:rsidRPr="00887834">
              <w:rPr>
                <w:b/>
              </w:rPr>
              <w:t>City, State, Zip Code:</w:t>
            </w:r>
            <w:r>
              <w:t xml:space="preserve"> </w:t>
            </w:r>
          </w:p>
        </w:tc>
      </w:tr>
      <w:tr w:rsidR="004A6408" w:rsidRPr="0085788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231"/>
        </w:trPr>
        <w:tc>
          <w:tcPr>
            <w:tcW w:w="2275" w:type="dxa"/>
            <w:tcBorders>
              <w:bottom w:val="single" w:sz="2" w:space="0" w:color="auto"/>
            </w:tcBorders>
            <w:shd w:val="clear" w:color="auto" w:fill="B3B3B3"/>
            <w:noWrap/>
          </w:tcPr>
          <w:p w:rsidR="004A6408" w:rsidRPr="0085788A" w:rsidRDefault="004A6408" w:rsidP="00A95965">
            <w:pPr>
              <w:pStyle w:val="TableText"/>
              <w:rPr>
                <w:b/>
              </w:rPr>
            </w:pPr>
            <w:r w:rsidRPr="0085788A">
              <w:rPr>
                <w:b/>
              </w:rPr>
              <w:t>Patient Name</w:t>
            </w:r>
          </w:p>
        </w:tc>
        <w:tc>
          <w:tcPr>
            <w:tcW w:w="2189" w:type="dxa"/>
            <w:tcBorders>
              <w:bottom w:val="single" w:sz="2" w:space="0" w:color="auto"/>
            </w:tcBorders>
            <w:shd w:val="clear" w:color="auto" w:fill="B3B3B3"/>
            <w:noWrap/>
          </w:tcPr>
          <w:p w:rsidR="004A6408" w:rsidRPr="0085788A" w:rsidRDefault="004A6408" w:rsidP="00A95965">
            <w:pPr>
              <w:pStyle w:val="TableText"/>
              <w:rPr>
                <w:b/>
              </w:rPr>
            </w:pPr>
            <w:r w:rsidRPr="0085788A">
              <w:rPr>
                <w:b/>
              </w:rPr>
              <w:t xml:space="preserve">Patient </w:t>
            </w:r>
            <w:r>
              <w:rPr>
                <w:b/>
                <w:szCs w:val="20"/>
              </w:rPr>
              <w:t>Identification Number</w:t>
            </w:r>
            <w:r w:rsidRPr="0085788A">
              <w:rPr>
                <w:b/>
              </w:rPr>
              <w:t xml:space="preserve"> </w:t>
            </w:r>
          </w:p>
        </w:tc>
        <w:tc>
          <w:tcPr>
            <w:tcW w:w="1244" w:type="dxa"/>
            <w:tcBorders>
              <w:bottom w:val="single" w:sz="2" w:space="0" w:color="auto"/>
            </w:tcBorders>
            <w:shd w:val="clear" w:color="auto" w:fill="B3B3B3"/>
            <w:noWrap/>
          </w:tcPr>
          <w:p w:rsidR="004A6408" w:rsidRPr="0085788A" w:rsidRDefault="004A6408" w:rsidP="00A95965">
            <w:pPr>
              <w:pStyle w:val="TableText"/>
              <w:rPr>
                <w:b/>
              </w:rPr>
            </w:pPr>
            <w:r w:rsidRPr="0085788A">
              <w:rPr>
                <w:b/>
              </w:rPr>
              <w:t>Location</w:t>
            </w:r>
          </w:p>
        </w:tc>
        <w:tc>
          <w:tcPr>
            <w:tcW w:w="2317" w:type="dxa"/>
            <w:gridSpan w:val="2"/>
            <w:tcBorders>
              <w:bottom w:val="single" w:sz="2" w:space="0" w:color="auto"/>
            </w:tcBorders>
            <w:shd w:val="clear" w:color="auto" w:fill="B3B3B3"/>
            <w:noWrap/>
          </w:tcPr>
          <w:p w:rsidR="004A6408" w:rsidRPr="0085788A" w:rsidRDefault="004A6408" w:rsidP="00A95965">
            <w:pPr>
              <w:pStyle w:val="TableText"/>
              <w:rPr>
                <w:b/>
              </w:rPr>
            </w:pPr>
            <w:r w:rsidRPr="0085788A">
              <w:rPr>
                <w:b/>
              </w:rPr>
              <w:t>CPRS Order Number</w:t>
            </w:r>
          </w:p>
        </w:tc>
        <w:tc>
          <w:tcPr>
            <w:tcW w:w="2317" w:type="dxa"/>
            <w:gridSpan w:val="3"/>
            <w:tcBorders>
              <w:bottom w:val="single" w:sz="2" w:space="0" w:color="auto"/>
            </w:tcBorders>
            <w:shd w:val="clear" w:color="auto" w:fill="B3B3B3"/>
            <w:noWrap/>
          </w:tcPr>
          <w:p w:rsidR="004A6408" w:rsidRPr="0085788A" w:rsidRDefault="004A6408" w:rsidP="00A95965">
            <w:pPr>
              <w:pStyle w:val="TableText"/>
              <w:rPr>
                <w:b/>
              </w:rPr>
            </w:pPr>
            <w:r w:rsidRPr="0085788A">
              <w:rPr>
                <w:b/>
              </w:rPr>
              <w:t>Lab Order Number</w:t>
            </w:r>
          </w:p>
        </w:tc>
        <w:tc>
          <w:tcPr>
            <w:tcW w:w="1159" w:type="dxa"/>
            <w:gridSpan w:val="2"/>
            <w:tcBorders>
              <w:bottom w:val="single" w:sz="2" w:space="0" w:color="auto"/>
            </w:tcBorders>
            <w:shd w:val="clear" w:color="auto" w:fill="B3B3B3"/>
            <w:noWrap/>
          </w:tcPr>
          <w:p w:rsidR="004A6408" w:rsidRPr="0085788A" w:rsidRDefault="004A6408" w:rsidP="00A95965">
            <w:pPr>
              <w:pStyle w:val="TableText"/>
              <w:rPr>
                <w:b/>
              </w:rPr>
            </w:pPr>
            <w:r w:rsidRPr="0085788A">
              <w:rPr>
                <w:b/>
              </w:rPr>
              <w:t>Urgency</w:t>
            </w:r>
          </w:p>
        </w:tc>
        <w:tc>
          <w:tcPr>
            <w:tcW w:w="1459" w:type="dxa"/>
            <w:tcBorders>
              <w:bottom w:val="single" w:sz="2" w:space="0" w:color="auto"/>
            </w:tcBorders>
            <w:shd w:val="clear" w:color="auto" w:fill="B3B3B3"/>
            <w:noWrap/>
          </w:tcPr>
          <w:p w:rsidR="004A6408" w:rsidRPr="0085788A" w:rsidRDefault="004A6408" w:rsidP="00A95965">
            <w:pPr>
              <w:pStyle w:val="TableText"/>
              <w:rPr>
                <w:b/>
              </w:rPr>
            </w:pPr>
            <w:r w:rsidRPr="0085788A">
              <w:rPr>
                <w:b/>
              </w:rPr>
              <w:t>Appropriate?</w:t>
            </w:r>
            <w:r>
              <w:rPr>
                <w:b/>
              </w:rPr>
              <w:t xml:space="preserve"> (Yes, No)</w:t>
            </w:r>
          </w:p>
        </w:tc>
      </w:tr>
      <w:tr w:rsidR="004A6408" w:rsidRPr="004603A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432"/>
        </w:trPr>
        <w:tc>
          <w:tcPr>
            <w:tcW w:w="2275" w:type="dxa"/>
            <w:tcBorders>
              <w:top w:val="single" w:sz="2" w:space="0" w:color="auto"/>
              <w:left w:val="single" w:sz="2" w:space="0" w:color="auto"/>
              <w:bottom w:val="single" w:sz="2" w:space="0" w:color="auto"/>
              <w:right w:val="single" w:sz="2" w:space="0" w:color="auto"/>
            </w:tcBorders>
            <w:shd w:val="clear" w:color="auto" w:fill="auto"/>
            <w:noWrap/>
          </w:tcPr>
          <w:p w:rsidR="004A6408" w:rsidRPr="004603A1" w:rsidRDefault="004A6408" w:rsidP="00A95965">
            <w:pPr>
              <w:pStyle w:val="TableText"/>
            </w:pPr>
          </w:p>
        </w:tc>
        <w:tc>
          <w:tcPr>
            <w:tcW w:w="2189" w:type="dxa"/>
            <w:tcBorders>
              <w:top w:val="single" w:sz="2" w:space="0" w:color="auto"/>
              <w:left w:val="single" w:sz="2" w:space="0" w:color="auto"/>
              <w:bottom w:val="single" w:sz="2" w:space="0" w:color="auto"/>
              <w:right w:val="single" w:sz="2" w:space="0" w:color="auto"/>
            </w:tcBorders>
            <w:shd w:val="clear" w:color="auto" w:fill="auto"/>
            <w:noWrap/>
          </w:tcPr>
          <w:p w:rsidR="004A6408" w:rsidRPr="004603A1" w:rsidRDefault="004A6408" w:rsidP="00A95965">
            <w:pPr>
              <w:pStyle w:val="TableText"/>
            </w:pPr>
          </w:p>
        </w:tc>
        <w:tc>
          <w:tcPr>
            <w:tcW w:w="1244" w:type="dxa"/>
            <w:tcBorders>
              <w:top w:val="single" w:sz="2" w:space="0" w:color="auto"/>
              <w:left w:val="single" w:sz="2" w:space="0" w:color="auto"/>
              <w:bottom w:val="single" w:sz="2" w:space="0" w:color="auto"/>
              <w:right w:val="single" w:sz="2" w:space="0" w:color="auto"/>
            </w:tcBorders>
            <w:shd w:val="clear" w:color="auto" w:fill="auto"/>
            <w:noWrap/>
          </w:tcPr>
          <w:p w:rsidR="004A6408" w:rsidRPr="004603A1" w:rsidRDefault="004A6408" w:rsidP="00A95965">
            <w:pPr>
              <w:pStyle w:val="TableText"/>
            </w:pPr>
          </w:p>
        </w:tc>
        <w:tc>
          <w:tcPr>
            <w:tcW w:w="2317" w:type="dxa"/>
            <w:gridSpan w:val="2"/>
            <w:tcBorders>
              <w:top w:val="single" w:sz="2" w:space="0" w:color="auto"/>
              <w:left w:val="single" w:sz="2" w:space="0" w:color="auto"/>
              <w:bottom w:val="single" w:sz="2" w:space="0" w:color="auto"/>
              <w:right w:val="single" w:sz="2" w:space="0" w:color="auto"/>
            </w:tcBorders>
            <w:shd w:val="clear" w:color="auto" w:fill="auto"/>
            <w:noWrap/>
          </w:tcPr>
          <w:p w:rsidR="004A6408" w:rsidRPr="004603A1" w:rsidRDefault="004A6408" w:rsidP="00A95965">
            <w:pPr>
              <w:pStyle w:val="TableText"/>
            </w:pPr>
          </w:p>
        </w:tc>
        <w:tc>
          <w:tcPr>
            <w:tcW w:w="2317" w:type="dxa"/>
            <w:gridSpan w:val="3"/>
            <w:tcBorders>
              <w:top w:val="single" w:sz="2" w:space="0" w:color="auto"/>
              <w:left w:val="single" w:sz="2" w:space="0" w:color="auto"/>
              <w:bottom w:val="single" w:sz="2" w:space="0" w:color="auto"/>
              <w:right w:val="single" w:sz="2" w:space="0" w:color="auto"/>
            </w:tcBorders>
            <w:shd w:val="clear" w:color="auto" w:fill="auto"/>
            <w:noWrap/>
          </w:tcPr>
          <w:p w:rsidR="004A6408" w:rsidRPr="004603A1" w:rsidRDefault="004A6408" w:rsidP="00A95965">
            <w:pPr>
              <w:pStyle w:val="TableText"/>
            </w:pPr>
          </w:p>
        </w:tc>
        <w:tc>
          <w:tcPr>
            <w:tcW w:w="1159" w:type="dxa"/>
            <w:gridSpan w:val="2"/>
            <w:tcBorders>
              <w:top w:val="single" w:sz="2" w:space="0" w:color="auto"/>
              <w:left w:val="single" w:sz="2" w:space="0" w:color="auto"/>
              <w:bottom w:val="single" w:sz="2" w:space="0" w:color="auto"/>
              <w:right w:val="single" w:sz="2" w:space="0" w:color="auto"/>
            </w:tcBorders>
            <w:shd w:val="clear" w:color="auto" w:fill="auto"/>
            <w:noWrap/>
          </w:tcPr>
          <w:p w:rsidR="004A6408" w:rsidRPr="004603A1" w:rsidRDefault="004A6408" w:rsidP="00A95965">
            <w:pPr>
              <w:pStyle w:val="TableText"/>
            </w:pPr>
          </w:p>
        </w:tc>
        <w:tc>
          <w:tcPr>
            <w:tcW w:w="1459" w:type="dxa"/>
            <w:tcBorders>
              <w:top w:val="single" w:sz="2" w:space="0" w:color="auto"/>
              <w:left w:val="single" w:sz="2" w:space="0" w:color="auto"/>
              <w:bottom w:val="single" w:sz="2" w:space="0" w:color="auto"/>
              <w:right w:val="single" w:sz="2" w:space="0" w:color="auto"/>
            </w:tcBorders>
            <w:shd w:val="clear" w:color="auto" w:fill="auto"/>
            <w:noWrap/>
          </w:tcPr>
          <w:p w:rsidR="004A6408" w:rsidRPr="004603A1" w:rsidRDefault="004A6408" w:rsidP="00A95965">
            <w:pPr>
              <w:pStyle w:val="TableText"/>
            </w:pPr>
          </w:p>
        </w:tc>
      </w:tr>
      <w:tr w:rsidR="004A6408" w:rsidRPr="004603A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432"/>
        </w:trPr>
        <w:tc>
          <w:tcPr>
            <w:tcW w:w="2275" w:type="dxa"/>
            <w:tcBorders>
              <w:top w:val="single" w:sz="2" w:space="0" w:color="auto"/>
              <w:left w:val="single" w:sz="2" w:space="0" w:color="auto"/>
              <w:bottom w:val="single" w:sz="2" w:space="0" w:color="auto"/>
              <w:right w:val="single" w:sz="2" w:space="0" w:color="auto"/>
            </w:tcBorders>
            <w:shd w:val="clear" w:color="auto" w:fill="B3B3B3"/>
            <w:noWrap/>
          </w:tcPr>
          <w:p w:rsidR="004A6408" w:rsidRPr="0085788A" w:rsidRDefault="004A6408" w:rsidP="00A95965">
            <w:pPr>
              <w:pStyle w:val="TableText"/>
              <w:rPr>
                <w:b/>
              </w:rPr>
            </w:pPr>
            <w:r w:rsidRPr="0085788A">
              <w:rPr>
                <w:b/>
              </w:rPr>
              <w:t>Specimen UID</w:t>
            </w:r>
          </w:p>
        </w:tc>
        <w:tc>
          <w:tcPr>
            <w:tcW w:w="2189" w:type="dxa"/>
            <w:tcBorders>
              <w:top w:val="single" w:sz="2" w:space="0" w:color="auto"/>
              <w:left w:val="single" w:sz="2" w:space="0" w:color="auto"/>
              <w:bottom w:val="single" w:sz="2" w:space="0" w:color="auto"/>
              <w:right w:val="single" w:sz="2" w:space="0" w:color="auto"/>
            </w:tcBorders>
            <w:shd w:val="clear" w:color="auto" w:fill="B3B3B3"/>
            <w:noWrap/>
          </w:tcPr>
          <w:p w:rsidR="004A6408" w:rsidRPr="0085788A" w:rsidRDefault="004A6408" w:rsidP="00A95965">
            <w:pPr>
              <w:pStyle w:val="TableText"/>
              <w:rPr>
                <w:b/>
              </w:rPr>
            </w:pPr>
            <w:r w:rsidRPr="0085788A">
              <w:rPr>
                <w:rFonts w:eastAsia="Symbol"/>
                <w:b/>
              </w:rPr>
              <w:t>Date</w:t>
            </w:r>
            <w:r>
              <w:rPr>
                <w:rFonts w:eastAsia="Symbol"/>
                <w:b/>
              </w:rPr>
              <w:t xml:space="preserve"> and </w:t>
            </w:r>
            <w:r w:rsidRPr="0085788A">
              <w:rPr>
                <w:rFonts w:eastAsia="Symbol"/>
                <w:b/>
              </w:rPr>
              <w:t>Time Collected</w:t>
            </w:r>
          </w:p>
        </w:tc>
        <w:tc>
          <w:tcPr>
            <w:tcW w:w="2664" w:type="dxa"/>
            <w:gridSpan w:val="2"/>
            <w:tcBorders>
              <w:top w:val="single" w:sz="2" w:space="0" w:color="auto"/>
              <w:left w:val="single" w:sz="2" w:space="0" w:color="auto"/>
              <w:bottom w:val="single" w:sz="2" w:space="0" w:color="auto"/>
              <w:right w:val="single" w:sz="2" w:space="0" w:color="auto"/>
            </w:tcBorders>
            <w:shd w:val="clear" w:color="auto" w:fill="B3B3B3"/>
            <w:noWrap/>
          </w:tcPr>
          <w:p w:rsidR="004A6408" w:rsidRPr="004603A1" w:rsidRDefault="004A6408" w:rsidP="00A95965">
            <w:pPr>
              <w:pStyle w:val="TableText"/>
            </w:pPr>
            <w:r w:rsidRPr="0085788A">
              <w:rPr>
                <w:b/>
              </w:rPr>
              <w:t xml:space="preserve">Phlebotomist </w:t>
            </w:r>
            <w:r>
              <w:rPr>
                <w:b/>
                <w:szCs w:val="20"/>
              </w:rPr>
              <w:t>Name</w:t>
            </w:r>
          </w:p>
        </w:tc>
        <w:tc>
          <w:tcPr>
            <w:tcW w:w="2520" w:type="dxa"/>
            <w:gridSpan w:val="3"/>
            <w:tcBorders>
              <w:top w:val="single" w:sz="2" w:space="0" w:color="auto"/>
              <w:left w:val="single" w:sz="2" w:space="0" w:color="auto"/>
              <w:bottom w:val="single" w:sz="2" w:space="0" w:color="auto"/>
              <w:right w:val="single" w:sz="2" w:space="0" w:color="auto"/>
            </w:tcBorders>
            <w:shd w:val="clear" w:color="auto" w:fill="B3B3B3"/>
            <w:noWrap/>
          </w:tcPr>
          <w:p w:rsidR="004A6408" w:rsidRPr="004603A1" w:rsidRDefault="004A6408" w:rsidP="00A95965">
            <w:pPr>
              <w:pStyle w:val="TableText"/>
            </w:pPr>
            <w:r w:rsidRPr="0085788A">
              <w:rPr>
                <w:b/>
              </w:rPr>
              <w:t>Date</w:t>
            </w:r>
            <w:r>
              <w:rPr>
                <w:b/>
              </w:rPr>
              <w:t xml:space="preserve"> and </w:t>
            </w:r>
            <w:r w:rsidRPr="0085788A">
              <w:rPr>
                <w:b/>
              </w:rPr>
              <w:t>Time Received</w:t>
            </w:r>
          </w:p>
        </w:tc>
        <w:tc>
          <w:tcPr>
            <w:tcW w:w="1853" w:type="dxa"/>
            <w:gridSpan w:val="3"/>
            <w:tcBorders>
              <w:top w:val="single" w:sz="2" w:space="0" w:color="auto"/>
              <w:left w:val="single" w:sz="2" w:space="0" w:color="auto"/>
              <w:bottom w:val="single" w:sz="2" w:space="0" w:color="auto"/>
              <w:right w:val="single" w:sz="2" w:space="0" w:color="auto"/>
            </w:tcBorders>
            <w:shd w:val="clear" w:color="auto" w:fill="B3B3B3"/>
            <w:noWrap/>
          </w:tcPr>
          <w:p w:rsidR="004A6408" w:rsidRPr="004603A1" w:rsidRDefault="004A6408" w:rsidP="00A95965">
            <w:pPr>
              <w:pStyle w:val="TableText"/>
            </w:pPr>
            <w:r w:rsidRPr="0085788A">
              <w:rPr>
                <w:b/>
              </w:rPr>
              <w:t xml:space="preserve">Processed </w:t>
            </w:r>
            <w:r>
              <w:rPr>
                <w:b/>
              </w:rPr>
              <w:t>B</w:t>
            </w:r>
            <w:r w:rsidRPr="0085788A">
              <w:rPr>
                <w:b/>
              </w:rPr>
              <w:t>y:</w:t>
            </w:r>
          </w:p>
        </w:tc>
        <w:tc>
          <w:tcPr>
            <w:tcW w:w="1459" w:type="dxa"/>
            <w:tcBorders>
              <w:top w:val="single" w:sz="2" w:space="0" w:color="auto"/>
              <w:left w:val="single" w:sz="2" w:space="0" w:color="auto"/>
              <w:bottom w:val="single" w:sz="2" w:space="0" w:color="auto"/>
              <w:right w:val="single" w:sz="2" w:space="0" w:color="auto"/>
            </w:tcBorders>
            <w:shd w:val="clear" w:color="auto" w:fill="B3B3B3"/>
            <w:noWrap/>
          </w:tcPr>
          <w:p w:rsidR="004A6408" w:rsidRPr="004603A1" w:rsidRDefault="004A6408" w:rsidP="00A95965">
            <w:pPr>
              <w:pStyle w:val="TableText"/>
            </w:pPr>
            <w:r w:rsidRPr="0085788A">
              <w:rPr>
                <w:b/>
              </w:rPr>
              <w:t>Acceptable?</w:t>
            </w:r>
            <w:r>
              <w:rPr>
                <w:b/>
              </w:rPr>
              <w:t xml:space="preserve"> (Yes, No)</w:t>
            </w:r>
          </w:p>
        </w:tc>
      </w:tr>
      <w:tr w:rsidR="004A6408" w:rsidRPr="004603A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432"/>
        </w:trPr>
        <w:tc>
          <w:tcPr>
            <w:tcW w:w="2275" w:type="dxa"/>
            <w:tcBorders>
              <w:top w:val="single" w:sz="2" w:space="0" w:color="auto"/>
              <w:left w:val="single" w:sz="2" w:space="0" w:color="auto"/>
              <w:bottom w:val="single" w:sz="2" w:space="0" w:color="auto"/>
              <w:right w:val="single" w:sz="2" w:space="0" w:color="auto"/>
            </w:tcBorders>
            <w:shd w:val="clear" w:color="auto" w:fill="auto"/>
            <w:noWrap/>
          </w:tcPr>
          <w:p w:rsidR="004A6408" w:rsidRPr="004603A1" w:rsidRDefault="004A6408" w:rsidP="00A95965">
            <w:pPr>
              <w:pStyle w:val="TableText"/>
            </w:pPr>
          </w:p>
        </w:tc>
        <w:tc>
          <w:tcPr>
            <w:tcW w:w="2189" w:type="dxa"/>
            <w:tcBorders>
              <w:top w:val="single" w:sz="2" w:space="0" w:color="auto"/>
              <w:left w:val="single" w:sz="2" w:space="0" w:color="auto"/>
              <w:bottom w:val="single" w:sz="2" w:space="0" w:color="auto"/>
              <w:right w:val="single" w:sz="2" w:space="0" w:color="auto"/>
            </w:tcBorders>
            <w:shd w:val="clear" w:color="auto" w:fill="auto"/>
            <w:noWrap/>
          </w:tcPr>
          <w:p w:rsidR="004A6408" w:rsidRPr="004603A1" w:rsidRDefault="004A6408" w:rsidP="00A95965">
            <w:pPr>
              <w:pStyle w:val="TableText"/>
            </w:pPr>
          </w:p>
        </w:tc>
        <w:tc>
          <w:tcPr>
            <w:tcW w:w="2664" w:type="dxa"/>
            <w:gridSpan w:val="2"/>
            <w:tcBorders>
              <w:top w:val="single" w:sz="2" w:space="0" w:color="auto"/>
              <w:left w:val="single" w:sz="2" w:space="0" w:color="auto"/>
              <w:bottom w:val="single" w:sz="2" w:space="0" w:color="auto"/>
              <w:right w:val="single" w:sz="2" w:space="0" w:color="auto"/>
            </w:tcBorders>
            <w:shd w:val="clear" w:color="auto" w:fill="auto"/>
            <w:noWrap/>
          </w:tcPr>
          <w:p w:rsidR="004A6408" w:rsidRPr="004603A1" w:rsidRDefault="004A6408" w:rsidP="00A95965">
            <w:pPr>
              <w:pStyle w:val="TableText"/>
            </w:pPr>
          </w:p>
        </w:tc>
        <w:tc>
          <w:tcPr>
            <w:tcW w:w="2520" w:type="dxa"/>
            <w:gridSpan w:val="3"/>
            <w:tcBorders>
              <w:top w:val="single" w:sz="2" w:space="0" w:color="auto"/>
              <w:left w:val="single" w:sz="2" w:space="0" w:color="auto"/>
              <w:bottom w:val="single" w:sz="2" w:space="0" w:color="auto"/>
              <w:right w:val="single" w:sz="2" w:space="0" w:color="auto"/>
            </w:tcBorders>
            <w:shd w:val="clear" w:color="auto" w:fill="auto"/>
            <w:noWrap/>
          </w:tcPr>
          <w:p w:rsidR="004A6408" w:rsidRPr="004603A1" w:rsidRDefault="004A6408" w:rsidP="00A95965">
            <w:pPr>
              <w:pStyle w:val="TableText"/>
            </w:pPr>
          </w:p>
        </w:tc>
        <w:tc>
          <w:tcPr>
            <w:tcW w:w="1853" w:type="dxa"/>
            <w:gridSpan w:val="3"/>
            <w:tcBorders>
              <w:top w:val="single" w:sz="2" w:space="0" w:color="auto"/>
              <w:left w:val="single" w:sz="2" w:space="0" w:color="auto"/>
              <w:bottom w:val="single" w:sz="2" w:space="0" w:color="auto"/>
              <w:right w:val="single" w:sz="2" w:space="0" w:color="auto"/>
            </w:tcBorders>
            <w:shd w:val="clear" w:color="auto" w:fill="auto"/>
            <w:noWrap/>
          </w:tcPr>
          <w:p w:rsidR="004A6408" w:rsidRPr="004603A1" w:rsidRDefault="004A6408" w:rsidP="00A95965">
            <w:pPr>
              <w:pStyle w:val="TableText"/>
            </w:pPr>
          </w:p>
        </w:tc>
        <w:tc>
          <w:tcPr>
            <w:tcW w:w="1459" w:type="dxa"/>
            <w:tcBorders>
              <w:top w:val="single" w:sz="2" w:space="0" w:color="auto"/>
              <w:left w:val="single" w:sz="2" w:space="0" w:color="auto"/>
              <w:bottom w:val="single" w:sz="2" w:space="0" w:color="auto"/>
              <w:right w:val="single" w:sz="2" w:space="0" w:color="auto"/>
            </w:tcBorders>
            <w:shd w:val="clear" w:color="auto" w:fill="auto"/>
            <w:noWrap/>
          </w:tcPr>
          <w:p w:rsidR="004A6408" w:rsidRPr="004603A1" w:rsidRDefault="004A6408" w:rsidP="00A95965">
            <w:pPr>
              <w:pStyle w:val="TableText"/>
            </w:pPr>
          </w:p>
        </w:tc>
      </w:tr>
      <w:tr w:rsidR="004A640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432"/>
        </w:trPr>
        <w:tc>
          <w:tcPr>
            <w:tcW w:w="12960" w:type="dxa"/>
            <w:gridSpan w:val="11"/>
            <w:noWrap/>
          </w:tcPr>
          <w:p w:rsidR="004A6408" w:rsidRPr="00547668" w:rsidRDefault="004A6408" w:rsidP="00A95965">
            <w:pPr>
              <w:pStyle w:val="TableText"/>
              <w:rPr>
                <w:b/>
                <w:szCs w:val="20"/>
              </w:rPr>
            </w:pPr>
            <w:r w:rsidRPr="00547668">
              <w:rPr>
                <w:b/>
                <w:szCs w:val="20"/>
              </w:rPr>
              <w:t>Ordered Tests:</w:t>
            </w:r>
          </w:p>
        </w:tc>
      </w:tr>
      <w:tr w:rsidR="004A640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432"/>
        </w:trPr>
        <w:tc>
          <w:tcPr>
            <w:tcW w:w="8628" w:type="dxa"/>
            <w:gridSpan w:val="6"/>
            <w:noWrap/>
          </w:tcPr>
          <w:p w:rsidR="004A6408" w:rsidRPr="00547668" w:rsidRDefault="004A6408" w:rsidP="00A95965">
            <w:pPr>
              <w:pStyle w:val="TableText"/>
              <w:rPr>
                <w:b/>
                <w:szCs w:val="20"/>
              </w:rPr>
            </w:pPr>
            <w:r w:rsidRPr="00547668">
              <w:rPr>
                <w:b/>
                <w:szCs w:val="20"/>
              </w:rPr>
              <w:t>Comments:</w:t>
            </w:r>
          </w:p>
        </w:tc>
        <w:tc>
          <w:tcPr>
            <w:tcW w:w="2171" w:type="dxa"/>
            <w:gridSpan w:val="3"/>
          </w:tcPr>
          <w:p w:rsidR="004A6408" w:rsidRPr="00547668" w:rsidRDefault="004A6408" w:rsidP="00A95965">
            <w:pPr>
              <w:pStyle w:val="TableText"/>
              <w:rPr>
                <w:b/>
                <w:szCs w:val="20"/>
              </w:rPr>
            </w:pPr>
            <w:r w:rsidRPr="00547668">
              <w:rPr>
                <w:b/>
                <w:szCs w:val="20"/>
              </w:rPr>
              <w:t>Entered By:</w:t>
            </w:r>
          </w:p>
        </w:tc>
        <w:tc>
          <w:tcPr>
            <w:tcW w:w="2161" w:type="dxa"/>
            <w:gridSpan w:val="2"/>
          </w:tcPr>
          <w:p w:rsidR="004A6408" w:rsidRPr="00547668" w:rsidRDefault="004A6408" w:rsidP="00A95965">
            <w:pPr>
              <w:pStyle w:val="TableText"/>
              <w:rPr>
                <w:b/>
                <w:szCs w:val="20"/>
              </w:rPr>
            </w:pPr>
            <w:r w:rsidRPr="00547668">
              <w:rPr>
                <w:b/>
                <w:szCs w:val="20"/>
              </w:rPr>
              <w:t>Date and Time</w:t>
            </w:r>
            <w:r>
              <w:rPr>
                <w:b/>
                <w:szCs w:val="20"/>
              </w:rPr>
              <w:t>:</w:t>
            </w:r>
          </w:p>
        </w:tc>
      </w:tr>
    </w:tbl>
    <w:p w:rsidR="004A6408" w:rsidRDefault="004A6408" w:rsidP="00DD75E5">
      <w:pPr>
        <w:pStyle w:val="BodyText"/>
      </w:pPr>
    </w:p>
    <w:tbl>
      <w:tblPr>
        <w:tblW w:w="12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
      <w:tblGrid>
        <w:gridCol w:w="1455"/>
        <w:gridCol w:w="897"/>
        <w:gridCol w:w="546"/>
        <w:gridCol w:w="1407"/>
        <w:gridCol w:w="28"/>
        <w:gridCol w:w="1434"/>
        <w:gridCol w:w="1434"/>
        <w:gridCol w:w="1441"/>
        <w:gridCol w:w="1433"/>
        <w:gridCol w:w="1433"/>
        <w:gridCol w:w="1452"/>
      </w:tblGrid>
      <w:tr w:rsidR="004A6408">
        <w:trPr>
          <w:cantSplit/>
          <w:trHeight w:val="230"/>
        </w:trPr>
        <w:tc>
          <w:tcPr>
            <w:tcW w:w="2352" w:type="dxa"/>
            <w:gridSpan w:val="2"/>
            <w:shd w:val="clear" w:color="auto" w:fill="B3B3B3"/>
            <w:noWrap/>
          </w:tcPr>
          <w:p w:rsidR="004A6408" w:rsidRPr="00DD058C" w:rsidRDefault="004A6408" w:rsidP="00A95965">
            <w:pPr>
              <w:pStyle w:val="TableText"/>
              <w:rPr>
                <w:b/>
                <w:szCs w:val="20"/>
              </w:rPr>
            </w:pPr>
            <w:r>
              <w:rPr>
                <w:b/>
                <w:szCs w:val="20"/>
              </w:rPr>
              <w:t>Reagent Rack</w:t>
            </w:r>
          </w:p>
        </w:tc>
        <w:tc>
          <w:tcPr>
            <w:tcW w:w="1953" w:type="dxa"/>
            <w:gridSpan w:val="2"/>
            <w:shd w:val="clear" w:color="auto" w:fill="B3B3B3"/>
          </w:tcPr>
          <w:p w:rsidR="004A6408" w:rsidRPr="00DD058C" w:rsidRDefault="004A6408" w:rsidP="00A95965">
            <w:pPr>
              <w:pStyle w:val="TableText"/>
              <w:rPr>
                <w:b/>
                <w:szCs w:val="20"/>
              </w:rPr>
            </w:pPr>
            <w:r>
              <w:rPr>
                <w:b/>
                <w:szCs w:val="20"/>
              </w:rPr>
              <w:t>Date and Time</w:t>
            </w:r>
          </w:p>
        </w:tc>
        <w:tc>
          <w:tcPr>
            <w:tcW w:w="8655" w:type="dxa"/>
            <w:gridSpan w:val="7"/>
            <w:shd w:val="clear" w:color="auto" w:fill="B3B3B3"/>
          </w:tcPr>
          <w:p w:rsidR="004A6408" w:rsidRPr="00DD058C" w:rsidRDefault="004A6408" w:rsidP="00A95965">
            <w:pPr>
              <w:pStyle w:val="TableText"/>
              <w:rPr>
                <w:b/>
                <w:szCs w:val="20"/>
              </w:rPr>
            </w:pPr>
            <w:r>
              <w:rPr>
                <w:b/>
                <w:szCs w:val="20"/>
              </w:rPr>
              <w:t>Tech Name</w:t>
            </w:r>
          </w:p>
        </w:tc>
      </w:tr>
      <w:tr w:rsidR="004A6408">
        <w:tblPrEx>
          <w:shd w:val="clear" w:color="auto" w:fill="auto"/>
        </w:tblPrEx>
        <w:trPr>
          <w:cantSplit/>
          <w:trHeight w:val="432"/>
        </w:trPr>
        <w:tc>
          <w:tcPr>
            <w:tcW w:w="2352" w:type="dxa"/>
            <w:gridSpan w:val="2"/>
            <w:noWrap/>
          </w:tcPr>
          <w:p w:rsidR="004A6408" w:rsidRDefault="004A6408" w:rsidP="00A95965">
            <w:pPr>
              <w:pStyle w:val="TableText"/>
              <w:rPr>
                <w:szCs w:val="20"/>
              </w:rPr>
            </w:pPr>
          </w:p>
        </w:tc>
        <w:tc>
          <w:tcPr>
            <w:tcW w:w="1953" w:type="dxa"/>
            <w:gridSpan w:val="2"/>
          </w:tcPr>
          <w:p w:rsidR="004A6408" w:rsidRDefault="004A6408" w:rsidP="00A95965">
            <w:pPr>
              <w:pStyle w:val="TableText"/>
              <w:rPr>
                <w:szCs w:val="20"/>
              </w:rPr>
            </w:pPr>
          </w:p>
        </w:tc>
        <w:tc>
          <w:tcPr>
            <w:tcW w:w="8655" w:type="dxa"/>
            <w:gridSpan w:val="7"/>
          </w:tcPr>
          <w:p w:rsidR="004A6408" w:rsidRDefault="004A6408" w:rsidP="00A95965">
            <w:pPr>
              <w:pStyle w:val="TableText"/>
              <w:rPr>
                <w:szCs w:val="20"/>
              </w:rPr>
            </w:pPr>
          </w:p>
        </w:tc>
      </w:tr>
      <w:tr w:rsidR="004A6408">
        <w:tblPrEx>
          <w:shd w:val="clear" w:color="auto" w:fill="auto"/>
        </w:tblPrEx>
        <w:trPr>
          <w:cantSplit/>
          <w:trHeight w:val="230"/>
          <w:tblHeader/>
        </w:trPr>
        <w:tc>
          <w:tcPr>
            <w:tcW w:w="1455" w:type="dxa"/>
            <w:vMerge w:val="restart"/>
            <w:shd w:val="clear" w:color="auto" w:fill="B3B3B3"/>
            <w:noWrap/>
          </w:tcPr>
          <w:p w:rsidR="004A6408" w:rsidRPr="00E42FCF" w:rsidRDefault="004A6408" w:rsidP="00A95965">
            <w:pPr>
              <w:pStyle w:val="TableText"/>
              <w:rPr>
                <w:b/>
                <w:szCs w:val="20"/>
              </w:rPr>
            </w:pPr>
            <w:r>
              <w:rPr>
                <w:b/>
                <w:szCs w:val="20"/>
              </w:rPr>
              <w:t>Historic ABO/Rh Check</w:t>
            </w:r>
          </w:p>
        </w:tc>
        <w:tc>
          <w:tcPr>
            <w:tcW w:w="4312" w:type="dxa"/>
            <w:gridSpan w:val="5"/>
            <w:tcBorders>
              <w:bottom w:val="single" w:sz="2" w:space="0" w:color="auto"/>
            </w:tcBorders>
            <w:shd w:val="clear" w:color="auto" w:fill="B3B3B3"/>
          </w:tcPr>
          <w:p w:rsidR="004A6408" w:rsidRPr="00E42FCF" w:rsidRDefault="004A6408" w:rsidP="00FC4396">
            <w:pPr>
              <w:pStyle w:val="TableText"/>
              <w:rPr>
                <w:b/>
                <w:szCs w:val="20"/>
              </w:rPr>
            </w:pPr>
            <w:r w:rsidRPr="00E42FCF">
              <w:rPr>
                <w:b/>
                <w:szCs w:val="20"/>
              </w:rPr>
              <w:t>Forward ABO Grouping</w:t>
            </w:r>
          </w:p>
        </w:tc>
        <w:tc>
          <w:tcPr>
            <w:tcW w:w="2875" w:type="dxa"/>
            <w:gridSpan w:val="2"/>
            <w:tcBorders>
              <w:bottom w:val="single" w:sz="2" w:space="0" w:color="auto"/>
            </w:tcBorders>
            <w:shd w:val="clear" w:color="auto" w:fill="B3B3B3"/>
          </w:tcPr>
          <w:p w:rsidR="004A6408" w:rsidRPr="00E42FCF" w:rsidRDefault="004A6408" w:rsidP="00FC4396">
            <w:pPr>
              <w:pStyle w:val="TableText"/>
              <w:rPr>
                <w:b/>
                <w:szCs w:val="20"/>
              </w:rPr>
            </w:pPr>
            <w:r w:rsidRPr="00E42FCF">
              <w:rPr>
                <w:b/>
                <w:szCs w:val="20"/>
              </w:rPr>
              <w:t>Rh Typing</w:t>
            </w:r>
          </w:p>
        </w:tc>
        <w:tc>
          <w:tcPr>
            <w:tcW w:w="2866" w:type="dxa"/>
            <w:gridSpan w:val="2"/>
            <w:tcBorders>
              <w:bottom w:val="single" w:sz="2" w:space="0" w:color="auto"/>
            </w:tcBorders>
            <w:shd w:val="clear" w:color="auto" w:fill="B3B3B3"/>
          </w:tcPr>
          <w:p w:rsidR="004A6408" w:rsidRPr="00E42FCF" w:rsidRDefault="004A6408" w:rsidP="00FC4396">
            <w:pPr>
              <w:pStyle w:val="TableText"/>
              <w:rPr>
                <w:b/>
                <w:szCs w:val="20"/>
              </w:rPr>
            </w:pPr>
            <w:r w:rsidRPr="00E42FCF">
              <w:rPr>
                <w:b/>
                <w:szCs w:val="20"/>
              </w:rPr>
              <w:t>Reverse ABO Grouping</w:t>
            </w:r>
          </w:p>
        </w:tc>
        <w:tc>
          <w:tcPr>
            <w:tcW w:w="1452" w:type="dxa"/>
            <w:vMerge w:val="restart"/>
            <w:shd w:val="clear" w:color="auto" w:fill="B3B3B3"/>
          </w:tcPr>
          <w:p w:rsidR="004A6408" w:rsidRDefault="004A6408" w:rsidP="00A95965">
            <w:pPr>
              <w:pStyle w:val="TableText"/>
              <w:rPr>
                <w:b/>
                <w:szCs w:val="20"/>
              </w:rPr>
            </w:pPr>
            <w:r w:rsidRPr="00E42FCF">
              <w:rPr>
                <w:b/>
                <w:szCs w:val="20"/>
              </w:rPr>
              <w:t>ABO/Rh</w:t>
            </w:r>
          </w:p>
          <w:p w:rsidR="004A6408" w:rsidRPr="00E42FCF" w:rsidRDefault="004A6408" w:rsidP="00A95965">
            <w:pPr>
              <w:pStyle w:val="TableText"/>
              <w:rPr>
                <w:b/>
                <w:szCs w:val="20"/>
              </w:rPr>
            </w:pPr>
            <w:r>
              <w:rPr>
                <w:b/>
                <w:szCs w:val="20"/>
              </w:rPr>
              <w:t>Interpretation</w:t>
            </w:r>
          </w:p>
        </w:tc>
      </w:tr>
      <w:tr w:rsidR="004A6408">
        <w:tblPrEx>
          <w:shd w:val="clear" w:color="auto" w:fill="auto"/>
        </w:tblPrEx>
        <w:trPr>
          <w:cantSplit/>
          <w:trHeight w:val="230"/>
          <w:tblHeader/>
        </w:trPr>
        <w:tc>
          <w:tcPr>
            <w:tcW w:w="1455" w:type="dxa"/>
            <w:vMerge/>
            <w:noWrap/>
          </w:tcPr>
          <w:p w:rsidR="004A6408" w:rsidRDefault="004A6408" w:rsidP="00A95965">
            <w:pPr>
              <w:pStyle w:val="TableText"/>
              <w:rPr>
                <w:szCs w:val="20"/>
              </w:rPr>
            </w:pPr>
          </w:p>
        </w:tc>
        <w:tc>
          <w:tcPr>
            <w:tcW w:w="1443" w:type="dxa"/>
            <w:gridSpan w:val="2"/>
            <w:shd w:val="clear" w:color="auto" w:fill="B3B3B3"/>
          </w:tcPr>
          <w:p w:rsidR="004A6408" w:rsidRPr="00C3237D" w:rsidRDefault="004A6408" w:rsidP="000D14B2">
            <w:pPr>
              <w:pStyle w:val="TableText"/>
              <w:jc w:val="center"/>
              <w:rPr>
                <w:b/>
                <w:szCs w:val="20"/>
              </w:rPr>
            </w:pPr>
            <w:r>
              <w:rPr>
                <w:b/>
                <w:szCs w:val="20"/>
              </w:rPr>
              <w:t>Anti-A</w:t>
            </w:r>
          </w:p>
        </w:tc>
        <w:tc>
          <w:tcPr>
            <w:tcW w:w="1435" w:type="dxa"/>
            <w:gridSpan w:val="2"/>
            <w:shd w:val="clear" w:color="auto" w:fill="B3B3B3"/>
          </w:tcPr>
          <w:p w:rsidR="004A6408" w:rsidRPr="00C3237D" w:rsidRDefault="004A6408" w:rsidP="000D14B2">
            <w:pPr>
              <w:pStyle w:val="TableText"/>
              <w:jc w:val="center"/>
              <w:rPr>
                <w:b/>
                <w:szCs w:val="20"/>
              </w:rPr>
            </w:pPr>
            <w:r>
              <w:rPr>
                <w:b/>
                <w:szCs w:val="20"/>
              </w:rPr>
              <w:t>Anti-B</w:t>
            </w:r>
          </w:p>
        </w:tc>
        <w:tc>
          <w:tcPr>
            <w:tcW w:w="1434" w:type="dxa"/>
            <w:shd w:val="clear" w:color="auto" w:fill="B3B3B3"/>
          </w:tcPr>
          <w:p w:rsidR="004A6408" w:rsidRPr="00C3237D" w:rsidRDefault="004A6408" w:rsidP="000D14B2">
            <w:pPr>
              <w:pStyle w:val="TableText"/>
              <w:jc w:val="center"/>
              <w:rPr>
                <w:b/>
                <w:szCs w:val="20"/>
              </w:rPr>
            </w:pPr>
            <w:r>
              <w:rPr>
                <w:b/>
                <w:szCs w:val="20"/>
              </w:rPr>
              <w:t>Anti-A,B</w:t>
            </w:r>
          </w:p>
        </w:tc>
        <w:tc>
          <w:tcPr>
            <w:tcW w:w="1434" w:type="dxa"/>
            <w:shd w:val="clear" w:color="auto" w:fill="B3B3B3"/>
          </w:tcPr>
          <w:p w:rsidR="004A6408" w:rsidRPr="00C3237D" w:rsidRDefault="004A6408" w:rsidP="000D14B2">
            <w:pPr>
              <w:pStyle w:val="TableText"/>
              <w:jc w:val="center"/>
              <w:rPr>
                <w:b/>
                <w:szCs w:val="20"/>
              </w:rPr>
            </w:pPr>
            <w:r>
              <w:rPr>
                <w:b/>
                <w:szCs w:val="20"/>
              </w:rPr>
              <w:t>Anti-D</w:t>
            </w:r>
          </w:p>
        </w:tc>
        <w:tc>
          <w:tcPr>
            <w:tcW w:w="1441" w:type="dxa"/>
            <w:shd w:val="clear" w:color="auto" w:fill="B3B3B3"/>
          </w:tcPr>
          <w:p w:rsidR="004A6408" w:rsidRPr="00C3237D" w:rsidRDefault="004A6408" w:rsidP="000D14B2">
            <w:pPr>
              <w:pStyle w:val="TableText"/>
              <w:jc w:val="center"/>
              <w:rPr>
                <w:b/>
                <w:szCs w:val="20"/>
              </w:rPr>
            </w:pPr>
            <w:r>
              <w:rPr>
                <w:b/>
                <w:szCs w:val="20"/>
              </w:rPr>
              <w:t>Rh Control</w:t>
            </w:r>
          </w:p>
        </w:tc>
        <w:tc>
          <w:tcPr>
            <w:tcW w:w="1433" w:type="dxa"/>
            <w:shd w:val="clear" w:color="auto" w:fill="B3B3B3"/>
          </w:tcPr>
          <w:p w:rsidR="004A6408" w:rsidRPr="00C3237D" w:rsidRDefault="004A6408" w:rsidP="000D14B2">
            <w:pPr>
              <w:pStyle w:val="TableText"/>
              <w:jc w:val="center"/>
              <w:rPr>
                <w:b/>
                <w:szCs w:val="20"/>
              </w:rPr>
            </w:pPr>
            <w:r>
              <w:rPr>
                <w:b/>
                <w:szCs w:val="20"/>
              </w:rPr>
              <w:t>A1 Cell</w:t>
            </w:r>
          </w:p>
        </w:tc>
        <w:tc>
          <w:tcPr>
            <w:tcW w:w="1433" w:type="dxa"/>
            <w:shd w:val="clear" w:color="auto" w:fill="B3B3B3"/>
          </w:tcPr>
          <w:p w:rsidR="004A6408" w:rsidRPr="00C3237D" w:rsidRDefault="004A6408" w:rsidP="000D14B2">
            <w:pPr>
              <w:pStyle w:val="TableText"/>
              <w:jc w:val="center"/>
              <w:rPr>
                <w:b/>
                <w:szCs w:val="20"/>
              </w:rPr>
            </w:pPr>
            <w:r>
              <w:rPr>
                <w:b/>
                <w:szCs w:val="20"/>
              </w:rPr>
              <w:t>B Cell</w:t>
            </w:r>
          </w:p>
        </w:tc>
        <w:tc>
          <w:tcPr>
            <w:tcW w:w="1452" w:type="dxa"/>
            <w:vMerge/>
          </w:tcPr>
          <w:p w:rsidR="004A6408" w:rsidRDefault="004A6408" w:rsidP="00A95965">
            <w:pPr>
              <w:pStyle w:val="TableText"/>
              <w:rPr>
                <w:szCs w:val="20"/>
              </w:rPr>
            </w:pPr>
          </w:p>
        </w:tc>
      </w:tr>
      <w:tr w:rsidR="00041C69">
        <w:tblPrEx>
          <w:shd w:val="clear" w:color="auto" w:fill="auto"/>
        </w:tblPrEx>
        <w:trPr>
          <w:cantSplit/>
          <w:trHeight w:val="432"/>
        </w:trPr>
        <w:tc>
          <w:tcPr>
            <w:tcW w:w="1455" w:type="dxa"/>
            <w:noWrap/>
          </w:tcPr>
          <w:p w:rsidR="00041C69" w:rsidRDefault="00041C69" w:rsidP="00A95965">
            <w:pPr>
              <w:pStyle w:val="TableText"/>
              <w:rPr>
                <w:szCs w:val="20"/>
              </w:rPr>
            </w:pPr>
          </w:p>
        </w:tc>
        <w:tc>
          <w:tcPr>
            <w:tcW w:w="1443" w:type="dxa"/>
            <w:gridSpan w:val="2"/>
          </w:tcPr>
          <w:p w:rsidR="00041C69" w:rsidRDefault="00041C69" w:rsidP="00A95965">
            <w:pPr>
              <w:pStyle w:val="TableText"/>
              <w:rPr>
                <w:szCs w:val="20"/>
              </w:rPr>
            </w:pPr>
          </w:p>
        </w:tc>
        <w:tc>
          <w:tcPr>
            <w:tcW w:w="1435" w:type="dxa"/>
            <w:gridSpan w:val="2"/>
          </w:tcPr>
          <w:p w:rsidR="00041C69" w:rsidRDefault="00041C69" w:rsidP="00A95965">
            <w:pPr>
              <w:pStyle w:val="TableText"/>
              <w:rPr>
                <w:szCs w:val="20"/>
              </w:rPr>
            </w:pPr>
          </w:p>
        </w:tc>
        <w:tc>
          <w:tcPr>
            <w:tcW w:w="1434" w:type="dxa"/>
          </w:tcPr>
          <w:p w:rsidR="00041C69" w:rsidRDefault="00041C69" w:rsidP="00A95965">
            <w:pPr>
              <w:pStyle w:val="TableText"/>
              <w:rPr>
                <w:szCs w:val="20"/>
              </w:rPr>
            </w:pPr>
          </w:p>
        </w:tc>
        <w:tc>
          <w:tcPr>
            <w:tcW w:w="1434" w:type="dxa"/>
          </w:tcPr>
          <w:p w:rsidR="00041C69" w:rsidRDefault="00041C69" w:rsidP="00A95965">
            <w:pPr>
              <w:pStyle w:val="TableText"/>
              <w:rPr>
                <w:szCs w:val="20"/>
              </w:rPr>
            </w:pPr>
          </w:p>
        </w:tc>
        <w:tc>
          <w:tcPr>
            <w:tcW w:w="1441" w:type="dxa"/>
          </w:tcPr>
          <w:p w:rsidR="00041C69" w:rsidRDefault="00041C69" w:rsidP="00A95965">
            <w:pPr>
              <w:pStyle w:val="TableText"/>
              <w:rPr>
                <w:szCs w:val="20"/>
              </w:rPr>
            </w:pPr>
          </w:p>
        </w:tc>
        <w:tc>
          <w:tcPr>
            <w:tcW w:w="1433" w:type="dxa"/>
          </w:tcPr>
          <w:p w:rsidR="00041C69" w:rsidRDefault="00041C69" w:rsidP="00A95965">
            <w:pPr>
              <w:pStyle w:val="TableText"/>
              <w:rPr>
                <w:szCs w:val="20"/>
              </w:rPr>
            </w:pPr>
          </w:p>
        </w:tc>
        <w:tc>
          <w:tcPr>
            <w:tcW w:w="1433" w:type="dxa"/>
          </w:tcPr>
          <w:p w:rsidR="00041C69" w:rsidRDefault="00041C69" w:rsidP="00A95965">
            <w:pPr>
              <w:pStyle w:val="TableText"/>
              <w:rPr>
                <w:szCs w:val="20"/>
              </w:rPr>
            </w:pPr>
          </w:p>
        </w:tc>
        <w:tc>
          <w:tcPr>
            <w:tcW w:w="1452" w:type="dxa"/>
          </w:tcPr>
          <w:p w:rsidR="00041C69" w:rsidRDefault="00041C69" w:rsidP="00A95965">
            <w:pPr>
              <w:pStyle w:val="TableText"/>
              <w:rPr>
                <w:szCs w:val="20"/>
              </w:rPr>
            </w:pPr>
          </w:p>
        </w:tc>
      </w:tr>
      <w:tr w:rsidR="00041C69">
        <w:tblPrEx>
          <w:shd w:val="clear" w:color="auto" w:fill="auto"/>
        </w:tblPrEx>
        <w:trPr>
          <w:cantSplit/>
          <w:trHeight w:val="432"/>
        </w:trPr>
        <w:tc>
          <w:tcPr>
            <w:tcW w:w="1455" w:type="dxa"/>
            <w:noWrap/>
          </w:tcPr>
          <w:p w:rsidR="00041C69" w:rsidRDefault="00041C69" w:rsidP="00A95965">
            <w:pPr>
              <w:pStyle w:val="TableText"/>
              <w:rPr>
                <w:szCs w:val="20"/>
              </w:rPr>
            </w:pPr>
          </w:p>
        </w:tc>
        <w:tc>
          <w:tcPr>
            <w:tcW w:w="1443" w:type="dxa"/>
            <w:gridSpan w:val="2"/>
          </w:tcPr>
          <w:p w:rsidR="00041C69" w:rsidRDefault="00041C69" w:rsidP="00A95965">
            <w:pPr>
              <w:pStyle w:val="TableText"/>
              <w:rPr>
                <w:szCs w:val="20"/>
              </w:rPr>
            </w:pPr>
          </w:p>
        </w:tc>
        <w:tc>
          <w:tcPr>
            <w:tcW w:w="1435" w:type="dxa"/>
            <w:gridSpan w:val="2"/>
          </w:tcPr>
          <w:p w:rsidR="00041C69" w:rsidRDefault="00041C69" w:rsidP="00A95965">
            <w:pPr>
              <w:pStyle w:val="TableText"/>
              <w:rPr>
                <w:szCs w:val="20"/>
              </w:rPr>
            </w:pPr>
          </w:p>
        </w:tc>
        <w:tc>
          <w:tcPr>
            <w:tcW w:w="1434" w:type="dxa"/>
          </w:tcPr>
          <w:p w:rsidR="00041C69" w:rsidRDefault="00041C69" w:rsidP="00A95965">
            <w:pPr>
              <w:pStyle w:val="TableText"/>
              <w:rPr>
                <w:szCs w:val="20"/>
              </w:rPr>
            </w:pPr>
          </w:p>
        </w:tc>
        <w:tc>
          <w:tcPr>
            <w:tcW w:w="1434" w:type="dxa"/>
          </w:tcPr>
          <w:p w:rsidR="00041C69" w:rsidRDefault="00041C69" w:rsidP="00A95965">
            <w:pPr>
              <w:pStyle w:val="TableText"/>
              <w:rPr>
                <w:szCs w:val="20"/>
              </w:rPr>
            </w:pPr>
          </w:p>
        </w:tc>
        <w:tc>
          <w:tcPr>
            <w:tcW w:w="1441" w:type="dxa"/>
          </w:tcPr>
          <w:p w:rsidR="00041C69" w:rsidRDefault="00041C69" w:rsidP="00A95965">
            <w:pPr>
              <w:pStyle w:val="TableText"/>
              <w:rPr>
                <w:szCs w:val="20"/>
              </w:rPr>
            </w:pPr>
          </w:p>
        </w:tc>
        <w:tc>
          <w:tcPr>
            <w:tcW w:w="1433" w:type="dxa"/>
          </w:tcPr>
          <w:p w:rsidR="00041C69" w:rsidRDefault="00041C69" w:rsidP="00A95965">
            <w:pPr>
              <w:pStyle w:val="TableText"/>
              <w:rPr>
                <w:szCs w:val="20"/>
              </w:rPr>
            </w:pPr>
          </w:p>
        </w:tc>
        <w:tc>
          <w:tcPr>
            <w:tcW w:w="1433" w:type="dxa"/>
          </w:tcPr>
          <w:p w:rsidR="00041C69" w:rsidRDefault="00041C69" w:rsidP="00A95965">
            <w:pPr>
              <w:pStyle w:val="TableText"/>
              <w:rPr>
                <w:szCs w:val="20"/>
              </w:rPr>
            </w:pPr>
          </w:p>
        </w:tc>
        <w:tc>
          <w:tcPr>
            <w:tcW w:w="1452" w:type="dxa"/>
          </w:tcPr>
          <w:p w:rsidR="00041C69" w:rsidRDefault="00041C69" w:rsidP="00A95965">
            <w:pPr>
              <w:pStyle w:val="TableText"/>
              <w:rPr>
                <w:szCs w:val="20"/>
              </w:rPr>
            </w:pPr>
          </w:p>
        </w:tc>
      </w:tr>
    </w:tbl>
    <w:p w:rsidR="00140686" w:rsidRDefault="00140686" w:rsidP="00DD75E5">
      <w:pPr>
        <w:pStyle w:val="BodyText"/>
      </w:pPr>
    </w:p>
    <w:p w:rsidR="003F3F74" w:rsidRDefault="00140686" w:rsidP="00DD75E5">
      <w:pPr>
        <w:pStyle w:val="BodyText"/>
      </w:pPr>
      <w:r>
        <w:br w:type="page"/>
      </w:r>
    </w:p>
    <w:tbl>
      <w:tblPr>
        <w:tblW w:w="12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
      <w:tblGrid>
        <w:gridCol w:w="746"/>
        <w:gridCol w:w="641"/>
        <w:gridCol w:w="686"/>
        <w:gridCol w:w="643"/>
        <w:gridCol w:w="681"/>
        <w:gridCol w:w="641"/>
        <w:gridCol w:w="650"/>
        <w:gridCol w:w="639"/>
        <w:gridCol w:w="681"/>
        <w:gridCol w:w="641"/>
        <w:gridCol w:w="650"/>
        <w:gridCol w:w="641"/>
        <w:gridCol w:w="681"/>
        <w:gridCol w:w="641"/>
        <w:gridCol w:w="650"/>
        <w:gridCol w:w="639"/>
        <w:gridCol w:w="2409"/>
      </w:tblGrid>
      <w:tr w:rsidR="004A6408">
        <w:trPr>
          <w:cantSplit/>
          <w:trHeight w:val="230"/>
          <w:tblHeader/>
        </w:trPr>
        <w:tc>
          <w:tcPr>
            <w:tcW w:w="12888" w:type="dxa"/>
            <w:gridSpan w:val="17"/>
            <w:shd w:val="clear" w:color="auto" w:fill="B3B3B3"/>
            <w:noWrap/>
          </w:tcPr>
          <w:p w:rsidR="004A6408" w:rsidRPr="006A7FD3" w:rsidRDefault="004A6408" w:rsidP="00FC4396">
            <w:pPr>
              <w:pStyle w:val="TableText"/>
              <w:rPr>
                <w:b/>
                <w:szCs w:val="20"/>
              </w:rPr>
            </w:pPr>
            <w:r>
              <w:rPr>
                <w:b/>
                <w:szCs w:val="20"/>
              </w:rPr>
              <w:lastRenderedPageBreak/>
              <w:t>Antibody Screening</w:t>
            </w:r>
          </w:p>
        </w:tc>
      </w:tr>
      <w:tr w:rsidR="004A6408">
        <w:tblPrEx>
          <w:shd w:val="clear" w:color="auto" w:fill="auto"/>
        </w:tblPrEx>
        <w:trPr>
          <w:cantSplit/>
          <w:trHeight w:val="230"/>
          <w:tblHeader/>
        </w:trPr>
        <w:tc>
          <w:tcPr>
            <w:tcW w:w="2704" w:type="dxa"/>
            <w:gridSpan w:val="4"/>
            <w:tcBorders>
              <w:top w:val="single" w:sz="2" w:space="0" w:color="auto"/>
              <w:left w:val="single" w:sz="2" w:space="0" w:color="auto"/>
              <w:bottom w:val="single" w:sz="2" w:space="0" w:color="auto"/>
              <w:right w:val="single" w:sz="2" w:space="0" w:color="auto"/>
            </w:tcBorders>
            <w:shd w:val="clear" w:color="auto" w:fill="B3B3B3"/>
            <w:noWrap/>
          </w:tcPr>
          <w:p w:rsidR="004A6408" w:rsidRPr="006A7FD3" w:rsidRDefault="004A6408" w:rsidP="00FC4396">
            <w:pPr>
              <w:pStyle w:val="TableText"/>
              <w:rPr>
                <w:b/>
                <w:szCs w:val="20"/>
              </w:rPr>
            </w:pPr>
            <w:r>
              <w:rPr>
                <w:b/>
                <w:szCs w:val="20"/>
              </w:rPr>
              <w:t>Screen Cell 1</w:t>
            </w:r>
          </w:p>
        </w:tc>
        <w:tc>
          <w:tcPr>
            <w:tcW w:w="2596" w:type="dxa"/>
            <w:gridSpan w:val="4"/>
            <w:tcBorders>
              <w:top w:val="single" w:sz="2" w:space="0" w:color="auto"/>
              <w:left w:val="single" w:sz="2" w:space="0" w:color="auto"/>
              <w:bottom w:val="single" w:sz="2" w:space="0" w:color="auto"/>
              <w:right w:val="single" w:sz="2" w:space="0" w:color="auto"/>
            </w:tcBorders>
            <w:shd w:val="clear" w:color="auto" w:fill="B3B3B3"/>
          </w:tcPr>
          <w:p w:rsidR="004A6408" w:rsidRPr="006A7FD3" w:rsidRDefault="004A6408" w:rsidP="00FC4396">
            <w:pPr>
              <w:pStyle w:val="TableText"/>
              <w:rPr>
                <w:b/>
                <w:szCs w:val="20"/>
              </w:rPr>
            </w:pPr>
            <w:r>
              <w:rPr>
                <w:b/>
                <w:szCs w:val="20"/>
              </w:rPr>
              <w:t>Screen Cell 2</w:t>
            </w:r>
          </w:p>
        </w:tc>
        <w:tc>
          <w:tcPr>
            <w:tcW w:w="2597" w:type="dxa"/>
            <w:gridSpan w:val="4"/>
            <w:tcBorders>
              <w:top w:val="single" w:sz="2" w:space="0" w:color="auto"/>
              <w:left w:val="single" w:sz="2" w:space="0" w:color="auto"/>
              <w:bottom w:val="single" w:sz="2" w:space="0" w:color="auto"/>
              <w:right w:val="single" w:sz="2" w:space="0" w:color="auto"/>
            </w:tcBorders>
            <w:shd w:val="clear" w:color="auto" w:fill="B3B3B3"/>
          </w:tcPr>
          <w:p w:rsidR="004A6408" w:rsidRPr="006A7FD3" w:rsidRDefault="004A6408" w:rsidP="00FC4396">
            <w:pPr>
              <w:pStyle w:val="TableText"/>
              <w:rPr>
                <w:b/>
                <w:szCs w:val="20"/>
              </w:rPr>
            </w:pPr>
            <w:r>
              <w:rPr>
                <w:b/>
                <w:szCs w:val="20"/>
              </w:rPr>
              <w:t>Screen Cell 3</w:t>
            </w:r>
          </w:p>
        </w:tc>
        <w:tc>
          <w:tcPr>
            <w:tcW w:w="2595" w:type="dxa"/>
            <w:gridSpan w:val="4"/>
            <w:tcBorders>
              <w:top w:val="single" w:sz="2" w:space="0" w:color="auto"/>
              <w:left w:val="single" w:sz="2" w:space="0" w:color="auto"/>
              <w:bottom w:val="single" w:sz="2" w:space="0" w:color="auto"/>
              <w:right w:val="single" w:sz="2" w:space="0" w:color="auto"/>
            </w:tcBorders>
            <w:shd w:val="clear" w:color="auto" w:fill="B3B3B3"/>
          </w:tcPr>
          <w:p w:rsidR="004A6408" w:rsidRPr="006A7FD3" w:rsidRDefault="004A6408" w:rsidP="00FC4396">
            <w:pPr>
              <w:pStyle w:val="TableText"/>
              <w:rPr>
                <w:b/>
                <w:szCs w:val="20"/>
              </w:rPr>
            </w:pPr>
            <w:r>
              <w:rPr>
                <w:b/>
                <w:szCs w:val="20"/>
              </w:rPr>
              <w:t>Screen Cell 4</w:t>
            </w:r>
          </w:p>
        </w:tc>
        <w:tc>
          <w:tcPr>
            <w:tcW w:w="2396" w:type="dxa"/>
            <w:vMerge w:val="restart"/>
            <w:tcBorders>
              <w:top w:val="single" w:sz="2" w:space="0" w:color="auto"/>
              <w:left w:val="single" w:sz="2" w:space="0" w:color="auto"/>
              <w:right w:val="single" w:sz="2" w:space="0" w:color="auto"/>
            </w:tcBorders>
            <w:shd w:val="clear" w:color="auto" w:fill="B3B3B3"/>
          </w:tcPr>
          <w:p w:rsidR="004A6408" w:rsidRPr="006A7FD3" w:rsidRDefault="004A6408" w:rsidP="00FC4396">
            <w:pPr>
              <w:pStyle w:val="TableText"/>
              <w:rPr>
                <w:b/>
                <w:szCs w:val="20"/>
              </w:rPr>
            </w:pPr>
            <w:r>
              <w:rPr>
                <w:b/>
                <w:szCs w:val="20"/>
              </w:rPr>
              <w:t>Screen Interpretation</w:t>
            </w:r>
          </w:p>
        </w:tc>
      </w:tr>
      <w:tr w:rsidR="004A6408">
        <w:tblPrEx>
          <w:shd w:val="clear" w:color="auto" w:fill="auto"/>
        </w:tblPrEx>
        <w:trPr>
          <w:cantSplit/>
          <w:trHeight w:val="230"/>
          <w:tblHeader/>
        </w:trPr>
        <w:tc>
          <w:tcPr>
            <w:tcW w:w="743" w:type="dxa"/>
            <w:shd w:val="clear" w:color="auto" w:fill="B3B3B3"/>
            <w:noWrap/>
          </w:tcPr>
          <w:p w:rsidR="004A6408" w:rsidRPr="006A7FD3" w:rsidRDefault="004A6408" w:rsidP="00FC4396">
            <w:pPr>
              <w:pStyle w:val="TableText"/>
              <w:jc w:val="both"/>
              <w:rPr>
                <w:b/>
                <w:szCs w:val="20"/>
              </w:rPr>
            </w:pPr>
            <w:r w:rsidRPr="006A7FD3">
              <w:rPr>
                <w:b/>
                <w:szCs w:val="20"/>
              </w:rPr>
              <w:t>RT/IS</w:t>
            </w:r>
            <w:r>
              <w:rPr>
                <w:rStyle w:val="FootnoteReference"/>
                <w:b/>
                <w:szCs w:val="20"/>
              </w:rPr>
              <w:footnoteReference w:id="4"/>
            </w:r>
          </w:p>
        </w:tc>
        <w:tc>
          <w:tcPr>
            <w:tcW w:w="638" w:type="dxa"/>
            <w:shd w:val="clear" w:color="auto" w:fill="B3B3B3"/>
          </w:tcPr>
          <w:p w:rsidR="004A6408" w:rsidRPr="006A7FD3" w:rsidRDefault="004A6408" w:rsidP="00FC4396">
            <w:pPr>
              <w:pStyle w:val="TableText"/>
              <w:jc w:val="both"/>
              <w:rPr>
                <w:b/>
                <w:szCs w:val="20"/>
              </w:rPr>
            </w:pPr>
            <w:r w:rsidRPr="006A7FD3">
              <w:rPr>
                <w:b/>
                <w:szCs w:val="20"/>
              </w:rPr>
              <w:t>37</w:t>
            </w:r>
            <w:r w:rsidRPr="006A7FD3">
              <w:rPr>
                <w:rFonts w:cs="Arial"/>
                <w:b/>
                <w:szCs w:val="20"/>
              </w:rPr>
              <w:t>°</w:t>
            </w:r>
          </w:p>
        </w:tc>
        <w:tc>
          <w:tcPr>
            <w:tcW w:w="683" w:type="dxa"/>
            <w:shd w:val="clear" w:color="auto" w:fill="B3B3B3"/>
          </w:tcPr>
          <w:p w:rsidR="004A6408" w:rsidRPr="006A7FD3" w:rsidRDefault="004A6408" w:rsidP="00FC4396">
            <w:pPr>
              <w:pStyle w:val="TableText"/>
              <w:jc w:val="both"/>
              <w:rPr>
                <w:b/>
                <w:szCs w:val="20"/>
              </w:rPr>
            </w:pPr>
            <w:r w:rsidRPr="006A7FD3">
              <w:rPr>
                <w:b/>
                <w:szCs w:val="20"/>
              </w:rPr>
              <w:t>AHG</w:t>
            </w:r>
            <w:r>
              <w:rPr>
                <w:rStyle w:val="FootnoteReference"/>
                <w:b/>
                <w:szCs w:val="20"/>
              </w:rPr>
              <w:footnoteReference w:id="5"/>
            </w:r>
          </w:p>
        </w:tc>
        <w:tc>
          <w:tcPr>
            <w:tcW w:w="640" w:type="dxa"/>
            <w:shd w:val="clear" w:color="auto" w:fill="B3B3B3"/>
          </w:tcPr>
          <w:p w:rsidR="004A6408" w:rsidRPr="006A7FD3" w:rsidRDefault="004A6408" w:rsidP="00FC4396">
            <w:pPr>
              <w:pStyle w:val="TableText"/>
              <w:jc w:val="both"/>
              <w:rPr>
                <w:b/>
                <w:szCs w:val="20"/>
              </w:rPr>
            </w:pPr>
            <w:r w:rsidRPr="006A7FD3">
              <w:rPr>
                <w:b/>
                <w:szCs w:val="20"/>
              </w:rPr>
              <w:t>CC</w:t>
            </w:r>
            <w:r>
              <w:rPr>
                <w:rStyle w:val="FootnoteReference"/>
                <w:b/>
                <w:szCs w:val="20"/>
              </w:rPr>
              <w:footnoteReference w:id="6"/>
            </w:r>
          </w:p>
        </w:tc>
        <w:tc>
          <w:tcPr>
            <w:tcW w:w="678" w:type="dxa"/>
            <w:shd w:val="clear" w:color="auto" w:fill="B3B3B3"/>
          </w:tcPr>
          <w:p w:rsidR="004A6408" w:rsidRPr="006A7FD3" w:rsidRDefault="004A6408" w:rsidP="00FC4396">
            <w:pPr>
              <w:pStyle w:val="TableText"/>
              <w:jc w:val="both"/>
              <w:rPr>
                <w:b/>
                <w:szCs w:val="20"/>
              </w:rPr>
            </w:pPr>
            <w:r w:rsidRPr="006A7FD3">
              <w:rPr>
                <w:b/>
                <w:szCs w:val="20"/>
              </w:rPr>
              <w:t>RT/IS</w:t>
            </w:r>
          </w:p>
        </w:tc>
        <w:tc>
          <w:tcPr>
            <w:tcW w:w="637" w:type="dxa"/>
            <w:shd w:val="clear" w:color="auto" w:fill="B3B3B3"/>
          </w:tcPr>
          <w:p w:rsidR="004A6408" w:rsidRPr="006A7FD3" w:rsidRDefault="004A6408" w:rsidP="00FC4396">
            <w:pPr>
              <w:pStyle w:val="TableText"/>
              <w:jc w:val="both"/>
              <w:rPr>
                <w:b/>
                <w:szCs w:val="20"/>
              </w:rPr>
            </w:pPr>
            <w:r w:rsidRPr="006A7FD3">
              <w:rPr>
                <w:b/>
                <w:szCs w:val="20"/>
              </w:rPr>
              <w:t>37</w:t>
            </w:r>
            <w:r w:rsidRPr="006A7FD3">
              <w:rPr>
                <w:rFonts w:cs="Arial"/>
                <w:b/>
                <w:szCs w:val="20"/>
              </w:rPr>
              <w:t>°</w:t>
            </w:r>
          </w:p>
        </w:tc>
        <w:tc>
          <w:tcPr>
            <w:tcW w:w="646" w:type="dxa"/>
            <w:shd w:val="clear" w:color="auto" w:fill="B3B3B3"/>
          </w:tcPr>
          <w:p w:rsidR="004A6408" w:rsidRPr="006A7FD3" w:rsidRDefault="004A6408" w:rsidP="00FC4396">
            <w:pPr>
              <w:pStyle w:val="TableText"/>
              <w:jc w:val="both"/>
              <w:rPr>
                <w:b/>
                <w:szCs w:val="20"/>
              </w:rPr>
            </w:pPr>
            <w:r w:rsidRPr="006A7FD3">
              <w:rPr>
                <w:b/>
                <w:szCs w:val="20"/>
              </w:rPr>
              <w:t>AHG</w:t>
            </w:r>
          </w:p>
        </w:tc>
        <w:tc>
          <w:tcPr>
            <w:tcW w:w="635" w:type="dxa"/>
            <w:shd w:val="clear" w:color="auto" w:fill="B3B3B3"/>
          </w:tcPr>
          <w:p w:rsidR="004A6408" w:rsidRPr="006A7FD3" w:rsidRDefault="004A6408" w:rsidP="00FC4396">
            <w:pPr>
              <w:pStyle w:val="TableText"/>
              <w:jc w:val="both"/>
              <w:rPr>
                <w:b/>
                <w:szCs w:val="20"/>
              </w:rPr>
            </w:pPr>
            <w:r w:rsidRPr="006A7FD3">
              <w:rPr>
                <w:b/>
                <w:szCs w:val="20"/>
              </w:rPr>
              <w:t>CC</w:t>
            </w:r>
          </w:p>
        </w:tc>
        <w:tc>
          <w:tcPr>
            <w:tcW w:w="677" w:type="dxa"/>
            <w:shd w:val="clear" w:color="auto" w:fill="B3B3B3"/>
          </w:tcPr>
          <w:p w:rsidR="004A6408" w:rsidRPr="006A7FD3" w:rsidRDefault="004A6408" w:rsidP="00FC4396">
            <w:pPr>
              <w:pStyle w:val="TableText"/>
              <w:jc w:val="both"/>
              <w:rPr>
                <w:b/>
                <w:szCs w:val="20"/>
              </w:rPr>
            </w:pPr>
            <w:r w:rsidRPr="006A7FD3">
              <w:rPr>
                <w:b/>
                <w:szCs w:val="20"/>
              </w:rPr>
              <w:t>RT/IS</w:t>
            </w:r>
          </w:p>
        </w:tc>
        <w:tc>
          <w:tcPr>
            <w:tcW w:w="637" w:type="dxa"/>
            <w:shd w:val="clear" w:color="auto" w:fill="B3B3B3"/>
          </w:tcPr>
          <w:p w:rsidR="004A6408" w:rsidRPr="006A7FD3" w:rsidRDefault="004A6408" w:rsidP="00FC4396">
            <w:pPr>
              <w:pStyle w:val="TableText"/>
              <w:jc w:val="both"/>
              <w:rPr>
                <w:b/>
                <w:szCs w:val="20"/>
              </w:rPr>
            </w:pPr>
            <w:r w:rsidRPr="006A7FD3">
              <w:rPr>
                <w:b/>
                <w:szCs w:val="20"/>
              </w:rPr>
              <w:t>37</w:t>
            </w:r>
            <w:r w:rsidRPr="006A7FD3">
              <w:rPr>
                <w:rFonts w:cs="Arial"/>
                <w:b/>
                <w:szCs w:val="20"/>
              </w:rPr>
              <w:t>°</w:t>
            </w:r>
          </w:p>
        </w:tc>
        <w:tc>
          <w:tcPr>
            <w:tcW w:w="646" w:type="dxa"/>
            <w:shd w:val="clear" w:color="auto" w:fill="B3B3B3"/>
          </w:tcPr>
          <w:p w:rsidR="004A6408" w:rsidRPr="006A7FD3" w:rsidRDefault="004A6408" w:rsidP="00FC4396">
            <w:pPr>
              <w:pStyle w:val="TableText"/>
              <w:jc w:val="both"/>
              <w:rPr>
                <w:b/>
                <w:szCs w:val="20"/>
              </w:rPr>
            </w:pPr>
            <w:r w:rsidRPr="006A7FD3">
              <w:rPr>
                <w:b/>
                <w:szCs w:val="20"/>
              </w:rPr>
              <w:t>AHG</w:t>
            </w:r>
          </w:p>
        </w:tc>
        <w:tc>
          <w:tcPr>
            <w:tcW w:w="637" w:type="dxa"/>
            <w:shd w:val="clear" w:color="auto" w:fill="B3B3B3"/>
          </w:tcPr>
          <w:p w:rsidR="004A6408" w:rsidRPr="006A7FD3" w:rsidRDefault="004A6408" w:rsidP="00FC4396">
            <w:pPr>
              <w:pStyle w:val="TableText"/>
              <w:jc w:val="both"/>
              <w:rPr>
                <w:b/>
                <w:szCs w:val="20"/>
              </w:rPr>
            </w:pPr>
            <w:r w:rsidRPr="006A7FD3">
              <w:rPr>
                <w:b/>
                <w:szCs w:val="20"/>
              </w:rPr>
              <w:t>CC</w:t>
            </w:r>
          </w:p>
        </w:tc>
        <w:tc>
          <w:tcPr>
            <w:tcW w:w="677" w:type="dxa"/>
            <w:shd w:val="clear" w:color="auto" w:fill="B3B3B3"/>
          </w:tcPr>
          <w:p w:rsidR="004A6408" w:rsidRPr="006A7FD3" w:rsidRDefault="004A6408" w:rsidP="00FC4396">
            <w:pPr>
              <w:pStyle w:val="TableText"/>
              <w:jc w:val="both"/>
              <w:rPr>
                <w:b/>
                <w:szCs w:val="20"/>
              </w:rPr>
            </w:pPr>
            <w:r w:rsidRPr="006A7FD3">
              <w:rPr>
                <w:b/>
                <w:szCs w:val="20"/>
              </w:rPr>
              <w:t>RT/IS</w:t>
            </w:r>
          </w:p>
        </w:tc>
        <w:tc>
          <w:tcPr>
            <w:tcW w:w="637" w:type="dxa"/>
            <w:shd w:val="clear" w:color="auto" w:fill="B3B3B3"/>
          </w:tcPr>
          <w:p w:rsidR="004A6408" w:rsidRPr="006A7FD3" w:rsidRDefault="004A6408" w:rsidP="00FC4396">
            <w:pPr>
              <w:pStyle w:val="TableText"/>
              <w:jc w:val="both"/>
              <w:rPr>
                <w:b/>
                <w:szCs w:val="20"/>
              </w:rPr>
            </w:pPr>
            <w:r w:rsidRPr="006A7FD3">
              <w:rPr>
                <w:b/>
                <w:szCs w:val="20"/>
              </w:rPr>
              <w:t>37</w:t>
            </w:r>
            <w:r w:rsidRPr="006A7FD3">
              <w:rPr>
                <w:rFonts w:cs="Arial"/>
                <w:b/>
                <w:szCs w:val="20"/>
              </w:rPr>
              <w:t>°</w:t>
            </w:r>
          </w:p>
        </w:tc>
        <w:tc>
          <w:tcPr>
            <w:tcW w:w="646" w:type="dxa"/>
            <w:shd w:val="clear" w:color="auto" w:fill="B3B3B3"/>
          </w:tcPr>
          <w:p w:rsidR="004A6408" w:rsidRPr="006A7FD3" w:rsidRDefault="004A6408" w:rsidP="00FC4396">
            <w:pPr>
              <w:pStyle w:val="TableText"/>
              <w:jc w:val="both"/>
              <w:rPr>
                <w:b/>
                <w:szCs w:val="20"/>
              </w:rPr>
            </w:pPr>
            <w:r w:rsidRPr="006A7FD3">
              <w:rPr>
                <w:b/>
                <w:szCs w:val="20"/>
              </w:rPr>
              <w:t>AHG</w:t>
            </w:r>
          </w:p>
        </w:tc>
        <w:tc>
          <w:tcPr>
            <w:tcW w:w="635" w:type="dxa"/>
            <w:tcBorders>
              <w:right w:val="single" w:sz="2" w:space="0" w:color="auto"/>
            </w:tcBorders>
            <w:shd w:val="clear" w:color="auto" w:fill="B3B3B3"/>
          </w:tcPr>
          <w:p w:rsidR="004A6408" w:rsidRPr="006A7FD3" w:rsidRDefault="004A6408" w:rsidP="00FC4396">
            <w:pPr>
              <w:pStyle w:val="TableText"/>
              <w:jc w:val="both"/>
              <w:rPr>
                <w:b/>
                <w:szCs w:val="20"/>
              </w:rPr>
            </w:pPr>
            <w:r w:rsidRPr="006A7FD3">
              <w:rPr>
                <w:b/>
                <w:szCs w:val="20"/>
              </w:rPr>
              <w:t>CC</w:t>
            </w:r>
          </w:p>
        </w:tc>
        <w:tc>
          <w:tcPr>
            <w:tcW w:w="2396" w:type="dxa"/>
            <w:vMerge/>
            <w:tcBorders>
              <w:left w:val="single" w:sz="2" w:space="0" w:color="auto"/>
              <w:right w:val="single" w:sz="2" w:space="0" w:color="auto"/>
            </w:tcBorders>
          </w:tcPr>
          <w:p w:rsidR="004A6408" w:rsidRPr="006A7FD3" w:rsidRDefault="004A6408" w:rsidP="00FC4396">
            <w:pPr>
              <w:pStyle w:val="TableText"/>
              <w:jc w:val="both"/>
              <w:rPr>
                <w:b/>
                <w:szCs w:val="20"/>
              </w:rPr>
            </w:pPr>
          </w:p>
        </w:tc>
      </w:tr>
      <w:tr w:rsidR="004A6408">
        <w:tblPrEx>
          <w:shd w:val="clear" w:color="auto" w:fill="auto"/>
        </w:tblPrEx>
        <w:trPr>
          <w:cantSplit/>
          <w:trHeight w:val="432"/>
        </w:trPr>
        <w:tc>
          <w:tcPr>
            <w:tcW w:w="743" w:type="dxa"/>
            <w:noWrap/>
          </w:tcPr>
          <w:p w:rsidR="004A6408" w:rsidRDefault="004A6408" w:rsidP="00A95965">
            <w:pPr>
              <w:pStyle w:val="TableText"/>
              <w:rPr>
                <w:szCs w:val="20"/>
              </w:rPr>
            </w:pPr>
          </w:p>
        </w:tc>
        <w:tc>
          <w:tcPr>
            <w:tcW w:w="638" w:type="dxa"/>
          </w:tcPr>
          <w:p w:rsidR="004A6408" w:rsidRDefault="004A6408" w:rsidP="00A95965">
            <w:pPr>
              <w:pStyle w:val="TableText"/>
              <w:rPr>
                <w:szCs w:val="20"/>
              </w:rPr>
            </w:pPr>
          </w:p>
        </w:tc>
        <w:tc>
          <w:tcPr>
            <w:tcW w:w="683" w:type="dxa"/>
          </w:tcPr>
          <w:p w:rsidR="004A6408" w:rsidRDefault="004A6408" w:rsidP="00A95965">
            <w:pPr>
              <w:pStyle w:val="TableText"/>
              <w:rPr>
                <w:szCs w:val="20"/>
              </w:rPr>
            </w:pPr>
          </w:p>
        </w:tc>
        <w:tc>
          <w:tcPr>
            <w:tcW w:w="640" w:type="dxa"/>
          </w:tcPr>
          <w:p w:rsidR="004A6408" w:rsidRDefault="004A6408" w:rsidP="00A95965">
            <w:pPr>
              <w:pStyle w:val="TableText"/>
              <w:rPr>
                <w:szCs w:val="20"/>
              </w:rPr>
            </w:pPr>
          </w:p>
        </w:tc>
        <w:tc>
          <w:tcPr>
            <w:tcW w:w="678" w:type="dxa"/>
          </w:tcPr>
          <w:p w:rsidR="004A6408" w:rsidRDefault="004A6408" w:rsidP="00A95965">
            <w:pPr>
              <w:pStyle w:val="TableText"/>
              <w:rPr>
                <w:szCs w:val="20"/>
              </w:rPr>
            </w:pPr>
          </w:p>
        </w:tc>
        <w:tc>
          <w:tcPr>
            <w:tcW w:w="637" w:type="dxa"/>
          </w:tcPr>
          <w:p w:rsidR="004A6408" w:rsidRDefault="004A6408" w:rsidP="00A95965">
            <w:pPr>
              <w:pStyle w:val="TableText"/>
              <w:rPr>
                <w:szCs w:val="20"/>
              </w:rPr>
            </w:pPr>
          </w:p>
        </w:tc>
        <w:tc>
          <w:tcPr>
            <w:tcW w:w="646" w:type="dxa"/>
          </w:tcPr>
          <w:p w:rsidR="004A6408" w:rsidRDefault="004A6408" w:rsidP="00A95965">
            <w:pPr>
              <w:pStyle w:val="TableText"/>
              <w:rPr>
                <w:szCs w:val="20"/>
              </w:rPr>
            </w:pPr>
          </w:p>
        </w:tc>
        <w:tc>
          <w:tcPr>
            <w:tcW w:w="635" w:type="dxa"/>
          </w:tcPr>
          <w:p w:rsidR="004A6408" w:rsidRDefault="004A6408" w:rsidP="00A95965">
            <w:pPr>
              <w:pStyle w:val="TableText"/>
              <w:rPr>
                <w:szCs w:val="20"/>
              </w:rPr>
            </w:pPr>
          </w:p>
        </w:tc>
        <w:tc>
          <w:tcPr>
            <w:tcW w:w="677" w:type="dxa"/>
          </w:tcPr>
          <w:p w:rsidR="004A6408" w:rsidRDefault="004A6408" w:rsidP="00A95965">
            <w:pPr>
              <w:pStyle w:val="TableText"/>
              <w:rPr>
                <w:szCs w:val="20"/>
              </w:rPr>
            </w:pPr>
          </w:p>
        </w:tc>
        <w:tc>
          <w:tcPr>
            <w:tcW w:w="637" w:type="dxa"/>
          </w:tcPr>
          <w:p w:rsidR="004A6408" w:rsidRDefault="004A6408" w:rsidP="00A95965">
            <w:pPr>
              <w:pStyle w:val="TableText"/>
              <w:rPr>
                <w:szCs w:val="20"/>
              </w:rPr>
            </w:pPr>
          </w:p>
        </w:tc>
        <w:tc>
          <w:tcPr>
            <w:tcW w:w="646" w:type="dxa"/>
          </w:tcPr>
          <w:p w:rsidR="004A6408" w:rsidRDefault="004A6408" w:rsidP="00A95965">
            <w:pPr>
              <w:pStyle w:val="TableText"/>
              <w:rPr>
                <w:szCs w:val="20"/>
              </w:rPr>
            </w:pPr>
          </w:p>
        </w:tc>
        <w:tc>
          <w:tcPr>
            <w:tcW w:w="637" w:type="dxa"/>
          </w:tcPr>
          <w:p w:rsidR="004A6408" w:rsidRDefault="004A6408" w:rsidP="00A95965">
            <w:pPr>
              <w:pStyle w:val="TableText"/>
              <w:rPr>
                <w:szCs w:val="20"/>
              </w:rPr>
            </w:pPr>
          </w:p>
        </w:tc>
        <w:tc>
          <w:tcPr>
            <w:tcW w:w="677" w:type="dxa"/>
          </w:tcPr>
          <w:p w:rsidR="004A6408" w:rsidRDefault="004A6408" w:rsidP="00A95965">
            <w:pPr>
              <w:pStyle w:val="TableText"/>
              <w:rPr>
                <w:szCs w:val="20"/>
              </w:rPr>
            </w:pPr>
          </w:p>
        </w:tc>
        <w:tc>
          <w:tcPr>
            <w:tcW w:w="637" w:type="dxa"/>
          </w:tcPr>
          <w:p w:rsidR="004A6408" w:rsidRDefault="004A6408" w:rsidP="00A95965">
            <w:pPr>
              <w:pStyle w:val="TableText"/>
              <w:rPr>
                <w:szCs w:val="20"/>
              </w:rPr>
            </w:pPr>
          </w:p>
        </w:tc>
        <w:tc>
          <w:tcPr>
            <w:tcW w:w="646" w:type="dxa"/>
          </w:tcPr>
          <w:p w:rsidR="004A6408" w:rsidRDefault="004A6408" w:rsidP="00A95965">
            <w:pPr>
              <w:pStyle w:val="TableText"/>
              <w:rPr>
                <w:szCs w:val="20"/>
              </w:rPr>
            </w:pPr>
          </w:p>
        </w:tc>
        <w:tc>
          <w:tcPr>
            <w:tcW w:w="635" w:type="dxa"/>
          </w:tcPr>
          <w:p w:rsidR="004A6408" w:rsidRDefault="004A6408" w:rsidP="00A95965">
            <w:pPr>
              <w:pStyle w:val="TableText"/>
              <w:rPr>
                <w:szCs w:val="20"/>
              </w:rPr>
            </w:pPr>
          </w:p>
        </w:tc>
        <w:tc>
          <w:tcPr>
            <w:tcW w:w="2396" w:type="dxa"/>
          </w:tcPr>
          <w:p w:rsidR="004A6408" w:rsidRDefault="004A6408" w:rsidP="00A95965">
            <w:pPr>
              <w:pStyle w:val="TableText"/>
              <w:rPr>
                <w:szCs w:val="20"/>
              </w:rPr>
            </w:pPr>
          </w:p>
        </w:tc>
      </w:tr>
      <w:tr w:rsidR="004A6408">
        <w:tblPrEx>
          <w:shd w:val="clear" w:color="auto" w:fill="auto"/>
        </w:tblPrEx>
        <w:trPr>
          <w:cantSplit/>
          <w:trHeight w:val="432"/>
        </w:trPr>
        <w:tc>
          <w:tcPr>
            <w:tcW w:w="743" w:type="dxa"/>
            <w:noWrap/>
          </w:tcPr>
          <w:p w:rsidR="004A6408" w:rsidRDefault="004A6408" w:rsidP="00A95965">
            <w:pPr>
              <w:pStyle w:val="TableText"/>
              <w:rPr>
                <w:szCs w:val="20"/>
              </w:rPr>
            </w:pPr>
          </w:p>
        </w:tc>
        <w:tc>
          <w:tcPr>
            <w:tcW w:w="638" w:type="dxa"/>
          </w:tcPr>
          <w:p w:rsidR="004A6408" w:rsidRDefault="004A6408" w:rsidP="00A95965">
            <w:pPr>
              <w:pStyle w:val="TableText"/>
              <w:rPr>
                <w:szCs w:val="20"/>
              </w:rPr>
            </w:pPr>
          </w:p>
        </w:tc>
        <w:tc>
          <w:tcPr>
            <w:tcW w:w="683" w:type="dxa"/>
          </w:tcPr>
          <w:p w:rsidR="004A6408" w:rsidRDefault="004A6408" w:rsidP="00A95965">
            <w:pPr>
              <w:pStyle w:val="TableText"/>
              <w:rPr>
                <w:szCs w:val="20"/>
              </w:rPr>
            </w:pPr>
          </w:p>
        </w:tc>
        <w:tc>
          <w:tcPr>
            <w:tcW w:w="640" w:type="dxa"/>
          </w:tcPr>
          <w:p w:rsidR="004A6408" w:rsidRDefault="004A6408" w:rsidP="00A95965">
            <w:pPr>
              <w:pStyle w:val="TableText"/>
              <w:rPr>
                <w:szCs w:val="20"/>
              </w:rPr>
            </w:pPr>
          </w:p>
        </w:tc>
        <w:tc>
          <w:tcPr>
            <w:tcW w:w="678" w:type="dxa"/>
          </w:tcPr>
          <w:p w:rsidR="004A6408" w:rsidRDefault="004A6408" w:rsidP="00A95965">
            <w:pPr>
              <w:pStyle w:val="TableText"/>
              <w:rPr>
                <w:szCs w:val="20"/>
              </w:rPr>
            </w:pPr>
          </w:p>
        </w:tc>
        <w:tc>
          <w:tcPr>
            <w:tcW w:w="637" w:type="dxa"/>
          </w:tcPr>
          <w:p w:rsidR="004A6408" w:rsidRDefault="004A6408" w:rsidP="00A95965">
            <w:pPr>
              <w:pStyle w:val="TableText"/>
              <w:rPr>
                <w:szCs w:val="20"/>
              </w:rPr>
            </w:pPr>
          </w:p>
        </w:tc>
        <w:tc>
          <w:tcPr>
            <w:tcW w:w="646" w:type="dxa"/>
          </w:tcPr>
          <w:p w:rsidR="004A6408" w:rsidRDefault="004A6408" w:rsidP="00A95965">
            <w:pPr>
              <w:pStyle w:val="TableText"/>
              <w:rPr>
                <w:szCs w:val="20"/>
              </w:rPr>
            </w:pPr>
          </w:p>
        </w:tc>
        <w:tc>
          <w:tcPr>
            <w:tcW w:w="635" w:type="dxa"/>
          </w:tcPr>
          <w:p w:rsidR="004A6408" w:rsidRDefault="004A6408" w:rsidP="00A95965">
            <w:pPr>
              <w:pStyle w:val="TableText"/>
              <w:rPr>
                <w:szCs w:val="20"/>
              </w:rPr>
            </w:pPr>
          </w:p>
        </w:tc>
        <w:tc>
          <w:tcPr>
            <w:tcW w:w="677" w:type="dxa"/>
          </w:tcPr>
          <w:p w:rsidR="004A6408" w:rsidRDefault="004A6408" w:rsidP="00A95965">
            <w:pPr>
              <w:pStyle w:val="TableText"/>
              <w:rPr>
                <w:szCs w:val="20"/>
              </w:rPr>
            </w:pPr>
          </w:p>
        </w:tc>
        <w:tc>
          <w:tcPr>
            <w:tcW w:w="637" w:type="dxa"/>
          </w:tcPr>
          <w:p w:rsidR="004A6408" w:rsidRDefault="004A6408" w:rsidP="00A95965">
            <w:pPr>
              <w:pStyle w:val="TableText"/>
              <w:rPr>
                <w:szCs w:val="20"/>
              </w:rPr>
            </w:pPr>
          </w:p>
        </w:tc>
        <w:tc>
          <w:tcPr>
            <w:tcW w:w="646" w:type="dxa"/>
          </w:tcPr>
          <w:p w:rsidR="004A6408" w:rsidRDefault="004A6408" w:rsidP="00A95965">
            <w:pPr>
              <w:pStyle w:val="TableText"/>
              <w:rPr>
                <w:szCs w:val="20"/>
              </w:rPr>
            </w:pPr>
          </w:p>
        </w:tc>
        <w:tc>
          <w:tcPr>
            <w:tcW w:w="637" w:type="dxa"/>
          </w:tcPr>
          <w:p w:rsidR="004A6408" w:rsidRDefault="004A6408" w:rsidP="00A95965">
            <w:pPr>
              <w:pStyle w:val="TableText"/>
              <w:rPr>
                <w:szCs w:val="20"/>
              </w:rPr>
            </w:pPr>
          </w:p>
        </w:tc>
        <w:tc>
          <w:tcPr>
            <w:tcW w:w="677" w:type="dxa"/>
          </w:tcPr>
          <w:p w:rsidR="004A6408" w:rsidRDefault="004A6408" w:rsidP="00A95965">
            <w:pPr>
              <w:pStyle w:val="TableText"/>
              <w:rPr>
                <w:szCs w:val="20"/>
              </w:rPr>
            </w:pPr>
          </w:p>
        </w:tc>
        <w:tc>
          <w:tcPr>
            <w:tcW w:w="637" w:type="dxa"/>
          </w:tcPr>
          <w:p w:rsidR="004A6408" w:rsidRDefault="004A6408" w:rsidP="00A95965">
            <w:pPr>
              <w:pStyle w:val="TableText"/>
              <w:rPr>
                <w:szCs w:val="20"/>
              </w:rPr>
            </w:pPr>
          </w:p>
        </w:tc>
        <w:tc>
          <w:tcPr>
            <w:tcW w:w="646" w:type="dxa"/>
          </w:tcPr>
          <w:p w:rsidR="004A6408" w:rsidRDefault="004A6408" w:rsidP="00A95965">
            <w:pPr>
              <w:pStyle w:val="TableText"/>
              <w:rPr>
                <w:szCs w:val="20"/>
              </w:rPr>
            </w:pPr>
          </w:p>
        </w:tc>
        <w:tc>
          <w:tcPr>
            <w:tcW w:w="635" w:type="dxa"/>
          </w:tcPr>
          <w:p w:rsidR="004A6408" w:rsidRDefault="004A6408" w:rsidP="00A95965">
            <w:pPr>
              <w:pStyle w:val="TableText"/>
              <w:rPr>
                <w:szCs w:val="20"/>
              </w:rPr>
            </w:pPr>
          </w:p>
        </w:tc>
        <w:tc>
          <w:tcPr>
            <w:tcW w:w="2396" w:type="dxa"/>
          </w:tcPr>
          <w:p w:rsidR="004A6408" w:rsidRDefault="004A6408" w:rsidP="00A95965">
            <w:pPr>
              <w:pStyle w:val="TableText"/>
              <w:rPr>
                <w:szCs w:val="20"/>
              </w:rPr>
            </w:pPr>
          </w:p>
        </w:tc>
      </w:tr>
      <w:tr w:rsidR="004A6408">
        <w:tblPrEx>
          <w:shd w:val="clear" w:color="auto" w:fill="auto"/>
        </w:tblPrEx>
        <w:trPr>
          <w:cantSplit/>
          <w:trHeight w:val="432"/>
        </w:trPr>
        <w:tc>
          <w:tcPr>
            <w:tcW w:w="12888" w:type="dxa"/>
            <w:gridSpan w:val="17"/>
            <w:noWrap/>
          </w:tcPr>
          <w:p w:rsidR="004A6408" w:rsidRPr="00AC5C64" w:rsidRDefault="004A6408" w:rsidP="00A95965">
            <w:pPr>
              <w:pStyle w:val="TableText"/>
              <w:rPr>
                <w:b/>
                <w:szCs w:val="20"/>
              </w:rPr>
            </w:pPr>
            <w:r>
              <w:rPr>
                <w:b/>
                <w:szCs w:val="20"/>
              </w:rPr>
              <w:t>Comments:</w:t>
            </w:r>
          </w:p>
        </w:tc>
      </w:tr>
    </w:tbl>
    <w:p w:rsidR="003F3F74" w:rsidRDefault="003F3F74" w:rsidP="00DD75E5">
      <w:pPr>
        <w:pStyle w:val="BodyText"/>
      </w:pPr>
    </w:p>
    <w:tbl>
      <w:tblPr>
        <w:tblW w:w="12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402"/>
        <w:gridCol w:w="19"/>
        <w:gridCol w:w="969"/>
        <w:gridCol w:w="970"/>
        <w:gridCol w:w="970"/>
        <w:gridCol w:w="971"/>
        <w:gridCol w:w="970"/>
        <w:gridCol w:w="970"/>
        <w:gridCol w:w="21"/>
        <w:gridCol w:w="1938"/>
        <w:gridCol w:w="1760"/>
      </w:tblGrid>
      <w:tr w:rsidR="004A6408">
        <w:trPr>
          <w:cantSplit/>
          <w:trHeight w:val="230"/>
        </w:trPr>
        <w:tc>
          <w:tcPr>
            <w:tcW w:w="3402" w:type="dxa"/>
            <w:shd w:val="clear" w:color="auto" w:fill="B3B3B3"/>
            <w:noWrap/>
          </w:tcPr>
          <w:p w:rsidR="004A6408" w:rsidRPr="00AC5C64" w:rsidRDefault="004A6408" w:rsidP="00A95965">
            <w:pPr>
              <w:pStyle w:val="TableText"/>
              <w:rPr>
                <w:b/>
                <w:szCs w:val="20"/>
              </w:rPr>
            </w:pPr>
            <w:r>
              <w:rPr>
                <w:b/>
                <w:szCs w:val="20"/>
              </w:rPr>
              <w:t>Patient Name</w:t>
            </w:r>
          </w:p>
        </w:tc>
        <w:tc>
          <w:tcPr>
            <w:tcW w:w="3899" w:type="dxa"/>
            <w:gridSpan w:val="5"/>
            <w:shd w:val="clear" w:color="auto" w:fill="B3B3B3"/>
          </w:tcPr>
          <w:p w:rsidR="004A6408" w:rsidRPr="00AC5C64" w:rsidRDefault="004A6408" w:rsidP="00A95965">
            <w:pPr>
              <w:pStyle w:val="TableText"/>
              <w:rPr>
                <w:b/>
                <w:szCs w:val="20"/>
              </w:rPr>
            </w:pPr>
            <w:r>
              <w:rPr>
                <w:b/>
                <w:szCs w:val="20"/>
              </w:rPr>
              <w:t>Patient Identification Number</w:t>
            </w:r>
          </w:p>
        </w:tc>
        <w:tc>
          <w:tcPr>
            <w:tcW w:w="1961" w:type="dxa"/>
            <w:gridSpan w:val="3"/>
            <w:shd w:val="clear" w:color="auto" w:fill="B3B3B3"/>
          </w:tcPr>
          <w:p w:rsidR="004A6408" w:rsidRPr="00AC5C64" w:rsidRDefault="004A6408" w:rsidP="00A95965">
            <w:pPr>
              <w:pStyle w:val="TableText"/>
              <w:rPr>
                <w:b/>
                <w:szCs w:val="20"/>
              </w:rPr>
            </w:pPr>
            <w:r>
              <w:rPr>
                <w:b/>
                <w:szCs w:val="20"/>
              </w:rPr>
              <w:t>Location</w:t>
            </w:r>
          </w:p>
        </w:tc>
        <w:tc>
          <w:tcPr>
            <w:tcW w:w="3698" w:type="dxa"/>
            <w:gridSpan w:val="2"/>
            <w:shd w:val="clear" w:color="auto" w:fill="B3B3B3"/>
          </w:tcPr>
          <w:p w:rsidR="004A6408" w:rsidRPr="00AC5C64" w:rsidRDefault="004A6408" w:rsidP="00A95965">
            <w:pPr>
              <w:pStyle w:val="TableText"/>
              <w:rPr>
                <w:b/>
                <w:szCs w:val="20"/>
              </w:rPr>
            </w:pPr>
            <w:r>
              <w:rPr>
                <w:b/>
                <w:szCs w:val="20"/>
              </w:rPr>
              <w:t>Specimen UID</w:t>
            </w:r>
          </w:p>
        </w:tc>
      </w:tr>
      <w:tr w:rsidR="004A6408">
        <w:trPr>
          <w:cantSplit/>
          <w:trHeight w:val="432"/>
        </w:trPr>
        <w:tc>
          <w:tcPr>
            <w:tcW w:w="3402" w:type="dxa"/>
            <w:noWrap/>
          </w:tcPr>
          <w:p w:rsidR="004A6408" w:rsidRDefault="004A6408" w:rsidP="00A95965">
            <w:pPr>
              <w:pStyle w:val="TableText"/>
              <w:rPr>
                <w:szCs w:val="20"/>
              </w:rPr>
            </w:pPr>
          </w:p>
        </w:tc>
        <w:tc>
          <w:tcPr>
            <w:tcW w:w="3899" w:type="dxa"/>
            <w:gridSpan w:val="5"/>
          </w:tcPr>
          <w:p w:rsidR="004A6408" w:rsidRDefault="004A6408" w:rsidP="00A95965">
            <w:pPr>
              <w:pStyle w:val="TableText"/>
              <w:rPr>
                <w:szCs w:val="20"/>
              </w:rPr>
            </w:pPr>
          </w:p>
        </w:tc>
        <w:tc>
          <w:tcPr>
            <w:tcW w:w="1961" w:type="dxa"/>
            <w:gridSpan w:val="3"/>
          </w:tcPr>
          <w:p w:rsidR="004A6408" w:rsidRDefault="004A6408" w:rsidP="00A95965">
            <w:pPr>
              <w:pStyle w:val="TableText"/>
              <w:rPr>
                <w:szCs w:val="20"/>
              </w:rPr>
            </w:pPr>
          </w:p>
        </w:tc>
        <w:tc>
          <w:tcPr>
            <w:tcW w:w="3698" w:type="dxa"/>
            <w:gridSpan w:val="2"/>
          </w:tcPr>
          <w:p w:rsidR="004A6408" w:rsidRDefault="004A6408" w:rsidP="00A95965">
            <w:pPr>
              <w:pStyle w:val="TableText"/>
              <w:rPr>
                <w:szCs w:val="20"/>
              </w:rPr>
            </w:pPr>
          </w:p>
        </w:tc>
      </w:tr>
      <w:tr w:rsidR="004A6408">
        <w:trPr>
          <w:cantSplit/>
          <w:trHeight w:val="230"/>
          <w:tblHeader/>
        </w:trPr>
        <w:tc>
          <w:tcPr>
            <w:tcW w:w="12960" w:type="dxa"/>
            <w:gridSpan w:val="11"/>
            <w:shd w:val="clear" w:color="auto" w:fill="B3B3B3"/>
            <w:noWrap/>
          </w:tcPr>
          <w:p w:rsidR="004A6408" w:rsidRPr="00035A4D" w:rsidRDefault="004A6408" w:rsidP="00FC4396">
            <w:pPr>
              <w:pStyle w:val="TableText"/>
              <w:rPr>
                <w:b/>
                <w:szCs w:val="20"/>
              </w:rPr>
            </w:pPr>
            <w:r>
              <w:rPr>
                <w:b/>
                <w:szCs w:val="20"/>
              </w:rPr>
              <w:t>Compatibility Testing</w:t>
            </w:r>
          </w:p>
        </w:tc>
      </w:tr>
      <w:tr w:rsidR="006304EB">
        <w:trPr>
          <w:cantSplit/>
          <w:trHeight w:val="230"/>
          <w:tblHeader/>
        </w:trPr>
        <w:tc>
          <w:tcPr>
            <w:tcW w:w="3421" w:type="dxa"/>
            <w:gridSpan w:val="2"/>
            <w:shd w:val="clear" w:color="auto" w:fill="B3B3B3"/>
            <w:noWrap/>
          </w:tcPr>
          <w:p w:rsidR="006304EB" w:rsidRPr="00035A4D" w:rsidRDefault="006304EB" w:rsidP="00FC4396">
            <w:pPr>
              <w:pStyle w:val="TableText"/>
              <w:rPr>
                <w:b/>
                <w:szCs w:val="20"/>
              </w:rPr>
            </w:pPr>
            <w:r w:rsidRPr="00035A4D">
              <w:rPr>
                <w:b/>
                <w:szCs w:val="20"/>
              </w:rPr>
              <w:t>Unit Identification Number</w:t>
            </w:r>
          </w:p>
        </w:tc>
        <w:tc>
          <w:tcPr>
            <w:tcW w:w="969" w:type="dxa"/>
            <w:shd w:val="clear" w:color="auto" w:fill="B3B3B3"/>
          </w:tcPr>
          <w:p w:rsidR="006304EB" w:rsidRPr="00035A4D" w:rsidRDefault="006304EB" w:rsidP="00FC4396">
            <w:pPr>
              <w:pStyle w:val="TableText"/>
              <w:rPr>
                <w:b/>
                <w:szCs w:val="20"/>
              </w:rPr>
            </w:pPr>
            <w:r>
              <w:rPr>
                <w:b/>
                <w:szCs w:val="20"/>
              </w:rPr>
              <w:t>Product Code</w:t>
            </w:r>
          </w:p>
        </w:tc>
        <w:tc>
          <w:tcPr>
            <w:tcW w:w="970" w:type="dxa"/>
            <w:shd w:val="clear" w:color="auto" w:fill="B3B3B3"/>
          </w:tcPr>
          <w:p w:rsidR="006304EB" w:rsidRPr="00035A4D" w:rsidRDefault="006304EB" w:rsidP="00FC4396">
            <w:pPr>
              <w:pStyle w:val="TableText"/>
              <w:rPr>
                <w:b/>
                <w:szCs w:val="20"/>
              </w:rPr>
            </w:pPr>
            <w:r w:rsidRPr="00035A4D">
              <w:rPr>
                <w:b/>
                <w:szCs w:val="20"/>
              </w:rPr>
              <w:t>ABO/Rh</w:t>
            </w:r>
          </w:p>
        </w:tc>
        <w:tc>
          <w:tcPr>
            <w:tcW w:w="970" w:type="dxa"/>
            <w:shd w:val="clear" w:color="auto" w:fill="B3B3B3"/>
          </w:tcPr>
          <w:p w:rsidR="006304EB" w:rsidRPr="00035A4D" w:rsidRDefault="006304EB" w:rsidP="00FC4396">
            <w:pPr>
              <w:pStyle w:val="TableText"/>
              <w:rPr>
                <w:b/>
                <w:szCs w:val="20"/>
              </w:rPr>
            </w:pPr>
            <w:r w:rsidRPr="00035A4D">
              <w:rPr>
                <w:b/>
                <w:szCs w:val="20"/>
              </w:rPr>
              <w:t>RT/IS</w:t>
            </w:r>
          </w:p>
        </w:tc>
        <w:tc>
          <w:tcPr>
            <w:tcW w:w="971" w:type="dxa"/>
            <w:shd w:val="clear" w:color="auto" w:fill="B3B3B3"/>
          </w:tcPr>
          <w:p w:rsidR="006304EB" w:rsidRPr="00035A4D" w:rsidRDefault="006304EB" w:rsidP="00FC4396">
            <w:pPr>
              <w:pStyle w:val="TableText"/>
              <w:rPr>
                <w:b/>
                <w:szCs w:val="20"/>
              </w:rPr>
            </w:pPr>
            <w:r w:rsidRPr="00035A4D">
              <w:rPr>
                <w:b/>
                <w:szCs w:val="20"/>
              </w:rPr>
              <w:t>37</w:t>
            </w:r>
            <w:r w:rsidRPr="00035A4D">
              <w:rPr>
                <w:rFonts w:cs="Arial"/>
                <w:b/>
                <w:szCs w:val="20"/>
              </w:rPr>
              <w:t>°</w:t>
            </w:r>
          </w:p>
        </w:tc>
        <w:tc>
          <w:tcPr>
            <w:tcW w:w="970" w:type="dxa"/>
            <w:shd w:val="clear" w:color="auto" w:fill="B3B3B3"/>
          </w:tcPr>
          <w:p w:rsidR="006304EB" w:rsidRPr="00035A4D" w:rsidRDefault="006304EB" w:rsidP="00FC4396">
            <w:pPr>
              <w:pStyle w:val="TableText"/>
              <w:rPr>
                <w:b/>
                <w:szCs w:val="20"/>
              </w:rPr>
            </w:pPr>
            <w:r w:rsidRPr="00035A4D">
              <w:rPr>
                <w:b/>
                <w:szCs w:val="20"/>
              </w:rPr>
              <w:t>AHG</w:t>
            </w:r>
          </w:p>
        </w:tc>
        <w:tc>
          <w:tcPr>
            <w:tcW w:w="970" w:type="dxa"/>
            <w:shd w:val="clear" w:color="auto" w:fill="B3B3B3"/>
          </w:tcPr>
          <w:p w:rsidR="006304EB" w:rsidRPr="00035A4D" w:rsidRDefault="006304EB" w:rsidP="00FC4396">
            <w:pPr>
              <w:pStyle w:val="TableText"/>
              <w:rPr>
                <w:b/>
                <w:szCs w:val="20"/>
              </w:rPr>
            </w:pPr>
            <w:r w:rsidRPr="00035A4D">
              <w:rPr>
                <w:b/>
                <w:szCs w:val="20"/>
              </w:rPr>
              <w:t>CC</w:t>
            </w:r>
          </w:p>
        </w:tc>
        <w:tc>
          <w:tcPr>
            <w:tcW w:w="1959" w:type="dxa"/>
            <w:gridSpan w:val="2"/>
            <w:shd w:val="clear" w:color="auto" w:fill="B3B3B3"/>
          </w:tcPr>
          <w:p w:rsidR="006304EB" w:rsidRPr="00035A4D" w:rsidRDefault="006304EB" w:rsidP="00FC4396">
            <w:pPr>
              <w:pStyle w:val="TableText"/>
              <w:rPr>
                <w:b/>
                <w:szCs w:val="20"/>
              </w:rPr>
            </w:pPr>
            <w:r w:rsidRPr="00035A4D">
              <w:rPr>
                <w:b/>
                <w:szCs w:val="20"/>
              </w:rPr>
              <w:t>Interpretation</w:t>
            </w:r>
          </w:p>
        </w:tc>
        <w:tc>
          <w:tcPr>
            <w:tcW w:w="1760" w:type="dxa"/>
            <w:shd w:val="clear" w:color="auto" w:fill="B3B3B3"/>
          </w:tcPr>
          <w:p w:rsidR="006304EB" w:rsidRPr="00035A4D" w:rsidRDefault="006304EB" w:rsidP="00FC4396">
            <w:pPr>
              <w:pStyle w:val="TableText"/>
              <w:rPr>
                <w:b/>
                <w:szCs w:val="20"/>
              </w:rPr>
            </w:pPr>
            <w:r w:rsidRPr="00035A4D">
              <w:rPr>
                <w:b/>
                <w:szCs w:val="20"/>
              </w:rPr>
              <w:t>Tech Name</w:t>
            </w:r>
          </w:p>
        </w:tc>
      </w:tr>
      <w:tr w:rsidR="006304EB">
        <w:trPr>
          <w:cantSplit/>
          <w:trHeight w:val="432"/>
        </w:trPr>
        <w:tc>
          <w:tcPr>
            <w:tcW w:w="3421" w:type="dxa"/>
            <w:gridSpan w:val="2"/>
            <w:noWrap/>
          </w:tcPr>
          <w:p w:rsidR="006304EB" w:rsidRDefault="006304EB" w:rsidP="00A95965">
            <w:pPr>
              <w:pStyle w:val="TableText"/>
              <w:rPr>
                <w:szCs w:val="20"/>
              </w:rPr>
            </w:pPr>
          </w:p>
        </w:tc>
        <w:tc>
          <w:tcPr>
            <w:tcW w:w="969" w:type="dxa"/>
          </w:tcPr>
          <w:p w:rsidR="006304EB" w:rsidRDefault="006304EB" w:rsidP="00A95965">
            <w:pPr>
              <w:pStyle w:val="TableText"/>
              <w:rPr>
                <w:szCs w:val="20"/>
              </w:rPr>
            </w:pPr>
          </w:p>
        </w:tc>
        <w:tc>
          <w:tcPr>
            <w:tcW w:w="970" w:type="dxa"/>
          </w:tcPr>
          <w:p w:rsidR="006304EB" w:rsidRDefault="006304EB" w:rsidP="00A95965">
            <w:pPr>
              <w:pStyle w:val="TableText"/>
              <w:rPr>
                <w:szCs w:val="20"/>
              </w:rPr>
            </w:pPr>
          </w:p>
        </w:tc>
        <w:tc>
          <w:tcPr>
            <w:tcW w:w="970" w:type="dxa"/>
          </w:tcPr>
          <w:p w:rsidR="006304EB" w:rsidRDefault="006304EB" w:rsidP="00A95965">
            <w:pPr>
              <w:pStyle w:val="TableText"/>
              <w:rPr>
                <w:szCs w:val="20"/>
              </w:rPr>
            </w:pPr>
          </w:p>
        </w:tc>
        <w:tc>
          <w:tcPr>
            <w:tcW w:w="971" w:type="dxa"/>
          </w:tcPr>
          <w:p w:rsidR="006304EB" w:rsidRPr="006A7FD3" w:rsidRDefault="006304EB" w:rsidP="00A95965">
            <w:pPr>
              <w:pStyle w:val="TableText"/>
              <w:jc w:val="center"/>
              <w:rPr>
                <w:b/>
                <w:szCs w:val="20"/>
              </w:rPr>
            </w:pPr>
          </w:p>
        </w:tc>
        <w:tc>
          <w:tcPr>
            <w:tcW w:w="970" w:type="dxa"/>
          </w:tcPr>
          <w:p w:rsidR="006304EB" w:rsidRPr="006A7FD3" w:rsidRDefault="006304EB" w:rsidP="00A95965">
            <w:pPr>
              <w:pStyle w:val="TableText"/>
              <w:jc w:val="center"/>
              <w:rPr>
                <w:b/>
                <w:szCs w:val="20"/>
              </w:rPr>
            </w:pPr>
          </w:p>
        </w:tc>
        <w:tc>
          <w:tcPr>
            <w:tcW w:w="970" w:type="dxa"/>
          </w:tcPr>
          <w:p w:rsidR="006304EB" w:rsidRPr="006A7FD3" w:rsidRDefault="006304EB" w:rsidP="00A95965">
            <w:pPr>
              <w:pStyle w:val="TableText"/>
              <w:jc w:val="center"/>
              <w:rPr>
                <w:b/>
                <w:szCs w:val="20"/>
              </w:rPr>
            </w:pPr>
          </w:p>
        </w:tc>
        <w:tc>
          <w:tcPr>
            <w:tcW w:w="1959" w:type="dxa"/>
            <w:gridSpan w:val="2"/>
          </w:tcPr>
          <w:p w:rsidR="006304EB" w:rsidRDefault="006304EB" w:rsidP="00A95965">
            <w:pPr>
              <w:pStyle w:val="TableText"/>
              <w:rPr>
                <w:szCs w:val="20"/>
              </w:rPr>
            </w:pPr>
          </w:p>
        </w:tc>
        <w:tc>
          <w:tcPr>
            <w:tcW w:w="1760" w:type="dxa"/>
          </w:tcPr>
          <w:p w:rsidR="006304EB" w:rsidRDefault="006304EB" w:rsidP="00A95965">
            <w:pPr>
              <w:pStyle w:val="TableText"/>
              <w:rPr>
                <w:szCs w:val="20"/>
              </w:rPr>
            </w:pPr>
          </w:p>
        </w:tc>
      </w:tr>
      <w:tr w:rsidR="006304EB">
        <w:trPr>
          <w:cantSplit/>
          <w:trHeight w:val="432"/>
        </w:trPr>
        <w:tc>
          <w:tcPr>
            <w:tcW w:w="3421" w:type="dxa"/>
            <w:gridSpan w:val="2"/>
            <w:noWrap/>
          </w:tcPr>
          <w:p w:rsidR="006304EB" w:rsidRDefault="006304EB" w:rsidP="00A95965">
            <w:pPr>
              <w:pStyle w:val="TableText"/>
              <w:rPr>
                <w:szCs w:val="20"/>
              </w:rPr>
            </w:pPr>
          </w:p>
        </w:tc>
        <w:tc>
          <w:tcPr>
            <w:tcW w:w="969" w:type="dxa"/>
          </w:tcPr>
          <w:p w:rsidR="006304EB" w:rsidRDefault="006304EB" w:rsidP="00A95965">
            <w:pPr>
              <w:pStyle w:val="TableText"/>
              <w:rPr>
                <w:szCs w:val="20"/>
              </w:rPr>
            </w:pPr>
          </w:p>
        </w:tc>
        <w:tc>
          <w:tcPr>
            <w:tcW w:w="970" w:type="dxa"/>
          </w:tcPr>
          <w:p w:rsidR="006304EB" w:rsidRDefault="006304EB" w:rsidP="00A95965">
            <w:pPr>
              <w:pStyle w:val="TableText"/>
              <w:rPr>
                <w:szCs w:val="20"/>
              </w:rPr>
            </w:pPr>
          </w:p>
        </w:tc>
        <w:tc>
          <w:tcPr>
            <w:tcW w:w="970" w:type="dxa"/>
          </w:tcPr>
          <w:p w:rsidR="006304EB" w:rsidRDefault="006304EB" w:rsidP="00A95965">
            <w:pPr>
              <w:pStyle w:val="TableText"/>
              <w:rPr>
                <w:szCs w:val="20"/>
              </w:rPr>
            </w:pPr>
          </w:p>
        </w:tc>
        <w:tc>
          <w:tcPr>
            <w:tcW w:w="971" w:type="dxa"/>
          </w:tcPr>
          <w:p w:rsidR="006304EB" w:rsidRPr="006A7FD3" w:rsidRDefault="006304EB" w:rsidP="00A95965">
            <w:pPr>
              <w:pStyle w:val="TableText"/>
              <w:jc w:val="center"/>
              <w:rPr>
                <w:b/>
                <w:szCs w:val="20"/>
              </w:rPr>
            </w:pPr>
          </w:p>
        </w:tc>
        <w:tc>
          <w:tcPr>
            <w:tcW w:w="970" w:type="dxa"/>
          </w:tcPr>
          <w:p w:rsidR="006304EB" w:rsidRPr="006A7FD3" w:rsidRDefault="006304EB" w:rsidP="00A95965">
            <w:pPr>
              <w:pStyle w:val="TableText"/>
              <w:jc w:val="center"/>
              <w:rPr>
                <w:b/>
                <w:szCs w:val="20"/>
              </w:rPr>
            </w:pPr>
          </w:p>
        </w:tc>
        <w:tc>
          <w:tcPr>
            <w:tcW w:w="970" w:type="dxa"/>
          </w:tcPr>
          <w:p w:rsidR="006304EB" w:rsidRPr="006A7FD3" w:rsidRDefault="006304EB" w:rsidP="00A95965">
            <w:pPr>
              <w:pStyle w:val="TableText"/>
              <w:jc w:val="center"/>
              <w:rPr>
                <w:b/>
                <w:szCs w:val="20"/>
              </w:rPr>
            </w:pPr>
          </w:p>
        </w:tc>
        <w:tc>
          <w:tcPr>
            <w:tcW w:w="1959" w:type="dxa"/>
            <w:gridSpan w:val="2"/>
          </w:tcPr>
          <w:p w:rsidR="006304EB" w:rsidRDefault="006304EB" w:rsidP="00A95965">
            <w:pPr>
              <w:pStyle w:val="TableText"/>
              <w:rPr>
                <w:szCs w:val="20"/>
              </w:rPr>
            </w:pPr>
          </w:p>
        </w:tc>
        <w:tc>
          <w:tcPr>
            <w:tcW w:w="1760" w:type="dxa"/>
          </w:tcPr>
          <w:p w:rsidR="006304EB" w:rsidRDefault="006304EB" w:rsidP="00A95965">
            <w:pPr>
              <w:pStyle w:val="TableText"/>
              <w:rPr>
                <w:szCs w:val="20"/>
              </w:rPr>
            </w:pPr>
          </w:p>
        </w:tc>
      </w:tr>
      <w:tr w:rsidR="006304EB">
        <w:trPr>
          <w:cantSplit/>
          <w:trHeight w:val="432"/>
        </w:trPr>
        <w:tc>
          <w:tcPr>
            <w:tcW w:w="3421" w:type="dxa"/>
            <w:gridSpan w:val="2"/>
            <w:noWrap/>
          </w:tcPr>
          <w:p w:rsidR="006304EB" w:rsidRDefault="006304EB" w:rsidP="00A95965">
            <w:pPr>
              <w:pStyle w:val="TableText"/>
              <w:rPr>
                <w:szCs w:val="20"/>
              </w:rPr>
            </w:pPr>
          </w:p>
        </w:tc>
        <w:tc>
          <w:tcPr>
            <w:tcW w:w="969" w:type="dxa"/>
          </w:tcPr>
          <w:p w:rsidR="006304EB" w:rsidRDefault="006304EB" w:rsidP="00A95965">
            <w:pPr>
              <w:pStyle w:val="TableText"/>
              <w:rPr>
                <w:szCs w:val="20"/>
              </w:rPr>
            </w:pPr>
          </w:p>
        </w:tc>
        <w:tc>
          <w:tcPr>
            <w:tcW w:w="970" w:type="dxa"/>
          </w:tcPr>
          <w:p w:rsidR="006304EB" w:rsidRDefault="006304EB" w:rsidP="00A95965">
            <w:pPr>
              <w:pStyle w:val="TableText"/>
              <w:rPr>
                <w:szCs w:val="20"/>
              </w:rPr>
            </w:pPr>
          </w:p>
        </w:tc>
        <w:tc>
          <w:tcPr>
            <w:tcW w:w="970" w:type="dxa"/>
          </w:tcPr>
          <w:p w:rsidR="006304EB" w:rsidRDefault="006304EB" w:rsidP="00A95965">
            <w:pPr>
              <w:pStyle w:val="TableText"/>
              <w:rPr>
                <w:szCs w:val="20"/>
              </w:rPr>
            </w:pPr>
          </w:p>
        </w:tc>
        <w:tc>
          <w:tcPr>
            <w:tcW w:w="971" w:type="dxa"/>
          </w:tcPr>
          <w:p w:rsidR="006304EB" w:rsidRPr="006A7FD3" w:rsidRDefault="006304EB" w:rsidP="00A95965">
            <w:pPr>
              <w:pStyle w:val="TableText"/>
              <w:jc w:val="center"/>
              <w:rPr>
                <w:b/>
                <w:szCs w:val="20"/>
              </w:rPr>
            </w:pPr>
          </w:p>
        </w:tc>
        <w:tc>
          <w:tcPr>
            <w:tcW w:w="970" w:type="dxa"/>
          </w:tcPr>
          <w:p w:rsidR="006304EB" w:rsidRPr="006A7FD3" w:rsidRDefault="006304EB" w:rsidP="00A95965">
            <w:pPr>
              <w:pStyle w:val="TableText"/>
              <w:jc w:val="center"/>
              <w:rPr>
                <w:b/>
                <w:szCs w:val="20"/>
              </w:rPr>
            </w:pPr>
          </w:p>
        </w:tc>
        <w:tc>
          <w:tcPr>
            <w:tcW w:w="970" w:type="dxa"/>
          </w:tcPr>
          <w:p w:rsidR="006304EB" w:rsidRPr="006A7FD3" w:rsidRDefault="006304EB" w:rsidP="00A95965">
            <w:pPr>
              <w:pStyle w:val="TableText"/>
              <w:jc w:val="center"/>
              <w:rPr>
                <w:b/>
                <w:szCs w:val="20"/>
              </w:rPr>
            </w:pPr>
          </w:p>
        </w:tc>
        <w:tc>
          <w:tcPr>
            <w:tcW w:w="1959" w:type="dxa"/>
            <w:gridSpan w:val="2"/>
          </w:tcPr>
          <w:p w:rsidR="006304EB" w:rsidRDefault="006304EB" w:rsidP="00A95965">
            <w:pPr>
              <w:pStyle w:val="TableText"/>
              <w:rPr>
                <w:szCs w:val="20"/>
              </w:rPr>
            </w:pPr>
          </w:p>
        </w:tc>
        <w:tc>
          <w:tcPr>
            <w:tcW w:w="1760" w:type="dxa"/>
          </w:tcPr>
          <w:p w:rsidR="006304EB" w:rsidRDefault="006304EB" w:rsidP="00A95965">
            <w:pPr>
              <w:pStyle w:val="TableText"/>
              <w:rPr>
                <w:szCs w:val="20"/>
              </w:rPr>
            </w:pPr>
          </w:p>
        </w:tc>
      </w:tr>
      <w:tr w:rsidR="006304EB">
        <w:trPr>
          <w:cantSplit/>
          <w:trHeight w:val="432"/>
        </w:trPr>
        <w:tc>
          <w:tcPr>
            <w:tcW w:w="3421" w:type="dxa"/>
            <w:gridSpan w:val="2"/>
            <w:noWrap/>
          </w:tcPr>
          <w:p w:rsidR="006304EB" w:rsidRDefault="006304EB" w:rsidP="00A95965">
            <w:pPr>
              <w:pStyle w:val="TableText"/>
              <w:rPr>
                <w:szCs w:val="20"/>
              </w:rPr>
            </w:pPr>
          </w:p>
        </w:tc>
        <w:tc>
          <w:tcPr>
            <w:tcW w:w="969" w:type="dxa"/>
          </w:tcPr>
          <w:p w:rsidR="006304EB" w:rsidRDefault="006304EB" w:rsidP="00A95965">
            <w:pPr>
              <w:pStyle w:val="TableText"/>
              <w:rPr>
                <w:szCs w:val="20"/>
              </w:rPr>
            </w:pPr>
          </w:p>
        </w:tc>
        <w:tc>
          <w:tcPr>
            <w:tcW w:w="970" w:type="dxa"/>
          </w:tcPr>
          <w:p w:rsidR="006304EB" w:rsidRDefault="006304EB" w:rsidP="00A95965">
            <w:pPr>
              <w:pStyle w:val="TableText"/>
              <w:rPr>
                <w:szCs w:val="20"/>
              </w:rPr>
            </w:pPr>
          </w:p>
        </w:tc>
        <w:tc>
          <w:tcPr>
            <w:tcW w:w="970" w:type="dxa"/>
          </w:tcPr>
          <w:p w:rsidR="006304EB" w:rsidRDefault="006304EB" w:rsidP="00A95965">
            <w:pPr>
              <w:pStyle w:val="TableText"/>
              <w:rPr>
                <w:szCs w:val="20"/>
              </w:rPr>
            </w:pPr>
          </w:p>
        </w:tc>
        <w:tc>
          <w:tcPr>
            <w:tcW w:w="971" w:type="dxa"/>
          </w:tcPr>
          <w:p w:rsidR="006304EB" w:rsidRPr="006A7FD3" w:rsidRDefault="006304EB" w:rsidP="00A95965">
            <w:pPr>
              <w:pStyle w:val="TableText"/>
              <w:jc w:val="center"/>
              <w:rPr>
                <w:b/>
                <w:szCs w:val="20"/>
              </w:rPr>
            </w:pPr>
          </w:p>
        </w:tc>
        <w:tc>
          <w:tcPr>
            <w:tcW w:w="970" w:type="dxa"/>
          </w:tcPr>
          <w:p w:rsidR="006304EB" w:rsidRPr="006A7FD3" w:rsidRDefault="006304EB" w:rsidP="00A95965">
            <w:pPr>
              <w:pStyle w:val="TableText"/>
              <w:jc w:val="center"/>
              <w:rPr>
                <w:b/>
                <w:szCs w:val="20"/>
              </w:rPr>
            </w:pPr>
          </w:p>
        </w:tc>
        <w:tc>
          <w:tcPr>
            <w:tcW w:w="970" w:type="dxa"/>
          </w:tcPr>
          <w:p w:rsidR="006304EB" w:rsidRPr="006A7FD3" w:rsidRDefault="006304EB" w:rsidP="00A95965">
            <w:pPr>
              <w:pStyle w:val="TableText"/>
              <w:jc w:val="center"/>
              <w:rPr>
                <w:b/>
                <w:szCs w:val="20"/>
              </w:rPr>
            </w:pPr>
          </w:p>
        </w:tc>
        <w:tc>
          <w:tcPr>
            <w:tcW w:w="1959" w:type="dxa"/>
            <w:gridSpan w:val="2"/>
          </w:tcPr>
          <w:p w:rsidR="006304EB" w:rsidRDefault="006304EB" w:rsidP="00A95965">
            <w:pPr>
              <w:pStyle w:val="TableText"/>
              <w:rPr>
                <w:szCs w:val="20"/>
              </w:rPr>
            </w:pPr>
          </w:p>
        </w:tc>
        <w:tc>
          <w:tcPr>
            <w:tcW w:w="1760" w:type="dxa"/>
          </w:tcPr>
          <w:p w:rsidR="006304EB" w:rsidRDefault="006304EB" w:rsidP="00A95965">
            <w:pPr>
              <w:pStyle w:val="TableText"/>
              <w:rPr>
                <w:szCs w:val="20"/>
              </w:rPr>
            </w:pPr>
          </w:p>
        </w:tc>
      </w:tr>
      <w:tr w:rsidR="006304EB">
        <w:trPr>
          <w:cantSplit/>
          <w:trHeight w:val="432"/>
        </w:trPr>
        <w:tc>
          <w:tcPr>
            <w:tcW w:w="3421" w:type="dxa"/>
            <w:gridSpan w:val="2"/>
            <w:noWrap/>
          </w:tcPr>
          <w:p w:rsidR="006304EB" w:rsidRDefault="006304EB" w:rsidP="00A95965">
            <w:pPr>
              <w:pStyle w:val="TableText"/>
              <w:rPr>
                <w:szCs w:val="20"/>
              </w:rPr>
            </w:pPr>
          </w:p>
        </w:tc>
        <w:tc>
          <w:tcPr>
            <w:tcW w:w="969" w:type="dxa"/>
          </w:tcPr>
          <w:p w:rsidR="006304EB" w:rsidRDefault="006304EB" w:rsidP="00A95965">
            <w:pPr>
              <w:pStyle w:val="TableText"/>
              <w:rPr>
                <w:szCs w:val="20"/>
              </w:rPr>
            </w:pPr>
          </w:p>
        </w:tc>
        <w:tc>
          <w:tcPr>
            <w:tcW w:w="970" w:type="dxa"/>
          </w:tcPr>
          <w:p w:rsidR="006304EB" w:rsidRDefault="006304EB" w:rsidP="00A95965">
            <w:pPr>
              <w:pStyle w:val="TableText"/>
              <w:rPr>
                <w:szCs w:val="20"/>
              </w:rPr>
            </w:pPr>
          </w:p>
        </w:tc>
        <w:tc>
          <w:tcPr>
            <w:tcW w:w="970" w:type="dxa"/>
          </w:tcPr>
          <w:p w:rsidR="006304EB" w:rsidRDefault="006304EB" w:rsidP="00A95965">
            <w:pPr>
              <w:pStyle w:val="TableText"/>
              <w:rPr>
                <w:szCs w:val="20"/>
              </w:rPr>
            </w:pPr>
          </w:p>
        </w:tc>
        <w:tc>
          <w:tcPr>
            <w:tcW w:w="971" w:type="dxa"/>
          </w:tcPr>
          <w:p w:rsidR="006304EB" w:rsidRPr="006A7FD3" w:rsidRDefault="006304EB" w:rsidP="00A95965">
            <w:pPr>
              <w:pStyle w:val="TableText"/>
              <w:jc w:val="center"/>
              <w:rPr>
                <w:b/>
                <w:szCs w:val="20"/>
              </w:rPr>
            </w:pPr>
          </w:p>
        </w:tc>
        <w:tc>
          <w:tcPr>
            <w:tcW w:w="970" w:type="dxa"/>
          </w:tcPr>
          <w:p w:rsidR="006304EB" w:rsidRPr="006A7FD3" w:rsidRDefault="006304EB" w:rsidP="00A95965">
            <w:pPr>
              <w:pStyle w:val="TableText"/>
              <w:jc w:val="center"/>
              <w:rPr>
                <w:b/>
                <w:szCs w:val="20"/>
              </w:rPr>
            </w:pPr>
          </w:p>
        </w:tc>
        <w:tc>
          <w:tcPr>
            <w:tcW w:w="970" w:type="dxa"/>
          </w:tcPr>
          <w:p w:rsidR="006304EB" w:rsidRPr="006A7FD3" w:rsidRDefault="006304EB" w:rsidP="00A95965">
            <w:pPr>
              <w:pStyle w:val="TableText"/>
              <w:jc w:val="center"/>
              <w:rPr>
                <w:b/>
                <w:szCs w:val="20"/>
              </w:rPr>
            </w:pPr>
          </w:p>
        </w:tc>
        <w:tc>
          <w:tcPr>
            <w:tcW w:w="1959" w:type="dxa"/>
            <w:gridSpan w:val="2"/>
          </w:tcPr>
          <w:p w:rsidR="006304EB" w:rsidRDefault="006304EB" w:rsidP="00A95965">
            <w:pPr>
              <w:pStyle w:val="TableText"/>
              <w:rPr>
                <w:szCs w:val="20"/>
              </w:rPr>
            </w:pPr>
          </w:p>
        </w:tc>
        <w:tc>
          <w:tcPr>
            <w:tcW w:w="1760" w:type="dxa"/>
          </w:tcPr>
          <w:p w:rsidR="006304EB" w:rsidRDefault="006304EB" w:rsidP="00A95965">
            <w:pPr>
              <w:pStyle w:val="TableText"/>
              <w:rPr>
                <w:szCs w:val="20"/>
              </w:rPr>
            </w:pPr>
          </w:p>
        </w:tc>
      </w:tr>
      <w:tr w:rsidR="006304EB">
        <w:trPr>
          <w:cantSplit/>
          <w:trHeight w:val="432"/>
        </w:trPr>
        <w:tc>
          <w:tcPr>
            <w:tcW w:w="3421" w:type="dxa"/>
            <w:gridSpan w:val="2"/>
            <w:noWrap/>
          </w:tcPr>
          <w:p w:rsidR="006304EB" w:rsidRDefault="006304EB" w:rsidP="00A95965">
            <w:pPr>
              <w:pStyle w:val="TableText"/>
              <w:rPr>
                <w:szCs w:val="20"/>
              </w:rPr>
            </w:pPr>
          </w:p>
        </w:tc>
        <w:tc>
          <w:tcPr>
            <w:tcW w:w="969" w:type="dxa"/>
          </w:tcPr>
          <w:p w:rsidR="006304EB" w:rsidRDefault="006304EB" w:rsidP="00A95965">
            <w:pPr>
              <w:pStyle w:val="TableText"/>
              <w:rPr>
                <w:szCs w:val="20"/>
              </w:rPr>
            </w:pPr>
          </w:p>
        </w:tc>
        <w:tc>
          <w:tcPr>
            <w:tcW w:w="970" w:type="dxa"/>
          </w:tcPr>
          <w:p w:rsidR="006304EB" w:rsidRDefault="006304EB" w:rsidP="00A95965">
            <w:pPr>
              <w:pStyle w:val="TableText"/>
              <w:rPr>
                <w:szCs w:val="20"/>
              </w:rPr>
            </w:pPr>
          </w:p>
        </w:tc>
        <w:tc>
          <w:tcPr>
            <w:tcW w:w="970" w:type="dxa"/>
          </w:tcPr>
          <w:p w:rsidR="006304EB" w:rsidRDefault="006304EB" w:rsidP="00A95965">
            <w:pPr>
              <w:pStyle w:val="TableText"/>
              <w:rPr>
                <w:szCs w:val="20"/>
              </w:rPr>
            </w:pPr>
          </w:p>
        </w:tc>
        <w:tc>
          <w:tcPr>
            <w:tcW w:w="971" w:type="dxa"/>
          </w:tcPr>
          <w:p w:rsidR="006304EB" w:rsidRPr="006A7FD3" w:rsidRDefault="006304EB" w:rsidP="00A95965">
            <w:pPr>
              <w:pStyle w:val="TableText"/>
              <w:jc w:val="center"/>
              <w:rPr>
                <w:b/>
                <w:szCs w:val="20"/>
              </w:rPr>
            </w:pPr>
          </w:p>
        </w:tc>
        <w:tc>
          <w:tcPr>
            <w:tcW w:w="970" w:type="dxa"/>
          </w:tcPr>
          <w:p w:rsidR="006304EB" w:rsidRPr="006A7FD3" w:rsidRDefault="006304EB" w:rsidP="00A95965">
            <w:pPr>
              <w:pStyle w:val="TableText"/>
              <w:jc w:val="center"/>
              <w:rPr>
                <w:b/>
                <w:szCs w:val="20"/>
              </w:rPr>
            </w:pPr>
          </w:p>
        </w:tc>
        <w:tc>
          <w:tcPr>
            <w:tcW w:w="970" w:type="dxa"/>
          </w:tcPr>
          <w:p w:rsidR="006304EB" w:rsidRPr="006A7FD3" w:rsidRDefault="006304EB" w:rsidP="00A95965">
            <w:pPr>
              <w:pStyle w:val="TableText"/>
              <w:jc w:val="center"/>
              <w:rPr>
                <w:b/>
                <w:szCs w:val="20"/>
              </w:rPr>
            </w:pPr>
          </w:p>
        </w:tc>
        <w:tc>
          <w:tcPr>
            <w:tcW w:w="1959" w:type="dxa"/>
            <w:gridSpan w:val="2"/>
          </w:tcPr>
          <w:p w:rsidR="006304EB" w:rsidRDefault="006304EB" w:rsidP="00A95965">
            <w:pPr>
              <w:pStyle w:val="TableText"/>
              <w:rPr>
                <w:szCs w:val="20"/>
              </w:rPr>
            </w:pPr>
          </w:p>
        </w:tc>
        <w:tc>
          <w:tcPr>
            <w:tcW w:w="1760" w:type="dxa"/>
          </w:tcPr>
          <w:p w:rsidR="006304EB" w:rsidRDefault="006304EB" w:rsidP="00A95965">
            <w:pPr>
              <w:pStyle w:val="TableText"/>
              <w:rPr>
                <w:szCs w:val="20"/>
              </w:rPr>
            </w:pPr>
          </w:p>
        </w:tc>
      </w:tr>
      <w:tr w:rsidR="006304EB">
        <w:trPr>
          <w:cantSplit/>
          <w:trHeight w:val="432"/>
        </w:trPr>
        <w:tc>
          <w:tcPr>
            <w:tcW w:w="3421" w:type="dxa"/>
            <w:gridSpan w:val="2"/>
            <w:noWrap/>
          </w:tcPr>
          <w:p w:rsidR="006304EB" w:rsidRDefault="006304EB" w:rsidP="00A95965">
            <w:pPr>
              <w:pStyle w:val="TableText"/>
              <w:rPr>
                <w:szCs w:val="20"/>
              </w:rPr>
            </w:pPr>
          </w:p>
        </w:tc>
        <w:tc>
          <w:tcPr>
            <w:tcW w:w="969" w:type="dxa"/>
          </w:tcPr>
          <w:p w:rsidR="006304EB" w:rsidRDefault="006304EB" w:rsidP="00A95965">
            <w:pPr>
              <w:pStyle w:val="TableText"/>
              <w:rPr>
                <w:szCs w:val="20"/>
              </w:rPr>
            </w:pPr>
          </w:p>
        </w:tc>
        <w:tc>
          <w:tcPr>
            <w:tcW w:w="970" w:type="dxa"/>
          </w:tcPr>
          <w:p w:rsidR="006304EB" w:rsidRDefault="006304EB" w:rsidP="00A95965">
            <w:pPr>
              <w:pStyle w:val="TableText"/>
              <w:rPr>
                <w:szCs w:val="20"/>
              </w:rPr>
            </w:pPr>
          </w:p>
        </w:tc>
        <w:tc>
          <w:tcPr>
            <w:tcW w:w="970" w:type="dxa"/>
          </w:tcPr>
          <w:p w:rsidR="006304EB" w:rsidRDefault="006304EB" w:rsidP="00A95965">
            <w:pPr>
              <w:pStyle w:val="TableText"/>
              <w:rPr>
                <w:szCs w:val="20"/>
              </w:rPr>
            </w:pPr>
          </w:p>
        </w:tc>
        <w:tc>
          <w:tcPr>
            <w:tcW w:w="971" w:type="dxa"/>
          </w:tcPr>
          <w:p w:rsidR="006304EB" w:rsidRPr="006A7FD3" w:rsidRDefault="006304EB" w:rsidP="00A95965">
            <w:pPr>
              <w:pStyle w:val="TableText"/>
              <w:jc w:val="center"/>
              <w:rPr>
                <w:b/>
                <w:szCs w:val="20"/>
              </w:rPr>
            </w:pPr>
          </w:p>
        </w:tc>
        <w:tc>
          <w:tcPr>
            <w:tcW w:w="970" w:type="dxa"/>
          </w:tcPr>
          <w:p w:rsidR="006304EB" w:rsidRPr="006A7FD3" w:rsidRDefault="006304EB" w:rsidP="00A95965">
            <w:pPr>
              <w:pStyle w:val="TableText"/>
              <w:jc w:val="center"/>
              <w:rPr>
                <w:b/>
                <w:szCs w:val="20"/>
              </w:rPr>
            </w:pPr>
          </w:p>
        </w:tc>
        <w:tc>
          <w:tcPr>
            <w:tcW w:w="970" w:type="dxa"/>
          </w:tcPr>
          <w:p w:rsidR="006304EB" w:rsidRPr="006A7FD3" w:rsidRDefault="006304EB" w:rsidP="00A95965">
            <w:pPr>
              <w:pStyle w:val="TableText"/>
              <w:jc w:val="center"/>
              <w:rPr>
                <w:b/>
                <w:szCs w:val="20"/>
              </w:rPr>
            </w:pPr>
          </w:p>
        </w:tc>
        <w:tc>
          <w:tcPr>
            <w:tcW w:w="1959" w:type="dxa"/>
            <w:gridSpan w:val="2"/>
          </w:tcPr>
          <w:p w:rsidR="006304EB" w:rsidRDefault="006304EB" w:rsidP="00A95965">
            <w:pPr>
              <w:pStyle w:val="TableText"/>
              <w:rPr>
                <w:szCs w:val="20"/>
              </w:rPr>
            </w:pPr>
          </w:p>
        </w:tc>
        <w:tc>
          <w:tcPr>
            <w:tcW w:w="1760" w:type="dxa"/>
          </w:tcPr>
          <w:p w:rsidR="006304EB" w:rsidRDefault="006304EB" w:rsidP="00A95965">
            <w:pPr>
              <w:pStyle w:val="TableText"/>
              <w:rPr>
                <w:szCs w:val="20"/>
              </w:rPr>
            </w:pPr>
          </w:p>
        </w:tc>
      </w:tr>
    </w:tbl>
    <w:p w:rsidR="004A6408" w:rsidRDefault="004A6408" w:rsidP="00DD75E5">
      <w:pPr>
        <w:pStyle w:val="BodyText"/>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376"/>
        <w:gridCol w:w="2044"/>
        <w:gridCol w:w="2044"/>
        <w:gridCol w:w="1973"/>
        <w:gridCol w:w="2432"/>
        <w:gridCol w:w="2091"/>
      </w:tblGrid>
      <w:tr w:rsidR="00902D46" w:rsidRPr="00887834">
        <w:trPr>
          <w:tblHeader/>
        </w:trPr>
        <w:tc>
          <w:tcPr>
            <w:tcW w:w="12960" w:type="dxa"/>
            <w:gridSpan w:val="6"/>
            <w:shd w:val="clear" w:color="auto" w:fill="B3B3B3"/>
          </w:tcPr>
          <w:p w:rsidR="00902D46" w:rsidRPr="00887834" w:rsidRDefault="00902D46" w:rsidP="00FC4396">
            <w:pPr>
              <w:pStyle w:val="TableText"/>
              <w:rPr>
                <w:b/>
              </w:rPr>
            </w:pPr>
            <w:r w:rsidRPr="00887834">
              <w:rPr>
                <w:b/>
              </w:rPr>
              <w:lastRenderedPageBreak/>
              <w:t>Direct Antiglobulin Test</w:t>
            </w:r>
          </w:p>
        </w:tc>
      </w:tr>
      <w:tr w:rsidR="00887834" w:rsidRPr="00887834">
        <w:trPr>
          <w:tblHeader/>
        </w:trPr>
        <w:tc>
          <w:tcPr>
            <w:tcW w:w="2376" w:type="dxa"/>
            <w:shd w:val="clear" w:color="auto" w:fill="B3B3B3"/>
          </w:tcPr>
          <w:p w:rsidR="008B5CC4" w:rsidRPr="00887834" w:rsidRDefault="008B5CC4" w:rsidP="00FC4396">
            <w:pPr>
              <w:pStyle w:val="TableText"/>
              <w:rPr>
                <w:b/>
              </w:rPr>
            </w:pPr>
            <w:r w:rsidRPr="00887834">
              <w:rPr>
                <w:b/>
              </w:rPr>
              <w:t>Reagent</w:t>
            </w:r>
            <w:r w:rsidR="00CB127B" w:rsidRPr="00887834">
              <w:rPr>
                <w:b/>
              </w:rPr>
              <w:t xml:space="preserve"> Antiserum</w:t>
            </w:r>
          </w:p>
        </w:tc>
        <w:tc>
          <w:tcPr>
            <w:tcW w:w="2044" w:type="dxa"/>
            <w:shd w:val="clear" w:color="auto" w:fill="B3B3B3"/>
          </w:tcPr>
          <w:p w:rsidR="008B5CC4" w:rsidRPr="00887834" w:rsidRDefault="008B5CC4" w:rsidP="00FC4396">
            <w:pPr>
              <w:pStyle w:val="TableText"/>
              <w:rPr>
                <w:b/>
              </w:rPr>
            </w:pPr>
            <w:r w:rsidRPr="00887834">
              <w:rPr>
                <w:b/>
                <w:szCs w:val="20"/>
              </w:rPr>
              <w:t>Lot Number</w:t>
            </w:r>
          </w:p>
        </w:tc>
        <w:tc>
          <w:tcPr>
            <w:tcW w:w="2044" w:type="dxa"/>
            <w:shd w:val="clear" w:color="auto" w:fill="B3B3B3"/>
          </w:tcPr>
          <w:p w:rsidR="008B5CC4" w:rsidRPr="00887834" w:rsidRDefault="008B5CC4" w:rsidP="00FC4396">
            <w:pPr>
              <w:pStyle w:val="TableText"/>
              <w:rPr>
                <w:b/>
              </w:rPr>
            </w:pPr>
            <w:r w:rsidRPr="00887834">
              <w:rPr>
                <w:b/>
                <w:szCs w:val="20"/>
              </w:rPr>
              <w:t>AHG</w:t>
            </w:r>
          </w:p>
        </w:tc>
        <w:tc>
          <w:tcPr>
            <w:tcW w:w="1973" w:type="dxa"/>
            <w:shd w:val="clear" w:color="auto" w:fill="B3B3B3"/>
          </w:tcPr>
          <w:p w:rsidR="008B5CC4" w:rsidRPr="00887834" w:rsidRDefault="008B5CC4" w:rsidP="00FC4396">
            <w:pPr>
              <w:pStyle w:val="TableText"/>
              <w:rPr>
                <w:b/>
              </w:rPr>
            </w:pPr>
            <w:r w:rsidRPr="00887834">
              <w:rPr>
                <w:b/>
                <w:szCs w:val="20"/>
              </w:rPr>
              <w:t>CC</w:t>
            </w:r>
          </w:p>
        </w:tc>
        <w:tc>
          <w:tcPr>
            <w:tcW w:w="2432" w:type="dxa"/>
            <w:shd w:val="clear" w:color="auto" w:fill="B3B3B3"/>
          </w:tcPr>
          <w:p w:rsidR="008B5CC4" w:rsidRPr="00887834" w:rsidRDefault="008B5CC4" w:rsidP="00FC4396">
            <w:pPr>
              <w:pStyle w:val="TableText"/>
              <w:rPr>
                <w:b/>
              </w:rPr>
            </w:pPr>
            <w:r w:rsidRPr="00887834">
              <w:rPr>
                <w:b/>
                <w:szCs w:val="20"/>
              </w:rPr>
              <w:t>Interpretation</w:t>
            </w:r>
          </w:p>
        </w:tc>
        <w:tc>
          <w:tcPr>
            <w:tcW w:w="2091" w:type="dxa"/>
            <w:shd w:val="clear" w:color="auto" w:fill="B3B3B3"/>
          </w:tcPr>
          <w:p w:rsidR="008B5CC4" w:rsidRPr="00887834" w:rsidRDefault="008B5CC4" w:rsidP="00FC4396">
            <w:pPr>
              <w:pStyle w:val="TableText"/>
              <w:rPr>
                <w:b/>
              </w:rPr>
            </w:pPr>
            <w:r w:rsidRPr="00887834">
              <w:rPr>
                <w:b/>
                <w:szCs w:val="20"/>
              </w:rPr>
              <w:t>Tech Name</w:t>
            </w:r>
          </w:p>
        </w:tc>
      </w:tr>
      <w:tr w:rsidR="00887834">
        <w:trPr>
          <w:trHeight w:val="432"/>
        </w:trPr>
        <w:tc>
          <w:tcPr>
            <w:tcW w:w="2376" w:type="dxa"/>
          </w:tcPr>
          <w:p w:rsidR="008B5CC4" w:rsidRPr="00887834" w:rsidRDefault="008B5CC4" w:rsidP="00902D46">
            <w:pPr>
              <w:pStyle w:val="TableText"/>
              <w:rPr>
                <w:b/>
              </w:rPr>
            </w:pPr>
            <w:r w:rsidRPr="00887834">
              <w:rPr>
                <w:b/>
              </w:rPr>
              <w:t>Polyspecific</w:t>
            </w:r>
          </w:p>
        </w:tc>
        <w:tc>
          <w:tcPr>
            <w:tcW w:w="2044" w:type="dxa"/>
          </w:tcPr>
          <w:p w:rsidR="008B5CC4" w:rsidRDefault="008B5CC4" w:rsidP="00571D70">
            <w:pPr>
              <w:pStyle w:val="TableText"/>
            </w:pPr>
          </w:p>
        </w:tc>
        <w:tc>
          <w:tcPr>
            <w:tcW w:w="2044" w:type="dxa"/>
          </w:tcPr>
          <w:p w:rsidR="008B5CC4" w:rsidRDefault="008B5CC4" w:rsidP="00902D46">
            <w:pPr>
              <w:pStyle w:val="TableText"/>
            </w:pPr>
          </w:p>
        </w:tc>
        <w:tc>
          <w:tcPr>
            <w:tcW w:w="1973" w:type="dxa"/>
          </w:tcPr>
          <w:p w:rsidR="008B5CC4" w:rsidRDefault="008B5CC4" w:rsidP="00902D46">
            <w:pPr>
              <w:pStyle w:val="TableText"/>
            </w:pPr>
          </w:p>
        </w:tc>
        <w:tc>
          <w:tcPr>
            <w:tcW w:w="2432" w:type="dxa"/>
          </w:tcPr>
          <w:p w:rsidR="008B5CC4" w:rsidRDefault="008B5CC4" w:rsidP="00902D46">
            <w:pPr>
              <w:pStyle w:val="TableText"/>
            </w:pPr>
          </w:p>
        </w:tc>
        <w:tc>
          <w:tcPr>
            <w:tcW w:w="2091" w:type="dxa"/>
          </w:tcPr>
          <w:p w:rsidR="008B5CC4" w:rsidRDefault="008B5CC4" w:rsidP="00902D46">
            <w:pPr>
              <w:pStyle w:val="TableText"/>
            </w:pPr>
          </w:p>
        </w:tc>
      </w:tr>
      <w:tr w:rsidR="00887834">
        <w:trPr>
          <w:trHeight w:val="432"/>
        </w:trPr>
        <w:tc>
          <w:tcPr>
            <w:tcW w:w="2376" w:type="dxa"/>
          </w:tcPr>
          <w:p w:rsidR="008B5CC4" w:rsidRPr="00887834" w:rsidRDefault="008B5CC4" w:rsidP="00902D46">
            <w:pPr>
              <w:pStyle w:val="TableText"/>
              <w:rPr>
                <w:b/>
              </w:rPr>
            </w:pPr>
            <w:r w:rsidRPr="00887834">
              <w:rPr>
                <w:b/>
              </w:rPr>
              <w:t>Anti-IgG</w:t>
            </w:r>
          </w:p>
        </w:tc>
        <w:tc>
          <w:tcPr>
            <w:tcW w:w="2044" w:type="dxa"/>
          </w:tcPr>
          <w:p w:rsidR="008B5CC4" w:rsidRDefault="008B5CC4" w:rsidP="00571D70">
            <w:pPr>
              <w:pStyle w:val="TableText"/>
            </w:pPr>
          </w:p>
        </w:tc>
        <w:tc>
          <w:tcPr>
            <w:tcW w:w="2044" w:type="dxa"/>
          </w:tcPr>
          <w:p w:rsidR="008B5CC4" w:rsidRDefault="008B5CC4" w:rsidP="00902D46">
            <w:pPr>
              <w:pStyle w:val="TableText"/>
            </w:pPr>
          </w:p>
        </w:tc>
        <w:tc>
          <w:tcPr>
            <w:tcW w:w="1973" w:type="dxa"/>
          </w:tcPr>
          <w:p w:rsidR="008B5CC4" w:rsidRDefault="008B5CC4" w:rsidP="00902D46">
            <w:pPr>
              <w:pStyle w:val="TableText"/>
            </w:pPr>
          </w:p>
        </w:tc>
        <w:tc>
          <w:tcPr>
            <w:tcW w:w="2432" w:type="dxa"/>
          </w:tcPr>
          <w:p w:rsidR="008B5CC4" w:rsidRDefault="008B5CC4" w:rsidP="00902D46">
            <w:pPr>
              <w:pStyle w:val="TableText"/>
            </w:pPr>
          </w:p>
        </w:tc>
        <w:tc>
          <w:tcPr>
            <w:tcW w:w="2091" w:type="dxa"/>
          </w:tcPr>
          <w:p w:rsidR="008B5CC4" w:rsidRDefault="008B5CC4" w:rsidP="00902D46">
            <w:pPr>
              <w:pStyle w:val="TableText"/>
            </w:pPr>
          </w:p>
        </w:tc>
      </w:tr>
      <w:tr w:rsidR="00887834">
        <w:trPr>
          <w:trHeight w:val="432"/>
        </w:trPr>
        <w:tc>
          <w:tcPr>
            <w:tcW w:w="2376" w:type="dxa"/>
          </w:tcPr>
          <w:p w:rsidR="008B5CC4" w:rsidRPr="00887834" w:rsidRDefault="008B5CC4" w:rsidP="00902D46">
            <w:pPr>
              <w:pStyle w:val="TableText"/>
              <w:rPr>
                <w:b/>
              </w:rPr>
            </w:pPr>
            <w:r w:rsidRPr="00887834">
              <w:rPr>
                <w:b/>
              </w:rPr>
              <w:t>Anti-C3d</w:t>
            </w:r>
          </w:p>
        </w:tc>
        <w:tc>
          <w:tcPr>
            <w:tcW w:w="2044" w:type="dxa"/>
          </w:tcPr>
          <w:p w:rsidR="008B5CC4" w:rsidRDefault="008B5CC4" w:rsidP="00571D70">
            <w:pPr>
              <w:pStyle w:val="TableText"/>
            </w:pPr>
          </w:p>
        </w:tc>
        <w:tc>
          <w:tcPr>
            <w:tcW w:w="2044" w:type="dxa"/>
          </w:tcPr>
          <w:p w:rsidR="008B5CC4" w:rsidRDefault="008B5CC4" w:rsidP="00902D46">
            <w:pPr>
              <w:pStyle w:val="TableText"/>
            </w:pPr>
          </w:p>
        </w:tc>
        <w:tc>
          <w:tcPr>
            <w:tcW w:w="1973" w:type="dxa"/>
          </w:tcPr>
          <w:p w:rsidR="008B5CC4" w:rsidRDefault="008B5CC4" w:rsidP="00902D46">
            <w:pPr>
              <w:pStyle w:val="TableText"/>
            </w:pPr>
          </w:p>
        </w:tc>
        <w:tc>
          <w:tcPr>
            <w:tcW w:w="2432" w:type="dxa"/>
          </w:tcPr>
          <w:p w:rsidR="008B5CC4" w:rsidRDefault="008B5CC4" w:rsidP="00902D46">
            <w:pPr>
              <w:pStyle w:val="TableText"/>
            </w:pPr>
          </w:p>
        </w:tc>
        <w:tc>
          <w:tcPr>
            <w:tcW w:w="2091" w:type="dxa"/>
          </w:tcPr>
          <w:p w:rsidR="008B5CC4" w:rsidRDefault="008B5CC4" w:rsidP="00902D46">
            <w:pPr>
              <w:pStyle w:val="TableText"/>
            </w:pPr>
          </w:p>
        </w:tc>
      </w:tr>
    </w:tbl>
    <w:p w:rsidR="00902D46" w:rsidRDefault="00902D46" w:rsidP="00902D46">
      <w:pPr>
        <w:rPr>
          <w:rFonts w:ascii="Arial" w:hAnsi="Arial" w:cs="Arial"/>
          <w:sz w:val="18"/>
          <w:szCs w:val="18"/>
        </w:rPr>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418"/>
        <w:gridCol w:w="1099"/>
        <w:gridCol w:w="1099"/>
        <w:gridCol w:w="1100"/>
        <w:gridCol w:w="1100"/>
        <w:gridCol w:w="1100"/>
        <w:gridCol w:w="1100"/>
        <w:gridCol w:w="1100"/>
        <w:gridCol w:w="1410"/>
        <w:gridCol w:w="1434"/>
      </w:tblGrid>
      <w:tr w:rsidR="00C54677" w:rsidRPr="00887834">
        <w:trPr>
          <w:tblHeader/>
        </w:trPr>
        <w:tc>
          <w:tcPr>
            <w:tcW w:w="12960" w:type="dxa"/>
            <w:gridSpan w:val="10"/>
            <w:shd w:val="clear" w:color="auto" w:fill="B3B3B3"/>
          </w:tcPr>
          <w:p w:rsidR="00C54677" w:rsidRPr="00887834" w:rsidRDefault="00C54677" w:rsidP="00FC4396">
            <w:pPr>
              <w:pStyle w:val="TableText"/>
              <w:rPr>
                <w:b/>
              </w:rPr>
            </w:pPr>
            <w:r w:rsidRPr="00887834">
              <w:rPr>
                <w:b/>
              </w:rPr>
              <w:t>Direct Antiglobulin QC</w:t>
            </w:r>
          </w:p>
        </w:tc>
      </w:tr>
      <w:tr w:rsidR="00887834" w:rsidRPr="00887834">
        <w:trPr>
          <w:tblHeader/>
        </w:trPr>
        <w:tc>
          <w:tcPr>
            <w:tcW w:w="2418" w:type="dxa"/>
            <w:shd w:val="clear" w:color="auto" w:fill="B3B3B3"/>
          </w:tcPr>
          <w:p w:rsidR="007375B1" w:rsidRPr="00887834" w:rsidRDefault="007375B1" w:rsidP="00FC4396">
            <w:pPr>
              <w:pStyle w:val="TableText"/>
              <w:rPr>
                <w:b/>
              </w:rPr>
            </w:pPr>
            <w:r w:rsidRPr="00887834">
              <w:rPr>
                <w:b/>
              </w:rPr>
              <w:t>Reagent Antiserum</w:t>
            </w:r>
          </w:p>
        </w:tc>
        <w:tc>
          <w:tcPr>
            <w:tcW w:w="1099" w:type="dxa"/>
            <w:shd w:val="clear" w:color="auto" w:fill="B3B3B3"/>
          </w:tcPr>
          <w:p w:rsidR="007375B1" w:rsidRPr="00887834" w:rsidRDefault="007375B1" w:rsidP="00FC4396">
            <w:pPr>
              <w:pStyle w:val="TableText"/>
              <w:rPr>
                <w:b/>
              </w:rPr>
            </w:pPr>
            <w:r w:rsidRPr="00887834">
              <w:rPr>
                <w:b/>
                <w:szCs w:val="20"/>
              </w:rPr>
              <w:t>Lot Number</w:t>
            </w:r>
          </w:p>
        </w:tc>
        <w:tc>
          <w:tcPr>
            <w:tcW w:w="1099" w:type="dxa"/>
            <w:shd w:val="clear" w:color="auto" w:fill="B3B3B3"/>
          </w:tcPr>
          <w:p w:rsidR="007375B1" w:rsidRPr="00887834" w:rsidRDefault="007375B1" w:rsidP="00FC4396">
            <w:pPr>
              <w:pStyle w:val="TableText"/>
              <w:rPr>
                <w:b/>
                <w:szCs w:val="20"/>
              </w:rPr>
            </w:pPr>
            <w:r w:rsidRPr="00887834">
              <w:rPr>
                <w:b/>
                <w:szCs w:val="20"/>
              </w:rPr>
              <w:t>Expiration Date</w:t>
            </w:r>
          </w:p>
        </w:tc>
        <w:tc>
          <w:tcPr>
            <w:tcW w:w="1100" w:type="dxa"/>
            <w:shd w:val="clear" w:color="auto" w:fill="B3B3B3"/>
          </w:tcPr>
          <w:p w:rsidR="007375B1" w:rsidRPr="00887834" w:rsidRDefault="007375B1" w:rsidP="00FC4396">
            <w:pPr>
              <w:pStyle w:val="TableText"/>
              <w:rPr>
                <w:b/>
                <w:szCs w:val="20"/>
              </w:rPr>
            </w:pPr>
            <w:r w:rsidRPr="00887834">
              <w:rPr>
                <w:b/>
                <w:szCs w:val="20"/>
              </w:rPr>
              <w:t>Reagent Red Cells</w:t>
            </w:r>
          </w:p>
        </w:tc>
        <w:tc>
          <w:tcPr>
            <w:tcW w:w="1100" w:type="dxa"/>
            <w:shd w:val="clear" w:color="auto" w:fill="B3B3B3"/>
          </w:tcPr>
          <w:p w:rsidR="007375B1" w:rsidRPr="00887834" w:rsidRDefault="007375B1" w:rsidP="00FC4396">
            <w:pPr>
              <w:pStyle w:val="TableText"/>
              <w:rPr>
                <w:b/>
                <w:szCs w:val="20"/>
              </w:rPr>
            </w:pPr>
            <w:r w:rsidRPr="00887834">
              <w:rPr>
                <w:b/>
                <w:szCs w:val="20"/>
              </w:rPr>
              <w:t>Lot Number</w:t>
            </w:r>
          </w:p>
        </w:tc>
        <w:tc>
          <w:tcPr>
            <w:tcW w:w="1100" w:type="dxa"/>
            <w:shd w:val="clear" w:color="auto" w:fill="B3B3B3"/>
          </w:tcPr>
          <w:p w:rsidR="007375B1" w:rsidRPr="00887834" w:rsidRDefault="007375B1" w:rsidP="00FC4396">
            <w:pPr>
              <w:pStyle w:val="TableText"/>
              <w:rPr>
                <w:b/>
                <w:szCs w:val="20"/>
              </w:rPr>
            </w:pPr>
            <w:r w:rsidRPr="00887834">
              <w:rPr>
                <w:b/>
                <w:szCs w:val="20"/>
              </w:rPr>
              <w:t>Expiration Date</w:t>
            </w:r>
          </w:p>
        </w:tc>
        <w:tc>
          <w:tcPr>
            <w:tcW w:w="1100" w:type="dxa"/>
            <w:shd w:val="clear" w:color="auto" w:fill="B3B3B3"/>
          </w:tcPr>
          <w:p w:rsidR="007375B1" w:rsidRPr="00887834" w:rsidRDefault="007375B1" w:rsidP="00FC4396">
            <w:pPr>
              <w:pStyle w:val="TableText"/>
              <w:rPr>
                <w:b/>
              </w:rPr>
            </w:pPr>
            <w:r w:rsidRPr="00887834">
              <w:rPr>
                <w:b/>
                <w:szCs w:val="20"/>
              </w:rPr>
              <w:t>AHG</w:t>
            </w:r>
          </w:p>
        </w:tc>
        <w:tc>
          <w:tcPr>
            <w:tcW w:w="1100" w:type="dxa"/>
            <w:shd w:val="clear" w:color="auto" w:fill="B3B3B3"/>
          </w:tcPr>
          <w:p w:rsidR="007375B1" w:rsidRPr="00887834" w:rsidRDefault="007375B1" w:rsidP="00FC4396">
            <w:pPr>
              <w:pStyle w:val="TableText"/>
              <w:rPr>
                <w:b/>
              </w:rPr>
            </w:pPr>
            <w:r w:rsidRPr="00887834">
              <w:rPr>
                <w:b/>
                <w:szCs w:val="20"/>
              </w:rPr>
              <w:t>CC</w:t>
            </w:r>
          </w:p>
        </w:tc>
        <w:tc>
          <w:tcPr>
            <w:tcW w:w="1410" w:type="dxa"/>
            <w:shd w:val="clear" w:color="auto" w:fill="B3B3B3"/>
          </w:tcPr>
          <w:p w:rsidR="007375B1" w:rsidRPr="00887834" w:rsidRDefault="007375B1" w:rsidP="00FC4396">
            <w:pPr>
              <w:pStyle w:val="TableText"/>
              <w:rPr>
                <w:b/>
              </w:rPr>
            </w:pPr>
            <w:r w:rsidRPr="00887834">
              <w:rPr>
                <w:b/>
                <w:szCs w:val="20"/>
              </w:rPr>
              <w:t>Interpretation</w:t>
            </w:r>
          </w:p>
        </w:tc>
        <w:tc>
          <w:tcPr>
            <w:tcW w:w="1434" w:type="dxa"/>
            <w:shd w:val="clear" w:color="auto" w:fill="B3B3B3"/>
          </w:tcPr>
          <w:p w:rsidR="007375B1" w:rsidRPr="00887834" w:rsidRDefault="007375B1" w:rsidP="00FC4396">
            <w:pPr>
              <w:pStyle w:val="TableText"/>
              <w:rPr>
                <w:b/>
              </w:rPr>
            </w:pPr>
            <w:r w:rsidRPr="00887834">
              <w:rPr>
                <w:b/>
                <w:szCs w:val="20"/>
              </w:rPr>
              <w:t>Tech Name</w:t>
            </w:r>
          </w:p>
        </w:tc>
      </w:tr>
      <w:tr w:rsidR="00887834">
        <w:trPr>
          <w:trHeight w:val="432"/>
        </w:trPr>
        <w:tc>
          <w:tcPr>
            <w:tcW w:w="2418" w:type="dxa"/>
          </w:tcPr>
          <w:p w:rsidR="007375B1" w:rsidRPr="00887834" w:rsidRDefault="007375B1" w:rsidP="00DF12C8">
            <w:pPr>
              <w:pStyle w:val="TableText"/>
              <w:rPr>
                <w:b/>
              </w:rPr>
            </w:pPr>
            <w:r w:rsidRPr="00887834">
              <w:rPr>
                <w:b/>
              </w:rPr>
              <w:t>Polyspecific</w:t>
            </w:r>
          </w:p>
        </w:tc>
        <w:tc>
          <w:tcPr>
            <w:tcW w:w="1099" w:type="dxa"/>
          </w:tcPr>
          <w:p w:rsidR="007375B1" w:rsidRDefault="007375B1" w:rsidP="00DF12C8">
            <w:pPr>
              <w:pStyle w:val="TableText"/>
            </w:pPr>
          </w:p>
        </w:tc>
        <w:tc>
          <w:tcPr>
            <w:tcW w:w="1099" w:type="dxa"/>
          </w:tcPr>
          <w:p w:rsidR="007375B1" w:rsidRDefault="007375B1" w:rsidP="00DF12C8">
            <w:pPr>
              <w:pStyle w:val="TableText"/>
            </w:pPr>
          </w:p>
        </w:tc>
        <w:tc>
          <w:tcPr>
            <w:tcW w:w="1100" w:type="dxa"/>
          </w:tcPr>
          <w:p w:rsidR="007375B1" w:rsidRDefault="007375B1" w:rsidP="00DF12C8">
            <w:pPr>
              <w:pStyle w:val="TableText"/>
            </w:pPr>
          </w:p>
        </w:tc>
        <w:tc>
          <w:tcPr>
            <w:tcW w:w="1100" w:type="dxa"/>
          </w:tcPr>
          <w:p w:rsidR="007375B1" w:rsidRDefault="007375B1" w:rsidP="00DF12C8">
            <w:pPr>
              <w:pStyle w:val="TableText"/>
            </w:pPr>
          </w:p>
        </w:tc>
        <w:tc>
          <w:tcPr>
            <w:tcW w:w="1100" w:type="dxa"/>
          </w:tcPr>
          <w:p w:rsidR="007375B1" w:rsidRDefault="007375B1" w:rsidP="00DF12C8">
            <w:pPr>
              <w:pStyle w:val="TableText"/>
            </w:pPr>
          </w:p>
        </w:tc>
        <w:tc>
          <w:tcPr>
            <w:tcW w:w="1100" w:type="dxa"/>
          </w:tcPr>
          <w:p w:rsidR="007375B1" w:rsidRDefault="007375B1" w:rsidP="00DF12C8">
            <w:pPr>
              <w:pStyle w:val="TableText"/>
            </w:pPr>
          </w:p>
        </w:tc>
        <w:tc>
          <w:tcPr>
            <w:tcW w:w="1100" w:type="dxa"/>
          </w:tcPr>
          <w:p w:rsidR="007375B1" w:rsidRDefault="007375B1" w:rsidP="00DF12C8">
            <w:pPr>
              <w:pStyle w:val="TableText"/>
            </w:pPr>
          </w:p>
        </w:tc>
        <w:tc>
          <w:tcPr>
            <w:tcW w:w="1410" w:type="dxa"/>
          </w:tcPr>
          <w:p w:rsidR="007375B1" w:rsidRDefault="007375B1" w:rsidP="00DF12C8">
            <w:pPr>
              <w:pStyle w:val="TableText"/>
            </w:pPr>
          </w:p>
        </w:tc>
        <w:tc>
          <w:tcPr>
            <w:tcW w:w="1434" w:type="dxa"/>
          </w:tcPr>
          <w:p w:rsidR="007375B1" w:rsidRDefault="007375B1" w:rsidP="00DF12C8">
            <w:pPr>
              <w:pStyle w:val="TableText"/>
            </w:pPr>
          </w:p>
        </w:tc>
      </w:tr>
      <w:tr w:rsidR="00887834">
        <w:trPr>
          <w:trHeight w:val="432"/>
        </w:trPr>
        <w:tc>
          <w:tcPr>
            <w:tcW w:w="2418" w:type="dxa"/>
          </w:tcPr>
          <w:p w:rsidR="007375B1" w:rsidRPr="00887834" w:rsidRDefault="007375B1" w:rsidP="00DF12C8">
            <w:pPr>
              <w:pStyle w:val="TableText"/>
              <w:rPr>
                <w:b/>
              </w:rPr>
            </w:pPr>
            <w:r w:rsidRPr="00887834">
              <w:rPr>
                <w:b/>
              </w:rPr>
              <w:t>Anti-IgG</w:t>
            </w:r>
          </w:p>
        </w:tc>
        <w:tc>
          <w:tcPr>
            <w:tcW w:w="1099" w:type="dxa"/>
          </w:tcPr>
          <w:p w:rsidR="007375B1" w:rsidRDefault="007375B1" w:rsidP="00DF12C8">
            <w:pPr>
              <w:pStyle w:val="TableText"/>
            </w:pPr>
          </w:p>
        </w:tc>
        <w:tc>
          <w:tcPr>
            <w:tcW w:w="1099" w:type="dxa"/>
          </w:tcPr>
          <w:p w:rsidR="007375B1" w:rsidRDefault="007375B1" w:rsidP="00DF12C8">
            <w:pPr>
              <w:pStyle w:val="TableText"/>
            </w:pPr>
          </w:p>
        </w:tc>
        <w:tc>
          <w:tcPr>
            <w:tcW w:w="1100" w:type="dxa"/>
          </w:tcPr>
          <w:p w:rsidR="007375B1" w:rsidRDefault="007375B1" w:rsidP="00DF12C8">
            <w:pPr>
              <w:pStyle w:val="TableText"/>
            </w:pPr>
          </w:p>
        </w:tc>
        <w:tc>
          <w:tcPr>
            <w:tcW w:w="1100" w:type="dxa"/>
          </w:tcPr>
          <w:p w:rsidR="007375B1" w:rsidRDefault="007375B1" w:rsidP="00DF12C8">
            <w:pPr>
              <w:pStyle w:val="TableText"/>
            </w:pPr>
          </w:p>
        </w:tc>
        <w:tc>
          <w:tcPr>
            <w:tcW w:w="1100" w:type="dxa"/>
          </w:tcPr>
          <w:p w:rsidR="007375B1" w:rsidRDefault="007375B1" w:rsidP="00DF12C8">
            <w:pPr>
              <w:pStyle w:val="TableText"/>
            </w:pPr>
          </w:p>
        </w:tc>
        <w:tc>
          <w:tcPr>
            <w:tcW w:w="1100" w:type="dxa"/>
          </w:tcPr>
          <w:p w:rsidR="007375B1" w:rsidRDefault="007375B1" w:rsidP="00DF12C8">
            <w:pPr>
              <w:pStyle w:val="TableText"/>
            </w:pPr>
          </w:p>
        </w:tc>
        <w:tc>
          <w:tcPr>
            <w:tcW w:w="1100" w:type="dxa"/>
          </w:tcPr>
          <w:p w:rsidR="007375B1" w:rsidRDefault="007375B1" w:rsidP="00DF12C8">
            <w:pPr>
              <w:pStyle w:val="TableText"/>
            </w:pPr>
          </w:p>
        </w:tc>
        <w:tc>
          <w:tcPr>
            <w:tcW w:w="1410" w:type="dxa"/>
          </w:tcPr>
          <w:p w:rsidR="007375B1" w:rsidRDefault="007375B1" w:rsidP="00DF12C8">
            <w:pPr>
              <w:pStyle w:val="TableText"/>
            </w:pPr>
          </w:p>
        </w:tc>
        <w:tc>
          <w:tcPr>
            <w:tcW w:w="1434" w:type="dxa"/>
          </w:tcPr>
          <w:p w:rsidR="007375B1" w:rsidRDefault="007375B1" w:rsidP="00DF12C8">
            <w:pPr>
              <w:pStyle w:val="TableText"/>
            </w:pPr>
          </w:p>
        </w:tc>
      </w:tr>
      <w:tr w:rsidR="00887834">
        <w:trPr>
          <w:trHeight w:val="432"/>
        </w:trPr>
        <w:tc>
          <w:tcPr>
            <w:tcW w:w="2418" w:type="dxa"/>
          </w:tcPr>
          <w:p w:rsidR="007375B1" w:rsidRPr="00887834" w:rsidRDefault="007375B1" w:rsidP="00DF12C8">
            <w:pPr>
              <w:pStyle w:val="TableText"/>
              <w:rPr>
                <w:b/>
              </w:rPr>
            </w:pPr>
            <w:r w:rsidRPr="00887834">
              <w:rPr>
                <w:b/>
              </w:rPr>
              <w:t>Anti-C3d</w:t>
            </w:r>
          </w:p>
        </w:tc>
        <w:tc>
          <w:tcPr>
            <w:tcW w:w="1099" w:type="dxa"/>
          </w:tcPr>
          <w:p w:rsidR="007375B1" w:rsidRDefault="007375B1" w:rsidP="00DF12C8">
            <w:pPr>
              <w:pStyle w:val="TableText"/>
            </w:pPr>
          </w:p>
        </w:tc>
        <w:tc>
          <w:tcPr>
            <w:tcW w:w="1099" w:type="dxa"/>
          </w:tcPr>
          <w:p w:rsidR="007375B1" w:rsidRDefault="007375B1" w:rsidP="00DF12C8">
            <w:pPr>
              <w:pStyle w:val="TableText"/>
            </w:pPr>
          </w:p>
        </w:tc>
        <w:tc>
          <w:tcPr>
            <w:tcW w:w="1100" w:type="dxa"/>
          </w:tcPr>
          <w:p w:rsidR="007375B1" w:rsidRDefault="007375B1" w:rsidP="00DF12C8">
            <w:pPr>
              <w:pStyle w:val="TableText"/>
            </w:pPr>
          </w:p>
        </w:tc>
        <w:tc>
          <w:tcPr>
            <w:tcW w:w="1100" w:type="dxa"/>
          </w:tcPr>
          <w:p w:rsidR="007375B1" w:rsidRDefault="007375B1" w:rsidP="00DF12C8">
            <w:pPr>
              <w:pStyle w:val="TableText"/>
            </w:pPr>
          </w:p>
        </w:tc>
        <w:tc>
          <w:tcPr>
            <w:tcW w:w="1100" w:type="dxa"/>
          </w:tcPr>
          <w:p w:rsidR="007375B1" w:rsidRDefault="007375B1" w:rsidP="00DF12C8">
            <w:pPr>
              <w:pStyle w:val="TableText"/>
            </w:pPr>
          </w:p>
        </w:tc>
        <w:tc>
          <w:tcPr>
            <w:tcW w:w="1100" w:type="dxa"/>
          </w:tcPr>
          <w:p w:rsidR="007375B1" w:rsidRDefault="007375B1" w:rsidP="00DF12C8">
            <w:pPr>
              <w:pStyle w:val="TableText"/>
            </w:pPr>
          </w:p>
        </w:tc>
        <w:tc>
          <w:tcPr>
            <w:tcW w:w="1100" w:type="dxa"/>
          </w:tcPr>
          <w:p w:rsidR="007375B1" w:rsidRDefault="007375B1" w:rsidP="00DF12C8">
            <w:pPr>
              <w:pStyle w:val="TableText"/>
            </w:pPr>
          </w:p>
        </w:tc>
        <w:tc>
          <w:tcPr>
            <w:tcW w:w="1410" w:type="dxa"/>
          </w:tcPr>
          <w:p w:rsidR="007375B1" w:rsidRDefault="007375B1" w:rsidP="00DF12C8">
            <w:pPr>
              <w:pStyle w:val="TableText"/>
            </w:pPr>
          </w:p>
        </w:tc>
        <w:tc>
          <w:tcPr>
            <w:tcW w:w="1434" w:type="dxa"/>
          </w:tcPr>
          <w:p w:rsidR="007375B1" w:rsidRDefault="007375B1" w:rsidP="00DF12C8">
            <w:pPr>
              <w:pStyle w:val="TableText"/>
            </w:pPr>
          </w:p>
        </w:tc>
      </w:tr>
    </w:tbl>
    <w:p w:rsidR="00C54677" w:rsidRDefault="00C54677" w:rsidP="00C54677">
      <w:pPr>
        <w:pStyle w:val="BodyText"/>
      </w:pPr>
      <w:r>
        <w:t>Test Results: Positive, Graded = M, F, W, 1+, 2+, 3+, 4+; Negative = 0; NT = Not Tested</w:t>
      </w:r>
    </w:p>
    <w:p w:rsidR="0050722E" w:rsidRDefault="0050722E" w:rsidP="00C54677">
      <w:pPr>
        <w:pStyle w:val="BodyText"/>
      </w:pPr>
    </w:p>
    <w:p w:rsidR="00E7240A" w:rsidRDefault="00E7240A" w:rsidP="0050722E">
      <w:pPr>
        <w:pStyle w:val="Heading3"/>
      </w:pPr>
      <w:r>
        <w:br w:type="page"/>
      </w:r>
      <w:bookmarkStart w:id="587" w:name="_Toc459900190"/>
      <w:r>
        <w:lastRenderedPageBreak/>
        <w:t>Unit ABO/Rh Confirmation Form</w:t>
      </w:r>
      <w:bookmarkEnd w:id="587"/>
      <w:r w:rsidR="00246F04">
        <w:fldChar w:fldCharType="begin"/>
      </w:r>
      <w:r w:rsidR="00246F04">
        <w:instrText xml:space="preserve"> XE "</w:instrText>
      </w:r>
      <w:r w:rsidR="00246F04" w:rsidRPr="005960AD">
        <w:instrText>Unit ABO/Rh Confirmation Form</w:instrText>
      </w:r>
      <w:r w:rsidR="00246F04">
        <w:instrText xml:space="preserve">" </w:instrText>
      </w:r>
      <w:r w:rsidR="00246F04">
        <w:fldChar w:fldCharType="end"/>
      </w:r>
      <w:r w:rsidR="00A95965">
        <w:fldChar w:fldCharType="begin"/>
      </w:r>
      <w:r w:rsidR="00A95965">
        <w:instrText xml:space="preserve"> XE “Forms:Unit ABO/Rh Confirmation Form” </w:instrText>
      </w:r>
      <w:r w:rsidR="00A95965">
        <w:fldChar w:fldCharType="end"/>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0"/>
        <w:gridCol w:w="3161"/>
        <w:gridCol w:w="1588"/>
        <w:gridCol w:w="1584"/>
        <w:gridCol w:w="3157"/>
      </w:tblGrid>
      <w:tr w:rsidR="003F4F8B">
        <w:tc>
          <w:tcPr>
            <w:tcW w:w="12960" w:type="dxa"/>
            <w:gridSpan w:val="5"/>
          </w:tcPr>
          <w:p w:rsidR="003F4F8B" w:rsidRPr="003F4F8B" w:rsidRDefault="003F4F8B" w:rsidP="003F4F8B">
            <w:pPr>
              <w:pStyle w:val="TableText"/>
            </w:pPr>
            <w:r w:rsidRPr="00887834">
              <w:rPr>
                <w:b/>
              </w:rPr>
              <w:t xml:space="preserve">Facility Name: </w:t>
            </w:r>
          </w:p>
        </w:tc>
      </w:tr>
      <w:tr w:rsidR="003F4F8B">
        <w:tc>
          <w:tcPr>
            <w:tcW w:w="12960" w:type="dxa"/>
            <w:gridSpan w:val="5"/>
          </w:tcPr>
          <w:p w:rsidR="003F4F8B" w:rsidRPr="003F4F8B" w:rsidRDefault="003F4F8B" w:rsidP="003F4F8B">
            <w:pPr>
              <w:pStyle w:val="TableText"/>
            </w:pPr>
            <w:r w:rsidRPr="00887834">
              <w:rPr>
                <w:b/>
              </w:rPr>
              <w:t xml:space="preserve">Address: </w:t>
            </w:r>
          </w:p>
        </w:tc>
      </w:tr>
      <w:tr w:rsidR="003F4F8B">
        <w:tc>
          <w:tcPr>
            <w:tcW w:w="12960" w:type="dxa"/>
            <w:gridSpan w:val="5"/>
          </w:tcPr>
          <w:p w:rsidR="003F4F8B" w:rsidRPr="003F4F8B" w:rsidRDefault="003F4F8B" w:rsidP="003F4F8B">
            <w:pPr>
              <w:pStyle w:val="TableText"/>
            </w:pPr>
            <w:r w:rsidRPr="00887834">
              <w:rPr>
                <w:b/>
              </w:rPr>
              <w:t>City, State, Zip Code:</w:t>
            </w:r>
            <w:r>
              <w:t xml:space="preserve"> </w:t>
            </w:r>
          </w:p>
        </w:tc>
      </w:tr>
      <w:tr w:rsidR="00E724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Ex>
        <w:trPr>
          <w:cantSplit/>
          <w:trHeight w:val="230"/>
        </w:trPr>
        <w:tc>
          <w:tcPr>
            <w:tcW w:w="3470" w:type="dxa"/>
            <w:tcBorders>
              <w:bottom w:val="single" w:sz="2" w:space="0" w:color="auto"/>
            </w:tcBorders>
            <w:shd w:val="clear" w:color="auto" w:fill="B3B3B3"/>
            <w:noWrap/>
          </w:tcPr>
          <w:p w:rsidR="00E7240A" w:rsidRPr="00E8564A" w:rsidRDefault="00E7240A" w:rsidP="00A95965">
            <w:pPr>
              <w:pStyle w:val="TableText"/>
              <w:rPr>
                <w:b/>
                <w:szCs w:val="20"/>
              </w:rPr>
            </w:pPr>
            <w:r w:rsidRPr="00E8564A">
              <w:rPr>
                <w:b/>
                <w:szCs w:val="20"/>
              </w:rPr>
              <w:t>Invoice Number</w:t>
            </w:r>
          </w:p>
        </w:tc>
        <w:tc>
          <w:tcPr>
            <w:tcW w:w="3161" w:type="dxa"/>
            <w:tcBorders>
              <w:bottom w:val="single" w:sz="2" w:space="0" w:color="auto"/>
            </w:tcBorders>
            <w:shd w:val="clear" w:color="auto" w:fill="B3B3B3"/>
          </w:tcPr>
          <w:p w:rsidR="00E7240A" w:rsidRPr="00E8564A" w:rsidRDefault="00E7240A" w:rsidP="00A95965">
            <w:pPr>
              <w:pStyle w:val="TableText"/>
              <w:rPr>
                <w:b/>
                <w:szCs w:val="20"/>
              </w:rPr>
            </w:pPr>
            <w:r w:rsidRPr="00E8564A">
              <w:rPr>
                <w:b/>
                <w:szCs w:val="20"/>
              </w:rPr>
              <w:t>Source (Shipper) Name</w:t>
            </w:r>
          </w:p>
        </w:tc>
        <w:tc>
          <w:tcPr>
            <w:tcW w:w="1588" w:type="dxa"/>
            <w:tcBorders>
              <w:bottom w:val="single" w:sz="2" w:space="0" w:color="auto"/>
            </w:tcBorders>
            <w:shd w:val="clear" w:color="auto" w:fill="B3B3B3"/>
          </w:tcPr>
          <w:p w:rsidR="00E7240A" w:rsidRPr="00E8564A" w:rsidRDefault="00E7240A" w:rsidP="00A95965">
            <w:pPr>
              <w:pStyle w:val="TableText"/>
              <w:rPr>
                <w:b/>
                <w:szCs w:val="20"/>
              </w:rPr>
            </w:pPr>
            <w:r w:rsidRPr="00E8564A">
              <w:rPr>
                <w:b/>
                <w:szCs w:val="20"/>
              </w:rPr>
              <w:t>Reagent Rack</w:t>
            </w:r>
          </w:p>
        </w:tc>
        <w:tc>
          <w:tcPr>
            <w:tcW w:w="1584" w:type="dxa"/>
            <w:tcBorders>
              <w:bottom w:val="single" w:sz="2" w:space="0" w:color="auto"/>
            </w:tcBorders>
            <w:shd w:val="clear" w:color="auto" w:fill="B3B3B3"/>
          </w:tcPr>
          <w:p w:rsidR="00E7240A" w:rsidRPr="00E8564A" w:rsidRDefault="00E7240A" w:rsidP="00A95965">
            <w:pPr>
              <w:pStyle w:val="TableText"/>
              <w:rPr>
                <w:b/>
                <w:szCs w:val="20"/>
              </w:rPr>
            </w:pPr>
            <w:r w:rsidRPr="00E8564A">
              <w:rPr>
                <w:b/>
                <w:szCs w:val="20"/>
              </w:rPr>
              <w:t>Date</w:t>
            </w:r>
            <w:r>
              <w:rPr>
                <w:b/>
                <w:szCs w:val="20"/>
              </w:rPr>
              <w:t xml:space="preserve"> and Time</w:t>
            </w:r>
          </w:p>
        </w:tc>
        <w:tc>
          <w:tcPr>
            <w:tcW w:w="3157" w:type="dxa"/>
            <w:tcBorders>
              <w:bottom w:val="single" w:sz="2" w:space="0" w:color="auto"/>
            </w:tcBorders>
            <w:shd w:val="clear" w:color="auto" w:fill="B3B3B3"/>
          </w:tcPr>
          <w:p w:rsidR="00E7240A" w:rsidRPr="00E8564A" w:rsidRDefault="00E7240A" w:rsidP="00A95965">
            <w:pPr>
              <w:pStyle w:val="TableText"/>
              <w:rPr>
                <w:b/>
                <w:szCs w:val="20"/>
              </w:rPr>
            </w:pPr>
            <w:r w:rsidRPr="00E8564A">
              <w:rPr>
                <w:b/>
                <w:szCs w:val="20"/>
              </w:rPr>
              <w:t>Tech Name</w:t>
            </w:r>
          </w:p>
        </w:tc>
      </w:tr>
      <w:tr w:rsidR="00E724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Ex>
        <w:trPr>
          <w:cantSplit/>
          <w:trHeight w:val="432"/>
        </w:trPr>
        <w:tc>
          <w:tcPr>
            <w:tcW w:w="3470" w:type="dxa"/>
            <w:shd w:val="clear" w:color="auto" w:fill="auto"/>
            <w:noWrap/>
          </w:tcPr>
          <w:p w:rsidR="00E7240A" w:rsidRPr="00E8564A" w:rsidRDefault="00E7240A" w:rsidP="00A95965">
            <w:pPr>
              <w:pStyle w:val="TableText"/>
              <w:rPr>
                <w:b/>
                <w:szCs w:val="20"/>
              </w:rPr>
            </w:pPr>
          </w:p>
        </w:tc>
        <w:tc>
          <w:tcPr>
            <w:tcW w:w="3161" w:type="dxa"/>
            <w:shd w:val="clear" w:color="auto" w:fill="auto"/>
          </w:tcPr>
          <w:p w:rsidR="00E7240A" w:rsidRPr="00E8564A" w:rsidRDefault="00E7240A" w:rsidP="00A95965">
            <w:pPr>
              <w:pStyle w:val="TableText"/>
              <w:rPr>
                <w:b/>
                <w:szCs w:val="20"/>
              </w:rPr>
            </w:pPr>
          </w:p>
        </w:tc>
        <w:tc>
          <w:tcPr>
            <w:tcW w:w="1588" w:type="dxa"/>
            <w:shd w:val="clear" w:color="auto" w:fill="auto"/>
          </w:tcPr>
          <w:p w:rsidR="00E7240A" w:rsidRPr="00E8564A" w:rsidRDefault="00E7240A" w:rsidP="00A95965">
            <w:pPr>
              <w:pStyle w:val="TableText"/>
              <w:rPr>
                <w:b/>
                <w:szCs w:val="20"/>
              </w:rPr>
            </w:pPr>
          </w:p>
        </w:tc>
        <w:tc>
          <w:tcPr>
            <w:tcW w:w="1584" w:type="dxa"/>
            <w:shd w:val="clear" w:color="auto" w:fill="auto"/>
          </w:tcPr>
          <w:p w:rsidR="00E7240A" w:rsidRPr="00E8564A" w:rsidRDefault="00E7240A" w:rsidP="00A95965">
            <w:pPr>
              <w:pStyle w:val="TableText"/>
              <w:rPr>
                <w:b/>
                <w:szCs w:val="20"/>
              </w:rPr>
            </w:pPr>
          </w:p>
        </w:tc>
        <w:tc>
          <w:tcPr>
            <w:tcW w:w="3157" w:type="dxa"/>
            <w:shd w:val="clear" w:color="auto" w:fill="auto"/>
          </w:tcPr>
          <w:p w:rsidR="00E7240A" w:rsidRPr="00E8564A" w:rsidRDefault="00E7240A" w:rsidP="00A95965">
            <w:pPr>
              <w:pStyle w:val="TableText"/>
              <w:rPr>
                <w:b/>
                <w:szCs w:val="20"/>
              </w:rPr>
            </w:pPr>
          </w:p>
        </w:tc>
      </w:tr>
    </w:tbl>
    <w:p w:rsidR="00E7240A" w:rsidRDefault="00E7240A" w:rsidP="00DD75E5">
      <w:pPr>
        <w:pStyle w:val="BodyText"/>
      </w:pPr>
    </w:p>
    <w:tbl>
      <w:tblPr>
        <w:tblW w:w="12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973"/>
        <w:gridCol w:w="1127"/>
        <w:gridCol w:w="1132"/>
        <w:gridCol w:w="971"/>
        <w:gridCol w:w="971"/>
        <w:gridCol w:w="971"/>
        <w:gridCol w:w="971"/>
        <w:gridCol w:w="1103"/>
        <w:gridCol w:w="1741"/>
      </w:tblGrid>
      <w:tr w:rsidR="006304EB">
        <w:trPr>
          <w:cantSplit/>
          <w:trHeight w:val="230"/>
          <w:tblHeader/>
        </w:trPr>
        <w:tc>
          <w:tcPr>
            <w:tcW w:w="3973" w:type="dxa"/>
            <w:shd w:val="clear" w:color="auto" w:fill="B3B3B3"/>
            <w:noWrap/>
          </w:tcPr>
          <w:p w:rsidR="006304EB" w:rsidRPr="005F4649" w:rsidRDefault="006304EB" w:rsidP="00A95965">
            <w:pPr>
              <w:pStyle w:val="TableText"/>
              <w:rPr>
                <w:b/>
                <w:szCs w:val="20"/>
              </w:rPr>
            </w:pPr>
            <w:r w:rsidRPr="005F4649">
              <w:rPr>
                <w:b/>
                <w:szCs w:val="20"/>
              </w:rPr>
              <w:t>Unit Identification Number</w:t>
            </w:r>
          </w:p>
        </w:tc>
        <w:tc>
          <w:tcPr>
            <w:tcW w:w="1127" w:type="dxa"/>
            <w:shd w:val="clear" w:color="auto" w:fill="B3B3B3"/>
          </w:tcPr>
          <w:p w:rsidR="006304EB" w:rsidRPr="005F4649" w:rsidRDefault="006304EB" w:rsidP="006304EB">
            <w:pPr>
              <w:pStyle w:val="TableText"/>
              <w:rPr>
                <w:b/>
                <w:szCs w:val="20"/>
              </w:rPr>
            </w:pPr>
            <w:r>
              <w:rPr>
                <w:b/>
                <w:szCs w:val="20"/>
              </w:rPr>
              <w:t xml:space="preserve">Product Code </w:t>
            </w:r>
          </w:p>
        </w:tc>
        <w:tc>
          <w:tcPr>
            <w:tcW w:w="1132" w:type="dxa"/>
            <w:shd w:val="clear" w:color="auto" w:fill="B3B3B3"/>
          </w:tcPr>
          <w:p w:rsidR="006304EB" w:rsidRPr="005F4649" w:rsidRDefault="006304EB" w:rsidP="00A95965">
            <w:pPr>
              <w:pStyle w:val="TableText"/>
              <w:rPr>
                <w:b/>
                <w:szCs w:val="20"/>
              </w:rPr>
            </w:pPr>
            <w:r w:rsidRPr="005F4649">
              <w:rPr>
                <w:b/>
                <w:szCs w:val="20"/>
              </w:rPr>
              <w:t>Unit ABO/Rh</w:t>
            </w:r>
          </w:p>
        </w:tc>
        <w:tc>
          <w:tcPr>
            <w:tcW w:w="971" w:type="dxa"/>
            <w:shd w:val="clear" w:color="auto" w:fill="B3B3B3"/>
          </w:tcPr>
          <w:p w:rsidR="006304EB" w:rsidRPr="005F4649" w:rsidRDefault="006304EB" w:rsidP="00A95965">
            <w:pPr>
              <w:pStyle w:val="TableText"/>
              <w:rPr>
                <w:b/>
                <w:szCs w:val="20"/>
              </w:rPr>
            </w:pPr>
            <w:r w:rsidRPr="005F4649">
              <w:rPr>
                <w:b/>
                <w:szCs w:val="20"/>
              </w:rPr>
              <w:t>Anti-A</w:t>
            </w:r>
          </w:p>
        </w:tc>
        <w:tc>
          <w:tcPr>
            <w:tcW w:w="971" w:type="dxa"/>
            <w:shd w:val="clear" w:color="auto" w:fill="B3B3B3"/>
          </w:tcPr>
          <w:p w:rsidR="006304EB" w:rsidRPr="005F4649" w:rsidRDefault="006304EB" w:rsidP="00A95965">
            <w:pPr>
              <w:pStyle w:val="TableText"/>
              <w:rPr>
                <w:b/>
                <w:szCs w:val="20"/>
              </w:rPr>
            </w:pPr>
            <w:r w:rsidRPr="005F4649">
              <w:rPr>
                <w:b/>
                <w:szCs w:val="20"/>
              </w:rPr>
              <w:t>Anti-B</w:t>
            </w:r>
          </w:p>
        </w:tc>
        <w:tc>
          <w:tcPr>
            <w:tcW w:w="971" w:type="dxa"/>
            <w:shd w:val="clear" w:color="auto" w:fill="B3B3B3"/>
          </w:tcPr>
          <w:p w:rsidR="006304EB" w:rsidRPr="005F4649" w:rsidRDefault="006304EB" w:rsidP="00A95965">
            <w:pPr>
              <w:pStyle w:val="TableText"/>
              <w:rPr>
                <w:b/>
                <w:szCs w:val="20"/>
              </w:rPr>
            </w:pPr>
            <w:r w:rsidRPr="005F4649">
              <w:rPr>
                <w:b/>
                <w:szCs w:val="20"/>
              </w:rPr>
              <w:t>Anti-A,B</w:t>
            </w:r>
          </w:p>
        </w:tc>
        <w:tc>
          <w:tcPr>
            <w:tcW w:w="971" w:type="dxa"/>
            <w:shd w:val="clear" w:color="auto" w:fill="B3B3B3"/>
          </w:tcPr>
          <w:p w:rsidR="006304EB" w:rsidRPr="005F4649" w:rsidRDefault="006304EB" w:rsidP="00A95965">
            <w:pPr>
              <w:pStyle w:val="TableText"/>
              <w:rPr>
                <w:b/>
                <w:szCs w:val="20"/>
              </w:rPr>
            </w:pPr>
            <w:r w:rsidRPr="005F4649">
              <w:rPr>
                <w:b/>
                <w:szCs w:val="20"/>
              </w:rPr>
              <w:t>Anti-D</w:t>
            </w:r>
          </w:p>
        </w:tc>
        <w:tc>
          <w:tcPr>
            <w:tcW w:w="1103" w:type="dxa"/>
            <w:shd w:val="clear" w:color="auto" w:fill="B3B3B3"/>
          </w:tcPr>
          <w:p w:rsidR="006304EB" w:rsidRPr="005F4649" w:rsidRDefault="006304EB" w:rsidP="00A95965">
            <w:pPr>
              <w:pStyle w:val="TableText"/>
              <w:rPr>
                <w:b/>
                <w:szCs w:val="20"/>
              </w:rPr>
            </w:pPr>
            <w:r>
              <w:rPr>
                <w:b/>
                <w:szCs w:val="20"/>
              </w:rPr>
              <w:t>Rh C</w:t>
            </w:r>
            <w:r w:rsidRPr="005F4649">
              <w:rPr>
                <w:b/>
                <w:szCs w:val="20"/>
              </w:rPr>
              <w:t>ontrol</w:t>
            </w:r>
          </w:p>
        </w:tc>
        <w:tc>
          <w:tcPr>
            <w:tcW w:w="1741" w:type="dxa"/>
            <w:shd w:val="clear" w:color="auto" w:fill="B3B3B3"/>
          </w:tcPr>
          <w:p w:rsidR="006304EB" w:rsidRPr="005F4649" w:rsidRDefault="006304EB" w:rsidP="00A95965">
            <w:pPr>
              <w:pStyle w:val="TableText"/>
              <w:rPr>
                <w:b/>
                <w:szCs w:val="20"/>
              </w:rPr>
            </w:pPr>
            <w:r w:rsidRPr="005F4649">
              <w:rPr>
                <w:b/>
                <w:szCs w:val="20"/>
              </w:rPr>
              <w:t>ABO/Rh Interpretation</w:t>
            </w:r>
          </w:p>
        </w:tc>
      </w:tr>
      <w:tr w:rsidR="006304EB">
        <w:trPr>
          <w:cantSplit/>
          <w:trHeight w:val="432"/>
        </w:trPr>
        <w:tc>
          <w:tcPr>
            <w:tcW w:w="3973" w:type="dxa"/>
            <w:noWrap/>
          </w:tcPr>
          <w:p w:rsidR="006304EB" w:rsidRPr="005F4649" w:rsidRDefault="006304EB" w:rsidP="00A95965">
            <w:pPr>
              <w:pStyle w:val="TableText"/>
              <w:rPr>
                <w:b/>
                <w:szCs w:val="20"/>
              </w:rPr>
            </w:pPr>
          </w:p>
        </w:tc>
        <w:tc>
          <w:tcPr>
            <w:tcW w:w="1127" w:type="dxa"/>
          </w:tcPr>
          <w:p w:rsidR="006304EB" w:rsidRPr="005F4649" w:rsidRDefault="006304EB" w:rsidP="006304EB">
            <w:pPr>
              <w:pStyle w:val="TableText"/>
              <w:rPr>
                <w:b/>
                <w:szCs w:val="20"/>
              </w:rPr>
            </w:pPr>
          </w:p>
        </w:tc>
        <w:tc>
          <w:tcPr>
            <w:tcW w:w="1132" w:type="dxa"/>
          </w:tcPr>
          <w:p w:rsidR="006304EB" w:rsidRPr="005F4649" w:rsidRDefault="006304EB" w:rsidP="00A95965">
            <w:pPr>
              <w:pStyle w:val="TableText"/>
              <w:rPr>
                <w:b/>
                <w:szCs w:val="20"/>
              </w:rPr>
            </w:pPr>
          </w:p>
        </w:tc>
        <w:tc>
          <w:tcPr>
            <w:tcW w:w="971" w:type="dxa"/>
          </w:tcPr>
          <w:p w:rsidR="006304EB" w:rsidRPr="005F4649" w:rsidRDefault="006304EB" w:rsidP="00A95965">
            <w:pPr>
              <w:pStyle w:val="TableText"/>
              <w:rPr>
                <w:b/>
                <w:szCs w:val="20"/>
              </w:rPr>
            </w:pPr>
          </w:p>
        </w:tc>
        <w:tc>
          <w:tcPr>
            <w:tcW w:w="971" w:type="dxa"/>
          </w:tcPr>
          <w:p w:rsidR="006304EB" w:rsidRPr="005F4649" w:rsidRDefault="006304EB" w:rsidP="00A95965">
            <w:pPr>
              <w:pStyle w:val="TableText"/>
              <w:rPr>
                <w:b/>
                <w:szCs w:val="20"/>
              </w:rPr>
            </w:pPr>
          </w:p>
        </w:tc>
        <w:tc>
          <w:tcPr>
            <w:tcW w:w="971" w:type="dxa"/>
          </w:tcPr>
          <w:p w:rsidR="006304EB" w:rsidRPr="005F4649" w:rsidRDefault="006304EB" w:rsidP="00A95965">
            <w:pPr>
              <w:pStyle w:val="TableText"/>
              <w:rPr>
                <w:b/>
                <w:szCs w:val="20"/>
              </w:rPr>
            </w:pPr>
          </w:p>
        </w:tc>
        <w:tc>
          <w:tcPr>
            <w:tcW w:w="971" w:type="dxa"/>
          </w:tcPr>
          <w:p w:rsidR="006304EB" w:rsidRPr="005F4649" w:rsidRDefault="006304EB" w:rsidP="00A95965">
            <w:pPr>
              <w:pStyle w:val="TableText"/>
              <w:rPr>
                <w:b/>
                <w:szCs w:val="20"/>
              </w:rPr>
            </w:pPr>
          </w:p>
        </w:tc>
        <w:tc>
          <w:tcPr>
            <w:tcW w:w="1103" w:type="dxa"/>
          </w:tcPr>
          <w:p w:rsidR="006304EB" w:rsidRDefault="006304EB" w:rsidP="00A95965">
            <w:pPr>
              <w:pStyle w:val="TableText"/>
              <w:rPr>
                <w:b/>
                <w:szCs w:val="20"/>
              </w:rPr>
            </w:pPr>
          </w:p>
        </w:tc>
        <w:tc>
          <w:tcPr>
            <w:tcW w:w="1741" w:type="dxa"/>
          </w:tcPr>
          <w:p w:rsidR="006304EB" w:rsidRPr="005F4649" w:rsidRDefault="006304EB" w:rsidP="00A95965">
            <w:pPr>
              <w:pStyle w:val="TableText"/>
              <w:rPr>
                <w:b/>
                <w:szCs w:val="20"/>
              </w:rPr>
            </w:pPr>
          </w:p>
        </w:tc>
      </w:tr>
      <w:tr w:rsidR="006304EB">
        <w:trPr>
          <w:cantSplit/>
          <w:trHeight w:val="432"/>
        </w:trPr>
        <w:tc>
          <w:tcPr>
            <w:tcW w:w="3973" w:type="dxa"/>
            <w:noWrap/>
          </w:tcPr>
          <w:p w:rsidR="006304EB" w:rsidRPr="005F4649" w:rsidRDefault="006304EB" w:rsidP="00A95965">
            <w:pPr>
              <w:pStyle w:val="TableText"/>
              <w:rPr>
                <w:b/>
                <w:szCs w:val="20"/>
              </w:rPr>
            </w:pPr>
          </w:p>
        </w:tc>
        <w:tc>
          <w:tcPr>
            <w:tcW w:w="1127" w:type="dxa"/>
          </w:tcPr>
          <w:p w:rsidR="006304EB" w:rsidRPr="005F4649" w:rsidRDefault="006304EB" w:rsidP="006304EB">
            <w:pPr>
              <w:pStyle w:val="TableText"/>
              <w:rPr>
                <w:b/>
                <w:szCs w:val="20"/>
              </w:rPr>
            </w:pPr>
          </w:p>
        </w:tc>
        <w:tc>
          <w:tcPr>
            <w:tcW w:w="1132" w:type="dxa"/>
          </w:tcPr>
          <w:p w:rsidR="006304EB" w:rsidRPr="005F4649" w:rsidRDefault="006304EB" w:rsidP="00A95965">
            <w:pPr>
              <w:pStyle w:val="TableText"/>
              <w:rPr>
                <w:b/>
                <w:szCs w:val="20"/>
              </w:rPr>
            </w:pPr>
          </w:p>
        </w:tc>
        <w:tc>
          <w:tcPr>
            <w:tcW w:w="971" w:type="dxa"/>
          </w:tcPr>
          <w:p w:rsidR="006304EB" w:rsidRPr="005F4649" w:rsidRDefault="006304EB" w:rsidP="00A95965">
            <w:pPr>
              <w:pStyle w:val="TableText"/>
              <w:rPr>
                <w:b/>
                <w:szCs w:val="20"/>
              </w:rPr>
            </w:pPr>
          </w:p>
        </w:tc>
        <w:tc>
          <w:tcPr>
            <w:tcW w:w="971" w:type="dxa"/>
          </w:tcPr>
          <w:p w:rsidR="006304EB" w:rsidRPr="005F4649" w:rsidRDefault="006304EB" w:rsidP="00A95965">
            <w:pPr>
              <w:pStyle w:val="TableText"/>
              <w:rPr>
                <w:b/>
                <w:szCs w:val="20"/>
              </w:rPr>
            </w:pPr>
          </w:p>
        </w:tc>
        <w:tc>
          <w:tcPr>
            <w:tcW w:w="971" w:type="dxa"/>
          </w:tcPr>
          <w:p w:rsidR="006304EB" w:rsidRPr="005F4649" w:rsidRDefault="006304EB" w:rsidP="00A95965">
            <w:pPr>
              <w:pStyle w:val="TableText"/>
              <w:rPr>
                <w:b/>
                <w:szCs w:val="20"/>
              </w:rPr>
            </w:pPr>
          </w:p>
        </w:tc>
        <w:tc>
          <w:tcPr>
            <w:tcW w:w="971" w:type="dxa"/>
          </w:tcPr>
          <w:p w:rsidR="006304EB" w:rsidRPr="005F4649" w:rsidRDefault="006304EB" w:rsidP="00A95965">
            <w:pPr>
              <w:pStyle w:val="TableText"/>
              <w:rPr>
                <w:b/>
                <w:szCs w:val="20"/>
              </w:rPr>
            </w:pPr>
          </w:p>
        </w:tc>
        <w:tc>
          <w:tcPr>
            <w:tcW w:w="1103" w:type="dxa"/>
          </w:tcPr>
          <w:p w:rsidR="006304EB" w:rsidRDefault="006304EB" w:rsidP="00A95965">
            <w:pPr>
              <w:pStyle w:val="TableText"/>
              <w:rPr>
                <w:b/>
                <w:szCs w:val="20"/>
              </w:rPr>
            </w:pPr>
          </w:p>
        </w:tc>
        <w:tc>
          <w:tcPr>
            <w:tcW w:w="1741" w:type="dxa"/>
          </w:tcPr>
          <w:p w:rsidR="006304EB" w:rsidRPr="005F4649" w:rsidRDefault="006304EB" w:rsidP="00A95965">
            <w:pPr>
              <w:pStyle w:val="TableText"/>
              <w:rPr>
                <w:b/>
                <w:szCs w:val="20"/>
              </w:rPr>
            </w:pPr>
          </w:p>
        </w:tc>
      </w:tr>
      <w:tr w:rsidR="006304EB">
        <w:trPr>
          <w:cantSplit/>
          <w:trHeight w:val="432"/>
        </w:trPr>
        <w:tc>
          <w:tcPr>
            <w:tcW w:w="3973" w:type="dxa"/>
            <w:noWrap/>
          </w:tcPr>
          <w:p w:rsidR="006304EB" w:rsidRPr="005F4649" w:rsidRDefault="006304EB" w:rsidP="00A95965">
            <w:pPr>
              <w:pStyle w:val="TableText"/>
              <w:rPr>
                <w:b/>
                <w:szCs w:val="20"/>
              </w:rPr>
            </w:pPr>
          </w:p>
        </w:tc>
        <w:tc>
          <w:tcPr>
            <w:tcW w:w="1127" w:type="dxa"/>
          </w:tcPr>
          <w:p w:rsidR="006304EB" w:rsidRPr="005F4649" w:rsidRDefault="006304EB" w:rsidP="006304EB">
            <w:pPr>
              <w:pStyle w:val="TableText"/>
              <w:rPr>
                <w:b/>
                <w:szCs w:val="20"/>
              </w:rPr>
            </w:pPr>
          </w:p>
        </w:tc>
        <w:tc>
          <w:tcPr>
            <w:tcW w:w="1132" w:type="dxa"/>
          </w:tcPr>
          <w:p w:rsidR="006304EB" w:rsidRPr="005F4649" w:rsidRDefault="006304EB" w:rsidP="00A95965">
            <w:pPr>
              <w:pStyle w:val="TableText"/>
              <w:rPr>
                <w:b/>
                <w:szCs w:val="20"/>
              </w:rPr>
            </w:pPr>
          </w:p>
        </w:tc>
        <w:tc>
          <w:tcPr>
            <w:tcW w:w="971" w:type="dxa"/>
          </w:tcPr>
          <w:p w:rsidR="006304EB" w:rsidRPr="005F4649" w:rsidRDefault="006304EB" w:rsidP="00A95965">
            <w:pPr>
              <w:pStyle w:val="TableText"/>
              <w:rPr>
                <w:b/>
                <w:szCs w:val="20"/>
              </w:rPr>
            </w:pPr>
          </w:p>
        </w:tc>
        <w:tc>
          <w:tcPr>
            <w:tcW w:w="971" w:type="dxa"/>
          </w:tcPr>
          <w:p w:rsidR="006304EB" w:rsidRPr="005F4649" w:rsidRDefault="006304EB" w:rsidP="00A95965">
            <w:pPr>
              <w:pStyle w:val="TableText"/>
              <w:rPr>
                <w:b/>
                <w:szCs w:val="20"/>
              </w:rPr>
            </w:pPr>
          </w:p>
        </w:tc>
        <w:tc>
          <w:tcPr>
            <w:tcW w:w="971" w:type="dxa"/>
          </w:tcPr>
          <w:p w:rsidR="006304EB" w:rsidRPr="005F4649" w:rsidRDefault="006304EB" w:rsidP="00A95965">
            <w:pPr>
              <w:pStyle w:val="TableText"/>
              <w:rPr>
                <w:b/>
                <w:szCs w:val="20"/>
              </w:rPr>
            </w:pPr>
          </w:p>
        </w:tc>
        <w:tc>
          <w:tcPr>
            <w:tcW w:w="971" w:type="dxa"/>
          </w:tcPr>
          <w:p w:rsidR="006304EB" w:rsidRPr="005F4649" w:rsidRDefault="006304EB" w:rsidP="00A95965">
            <w:pPr>
              <w:pStyle w:val="TableText"/>
              <w:rPr>
                <w:b/>
                <w:szCs w:val="20"/>
              </w:rPr>
            </w:pPr>
          </w:p>
        </w:tc>
        <w:tc>
          <w:tcPr>
            <w:tcW w:w="1103" w:type="dxa"/>
          </w:tcPr>
          <w:p w:rsidR="006304EB" w:rsidRDefault="006304EB" w:rsidP="00A95965">
            <w:pPr>
              <w:pStyle w:val="TableText"/>
              <w:rPr>
                <w:b/>
                <w:szCs w:val="20"/>
              </w:rPr>
            </w:pPr>
          </w:p>
        </w:tc>
        <w:tc>
          <w:tcPr>
            <w:tcW w:w="1741" w:type="dxa"/>
          </w:tcPr>
          <w:p w:rsidR="006304EB" w:rsidRPr="005F4649" w:rsidRDefault="006304EB" w:rsidP="00A95965">
            <w:pPr>
              <w:pStyle w:val="TableText"/>
              <w:rPr>
                <w:b/>
                <w:szCs w:val="20"/>
              </w:rPr>
            </w:pPr>
          </w:p>
        </w:tc>
      </w:tr>
      <w:tr w:rsidR="006304EB">
        <w:trPr>
          <w:cantSplit/>
          <w:trHeight w:val="432"/>
        </w:trPr>
        <w:tc>
          <w:tcPr>
            <w:tcW w:w="3973" w:type="dxa"/>
            <w:noWrap/>
          </w:tcPr>
          <w:p w:rsidR="006304EB" w:rsidRPr="005F4649" w:rsidRDefault="006304EB" w:rsidP="00A95965">
            <w:pPr>
              <w:pStyle w:val="TableText"/>
              <w:rPr>
                <w:b/>
                <w:szCs w:val="20"/>
              </w:rPr>
            </w:pPr>
          </w:p>
        </w:tc>
        <w:tc>
          <w:tcPr>
            <w:tcW w:w="1127" w:type="dxa"/>
          </w:tcPr>
          <w:p w:rsidR="006304EB" w:rsidRPr="005F4649" w:rsidRDefault="006304EB" w:rsidP="006304EB">
            <w:pPr>
              <w:pStyle w:val="TableText"/>
              <w:rPr>
                <w:b/>
                <w:szCs w:val="20"/>
              </w:rPr>
            </w:pPr>
          </w:p>
        </w:tc>
        <w:tc>
          <w:tcPr>
            <w:tcW w:w="1132" w:type="dxa"/>
          </w:tcPr>
          <w:p w:rsidR="006304EB" w:rsidRPr="005F4649" w:rsidRDefault="006304EB" w:rsidP="00A95965">
            <w:pPr>
              <w:pStyle w:val="TableText"/>
              <w:rPr>
                <w:b/>
                <w:szCs w:val="20"/>
              </w:rPr>
            </w:pPr>
          </w:p>
        </w:tc>
        <w:tc>
          <w:tcPr>
            <w:tcW w:w="971" w:type="dxa"/>
          </w:tcPr>
          <w:p w:rsidR="006304EB" w:rsidRPr="005F4649" w:rsidRDefault="006304EB" w:rsidP="00A95965">
            <w:pPr>
              <w:pStyle w:val="TableText"/>
              <w:rPr>
                <w:b/>
                <w:szCs w:val="20"/>
              </w:rPr>
            </w:pPr>
          </w:p>
        </w:tc>
        <w:tc>
          <w:tcPr>
            <w:tcW w:w="971" w:type="dxa"/>
          </w:tcPr>
          <w:p w:rsidR="006304EB" w:rsidRPr="005F4649" w:rsidRDefault="006304EB" w:rsidP="00A95965">
            <w:pPr>
              <w:pStyle w:val="TableText"/>
              <w:rPr>
                <w:b/>
                <w:szCs w:val="20"/>
              </w:rPr>
            </w:pPr>
          </w:p>
        </w:tc>
        <w:tc>
          <w:tcPr>
            <w:tcW w:w="971" w:type="dxa"/>
          </w:tcPr>
          <w:p w:rsidR="006304EB" w:rsidRPr="005F4649" w:rsidRDefault="006304EB" w:rsidP="00A95965">
            <w:pPr>
              <w:pStyle w:val="TableText"/>
              <w:rPr>
                <w:b/>
                <w:szCs w:val="20"/>
              </w:rPr>
            </w:pPr>
          </w:p>
        </w:tc>
        <w:tc>
          <w:tcPr>
            <w:tcW w:w="971" w:type="dxa"/>
          </w:tcPr>
          <w:p w:rsidR="006304EB" w:rsidRPr="005F4649" w:rsidRDefault="006304EB" w:rsidP="00A95965">
            <w:pPr>
              <w:pStyle w:val="TableText"/>
              <w:rPr>
                <w:b/>
                <w:szCs w:val="20"/>
              </w:rPr>
            </w:pPr>
          </w:p>
        </w:tc>
        <w:tc>
          <w:tcPr>
            <w:tcW w:w="1103" w:type="dxa"/>
          </w:tcPr>
          <w:p w:rsidR="006304EB" w:rsidRDefault="006304EB" w:rsidP="00A95965">
            <w:pPr>
              <w:pStyle w:val="TableText"/>
              <w:rPr>
                <w:b/>
                <w:szCs w:val="20"/>
              </w:rPr>
            </w:pPr>
          </w:p>
        </w:tc>
        <w:tc>
          <w:tcPr>
            <w:tcW w:w="1741" w:type="dxa"/>
          </w:tcPr>
          <w:p w:rsidR="006304EB" w:rsidRPr="005F4649" w:rsidRDefault="006304EB" w:rsidP="00A95965">
            <w:pPr>
              <w:pStyle w:val="TableText"/>
              <w:rPr>
                <w:b/>
                <w:szCs w:val="20"/>
              </w:rPr>
            </w:pPr>
          </w:p>
        </w:tc>
      </w:tr>
      <w:tr w:rsidR="006304EB">
        <w:trPr>
          <w:cantSplit/>
          <w:trHeight w:val="432"/>
        </w:trPr>
        <w:tc>
          <w:tcPr>
            <w:tcW w:w="3973" w:type="dxa"/>
            <w:noWrap/>
          </w:tcPr>
          <w:p w:rsidR="006304EB" w:rsidRPr="005F4649" w:rsidRDefault="006304EB" w:rsidP="00A95965">
            <w:pPr>
              <w:pStyle w:val="TableText"/>
              <w:rPr>
                <w:b/>
                <w:szCs w:val="20"/>
              </w:rPr>
            </w:pPr>
          </w:p>
        </w:tc>
        <w:tc>
          <w:tcPr>
            <w:tcW w:w="1127" w:type="dxa"/>
          </w:tcPr>
          <w:p w:rsidR="006304EB" w:rsidRPr="005F4649" w:rsidRDefault="006304EB" w:rsidP="006304EB">
            <w:pPr>
              <w:pStyle w:val="TableText"/>
              <w:rPr>
                <w:b/>
                <w:szCs w:val="20"/>
              </w:rPr>
            </w:pPr>
          </w:p>
        </w:tc>
        <w:tc>
          <w:tcPr>
            <w:tcW w:w="1132" w:type="dxa"/>
          </w:tcPr>
          <w:p w:rsidR="006304EB" w:rsidRPr="005F4649" w:rsidRDefault="006304EB" w:rsidP="00A95965">
            <w:pPr>
              <w:pStyle w:val="TableText"/>
              <w:rPr>
                <w:b/>
                <w:szCs w:val="20"/>
              </w:rPr>
            </w:pPr>
          </w:p>
        </w:tc>
        <w:tc>
          <w:tcPr>
            <w:tcW w:w="971" w:type="dxa"/>
          </w:tcPr>
          <w:p w:rsidR="006304EB" w:rsidRPr="005F4649" w:rsidRDefault="006304EB" w:rsidP="00A95965">
            <w:pPr>
              <w:pStyle w:val="TableText"/>
              <w:rPr>
                <w:b/>
                <w:szCs w:val="20"/>
              </w:rPr>
            </w:pPr>
          </w:p>
        </w:tc>
        <w:tc>
          <w:tcPr>
            <w:tcW w:w="971" w:type="dxa"/>
          </w:tcPr>
          <w:p w:rsidR="006304EB" w:rsidRPr="005F4649" w:rsidRDefault="006304EB" w:rsidP="00A95965">
            <w:pPr>
              <w:pStyle w:val="TableText"/>
              <w:rPr>
                <w:b/>
                <w:szCs w:val="20"/>
              </w:rPr>
            </w:pPr>
          </w:p>
        </w:tc>
        <w:tc>
          <w:tcPr>
            <w:tcW w:w="971" w:type="dxa"/>
          </w:tcPr>
          <w:p w:rsidR="006304EB" w:rsidRPr="005F4649" w:rsidRDefault="006304EB" w:rsidP="00A95965">
            <w:pPr>
              <w:pStyle w:val="TableText"/>
              <w:rPr>
                <w:b/>
                <w:szCs w:val="20"/>
              </w:rPr>
            </w:pPr>
          </w:p>
        </w:tc>
        <w:tc>
          <w:tcPr>
            <w:tcW w:w="971" w:type="dxa"/>
          </w:tcPr>
          <w:p w:rsidR="006304EB" w:rsidRPr="005F4649" w:rsidRDefault="006304EB" w:rsidP="00A95965">
            <w:pPr>
              <w:pStyle w:val="TableText"/>
              <w:rPr>
                <w:b/>
                <w:szCs w:val="20"/>
              </w:rPr>
            </w:pPr>
          </w:p>
        </w:tc>
        <w:tc>
          <w:tcPr>
            <w:tcW w:w="1103" w:type="dxa"/>
          </w:tcPr>
          <w:p w:rsidR="006304EB" w:rsidRDefault="006304EB" w:rsidP="00A95965">
            <w:pPr>
              <w:pStyle w:val="TableText"/>
              <w:rPr>
                <w:b/>
                <w:szCs w:val="20"/>
              </w:rPr>
            </w:pPr>
          </w:p>
        </w:tc>
        <w:tc>
          <w:tcPr>
            <w:tcW w:w="1741" w:type="dxa"/>
          </w:tcPr>
          <w:p w:rsidR="006304EB" w:rsidRPr="005F4649" w:rsidRDefault="006304EB" w:rsidP="00A95965">
            <w:pPr>
              <w:pStyle w:val="TableText"/>
              <w:rPr>
                <w:b/>
                <w:szCs w:val="20"/>
              </w:rPr>
            </w:pPr>
          </w:p>
        </w:tc>
      </w:tr>
      <w:tr w:rsidR="006304EB">
        <w:trPr>
          <w:cantSplit/>
          <w:trHeight w:val="432"/>
        </w:trPr>
        <w:tc>
          <w:tcPr>
            <w:tcW w:w="3973" w:type="dxa"/>
            <w:noWrap/>
          </w:tcPr>
          <w:p w:rsidR="006304EB" w:rsidRPr="005F4649" w:rsidRDefault="006304EB" w:rsidP="00A95965">
            <w:pPr>
              <w:pStyle w:val="TableText"/>
              <w:rPr>
                <w:b/>
                <w:szCs w:val="20"/>
              </w:rPr>
            </w:pPr>
          </w:p>
        </w:tc>
        <w:tc>
          <w:tcPr>
            <w:tcW w:w="1127" w:type="dxa"/>
          </w:tcPr>
          <w:p w:rsidR="006304EB" w:rsidRPr="005F4649" w:rsidRDefault="006304EB" w:rsidP="006304EB">
            <w:pPr>
              <w:pStyle w:val="TableText"/>
              <w:rPr>
                <w:b/>
                <w:szCs w:val="20"/>
              </w:rPr>
            </w:pPr>
          </w:p>
        </w:tc>
        <w:tc>
          <w:tcPr>
            <w:tcW w:w="1132" w:type="dxa"/>
          </w:tcPr>
          <w:p w:rsidR="006304EB" w:rsidRPr="005F4649" w:rsidRDefault="006304EB" w:rsidP="00A95965">
            <w:pPr>
              <w:pStyle w:val="TableText"/>
              <w:rPr>
                <w:b/>
                <w:szCs w:val="20"/>
              </w:rPr>
            </w:pPr>
          </w:p>
        </w:tc>
        <w:tc>
          <w:tcPr>
            <w:tcW w:w="971" w:type="dxa"/>
          </w:tcPr>
          <w:p w:rsidR="006304EB" w:rsidRPr="005F4649" w:rsidRDefault="006304EB" w:rsidP="00A95965">
            <w:pPr>
              <w:pStyle w:val="TableText"/>
              <w:rPr>
                <w:b/>
                <w:szCs w:val="20"/>
              </w:rPr>
            </w:pPr>
          </w:p>
        </w:tc>
        <w:tc>
          <w:tcPr>
            <w:tcW w:w="971" w:type="dxa"/>
          </w:tcPr>
          <w:p w:rsidR="006304EB" w:rsidRPr="005F4649" w:rsidRDefault="006304EB" w:rsidP="00A95965">
            <w:pPr>
              <w:pStyle w:val="TableText"/>
              <w:rPr>
                <w:b/>
                <w:szCs w:val="20"/>
              </w:rPr>
            </w:pPr>
          </w:p>
        </w:tc>
        <w:tc>
          <w:tcPr>
            <w:tcW w:w="971" w:type="dxa"/>
          </w:tcPr>
          <w:p w:rsidR="006304EB" w:rsidRPr="005F4649" w:rsidRDefault="006304EB" w:rsidP="00A95965">
            <w:pPr>
              <w:pStyle w:val="TableText"/>
              <w:rPr>
                <w:b/>
                <w:szCs w:val="20"/>
              </w:rPr>
            </w:pPr>
          </w:p>
        </w:tc>
        <w:tc>
          <w:tcPr>
            <w:tcW w:w="971" w:type="dxa"/>
          </w:tcPr>
          <w:p w:rsidR="006304EB" w:rsidRPr="005F4649" w:rsidRDefault="006304EB" w:rsidP="00A95965">
            <w:pPr>
              <w:pStyle w:val="TableText"/>
              <w:rPr>
                <w:b/>
                <w:szCs w:val="20"/>
              </w:rPr>
            </w:pPr>
          </w:p>
        </w:tc>
        <w:tc>
          <w:tcPr>
            <w:tcW w:w="1103" w:type="dxa"/>
          </w:tcPr>
          <w:p w:rsidR="006304EB" w:rsidRDefault="006304EB" w:rsidP="00A95965">
            <w:pPr>
              <w:pStyle w:val="TableText"/>
              <w:rPr>
                <w:b/>
                <w:szCs w:val="20"/>
              </w:rPr>
            </w:pPr>
          </w:p>
        </w:tc>
        <w:tc>
          <w:tcPr>
            <w:tcW w:w="1741" w:type="dxa"/>
          </w:tcPr>
          <w:p w:rsidR="006304EB" w:rsidRPr="005F4649" w:rsidRDefault="006304EB" w:rsidP="00A95965">
            <w:pPr>
              <w:pStyle w:val="TableText"/>
              <w:rPr>
                <w:b/>
                <w:szCs w:val="20"/>
              </w:rPr>
            </w:pPr>
          </w:p>
        </w:tc>
      </w:tr>
      <w:tr w:rsidR="006304EB">
        <w:trPr>
          <w:cantSplit/>
          <w:trHeight w:val="432"/>
        </w:trPr>
        <w:tc>
          <w:tcPr>
            <w:tcW w:w="3973" w:type="dxa"/>
            <w:noWrap/>
          </w:tcPr>
          <w:p w:rsidR="006304EB" w:rsidRPr="005F4649" w:rsidRDefault="006304EB" w:rsidP="00A95965">
            <w:pPr>
              <w:pStyle w:val="TableText"/>
              <w:rPr>
                <w:b/>
                <w:szCs w:val="20"/>
              </w:rPr>
            </w:pPr>
          </w:p>
        </w:tc>
        <w:tc>
          <w:tcPr>
            <w:tcW w:w="1127" w:type="dxa"/>
          </w:tcPr>
          <w:p w:rsidR="006304EB" w:rsidRPr="005F4649" w:rsidRDefault="006304EB" w:rsidP="006304EB">
            <w:pPr>
              <w:pStyle w:val="TableText"/>
              <w:rPr>
                <w:b/>
                <w:szCs w:val="20"/>
              </w:rPr>
            </w:pPr>
          </w:p>
        </w:tc>
        <w:tc>
          <w:tcPr>
            <w:tcW w:w="1132" w:type="dxa"/>
          </w:tcPr>
          <w:p w:rsidR="006304EB" w:rsidRPr="005F4649" w:rsidRDefault="006304EB" w:rsidP="00A95965">
            <w:pPr>
              <w:pStyle w:val="TableText"/>
              <w:rPr>
                <w:b/>
                <w:szCs w:val="20"/>
              </w:rPr>
            </w:pPr>
          </w:p>
        </w:tc>
        <w:tc>
          <w:tcPr>
            <w:tcW w:w="971" w:type="dxa"/>
          </w:tcPr>
          <w:p w:rsidR="006304EB" w:rsidRPr="005F4649" w:rsidRDefault="006304EB" w:rsidP="00A95965">
            <w:pPr>
              <w:pStyle w:val="TableText"/>
              <w:rPr>
                <w:b/>
                <w:szCs w:val="20"/>
              </w:rPr>
            </w:pPr>
          </w:p>
        </w:tc>
        <w:tc>
          <w:tcPr>
            <w:tcW w:w="971" w:type="dxa"/>
          </w:tcPr>
          <w:p w:rsidR="006304EB" w:rsidRPr="005F4649" w:rsidRDefault="006304EB" w:rsidP="00A95965">
            <w:pPr>
              <w:pStyle w:val="TableText"/>
              <w:rPr>
                <w:b/>
                <w:szCs w:val="20"/>
              </w:rPr>
            </w:pPr>
          </w:p>
        </w:tc>
        <w:tc>
          <w:tcPr>
            <w:tcW w:w="971" w:type="dxa"/>
          </w:tcPr>
          <w:p w:rsidR="006304EB" w:rsidRPr="005F4649" w:rsidRDefault="006304EB" w:rsidP="00A95965">
            <w:pPr>
              <w:pStyle w:val="TableText"/>
              <w:rPr>
                <w:b/>
                <w:szCs w:val="20"/>
              </w:rPr>
            </w:pPr>
          </w:p>
        </w:tc>
        <w:tc>
          <w:tcPr>
            <w:tcW w:w="971" w:type="dxa"/>
          </w:tcPr>
          <w:p w:rsidR="006304EB" w:rsidRPr="005F4649" w:rsidRDefault="006304EB" w:rsidP="00A95965">
            <w:pPr>
              <w:pStyle w:val="TableText"/>
              <w:rPr>
                <w:b/>
                <w:szCs w:val="20"/>
              </w:rPr>
            </w:pPr>
          </w:p>
        </w:tc>
        <w:tc>
          <w:tcPr>
            <w:tcW w:w="1103" w:type="dxa"/>
          </w:tcPr>
          <w:p w:rsidR="006304EB" w:rsidRDefault="006304EB" w:rsidP="00A95965">
            <w:pPr>
              <w:pStyle w:val="TableText"/>
              <w:rPr>
                <w:b/>
                <w:szCs w:val="20"/>
              </w:rPr>
            </w:pPr>
          </w:p>
        </w:tc>
        <w:tc>
          <w:tcPr>
            <w:tcW w:w="1741" w:type="dxa"/>
          </w:tcPr>
          <w:p w:rsidR="006304EB" w:rsidRPr="005F4649" w:rsidRDefault="006304EB" w:rsidP="00A95965">
            <w:pPr>
              <w:pStyle w:val="TableText"/>
              <w:rPr>
                <w:b/>
                <w:szCs w:val="20"/>
              </w:rPr>
            </w:pPr>
          </w:p>
        </w:tc>
      </w:tr>
      <w:tr w:rsidR="006304EB">
        <w:trPr>
          <w:cantSplit/>
          <w:trHeight w:val="432"/>
        </w:trPr>
        <w:tc>
          <w:tcPr>
            <w:tcW w:w="3973" w:type="dxa"/>
            <w:noWrap/>
          </w:tcPr>
          <w:p w:rsidR="006304EB" w:rsidRPr="005F4649" w:rsidRDefault="006304EB" w:rsidP="00A95965">
            <w:pPr>
              <w:pStyle w:val="TableText"/>
              <w:rPr>
                <w:b/>
                <w:szCs w:val="20"/>
              </w:rPr>
            </w:pPr>
          </w:p>
        </w:tc>
        <w:tc>
          <w:tcPr>
            <w:tcW w:w="1127" w:type="dxa"/>
          </w:tcPr>
          <w:p w:rsidR="006304EB" w:rsidRPr="005F4649" w:rsidRDefault="006304EB" w:rsidP="006304EB">
            <w:pPr>
              <w:pStyle w:val="TableText"/>
              <w:rPr>
                <w:b/>
                <w:szCs w:val="20"/>
              </w:rPr>
            </w:pPr>
          </w:p>
        </w:tc>
        <w:tc>
          <w:tcPr>
            <w:tcW w:w="1132" w:type="dxa"/>
          </w:tcPr>
          <w:p w:rsidR="006304EB" w:rsidRPr="005F4649" w:rsidRDefault="006304EB" w:rsidP="00A95965">
            <w:pPr>
              <w:pStyle w:val="TableText"/>
              <w:rPr>
                <w:b/>
                <w:szCs w:val="20"/>
              </w:rPr>
            </w:pPr>
          </w:p>
        </w:tc>
        <w:tc>
          <w:tcPr>
            <w:tcW w:w="971" w:type="dxa"/>
          </w:tcPr>
          <w:p w:rsidR="006304EB" w:rsidRPr="005F4649" w:rsidRDefault="006304EB" w:rsidP="00A95965">
            <w:pPr>
              <w:pStyle w:val="TableText"/>
              <w:rPr>
                <w:b/>
                <w:szCs w:val="20"/>
              </w:rPr>
            </w:pPr>
          </w:p>
        </w:tc>
        <w:tc>
          <w:tcPr>
            <w:tcW w:w="971" w:type="dxa"/>
          </w:tcPr>
          <w:p w:rsidR="006304EB" w:rsidRPr="005F4649" w:rsidRDefault="006304EB" w:rsidP="00A95965">
            <w:pPr>
              <w:pStyle w:val="TableText"/>
              <w:rPr>
                <w:b/>
                <w:szCs w:val="20"/>
              </w:rPr>
            </w:pPr>
          </w:p>
        </w:tc>
        <w:tc>
          <w:tcPr>
            <w:tcW w:w="971" w:type="dxa"/>
          </w:tcPr>
          <w:p w:rsidR="006304EB" w:rsidRPr="005F4649" w:rsidRDefault="006304EB" w:rsidP="00A95965">
            <w:pPr>
              <w:pStyle w:val="TableText"/>
              <w:rPr>
                <w:b/>
                <w:szCs w:val="20"/>
              </w:rPr>
            </w:pPr>
          </w:p>
        </w:tc>
        <w:tc>
          <w:tcPr>
            <w:tcW w:w="971" w:type="dxa"/>
          </w:tcPr>
          <w:p w:rsidR="006304EB" w:rsidRPr="005F4649" w:rsidRDefault="006304EB" w:rsidP="00A95965">
            <w:pPr>
              <w:pStyle w:val="TableText"/>
              <w:rPr>
                <w:b/>
                <w:szCs w:val="20"/>
              </w:rPr>
            </w:pPr>
          </w:p>
        </w:tc>
        <w:tc>
          <w:tcPr>
            <w:tcW w:w="1103" w:type="dxa"/>
          </w:tcPr>
          <w:p w:rsidR="006304EB" w:rsidRDefault="006304EB" w:rsidP="00A95965">
            <w:pPr>
              <w:pStyle w:val="TableText"/>
              <w:rPr>
                <w:b/>
                <w:szCs w:val="20"/>
              </w:rPr>
            </w:pPr>
          </w:p>
        </w:tc>
        <w:tc>
          <w:tcPr>
            <w:tcW w:w="1741" w:type="dxa"/>
          </w:tcPr>
          <w:p w:rsidR="006304EB" w:rsidRPr="005F4649" w:rsidRDefault="006304EB" w:rsidP="00A95965">
            <w:pPr>
              <w:pStyle w:val="TableText"/>
              <w:rPr>
                <w:b/>
                <w:szCs w:val="20"/>
              </w:rPr>
            </w:pPr>
          </w:p>
        </w:tc>
      </w:tr>
      <w:tr w:rsidR="006304EB">
        <w:trPr>
          <w:cantSplit/>
          <w:trHeight w:val="432"/>
        </w:trPr>
        <w:tc>
          <w:tcPr>
            <w:tcW w:w="3973" w:type="dxa"/>
            <w:noWrap/>
          </w:tcPr>
          <w:p w:rsidR="006304EB" w:rsidRPr="005F4649" w:rsidRDefault="006304EB" w:rsidP="00A95965">
            <w:pPr>
              <w:pStyle w:val="TableText"/>
              <w:rPr>
                <w:b/>
                <w:szCs w:val="20"/>
              </w:rPr>
            </w:pPr>
          </w:p>
        </w:tc>
        <w:tc>
          <w:tcPr>
            <w:tcW w:w="1127" w:type="dxa"/>
          </w:tcPr>
          <w:p w:rsidR="006304EB" w:rsidRPr="005F4649" w:rsidRDefault="006304EB" w:rsidP="006304EB">
            <w:pPr>
              <w:pStyle w:val="TableText"/>
              <w:rPr>
                <w:b/>
                <w:szCs w:val="20"/>
              </w:rPr>
            </w:pPr>
          </w:p>
        </w:tc>
        <w:tc>
          <w:tcPr>
            <w:tcW w:w="1132" w:type="dxa"/>
          </w:tcPr>
          <w:p w:rsidR="006304EB" w:rsidRPr="005F4649" w:rsidRDefault="006304EB" w:rsidP="00A95965">
            <w:pPr>
              <w:pStyle w:val="TableText"/>
              <w:rPr>
                <w:b/>
                <w:szCs w:val="20"/>
              </w:rPr>
            </w:pPr>
          </w:p>
        </w:tc>
        <w:tc>
          <w:tcPr>
            <w:tcW w:w="971" w:type="dxa"/>
          </w:tcPr>
          <w:p w:rsidR="006304EB" w:rsidRPr="005F4649" w:rsidRDefault="006304EB" w:rsidP="00A95965">
            <w:pPr>
              <w:pStyle w:val="TableText"/>
              <w:rPr>
                <w:b/>
                <w:szCs w:val="20"/>
              </w:rPr>
            </w:pPr>
          </w:p>
        </w:tc>
        <w:tc>
          <w:tcPr>
            <w:tcW w:w="971" w:type="dxa"/>
          </w:tcPr>
          <w:p w:rsidR="006304EB" w:rsidRPr="005F4649" w:rsidRDefault="006304EB" w:rsidP="00A95965">
            <w:pPr>
              <w:pStyle w:val="TableText"/>
              <w:rPr>
                <w:b/>
                <w:szCs w:val="20"/>
              </w:rPr>
            </w:pPr>
          </w:p>
        </w:tc>
        <w:tc>
          <w:tcPr>
            <w:tcW w:w="971" w:type="dxa"/>
          </w:tcPr>
          <w:p w:rsidR="006304EB" w:rsidRPr="005F4649" w:rsidRDefault="006304EB" w:rsidP="00A95965">
            <w:pPr>
              <w:pStyle w:val="TableText"/>
              <w:rPr>
                <w:b/>
                <w:szCs w:val="20"/>
              </w:rPr>
            </w:pPr>
          </w:p>
        </w:tc>
        <w:tc>
          <w:tcPr>
            <w:tcW w:w="971" w:type="dxa"/>
          </w:tcPr>
          <w:p w:rsidR="006304EB" w:rsidRPr="005F4649" w:rsidRDefault="006304EB" w:rsidP="00A95965">
            <w:pPr>
              <w:pStyle w:val="TableText"/>
              <w:rPr>
                <w:b/>
                <w:szCs w:val="20"/>
              </w:rPr>
            </w:pPr>
          </w:p>
        </w:tc>
        <w:tc>
          <w:tcPr>
            <w:tcW w:w="1103" w:type="dxa"/>
          </w:tcPr>
          <w:p w:rsidR="006304EB" w:rsidRDefault="006304EB" w:rsidP="00A95965">
            <w:pPr>
              <w:pStyle w:val="TableText"/>
              <w:rPr>
                <w:b/>
                <w:szCs w:val="20"/>
              </w:rPr>
            </w:pPr>
          </w:p>
        </w:tc>
        <w:tc>
          <w:tcPr>
            <w:tcW w:w="1741" w:type="dxa"/>
          </w:tcPr>
          <w:p w:rsidR="006304EB" w:rsidRPr="005F4649" w:rsidRDefault="006304EB" w:rsidP="00A95965">
            <w:pPr>
              <w:pStyle w:val="TableText"/>
              <w:rPr>
                <w:b/>
                <w:szCs w:val="20"/>
              </w:rPr>
            </w:pPr>
          </w:p>
        </w:tc>
      </w:tr>
      <w:tr w:rsidR="006304EB">
        <w:trPr>
          <w:cantSplit/>
          <w:trHeight w:val="432"/>
        </w:trPr>
        <w:tc>
          <w:tcPr>
            <w:tcW w:w="3973" w:type="dxa"/>
            <w:noWrap/>
          </w:tcPr>
          <w:p w:rsidR="006304EB" w:rsidRPr="005F4649" w:rsidRDefault="006304EB" w:rsidP="00A95965">
            <w:pPr>
              <w:pStyle w:val="TableText"/>
              <w:rPr>
                <w:b/>
                <w:szCs w:val="20"/>
              </w:rPr>
            </w:pPr>
          </w:p>
        </w:tc>
        <w:tc>
          <w:tcPr>
            <w:tcW w:w="1127" w:type="dxa"/>
          </w:tcPr>
          <w:p w:rsidR="006304EB" w:rsidRPr="005F4649" w:rsidRDefault="006304EB" w:rsidP="006304EB">
            <w:pPr>
              <w:pStyle w:val="TableText"/>
              <w:rPr>
                <w:b/>
                <w:szCs w:val="20"/>
              </w:rPr>
            </w:pPr>
          </w:p>
        </w:tc>
        <w:tc>
          <w:tcPr>
            <w:tcW w:w="1132" w:type="dxa"/>
          </w:tcPr>
          <w:p w:rsidR="006304EB" w:rsidRPr="005F4649" w:rsidRDefault="006304EB" w:rsidP="00A95965">
            <w:pPr>
              <w:pStyle w:val="TableText"/>
              <w:rPr>
                <w:b/>
                <w:szCs w:val="20"/>
              </w:rPr>
            </w:pPr>
          </w:p>
        </w:tc>
        <w:tc>
          <w:tcPr>
            <w:tcW w:w="971" w:type="dxa"/>
          </w:tcPr>
          <w:p w:rsidR="006304EB" w:rsidRPr="005F4649" w:rsidRDefault="006304EB" w:rsidP="00A95965">
            <w:pPr>
              <w:pStyle w:val="TableText"/>
              <w:rPr>
                <w:b/>
                <w:szCs w:val="20"/>
              </w:rPr>
            </w:pPr>
          </w:p>
        </w:tc>
        <w:tc>
          <w:tcPr>
            <w:tcW w:w="971" w:type="dxa"/>
          </w:tcPr>
          <w:p w:rsidR="006304EB" w:rsidRPr="005F4649" w:rsidRDefault="006304EB" w:rsidP="00A95965">
            <w:pPr>
              <w:pStyle w:val="TableText"/>
              <w:rPr>
                <w:b/>
                <w:szCs w:val="20"/>
              </w:rPr>
            </w:pPr>
          </w:p>
        </w:tc>
        <w:tc>
          <w:tcPr>
            <w:tcW w:w="971" w:type="dxa"/>
          </w:tcPr>
          <w:p w:rsidR="006304EB" w:rsidRPr="005F4649" w:rsidRDefault="006304EB" w:rsidP="00A95965">
            <w:pPr>
              <w:pStyle w:val="TableText"/>
              <w:rPr>
                <w:b/>
                <w:szCs w:val="20"/>
              </w:rPr>
            </w:pPr>
          </w:p>
        </w:tc>
        <w:tc>
          <w:tcPr>
            <w:tcW w:w="971" w:type="dxa"/>
          </w:tcPr>
          <w:p w:rsidR="006304EB" w:rsidRPr="005F4649" w:rsidRDefault="006304EB" w:rsidP="00A95965">
            <w:pPr>
              <w:pStyle w:val="TableText"/>
              <w:rPr>
                <w:b/>
                <w:szCs w:val="20"/>
              </w:rPr>
            </w:pPr>
          </w:p>
        </w:tc>
        <w:tc>
          <w:tcPr>
            <w:tcW w:w="1103" w:type="dxa"/>
          </w:tcPr>
          <w:p w:rsidR="006304EB" w:rsidRDefault="006304EB" w:rsidP="00A95965">
            <w:pPr>
              <w:pStyle w:val="TableText"/>
              <w:rPr>
                <w:b/>
                <w:szCs w:val="20"/>
              </w:rPr>
            </w:pPr>
          </w:p>
        </w:tc>
        <w:tc>
          <w:tcPr>
            <w:tcW w:w="1741" w:type="dxa"/>
          </w:tcPr>
          <w:p w:rsidR="006304EB" w:rsidRPr="005F4649" w:rsidRDefault="006304EB" w:rsidP="00A95965">
            <w:pPr>
              <w:pStyle w:val="TableText"/>
              <w:rPr>
                <w:b/>
                <w:szCs w:val="20"/>
              </w:rPr>
            </w:pPr>
          </w:p>
        </w:tc>
      </w:tr>
      <w:tr w:rsidR="006304EB">
        <w:trPr>
          <w:cantSplit/>
          <w:trHeight w:val="432"/>
        </w:trPr>
        <w:tc>
          <w:tcPr>
            <w:tcW w:w="3973" w:type="dxa"/>
            <w:noWrap/>
          </w:tcPr>
          <w:p w:rsidR="006304EB" w:rsidRPr="005F4649" w:rsidRDefault="006304EB" w:rsidP="00A95965">
            <w:pPr>
              <w:pStyle w:val="TableText"/>
              <w:rPr>
                <w:b/>
                <w:szCs w:val="20"/>
              </w:rPr>
            </w:pPr>
          </w:p>
        </w:tc>
        <w:tc>
          <w:tcPr>
            <w:tcW w:w="1127" w:type="dxa"/>
          </w:tcPr>
          <w:p w:rsidR="006304EB" w:rsidRPr="005F4649" w:rsidRDefault="006304EB" w:rsidP="006304EB">
            <w:pPr>
              <w:pStyle w:val="TableText"/>
              <w:rPr>
                <w:b/>
                <w:szCs w:val="20"/>
              </w:rPr>
            </w:pPr>
          </w:p>
        </w:tc>
        <w:tc>
          <w:tcPr>
            <w:tcW w:w="1132" w:type="dxa"/>
          </w:tcPr>
          <w:p w:rsidR="006304EB" w:rsidRPr="005F4649" w:rsidRDefault="006304EB" w:rsidP="00A95965">
            <w:pPr>
              <w:pStyle w:val="TableText"/>
              <w:rPr>
                <w:b/>
                <w:szCs w:val="20"/>
              </w:rPr>
            </w:pPr>
          </w:p>
        </w:tc>
        <w:tc>
          <w:tcPr>
            <w:tcW w:w="971" w:type="dxa"/>
          </w:tcPr>
          <w:p w:rsidR="006304EB" w:rsidRPr="005F4649" w:rsidRDefault="006304EB" w:rsidP="00A95965">
            <w:pPr>
              <w:pStyle w:val="TableText"/>
              <w:rPr>
                <w:b/>
                <w:szCs w:val="20"/>
              </w:rPr>
            </w:pPr>
          </w:p>
        </w:tc>
        <w:tc>
          <w:tcPr>
            <w:tcW w:w="971" w:type="dxa"/>
          </w:tcPr>
          <w:p w:rsidR="006304EB" w:rsidRPr="005F4649" w:rsidRDefault="006304EB" w:rsidP="00A95965">
            <w:pPr>
              <w:pStyle w:val="TableText"/>
              <w:rPr>
                <w:b/>
                <w:szCs w:val="20"/>
              </w:rPr>
            </w:pPr>
          </w:p>
        </w:tc>
        <w:tc>
          <w:tcPr>
            <w:tcW w:w="971" w:type="dxa"/>
          </w:tcPr>
          <w:p w:rsidR="006304EB" w:rsidRPr="005F4649" w:rsidRDefault="006304EB" w:rsidP="00A95965">
            <w:pPr>
              <w:pStyle w:val="TableText"/>
              <w:rPr>
                <w:b/>
                <w:szCs w:val="20"/>
              </w:rPr>
            </w:pPr>
          </w:p>
        </w:tc>
        <w:tc>
          <w:tcPr>
            <w:tcW w:w="971" w:type="dxa"/>
          </w:tcPr>
          <w:p w:rsidR="006304EB" w:rsidRPr="005F4649" w:rsidRDefault="006304EB" w:rsidP="00A95965">
            <w:pPr>
              <w:pStyle w:val="TableText"/>
              <w:rPr>
                <w:b/>
                <w:szCs w:val="20"/>
              </w:rPr>
            </w:pPr>
          </w:p>
        </w:tc>
        <w:tc>
          <w:tcPr>
            <w:tcW w:w="1103" w:type="dxa"/>
          </w:tcPr>
          <w:p w:rsidR="006304EB" w:rsidRDefault="006304EB" w:rsidP="00A95965">
            <w:pPr>
              <w:pStyle w:val="TableText"/>
              <w:rPr>
                <w:b/>
                <w:szCs w:val="20"/>
              </w:rPr>
            </w:pPr>
          </w:p>
        </w:tc>
        <w:tc>
          <w:tcPr>
            <w:tcW w:w="1741" w:type="dxa"/>
          </w:tcPr>
          <w:p w:rsidR="006304EB" w:rsidRPr="005F4649" w:rsidRDefault="006304EB" w:rsidP="00A95965">
            <w:pPr>
              <w:pStyle w:val="TableText"/>
              <w:rPr>
                <w:b/>
                <w:szCs w:val="20"/>
              </w:rPr>
            </w:pPr>
          </w:p>
        </w:tc>
      </w:tr>
      <w:tr w:rsidR="006304EB">
        <w:trPr>
          <w:cantSplit/>
          <w:trHeight w:val="432"/>
        </w:trPr>
        <w:tc>
          <w:tcPr>
            <w:tcW w:w="3973" w:type="dxa"/>
            <w:noWrap/>
          </w:tcPr>
          <w:p w:rsidR="006304EB" w:rsidRPr="005F4649" w:rsidRDefault="006304EB" w:rsidP="00A95965">
            <w:pPr>
              <w:pStyle w:val="TableText"/>
              <w:rPr>
                <w:b/>
                <w:szCs w:val="20"/>
              </w:rPr>
            </w:pPr>
          </w:p>
        </w:tc>
        <w:tc>
          <w:tcPr>
            <w:tcW w:w="1127" w:type="dxa"/>
          </w:tcPr>
          <w:p w:rsidR="006304EB" w:rsidRPr="005F4649" w:rsidRDefault="006304EB" w:rsidP="006304EB">
            <w:pPr>
              <w:pStyle w:val="TableText"/>
              <w:rPr>
                <w:b/>
                <w:szCs w:val="20"/>
              </w:rPr>
            </w:pPr>
          </w:p>
        </w:tc>
        <w:tc>
          <w:tcPr>
            <w:tcW w:w="1132" w:type="dxa"/>
          </w:tcPr>
          <w:p w:rsidR="006304EB" w:rsidRPr="005F4649" w:rsidRDefault="006304EB" w:rsidP="00A95965">
            <w:pPr>
              <w:pStyle w:val="TableText"/>
              <w:rPr>
                <w:b/>
                <w:szCs w:val="20"/>
              </w:rPr>
            </w:pPr>
          </w:p>
        </w:tc>
        <w:tc>
          <w:tcPr>
            <w:tcW w:w="971" w:type="dxa"/>
          </w:tcPr>
          <w:p w:rsidR="006304EB" w:rsidRPr="005F4649" w:rsidRDefault="006304EB" w:rsidP="00A95965">
            <w:pPr>
              <w:pStyle w:val="TableText"/>
              <w:rPr>
                <w:b/>
                <w:szCs w:val="20"/>
              </w:rPr>
            </w:pPr>
          </w:p>
        </w:tc>
        <w:tc>
          <w:tcPr>
            <w:tcW w:w="971" w:type="dxa"/>
          </w:tcPr>
          <w:p w:rsidR="006304EB" w:rsidRPr="005F4649" w:rsidRDefault="006304EB" w:rsidP="00A95965">
            <w:pPr>
              <w:pStyle w:val="TableText"/>
              <w:rPr>
                <w:b/>
                <w:szCs w:val="20"/>
              </w:rPr>
            </w:pPr>
          </w:p>
        </w:tc>
        <w:tc>
          <w:tcPr>
            <w:tcW w:w="971" w:type="dxa"/>
          </w:tcPr>
          <w:p w:rsidR="006304EB" w:rsidRPr="005F4649" w:rsidRDefault="006304EB" w:rsidP="00A95965">
            <w:pPr>
              <w:pStyle w:val="TableText"/>
              <w:rPr>
                <w:b/>
                <w:szCs w:val="20"/>
              </w:rPr>
            </w:pPr>
          </w:p>
        </w:tc>
        <w:tc>
          <w:tcPr>
            <w:tcW w:w="971" w:type="dxa"/>
          </w:tcPr>
          <w:p w:rsidR="006304EB" w:rsidRPr="005F4649" w:rsidRDefault="006304EB" w:rsidP="00A95965">
            <w:pPr>
              <w:pStyle w:val="TableText"/>
              <w:rPr>
                <w:b/>
                <w:szCs w:val="20"/>
              </w:rPr>
            </w:pPr>
          </w:p>
        </w:tc>
        <w:tc>
          <w:tcPr>
            <w:tcW w:w="1103" w:type="dxa"/>
          </w:tcPr>
          <w:p w:rsidR="006304EB" w:rsidRDefault="006304EB" w:rsidP="00A95965">
            <w:pPr>
              <w:pStyle w:val="TableText"/>
              <w:rPr>
                <w:b/>
                <w:szCs w:val="20"/>
              </w:rPr>
            </w:pPr>
          </w:p>
        </w:tc>
        <w:tc>
          <w:tcPr>
            <w:tcW w:w="1741" w:type="dxa"/>
          </w:tcPr>
          <w:p w:rsidR="006304EB" w:rsidRPr="005F4649" w:rsidRDefault="006304EB" w:rsidP="00A95965">
            <w:pPr>
              <w:pStyle w:val="TableText"/>
              <w:rPr>
                <w:b/>
                <w:szCs w:val="20"/>
              </w:rPr>
            </w:pPr>
          </w:p>
        </w:tc>
      </w:tr>
    </w:tbl>
    <w:p w:rsidR="00E7240A" w:rsidRDefault="00E7240A" w:rsidP="00E7240A">
      <w:pPr>
        <w:pStyle w:val="Heading3"/>
      </w:pPr>
      <w:bookmarkStart w:id="588" w:name="_Toc459900191"/>
      <w:r>
        <w:lastRenderedPageBreak/>
        <w:t>Unit Issue and Inspection Log</w:t>
      </w:r>
      <w:bookmarkEnd w:id="588"/>
      <w:r w:rsidR="00246F04">
        <w:fldChar w:fldCharType="begin"/>
      </w:r>
      <w:r w:rsidR="00246F04">
        <w:instrText xml:space="preserve"> XE "</w:instrText>
      </w:r>
      <w:r w:rsidR="00246F04" w:rsidRPr="003C3810">
        <w:instrText>Unit Issue and Inspection Log</w:instrText>
      </w:r>
      <w:r w:rsidR="00246F04">
        <w:instrText xml:space="preserve">" </w:instrText>
      </w:r>
      <w:r w:rsidR="00246F04">
        <w:fldChar w:fldCharType="end"/>
      </w:r>
      <w:r w:rsidR="00A95965">
        <w:fldChar w:fldCharType="begin"/>
      </w:r>
      <w:r w:rsidR="00A95965">
        <w:instrText xml:space="preserve"> XE “Forms:Unit Issue and Inspection Log” </w:instrText>
      </w:r>
      <w:r w:rsidR="00A95965">
        <w:fldChar w:fldCharType="end"/>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2290"/>
        <w:gridCol w:w="897"/>
        <w:gridCol w:w="797"/>
        <w:gridCol w:w="835"/>
        <w:gridCol w:w="905"/>
        <w:gridCol w:w="1357"/>
        <w:gridCol w:w="747"/>
        <w:gridCol w:w="708"/>
        <w:gridCol w:w="1026"/>
      </w:tblGrid>
      <w:tr w:rsidR="003F4F8B">
        <w:tc>
          <w:tcPr>
            <w:tcW w:w="12960" w:type="dxa"/>
            <w:gridSpan w:val="10"/>
          </w:tcPr>
          <w:p w:rsidR="003F4F8B" w:rsidRPr="003F4F8B" w:rsidRDefault="003F4F8B" w:rsidP="003F4F8B">
            <w:pPr>
              <w:pStyle w:val="TableText"/>
            </w:pPr>
            <w:r w:rsidRPr="00887834">
              <w:rPr>
                <w:b/>
              </w:rPr>
              <w:t xml:space="preserve">Facility Name: </w:t>
            </w:r>
          </w:p>
        </w:tc>
      </w:tr>
      <w:tr w:rsidR="003F4F8B">
        <w:tc>
          <w:tcPr>
            <w:tcW w:w="12960" w:type="dxa"/>
            <w:gridSpan w:val="10"/>
          </w:tcPr>
          <w:p w:rsidR="003F4F8B" w:rsidRPr="003F4F8B" w:rsidRDefault="003F4F8B" w:rsidP="003F4F8B">
            <w:pPr>
              <w:pStyle w:val="TableText"/>
            </w:pPr>
            <w:r w:rsidRPr="00887834">
              <w:rPr>
                <w:b/>
              </w:rPr>
              <w:t xml:space="preserve">Address: </w:t>
            </w:r>
          </w:p>
        </w:tc>
      </w:tr>
      <w:tr w:rsidR="003F4F8B">
        <w:tc>
          <w:tcPr>
            <w:tcW w:w="12960" w:type="dxa"/>
            <w:gridSpan w:val="10"/>
          </w:tcPr>
          <w:p w:rsidR="003F4F8B" w:rsidRPr="003F4F8B" w:rsidRDefault="003F4F8B" w:rsidP="003F4F8B">
            <w:pPr>
              <w:pStyle w:val="TableText"/>
            </w:pPr>
            <w:r w:rsidRPr="00887834">
              <w:rPr>
                <w:b/>
              </w:rPr>
              <w:t>City, State, Zip Code:</w:t>
            </w:r>
            <w:r>
              <w:t xml:space="preserve"> </w:t>
            </w:r>
          </w:p>
        </w:tc>
      </w:tr>
      <w:tr w:rsidR="00695EB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230"/>
          <w:tblHeader/>
        </w:trPr>
        <w:tc>
          <w:tcPr>
            <w:tcW w:w="3398" w:type="dxa"/>
            <w:vMerge w:val="restart"/>
            <w:shd w:val="clear" w:color="auto" w:fill="B3B3B3"/>
            <w:noWrap/>
          </w:tcPr>
          <w:p w:rsidR="00695EBA" w:rsidRPr="003521C6" w:rsidRDefault="00695EBA" w:rsidP="00F72DE4">
            <w:pPr>
              <w:pStyle w:val="TableText"/>
              <w:rPr>
                <w:b/>
                <w:szCs w:val="20"/>
              </w:rPr>
            </w:pPr>
            <w:r w:rsidRPr="003521C6">
              <w:rPr>
                <w:b/>
                <w:szCs w:val="20"/>
              </w:rPr>
              <w:t>Patient Last Name</w:t>
            </w:r>
            <w:r>
              <w:rPr>
                <w:b/>
                <w:szCs w:val="20"/>
              </w:rPr>
              <w:t>, Last Four Digits</w:t>
            </w:r>
            <w:r w:rsidRPr="003521C6">
              <w:rPr>
                <w:b/>
                <w:szCs w:val="20"/>
              </w:rPr>
              <w:t xml:space="preserve"> of SSN</w:t>
            </w:r>
          </w:p>
        </w:tc>
        <w:tc>
          <w:tcPr>
            <w:tcW w:w="2290" w:type="dxa"/>
            <w:vMerge w:val="restart"/>
            <w:shd w:val="clear" w:color="auto" w:fill="B3B3B3"/>
          </w:tcPr>
          <w:p w:rsidR="00695EBA" w:rsidRPr="003521C6" w:rsidRDefault="00695EBA" w:rsidP="00F72DE4">
            <w:pPr>
              <w:pStyle w:val="TableText"/>
              <w:rPr>
                <w:b/>
                <w:szCs w:val="20"/>
              </w:rPr>
            </w:pPr>
            <w:r w:rsidRPr="003521C6">
              <w:rPr>
                <w:b/>
                <w:szCs w:val="20"/>
              </w:rPr>
              <w:t>Unit Number</w:t>
            </w:r>
          </w:p>
        </w:tc>
        <w:tc>
          <w:tcPr>
            <w:tcW w:w="897" w:type="dxa"/>
            <w:vMerge w:val="restart"/>
            <w:shd w:val="clear" w:color="auto" w:fill="B3B3B3"/>
          </w:tcPr>
          <w:p w:rsidR="00695EBA" w:rsidRPr="003521C6" w:rsidRDefault="00695EBA" w:rsidP="00F72DE4">
            <w:pPr>
              <w:pStyle w:val="TableText"/>
              <w:rPr>
                <w:b/>
                <w:szCs w:val="20"/>
              </w:rPr>
            </w:pPr>
            <w:r>
              <w:rPr>
                <w:b/>
                <w:szCs w:val="20"/>
              </w:rPr>
              <w:t>Product Code</w:t>
            </w:r>
          </w:p>
        </w:tc>
        <w:tc>
          <w:tcPr>
            <w:tcW w:w="797" w:type="dxa"/>
            <w:vMerge w:val="restart"/>
            <w:shd w:val="clear" w:color="auto" w:fill="B3B3B3"/>
          </w:tcPr>
          <w:p w:rsidR="00695EBA" w:rsidRPr="003521C6" w:rsidRDefault="00695EBA" w:rsidP="00F72DE4">
            <w:pPr>
              <w:pStyle w:val="TableText"/>
              <w:rPr>
                <w:b/>
                <w:szCs w:val="20"/>
              </w:rPr>
            </w:pPr>
            <w:r w:rsidRPr="003521C6">
              <w:rPr>
                <w:b/>
                <w:szCs w:val="20"/>
              </w:rPr>
              <w:t>Date</w:t>
            </w:r>
          </w:p>
        </w:tc>
        <w:tc>
          <w:tcPr>
            <w:tcW w:w="1740" w:type="dxa"/>
            <w:gridSpan w:val="2"/>
            <w:tcBorders>
              <w:bottom w:val="single" w:sz="2" w:space="0" w:color="auto"/>
            </w:tcBorders>
            <w:shd w:val="clear" w:color="auto" w:fill="B3B3B3"/>
          </w:tcPr>
          <w:p w:rsidR="00695EBA" w:rsidRPr="003521C6" w:rsidRDefault="00695EBA" w:rsidP="00F72DE4">
            <w:pPr>
              <w:pStyle w:val="TableText"/>
              <w:rPr>
                <w:b/>
                <w:szCs w:val="20"/>
              </w:rPr>
            </w:pPr>
            <w:r w:rsidRPr="003521C6">
              <w:rPr>
                <w:b/>
                <w:szCs w:val="20"/>
              </w:rPr>
              <w:t>Time</w:t>
            </w:r>
          </w:p>
        </w:tc>
        <w:tc>
          <w:tcPr>
            <w:tcW w:w="1357" w:type="dxa"/>
            <w:vMerge w:val="restart"/>
            <w:shd w:val="clear" w:color="auto" w:fill="B3B3B3"/>
          </w:tcPr>
          <w:p w:rsidR="00695EBA" w:rsidRPr="003521C6" w:rsidRDefault="00695EBA" w:rsidP="00F72DE4">
            <w:pPr>
              <w:pStyle w:val="TableText"/>
              <w:rPr>
                <w:b/>
                <w:szCs w:val="20"/>
              </w:rPr>
            </w:pPr>
            <w:r>
              <w:rPr>
                <w:b/>
                <w:szCs w:val="20"/>
              </w:rPr>
              <w:t xml:space="preserve">Unit </w:t>
            </w:r>
            <w:r w:rsidRPr="003521C6">
              <w:rPr>
                <w:b/>
                <w:szCs w:val="20"/>
              </w:rPr>
              <w:t>Satisfactory</w:t>
            </w:r>
            <w:r>
              <w:rPr>
                <w:b/>
                <w:szCs w:val="20"/>
              </w:rPr>
              <w:t>?</w:t>
            </w:r>
          </w:p>
          <w:p w:rsidR="00695EBA" w:rsidRPr="003521C6" w:rsidRDefault="00695EBA" w:rsidP="00F72DE4">
            <w:pPr>
              <w:pStyle w:val="TableText"/>
              <w:rPr>
                <w:b/>
                <w:szCs w:val="20"/>
              </w:rPr>
            </w:pPr>
            <w:r w:rsidRPr="003521C6">
              <w:rPr>
                <w:b/>
                <w:szCs w:val="20"/>
              </w:rPr>
              <w:t>(Yes</w:t>
            </w:r>
            <w:r>
              <w:rPr>
                <w:b/>
                <w:szCs w:val="20"/>
              </w:rPr>
              <w:t>,</w:t>
            </w:r>
            <w:r w:rsidRPr="003521C6">
              <w:rPr>
                <w:b/>
                <w:szCs w:val="20"/>
              </w:rPr>
              <w:t xml:space="preserve"> No)</w:t>
            </w:r>
          </w:p>
        </w:tc>
        <w:tc>
          <w:tcPr>
            <w:tcW w:w="747" w:type="dxa"/>
            <w:vMerge w:val="restart"/>
            <w:shd w:val="clear" w:color="auto" w:fill="B3B3B3"/>
          </w:tcPr>
          <w:p w:rsidR="00695EBA" w:rsidRPr="003521C6" w:rsidRDefault="00695EBA" w:rsidP="00F72DE4">
            <w:pPr>
              <w:pStyle w:val="TableText"/>
              <w:rPr>
                <w:b/>
                <w:szCs w:val="20"/>
              </w:rPr>
            </w:pPr>
            <w:r w:rsidRPr="003521C6">
              <w:rPr>
                <w:b/>
                <w:szCs w:val="20"/>
              </w:rPr>
              <w:t>Ward</w:t>
            </w:r>
          </w:p>
        </w:tc>
        <w:tc>
          <w:tcPr>
            <w:tcW w:w="708" w:type="dxa"/>
            <w:vMerge w:val="restart"/>
            <w:shd w:val="clear" w:color="auto" w:fill="B3B3B3"/>
          </w:tcPr>
          <w:p w:rsidR="00695EBA" w:rsidRPr="003521C6" w:rsidRDefault="00695EBA" w:rsidP="00F72DE4">
            <w:pPr>
              <w:pStyle w:val="TableText"/>
              <w:rPr>
                <w:b/>
                <w:szCs w:val="20"/>
              </w:rPr>
            </w:pPr>
            <w:r w:rsidRPr="003521C6">
              <w:rPr>
                <w:b/>
                <w:szCs w:val="20"/>
              </w:rPr>
              <w:t>Tech</w:t>
            </w:r>
          </w:p>
        </w:tc>
        <w:tc>
          <w:tcPr>
            <w:tcW w:w="1026" w:type="dxa"/>
            <w:vMerge w:val="restart"/>
            <w:shd w:val="clear" w:color="auto" w:fill="B3B3B3"/>
          </w:tcPr>
          <w:p w:rsidR="00695EBA" w:rsidRPr="003521C6" w:rsidRDefault="00695EBA" w:rsidP="00F72DE4">
            <w:pPr>
              <w:pStyle w:val="TableText"/>
              <w:rPr>
                <w:b/>
                <w:szCs w:val="20"/>
              </w:rPr>
            </w:pPr>
            <w:r w:rsidRPr="003521C6">
              <w:rPr>
                <w:b/>
                <w:szCs w:val="20"/>
              </w:rPr>
              <w:t>Issued To</w:t>
            </w:r>
            <w:r>
              <w:rPr>
                <w:b/>
                <w:szCs w:val="20"/>
              </w:rPr>
              <w:t>:</w:t>
            </w:r>
          </w:p>
        </w:tc>
      </w:tr>
      <w:tr w:rsidR="00695EB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230"/>
          <w:tblHeader/>
        </w:trPr>
        <w:tc>
          <w:tcPr>
            <w:tcW w:w="3398" w:type="dxa"/>
            <w:vMerge/>
            <w:noWrap/>
          </w:tcPr>
          <w:p w:rsidR="00695EBA" w:rsidRDefault="00695EBA" w:rsidP="00F72DE4">
            <w:pPr>
              <w:pStyle w:val="TableText"/>
              <w:rPr>
                <w:szCs w:val="20"/>
              </w:rPr>
            </w:pPr>
          </w:p>
        </w:tc>
        <w:tc>
          <w:tcPr>
            <w:tcW w:w="2290" w:type="dxa"/>
            <w:vMerge/>
          </w:tcPr>
          <w:p w:rsidR="00695EBA" w:rsidRDefault="00695EBA" w:rsidP="00F72DE4">
            <w:pPr>
              <w:pStyle w:val="TableText"/>
              <w:rPr>
                <w:szCs w:val="20"/>
              </w:rPr>
            </w:pPr>
          </w:p>
        </w:tc>
        <w:tc>
          <w:tcPr>
            <w:tcW w:w="897" w:type="dxa"/>
            <w:vMerge/>
          </w:tcPr>
          <w:p w:rsidR="00695EBA" w:rsidRDefault="00695EBA" w:rsidP="00F72DE4">
            <w:pPr>
              <w:pStyle w:val="TableText"/>
              <w:rPr>
                <w:szCs w:val="20"/>
              </w:rPr>
            </w:pPr>
          </w:p>
        </w:tc>
        <w:tc>
          <w:tcPr>
            <w:tcW w:w="797" w:type="dxa"/>
            <w:vMerge/>
          </w:tcPr>
          <w:p w:rsidR="00695EBA" w:rsidRDefault="00695EBA" w:rsidP="00F72DE4">
            <w:pPr>
              <w:pStyle w:val="TableText"/>
              <w:rPr>
                <w:szCs w:val="20"/>
              </w:rPr>
            </w:pPr>
          </w:p>
        </w:tc>
        <w:tc>
          <w:tcPr>
            <w:tcW w:w="835" w:type="dxa"/>
            <w:shd w:val="clear" w:color="auto" w:fill="B3B3B3"/>
          </w:tcPr>
          <w:p w:rsidR="00695EBA" w:rsidRPr="003521C6" w:rsidRDefault="00695EBA" w:rsidP="00F72DE4">
            <w:pPr>
              <w:pStyle w:val="TableText"/>
              <w:rPr>
                <w:b/>
                <w:szCs w:val="20"/>
              </w:rPr>
            </w:pPr>
            <w:r w:rsidRPr="003521C6">
              <w:rPr>
                <w:b/>
                <w:szCs w:val="20"/>
              </w:rPr>
              <w:t>Issue</w:t>
            </w:r>
          </w:p>
        </w:tc>
        <w:tc>
          <w:tcPr>
            <w:tcW w:w="905" w:type="dxa"/>
            <w:shd w:val="clear" w:color="auto" w:fill="B3B3B3"/>
          </w:tcPr>
          <w:p w:rsidR="00695EBA" w:rsidRPr="003521C6" w:rsidRDefault="00695EBA" w:rsidP="00F72DE4">
            <w:pPr>
              <w:pStyle w:val="TableText"/>
              <w:rPr>
                <w:b/>
                <w:szCs w:val="20"/>
              </w:rPr>
            </w:pPr>
            <w:r w:rsidRPr="003521C6">
              <w:rPr>
                <w:b/>
                <w:szCs w:val="20"/>
              </w:rPr>
              <w:t>Return</w:t>
            </w:r>
          </w:p>
        </w:tc>
        <w:tc>
          <w:tcPr>
            <w:tcW w:w="1357" w:type="dxa"/>
            <w:vMerge/>
          </w:tcPr>
          <w:p w:rsidR="00695EBA" w:rsidRDefault="00695EBA" w:rsidP="00F72DE4">
            <w:pPr>
              <w:pStyle w:val="TableText"/>
              <w:rPr>
                <w:szCs w:val="20"/>
              </w:rPr>
            </w:pPr>
          </w:p>
        </w:tc>
        <w:tc>
          <w:tcPr>
            <w:tcW w:w="747" w:type="dxa"/>
            <w:vMerge/>
          </w:tcPr>
          <w:p w:rsidR="00695EBA" w:rsidRDefault="00695EBA" w:rsidP="00F72DE4">
            <w:pPr>
              <w:pStyle w:val="TableText"/>
              <w:rPr>
                <w:szCs w:val="20"/>
              </w:rPr>
            </w:pPr>
          </w:p>
        </w:tc>
        <w:tc>
          <w:tcPr>
            <w:tcW w:w="708" w:type="dxa"/>
            <w:vMerge/>
          </w:tcPr>
          <w:p w:rsidR="00695EBA" w:rsidRDefault="00695EBA" w:rsidP="00F72DE4">
            <w:pPr>
              <w:pStyle w:val="TableText"/>
              <w:rPr>
                <w:szCs w:val="20"/>
              </w:rPr>
            </w:pPr>
          </w:p>
        </w:tc>
        <w:tc>
          <w:tcPr>
            <w:tcW w:w="1026" w:type="dxa"/>
            <w:vMerge/>
          </w:tcPr>
          <w:p w:rsidR="00695EBA" w:rsidRDefault="00695EBA" w:rsidP="00F72DE4">
            <w:pPr>
              <w:pStyle w:val="TableText"/>
              <w:rPr>
                <w:szCs w:val="20"/>
              </w:rPr>
            </w:pPr>
          </w:p>
        </w:tc>
      </w:tr>
      <w:tr w:rsidR="00695EB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rsidR="00695EBA" w:rsidRDefault="00695EBA" w:rsidP="00A95965">
            <w:pPr>
              <w:pStyle w:val="TableText"/>
              <w:rPr>
                <w:szCs w:val="20"/>
              </w:rPr>
            </w:pPr>
          </w:p>
        </w:tc>
        <w:tc>
          <w:tcPr>
            <w:tcW w:w="2290" w:type="dxa"/>
          </w:tcPr>
          <w:p w:rsidR="00695EBA" w:rsidRDefault="00695EBA" w:rsidP="00A95965">
            <w:pPr>
              <w:pStyle w:val="TableText"/>
              <w:rPr>
                <w:szCs w:val="20"/>
              </w:rPr>
            </w:pPr>
          </w:p>
        </w:tc>
        <w:tc>
          <w:tcPr>
            <w:tcW w:w="897" w:type="dxa"/>
          </w:tcPr>
          <w:p w:rsidR="00695EBA" w:rsidRDefault="00695EBA" w:rsidP="00571D70">
            <w:pPr>
              <w:pStyle w:val="TableText"/>
              <w:rPr>
                <w:szCs w:val="20"/>
              </w:rPr>
            </w:pPr>
          </w:p>
        </w:tc>
        <w:tc>
          <w:tcPr>
            <w:tcW w:w="797" w:type="dxa"/>
          </w:tcPr>
          <w:p w:rsidR="00695EBA" w:rsidRDefault="00695EBA" w:rsidP="00A95965">
            <w:pPr>
              <w:pStyle w:val="TableText"/>
              <w:rPr>
                <w:szCs w:val="20"/>
              </w:rPr>
            </w:pPr>
          </w:p>
        </w:tc>
        <w:tc>
          <w:tcPr>
            <w:tcW w:w="835" w:type="dxa"/>
          </w:tcPr>
          <w:p w:rsidR="00695EBA" w:rsidRDefault="00695EBA" w:rsidP="00A95965">
            <w:pPr>
              <w:pStyle w:val="TableText"/>
              <w:rPr>
                <w:szCs w:val="20"/>
              </w:rPr>
            </w:pPr>
          </w:p>
        </w:tc>
        <w:tc>
          <w:tcPr>
            <w:tcW w:w="905" w:type="dxa"/>
          </w:tcPr>
          <w:p w:rsidR="00695EBA" w:rsidRDefault="00695EBA" w:rsidP="00A95965">
            <w:pPr>
              <w:pStyle w:val="TableText"/>
              <w:rPr>
                <w:szCs w:val="20"/>
              </w:rPr>
            </w:pPr>
          </w:p>
        </w:tc>
        <w:tc>
          <w:tcPr>
            <w:tcW w:w="1357" w:type="dxa"/>
          </w:tcPr>
          <w:p w:rsidR="00695EBA" w:rsidRDefault="00695EBA" w:rsidP="00A95965">
            <w:pPr>
              <w:pStyle w:val="TableText"/>
              <w:rPr>
                <w:szCs w:val="20"/>
              </w:rPr>
            </w:pPr>
          </w:p>
        </w:tc>
        <w:tc>
          <w:tcPr>
            <w:tcW w:w="747" w:type="dxa"/>
          </w:tcPr>
          <w:p w:rsidR="00695EBA" w:rsidRDefault="00695EBA" w:rsidP="00A95965">
            <w:pPr>
              <w:pStyle w:val="TableText"/>
              <w:rPr>
                <w:szCs w:val="20"/>
              </w:rPr>
            </w:pPr>
          </w:p>
        </w:tc>
        <w:tc>
          <w:tcPr>
            <w:tcW w:w="708" w:type="dxa"/>
          </w:tcPr>
          <w:p w:rsidR="00695EBA" w:rsidRDefault="00695EBA" w:rsidP="00A95965">
            <w:pPr>
              <w:pStyle w:val="TableText"/>
              <w:rPr>
                <w:szCs w:val="20"/>
              </w:rPr>
            </w:pPr>
          </w:p>
        </w:tc>
        <w:tc>
          <w:tcPr>
            <w:tcW w:w="1026" w:type="dxa"/>
          </w:tcPr>
          <w:p w:rsidR="00695EBA" w:rsidRDefault="00695EBA" w:rsidP="00A95965">
            <w:pPr>
              <w:pStyle w:val="TableText"/>
              <w:rPr>
                <w:szCs w:val="20"/>
              </w:rPr>
            </w:pPr>
          </w:p>
        </w:tc>
      </w:tr>
      <w:tr w:rsidR="00695EB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rsidR="00695EBA" w:rsidRDefault="00695EBA" w:rsidP="00A95965">
            <w:pPr>
              <w:pStyle w:val="TableText"/>
              <w:rPr>
                <w:szCs w:val="20"/>
              </w:rPr>
            </w:pPr>
          </w:p>
        </w:tc>
        <w:tc>
          <w:tcPr>
            <w:tcW w:w="2290" w:type="dxa"/>
          </w:tcPr>
          <w:p w:rsidR="00695EBA" w:rsidRDefault="00695EBA" w:rsidP="00A95965">
            <w:pPr>
              <w:pStyle w:val="TableText"/>
              <w:rPr>
                <w:szCs w:val="20"/>
              </w:rPr>
            </w:pPr>
          </w:p>
        </w:tc>
        <w:tc>
          <w:tcPr>
            <w:tcW w:w="897" w:type="dxa"/>
          </w:tcPr>
          <w:p w:rsidR="00695EBA" w:rsidRDefault="00695EBA" w:rsidP="00571D70">
            <w:pPr>
              <w:pStyle w:val="TableText"/>
              <w:rPr>
                <w:szCs w:val="20"/>
              </w:rPr>
            </w:pPr>
          </w:p>
        </w:tc>
        <w:tc>
          <w:tcPr>
            <w:tcW w:w="797" w:type="dxa"/>
          </w:tcPr>
          <w:p w:rsidR="00695EBA" w:rsidRDefault="00695EBA" w:rsidP="00A95965">
            <w:pPr>
              <w:pStyle w:val="TableText"/>
              <w:rPr>
                <w:szCs w:val="20"/>
              </w:rPr>
            </w:pPr>
          </w:p>
        </w:tc>
        <w:tc>
          <w:tcPr>
            <w:tcW w:w="835" w:type="dxa"/>
          </w:tcPr>
          <w:p w:rsidR="00695EBA" w:rsidRDefault="00695EBA" w:rsidP="00A95965">
            <w:pPr>
              <w:pStyle w:val="TableText"/>
              <w:rPr>
                <w:szCs w:val="20"/>
              </w:rPr>
            </w:pPr>
          </w:p>
        </w:tc>
        <w:tc>
          <w:tcPr>
            <w:tcW w:w="905" w:type="dxa"/>
          </w:tcPr>
          <w:p w:rsidR="00695EBA" w:rsidRDefault="00695EBA" w:rsidP="00A95965">
            <w:pPr>
              <w:pStyle w:val="TableText"/>
              <w:rPr>
                <w:szCs w:val="20"/>
              </w:rPr>
            </w:pPr>
          </w:p>
        </w:tc>
        <w:tc>
          <w:tcPr>
            <w:tcW w:w="1357" w:type="dxa"/>
          </w:tcPr>
          <w:p w:rsidR="00695EBA" w:rsidRDefault="00695EBA" w:rsidP="00A95965">
            <w:pPr>
              <w:pStyle w:val="TableText"/>
              <w:rPr>
                <w:szCs w:val="20"/>
              </w:rPr>
            </w:pPr>
          </w:p>
        </w:tc>
        <w:tc>
          <w:tcPr>
            <w:tcW w:w="747" w:type="dxa"/>
          </w:tcPr>
          <w:p w:rsidR="00695EBA" w:rsidRDefault="00695EBA" w:rsidP="00A95965">
            <w:pPr>
              <w:pStyle w:val="TableText"/>
              <w:rPr>
                <w:szCs w:val="20"/>
              </w:rPr>
            </w:pPr>
          </w:p>
        </w:tc>
        <w:tc>
          <w:tcPr>
            <w:tcW w:w="708" w:type="dxa"/>
          </w:tcPr>
          <w:p w:rsidR="00695EBA" w:rsidRDefault="00695EBA" w:rsidP="00A95965">
            <w:pPr>
              <w:pStyle w:val="TableText"/>
              <w:rPr>
                <w:szCs w:val="20"/>
              </w:rPr>
            </w:pPr>
          </w:p>
        </w:tc>
        <w:tc>
          <w:tcPr>
            <w:tcW w:w="1026" w:type="dxa"/>
          </w:tcPr>
          <w:p w:rsidR="00695EBA" w:rsidRDefault="00695EBA" w:rsidP="00A95965">
            <w:pPr>
              <w:pStyle w:val="TableText"/>
              <w:rPr>
                <w:szCs w:val="20"/>
              </w:rPr>
            </w:pPr>
          </w:p>
        </w:tc>
      </w:tr>
      <w:tr w:rsidR="00695EB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rsidR="00695EBA" w:rsidRDefault="00695EBA" w:rsidP="00A95965">
            <w:pPr>
              <w:pStyle w:val="TableText"/>
              <w:rPr>
                <w:szCs w:val="20"/>
              </w:rPr>
            </w:pPr>
          </w:p>
        </w:tc>
        <w:tc>
          <w:tcPr>
            <w:tcW w:w="2290" w:type="dxa"/>
          </w:tcPr>
          <w:p w:rsidR="00695EBA" w:rsidRDefault="00695EBA" w:rsidP="00A95965">
            <w:pPr>
              <w:pStyle w:val="TableText"/>
              <w:rPr>
                <w:szCs w:val="20"/>
              </w:rPr>
            </w:pPr>
          </w:p>
        </w:tc>
        <w:tc>
          <w:tcPr>
            <w:tcW w:w="897" w:type="dxa"/>
          </w:tcPr>
          <w:p w:rsidR="00695EBA" w:rsidRDefault="00695EBA" w:rsidP="00571D70">
            <w:pPr>
              <w:pStyle w:val="TableText"/>
              <w:rPr>
                <w:szCs w:val="20"/>
              </w:rPr>
            </w:pPr>
          </w:p>
        </w:tc>
        <w:tc>
          <w:tcPr>
            <w:tcW w:w="797" w:type="dxa"/>
          </w:tcPr>
          <w:p w:rsidR="00695EBA" w:rsidRDefault="00695EBA" w:rsidP="00A95965">
            <w:pPr>
              <w:pStyle w:val="TableText"/>
              <w:rPr>
                <w:szCs w:val="20"/>
              </w:rPr>
            </w:pPr>
          </w:p>
        </w:tc>
        <w:tc>
          <w:tcPr>
            <w:tcW w:w="835" w:type="dxa"/>
          </w:tcPr>
          <w:p w:rsidR="00695EBA" w:rsidRDefault="00695EBA" w:rsidP="00A95965">
            <w:pPr>
              <w:pStyle w:val="TableText"/>
              <w:rPr>
                <w:szCs w:val="20"/>
              </w:rPr>
            </w:pPr>
          </w:p>
        </w:tc>
        <w:tc>
          <w:tcPr>
            <w:tcW w:w="905" w:type="dxa"/>
          </w:tcPr>
          <w:p w:rsidR="00695EBA" w:rsidRDefault="00695EBA" w:rsidP="00A95965">
            <w:pPr>
              <w:pStyle w:val="TableText"/>
              <w:rPr>
                <w:szCs w:val="20"/>
              </w:rPr>
            </w:pPr>
          </w:p>
        </w:tc>
        <w:tc>
          <w:tcPr>
            <w:tcW w:w="1357" w:type="dxa"/>
          </w:tcPr>
          <w:p w:rsidR="00695EBA" w:rsidRDefault="00695EBA" w:rsidP="00A95965">
            <w:pPr>
              <w:pStyle w:val="TableText"/>
              <w:rPr>
                <w:szCs w:val="20"/>
              </w:rPr>
            </w:pPr>
          </w:p>
        </w:tc>
        <w:tc>
          <w:tcPr>
            <w:tcW w:w="747" w:type="dxa"/>
          </w:tcPr>
          <w:p w:rsidR="00695EBA" w:rsidRDefault="00695EBA" w:rsidP="00A95965">
            <w:pPr>
              <w:pStyle w:val="TableText"/>
              <w:rPr>
                <w:szCs w:val="20"/>
              </w:rPr>
            </w:pPr>
          </w:p>
        </w:tc>
        <w:tc>
          <w:tcPr>
            <w:tcW w:w="708" w:type="dxa"/>
          </w:tcPr>
          <w:p w:rsidR="00695EBA" w:rsidRDefault="00695EBA" w:rsidP="00A95965">
            <w:pPr>
              <w:pStyle w:val="TableText"/>
              <w:rPr>
                <w:szCs w:val="20"/>
              </w:rPr>
            </w:pPr>
          </w:p>
        </w:tc>
        <w:tc>
          <w:tcPr>
            <w:tcW w:w="1026" w:type="dxa"/>
          </w:tcPr>
          <w:p w:rsidR="00695EBA" w:rsidRDefault="00695EBA" w:rsidP="00A95965">
            <w:pPr>
              <w:pStyle w:val="TableText"/>
              <w:rPr>
                <w:szCs w:val="20"/>
              </w:rPr>
            </w:pPr>
          </w:p>
        </w:tc>
      </w:tr>
      <w:tr w:rsidR="00695EB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rsidR="00695EBA" w:rsidRDefault="00695EBA" w:rsidP="00A95965">
            <w:pPr>
              <w:pStyle w:val="TableText"/>
              <w:rPr>
                <w:szCs w:val="20"/>
              </w:rPr>
            </w:pPr>
          </w:p>
        </w:tc>
        <w:tc>
          <w:tcPr>
            <w:tcW w:w="2290" w:type="dxa"/>
          </w:tcPr>
          <w:p w:rsidR="00695EBA" w:rsidRDefault="00695EBA" w:rsidP="00A95965">
            <w:pPr>
              <w:pStyle w:val="TableText"/>
              <w:rPr>
                <w:szCs w:val="20"/>
              </w:rPr>
            </w:pPr>
          </w:p>
        </w:tc>
        <w:tc>
          <w:tcPr>
            <w:tcW w:w="897" w:type="dxa"/>
          </w:tcPr>
          <w:p w:rsidR="00695EBA" w:rsidRDefault="00695EBA" w:rsidP="00571D70">
            <w:pPr>
              <w:pStyle w:val="TableText"/>
              <w:rPr>
                <w:szCs w:val="20"/>
              </w:rPr>
            </w:pPr>
          </w:p>
        </w:tc>
        <w:tc>
          <w:tcPr>
            <w:tcW w:w="797" w:type="dxa"/>
          </w:tcPr>
          <w:p w:rsidR="00695EBA" w:rsidRDefault="00695EBA" w:rsidP="00A95965">
            <w:pPr>
              <w:pStyle w:val="TableText"/>
              <w:rPr>
                <w:szCs w:val="20"/>
              </w:rPr>
            </w:pPr>
          </w:p>
        </w:tc>
        <w:tc>
          <w:tcPr>
            <w:tcW w:w="835" w:type="dxa"/>
          </w:tcPr>
          <w:p w:rsidR="00695EBA" w:rsidRDefault="00695EBA" w:rsidP="00A95965">
            <w:pPr>
              <w:pStyle w:val="TableText"/>
              <w:rPr>
                <w:szCs w:val="20"/>
              </w:rPr>
            </w:pPr>
          </w:p>
        </w:tc>
        <w:tc>
          <w:tcPr>
            <w:tcW w:w="905" w:type="dxa"/>
          </w:tcPr>
          <w:p w:rsidR="00695EBA" w:rsidRDefault="00695EBA" w:rsidP="00A95965">
            <w:pPr>
              <w:pStyle w:val="TableText"/>
              <w:rPr>
                <w:szCs w:val="20"/>
              </w:rPr>
            </w:pPr>
          </w:p>
        </w:tc>
        <w:tc>
          <w:tcPr>
            <w:tcW w:w="1357" w:type="dxa"/>
          </w:tcPr>
          <w:p w:rsidR="00695EBA" w:rsidRDefault="00695EBA" w:rsidP="00A95965">
            <w:pPr>
              <w:pStyle w:val="TableText"/>
              <w:rPr>
                <w:szCs w:val="20"/>
              </w:rPr>
            </w:pPr>
          </w:p>
        </w:tc>
        <w:tc>
          <w:tcPr>
            <w:tcW w:w="747" w:type="dxa"/>
          </w:tcPr>
          <w:p w:rsidR="00695EBA" w:rsidRDefault="00695EBA" w:rsidP="00A95965">
            <w:pPr>
              <w:pStyle w:val="TableText"/>
              <w:rPr>
                <w:szCs w:val="20"/>
              </w:rPr>
            </w:pPr>
          </w:p>
        </w:tc>
        <w:tc>
          <w:tcPr>
            <w:tcW w:w="708" w:type="dxa"/>
          </w:tcPr>
          <w:p w:rsidR="00695EBA" w:rsidRDefault="00695EBA" w:rsidP="00A95965">
            <w:pPr>
              <w:pStyle w:val="TableText"/>
              <w:rPr>
                <w:szCs w:val="20"/>
              </w:rPr>
            </w:pPr>
          </w:p>
        </w:tc>
        <w:tc>
          <w:tcPr>
            <w:tcW w:w="1026" w:type="dxa"/>
          </w:tcPr>
          <w:p w:rsidR="00695EBA" w:rsidRDefault="00695EBA" w:rsidP="00A95965">
            <w:pPr>
              <w:pStyle w:val="TableText"/>
              <w:rPr>
                <w:szCs w:val="20"/>
              </w:rPr>
            </w:pPr>
          </w:p>
        </w:tc>
      </w:tr>
      <w:tr w:rsidR="00695EB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rsidR="00695EBA" w:rsidRDefault="00695EBA" w:rsidP="00A95965">
            <w:pPr>
              <w:pStyle w:val="TableText"/>
              <w:rPr>
                <w:szCs w:val="20"/>
              </w:rPr>
            </w:pPr>
          </w:p>
        </w:tc>
        <w:tc>
          <w:tcPr>
            <w:tcW w:w="2290" w:type="dxa"/>
          </w:tcPr>
          <w:p w:rsidR="00695EBA" w:rsidRDefault="00695EBA" w:rsidP="00A95965">
            <w:pPr>
              <w:pStyle w:val="TableText"/>
              <w:rPr>
                <w:szCs w:val="20"/>
              </w:rPr>
            </w:pPr>
          </w:p>
        </w:tc>
        <w:tc>
          <w:tcPr>
            <w:tcW w:w="897" w:type="dxa"/>
          </w:tcPr>
          <w:p w:rsidR="00695EBA" w:rsidRDefault="00695EBA" w:rsidP="00571D70">
            <w:pPr>
              <w:pStyle w:val="TableText"/>
              <w:rPr>
                <w:szCs w:val="20"/>
              </w:rPr>
            </w:pPr>
          </w:p>
        </w:tc>
        <w:tc>
          <w:tcPr>
            <w:tcW w:w="797" w:type="dxa"/>
          </w:tcPr>
          <w:p w:rsidR="00695EBA" w:rsidRDefault="00695EBA" w:rsidP="00A95965">
            <w:pPr>
              <w:pStyle w:val="TableText"/>
              <w:rPr>
                <w:szCs w:val="20"/>
              </w:rPr>
            </w:pPr>
          </w:p>
        </w:tc>
        <w:tc>
          <w:tcPr>
            <w:tcW w:w="835" w:type="dxa"/>
          </w:tcPr>
          <w:p w:rsidR="00695EBA" w:rsidRDefault="00695EBA" w:rsidP="00A95965">
            <w:pPr>
              <w:pStyle w:val="TableText"/>
              <w:rPr>
                <w:szCs w:val="20"/>
              </w:rPr>
            </w:pPr>
          </w:p>
        </w:tc>
        <w:tc>
          <w:tcPr>
            <w:tcW w:w="905" w:type="dxa"/>
          </w:tcPr>
          <w:p w:rsidR="00695EBA" w:rsidRDefault="00695EBA" w:rsidP="00A95965">
            <w:pPr>
              <w:pStyle w:val="TableText"/>
              <w:rPr>
                <w:szCs w:val="20"/>
              </w:rPr>
            </w:pPr>
          </w:p>
        </w:tc>
        <w:tc>
          <w:tcPr>
            <w:tcW w:w="1357" w:type="dxa"/>
          </w:tcPr>
          <w:p w:rsidR="00695EBA" w:rsidRDefault="00695EBA" w:rsidP="00A95965">
            <w:pPr>
              <w:pStyle w:val="TableText"/>
              <w:rPr>
                <w:szCs w:val="20"/>
              </w:rPr>
            </w:pPr>
          </w:p>
        </w:tc>
        <w:tc>
          <w:tcPr>
            <w:tcW w:w="747" w:type="dxa"/>
          </w:tcPr>
          <w:p w:rsidR="00695EBA" w:rsidRDefault="00695EBA" w:rsidP="00A95965">
            <w:pPr>
              <w:pStyle w:val="TableText"/>
              <w:rPr>
                <w:szCs w:val="20"/>
              </w:rPr>
            </w:pPr>
          </w:p>
        </w:tc>
        <w:tc>
          <w:tcPr>
            <w:tcW w:w="708" w:type="dxa"/>
          </w:tcPr>
          <w:p w:rsidR="00695EBA" w:rsidRDefault="00695EBA" w:rsidP="00A95965">
            <w:pPr>
              <w:pStyle w:val="TableText"/>
              <w:rPr>
                <w:szCs w:val="20"/>
              </w:rPr>
            </w:pPr>
          </w:p>
        </w:tc>
        <w:tc>
          <w:tcPr>
            <w:tcW w:w="1026" w:type="dxa"/>
          </w:tcPr>
          <w:p w:rsidR="00695EBA" w:rsidRDefault="00695EBA" w:rsidP="00A95965">
            <w:pPr>
              <w:pStyle w:val="TableText"/>
              <w:rPr>
                <w:szCs w:val="20"/>
              </w:rPr>
            </w:pPr>
          </w:p>
        </w:tc>
      </w:tr>
      <w:tr w:rsidR="00695EB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rsidR="00695EBA" w:rsidRDefault="00695EBA" w:rsidP="00A95965">
            <w:pPr>
              <w:pStyle w:val="TableText"/>
              <w:rPr>
                <w:szCs w:val="20"/>
              </w:rPr>
            </w:pPr>
          </w:p>
        </w:tc>
        <w:tc>
          <w:tcPr>
            <w:tcW w:w="2290" w:type="dxa"/>
          </w:tcPr>
          <w:p w:rsidR="00695EBA" w:rsidRDefault="00695EBA" w:rsidP="00A95965">
            <w:pPr>
              <w:pStyle w:val="TableText"/>
              <w:rPr>
                <w:szCs w:val="20"/>
              </w:rPr>
            </w:pPr>
          </w:p>
        </w:tc>
        <w:tc>
          <w:tcPr>
            <w:tcW w:w="897" w:type="dxa"/>
          </w:tcPr>
          <w:p w:rsidR="00695EBA" w:rsidRDefault="00695EBA" w:rsidP="00571D70">
            <w:pPr>
              <w:pStyle w:val="TableText"/>
              <w:rPr>
                <w:szCs w:val="20"/>
              </w:rPr>
            </w:pPr>
          </w:p>
        </w:tc>
        <w:tc>
          <w:tcPr>
            <w:tcW w:w="797" w:type="dxa"/>
          </w:tcPr>
          <w:p w:rsidR="00695EBA" w:rsidRDefault="00695EBA" w:rsidP="00A95965">
            <w:pPr>
              <w:pStyle w:val="TableText"/>
              <w:rPr>
                <w:szCs w:val="20"/>
              </w:rPr>
            </w:pPr>
          </w:p>
        </w:tc>
        <w:tc>
          <w:tcPr>
            <w:tcW w:w="835" w:type="dxa"/>
          </w:tcPr>
          <w:p w:rsidR="00695EBA" w:rsidRDefault="00695EBA" w:rsidP="00A95965">
            <w:pPr>
              <w:pStyle w:val="TableText"/>
              <w:rPr>
                <w:szCs w:val="20"/>
              </w:rPr>
            </w:pPr>
          </w:p>
        </w:tc>
        <w:tc>
          <w:tcPr>
            <w:tcW w:w="905" w:type="dxa"/>
          </w:tcPr>
          <w:p w:rsidR="00695EBA" w:rsidRDefault="00695EBA" w:rsidP="00A95965">
            <w:pPr>
              <w:pStyle w:val="TableText"/>
              <w:rPr>
                <w:szCs w:val="20"/>
              </w:rPr>
            </w:pPr>
          </w:p>
        </w:tc>
        <w:tc>
          <w:tcPr>
            <w:tcW w:w="1357" w:type="dxa"/>
          </w:tcPr>
          <w:p w:rsidR="00695EBA" w:rsidRDefault="00695EBA" w:rsidP="00A95965">
            <w:pPr>
              <w:pStyle w:val="TableText"/>
              <w:rPr>
                <w:szCs w:val="20"/>
              </w:rPr>
            </w:pPr>
          </w:p>
        </w:tc>
        <w:tc>
          <w:tcPr>
            <w:tcW w:w="747" w:type="dxa"/>
          </w:tcPr>
          <w:p w:rsidR="00695EBA" w:rsidRDefault="00695EBA" w:rsidP="00A95965">
            <w:pPr>
              <w:pStyle w:val="TableText"/>
              <w:rPr>
                <w:szCs w:val="20"/>
              </w:rPr>
            </w:pPr>
          </w:p>
        </w:tc>
        <w:tc>
          <w:tcPr>
            <w:tcW w:w="708" w:type="dxa"/>
          </w:tcPr>
          <w:p w:rsidR="00695EBA" w:rsidRDefault="00695EBA" w:rsidP="00A95965">
            <w:pPr>
              <w:pStyle w:val="TableText"/>
              <w:rPr>
                <w:szCs w:val="20"/>
              </w:rPr>
            </w:pPr>
          </w:p>
        </w:tc>
        <w:tc>
          <w:tcPr>
            <w:tcW w:w="1026" w:type="dxa"/>
          </w:tcPr>
          <w:p w:rsidR="00695EBA" w:rsidRDefault="00695EBA" w:rsidP="00A95965">
            <w:pPr>
              <w:pStyle w:val="TableText"/>
              <w:rPr>
                <w:szCs w:val="20"/>
              </w:rPr>
            </w:pPr>
          </w:p>
        </w:tc>
      </w:tr>
      <w:tr w:rsidR="00695EB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rsidR="00695EBA" w:rsidRDefault="00695EBA" w:rsidP="00A95965">
            <w:pPr>
              <w:pStyle w:val="TableText"/>
              <w:rPr>
                <w:szCs w:val="20"/>
              </w:rPr>
            </w:pPr>
          </w:p>
        </w:tc>
        <w:tc>
          <w:tcPr>
            <w:tcW w:w="2290" w:type="dxa"/>
          </w:tcPr>
          <w:p w:rsidR="00695EBA" w:rsidRDefault="00695EBA" w:rsidP="00A95965">
            <w:pPr>
              <w:pStyle w:val="TableText"/>
              <w:rPr>
                <w:szCs w:val="20"/>
              </w:rPr>
            </w:pPr>
          </w:p>
        </w:tc>
        <w:tc>
          <w:tcPr>
            <w:tcW w:w="897" w:type="dxa"/>
          </w:tcPr>
          <w:p w:rsidR="00695EBA" w:rsidRDefault="00695EBA" w:rsidP="00571D70">
            <w:pPr>
              <w:pStyle w:val="TableText"/>
              <w:rPr>
                <w:szCs w:val="20"/>
              </w:rPr>
            </w:pPr>
          </w:p>
        </w:tc>
        <w:tc>
          <w:tcPr>
            <w:tcW w:w="797" w:type="dxa"/>
          </w:tcPr>
          <w:p w:rsidR="00695EBA" w:rsidRDefault="00695EBA" w:rsidP="00A95965">
            <w:pPr>
              <w:pStyle w:val="TableText"/>
              <w:rPr>
                <w:szCs w:val="20"/>
              </w:rPr>
            </w:pPr>
          </w:p>
        </w:tc>
        <w:tc>
          <w:tcPr>
            <w:tcW w:w="835" w:type="dxa"/>
          </w:tcPr>
          <w:p w:rsidR="00695EBA" w:rsidRDefault="00695EBA" w:rsidP="00A95965">
            <w:pPr>
              <w:pStyle w:val="TableText"/>
              <w:rPr>
                <w:szCs w:val="20"/>
              </w:rPr>
            </w:pPr>
          </w:p>
        </w:tc>
        <w:tc>
          <w:tcPr>
            <w:tcW w:w="905" w:type="dxa"/>
          </w:tcPr>
          <w:p w:rsidR="00695EBA" w:rsidRDefault="00695EBA" w:rsidP="00A95965">
            <w:pPr>
              <w:pStyle w:val="TableText"/>
              <w:rPr>
                <w:szCs w:val="20"/>
              </w:rPr>
            </w:pPr>
          </w:p>
        </w:tc>
        <w:tc>
          <w:tcPr>
            <w:tcW w:w="1357" w:type="dxa"/>
          </w:tcPr>
          <w:p w:rsidR="00695EBA" w:rsidRDefault="00695EBA" w:rsidP="00A95965">
            <w:pPr>
              <w:pStyle w:val="TableText"/>
              <w:rPr>
                <w:szCs w:val="20"/>
              </w:rPr>
            </w:pPr>
          </w:p>
        </w:tc>
        <w:tc>
          <w:tcPr>
            <w:tcW w:w="747" w:type="dxa"/>
          </w:tcPr>
          <w:p w:rsidR="00695EBA" w:rsidRDefault="00695EBA" w:rsidP="00A95965">
            <w:pPr>
              <w:pStyle w:val="TableText"/>
              <w:rPr>
                <w:szCs w:val="20"/>
              </w:rPr>
            </w:pPr>
          </w:p>
        </w:tc>
        <w:tc>
          <w:tcPr>
            <w:tcW w:w="708" w:type="dxa"/>
          </w:tcPr>
          <w:p w:rsidR="00695EBA" w:rsidRDefault="00695EBA" w:rsidP="00A95965">
            <w:pPr>
              <w:pStyle w:val="TableText"/>
              <w:rPr>
                <w:szCs w:val="20"/>
              </w:rPr>
            </w:pPr>
          </w:p>
        </w:tc>
        <w:tc>
          <w:tcPr>
            <w:tcW w:w="1026" w:type="dxa"/>
          </w:tcPr>
          <w:p w:rsidR="00695EBA" w:rsidRDefault="00695EBA" w:rsidP="00A95965">
            <w:pPr>
              <w:pStyle w:val="TableText"/>
              <w:rPr>
                <w:szCs w:val="20"/>
              </w:rPr>
            </w:pPr>
          </w:p>
        </w:tc>
      </w:tr>
      <w:tr w:rsidR="00695EB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rsidR="00695EBA" w:rsidRDefault="00695EBA" w:rsidP="00A95965">
            <w:pPr>
              <w:pStyle w:val="TableText"/>
              <w:rPr>
                <w:szCs w:val="20"/>
              </w:rPr>
            </w:pPr>
          </w:p>
        </w:tc>
        <w:tc>
          <w:tcPr>
            <w:tcW w:w="2290" w:type="dxa"/>
          </w:tcPr>
          <w:p w:rsidR="00695EBA" w:rsidRDefault="00695EBA" w:rsidP="00A95965">
            <w:pPr>
              <w:pStyle w:val="TableText"/>
              <w:rPr>
                <w:szCs w:val="20"/>
              </w:rPr>
            </w:pPr>
          </w:p>
        </w:tc>
        <w:tc>
          <w:tcPr>
            <w:tcW w:w="897" w:type="dxa"/>
          </w:tcPr>
          <w:p w:rsidR="00695EBA" w:rsidRDefault="00695EBA" w:rsidP="00571D70">
            <w:pPr>
              <w:pStyle w:val="TableText"/>
              <w:rPr>
                <w:szCs w:val="20"/>
              </w:rPr>
            </w:pPr>
          </w:p>
        </w:tc>
        <w:tc>
          <w:tcPr>
            <w:tcW w:w="797" w:type="dxa"/>
          </w:tcPr>
          <w:p w:rsidR="00695EBA" w:rsidRDefault="00695EBA" w:rsidP="00A95965">
            <w:pPr>
              <w:pStyle w:val="TableText"/>
              <w:rPr>
                <w:szCs w:val="20"/>
              </w:rPr>
            </w:pPr>
          </w:p>
        </w:tc>
        <w:tc>
          <w:tcPr>
            <w:tcW w:w="835" w:type="dxa"/>
          </w:tcPr>
          <w:p w:rsidR="00695EBA" w:rsidRDefault="00695EBA" w:rsidP="00A95965">
            <w:pPr>
              <w:pStyle w:val="TableText"/>
              <w:rPr>
                <w:szCs w:val="20"/>
              </w:rPr>
            </w:pPr>
          </w:p>
        </w:tc>
        <w:tc>
          <w:tcPr>
            <w:tcW w:w="905" w:type="dxa"/>
          </w:tcPr>
          <w:p w:rsidR="00695EBA" w:rsidRDefault="00695EBA" w:rsidP="00A95965">
            <w:pPr>
              <w:pStyle w:val="TableText"/>
              <w:rPr>
                <w:szCs w:val="20"/>
              </w:rPr>
            </w:pPr>
          </w:p>
        </w:tc>
        <w:tc>
          <w:tcPr>
            <w:tcW w:w="1357" w:type="dxa"/>
          </w:tcPr>
          <w:p w:rsidR="00695EBA" w:rsidRDefault="00695EBA" w:rsidP="00A95965">
            <w:pPr>
              <w:pStyle w:val="TableText"/>
              <w:rPr>
                <w:szCs w:val="20"/>
              </w:rPr>
            </w:pPr>
          </w:p>
        </w:tc>
        <w:tc>
          <w:tcPr>
            <w:tcW w:w="747" w:type="dxa"/>
          </w:tcPr>
          <w:p w:rsidR="00695EBA" w:rsidRDefault="00695EBA" w:rsidP="00A95965">
            <w:pPr>
              <w:pStyle w:val="TableText"/>
              <w:rPr>
                <w:szCs w:val="20"/>
              </w:rPr>
            </w:pPr>
          </w:p>
        </w:tc>
        <w:tc>
          <w:tcPr>
            <w:tcW w:w="708" w:type="dxa"/>
          </w:tcPr>
          <w:p w:rsidR="00695EBA" w:rsidRDefault="00695EBA" w:rsidP="00A95965">
            <w:pPr>
              <w:pStyle w:val="TableText"/>
              <w:rPr>
                <w:szCs w:val="20"/>
              </w:rPr>
            </w:pPr>
          </w:p>
        </w:tc>
        <w:tc>
          <w:tcPr>
            <w:tcW w:w="1026" w:type="dxa"/>
          </w:tcPr>
          <w:p w:rsidR="00695EBA" w:rsidRDefault="00695EBA" w:rsidP="00A95965">
            <w:pPr>
              <w:pStyle w:val="TableText"/>
              <w:rPr>
                <w:szCs w:val="20"/>
              </w:rPr>
            </w:pPr>
          </w:p>
        </w:tc>
      </w:tr>
      <w:tr w:rsidR="00695EB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rsidR="00695EBA" w:rsidRDefault="00695EBA" w:rsidP="00A95965">
            <w:pPr>
              <w:pStyle w:val="TableText"/>
              <w:rPr>
                <w:szCs w:val="20"/>
              </w:rPr>
            </w:pPr>
          </w:p>
        </w:tc>
        <w:tc>
          <w:tcPr>
            <w:tcW w:w="2290" w:type="dxa"/>
          </w:tcPr>
          <w:p w:rsidR="00695EBA" w:rsidRDefault="00695EBA" w:rsidP="00A95965">
            <w:pPr>
              <w:pStyle w:val="TableText"/>
              <w:rPr>
                <w:szCs w:val="20"/>
              </w:rPr>
            </w:pPr>
          </w:p>
        </w:tc>
        <w:tc>
          <w:tcPr>
            <w:tcW w:w="897" w:type="dxa"/>
          </w:tcPr>
          <w:p w:rsidR="00695EBA" w:rsidRDefault="00695EBA" w:rsidP="00571D70">
            <w:pPr>
              <w:pStyle w:val="TableText"/>
              <w:rPr>
                <w:szCs w:val="20"/>
              </w:rPr>
            </w:pPr>
          </w:p>
        </w:tc>
        <w:tc>
          <w:tcPr>
            <w:tcW w:w="797" w:type="dxa"/>
          </w:tcPr>
          <w:p w:rsidR="00695EBA" w:rsidRDefault="00695EBA" w:rsidP="00A95965">
            <w:pPr>
              <w:pStyle w:val="TableText"/>
              <w:rPr>
                <w:szCs w:val="20"/>
              </w:rPr>
            </w:pPr>
          </w:p>
        </w:tc>
        <w:tc>
          <w:tcPr>
            <w:tcW w:w="835" w:type="dxa"/>
          </w:tcPr>
          <w:p w:rsidR="00695EBA" w:rsidRDefault="00695EBA" w:rsidP="00A95965">
            <w:pPr>
              <w:pStyle w:val="TableText"/>
              <w:rPr>
                <w:szCs w:val="20"/>
              </w:rPr>
            </w:pPr>
          </w:p>
        </w:tc>
        <w:tc>
          <w:tcPr>
            <w:tcW w:w="905" w:type="dxa"/>
          </w:tcPr>
          <w:p w:rsidR="00695EBA" w:rsidRDefault="00695EBA" w:rsidP="00A95965">
            <w:pPr>
              <w:pStyle w:val="TableText"/>
              <w:rPr>
                <w:szCs w:val="20"/>
              </w:rPr>
            </w:pPr>
          </w:p>
        </w:tc>
        <w:tc>
          <w:tcPr>
            <w:tcW w:w="1357" w:type="dxa"/>
          </w:tcPr>
          <w:p w:rsidR="00695EBA" w:rsidRDefault="00695EBA" w:rsidP="00A95965">
            <w:pPr>
              <w:pStyle w:val="TableText"/>
              <w:rPr>
                <w:szCs w:val="20"/>
              </w:rPr>
            </w:pPr>
          </w:p>
        </w:tc>
        <w:tc>
          <w:tcPr>
            <w:tcW w:w="747" w:type="dxa"/>
          </w:tcPr>
          <w:p w:rsidR="00695EBA" w:rsidRDefault="00695EBA" w:rsidP="00A95965">
            <w:pPr>
              <w:pStyle w:val="TableText"/>
              <w:rPr>
                <w:szCs w:val="20"/>
              </w:rPr>
            </w:pPr>
          </w:p>
        </w:tc>
        <w:tc>
          <w:tcPr>
            <w:tcW w:w="708" w:type="dxa"/>
          </w:tcPr>
          <w:p w:rsidR="00695EBA" w:rsidRDefault="00695EBA" w:rsidP="00A95965">
            <w:pPr>
              <w:pStyle w:val="TableText"/>
              <w:rPr>
                <w:szCs w:val="20"/>
              </w:rPr>
            </w:pPr>
          </w:p>
        </w:tc>
        <w:tc>
          <w:tcPr>
            <w:tcW w:w="1026" w:type="dxa"/>
          </w:tcPr>
          <w:p w:rsidR="00695EBA" w:rsidRDefault="00695EBA" w:rsidP="00A95965">
            <w:pPr>
              <w:pStyle w:val="TableText"/>
              <w:rPr>
                <w:szCs w:val="20"/>
              </w:rPr>
            </w:pPr>
          </w:p>
        </w:tc>
      </w:tr>
      <w:tr w:rsidR="00695EB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rsidR="00695EBA" w:rsidRDefault="00695EBA" w:rsidP="00A95965">
            <w:pPr>
              <w:pStyle w:val="TableText"/>
              <w:rPr>
                <w:szCs w:val="20"/>
              </w:rPr>
            </w:pPr>
          </w:p>
        </w:tc>
        <w:tc>
          <w:tcPr>
            <w:tcW w:w="2290" w:type="dxa"/>
          </w:tcPr>
          <w:p w:rsidR="00695EBA" w:rsidRDefault="00695EBA" w:rsidP="00A95965">
            <w:pPr>
              <w:pStyle w:val="TableText"/>
              <w:rPr>
                <w:szCs w:val="20"/>
              </w:rPr>
            </w:pPr>
          </w:p>
        </w:tc>
        <w:tc>
          <w:tcPr>
            <w:tcW w:w="897" w:type="dxa"/>
          </w:tcPr>
          <w:p w:rsidR="00695EBA" w:rsidRDefault="00695EBA" w:rsidP="00571D70">
            <w:pPr>
              <w:pStyle w:val="TableText"/>
              <w:rPr>
                <w:szCs w:val="20"/>
              </w:rPr>
            </w:pPr>
          </w:p>
        </w:tc>
        <w:tc>
          <w:tcPr>
            <w:tcW w:w="797" w:type="dxa"/>
          </w:tcPr>
          <w:p w:rsidR="00695EBA" w:rsidRDefault="00695EBA" w:rsidP="00A95965">
            <w:pPr>
              <w:pStyle w:val="TableText"/>
              <w:rPr>
                <w:szCs w:val="20"/>
              </w:rPr>
            </w:pPr>
          </w:p>
        </w:tc>
        <w:tc>
          <w:tcPr>
            <w:tcW w:w="835" w:type="dxa"/>
          </w:tcPr>
          <w:p w:rsidR="00695EBA" w:rsidRDefault="00695EBA" w:rsidP="00A95965">
            <w:pPr>
              <w:pStyle w:val="TableText"/>
              <w:rPr>
                <w:szCs w:val="20"/>
              </w:rPr>
            </w:pPr>
          </w:p>
        </w:tc>
        <w:tc>
          <w:tcPr>
            <w:tcW w:w="905" w:type="dxa"/>
          </w:tcPr>
          <w:p w:rsidR="00695EBA" w:rsidRDefault="00695EBA" w:rsidP="00A95965">
            <w:pPr>
              <w:pStyle w:val="TableText"/>
              <w:rPr>
                <w:szCs w:val="20"/>
              </w:rPr>
            </w:pPr>
          </w:p>
        </w:tc>
        <w:tc>
          <w:tcPr>
            <w:tcW w:w="1357" w:type="dxa"/>
          </w:tcPr>
          <w:p w:rsidR="00695EBA" w:rsidRDefault="00695EBA" w:rsidP="00A95965">
            <w:pPr>
              <w:pStyle w:val="TableText"/>
              <w:rPr>
                <w:szCs w:val="20"/>
              </w:rPr>
            </w:pPr>
          </w:p>
        </w:tc>
        <w:tc>
          <w:tcPr>
            <w:tcW w:w="747" w:type="dxa"/>
          </w:tcPr>
          <w:p w:rsidR="00695EBA" w:rsidRDefault="00695EBA" w:rsidP="00A95965">
            <w:pPr>
              <w:pStyle w:val="TableText"/>
              <w:rPr>
                <w:szCs w:val="20"/>
              </w:rPr>
            </w:pPr>
          </w:p>
        </w:tc>
        <w:tc>
          <w:tcPr>
            <w:tcW w:w="708" w:type="dxa"/>
          </w:tcPr>
          <w:p w:rsidR="00695EBA" w:rsidRDefault="00695EBA" w:rsidP="00A95965">
            <w:pPr>
              <w:pStyle w:val="TableText"/>
              <w:rPr>
                <w:szCs w:val="20"/>
              </w:rPr>
            </w:pPr>
          </w:p>
        </w:tc>
        <w:tc>
          <w:tcPr>
            <w:tcW w:w="1026" w:type="dxa"/>
          </w:tcPr>
          <w:p w:rsidR="00695EBA" w:rsidRDefault="00695EBA" w:rsidP="00A95965">
            <w:pPr>
              <w:pStyle w:val="TableText"/>
              <w:rPr>
                <w:szCs w:val="20"/>
              </w:rPr>
            </w:pPr>
          </w:p>
        </w:tc>
      </w:tr>
      <w:tr w:rsidR="00695EB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rsidR="00695EBA" w:rsidRDefault="00695EBA" w:rsidP="00A95965">
            <w:pPr>
              <w:pStyle w:val="TableText"/>
              <w:rPr>
                <w:szCs w:val="20"/>
              </w:rPr>
            </w:pPr>
          </w:p>
        </w:tc>
        <w:tc>
          <w:tcPr>
            <w:tcW w:w="2290" w:type="dxa"/>
          </w:tcPr>
          <w:p w:rsidR="00695EBA" w:rsidRDefault="00695EBA" w:rsidP="00A95965">
            <w:pPr>
              <w:pStyle w:val="TableText"/>
              <w:rPr>
                <w:szCs w:val="20"/>
              </w:rPr>
            </w:pPr>
          </w:p>
        </w:tc>
        <w:tc>
          <w:tcPr>
            <w:tcW w:w="897" w:type="dxa"/>
          </w:tcPr>
          <w:p w:rsidR="00695EBA" w:rsidRDefault="00695EBA" w:rsidP="00571D70">
            <w:pPr>
              <w:pStyle w:val="TableText"/>
              <w:rPr>
                <w:szCs w:val="20"/>
              </w:rPr>
            </w:pPr>
          </w:p>
        </w:tc>
        <w:tc>
          <w:tcPr>
            <w:tcW w:w="797" w:type="dxa"/>
          </w:tcPr>
          <w:p w:rsidR="00695EBA" w:rsidRDefault="00695EBA" w:rsidP="00A95965">
            <w:pPr>
              <w:pStyle w:val="TableText"/>
              <w:rPr>
                <w:szCs w:val="20"/>
              </w:rPr>
            </w:pPr>
          </w:p>
        </w:tc>
        <w:tc>
          <w:tcPr>
            <w:tcW w:w="835" w:type="dxa"/>
          </w:tcPr>
          <w:p w:rsidR="00695EBA" w:rsidRDefault="00695EBA" w:rsidP="00A95965">
            <w:pPr>
              <w:pStyle w:val="TableText"/>
              <w:rPr>
                <w:szCs w:val="20"/>
              </w:rPr>
            </w:pPr>
          </w:p>
        </w:tc>
        <w:tc>
          <w:tcPr>
            <w:tcW w:w="905" w:type="dxa"/>
          </w:tcPr>
          <w:p w:rsidR="00695EBA" w:rsidRDefault="00695EBA" w:rsidP="00A95965">
            <w:pPr>
              <w:pStyle w:val="TableText"/>
              <w:rPr>
                <w:szCs w:val="20"/>
              </w:rPr>
            </w:pPr>
          </w:p>
        </w:tc>
        <w:tc>
          <w:tcPr>
            <w:tcW w:w="1357" w:type="dxa"/>
          </w:tcPr>
          <w:p w:rsidR="00695EBA" w:rsidRDefault="00695EBA" w:rsidP="00A95965">
            <w:pPr>
              <w:pStyle w:val="TableText"/>
              <w:rPr>
                <w:szCs w:val="20"/>
              </w:rPr>
            </w:pPr>
          </w:p>
        </w:tc>
        <w:tc>
          <w:tcPr>
            <w:tcW w:w="747" w:type="dxa"/>
          </w:tcPr>
          <w:p w:rsidR="00695EBA" w:rsidRDefault="00695EBA" w:rsidP="00A95965">
            <w:pPr>
              <w:pStyle w:val="TableText"/>
              <w:rPr>
                <w:szCs w:val="20"/>
              </w:rPr>
            </w:pPr>
          </w:p>
        </w:tc>
        <w:tc>
          <w:tcPr>
            <w:tcW w:w="708" w:type="dxa"/>
          </w:tcPr>
          <w:p w:rsidR="00695EBA" w:rsidRDefault="00695EBA" w:rsidP="00A95965">
            <w:pPr>
              <w:pStyle w:val="TableText"/>
              <w:rPr>
                <w:szCs w:val="20"/>
              </w:rPr>
            </w:pPr>
          </w:p>
        </w:tc>
        <w:tc>
          <w:tcPr>
            <w:tcW w:w="1026" w:type="dxa"/>
          </w:tcPr>
          <w:p w:rsidR="00695EBA" w:rsidRDefault="00695EBA" w:rsidP="00A95965">
            <w:pPr>
              <w:pStyle w:val="TableText"/>
              <w:rPr>
                <w:szCs w:val="20"/>
              </w:rPr>
            </w:pPr>
          </w:p>
        </w:tc>
      </w:tr>
      <w:tr w:rsidR="00695EB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rsidR="00695EBA" w:rsidRDefault="00695EBA" w:rsidP="00A95965">
            <w:pPr>
              <w:pStyle w:val="TableText"/>
              <w:rPr>
                <w:szCs w:val="20"/>
              </w:rPr>
            </w:pPr>
          </w:p>
        </w:tc>
        <w:tc>
          <w:tcPr>
            <w:tcW w:w="2290" w:type="dxa"/>
          </w:tcPr>
          <w:p w:rsidR="00695EBA" w:rsidRDefault="00695EBA" w:rsidP="00A95965">
            <w:pPr>
              <w:pStyle w:val="TableText"/>
              <w:rPr>
                <w:szCs w:val="20"/>
              </w:rPr>
            </w:pPr>
          </w:p>
        </w:tc>
        <w:tc>
          <w:tcPr>
            <w:tcW w:w="897" w:type="dxa"/>
          </w:tcPr>
          <w:p w:rsidR="00695EBA" w:rsidRDefault="00695EBA" w:rsidP="00571D70">
            <w:pPr>
              <w:pStyle w:val="TableText"/>
              <w:rPr>
                <w:szCs w:val="20"/>
              </w:rPr>
            </w:pPr>
          </w:p>
        </w:tc>
        <w:tc>
          <w:tcPr>
            <w:tcW w:w="797" w:type="dxa"/>
          </w:tcPr>
          <w:p w:rsidR="00695EBA" w:rsidRDefault="00695EBA" w:rsidP="00A95965">
            <w:pPr>
              <w:pStyle w:val="TableText"/>
              <w:rPr>
                <w:szCs w:val="20"/>
              </w:rPr>
            </w:pPr>
          </w:p>
        </w:tc>
        <w:tc>
          <w:tcPr>
            <w:tcW w:w="835" w:type="dxa"/>
          </w:tcPr>
          <w:p w:rsidR="00695EBA" w:rsidRDefault="00695EBA" w:rsidP="00A95965">
            <w:pPr>
              <w:pStyle w:val="TableText"/>
              <w:rPr>
                <w:szCs w:val="20"/>
              </w:rPr>
            </w:pPr>
          </w:p>
        </w:tc>
        <w:tc>
          <w:tcPr>
            <w:tcW w:w="905" w:type="dxa"/>
          </w:tcPr>
          <w:p w:rsidR="00695EBA" w:rsidRDefault="00695EBA" w:rsidP="00A95965">
            <w:pPr>
              <w:pStyle w:val="TableText"/>
              <w:rPr>
                <w:szCs w:val="20"/>
              </w:rPr>
            </w:pPr>
          </w:p>
        </w:tc>
        <w:tc>
          <w:tcPr>
            <w:tcW w:w="1357" w:type="dxa"/>
          </w:tcPr>
          <w:p w:rsidR="00695EBA" w:rsidRDefault="00695EBA" w:rsidP="00A95965">
            <w:pPr>
              <w:pStyle w:val="TableText"/>
              <w:rPr>
                <w:szCs w:val="20"/>
              </w:rPr>
            </w:pPr>
          </w:p>
        </w:tc>
        <w:tc>
          <w:tcPr>
            <w:tcW w:w="747" w:type="dxa"/>
          </w:tcPr>
          <w:p w:rsidR="00695EBA" w:rsidRDefault="00695EBA" w:rsidP="00A95965">
            <w:pPr>
              <w:pStyle w:val="TableText"/>
              <w:rPr>
                <w:szCs w:val="20"/>
              </w:rPr>
            </w:pPr>
          </w:p>
        </w:tc>
        <w:tc>
          <w:tcPr>
            <w:tcW w:w="708" w:type="dxa"/>
          </w:tcPr>
          <w:p w:rsidR="00695EBA" w:rsidRDefault="00695EBA" w:rsidP="00A95965">
            <w:pPr>
              <w:pStyle w:val="TableText"/>
              <w:rPr>
                <w:szCs w:val="20"/>
              </w:rPr>
            </w:pPr>
          </w:p>
        </w:tc>
        <w:tc>
          <w:tcPr>
            <w:tcW w:w="1026" w:type="dxa"/>
          </w:tcPr>
          <w:p w:rsidR="00695EBA" w:rsidRDefault="00695EBA" w:rsidP="00A95965">
            <w:pPr>
              <w:pStyle w:val="TableText"/>
              <w:rPr>
                <w:szCs w:val="20"/>
              </w:rPr>
            </w:pPr>
          </w:p>
        </w:tc>
      </w:tr>
      <w:tr w:rsidR="00695EB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rsidR="00695EBA" w:rsidRDefault="00695EBA" w:rsidP="00A95965">
            <w:pPr>
              <w:pStyle w:val="TableText"/>
              <w:rPr>
                <w:szCs w:val="20"/>
              </w:rPr>
            </w:pPr>
          </w:p>
        </w:tc>
        <w:tc>
          <w:tcPr>
            <w:tcW w:w="2290" w:type="dxa"/>
          </w:tcPr>
          <w:p w:rsidR="00695EBA" w:rsidRDefault="00695EBA" w:rsidP="00A95965">
            <w:pPr>
              <w:pStyle w:val="TableText"/>
              <w:rPr>
                <w:szCs w:val="20"/>
              </w:rPr>
            </w:pPr>
          </w:p>
        </w:tc>
        <w:tc>
          <w:tcPr>
            <w:tcW w:w="897" w:type="dxa"/>
          </w:tcPr>
          <w:p w:rsidR="00695EBA" w:rsidRDefault="00695EBA" w:rsidP="00571D70">
            <w:pPr>
              <w:pStyle w:val="TableText"/>
              <w:rPr>
                <w:szCs w:val="20"/>
              </w:rPr>
            </w:pPr>
          </w:p>
        </w:tc>
        <w:tc>
          <w:tcPr>
            <w:tcW w:w="797" w:type="dxa"/>
          </w:tcPr>
          <w:p w:rsidR="00695EBA" w:rsidRDefault="00695EBA" w:rsidP="00A95965">
            <w:pPr>
              <w:pStyle w:val="TableText"/>
              <w:rPr>
                <w:szCs w:val="20"/>
              </w:rPr>
            </w:pPr>
          </w:p>
        </w:tc>
        <w:tc>
          <w:tcPr>
            <w:tcW w:w="835" w:type="dxa"/>
          </w:tcPr>
          <w:p w:rsidR="00695EBA" w:rsidRDefault="00695EBA" w:rsidP="00A95965">
            <w:pPr>
              <w:pStyle w:val="TableText"/>
              <w:rPr>
                <w:szCs w:val="20"/>
              </w:rPr>
            </w:pPr>
          </w:p>
        </w:tc>
        <w:tc>
          <w:tcPr>
            <w:tcW w:w="905" w:type="dxa"/>
          </w:tcPr>
          <w:p w:rsidR="00695EBA" w:rsidRDefault="00695EBA" w:rsidP="00A95965">
            <w:pPr>
              <w:pStyle w:val="TableText"/>
              <w:rPr>
                <w:szCs w:val="20"/>
              </w:rPr>
            </w:pPr>
          </w:p>
        </w:tc>
        <w:tc>
          <w:tcPr>
            <w:tcW w:w="1357" w:type="dxa"/>
          </w:tcPr>
          <w:p w:rsidR="00695EBA" w:rsidRDefault="00695EBA" w:rsidP="00A95965">
            <w:pPr>
              <w:pStyle w:val="TableText"/>
              <w:rPr>
                <w:szCs w:val="20"/>
              </w:rPr>
            </w:pPr>
          </w:p>
        </w:tc>
        <w:tc>
          <w:tcPr>
            <w:tcW w:w="747" w:type="dxa"/>
          </w:tcPr>
          <w:p w:rsidR="00695EBA" w:rsidRDefault="00695EBA" w:rsidP="00A95965">
            <w:pPr>
              <w:pStyle w:val="TableText"/>
              <w:rPr>
                <w:szCs w:val="20"/>
              </w:rPr>
            </w:pPr>
          </w:p>
        </w:tc>
        <w:tc>
          <w:tcPr>
            <w:tcW w:w="708" w:type="dxa"/>
          </w:tcPr>
          <w:p w:rsidR="00695EBA" w:rsidRDefault="00695EBA" w:rsidP="00A95965">
            <w:pPr>
              <w:pStyle w:val="TableText"/>
              <w:rPr>
                <w:szCs w:val="20"/>
              </w:rPr>
            </w:pPr>
          </w:p>
        </w:tc>
        <w:tc>
          <w:tcPr>
            <w:tcW w:w="1026" w:type="dxa"/>
          </w:tcPr>
          <w:p w:rsidR="00695EBA" w:rsidRDefault="00695EBA" w:rsidP="00A95965">
            <w:pPr>
              <w:pStyle w:val="TableText"/>
              <w:rPr>
                <w:szCs w:val="20"/>
              </w:rPr>
            </w:pPr>
          </w:p>
        </w:tc>
      </w:tr>
      <w:tr w:rsidR="00695EB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rsidR="00695EBA" w:rsidRDefault="00695EBA" w:rsidP="00A95965">
            <w:pPr>
              <w:pStyle w:val="TableText"/>
              <w:rPr>
                <w:szCs w:val="20"/>
              </w:rPr>
            </w:pPr>
          </w:p>
        </w:tc>
        <w:tc>
          <w:tcPr>
            <w:tcW w:w="2290" w:type="dxa"/>
          </w:tcPr>
          <w:p w:rsidR="00695EBA" w:rsidRDefault="00695EBA" w:rsidP="00A95965">
            <w:pPr>
              <w:pStyle w:val="TableText"/>
              <w:rPr>
                <w:szCs w:val="20"/>
              </w:rPr>
            </w:pPr>
          </w:p>
        </w:tc>
        <w:tc>
          <w:tcPr>
            <w:tcW w:w="897" w:type="dxa"/>
          </w:tcPr>
          <w:p w:rsidR="00695EBA" w:rsidRDefault="00695EBA" w:rsidP="00571D70">
            <w:pPr>
              <w:pStyle w:val="TableText"/>
              <w:rPr>
                <w:szCs w:val="20"/>
              </w:rPr>
            </w:pPr>
          </w:p>
        </w:tc>
        <w:tc>
          <w:tcPr>
            <w:tcW w:w="797" w:type="dxa"/>
          </w:tcPr>
          <w:p w:rsidR="00695EBA" w:rsidRDefault="00695EBA" w:rsidP="00A95965">
            <w:pPr>
              <w:pStyle w:val="TableText"/>
              <w:rPr>
                <w:szCs w:val="20"/>
              </w:rPr>
            </w:pPr>
          </w:p>
        </w:tc>
        <w:tc>
          <w:tcPr>
            <w:tcW w:w="835" w:type="dxa"/>
          </w:tcPr>
          <w:p w:rsidR="00695EBA" w:rsidRDefault="00695EBA" w:rsidP="00A95965">
            <w:pPr>
              <w:pStyle w:val="TableText"/>
              <w:rPr>
                <w:szCs w:val="20"/>
              </w:rPr>
            </w:pPr>
          </w:p>
        </w:tc>
        <w:tc>
          <w:tcPr>
            <w:tcW w:w="905" w:type="dxa"/>
          </w:tcPr>
          <w:p w:rsidR="00695EBA" w:rsidRDefault="00695EBA" w:rsidP="00A95965">
            <w:pPr>
              <w:pStyle w:val="TableText"/>
              <w:rPr>
                <w:szCs w:val="20"/>
              </w:rPr>
            </w:pPr>
          </w:p>
        </w:tc>
        <w:tc>
          <w:tcPr>
            <w:tcW w:w="1357" w:type="dxa"/>
          </w:tcPr>
          <w:p w:rsidR="00695EBA" w:rsidRDefault="00695EBA" w:rsidP="00A95965">
            <w:pPr>
              <w:pStyle w:val="TableText"/>
              <w:rPr>
                <w:szCs w:val="20"/>
              </w:rPr>
            </w:pPr>
          </w:p>
        </w:tc>
        <w:tc>
          <w:tcPr>
            <w:tcW w:w="747" w:type="dxa"/>
          </w:tcPr>
          <w:p w:rsidR="00695EBA" w:rsidRDefault="00695EBA" w:rsidP="00A95965">
            <w:pPr>
              <w:pStyle w:val="TableText"/>
              <w:rPr>
                <w:szCs w:val="20"/>
              </w:rPr>
            </w:pPr>
          </w:p>
        </w:tc>
        <w:tc>
          <w:tcPr>
            <w:tcW w:w="708" w:type="dxa"/>
          </w:tcPr>
          <w:p w:rsidR="00695EBA" w:rsidRDefault="00695EBA" w:rsidP="00A95965">
            <w:pPr>
              <w:pStyle w:val="TableText"/>
              <w:rPr>
                <w:szCs w:val="20"/>
              </w:rPr>
            </w:pPr>
          </w:p>
        </w:tc>
        <w:tc>
          <w:tcPr>
            <w:tcW w:w="1026" w:type="dxa"/>
          </w:tcPr>
          <w:p w:rsidR="00695EBA" w:rsidRDefault="00695EBA" w:rsidP="00A95965">
            <w:pPr>
              <w:pStyle w:val="TableText"/>
              <w:rPr>
                <w:szCs w:val="20"/>
              </w:rPr>
            </w:pPr>
          </w:p>
        </w:tc>
      </w:tr>
    </w:tbl>
    <w:p w:rsidR="00E7240A" w:rsidRDefault="00E7240A" w:rsidP="00DD75E5">
      <w:pPr>
        <w:pStyle w:val="BodyText"/>
      </w:pPr>
    </w:p>
    <w:p w:rsidR="00E7240A" w:rsidRDefault="00E7240A" w:rsidP="00E7240A">
      <w:pPr>
        <w:pStyle w:val="Heading3"/>
      </w:pPr>
      <w:r>
        <w:br w:type="page"/>
      </w:r>
      <w:bookmarkStart w:id="589" w:name="_Toc459900192"/>
      <w:r>
        <w:lastRenderedPageBreak/>
        <w:t>Unit Modification Form</w:t>
      </w:r>
      <w:bookmarkEnd w:id="589"/>
      <w:r w:rsidR="00246F04">
        <w:fldChar w:fldCharType="begin"/>
      </w:r>
      <w:r w:rsidR="00246F04">
        <w:instrText xml:space="preserve"> XE "</w:instrText>
      </w:r>
      <w:r w:rsidR="00246F04" w:rsidRPr="00775C8B">
        <w:instrText>Unit Modification Form</w:instrText>
      </w:r>
      <w:r w:rsidR="00246F04">
        <w:instrText xml:space="preserve">" </w:instrText>
      </w:r>
      <w:r w:rsidR="00246F04">
        <w:fldChar w:fldCharType="end"/>
      </w:r>
      <w:r w:rsidR="00A95965">
        <w:fldChar w:fldCharType="begin"/>
      </w:r>
      <w:r w:rsidR="00A95965">
        <w:instrText xml:space="preserve"> XE “Forms:Unit Modification Form” </w:instrText>
      </w:r>
      <w:r w:rsidR="00A95965">
        <w:fldChar w:fldCharType="end"/>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2"/>
        <w:gridCol w:w="1609"/>
        <w:gridCol w:w="2039"/>
        <w:gridCol w:w="1201"/>
        <w:gridCol w:w="2639"/>
        <w:gridCol w:w="600"/>
        <w:gridCol w:w="3240"/>
      </w:tblGrid>
      <w:tr w:rsidR="003F4F8B">
        <w:tc>
          <w:tcPr>
            <w:tcW w:w="12960" w:type="dxa"/>
            <w:gridSpan w:val="7"/>
          </w:tcPr>
          <w:p w:rsidR="003F4F8B" w:rsidRPr="003F4F8B" w:rsidRDefault="003F4F8B" w:rsidP="003F4F8B">
            <w:pPr>
              <w:pStyle w:val="TableText"/>
            </w:pPr>
            <w:r w:rsidRPr="00887834">
              <w:rPr>
                <w:b/>
              </w:rPr>
              <w:t xml:space="preserve">Facility Name: </w:t>
            </w:r>
          </w:p>
        </w:tc>
      </w:tr>
      <w:tr w:rsidR="003F4F8B">
        <w:tc>
          <w:tcPr>
            <w:tcW w:w="12960" w:type="dxa"/>
            <w:gridSpan w:val="7"/>
          </w:tcPr>
          <w:p w:rsidR="003F4F8B" w:rsidRPr="003F4F8B" w:rsidRDefault="003F4F8B" w:rsidP="003F4F8B">
            <w:pPr>
              <w:pStyle w:val="TableText"/>
            </w:pPr>
            <w:r w:rsidRPr="00887834">
              <w:rPr>
                <w:b/>
              </w:rPr>
              <w:t xml:space="preserve">Address: </w:t>
            </w:r>
          </w:p>
        </w:tc>
      </w:tr>
      <w:tr w:rsidR="003F4F8B">
        <w:tc>
          <w:tcPr>
            <w:tcW w:w="12960" w:type="dxa"/>
            <w:gridSpan w:val="7"/>
          </w:tcPr>
          <w:p w:rsidR="003F4F8B" w:rsidRPr="003F4F8B" w:rsidRDefault="003F4F8B" w:rsidP="003F4F8B">
            <w:pPr>
              <w:pStyle w:val="TableText"/>
            </w:pPr>
            <w:r w:rsidRPr="00887834">
              <w:rPr>
                <w:b/>
              </w:rPr>
              <w:t>City, State, Zip Code:</w:t>
            </w:r>
            <w:r>
              <w:t xml:space="preserve"> </w:t>
            </w:r>
          </w:p>
        </w:tc>
      </w:tr>
      <w:tr w:rsidR="00E724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230"/>
        </w:trPr>
        <w:tc>
          <w:tcPr>
            <w:tcW w:w="3241" w:type="dxa"/>
            <w:gridSpan w:val="2"/>
            <w:shd w:val="clear" w:color="auto" w:fill="B3B3B3"/>
            <w:noWrap/>
          </w:tcPr>
          <w:p w:rsidR="00E7240A" w:rsidRPr="005F4649" w:rsidRDefault="00E7240A" w:rsidP="00A95965">
            <w:pPr>
              <w:pStyle w:val="TableText"/>
              <w:rPr>
                <w:b/>
                <w:szCs w:val="20"/>
              </w:rPr>
            </w:pPr>
            <w:r>
              <w:rPr>
                <w:b/>
                <w:szCs w:val="20"/>
              </w:rPr>
              <w:t>Modification Date and Time</w:t>
            </w:r>
          </w:p>
        </w:tc>
        <w:tc>
          <w:tcPr>
            <w:tcW w:w="3240" w:type="dxa"/>
            <w:gridSpan w:val="2"/>
            <w:shd w:val="clear" w:color="auto" w:fill="B3B3B3"/>
          </w:tcPr>
          <w:p w:rsidR="00E7240A" w:rsidRPr="005F4649" w:rsidRDefault="00E7240A" w:rsidP="00A95965">
            <w:pPr>
              <w:pStyle w:val="TableText"/>
              <w:rPr>
                <w:b/>
                <w:szCs w:val="20"/>
              </w:rPr>
            </w:pPr>
            <w:r>
              <w:rPr>
                <w:b/>
                <w:szCs w:val="20"/>
              </w:rPr>
              <w:t>Modification Type</w:t>
            </w:r>
          </w:p>
        </w:tc>
        <w:tc>
          <w:tcPr>
            <w:tcW w:w="3239" w:type="dxa"/>
            <w:gridSpan w:val="2"/>
            <w:shd w:val="clear" w:color="auto" w:fill="B3B3B3"/>
          </w:tcPr>
          <w:p w:rsidR="00E7240A" w:rsidRDefault="00E7240A" w:rsidP="00A95965">
            <w:pPr>
              <w:pStyle w:val="TableText"/>
              <w:rPr>
                <w:b/>
                <w:szCs w:val="20"/>
              </w:rPr>
            </w:pPr>
            <w:r>
              <w:rPr>
                <w:b/>
                <w:szCs w:val="20"/>
              </w:rPr>
              <w:t>Method (Open, Closed, SCD)</w:t>
            </w:r>
          </w:p>
        </w:tc>
        <w:tc>
          <w:tcPr>
            <w:tcW w:w="3240" w:type="dxa"/>
            <w:shd w:val="clear" w:color="auto" w:fill="B3B3B3"/>
          </w:tcPr>
          <w:p w:rsidR="00E7240A" w:rsidRPr="005F4649" w:rsidRDefault="00E7240A" w:rsidP="00A95965">
            <w:pPr>
              <w:pStyle w:val="TableText"/>
              <w:rPr>
                <w:b/>
                <w:szCs w:val="20"/>
              </w:rPr>
            </w:pPr>
            <w:r>
              <w:rPr>
                <w:b/>
                <w:szCs w:val="20"/>
              </w:rPr>
              <w:t>Modified By:</w:t>
            </w:r>
          </w:p>
        </w:tc>
      </w:tr>
      <w:tr w:rsidR="00E724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432"/>
        </w:trPr>
        <w:tc>
          <w:tcPr>
            <w:tcW w:w="3241" w:type="dxa"/>
            <w:gridSpan w:val="2"/>
            <w:noWrap/>
          </w:tcPr>
          <w:p w:rsidR="00E7240A" w:rsidRDefault="00E7240A" w:rsidP="00A95965">
            <w:pPr>
              <w:pStyle w:val="TableText"/>
              <w:rPr>
                <w:b/>
                <w:szCs w:val="20"/>
              </w:rPr>
            </w:pPr>
          </w:p>
        </w:tc>
        <w:tc>
          <w:tcPr>
            <w:tcW w:w="3240" w:type="dxa"/>
            <w:gridSpan w:val="2"/>
          </w:tcPr>
          <w:p w:rsidR="00E7240A" w:rsidRDefault="00E7240A" w:rsidP="00A95965">
            <w:pPr>
              <w:pStyle w:val="TableText"/>
              <w:rPr>
                <w:b/>
                <w:szCs w:val="20"/>
              </w:rPr>
            </w:pPr>
          </w:p>
        </w:tc>
        <w:tc>
          <w:tcPr>
            <w:tcW w:w="3239" w:type="dxa"/>
            <w:gridSpan w:val="2"/>
          </w:tcPr>
          <w:p w:rsidR="00E7240A" w:rsidRDefault="00E7240A" w:rsidP="00A95965">
            <w:pPr>
              <w:pStyle w:val="TableText"/>
              <w:rPr>
                <w:b/>
                <w:szCs w:val="20"/>
              </w:rPr>
            </w:pPr>
          </w:p>
        </w:tc>
        <w:tc>
          <w:tcPr>
            <w:tcW w:w="3240" w:type="dxa"/>
          </w:tcPr>
          <w:p w:rsidR="00E7240A" w:rsidRDefault="00E7240A" w:rsidP="00A95965">
            <w:pPr>
              <w:pStyle w:val="TableText"/>
              <w:rPr>
                <w:b/>
                <w:szCs w:val="20"/>
              </w:rPr>
            </w:pPr>
          </w:p>
        </w:tc>
      </w:tr>
      <w:tr w:rsidR="00E724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Ex>
        <w:trPr>
          <w:cantSplit/>
          <w:trHeight w:val="230"/>
        </w:trPr>
        <w:tc>
          <w:tcPr>
            <w:tcW w:w="1632" w:type="dxa"/>
            <w:tcBorders>
              <w:bottom w:val="single" w:sz="2" w:space="0" w:color="auto"/>
            </w:tcBorders>
            <w:shd w:val="clear" w:color="auto" w:fill="B3B3B3"/>
            <w:noWrap/>
          </w:tcPr>
          <w:p w:rsidR="00E7240A" w:rsidRDefault="00E7240A" w:rsidP="00A95965">
            <w:pPr>
              <w:pStyle w:val="TableText"/>
              <w:rPr>
                <w:b/>
                <w:szCs w:val="20"/>
              </w:rPr>
            </w:pPr>
            <w:r>
              <w:rPr>
                <w:b/>
                <w:szCs w:val="20"/>
              </w:rPr>
              <w:t>Unit Assigned? (Yes, No)</w:t>
            </w:r>
          </w:p>
        </w:tc>
        <w:tc>
          <w:tcPr>
            <w:tcW w:w="3648" w:type="dxa"/>
            <w:gridSpan w:val="2"/>
            <w:tcBorders>
              <w:bottom w:val="single" w:sz="2" w:space="0" w:color="auto"/>
            </w:tcBorders>
            <w:shd w:val="clear" w:color="auto" w:fill="B3B3B3"/>
          </w:tcPr>
          <w:p w:rsidR="00E7240A" w:rsidRDefault="00E7240A" w:rsidP="00A95965">
            <w:pPr>
              <w:pStyle w:val="TableText"/>
              <w:rPr>
                <w:b/>
                <w:szCs w:val="20"/>
              </w:rPr>
            </w:pPr>
            <w:r>
              <w:rPr>
                <w:b/>
                <w:szCs w:val="20"/>
              </w:rPr>
              <w:t>Patient Name</w:t>
            </w:r>
          </w:p>
        </w:tc>
        <w:tc>
          <w:tcPr>
            <w:tcW w:w="3840" w:type="dxa"/>
            <w:gridSpan w:val="2"/>
            <w:tcBorders>
              <w:bottom w:val="single" w:sz="2" w:space="0" w:color="auto"/>
            </w:tcBorders>
            <w:shd w:val="clear" w:color="auto" w:fill="B3B3B3"/>
          </w:tcPr>
          <w:p w:rsidR="00E7240A" w:rsidRDefault="00E7240A" w:rsidP="00A95965">
            <w:pPr>
              <w:pStyle w:val="TableText"/>
              <w:rPr>
                <w:b/>
                <w:szCs w:val="20"/>
              </w:rPr>
            </w:pPr>
            <w:r>
              <w:rPr>
                <w:b/>
                <w:szCs w:val="20"/>
              </w:rPr>
              <w:t>Patient Identification Number</w:t>
            </w:r>
          </w:p>
        </w:tc>
        <w:tc>
          <w:tcPr>
            <w:tcW w:w="3840" w:type="dxa"/>
            <w:gridSpan w:val="2"/>
            <w:tcBorders>
              <w:bottom w:val="single" w:sz="2" w:space="0" w:color="auto"/>
            </w:tcBorders>
            <w:shd w:val="clear" w:color="auto" w:fill="B3B3B3"/>
          </w:tcPr>
          <w:p w:rsidR="00E7240A" w:rsidRDefault="00E7240A" w:rsidP="00A95965">
            <w:pPr>
              <w:pStyle w:val="TableText"/>
              <w:rPr>
                <w:b/>
                <w:szCs w:val="20"/>
              </w:rPr>
            </w:pPr>
            <w:r>
              <w:rPr>
                <w:b/>
                <w:szCs w:val="20"/>
              </w:rPr>
              <w:t>Specimen UID</w:t>
            </w:r>
          </w:p>
        </w:tc>
      </w:tr>
      <w:tr w:rsidR="00E724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Ex>
        <w:trPr>
          <w:cantSplit/>
          <w:trHeight w:val="432"/>
        </w:trPr>
        <w:tc>
          <w:tcPr>
            <w:tcW w:w="1632" w:type="dxa"/>
            <w:shd w:val="clear" w:color="auto" w:fill="auto"/>
            <w:noWrap/>
          </w:tcPr>
          <w:p w:rsidR="00E7240A" w:rsidRDefault="00E7240A" w:rsidP="00A95965">
            <w:pPr>
              <w:pStyle w:val="TableText"/>
              <w:rPr>
                <w:b/>
                <w:szCs w:val="20"/>
              </w:rPr>
            </w:pPr>
          </w:p>
        </w:tc>
        <w:tc>
          <w:tcPr>
            <w:tcW w:w="3648" w:type="dxa"/>
            <w:gridSpan w:val="2"/>
            <w:shd w:val="clear" w:color="auto" w:fill="auto"/>
          </w:tcPr>
          <w:p w:rsidR="00E7240A" w:rsidRDefault="00E7240A" w:rsidP="00A95965">
            <w:pPr>
              <w:pStyle w:val="TableText"/>
              <w:rPr>
                <w:b/>
                <w:szCs w:val="20"/>
              </w:rPr>
            </w:pPr>
          </w:p>
        </w:tc>
        <w:tc>
          <w:tcPr>
            <w:tcW w:w="3840" w:type="dxa"/>
            <w:gridSpan w:val="2"/>
            <w:shd w:val="clear" w:color="auto" w:fill="auto"/>
          </w:tcPr>
          <w:p w:rsidR="00E7240A" w:rsidRDefault="00E7240A" w:rsidP="00A95965">
            <w:pPr>
              <w:pStyle w:val="TableText"/>
              <w:rPr>
                <w:b/>
                <w:szCs w:val="20"/>
              </w:rPr>
            </w:pPr>
          </w:p>
        </w:tc>
        <w:tc>
          <w:tcPr>
            <w:tcW w:w="3840" w:type="dxa"/>
            <w:gridSpan w:val="2"/>
            <w:shd w:val="clear" w:color="auto" w:fill="auto"/>
          </w:tcPr>
          <w:p w:rsidR="00E7240A" w:rsidRDefault="00E7240A" w:rsidP="00A95965">
            <w:pPr>
              <w:pStyle w:val="TableText"/>
              <w:rPr>
                <w:b/>
                <w:szCs w:val="20"/>
              </w:rPr>
            </w:pPr>
          </w:p>
        </w:tc>
      </w:tr>
    </w:tbl>
    <w:p w:rsidR="00E7240A" w:rsidRDefault="00E7240A" w:rsidP="00DD75E5">
      <w:pPr>
        <w:pStyle w:val="BodyText"/>
      </w:pPr>
    </w:p>
    <w:tbl>
      <w:tblPr>
        <w:tblW w:w="12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
      <w:tblGrid>
        <w:gridCol w:w="3793"/>
        <w:gridCol w:w="2330"/>
        <w:gridCol w:w="2111"/>
        <w:gridCol w:w="2330"/>
        <w:gridCol w:w="2396"/>
      </w:tblGrid>
      <w:tr w:rsidR="00E7240A">
        <w:trPr>
          <w:cantSplit/>
          <w:trHeight w:val="235"/>
          <w:tblHeader/>
        </w:trPr>
        <w:tc>
          <w:tcPr>
            <w:tcW w:w="12960" w:type="dxa"/>
            <w:gridSpan w:val="5"/>
            <w:shd w:val="clear" w:color="auto" w:fill="B3B3B3"/>
            <w:noWrap/>
          </w:tcPr>
          <w:p w:rsidR="00E7240A" w:rsidRPr="005F4649" w:rsidRDefault="00E7240A" w:rsidP="00CA119C">
            <w:pPr>
              <w:pStyle w:val="TableText"/>
              <w:rPr>
                <w:b/>
                <w:szCs w:val="20"/>
              </w:rPr>
            </w:pPr>
            <w:r>
              <w:rPr>
                <w:b/>
                <w:szCs w:val="20"/>
              </w:rPr>
              <w:t>Unit(s) to Be Modified</w:t>
            </w:r>
          </w:p>
        </w:tc>
      </w:tr>
      <w:tr w:rsidR="00E7240A">
        <w:tblPrEx>
          <w:shd w:val="clear" w:color="auto" w:fill="auto"/>
        </w:tblPrEx>
        <w:trPr>
          <w:cantSplit/>
          <w:trHeight w:val="230"/>
          <w:tblHeader/>
        </w:trPr>
        <w:tc>
          <w:tcPr>
            <w:tcW w:w="3793" w:type="dxa"/>
            <w:shd w:val="clear" w:color="auto" w:fill="B3B3B3"/>
            <w:noWrap/>
          </w:tcPr>
          <w:p w:rsidR="00E7240A" w:rsidRPr="005F4649" w:rsidRDefault="00E7240A" w:rsidP="00CA119C">
            <w:pPr>
              <w:pStyle w:val="TableText"/>
              <w:rPr>
                <w:b/>
                <w:szCs w:val="20"/>
              </w:rPr>
            </w:pPr>
            <w:r>
              <w:rPr>
                <w:b/>
                <w:szCs w:val="20"/>
              </w:rPr>
              <w:t>Unit Identification Number</w:t>
            </w:r>
          </w:p>
        </w:tc>
        <w:tc>
          <w:tcPr>
            <w:tcW w:w="2330" w:type="dxa"/>
            <w:shd w:val="clear" w:color="auto" w:fill="B3B3B3"/>
          </w:tcPr>
          <w:p w:rsidR="00E7240A" w:rsidRPr="005F4649" w:rsidRDefault="00E7240A" w:rsidP="00CA119C">
            <w:pPr>
              <w:pStyle w:val="TableText"/>
              <w:rPr>
                <w:b/>
                <w:szCs w:val="20"/>
              </w:rPr>
            </w:pPr>
            <w:r>
              <w:rPr>
                <w:b/>
                <w:szCs w:val="20"/>
              </w:rPr>
              <w:t>Product Code</w:t>
            </w:r>
          </w:p>
        </w:tc>
        <w:tc>
          <w:tcPr>
            <w:tcW w:w="2111" w:type="dxa"/>
            <w:shd w:val="clear" w:color="auto" w:fill="B3B3B3"/>
          </w:tcPr>
          <w:p w:rsidR="00E7240A" w:rsidRDefault="00E7240A" w:rsidP="00CA119C">
            <w:pPr>
              <w:pStyle w:val="TableText"/>
              <w:rPr>
                <w:b/>
                <w:szCs w:val="20"/>
              </w:rPr>
            </w:pPr>
            <w:r>
              <w:rPr>
                <w:b/>
                <w:szCs w:val="20"/>
              </w:rPr>
              <w:t>ABO/Rh</w:t>
            </w:r>
          </w:p>
        </w:tc>
        <w:tc>
          <w:tcPr>
            <w:tcW w:w="2330" w:type="dxa"/>
            <w:shd w:val="clear" w:color="auto" w:fill="B3B3B3"/>
          </w:tcPr>
          <w:p w:rsidR="00E7240A" w:rsidRPr="005F4649" w:rsidRDefault="00E7240A" w:rsidP="00CA119C">
            <w:pPr>
              <w:pStyle w:val="TableText"/>
              <w:rPr>
                <w:b/>
                <w:szCs w:val="20"/>
              </w:rPr>
            </w:pPr>
            <w:r>
              <w:rPr>
                <w:b/>
                <w:szCs w:val="20"/>
              </w:rPr>
              <w:t>Container Lot Number</w:t>
            </w:r>
          </w:p>
        </w:tc>
        <w:tc>
          <w:tcPr>
            <w:tcW w:w="2396" w:type="dxa"/>
            <w:shd w:val="clear" w:color="auto" w:fill="B3B3B3"/>
          </w:tcPr>
          <w:p w:rsidR="00E7240A" w:rsidRPr="005F4649" w:rsidRDefault="00E7240A" w:rsidP="00CA119C">
            <w:pPr>
              <w:pStyle w:val="TableText"/>
              <w:rPr>
                <w:b/>
                <w:szCs w:val="20"/>
              </w:rPr>
            </w:pPr>
            <w:r>
              <w:rPr>
                <w:b/>
                <w:szCs w:val="20"/>
              </w:rPr>
              <w:t>Expiration Date and Time</w:t>
            </w:r>
          </w:p>
        </w:tc>
      </w:tr>
      <w:tr w:rsidR="00E7240A">
        <w:tblPrEx>
          <w:shd w:val="clear" w:color="auto" w:fill="auto"/>
        </w:tblPrEx>
        <w:trPr>
          <w:cantSplit/>
          <w:trHeight w:val="432"/>
        </w:trPr>
        <w:tc>
          <w:tcPr>
            <w:tcW w:w="3793" w:type="dxa"/>
            <w:noWrap/>
          </w:tcPr>
          <w:p w:rsidR="00E7240A" w:rsidRDefault="00E7240A" w:rsidP="00A95965">
            <w:pPr>
              <w:pStyle w:val="TableText"/>
              <w:rPr>
                <w:b/>
                <w:szCs w:val="20"/>
              </w:rPr>
            </w:pPr>
          </w:p>
        </w:tc>
        <w:tc>
          <w:tcPr>
            <w:tcW w:w="2330" w:type="dxa"/>
          </w:tcPr>
          <w:p w:rsidR="00E7240A" w:rsidRDefault="00E7240A" w:rsidP="00A95965">
            <w:pPr>
              <w:pStyle w:val="TableText"/>
              <w:rPr>
                <w:b/>
                <w:szCs w:val="20"/>
              </w:rPr>
            </w:pPr>
          </w:p>
        </w:tc>
        <w:tc>
          <w:tcPr>
            <w:tcW w:w="2111" w:type="dxa"/>
          </w:tcPr>
          <w:p w:rsidR="00E7240A" w:rsidRDefault="00E7240A" w:rsidP="00A95965">
            <w:pPr>
              <w:pStyle w:val="TableText"/>
              <w:rPr>
                <w:b/>
                <w:szCs w:val="20"/>
              </w:rPr>
            </w:pPr>
          </w:p>
        </w:tc>
        <w:tc>
          <w:tcPr>
            <w:tcW w:w="2330" w:type="dxa"/>
          </w:tcPr>
          <w:p w:rsidR="00E7240A" w:rsidRDefault="00E7240A" w:rsidP="00A95965">
            <w:pPr>
              <w:pStyle w:val="TableText"/>
              <w:rPr>
                <w:b/>
                <w:szCs w:val="20"/>
              </w:rPr>
            </w:pPr>
          </w:p>
        </w:tc>
        <w:tc>
          <w:tcPr>
            <w:tcW w:w="2396" w:type="dxa"/>
          </w:tcPr>
          <w:p w:rsidR="00E7240A" w:rsidRDefault="00E7240A" w:rsidP="00A95965">
            <w:pPr>
              <w:pStyle w:val="TableText"/>
              <w:rPr>
                <w:b/>
                <w:szCs w:val="20"/>
              </w:rPr>
            </w:pPr>
          </w:p>
        </w:tc>
      </w:tr>
      <w:tr w:rsidR="00E7240A">
        <w:tblPrEx>
          <w:shd w:val="clear" w:color="auto" w:fill="auto"/>
        </w:tblPrEx>
        <w:trPr>
          <w:cantSplit/>
          <w:trHeight w:val="432"/>
        </w:trPr>
        <w:tc>
          <w:tcPr>
            <w:tcW w:w="3793" w:type="dxa"/>
            <w:noWrap/>
          </w:tcPr>
          <w:p w:rsidR="00E7240A" w:rsidRDefault="00E7240A" w:rsidP="00A95965">
            <w:pPr>
              <w:pStyle w:val="TableText"/>
              <w:rPr>
                <w:b/>
                <w:szCs w:val="20"/>
              </w:rPr>
            </w:pPr>
          </w:p>
        </w:tc>
        <w:tc>
          <w:tcPr>
            <w:tcW w:w="2330" w:type="dxa"/>
          </w:tcPr>
          <w:p w:rsidR="00E7240A" w:rsidRDefault="00E7240A" w:rsidP="00A95965">
            <w:pPr>
              <w:pStyle w:val="TableText"/>
              <w:rPr>
                <w:b/>
                <w:szCs w:val="20"/>
              </w:rPr>
            </w:pPr>
          </w:p>
        </w:tc>
        <w:tc>
          <w:tcPr>
            <w:tcW w:w="2111" w:type="dxa"/>
          </w:tcPr>
          <w:p w:rsidR="00E7240A" w:rsidRDefault="00E7240A" w:rsidP="00A95965">
            <w:pPr>
              <w:pStyle w:val="TableText"/>
              <w:rPr>
                <w:b/>
                <w:szCs w:val="20"/>
              </w:rPr>
            </w:pPr>
          </w:p>
        </w:tc>
        <w:tc>
          <w:tcPr>
            <w:tcW w:w="2330" w:type="dxa"/>
          </w:tcPr>
          <w:p w:rsidR="00E7240A" w:rsidRDefault="00E7240A" w:rsidP="00A95965">
            <w:pPr>
              <w:pStyle w:val="TableText"/>
              <w:rPr>
                <w:b/>
                <w:szCs w:val="20"/>
              </w:rPr>
            </w:pPr>
          </w:p>
        </w:tc>
        <w:tc>
          <w:tcPr>
            <w:tcW w:w="2396" w:type="dxa"/>
          </w:tcPr>
          <w:p w:rsidR="00E7240A" w:rsidRDefault="00E7240A" w:rsidP="00A95965">
            <w:pPr>
              <w:pStyle w:val="TableText"/>
              <w:rPr>
                <w:b/>
                <w:szCs w:val="20"/>
              </w:rPr>
            </w:pPr>
          </w:p>
        </w:tc>
      </w:tr>
      <w:tr w:rsidR="00E7240A">
        <w:tblPrEx>
          <w:shd w:val="clear" w:color="auto" w:fill="auto"/>
        </w:tblPrEx>
        <w:trPr>
          <w:cantSplit/>
          <w:trHeight w:val="432"/>
        </w:trPr>
        <w:tc>
          <w:tcPr>
            <w:tcW w:w="3793" w:type="dxa"/>
            <w:noWrap/>
          </w:tcPr>
          <w:p w:rsidR="00E7240A" w:rsidRDefault="00E7240A" w:rsidP="00A95965">
            <w:pPr>
              <w:pStyle w:val="TableText"/>
              <w:rPr>
                <w:b/>
                <w:szCs w:val="20"/>
              </w:rPr>
            </w:pPr>
          </w:p>
        </w:tc>
        <w:tc>
          <w:tcPr>
            <w:tcW w:w="2330" w:type="dxa"/>
          </w:tcPr>
          <w:p w:rsidR="00E7240A" w:rsidRDefault="00E7240A" w:rsidP="00A95965">
            <w:pPr>
              <w:pStyle w:val="TableText"/>
              <w:rPr>
                <w:b/>
                <w:szCs w:val="20"/>
              </w:rPr>
            </w:pPr>
          </w:p>
        </w:tc>
        <w:tc>
          <w:tcPr>
            <w:tcW w:w="2111" w:type="dxa"/>
          </w:tcPr>
          <w:p w:rsidR="00E7240A" w:rsidRDefault="00E7240A" w:rsidP="00A95965">
            <w:pPr>
              <w:pStyle w:val="TableText"/>
              <w:rPr>
                <w:b/>
                <w:szCs w:val="20"/>
              </w:rPr>
            </w:pPr>
          </w:p>
        </w:tc>
        <w:tc>
          <w:tcPr>
            <w:tcW w:w="2330" w:type="dxa"/>
          </w:tcPr>
          <w:p w:rsidR="00E7240A" w:rsidRDefault="00E7240A" w:rsidP="00A95965">
            <w:pPr>
              <w:pStyle w:val="TableText"/>
              <w:rPr>
                <w:b/>
                <w:szCs w:val="20"/>
              </w:rPr>
            </w:pPr>
          </w:p>
        </w:tc>
        <w:tc>
          <w:tcPr>
            <w:tcW w:w="2396" w:type="dxa"/>
          </w:tcPr>
          <w:p w:rsidR="00E7240A" w:rsidRDefault="00E7240A" w:rsidP="00A95965">
            <w:pPr>
              <w:pStyle w:val="TableText"/>
              <w:rPr>
                <w:b/>
                <w:szCs w:val="20"/>
              </w:rPr>
            </w:pPr>
          </w:p>
        </w:tc>
      </w:tr>
      <w:tr w:rsidR="00E7240A">
        <w:tblPrEx>
          <w:shd w:val="clear" w:color="auto" w:fill="auto"/>
        </w:tblPrEx>
        <w:trPr>
          <w:cantSplit/>
          <w:trHeight w:val="432"/>
        </w:trPr>
        <w:tc>
          <w:tcPr>
            <w:tcW w:w="3793" w:type="dxa"/>
            <w:noWrap/>
          </w:tcPr>
          <w:p w:rsidR="00E7240A" w:rsidRDefault="00E7240A" w:rsidP="00A95965">
            <w:pPr>
              <w:pStyle w:val="TableText"/>
              <w:rPr>
                <w:b/>
                <w:szCs w:val="20"/>
              </w:rPr>
            </w:pPr>
          </w:p>
        </w:tc>
        <w:tc>
          <w:tcPr>
            <w:tcW w:w="2330" w:type="dxa"/>
          </w:tcPr>
          <w:p w:rsidR="00E7240A" w:rsidRDefault="00E7240A" w:rsidP="00A95965">
            <w:pPr>
              <w:pStyle w:val="TableText"/>
              <w:rPr>
                <w:b/>
                <w:szCs w:val="20"/>
              </w:rPr>
            </w:pPr>
          </w:p>
        </w:tc>
        <w:tc>
          <w:tcPr>
            <w:tcW w:w="2111" w:type="dxa"/>
          </w:tcPr>
          <w:p w:rsidR="00E7240A" w:rsidRDefault="00E7240A" w:rsidP="00A95965">
            <w:pPr>
              <w:pStyle w:val="TableText"/>
              <w:rPr>
                <w:b/>
                <w:szCs w:val="20"/>
              </w:rPr>
            </w:pPr>
          </w:p>
        </w:tc>
        <w:tc>
          <w:tcPr>
            <w:tcW w:w="2330" w:type="dxa"/>
          </w:tcPr>
          <w:p w:rsidR="00E7240A" w:rsidRDefault="00E7240A" w:rsidP="00A95965">
            <w:pPr>
              <w:pStyle w:val="TableText"/>
              <w:rPr>
                <w:b/>
                <w:szCs w:val="20"/>
              </w:rPr>
            </w:pPr>
          </w:p>
        </w:tc>
        <w:tc>
          <w:tcPr>
            <w:tcW w:w="2396" w:type="dxa"/>
          </w:tcPr>
          <w:p w:rsidR="00E7240A" w:rsidRDefault="00E7240A" w:rsidP="00A95965">
            <w:pPr>
              <w:pStyle w:val="TableText"/>
              <w:rPr>
                <w:b/>
                <w:szCs w:val="20"/>
              </w:rPr>
            </w:pPr>
          </w:p>
        </w:tc>
      </w:tr>
      <w:tr w:rsidR="00E7240A">
        <w:tblPrEx>
          <w:shd w:val="clear" w:color="auto" w:fill="auto"/>
        </w:tblPrEx>
        <w:trPr>
          <w:cantSplit/>
          <w:trHeight w:val="432"/>
        </w:trPr>
        <w:tc>
          <w:tcPr>
            <w:tcW w:w="3793" w:type="dxa"/>
            <w:noWrap/>
          </w:tcPr>
          <w:p w:rsidR="00E7240A" w:rsidRDefault="00E7240A" w:rsidP="00A95965">
            <w:pPr>
              <w:pStyle w:val="TableText"/>
              <w:rPr>
                <w:b/>
                <w:szCs w:val="20"/>
              </w:rPr>
            </w:pPr>
          </w:p>
        </w:tc>
        <w:tc>
          <w:tcPr>
            <w:tcW w:w="2330" w:type="dxa"/>
          </w:tcPr>
          <w:p w:rsidR="00E7240A" w:rsidRDefault="00E7240A" w:rsidP="00A95965">
            <w:pPr>
              <w:pStyle w:val="TableText"/>
              <w:rPr>
                <w:b/>
                <w:szCs w:val="20"/>
              </w:rPr>
            </w:pPr>
          </w:p>
        </w:tc>
        <w:tc>
          <w:tcPr>
            <w:tcW w:w="2111" w:type="dxa"/>
          </w:tcPr>
          <w:p w:rsidR="00E7240A" w:rsidRDefault="00E7240A" w:rsidP="00A95965">
            <w:pPr>
              <w:pStyle w:val="TableText"/>
              <w:rPr>
                <w:b/>
                <w:szCs w:val="20"/>
              </w:rPr>
            </w:pPr>
          </w:p>
        </w:tc>
        <w:tc>
          <w:tcPr>
            <w:tcW w:w="2330" w:type="dxa"/>
          </w:tcPr>
          <w:p w:rsidR="00E7240A" w:rsidRDefault="00E7240A" w:rsidP="00A95965">
            <w:pPr>
              <w:pStyle w:val="TableText"/>
              <w:rPr>
                <w:b/>
                <w:szCs w:val="20"/>
              </w:rPr>
            </w:pPr>
          </w:p>
        </w:tc>
        <w:tc>
          <w:tcPr>
            <w:tcW w:w="2396" w:type="dxa"/>
          </w:tcPr>
          <w:p w:rsidR="00E7240A" w:rsidRDefault="00E7240A" w:rsidP="00A95965">
            <w:pPr>
              <w:pStyle w:val="TableText"/>
              <w:rPr>
                <w:b/>
                <w:szCs w:val="20"/>
              </w:rPr>
            </w:pPr>
          </w:p>
        </w:tc>
      </w:tr>
      <w:tr w:rsidR="00E7240A">
        <w:tblPrEx>
          <w:shd w:val="clear" w:color="auto" w:fill="auto"/>
        </w:tblPrEx>
        <w:trPr>
          <w:cantSplit/>
          <w:trHeight w:val="432"/>
        </w:trPr>
        <w:tc>
          <w:tcPr>
            <w:tcW w:w="3793" w:type="dxa"/>
            <w:noWrap/>
          </w:tcPr>
          <w:p w:rsidR="00E7240A" w:rsidRDefault="00E7240A" w:rsidP="00A95965">
            <w:pPr>
              <w:pStyle w:val="TableText"/>
              <w:rPr>
                <w:b/>
                <w:szCs w:val="20"/>
              </w:rPr>
            </w:pPr>
          </w:p>
        </w:tc>
        <w:tc>
          <w:tcPr>
            <w:tcW w:w="2330" w:type="dxa"/>
          </w:tcPr>
          <w:p w:rsidR="00E7240A" w:rsidRDefault="00E7240A" w:rsidP="00A95965">
            <w:pPr>
              <w:pStyle w:val="TableText"/>
              <w:rPr>
                <w:b/>
                <w:szCs w:val="20"/>
              </w:rPr>
            </w:pPr>
          </w:p>
        </w:tc>
        <w:tc>
          <w:tcPr>
            <w:tcW w:w="2111" w:type="dxa"/>
          </w:tcPr>
          <w:p w:rsidR="00E7240A" w:rsidRDefault="00E7240A" w:rsidP="00A95965">
            <w:pPr>
              <w:pStyle w:val="TableText"/>
              <w:rPr>
                <w:b/>
                <w:szCs w:val="20"/>
              </w:rPr>
            </w:pPr>
          </w:p>
        </w:tc>
        <w:tc>
          <w:tcPr>
            <w:tcW w:w="2330" w:type="dxa"/>
          </w:tcPr>
          <w:p w:rsidR="00E7240A" w:rsidRDefault="00E7240A" w:rsidP="00A95965">
            <w:pPr>
              <w:pStyle w:val="TableText"/>
              <w:rPr>
                <w:b/>
                <w:szCs w:val="20"/>
              </w:rPr>
            </w:pPr>
          </w:p>
        </w:tc>
        <w:tc>
          <w:tcPr>
            <w:tcW w:w="2396" w:type="dxa"/>
          </w:tcPr>
          <w:p w:rsidR="00E7240A" w:rsidRDefault="00E7240A" w:rsidP="00A95965">
            <w:pPr>
              <w:pStyle w:val="TableText"/>
              <w:rPr>
                <w:b/>
                <w:szCs w:val="20"/>
              </w:rPr>
            </w:pPr>
          </w:p>
        </w:tc>
      </w:tr>
      <w:tr w:rsidR="00E7240A">
        <w:tblPrEx>
          <w:shd w:val="clear" w:color="auto" w:fill="auto"/>
        </w:tblPrEx>
        <w:trPr>
          <w:cantSplit/>
          <w:trHeight w:val="432"/>
        </w:trPr>
        <w:tc>
          <w:tcPr>
            <w:tcW w:w="3793" w:type="dxa"/>
            <w:noWrap/>
          </w:tcPr>
          <w:p w:rsidR="00E7240A" w:rsidRDefault="00E7240A" w:rsidP="00A95965">
            <w:pPr>
              <w:pStyle w:val="TableText"/>
              <w:rPr>
                <w:b/>
                <w:szCs w:val="20"/>
              </w:rPr>
            </w:pPr>
          </w:p>
        </w:tc>
        <w:tc>
          <w:tcPr>
            <w:tcW w:w="2330" w:type="dxa"/>
          </w:tcPr>
          <w:p w:rsidR="00E7240A" w:rsidRDefault="00E7240A" w:rsidP="00A95965">
            <w:pPr>
              <w:pStyle w:val="TableText"/>
              <w:rPr>
                <w:b/>
                <w:szCs w:val="20"/>
              </w:rPr>
            </w:pPr>
          </w:p>
        </w:tc>
        <w:tc>
          <w:tcPr>
            <w:tcW w:w="2111" w:type="dxa"/>
          </w:tcPr>
          <w:p w:rsidR="00E7240A" w:rsidRDefault="00E7240A" w:rsidP="00A95965">
            <w:pPr>
              <w:pStyle w:val="TableText"/>
              <w:rPr>
                <w:b/>
                <w:szCs w:val="20"/>
              </w:rPr>
            </w:pPr>
          </w:p>
        </w:tc>
        <w:tc>
          <w:tcPr>
            <w:tcW w:w="2330" w:type="dxa"/>
          </w:tcPr>
          <w:p w:rsidR="00E7240A" w:rsidRDefault="00E7240A" w:rsidP="00A95965">
            <w:pPr>
              <w:pStyle w:val="TableText"/>
              <w:rPr>
                <w:b/>
                <w:szCs w:val="20"/>
              </w:rPr>
            </w:pPr>
          </w:p>
        </w:tc>
        <w:tc>
          <w:tcPr>
            <w:tcW w:w="2396" w:type="dxa"/>
          </w:tcPr>
          <w:p w:rsidR="00E7240A" w:rsidRDefault="00E7240A" w:rsidP="00A95965">
            <w:pPr>
              <w:pStyle w:val="TableText"/>
              <w:rPr>
                <w:b/>
                <w:szCs w:val="20"/>
              </w:rPr>
            </w:pPr>
          </w:p>
        </w:tc>
      </w:tr>
      <w:tr w:rsidR="00E7240A">
        <w:tblPrEx>
          <w:shd w:val="clear" w:color="auto" w:fill="auto"/>
        </w:tblPrEx>
        <w:trPr>
          <w:cantSplit/>
          <w:trHeight w:val="432"/>
        </w:trPr>
        <w:tc>
          <w:tcPr>
            <w:tcW w:w="3793" w:type="dxa"/>
            <w:noWrap/>
          </w:tcPr>
          <w:p w:rsidR="00E7240A" w:rsidRDefault="00E7240A" w:rsidP="00A95965">
            <w:pPr>
              <w:pStyle w:val="TableText"/>
              <w:rPr>
                <w:b/>
                <w:szCs w:val="20"/>
              </w:rPr>
            </w:pPr>
          </w:p>
        </w:tc>
        <w:tc>
          <w:tcPr>
            <w:tcW w:w="2330" w:type="dxa"/>
          </w:tcPr>
          <w:p w:rsidR="00E7240A" w:rsidRDefault="00E7240A" w:rsidP="00A95965">
            <w:pPr>
              <w:pStyle w:val="TableText"/>
              <w:rPr>
                <w:b/>
                <w:szCs w:val="20"/>
              </w:rPr>
            </w:pPr>
          </w:p>
        </w:tc>
        <w:tc>
          <w:tcPr>
            <w:tcW w:w="2111" w:type="dxa"/>
          </w:tcPr>
          <w:p w:rsidR="00E7240A" w:rsidRDefault="00E7240A" w:rsidP="00A95965">
            <w:pPr>
              <w:pStyle w:val="TableText"/>
              <w:rPr>
                <w:b/>
                <w:szCs w:val="20"/>
              </w:rPr>
            </w:pPr>
          </w:p>
        </w:tc>
        <w:tc>
          <w:tcPr>
            <w:tcW w:w="2330" w:type="dxa"/>
          </w:tcPr>
          <w:p w:rsidR="00E7240A" w:rsidRDefault="00E7240A" w:rsidP="00A95965">
            <w:pPr>
              <w:pStyle w:val="TableText"/>
              <w:rPr>
                <w:b/>
                <w:szCs w:val="20"/>
              </w:rPr>
            </w:pPr>
          </w:p>
        </w:tc>
        <w:tc>
          <w:tcPr>
            <w:tcW w:w="2396" w:type="dxa"/>
          </w:tcPr>
          <w:p w:rsidR="00E7240A" w:rsidRDefault="00E7240A" w:rsidP="00A95965">
            <w:pPr>
              <w:pStyle w:val="TableText"/>
              <w:rPr>
                <w:b/>
                <w:szCs w:val="20"/>
              </w:rPr>
            </w:pPr>
          </w:p>
        </w:tc>
      </w:tr>
      <w:tr w:rsidR="00E7240A">
        <w:tblPrEx>
          <w:shd w:val="clear" w:color="auto" w:fill="auto"/>
        </w:tblPrEx>
        <w:trPr>
          <w:cantSplit/>
          <w:trHeight w:val="432"/>
        </w:trPr>
        <w:tc>
          <w:tcPr>
            <w:tcW w:w="3793" w:type="dxa"/>
            <w:noWrap/>
          </w:tcPr>
          <w:p w:rsidR="00E7240A" w:rsidRDefault="00E7240A" w:rsidP="00A95965">
            <w:pPr>
              <w:pStyle w:val="TableText"/>
              <w:rPr>
                <w:b/>
                <w:szCs w:val="20"/>
              </w:rPr>
            </w:pPr>
          </w:p>
        </w:tc>
        <w:tc>
          <w:tcPr>
            <w:tcW w:w="2330" w:type="dxa"/>
          </w:tcPr>
          <w:p w:rsidR="00E7240A" w:rsidRDefault="00E7240A" w:rsidP="00A95965">
            <w:pPr>
              <w:pStyle w:val="TableText"/>
              <w:rPr>
                <w:b/>
                <w:szCs w:val="20"/>
              </w:rPr>
            </w:pPr>
          </w:p>
        </w:tc>
        <w:tc>
          <w:tcPr>
            <w:tcW w:w="2111" w:type="dxa"/>
          </w:tcPr>
          <w:p w:rsidR="00E7240A" w:rsidRDefault="00E7240A" w:rsidP="00A95965">
            <w:pPr>
              <w:pStyle w:val="TableText"/>
              <w:rPr>
                <w:b/>
                <w:szCs w:val="20"/>
              </w:rPr>
            </w:pPr>
          </w:p>
        </w:tc>
        <w:tc>
          <w:tcPr>
            <w:tcW w:w="2330" w:type="dxa"/>
          </w:tcPr>
          <w:p w:rsidR="00E7240A" w:rsidRDefault="00E7240A" w:rsidP="00A95965">
            <w:pPr>
              <w:pStyle w:val="TableText"/>
              <w:rPr>
                <w:b/>
                <w:szCs w:val="20"/>
              </w:rPr>
            </w:pPr>
          </w:p>
        </w:tc>
        <w:tc>
          <w:tcPr>
            <w:tcW w:w="2396" w:type="dxa"/>
          </w:tcPr>
          <w:p w:rsidR="00E7240A" w:rsidRDefault="00E7240A" w:rsidP="00A95965">
            <w:pPr>
              <w:pStyle w:val="TableText"/>
              <w:rPr>
                <w:b/>
                <w:szCs w:val="20"/>
              </w:rPr>
            </w:pPr>
          </w:p>
        </w:tc>
      </w:tr>
      <w:tr w:rsidR="00E7240A">
        <w:tblPrEx>
          <w:shd w:val="clear" w:color="auto" w:fill="auto"/>
        </w:tblPrEx>
        <w:trPr>
          <w:cantSplit/>
          <w:trHeight w:val="432"/>
        </w:trPr>
        <w:tc>
          <w:tcPr>
            <w:tcW w:w="3793" w:type="dxa"/>
            <w:noWrap/>
          </w:tcPr>
          <w:p w:rsidR="00E7240A" w:rsidRDefault="00E7240A" w:rsidP="00A95965">
            <w:pPr>
              <w:pStyle w:val="TableText"/>
              <w:rPr>
                <w:b/>
                <w:szCs w:val="20"/>
              </w:rPr>
            </w:pPr>
          </w:p>
        </w:tc>
        <w:tc>
          <w:tcPr>
            <w:tcW w:w="2330" w:type="dxa"/>
          </w:tcPr>
          <w:p w:rsidR="00E7240A" w:rsidRDefault="00E7240A" w:rsidP="00A95965">
            <w:pPr>
              <w:pStyle w:val="TableText"/>
              <w:rPr>
                <w:b/>
                <w:szCs w:val="20"/>
              </w:rPr>
            </w:pPr>
          </w:p>
        </w:tc>
        <w:tc>
          <w:tcPr>
            <w:tcW w:w="2111" w:type="dxa"/>
          </w:tcPr>
          <w:p w:rsidR="00E7240A" w:rsidRDefault="00E7240A" w:rsidP="00A95965">
            <w:pPr>
              <w:pStyle w:val="TableText"/>
              <w:rPr>
                <w:b/>
                <w:szCs w:val="20"/>
              </w:rPr>
            </w:pPr>
          </w:p>
        </w:tc>
        <w:tc>
          <w:tcPr>
            <w:tcW w:w="2330" w:type="dxa"/>
          </w:tcPr>
          <w:p w:rsidR="00E7240A" w:rsidRDefault="00E7240A" w:rsidP="00A95965">
            <w:pPr>
              <w:pStyle w:val="TableText"/>
              <w:rPr>
                <w:b/>
                <w:szCs w:val="20"/>
              </w:rPr>
            </w:pPr>
          </w:p>
        </w:tc>
        <w:tc>
          <w:tcPr>
            <w:tcW w:w="2396" w:type="dxa"/>
          </w:tcPr>
          <w:p w:rsidR="00E7240A" w:rsidRDefault="00E7240A" w:rsidP="00A95965">
            <w:pPr>
              <w:pStyle w:val="TableText"/>
              <w:rPr>
                <w:b/>
                <w:szCs w:val="20"/>
              </w:rPr>
            </w:pPr>
          </w:p>
        </w:tc>
      </w:tr>
      <w:tr w:rsidR="00246F04">
        <w:tblPrEx>
          <w:shd w:val="clear" w:color="auto" w:fill="auto"/>
        </w:tblPrEx>
        <w:trPr>
          <w:cantSplit/>
          <w:trHeight w:val="432"/>
        </w:trPr>
        <w:tc>
          <w:tcPr>
            <w:tcW w:w="3793" w:type="dxa"/>
            <w:noWrap/>
          </w:tcPr>
          <w:p w:rsidR="00246F04" w:rsidRDefault="00246F04" w:rsidP="00A95965">
            <w:pPr>
              <w:pStyle w:val="TableText"/>
              <w:rPr>
                <w:b/>
                <w:szCs w:val="20"/>
              </w:rPr>
            </w:pPr>
          </w:p>
        </w:tc>
        <w:tc>
          <w:tcPr>
            <w:tcW w:w="2330" w:type="dxa"/>
          </w:tcPr>
          <w:p w:rsidR="00246F04" w:rsidRDefault="00246F04" w:rsidP="00A95965">
            <w:pPr>
              <w:pStyle w:val="TableText"/>
              <w:rPr>
                <w:b/>
                <w:szCs w:val="20"/>
              </w:rPr>
            </w:pPr>
          </w:p>
        </w:tc>
        <w:tc>
          <w:tcPr>
            <w:tcW w:w="2111" w:type="dxa"/>
          </w:tcPr>
          <w:p w:rsidR="00246F04" w:rsidRDefault="00246F04" w:rsidP="00A95965">
            <w:pPr>
              <w:pStyle w:val="TableText"/>
              <w:rPr>
                <w:b/>
                <w:szCs w:val="20"/>
              </w:rPr>
            </w:pPr>
          </w:p>
        </w:tc>
        <w:tc>
          <w:tcPr>
            <w:tcW w:w="2330" w:type="dxa"/>
          </w:tcPr>
          <w:p w:rsidR="00246F04" w:rsidRDefault="00246F04" w:rsidP="00A95965">
            <w:pPr>
              <w:pStyle w:val="TableText"/>
              <w:rPr>
                <w:b/>
                <w:szCs w:val="20"/>
              </w:rPr>
            </w:pPr>
          </w:p>
        </w:tc>
        <w:tc>
          <w:tcPr>
            <w:tcW w:w="2396" w:type="dxa"/>
          </w:tcPr>
          <w:p w:rsidR="00246F04" w:rsidRDefault="00246F04" w:rsidP="00A95965">
            <w:pPr>
              <w:pStyle w:val="TableText"/>
              <w:rPr>
                <w:b/>
                <w:szCs w:val="20"/>
              </w:rPr>
            </w:pPr>
          </w:p>
        </w:tc>
      </w:tr>
      <w:tr w:rsidR="00E7240A">
        <w:tblPrEx>
          <w:shd w:val="clear" w:color="auto" w:fill="auto"/>
        </w:tblPrEx>
        <w:trPr>
          <w:cantSplit/>
          <w:trHeight w:val="432"/>
        </w:trPr>
        <w:tc>
          <w:tcPr>
            <w:tcW w:w="3793" w:type="dxa"/>
            <w:noWrap/>
          </w:tcPr>
          <w:p w:rsidR="00E7240A" w:rsidRDefault="00E7240A" w:rsidP="00A95965">
            <w:pPr>
              <w:pStyle w:val="TableText"/>
              <w:rPr>
                <w:b/>
                <w:szCs w:val="20"/>
              </w:rPr>
            </w:pPr>
          </w:p>
        </w:tc>
        <w:tc>
          <w:tcPr>
            <w:tcW w:w="2330" w:type="dxa"/>
          </w:tcPr>
          <w:p w:rsidR="00E7240A" w:rsidRDefault="00E7240A" w:rsidP="00A95965">
            <w:pPr>
              <w:pStyle w:val="TableText"/>
              <w:rPr>
                <w:b/>
                <w:szCs w:val="20"/>
              </w:rPr>
            </w:pPr>
          </w:p>
        </w:tc>
        <w:tc>
          <w:tcPr>
            <w:tcW w:w="2111" w:type="dxa"/>
          </w:tcPr>
          <w:p w:rsidR="00E7240A" w:rsidRDefault="00E7240A" w:rsidP="00A95965">
            <w:pPr>
              <w:pStyle w:val="TableText"/>
              <w:rPr>
                <w:b/>
                <w:szCs w:val="20"/>
              </w:rPr>
            </w:pPr>
          </w:p>
        </w:tc>
        <w:tc>
          <w:tcPr>
            <w:tcW w:w="2330" w:type="dxa"/>
          </w:tcPr>
          <w:p w:rsidR="00E7240A" w:rsidRDefault="00E7240A" w:rsidP="00A95965">
            <w:pPr>
              <w:pStyle w:val="TableText"/>
              <w:rPr>
                <w:b/>
                <w:szCs w:val="20"/>
              </w:rPr>
            </w:pPr>
          </w:p>
        </w:tc>
        <w:tc>
          <w:tcPr>
            <w:tcW w:w="2396" w:type="dxa"/>
          </w:tcPr>
          <w:p w:rsidR="00E7240A" w:rsidRDefault="00E7240A" w:rsidP="00A95965">
            <w:pPr>
              <w:pStyle w:val="TableText"/>
              <w:rPr>
                <w:b/>
                <w:szCs w:val="20"/>
              </w:rPr>
            </w:pPr>
          </w:p>
        </w:tc>
      </w:tr>
      <w:tr w:rsidR="00E7240A">
        <w:tblPrEx>
          <w:shd w:val="clear" w:color="auto" w:fill="auto"/>
        </w:tblPrEx>
        <w:trPr>
          <w:cantSplit/>
          <w:trHeight w:val="432"/>
        </w:trPr>
        <w:tc>
          <w:tcPr>
            <w:tcW w:w="3793" w:type="dxa"/>
            <w:noWrap/>
          </w:tcPr>
          <w:p w:rsidR="00E7240A" w:rsidRDefault="00E7240A" w:rsidP="00A95965">
            <w:pPr>
              <w:pStyle w:val="TableText"/>
              <w:rPr>
                <w:b/>
                <w:szCs w:val="20"/>
              </w:rPr>
            </w:pPr>
          </w:p>
        </w:tc>
        <w:tc>
          <w:tcPr>
            <w:tcW w:w="2330" w:type="dxa"/>
          </w:tcPr>
          <w:p w:rsidR="00E7240A" w:rsidRDefault="00E7240A" w:rsidP="00A95965">
            <w:pPr>
              <w:pStyle w:val="TableText"/>
              <w:rPr>
                <w:b/>
                <w:szCs w:val="20"/>
              </w:rPr>
            </w:pPr>
          </w:p>
        </w:tc>
        <w:tc>
          <w:tcPr>
            <w:tcW w:w="2111" w:type="dxa"/>
          </w:tcPr>
          <w:p w:rsidR="00E7240A" w:rsidRDefault="00E7240A" w:rsidP="00A95965">
            <w:pPr>
              <w:pStyle w:val="TableText"/>
              <w:rPr>
                <w:b/>
                <w:szCs w:val="20"/>
              </w:rPr>
            </w:pPr>
          </w:p>
        </w:tc>
        <w:tc>
          <w:tcPr>
            <w:tcW w:w="2330" w:type="dxa"/>
          </w:tcPr>
          <w:p w:rsidR="00E7240A" w:rsidRDefault="00E7240A" w:rsidP="00A95965">
            <w:pPr>
              <w:pStyle w:val="TableText"/>
              <w:rPr>
                <w:b/>
                <w:szCs w:val="20"/>
              </w:rPr>
            </w:pPr>
          </w:p>
        </w:tc>
        <w:tc>
          <w:tcPr>
            <w:tcW w:w="2396" w:type="dxa"/>
          </w:tcPr>
          <w:p w:rsidR="00E7240A" w:rsidRDefault="00E7240A" w:rsidP="00A95965">
            <w:pPr>
              <w:pStyle w:val="TableText"/>
              <w:rPr>
                <w:b/>
                <w:szCs w:val="20"/>
              </w:rPr>
            </w:pPr>
          </w:p>
        </w:tc>
      </w:tr>
    </w:tbl>
    <w:p w:rsidR="00E7240A" w:rsidRDefault="00E7240A" w:rsidP="00DD75E5">
      <w:pPr>
        <w:pStyle w:val="BodyText"/>
      </w:pPr>
    </w:p>
    <w:tbl>
      <w:tblPr>
        <w:tblW w:w="12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ayout w:type="fixed"/>
        <w:tblLook w:val="0000" w:firstRow="0" w:lastRow="0" w:firstColumn="0" w:lastColumn="0" w:noHBand="0" w:noVBand="0"/>
      </w:tblPr>
      <w:tblGrid>
        <w:gridCol w:w="1632"/>
        <w:gridCol w:w="3648"/>
        <w:gridCol w:w="3840"/>
        <w:gridCol w:w="3840"/>
      </w:tblGrid>
      <w:tr w:rsidR="00E7240A">
        <w:trPr>
          <w:cantSplit/>
          <w:trHeight w:val="230"/>
        </w:trPr>
        <w:tc>
          <w:tcPr>
            <w:tcW w:w="1632" w:type="dxa"/>
            <w:tcBorders>
              <w:bottom w:val="single" w:sz="2" w:space="0" w:color="auto"/>
            </w:tcBorders>
            <w:shd w:val="clear" w:color="auto" w:fill="B3B3B3"/>
            <w:noWrap/>
          </w:tcPr>
          <w:p w:rsidR="00E7240A" w:rsidRDefault="00E7240A" w:rsidP="00A95965">
            <w:pPr>
              <w:pStyle w:val="TableText"/>
              <w:rPr>
                <w:b/>
                <w:szCs w:val="20"/>
              </w:rPr>
            </w:pPr>
            <w:r>
              <w:br w:type="page"/>
            </w:r>
            <w:r>
              <w:rPr>
                <w:b/>
                <w:szCs w:val="20"/>
              </w:rPr>
              <w:t xml:space="preserve"> Unit Assigned? (Yes, No)</w:t>
            </w:r>
          </w:p>
        </w:tc>
        <w:tc>
          <w:tcPr>
            <w:tcW w:w="3648" w:type="dxa"/>
            <w:tcBorders>
              <w:bottom w:val="single" w:sz="2" w:space="0" w:color="auto"/>
            </w:tcBorders>
            <w:shd w:val="clear" w:color="auto" w:fill="B3B3B3"/>
          </w:tcPr>
          <w:p w:rsidR="00E7240A" w:rsidRDefault="00E7240A" w:rsidP="00A95965">
            <w:pPr>
              <w:pStyle w:val="TableText"/>
              <w:rPr>
                <w:b/>
                <w:szCs w:val="20"/>
              </w:rPr>
            </w:pPr>
            <w:r>
              <w:rPr>
                <w:b/>
                <w:szCs w:val="20"/>
              </w:rPr>
              <w:t>Patient Name</w:t>
            </w:r>
          </w:p>
        </w:tc>
        <w:tc>
          <w:tcPr>
            <w:tcW w:w="3840" w:type="dxa"/>
            <w:tcBorders>
              <w:bottom w:val="single" w:sz="2" w:space="0" w:color="auto"/>
            </w:tcBorders>
            <w:shd w:val="clear" w:color="auto" w:fill="B3B3B3"/>
          </w:tcPr>
          <w:p w:rsidR="00E7240A" w:rsidRDefault="00E7240A" w:rsidP="00A95965">
            <w:pPr>
              <w:pStyle w:val="TableText"/>
              <w:rPr>
                <w:b/>
                <w:szCs w:val="20"/>
              </w:rPr>
            </w:pPr>
            <w:r>
              <w:rPr>
                <w:b/>
                <w:szCs w:val="20"/>
              </w:rPr>
              <w:t>Patient Identification Number</w:t>
            </w:r>
          </w:p>
        </w:tc>
        <w:tc>
          <w:tcPr>
            <w:tcW w:w="3840" w:type="dxa"/>
            <w:tcBorders>
              <w:bottom w:val="single" w:sz="2" w:space="0" w:color="auto"/>
            </w:tcBorders>
            <w:shd w:val="clear" w:color="auto" w:fill="B3B3B3"/>
          </w:tcPr>
          <w:p w:rsidR="00E7240A" w:rsidRDefault="00E7240A" w:rsidP="00A95965">
            <w:pPr>
              <w:pStyle w:val="TableText"/>
              <w:rPr>
                <w:b/>
                <w:szCs w:val="20"/>
              </w:rPr>
            </w:pPr>
            <w:r>
              <w:rPr>
                <w:b/>
                <w:szCs w:val="20"/>
              </w:rPr>
              <w:t>Specimen UID</w:t>
            </w:r>
          </w:p>
        </w:tc>
      </w:tr>
      <w:tr w:rsidR="00E7240A">
        <w:trPr>
          <w:cantSplit/>
          <w:trHeight w:val="432"/>
        </w:trPr>
        <w:tc>
          <w:tcPr>
            <w:tcW w:w="1632" w:type="dxa"/>
            <w:shd w:val="clear" w:color="auto" w:fill="auto"/>
            <w:noWrap/>
          </w:tcPr>
          <w:p w:rsidR="00E7240A" w:rsidRDefault="00E7240A" w:rsidP="00A95965">
            <w:pPr>
              <w:pStyle w:val="TableText"/>
              <w:rPr>
                <w:b/>
                <w:szCs w:val="20"/>
              </w:rPr>
            </w:pPr>
          </w:p>
        </w:tc>
        <w:tc>
          <w:tcPr>
            <w:tcW w:w="3648" w:type="dxa"/>
            <w:shd w:val="clear" w:color="auto" w:fill="auto"/>
          </w:tcPr>
          <w:p w:rsidR="00E7240A" w:rsidRDefault="00E7240A" w:rsidP="00A95965">
            <w:pPr>
              <w:pStyle w:val="TableText"/>
              <w:rPr>
                <w:b/>
                <w:szCs w:val="20"/>
              </w:rPr>
            </w:pPr>
          </w:p>
        </w:tc>
        <w:tc>
          <w:tcPr>
            <w:tcW w:w="3840" w:type="dxa"/>
            <w:shd w:val="clear" w:color="auto" w:fill="auto"/>
          </w:tcPr>
          <w:p w:rsidR="00E7240A" w:rsidRDefault="00E7240A" w:rsidP="00A95965">
            <w:pPr>
              <w:pStyle w:val="TableText"/>
              <w:rPr>
                <w:b/>
                <w:szCs w:val="20"/>
              </w:rPr>
            </w:pPr>
          </w:p>
        </w:tc>
        <w:tc>
          <w:tcPr>
            <w:tcW w:w="3840" w:type="dxa"/>
            <w:shd w:val="clear" w:color="auto" w:fill="auto"/>
          </w:tcPr>
          <w:p w:rsidR="00E7240A" w:rsidRDefault="00E7240A" w:rsidP="00A95965">
            <w:pPr>
              <w:pStyle w:val="TableText"/>
              <w:rPr>
                <w:b/>
                <w:szCs w:val="20"/>
              </w:rPr>
            </w:pPr>
          </w:p>
        </w:tc>
      </w:tr>
    </w:tbl>
    <w:p w:rsidR="00E7240A" w:rsidRDefault="00E7240A" w:rsidP="00DD75E5">
      <w:pPr>
        <w:pStyle w:val="BodyText"/>
      </w:pPr>
    </w:p>
    <w:tbl>
      <w:tblPr>
        <w:tblW w:w="12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
      <w:tblGrid>
        <w:gridCol w:w="3793"/>
        <w:gridCol w:w="2330"/>
        <w:gridCol w:w="2111"/>
        <w:gridCol w:w="2330"/>
        <w:gridCol w:w="2396"/>
      </w:tblGrid>
      <w:tr w:rsidR="00E7240A">
        <w:trPr>
          <w:cantSplit/>
          <w:trHeight w:val="235"/>
          <w:tblHeader/>
        </w:trPr>
        <w:tc>
          <w:tcPr>
            <w:tcW w:w="12960" w:type="dxa"/>
            <w:gridSpan w:val="5"/>
            <w:shd w:val="clear" w:color="auto" w:fill="B3B3B3"/>
            <w:noWrap/>
          </w:tcPr>
          <w:p w:rsidR="00E7240A" w:rsidRPr="005F4649" w:rsidRDefault="00E7240A" w:rsidP="00CA119C">
            <w:pPr>
              <w:pStyle w:val="TableText"/>
              <w:rPr>
                <w:b/>
                <w:szCs w:val="20"/>
              </w:rPr>
            </w:pPr>
            <w:r>
              <w:rPr>
                <w:b/>
                <w:szCs w:val="20"/>
              </w:rPr>
              <w:t>Modified Unit(s)</w:t>
            </w:r>
          </w:p>
        </w:tc>
      </w:tr>
      <w:tr w:rsidR="00E7240A">
        <w:tblPrEx>
          <w:shd w:val="clear" w:color="auto" w:fill="auto"/>
        </w:tblPrEx>
        <w:trPr>
          <w:cantSplit/>
          <w:trHeight w:val="230"/>
          <w:tblHeader/>
        </w:trPr>
        <w:tc>
          <w:tcPr>
            <w:tcW w:w="3793" w:type="dxa"/>
            <w:shd w:val="clear" w:color="auto" w:fill="B3B3B3"/>
            <w:noWrap/>
          </w:tcPr>
          <w:p w:rsidR="00E7240A" w:rsidRPr="005F4649" w:rsidRDefault="00E7240A" w:rsidP="00CA119C">
            <w:pPr>
              <w:pStyle w:val="TableText"/>
              <w:rPr>
                <w:b/>
                <w:szCs w:val="20"/>
              </w:rPr>
            </w:pPr>
            <w:r>
              <w:rPr>
                <w:b/>
                <w:szCs w:val="20"/>
              </w:rPr>
              <w:t>Unit Identification Number</w:t>
            </w:r>
          </w:p>
        </w:tc>
        <w:tc>
          <w:tcPr>
            <w:tcW w:w="2330" w:type="dxa"/>
            <w:shd w:val="clear" w:color="auto" w:fill="B3B3B3"/>
          </w:tcPr>
          <w:p w:rsidR="00E7240A" w:rsidRPr="005F4649" w:rsidRDefault="00E7240A" w:rsidP="00CA119C">
            <w:pPr>
              <w:pStyle w:val="TableText"/>
              <w:rPr>
                <w:b/>
                <w:szCs w:val="20"/>
              </w:rPr>
            </w:pPr>
            <w:r>
              <w:rPr>
                <w:b/>
                <w:szCs w:val="20"/>
              </w:rPr>
              <w:t>Product Code</w:t>
            </w:r>
          </w:p>
        </w:tc>
        <w:tc>
          <w:tcPr>
            <w:tcW w:w="2111" w:type="dxa"/>
            <w:shd w:val="clear" w:color="auto" w:fill="B3B3B3"/>
          </w:tcPr>
          <w:p w:rsidR="00E7240A" w:rsidRDefault="00E7240A" w:rsidP="00CA119C">
            <w:pPr>
              <w:pStyle w:val="TableText"/>
              <w:rPr>
                <w:b/>
                <w:szCs w:val="20"/>
              </w:rPr>
            </w:pPr>
            <w:r>
              <w:rPr>
                <w:b/>
                <w:szCs w:val="20"/>
              </w:rPr>
              <w:t>ABO/Rh</w:t>
            </w:r>
          </w:p>
        </w:tc>
        <w:tc>
          <w:tcPr>
            <w:tcW w:w="2330" w:type="dxa"/>
            <w:shd w:val="clear" w:color="auto" w:fill="B3B3B3"/>
          </w:tcPr>
          <w:p w:rsidR="00E7240A" w:rsidRPr="005F4649" w:rsidRDefault="00E7240A" w:rsidP="00CA119C">
            <w:pPr>
              <w:pStyle w:val="TableText"/>
              <w:rPr>
                <w:b/>
                <w:szCs w:val="20"/>
              </w:rPr>
            </w:pPr>
            <w:r>
              <w:rPr>
                <w:b/>
                <w:szCs w:val="20"/>
              </w:rPr>
              <w:t>Container Lot Number</w:t>
            </w:r>
          </w:p>
        </w:tc>
        <w:tc>
          <w:tcPr>
            <w:tcW w:w="2396" w:type="dxa"/>
            <w:shd w:val="clear" w:color="auto" w:fill="B3B3B3"/>
          </w:tcPr>
          <w:p w:rsidR="00E7240A" w:rsidRPr="005F4649" w:rsidRDefault="00E7240A" w:rsidP="00CA119C">
            <w:pPr>
              <w:pStyle w:val="TableText"/>
              <w:rPr>
                <w:b/>
                <w:szCs w:val="20"/>
              </w:rPr>
            </w:pPr>
            <w:r>
              <w:rPr>
                <w:b/>
                <w:szCs w:val="20"/>
              </w:rPr>
              <w:t>Expiration Date and Time</w:t>
            </w:r>
          </w:p>
        </w:tc>
      </w:tr>
      <w:tr w:rsidR="00E7240A">
        <w:tblPrEx>
          <w:shd w:val="clear" w:color="auto" w:fill="auto"/>
        </w:tblPrEx>
        <w:trPr>
          <w:cantSplit/>
          <w:trHeight w:val="432"/>
        </w:trPr>
        <w:tc>
          <w:tcPr>
            <w:tcW w:w="3793" w:type="dxa"/>
            <w:noWrap/>
          </w:tcPr>
          <w:p w:rsidR="00E7240A" w:rsidRDefault="00E7240A" w:rsidP="00A95965">
            <w:pPr>
              <w:pStyle w:val="TableText"/>
              <w:rPr>
                <w:b/>
                <w:szCs w:val="20"/>
              </w:rPr>
            </w:pPr>
          </w:p>
        </w:tc>
        <w:tc>
          <w:tcPr>
            <w:tcW w:w="2330" w:type="dxa"/>
          </w:tcPr>
          <w:p w:rsidR="00E7240A" w:rsidRDefault="00E7240A" w:rsidP="00A95965">
            <w:pPr>
              <w:pStyle w:val="TableText"/>
              <w:rPr>
                <w:b/>
                <w:szCs w:val="20"/>
              </w:rPr>
            </w:pPr>
          </w:p>
        </w:tc>
        <w:tc>
          <w:tcPr>
            <w:tcW w:w="2111" w:type="dxa"/>
          </w:tcPr>
          <w:p w:rsidR="00E7240A" w:rsidRDefault="00E7240A" w:rsidP="00A95965">
            <w:pPr>
              <w:pStyle w:val="TableText"/>
              <w:rPr>
                <w:b/>
                <w:szCs w:val="20"/>
              </w:rPr>
            </w:pPr>
          </w:p>
        </w:tc>
        <w:tc>
          <w:tcPr>
            <w:tcW w:w="2330" w:type="dxa"/>
          </w:tcPr>
          <w:p w:rsidR="00E7240A" w:rsidRDefault="00E7240A" w:rsidP="00A95965">
            <w:pPr>
              <w:pStyle w:val="TableText"/>
              <w:rPr>
                <w:b/>
                <w:szCs w:val="20"/>
              </w:rPr>
            </w:pPr>
          </w:p>
        </w:tc>
        <w:tc>
          <w:tcPr>
            <w:tcW w:w="2396" w:type="dxa"/>
          </w:tcPr>
          <w:p w:rsidR="00E7240A" w:rsidRDefault="00E7240A" w:rsidP="00A95965">
            <w:pPr>
              <w:pStyle w:val="TableText"/>
              <w:rPr>
                <w:b/>
                <w:szCs w:val="20"/>
              </w:rPr>
            </w:pPr>
          </w:p>
        </w:tc>
      </w:tr>
      <w:tr w:rsidR="00E7240A">
        <w:tblPrEx>
          <w:shd w:val="clear" w:color="auto" w:fill="auto"/>
        </w:tblPrEx>
        <w:trPr>
          <w:cantSplit/>
          <w:trHeight w:val="432"/>
        </w:trPr>
        <w:tc>
          <w:tcPr>
            <w:tcW w:w="3793" w:type="dxa"/>
            <w:noWrap/>
          </w:tcPr>
          <w:p w:rsidR="00E7240A" w:rsidRDefault="00E7240A" w:rsidP="00A95965">
            <w:pPr>
              <w:pStyle w:val="TableText"/>
              <w:rPr>
                <w:b/>
                <w:szCs w:val="20"/>
              </w:rPr>
            </w:pPr>
          </w:p>
        </w:tc>
        <w:tc>
          <w:tcPr>
            <w:tcW w:w="2330" w:type="dxa"/>
          </w:tcPr>
          <w:p w:rsidR="00E7240A" w:rsidRDefault="00E7240A" w:rsidP="00A95965">
            <w:pPr>
              <w:pStyle w:val="TableText"/>
              <w:rPr>
                <w:b/>
                <w:szCs w:val="20"/>
              </w:rPr>
            </w:pPr>
          </w:p>
        </w:tc>
        <w:tc>
          <w:tcPr>
            <w:tcW w:w="2111" w:type="dxa"/>
          </w:tcPr>
          <w:p w:rsidR="00E7240A" w:rsidRDefault="00E7240A" w:rsidP="00A95965">
            <w:pPr>
              <w:pStyle w:val="TableText"/>
              <w:rPr>
                <w:b/>
                <w:szCs w:val="20"/>
              </w:rPr>
            </w:pPr>
          </w:p>
        </w:tc>
        <w:tc>
          <w:tcPr>
            <w:tcW w:w="2330" w:type="dxa"/>
          </w:tcPr>
          <w:p w:rsidR="00E7240A" w:rsidRDefault="00E7240A" w:rsidP="00A95965">
            <w:pPr>
              <w:pStyle w:val="TableText"/>
              <w:rPr>
                <w:b/>
                <w:szCs w:val="20"/>
              </w:rPr>
            </w:pPr>
          </w:p>
        </w:tc>
        <w:tc>
          <w:tcPr>
            <w:tcW w:w="2396" w:type="dxa"/>
          </w:tcPr>
          <w:p w:rsidR="00E7240A" w:rsidRDefault="00E7240A" w:rsidP="00A95965">
            <w:pPr>
              <w:pStyle w:val="TableText"/>
              <w:rPr>
                <w:b/>
                <w:szCs w:val="20"/>
              </w:rPr>
            </w:pPr>
          </w:p>
        </w:tc>
      </w:tr>
      <w:tr w:rsidR="00E7240A">
        <w:tblPrEx>
          <w:shd w:val="clear" w:color="auto" w:fill="auto"/>
        </w:tblPrEx>
        <w:trPr>
          <w:cantSplit/>
          <w:trHeight w:val="432"/>
        </w:trPr>
        <w:tc>
          <w:tcPr>
            <w:tcW w:w="3793" w:type="dxa"/>
            <w:noWrap/>
          </w:tcPr>
          <w:p w:rsidR="00E7240A" w:rsidRDefault="00E7240A" w:rsidP="00A95965">
            <w:pPr>
              <w:pStyle w:val="TableText"/>
              <w:rPr>
                <w:b/>
                <w:szCs w:val="20"/>
              </w:rPr>
            </w:pPr>
          </w:p>
        </w:tc>
        <w:tc>
          <w:tcPr>
            <w:tcW w:w="2330" w:type="dxa"/>
          </w:tcPr>
          <w:p w:rsidR="00E7240A" w:rsidRDefault="00E7240A" w:rsidP="00A95965">
            <w:pPr>
              <w:pStyle w:val="TableText"/>
              <w:rPr>
                <w:b/>
                <w:szCs w:val="20"/>
              </w:rPr>
            </w:pPr>
          </w:p>
        </w:tc>
        <w:tc>
          <w:tcPr>
            <w:tcW w:w="2111" w:type="dxa"/>
          </w:tcPr>
          <w:p w:rsidR="00E7240A" w:rsidRDefault="00E7240A" w:rsidP="00A95965">
            <w:pPr>
              <w:pStyle w:val="TableText"/>
              <w:rPr>
                <w:b/>
                <w:szCs w:val="20"/>
              </w:rPr>
            </w:pPr>
          </w:p>
        </w:tc>
        <w:tc>
          <w:tcPr>
            <w:tcW w:w="2330" w:type="dxa"/>
          </w:tcPr>
          <w:p w:rsidR="00E7240A" w:rsidRDefault="00E7240A" w:rsidP="00A95965">
            <w:pPr>
              <w:pStyle w:val="TableText"/>
              <w:rPr>
                <w:b/>
                <w:szCs w:val="20"/>
              </w:rPr>
            </w:pPr>
          </w:p>
        </w:tc>
        <w:tc>
          <w:tcPr>
            <w:tcW w:w="2396" w:type="dxa"/>
          </w:tcPr>
          <w:p w:rsidR="00E7240A" w:rsidRDefault="00E7240A" w:rsidP="00A95965">
            <w:pPr>
              <w:pStyle w:val="TableText"/>
              <w:rPr>
                <w:b/>
                <w:szCs w:val="20"/>
              </w:rPr>
            </w:pPr>
          </w:p>
        </w:tc>
      </w:tr>
      <w:tr w:rsidR="00246F04">
        <w:tblPrEx>
          <w:shd w:val="clear" w:color="auto" w:fill="auto"/>
        </w:tblPrEx>
        <w:trPr>
          <w:cantSplit/>
          <w:trHeight w:val="432"/>
        </w:trPr>
        <w:tc>
          <w:tcPr>
            <w:tcW w:w="3793" w:type="dxa"/>
            <w:noWrap/>
          </w:tcPr>
          <w:p w:rsidR="00246F04" w:rsidRDefault="00246F04" w:rsidP="00A95965">
            <w:pPr>
              <w:pStyle w:val="TableText"/>
              <w:rPr>
                <w:b/>
                <w:szCs w:val="20"/>
              </w:rPr>
            </w:pPr>
          </w:p>
        </w:tc>
        <w:tc>
          <w:tcPr>
            <w:tcW w:w="2330" w:type="dxa"/>
          </w:tcPr>
          <w:p w:rsidR="00246F04" w:rsidRDefault="00246F04" w:rsidP="00A95965">
            <w:pPr>
              <w:pStyle w:val="TableText"/>
              <w:rPr>
                <w:b/>
                <w:szCs w:val="20"/>
              </w:rPr>
            </w:pPr>
          </w:p>
        </w:tc>
        <w:tc>
          <w:tcPr>
            <w:tcW w:w="2111" w:type="dxa"/>
          </w:tcPr>
          <w:p w:rsidR="00246F04" w:rsidRDefault="00246F04" w:rsidP="00A95965">
            <w:pPr>
              <w:pStyle w:val="TableText"/>
              <w:rPr>
                <w:b/>
                <w:szCs w:val="20"/>
              </w:rPr>
            </w:pPr>
          </w:p>
        </w:tc>
        <w:tc>
          <w:tcPr>
            <w:tcW w:w="2330" w:type="dxa"/>
          </w:tcPr>
          <w:p w:rsidR="00246F04" w:rsidRDefault="00246F04" w:rsidP="00A95965">
            <w:pPr>
              <w:pStyle w:val="TableText"/>
              <w:rPr>
                <w:b/>
                <w:szCs w:val="20"/>
              </w:rPr>
            </w:pPr>
          </w:p>
        </w:tc>
        <w:tc>
          <w:tcPr>
            <w:tcW w:w="2396" w:type="dxa"/>
          </w:tcPr>
          <w:p w:rsidR="00246F04" w:rsidRDefault="00246F04" w:rsidP="00A95965">
            <w:pPr>
              <w:pStyle w:val="TableText"/>
              <w:rPr>
                <w:b/>
                <w:szCs w:val="20"/>
              </w:rPr>
            </w:pPr>
          </w:p>
        </w:tc>
      </w:tr>
      <w:tr w:rsidR="00246F04">
        <w:tblPrEx>
          <w:shd w:val="clear" w:color="auto" w:fill="auto"/>
        </w:tblPrEx>
        <w:trPr>
          <w:cantSplit/>
          <w:trHeight w:val="432"/>
        </w:trPr>
        <w:tc>
          <w:tcPr>
            <w:tcW w:w="3793" w:type="dxa"/>
            <w:noWrap/>
          </w:tcPr>
          <w:p w:rsidR="00246F04" w:rsidRDefault="00246F04" w:rsidP="00A95965">
            <w:pPr>
              <w:pStyle w:val="TableText"/>
              <w:rPr>
                <w:b/>
                <w:szCs w:val="20"/>
              </w:rPr>
            </w:pPr>
          </w:p>
        </w:tc>
        <w:tc>
          <w:tcPr>
            <w:tcW w:w="2330" w:type="dxa"/>
          </w:tcPr>
          <w:p w:rsidR="00246F04" w:rsidRDefault="00246F04" w:rsidP="00A95965">
            <w:pPr>
              <w:pStyle w:val="TableText"/>
              <w:rPr>
                <w:b/>
                <w:szCs w:val="20"/>
              </w:rPr>
            </w:pPr>
          </w:p>
        </w:tc>
        <w:tc>
          <w:tcPr>
            <w:tcW w:w="2111" w:type="dxa"/>
          </w:tcPr>
          <w:p w:rsidR="00246F04" w:rsidRDefault="00246F04" w:rsidP="00A95965">
            <w:pPr>
              <w:pStyle w:val="TableText"/>
              <w:rPr>
                <w:b/>
                <w:szCs w:val="20"/>
              </w:rPr>
            </w:pPr>
          </w:p>
        </w:tc>
        <w:tc>
          <w:tcPr>
            <w:tcW w:w="2330" w:type="dxa"/>
          </w:tcPr>
          <w:p w:rsidR="00246F04" w:rsidRDefault="00246F04" w:rsidP="00A95965">
            <w:pPr>
              <w:pStyle w:val="TableText"/>
              <w:rPr>
                <w:b/>
                <w:szCs w:val="20"/>
              </w:rPr>
            </w:pPr>
          </w:p>
        </w:tc>
        <w:tc>
          <w:tcPr>
            <w:tcW w:w="2396" w:type="dxa"/>
          </w:tcPr>
          <w:p w:rsidR="00246F04" w:rsidRDefault="00246F04" w:rsidP="00A95965">
            <w:pPr>
              <w:pStyle w:val="TableText"/>
              <w:rPr>
                <w:b/>
                <w:szCs w:val="20"/>
              </w:rPr>
            </w:pPr>
          </w:p>
        </w:tc>
      </w:tr>
      <w:tr w:rsidR="00246F04">
        <w:tblPrEx>
          <w:shd w:val="clear" w:color="auto" w:fill="auto"/>
        </w:tblPrEx>
        <w:trPr>
          <w:cantSplit/>
          <w:trHeight w:val="432"/>
        </w:trPr>
        <w:tc>
          <w:tcPr>
            <w:tcW w:w="3793" w:type="dxa"/>
            <w:noWrap/>
          </w:tcPr>
          <w:p w:rsidR="00246F04" w:rsidRDefault="00246F04" w:rsidP="00A95965">
            <w:pPr>
              <w:pStyle w:val="TableText"/>
              <w:rPr>
                <w:b/>
                <w:szCs w:val="20"/>
              </w:rPr>
            </w:pPr>
          </w:p>
        </w:tc>
        <w:tc>
          <w:tcPr>
            <w:tcW w:w="2330" w:type="dxa"/>
          </w:tcPr>
          <w:p w:rsidR="00246F04" w:rsidRDefault="00246F04" w:rsidP="00A95965">
            <w:pPr>
              <w:pStyle w:val="TableText"/>
              <w:rPr>
                <w:b/>
                <w:szCs w:val="20"/>
              </w:rPr>
            </w:pPr>
          </w:p>
        </w:tc>
        <w:tc>
          <w:tcPr>
            <w:tcW w:w="2111" w:type="dxa"/>
          </w:tcPr>
          <w:p w:rsidR="00246F04" w:rsidRDefault="00246F04" w:rsidP="00A95965">
            <w:pPr>
              <w:pStyle w:val="TableText"/>
              <w:rPr>
                <w:b/>
                <w:szCs w:val="20"/>
              </w:rPr>
            </w:pPr>
          </w:p>
        </w:tc>
        <w:tc>
          <w:tcPr>
            <w:tcW w:w="2330" w:type="dxa"/>
          </w:tcPr>
          <w:p w:rsidR="00246F04" w:rsidRDefault="00246F04" w:rsidP="00A95965">
            <w:pPr>
              <w:pStyle w:val="TableText"/>
              <w:rPr>
                <w:b/>
                <w:szCs w:val="20"/>
              </w:rPr>
            </w:pPr>
          </w:p>
        </w:tc>
        <w:tc>
          <w:tcPr>
            <w:tcW w:w="2396" w:type="dxa"/>
          </w:tcPr>
          <w:p w:rsidR="00246F04" w:rsidRDefault="00246F04" w:rsidP="00A95965">
            <w:pPr>
              <w:pStyle w:val="TableText"/>
              <w:rPr>
                <w:b/>
                <w:szCs w:val="20"/>
              </w:rPr>
            </w:pPr>
          </w:p>
        </w:tc>
      </w:tr>
      <w:tr w:rsidR="00E7240A">
        <w:tblPrEx>
          <w:shd w:val="clear" w:color="auto" w:fill="auto"/>
        </w:tblPrEx>
        <w:trPr>
          <w:cantSplit/>
          <w:trHeight w:val="432"/>
        </w:trPr>
        <w:tc>
          <w:tcPr>
            <w:tcW w:w="3793" w:type="dxa"/>
            <w:noWrap/>
          </w:tcPr>
          <w:p w:rsidR="00E7240A" w:rsidRDefault="00E7240A" w:rsidP="00A95965">
            <w:pPr>
              <w:pStyle w:val="TableText"/>
              <w:rPr>
                <w:b/>
                <w:szCs w:val="20"/>
              </w:rPr>
            </w:pPr>
          </w:p>
        </w:tc>
        <w:tc>
          <w:tcPr>
            <w:tcW w:w="2330" w:type="dxa"/>
          </w:tcPr>
          <w:p w:rsidR="00E7240A" w:rsidRDefault="00E7240A" w:rsidP="00A95965">
            <w:pPr>
              <w:pStyle w:val="TableText"/>
              <w:rPr>
                <w:b/>
                <w:szCs w:val="20"/>
              </w:rPr>
            </w:pPr>
          </w:p>
        </w:tc>
        <w:tc>
          <w:tcPr>
            <w:tcW w:w="2111" w:type="dxa"/>
          </w:tcPr>
          <w:p w:rsidR="00E7240A" w:rsidRDefault="00E7240A" w:rsidP="00A95965">
            <w:pPr>
              <w:pStyle w:val="TableText"/>
              <w:rPr>
                <w:b/>
                <w:szCs w:val="20"/>
              </w:rPr>
            </w:pPr>
          </w:p>
        </w:tc>
        <w:tc>
          <w:tcPr>
            <w:tcW w:w="2330" w:type="dxa"/>
          </w:tcPr>
          <w:p w:rsidR="00E7240A" w:rsidRDefault="00E7240A" w:rsidP="00A95965">
            <w:pPr>
              <w:pStyle w:val="TableText"/>
              <w:rPr>
                <w:b/>
                <w:szCs w:val="20"/>
              </w:rPr>
            </w:pPr>
          </w:p>
        </w:tc>
        <w:tc>
          <w:tcPr>
            <w:tcW w:w="2396" w:type="dxa"/>
          </w:tcPr>
          <w:p w:rsidR="00E7240A" w:rsidRDefault="00E7240A" w:rsidP="00A95965">
            <w:pPr>
              <w:pStyle w:val="TableText"/>
              <w:rPr>
                <w:b/>
                <w:szCs w:val="20"/>
              </w:rPr>
            </w:pPr>
          </w:p>
        </w:tc>
      </w:tr>
      <w:tr w:rsidR="00E7240A">
        <w:tblPrEx>
          <w:shd w:val="clear" w:color="auto" w:fill="auto"/>
        </w:tblPrEx>
        <w:trPr>
          <w:cantSplit/>
          <w:trHeight w:val="432"/>
        </w:trPr>
        <w:tc>
          <w:tcPr>
            <w:tcW w:w="3793" w:type="dxa"/>
            <w:noWrap/>
          </w:tcPr>
          <w:p w:rsidR="00E7240A" w:rsidRDefault="00E7240A" w:rsidP="00A95965">
            <w:pPr>
              <w:pStyle w:val="TableText"/>
              <w:rPr>
                <w:b/>
                <w:szCs w:val="20"/>
              </w:rPr>
            </w:pPr>
          </w:p>
        </w:tc>
        <w:tc>
          <w:tcPr>
            <w:tcW w:w="2330" w:type="dxa"/>
          </w:tcPr>
          <w:p w:rsidR="00E7240A" w:rsidRDefault="00E7240A" w:rsidP="00A95965">
            <w:pPr>
              <w:pStyle w:val="TableText"/>
              <w:rPr>
                <w:b/>
                <w:szCs w:val="20"/>
              </w:rPr>
            </w:pPr>
          </w:p>
        </w:tc>
        <w:tc>
          <w:tcPr>
            <w:tcW w:w="2111" w:type="dxa"/>
          </w:tcPr>
          <w:p w:rsidR="00E7240A" w:rsidRDefault="00E7240A" w:rsidP="00A95965">
            <w:pPr>
              <w:pStyle w:val="TableText"/>
              <w:rPr>
                <w:b/>
                <w:szCs w:val="20"/>
              </w:rPr>
            </w:pPr>
          </w:p>
        </w:tc>
        <w:tc>
          <w:tcPr>
            <w:tcW w:w="2330" w:type="dxa"/>
          </w:tcPr>
          <w:p w:rsidR="00E7240A" w:rsidRDefault="00E7240A" w:rsidP="00A95965">
            <w:pPr>
              <w:pStyle w:val="TableText"/>
              <w:rPr>
                <w:b/>
                <w:szCs w:val="20"/>
              </w:rPr>
            </w:pPr>
          </w:p>
        </w:tc>
        <w:tc>
          <w:tcPr>
            <w:tcW w:w="2396" w:type="dxa"/>
          </w:tcPr>
          <w:p w:rsidR="00E7240A" w:rsidRDefault="00E7240A" w:rsidP="00A95965">
            <w:pPr>
              <w:pStyle w:val="TableText"/>
              <w:rPr>
                <w:b/>
                <w:szCs w:val="20"/>
              </w:rPr>
            </w:pPr>
          </w:p>
        </w:tc>
      </w:tr>
      <w:tr w:rsidR="00E7240A">
        <w:tblPrEx>
          <w:shd w:val="clear" w:color="auto" w:fill="auto"/>
        </w:tblPrEx>
        <w:trPr>
          <w:cantSplit/>
          <w:trHeight w:val="432"/>
        </w:trPr>
        <w:tc>
          <w:tcPr>
            <w:tcW w:w="3793" w:type="dxa"/>
            <w:noWrap/>
          </w:tcPr>
          <w:p w:rsidR="00E7240A" w:rsidRDefault="00E7240A" w:rsidP="00A95965">
            <w:pPr>
              <w:pStyle w:val="TableText"/>
              <w:rPr>
                <w:b/>
                <w:szCs w:val="20"/>
              </w:rPr>
            </w:pPr>
          </w:p>
        </w:tc>
        <w:tc>
          <w:tcPr>
            <w:tcW w:w="2330" w:type="dxa"/>
          </w:tcPr>
          <w:p w:rsidR="00E7240A" w:rsidRDefault="00E7240A" w:rsidP="00A95965">
            <w:pPr>
              <w:pStyle w:val="TableText"/>
              <w:rPr>
                <w:b/>
                <w:szCs w:val="20"/>
              </w:rPr>
            </w:pPr>
          </w:p>
        </w:tc>
        <w:tc>
          <w:tcPr>
            <w:tcW w:w="2111" w:type="dxa"/>
          </w:tcPr>
          <w:p w:rsidR="00E7240A" w:rsidRDefault="00E7240A" w:rsidP="00A95965">
            <w:pPr>
              <w:pStyle w:val="TableText"/>
              <w:rPr>
                <w:b/>
                <w:szCs w:val="20"/>
              </w:rPr>
            </w:pPr>
          </w:p>
        </w:tc>
        <w:tc>
          <w:tcPr>
            <w:tcW w:w="2330" w:type="dxa"/>
          </w:tcPr>
          <w:p w:rsidR="00E7240A" w:rsidRDefault="00E7240A" w:rsidP="00A95965">
            <w:pPr>
              <w:pStyle w:val="TableText"/>
              <w:rPr>
                <w:b/>
                <w:szCs w:val="20"/>
              </w:rPr>
            </w:pPr>
          </w:p>
        </w:tc>
        <w:tc>
          <w:tcPr>
            <w:tcW w:w="2396" w:type="dxa"/>
          </w:tcPr>
          <w:p w:rsidR="00E7240A" w:rsidRDefault="00E7240A" w:rsidP="00A95965">
            <w:pPr>
              <w:pStyle w:val="TableText"/>
              <w:rPr>
                <w:b/>
                <w:szCs w:val="20"/>
              </w:rPr>
            </w:pPr>
          </w:p>
        </w:tc>
      </w:tr>
    </w:tbl>
    <w:p w:rsidR="00902D46" w:rsidRDefault="00902D46" w:rsidP="00CF32F4">
      <w:pPr>
        <w:pStyle w:val="BodyText"/>
        <w:jc w:val="center"/>
        <w:sectPr w:rsidR="00902D46" w:rsidSect="00EE771C">
          <w:footerReference w:type="default" r:id="rId235"/>
          <w:pgSz w:w="15840" w:h="12240" w:orient="landscape" w:code="1"/>
          <w:pgMar w:top="1440" w:right="1440" w:bottom="1440" w:left="1440" w:header="720" w:footer="720" w:gutter="0"/>
          <w:cols w:space="720"/>
          <w:docGrid w:linePitch="360"/>
        </w:sectPr>
      </w:pPr>
    </w:p>
    <w:p w:rsidR="000C342D" w:rsidRDefault="000C342D" w:rsidP="000C342D">
      <w:pPr>
        <w:pStyle w:val="BodyText"/>
        <w:jc w:val="center"/>
      </w:pPr>
      <w:r>
        <w:lastRenderedPageBreak/>
        <w:t>This page intentionally left blank.</w:t>
      </w:r>
    </w:p>
    <w:p w:rsidR="002A21AE" w:rsidRDefault="000C342D">
      <w:pPr>
        <w:pStyle w:val="Heading2"/>
      </w:pPr>
      <w:r>
        <w:br w:type="page"/>
      </w:r>
      <w:bookmarkStart w:id="590" w:name="_Ref170004931"/>
      <w:bookmarkStart w:id="591" w:name="_Toc459900193"/>
      <w:r w:rsidR="002A21AE">
        <w:lastRenderedPageBreak/>
        <w:t xml:space="preserve">Appendix </w:t>
      </w:r>
      <w:r w:rsidR="002A21AE">
        <w:fldChar w:fldCharType="begin"/>
      </w:r>
      <w:r w:rsidR="002A21AE">
        <w:instrText xml:space="preserve"> SEQ Appendix \* ALPHABETIC </w:instrText>
      </w:r>
      <w:r w:rsidR="002A21AE">
        <w:fldChar w:fldCharType="separate"/>
      </w:r>
      <w:r w:rsidR="005F38BC">
        <w:rPr>
          <w:noProof/>
        </w:rPr>
        <w:t>B</w:t>
      </w:r>
      <w:r w:rsidR="002A21AE">
        <w:fldChar w:fldCharType="end"/>
      </w:r>
      <w:bookmarkEnd w:id="590"/>
      <w:r w:rsidR="002A21AE">
        <w:t>: Database Table Information</w:t>
      </w:r>
      <w:bookmarkEnd w:id="591"/>
      <w:r w:rsidR="00681D23">
        <w:fldChar w:fldCharType="begin"/>
      </w:r>
      <w:r w:rsidR="00681D23">
        <w:instrText xml:space="preserve"> XE "</w:instrText>
      </w:r>
      <w:r w:rsidR="00681D23" w:rsidRPr="00FB2A0A">
        <w:instrText>Database Table Information</w:instrText>
      </w:r>
      <w:r w:rsidR="00681D23">
        <w:instrText xml:space="preserve">" </w:instrText>
      </w:r>
      <w:r w:rsidR="00681D23">
        <w:fldChar w:fldCharType="end"/>
      </w:r>
    </w:p>
    <w:p w:rsidR="002A21AE" w:rsidRDefault="002A21AE">
      <w:pPr>
        <w:pStyle w:val="Heading3"/>
      </w:pPr>
      <w:bookmarkStart w:id="592" w:name="_Toc91323735"/>
      <w:bookmarkStart w:id="593" w:name="_Toc77663549"/>
      <w:bookmarkStart w:id="594" w:name="_Toc91323764"/>
      <w:bookmarkStart w:id="595" w:name="_Toc77663546"/>
      <w:bookmarkStart w:id="596" w:name="_Toc91323761"/>
      <w:r w:rsidRPr="00302434">
        <w:rPr>
          <w:rFonts w:ascii="Arial Bold" w:hAnsi="Arial Bold"/>
          <w:vanish/>
        </w:rPr>
        <w:t xml:space="preserve">TT_23.01 </w:t>
      </w:r>
      <w:bookmarkStart w:id="597" w:name="_Toc459900194"/>
      <w:r>
        <w:t>Antibody and Antigen Tables</w:t>
      </w:r>
      <w:bookmarkEnd w:id="595"/>
      <w:bookmarkEnd w:id="596"/>
      <w:bookmarkEnd w:id="597"/>
    </w:p>
    <w:p w:rsidR="002A21AE" w:rsidRDefault="002A21AE" w:rsidP="0065062F">
      <w:pPr>
        <w:pStyle w:val="Heading3"/>
      </w:pPr>
      <w:bookmarkStart w:id="598" w:name="_Toc77663547"/>
      <w:bookmarkStart w:id="599" w:name="_Toc91323762"/>
      <w:bookmarkStart w:id="600" w:name="table13"/>
      <w:bookmarkStart w:id="601" w:name="_Toc459900195"/>
      <w:bookmarkEnd w:id="600"/>
      <w:r>
        <w:t>Antibody and Antigen Table: Irregular Antibodies</w:t>
      </w:r>
      <w:bookmarkEnd w:id="598"/>
      <w:bookmarkEnd w:id="599"/>
      <w:bookmarkEnd w:id="601"/>
      <w:r>
        <w:fldChar w:fldCharType="begin"/>
      </w:r>
      <w:r>
        <w:instrText xml:space="preserve"> XE </w:instrText>
      </w:r>
      <w:r w:rsidR="00FA7E65">
        <w:instrText>“</w:instrText>
      </w:r>
      <w:r>
        <w:instrText>Tables:Antibody and Antigen Table, Irregular Antibodies</w:instrText>
      </w:r>
      <w:r w:rsidR="00FA7E65">
        <w:instrText>”</w:instrText>
      </w:r>
      <w:r>
        <w:instrText xml:space="preserve"> </w:instrText>
      </w:r>
      <w:r>
        <w:fldChar w:fldCharType="end"/>
      </w:r>
    </w:p>
    <w:p w:rsidR="006C5E3A" w:rsidRDefault="00247207" w:rsidP="006C5E3A">
      <w:pPr>
        <w:pStyle w:val="BodyText"/>
      </w:pPr>
      <w:r>
        <w:t xml:space="preserve">VBECS </w:t>
      </w:r>
      <w:r w:rsidR="006C5E3A">
        <w:t xml:space="preserve">creates a division-specific copy in each division in the database. Setting Antibody Parameters allows the division to reset the calculated antigen negative requirement of antibodies to its medical director’s policy. </w:t>
      </w:r>
      <w:r w:rsidR="009A11C7">
        <w:t>Each orderable test name has a corresponding repeat test.</w:t>
      </w:r>
    </w:p>
    <w:p w:rsidR="002A21AE" w:rsidRDefault="002A21AE" w:rsidP="00FA7E65">
      <w:pPr>
        <w:pStyle w:val="BodyText"/>
      </w:pPr>
      <w:r>
        <w:t>Clinical significance of antibody specificity is set using the 14th edition of the AABB Technical Manual. A specific instance of an antibody for certain patients or different treatment conditions may behave quite differently, requiring antigen negative or crossmatch-compatible blood for the patient. The user may edit these settings for an individual patient.</w:t>
      </w:r>
    </w:p>
    <w:p w:rsidR="002A21AE" w:rsidRDefault="002A21AE" w:rsidP="00FA7E65">
      <w:pPr>
        <w:pStyle w:val="BodyText"/>
      </w:pPr>
      <w:r>
        <w:t xml:space="preserve">The antigen negative required settings apply to all instances of the antibody. Individual hospital policy may indicate that a setting of “OPT” should be made “REQ.” A policy of a global OPT may remain in the event of a specific clinically significant instance of a specificity in a particular patient. The individual patient’s antigen negative requirement may be set for the specificity in Entering and Removing Transfusion Requirements. </w:t>
      </w:r>
      <w:r>
        <w:rPr>
          <w:szCs w:val="16"/>
        </w:rPr>
        <w:t>In the Antigen Negative Requirement column:</w:t>
      </w:r>
    </w:p>
    <w:p w:rsidR="002A21AE" w:rsidRDefault="002A21AE">
      <w:pPr>
        <w:pStyle w:val="ListBullet"/>
      </w:pPr>
      <w:r>
        <w:t>“REQ” sets an antigen negative requirement that is not editable because these are generally considered to require the provision of antigen negative blood for patient transfusion.</w:t>
      </w:r>
    </w:p>
    <w:p w:rsidR="002A21AE" w:rsidRDefault="002A21AE">
      <w:pPr>
        <w:pStyle w:val="ListBullet"/>
      </w:pPr>
      <w:r>
        <w:t xml:space="preserve">“NO” does not set an antigen negative requirement and is not editable. </w:t>
      </w:r>
    </w:p>
    <w:p w:rsidR="002A21AE" w:rsidRDefault="002A21AE">
      <w:pPr>
        <w:pStyle w:val="ListBullet"/>
      </w:pPr>
      <w:r>
        <w:t xml:space="preserve">“OPT” in the Antibody sets an antigen negative requirement is editable and may be reset repeatedly on the division’s copy of the table. </w:t>
      </w:r>
    </w:p>
    <w:p w:rsidR="002A21AE" w:rsidRDefault="00896B41">
      <w:pPr>
        <w:pStyle w:val="Caption"/>
      </w:pPr>
      <w:bookmarkStart w:id="602" w:name="_Toc97523630"/>
      <w:bookmarkStart w:id="603" w:name="_Toc97527600"/>
      <w:r>
        <w:br w:type="page"/>
      </w:r>
      <w:bookmarkStart w:id="604" w:name="_Ref126484449"/>
      <w:bookmarkStart w:id="605" w:name="_Ref126730855"/>
      <w:r w:rsidR="002A21AE">
        <w:lastRenderedPageBreak/>
        <w:t xml:space="preserve">Table </w:t>
      </w:r>
      <w:r w:rsidR="002A21AE">
        <w:fldChar w:fldCharType="begin"/>
      </w:r>
      <w:r w:rsidR="002A21AE">
        <w:instrText xml:space="preserve"> SEQ Table \* ARABIC </w:instrText>
      </w:r>
      <w:r w:rsidR="002A21AE">
        <w:fldChar w:fldCharType="separate"/>
      </w:r>
      <w:r w:rsidR="005F38BC">
        <w:rPr>
          <w:noProof/>
        </w:rPr>
        <w:t>14</w:t>
      </w:r>
      <w:r w:rsidR="002A21AE">
        <w:fldChar w:fldCharType="end"/>
      </w:r>
      <w:bookmarkEnd w:id="605"/>
      <w:r w:rsidR="002A21AE">
        <w:t xml:space="preserve">: </w:t>
      </w:r>
      <w:r w:rsidR="002A21AE">
        <w:rPr>
          <w:vanish/>
        </w:rPr>
        <w:t xml:space="preserve">TT_23.01A </w:t>
      </w:r>
      <w:r w:rsidR="002A21AE">
        <w:t>Antibody and Antigen Table: Irregular Antibodies</w:t>
      </w:r>
      <w:bookmarkEnd w:id="602"/>
      <w:bookmarkEnd w:id="603"/>
      <w:bookmarkEnd w:id="604"/>
    </w:p>
    <w:tbl>
      <w:tblPr>
        <w:tblW w:w="936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253"/>
        <w:gridCol w:w="1253"/>
        <w:gridCol w:w="878"/>
        <w:gridCol w:w="878"/>
        <w:gridCol w:w="1253"/>
        <w:gridCol w:w="1253"/>
        <w:gridCol w:w="1296"/>
        <w:gridCol w:w="1296"/>
      </w:tblGrid>
      <w:tr w:rsidR="00B769D3" w:rsidRPr="00F77B4F">
        <w:trPr>
          <w:cantSplit/>
          <w:tblHeader/>
        </w:trPr>
        <w:tc>
          <w:tcPr>
            <w:tcW w:w="2506" w:type="dxa"/>
            <w:gridSpan w:val="2"/>
            <w:tcBorders>
              <w:top w:val="single" w:sz="4" w:space="0" w:color="auto"/>
              <w:left w:val="single" w:sz="4" w:space="0" w:color="auto"/>
              <w:bottom w:val="single" w:sz="4" w:space="0" w:color="auto"/>
              <w:right w:val="single" w:sz="4" w:space="0" w:color="auto"/>
            </w:tcBorders>
            <w:shd w:val="clear" w:color="auto" w:fill="B3B3B3"/>
          </w:tcPr>
          <w:p w:rsidR="00824338" w:rsidRPr="00F77B4F" w:rsidRDefault="00824338" w:rsidP="004D0818">
            <w:pPr>
              <w:pStyle w:val="TableText"/>
              <w:jc w:val="center"/>
              <w:rPr>
                <w:b/>
              </w:rPr>
            </w:pPr>
            <w:r w:rsidRPr="00F77B4F">
              <w:rPr>
                <w:b/>
              </w:rPr>
              <w:t>Antibody Name</w:t>
            </w:r>
          </w:p>
        </w:tc>
        <w:tc>
          <w:tcPr>
            <w:tcW w:w="878" w:type="dxa"/>
            <w:vMerge w:val="restart"/>
            <w:tcBorders>
              <w:top w:val="single" w:sz="4" w:space="0" w:color="auto"/>
              <w:left w:val="single" w:sz="4" w:space="0" w:color="auto"/>
              <w:right w:val="single" w:sz="4" w:space="0" w:color="auto"/>
            </w:tcBorders>
            <w:shd w:val="clear" w:color="auto" w:fill="B3B3B3"/>
            <w:textDirection w:val="btLr"/>
          </w:tcPr>
          <w:p w:rsidR="00824338" w:rsidRPr="00F77B4F" w:rsidRDefault="00824338" w:rsidP="0088039E">
            <w:pPr>
              <w:pStyle w:val="TableText"/>
              <w:rPr>
                <w:b/>
                <w:szCs w:val="16"/>
              </w:rPr>
            </w:pPr>
            <w:r>
              <w:rPr>
                <w:b/>
                <w:szCs w:val="16"/>
              </w:rPr>
              <w:t>Clinically Significant?</w:t>
            </w:r>
            <w:r w:rsidR="00F528F3" w:rsidRPr="00191509">
              <w:rPr>
                <w:rFonts w:ascii="Arial Bold" w:hAnsi="Arial Bold"/>
                <w:b/>
                <w:szCs w:val="18"/>
              </w:rPr>
              <w:t>§</w:t>
            </w:r>
            <w:r w:rsidR="00191509" w:rsidRPr="00191509">
              <w:rPr>
                <w:rFonts w:ascii="Arial Bold" w:hAnsi="Arial Bold"/>
                <w:b/>
                <w:vanish/>
                <w:szCs w:val="18"/>
              </w:rPr>
              <w:t>UserDoc Task 1096</w:t>
            </w:r>
          </w:p>
        </w:tc>
        <w:tc>
          <w:tcPr>
            <w:tcW w:w="878" w:type="dxa"/>
            <w:vMerge w:val="restart"/>
            <w:tcBorders>
              <w:top w:val="single" w:sz="4" w:space="0" w:color="auto"/>
              <w:left w:val="single" w:sz="4" w:space="0" w:color="auto"/>
              <w:right w:val="single" w:sz="4" w:space="0" w:color="auto"/>
            </w:tcBorders>
            <w:shd w:val="clear" w:color="auto" w:fill="B3B3B3"/>
            <w:textDirection w:val="btLr"/>
          </w:tcPr>
          <w:p w:rsidR="00824338" w:rsidRPr="00F77B4F" w:rsidRDefault="00824338" w:rsidP="0088039E">
            <w:pPr>
              <w:pStyle w:val="TableText"/>
              <w:rPr>
                <w:b/>
                <w:szCs w:val="16"/>
              </w:rPr>
            </w:pPr>
            <w:r w:rsidRPr="00F77B4F">
              <w:rPr>
                <w:b/>
                <w:szCs w:val="16"/>
              </w:rPr>
              <w:t>Does Antibody Set a</w:t>
            </w:r>
            <w:r>
              <w:rPr>
                <w:b/>
                <w:szCs w:val="16"/>
              </w:rPr>
              <w:t>n Antigen Negative Requirement?</w:t>
            </w:r>
          </w:p>
        </w:tc>
        <w:tc>
          <w:tcPr>
            <w:tcW w:w="2506" w:type="dxa"/>
            <w:gridSpan w:val="2"/>
            <w:tcBorders>
              <w:top w:val="single" w:sz="4" w:space="0" w:color="auto"/>
              <w:left w:val="single" w:sz="4" w:space="0" w:color="auto"/>
              <w:bottom w:val="single" w:sz="4" w:space="0" w:color="auto"/>
              <w:right w:val="single" w:sz="4" w:space="0" w:color="auto"/>
            </w:tcBorders>
            <w:shd w:val="clear" w:color="auto" w:fill="B3B3B3"/>
          </w:tcPr>
          <w:p w:rsidR="00824338" w:rsidRPr="00F77B4F" w:rsidRDefault="00824338" w:rsidP="004D0818">
            <w:pPr>
              <w:pStyle w:val="TableText"/>
              <w:jc w:val="center"/>
              <w:rPr>
                <w:b/>
              </w:rPr>
            </w:pPr>
            <w:r w:rsidRPr="00F77B4F">
              <w:rPr>
                <w:b/>
              </w:rPr>
              <w:t>Associated Antigen</w:t>
            </w:r>
          </w:p>
        </w:tc>
        <w:tc>
          <w:tcPr>
            <w:tcW w:w="1296" w:type="dxa"/>
            <w:vMerge w:val="restart"/>
            <w:tcBorders>
              <w:top w:val="single" w:sz="4" w:space="0" w:color="auto"/>
              <w:left w:val="single" w:sz="4" w:space="0" w:color="auto"/>
              <w:right w:val="single" w:sz="4" w:space="0" w:color="auto"/>
            </w:tcBorders>
            <w:shd w:val="clear" w:color="auto" w:fill="B3B3B3"/>
            <w:textDirection w:val="btLr"/>
          </w:tcPr>
          <w:p w:rsidR="00824338" w:rsidRPr="00F77B4F" w:rsidRDefault="00824338" w:rsidP="0088039E">
            <w:pPr>
              <w:pStyle w:val="TableText"/>
              <w:rPr>
                <w:b/>
              </w:rPr>
            </w:pPr>
            <w:r w:rsidRPr="00F77B4F">
              <w:rPr>
                <w:b/>
              </w:rPr>
              <w:t>Antigen Negative Compatibility Percentage</w:t>
            </w:r>
          </w:p>
        </w:tc>
        <w:tc>
          <w:tcPr>
            <w:tcW w:w="1296" w:type="dxa"/>
            <w:vMerge w:val="restart"/>
            <w:tcBorders>
              <w:top w:val="single" w:sz="4" w:space="0" w:color="auto"/>
              <w:left w:val="single" w:sz="4" w:space="0" w:color="auto"/>
              <w:right w:val="single" w:sz="4" w:space="0" w:color="auto"/>
            </w:tcBorders>
            <w:shd w:val="clear" w:color="auto" w:fill="B3B3B3"/>
            <w:textDirection w:val="btLr"/>
          </w:tcPr>
          <w:p w:rsidR="00824338" w:rsidRPr="00F77B4F" w:rsidRDefault="00824338" w:rsidP="0088039E">
            <w:pPr>
              <w:pStyle w:val="TableText"/>
              <w:rPr>
                <w:b/>
              </w:rPr>
            </w:pPr>
            <w:r w:rsidRPr="00F77B4F">
              <w:rPr>
                <w:b/>
              </w:rPr>
              <w:t>VBECS Antigen Typing Orderable Test</w:t>
            </w:r>
          </w:p>
        </w:tc>
      </w:tr>
      <w:tr w:rsidR="00824338" w:rsidRPr="00F77B4F">
        <w:trPr>
          <w:cantSplit/>
          <w:trHeight w:val="1358"/>
          <w:tblHeader/>
        </w:trPr>
        <w:tc>
          <w:tcPr>
            <w:tcW w:w="1253" w:type="dxa"/>
            <w:tcBorders>
              <w:top w:val="single" w:sz="4" w:space="0" w:color="auto"/>
              <w:left w:val="single" w:sz="4" w:space="0" w:color="auto"/>
              <w:bottom w:val="single" w:sz="4" w:space="0" w:color="auto"/>
              <w:right w:val="single" w:sz="4" w:space="0" w:color="auto"/>
            </w:tcBorders>
            <w:shd w:val="clear" w:color="auto" w:fill="B3B3B3"/>
            <w:vAlign w:val="bottom"/>
          </w:tcPr>
          <w:p w:rsidR="00824338" w:rsidRPr="00F77B4F" w:rsidRDefault="00824338" w:rsidP="00AD0B01">
            <w:pPr>
              <w:pStyle w:val="TableText"/>
              <w:rPr>
                <w:rFonts w:eastAsia="Symbol"/>
                <w:b/>
              </w:rPr>
            </w:pPr>
            <w:r w:rsidRPr="00F77B4F">
              <w:rPr>
                <w:b/>
              </w:rPr>
              <w:t>VBECS*</w:t>
            </w:r>
          </w:p>
        </w:tc>
        <w:tc>
          <w:tcPr>
            <w:tcW w:w="1253" w:type="dxa"/>
            <w:tcBorders>
              <w:top w:val="single" w:sz="4" w:space="0" w:color="auto"/>
              <w:left w:val="single" w:sz="4" w:space="0" w:color="auto"/>
              <w:bottom w:val="single" w:sz="4" w:space="0" w:color="auto"/>
              <w:right w:val="single" w:sz="4" w:space="0" w:color="auto"/>
            </w:tcBorders>
            <w:shd w:val="clear" w:color="auto" w:fill="B3B3B3"/>
            <w:vAlign w:val="bottom"/>
          </w:tcPr>
          <w:p w:rsidR="00824338" w:rsidRPr="00F77B4F" w:rsidRDefault="00824338" w:rsidP="00AD0B01">
            <w:pPr>
              <w:pStyle w:val="TableText"/>
              <w:rPr>
                <w:b/>
              </w:rPr>
            </w:pPr>
            <w:r w:rsidRPr="00F77B4F">
              <w:rPr>
                <w:b/>
              </w:rPr>
              <w:t>VistA</w:t>
            </w:r>
            <w:r>
              <w:rPr>
                <w:b/>
              </w:rPr>
              <w:t>†</w:t>
            </w:r>
          </w:p>
        </w:tc>
        <w:tc>
          <w:tcPr>
            <w:tcW w:w="878" w:type="dxa"/>
            <w:vMerge/>
            <w:tcBorders>
              <w:left w:val="single" w:sz="4" w:space="0" w:color="auto"/>
              <w:bottom w:val="single" w:sz="4" w:space="0" w:color="auto"/>
              <w:right w:val="single" w:sz="4" w:space="0" w:color="auto"/>
            </w:tcBorders>
            <w:shd w:val="clear" w:color="auto" w:fill="B3B3B3"/>
            <w:textDirection w:val="btLr"/>
          </w:tcPr>
          <w:p w:rsidR="00824338" w:rsidRPr="00F77B4F" w:rsidRDefault="00824338" w:rsidP="00AD0B01">
            <w:pPr>
              <w:pStyle w:val="TableText"/>
              <w:rPr>
                <w:b/>
                <w:szCs w:val="16"/>
              </w:rPr>
            </w:pPr>
          </w:p>
        </w:tc>
        <w:tc>
          <w:tcPr>
            <w:tcW w:w="878" w:type="dxa"/>
            <w:vMerge/>
            <w:tcBorders>
              <w:left w:val="single" w:sz="4" w:space="0" w:color="auto"/>
              <w:bottom w:val="single" w:sz="4" w:space="0" w:color="auto"/>
              <w:right w:val="single" w:sz="4" w:space="0" w:color="auto"/>
            </w:tcBorders>
            <w:shd w:val="clear" w:color="auto" w:fill="B3B3B3"/>
            <w:textDirection w:val="btLr"/>
          </w:tcPr>
          <w:p w:rsidR="00824338" w:rsidRPr="00F77B4F" w:rsidRDefault="00824338" w:rsidP="00AD0B01">
            <w:pPr>
              <w:pStyle w:val="TableText"/>
              <w:rPr>
                <w:rFonts w:eastAsia="Symbol"/>
                <w:b/>
                <w:szCs w:val="16"/>
              </w:rPr>
            </w:pPr>
          </w:p>
        </w:tc>
        <w:tc>
          <w:tcPr>
            <w:tcW w:w="1253" w:type="dxa"/>
            <w:tcBorders>
              <w:top w:val="single" w:sz="4" w:space="0" w:color="auto"/>
              <w:left w:val="single" w:sz="4" w:space="0" w:color="auto"/>
              <w:bottom w:val="single" w:sz="4" w:space="0" w:color="auto"/>
              <w:right w:val="single" w:sz="4" w:space="0" w:color="auto"/>
            </w:tcBorders>
            <w:shd w:val="clear" w:color="auto" w:fill="B3B3B3"/>
            <w:vAlign w:val="bottom"/>
          </w:tcPr>
          <w:p w:rsidR="00824338" w:rsidRPr="006831BE" w:rsidRDefault="00824338" w:rsidP="006831BE">
            <w:pPr>
              <w:pStyle w:val="TableText"/>
              <w:rPr>
                <w:b/>
              </w:rPr>
            </w:pPr>
            <w:r w:rsidRPr="006831BE">
              <w:rPr>
                <w:b/>
              </w:rPr>
              <w:t>VBECS</w:t>
            </w:r>
          </w:p>
        </w:tc>
        <w:tc>
          <w:tcPr>
            <w:tcW w:w="1253" w:type="dxa"/>
            <w:tcBorders>
              <w:top w:val="single" w:sz="4" w:space="0" w:color="auto"/>
              <w:left w:val="single" w:sz="4" w:space="0" w:color="auto"/>
              <w:bottom w:val="single" w:sz="4" w:space="0" w:color="auto"/>
              <w:right w:val="single" w:sz="4" w:space="0" w:color="auto"/>
            </w:tcBorders>
            <w:shd w:val="clear" w:color="auto" w:fill="B3B3B3"/>
            <w:vAlign w:val="bottom"/>
          </w:tcPr>
          <w:p w:rsidR="00824338" w:rsidRPr="006831BE" w:rsidRDefault="00824338" w:rsidP="006831BE">
            <w:pPr>
              <w:pStyle w:val="TableText"/>
              <w:rPr>
                <w:b/>
              </w:rPr>
            </w:pPr>
            <w:r w:rsidRPr="006831BE">
              <w:rPr>
                <w:b/>
              </w:rPr>
              <w:t>VistA†</w:t>
            </w:r>
          </w:p>
        </w:tc>
        <w:tc>
          <w:tcPr>
            <w:tcW w:w="1296" w:type="dxa"/>
            <w:vMerge/>
            <w:tcBorders>
              <w:left w:val="single" w:sz="4" w:space="0" w:color="auto"/>
              <w:bottom w:val="single" w:sz="4" w:space="0" w:color="auto"/>
              <w:right w:val="single" w:sz="4" w:space="0" w:color="auto"/>
            </w:tcBorders>
            <w:shd w:val="clear" w:color="auto" w:fill="B3B3B3"/>
            <w:textDirection w:val="btLr"/>
          </w:tcPr>
          <w:p w:rsidR="00824338" w:rsidRPr="00F77B4F" w:rsidRDefault="00824338" w:rsidP="00AD0B01">
            <w:pPr>
              <w:pStyle w:val="TableText"/>
              <w:rPr>
                <w:rFonts w:eastAsia="Symbol"/>
                <w:b/>
              </w:rPr>
            </w:pPr>
          </w:p>
        </w:tc>
        <w:tc>
          <w:tcPr>
            <w:tcW w:w="1296" w:type="dxa"/>
            <w:vMerge/>
            <w:tcBorders>
              <w:left w:val="single" w:sz="4" w:space="0" w:color="auto"/>
              <w:bottom w:val="single" w:sz="4" w:space="0" w:color="auto"/>
              <w:right w:val="single" w:sz="4" w:space="0" w:color="auto"/>
            </w:tcBorders>
            <w:shd w:val="clear" w:color="auto" w:fill="B3B3B3"/>
            <w:textDirection w:val="btLr"/>
          </w:tcPr>
          <w:p w:rsidR="00824338" w:rsidRPr="00F77B4F" w:rsidRDefault="00824338" w:rsidP="00AD0B01">
            <w:pPr>
              <w:pStyle w:val="TableText"/>
              <w:rPr>
                <w:b/>
              </w:rPr>
            </w:pP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bookmarkStart w:id="606" w:name="_Toc77663548"/>
            <w:r>
              <w:t>Anti-D</w:t>
            </w:r>
          </w:p>
        </w:tc>
        <w:tc>
          <w:tcPr>
            <w:tcW w:w="1253" w:type="dxa"/>
            <w:shd w:val="clear" w:color="auto" w:fill="auto"/>
          </w:tcPr>
          <w:p w:rsidR="003E3D07" w:rsidRDefault="003E3D07">
            <w:pPr>
              <w:pStyle w:val="TableText"/>
              <w:rPr>
                <w:rFonts w:eastAsia="Symbol"/>
              </w:rPr>
            </w:pPr>
            <w:r>
              <w:t>Anti-D</w:t>
            </w:r>
          </w:p>
        </w:tc>
        <w:tc>
          <w:tcPr>
            <w:tcW w:w="878" w:type="dxa"/>
            <w:shd w:val="clear" w:color="auto" w:fill="auto"/>
          </w:tcPr>
          <w:p w:rsidR="003E3D07" w:rsidRDefault="003E3D07">
            <w:pPr>
              <w:pStyle w:val="TableText"/>
              <w:rPr>
                <w:b/>
                <w:bCs/>
              </w:rPr>
            </w:pPr>
            <w:r>
              <w:rPr>
                <w:bCs/>
              </w:rPr>
              <w:t>Yes</w:t>
            </w:r>
          </w:p>
        </w:tc>
        <w:tc>
          <w:tcPr>
            <w:tcW w:w="878" w:type="dxa"/>
            <w:shd w:val="clear" w:color="auto" w:fill="auto"/>
          </w:tcPr>
          <w:p w:rsidR="003E3D07" w:rsidRDefault="003E3D07">
            <w:pPr>
              <w:pStyle w:val="TableText"/>
              <w:rPr>
                <w:rFonts w:eastAsia="Symbol"/>
                <w:b/>
                <w:bCs/>
              </w:rPr>
            </w:pPr>
            <w:r>
              <w:rPr>
                <w:bCs/>
              </w:rPr>
              <w:t>Yes</w:t>
            </w:r>
          </w:p>
        </w:tc>
        <w:tc>
          <w:tcPr>
            <w:tcW w:w="1253" w:type="dxa"/>
            <w:shd w:val="clear" w:color="auto" w:fill="auto"/>
          </w:tcPr>
          <w:p w:rsidR="003E3D07" w:rsidRDefault="003E3D07">
            <w:pPr>
              <w:pStyle w:val="TableText"/>
              <w:rPr>
                <w:rFonts w:eastAsia="Symbol"/>
              </w:rPr>
            </w:pPr>
            <w:r>
              <w:t>D</w:t>
            </w:r>
          </w:p>
        </w:tc>
        <w:tc>
          <w:tcPr>
            <w:tcW w:w="1253" w:type="dxa"/>
            <w:shd w:val="clear" w:color="auto" w:fill="auto"/>
          </w:tcPr>
          <w:p w:rsidR="003E3D07" w:rsidRDefault="003E3D07">
            <w:pPr>
              <w:pStyle w:val="TableText"/>
              <w:rPr>
                <w:rFonts w:eastAsia="Symbol"/>
              </w:rPr>
            </w:pPr>
            <w:r>
              <w:t>D</w:t>
            </w:r>
          </w:p>
        </w:tc>
        <w:tc>
          <w:tcPr>
            <w:tcW w:w="1296" w:type="dxa"/>
            <w:shd w:val="clear" w:color="auto" w:fill="auto"/>
          </w:tcPr>
          <w:p w:rsidR="003E3D07" w:rsidRDefault="003E3D07">
            <w:pPr>
              <w:pStyle w:val="TableText"/>
              <w:rPr>
                <w:rFonts w:eastAsia="Symbol"/>
              </w:rPr>
            </w:pPr>
            <w:r>
              <w:t>13</w:t>
            </w:r>
          </w:p>
        </w:tc>
        <w:tc>
          <w:tcPr>
            <w:tcW w:w="1296" w:type="dxa"/>
            <w:shd w:val="clear" w:color="auto" w:fill="auto"/>
          </w:tcPr>
          <w:p w:rsidR="003E3D07" w:rsidRDefault="003E3D07">
            <w:pPr>
              <w:pStyle w:val="TableText"/>
              <w:rPr>
                <w:rFonts w:eastAsia="Symbol"/>
              </w:rPr>
            </w:pPr>
            <w:r>
              <w:t>AGD</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pPr>
            <w:r>
              <w:t>N/A</w:t>
            </w:r>
          </w:p>
        </w:tc>
        <w:tc>
          <w:tcPr>
            <w:tcW w:w="1253" w:type="dxa"/>
            <w:shd w:val="clear" w:color="auto" w:fill="auto"/>
          </w:tcPr>
          <w:p w:rsidR="003E3D07" w:rsidRDefault="003E3D07">
            <w:pPr>
              <w:pStyle w:val="TableText"/>
            </w:pPr>
            <w:r>
              <w:t>N/A</w:t>
            </w:r>
          </w:p>
        </w:tc>
        <w:tc>
          <w:tcPr>
            <w:tcW w:w="878" w:type="dxa"/>
            <w:shd w:val="clear" w:color="auto" w:fill="auto"/>
          </w:tcPr>
          <w:p w:rsidR="003E3D07" w:rsidRDefault="003E3D07">
            <w:pPr>
              <w:pStyle w:val="TableText"/>
              <w:rPr>
                <w:b/>
                <w:bCs/>
              </w:rPr>
            </w:pPr>
            <w:r>
              <w:t>N/A</w:t>
            </w:r>
          </w:p>
        </w:tc>
        <w:tc>
          <w:tcPr>
            <w:tcW w:w="878" w:type="dxa"/>
            <w:shd w:val="clear" w:color="auto" w:fill="auto"/>
          </w:tcPr>
          <w:p w:rsidR="003E3D07" w:rsidRDefault="003E3D07">
            <w:pPr>
              <w:pStyle w:val="TableText"/>
              <w:rPr>
                <w:b/>
                <w:bCs/>
              </w:rPr>
            </w:pPr>
            <w:r>
              <w:t>N/A</w:t>
            </w:r>
          </w:p>
        </w:tc>
        <w:tc>
          <w:tcPr>
            <w:tcW w:w="1253" w:type="dxa"/>
            <w:shd w:val="clear" w:color="auto" w:fill="auto"/>
          </w:tcPr>
          <w:p w:rsidR="003E3D07" w:rsidRDefault="003E3D07">
            <w:pPr>
              <w:pStyle w:val="TableText"/>
            </w:pPr>
            <w:r>
              <w:t>N/A</w:t>
            </w:r>
          </w:p>
        </w:tc>
        <w:tc>
          <w:tcPr>
            <w:tcW w:w="1253" w:type="dxa"/>
            <w:shd w:val="clear" w:color="auto" w:fill="auto"/>
          </w:tcPr>
          <w:p w:rsidR="003E3D07" w:rsidRDefault="003E3D07">
            <w:pPr>
              <w:pStyle w:val="TableText"/>
            </w:pPr>
            <w:r>
              <w:t>N/A</w:t>
            </w:r>
          </w:p>
        </w:tc>
        <w:tc>
          <w:tcPr>
            <w:tcW w:w="1296" w:type="dxa"/>
            <w:shd w:val="clear" w:color="auto" w:fill="auto"/>
          </w:tcPr>
          <w:p w:rsidR="003E3D07" w:rsidRDefault="003E3D07">
            <w:pPr>
              <w:pStyle w:val="TableText"/>
            </w:pPr>
            <w:r>
              <w:t>N/A</w:t>
            </w:r>
          </w:p>
        </w:tc>
        <w:tc>
          <w:tcPr>
            <w:tcW w:w="1296" w:type="dxa"/>
            <w:shd w:val="clear" w:color="auto" w:fill="auto"/>
          </w:tcPr>
          <w:p w:rsidR="003E3D07" w:rsidRDefault="003E3D07">
            <w:pPr>
              <w:pStyle w:val="TableText"/>
            </w:pPr>
            <w:r>
              <w:t>AGwD</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Anti-C</w:t>
            </w:r>
          </w:p>
        </w:tc>
        <w:tc>
          <w:tcPr>
            <w:tcW w:w="1253" w:type="dxa"/>
            <w:shd w:val="clear" w:color="auto" w:fill="auto"/>
          </w:tcPr>
          <w:p w:rsidR="003E3D07" w:rsidRDefault="003E3D07">
            <w:pPr>
              <w:pStyle w:val="TableText"/>
              <w:rPr>
                <w:rFonts w:eastAsia="Symbol"/>
              </w:rPr>
            </w:pPr>
            <w:r>
              <w:t>Anti-C</w:t>
            </w:r>
          </w:p>
        </w:tc>
        <w:tc>
          <w:tcPr>
            <w:tcW w:w="878" w:type="dxa"/>
            <w:shd w:val="clear" w:color="auto" w:fill="auto"/>
          </w:tcPr>
          <w:p w:rsidR="003E3D07" w:rsidRDefault="003E3D07">
            <w:pPr>
              <w:pStyle w:val="TableText"/>
              <w:rPr>
                <w:b/>
                <w:bCs/>
              </w:rPr>
            </w:pPr>
            <w:r>
              <w:rPr>
                <w:bCs/>
              </w:rPr>
              <w:t>Yes</w:t>
            </w:r>
          </w:p>
        </w:tc>
        <w:tc>
          <w:tcPr>
            <w:tcW w:w="878" w:type="dxa"/>
            <w:shd w:val="clear" w:color="auto" w:fill="auto"/>
          </w:tcPr>
          <w:p w:rsidR="003E3D07" w:rsidRDefault="003E3D07">
            <w:pPr>
              <w:pStyle w:val="TableText"/>
              <w:rPr>
                <w:rFonts w:eastAsia="Symbol"/>
                <w:b/>
                <w:bCs/>
              </w:rPr>
            </w:pPr>
            <w:r>
              <w:rPr>
                <w:bCs/>
              </w:rPr>
              <w:t>Yes</w:t>
            </w:r>
          </w:p>
        </w:tc>
        <w:tc>
          <w:tcPr>
            <w:tcW w:w="1253" w:type="dxa"/>
            <w:shd w:val="clear" w:color="auto" w:fill="auto"/>
          </w:tcPr>
          <w:p w:rsidR="003E3D07" w:rsidRDefault="003E3D07">
            <w:pPr>
              <w:pStyle w:val="TableText"/>
              <w:rPr>
                <w:rFonts w:eastAsia="Symbol"/>
              </w:rPr>
            </w:pPr>
            <w:r>
              <w:t>C</w:t>
            </w:r>
          </w:p>
        </w:tc>
        <w:tc>
          <w:tcPr>
            <w:tcW w:w="1253" w:type="dxa"/>
            <w:shd w:val="clear" w:color="auto" w:fill="auto"/>
          </w:tcPr>
          <w:p w:rsidR="003E3D07" w:rsidRDefault="003E3D07">
            <w:pPr>
              <w:pStyle w:val="TableText"/>
              <w:rPr>
                <w:rFonts w:eastAsia="Symbol"/>
              </w:rPr>
            </w:pPr>
            <w:r>
              <w:t>C</w:t>
            </w:r>
          </w:p>
        </w:tc>
        <w:tc>
          <w:tcPr>
            <w:tcW w:w="1296" w:type="dxa"/>
            <w:shd w:val="clear" w:color="auto" w:fill="auto"/>
          </w:tcPr>
          <w:p w:rsidR="003E3D07" w:rsidRDefault="003E3D07">
            <w:pPr>
              <w:pStyle w:val="TableText"/>
              <w:rPr>
                <w:rFonts w:eastAsia="Symbol"/>
              </w:rPr>
            </w:pPr>
            <w:r>
              <w:t>53</w:t>
            </w:r>
          </w:p>
        </w:tc>
        <w:tc>
          <w:tcPr>
            <w:tcW w:w="1296" w:type="dxa"/>
            <w:shd w:val="clear" w:color="auto" w:fill="auto"/>
          </w:tcPr>
          <w:p w:rsidR="003E3D07" w:rsidRDefault="003E3D07">
            <w:pPr>
              <w:pStyle w:val="TableText"/>
              <w:rPr>
                <w:rFonts w:eastAsia="Symbol"/>
              </w:rPr>
            </w:pPr>
            <w:r>
              <w:t>AGC</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Anti-E</w:t>
            </w:r>
          </w:p>
        </w:tc>
        <w:tc>
          <w:tcPr>
            <w:tcW w:w="1253" w:type="dxa"/>
            <w:shd w:val="clear" w:color="auto" w:fill="auto"/>
          </w:tcPr>
          <w:p w:rsidR="003E3D07" w:rsidRDefault="003E3D07">
            <w:pPr>
              <w:pStyle w:val="TableText"/>
              <w:rPr>
                <w:rFonts w:eastAsia="Symbol"/>
              </w:rPr>
            </w:pPr>
            <w:r>
              <w:t>Anti-E</w:t>
            </w:r>
          </w:p>
        </w:tc>
        <w:tc>
          <w:tcPr>
            <w:tcW w:w="878" w:type="dxa"/>
            <w:shd w:val="clear" w:color="auto" w:fill="auto"/>
          </w:tcPr>
          <w:p w:rsidR="003E3D07" w:rsidRDefault="003E3D07">
            <w:pPr>
              <w:pStyle w:val="TableText"/>
              <w:rPr>
                <w:b/>
                <w:bCs/>
              </w:rPr>
            </w:pPr>
            <w:r>
              <w:rPr>
                <w:bCs/>
              </w:rPr>
              <w:t>Yes</w:t>
            </w:r>
          </w:p>
        </w:tc>
        <w:tc>
          <w:tcPr>
            <w:tcW w:w="878" w:type="dxa"/>
            <w:shd w:val="clear" w:color="auto" w:fill="auto"/>
          </w:tcPr>
          <w:p w:rsidR="003E3D07" w:rsidRDefault="003E3D07">
            <w:pPr>
              <w:pStyle w:val="TableText"/>
              <w:rPr>
                <w:rFonts w:eastAsia="Symbol"/>
                <w:b/>
                <w:bCs/>
              </w:rPr>
            </w:pPr>
            <w:r>
              <w:rPr>
                <w:bCs/>
              </w:rPr>
              <w:t>Yes</w:t>
            </w:r>
          </w:p>
        </w:tc>
        <w:tc>
          <w:tcPr>
            <w:tcW w:w="1253" w:type="dxa"/>
            <w:shd w:val="clear" w:color="auto" w:fill="auto"/>
          </w:tcPr>
          <w:p w:rsidR="003E3D07" w:rsidRDefault="003E3D07">
            <w:pPr>
              <w:pStyle w:val="TableText"/>
              <w:rPr>
                <w:rFonts w:eastAsia="Symbol"/>
              </w:rPr>
            </w:pPr>
            <w:r>
              <w:t>E</w:t>
            </w:r>
          </w:p>
        </w:tc>
        <w:tc>
          <w:tcPr>
            <w:tcW w:w="1253" w:type="dxa"/>
            <w:shd w:val="clear" w:color="auto" w:fill="auto"/>
          </w:tcPr>
          <w:p w:rsidR="003E3D07" w:rsidRDefault="003E3D07">
            <w:pPr>
              <w:pStyle w:val="TableText"/>
              <w:rPr>
                <w:rFonts w:eastAsia="Symbol"/>
              </w:rPr>
            </w:pPr>
            <w:r>
              <w:t>E</w:t>
            </w:r>
          </w:p>
        </w:tc>
        <w:tc>
          <w:tcPr>
            <w:tcW w:w="1296" w:type="dxa"/>
            <w:shd w:val="clear" w:color="auto" w:fill="auto"/>
          </w:tcPr>
          <w:p w:rsidR="003E3D07" w:rsidRDefault="003E3D07">
            <w:pPr>
              <w:pStyle w:val="TableText"/>
              <w:rPr>
                <w:rFonts w:eastAsia="Symbol"/>
              </w:rPr>
            </w:pPr>
            <w:r>
              <w:t>75</w:t>
            </w:r>
          </w:p>
        </w:tc>
        <w:tc>
          <w:tcPr>
            <w:tcW w:w="1296" w:type="dxa"/>
            <w:shd w:val="clear" w:color="auto" w:fill="auto"/>
          </w:tcPr>
          <w:p w:rsidR="003E3D07" w:rsidRDefault="003E3D07">
            <w:pPr>
              <w:pStyle w:val="TableText"/>
              <w:rPr>
                <w:rFonts w:eastAsia="Symbol"/>
              </w:rPr>
            </w:pPr>
            <w:r>
              <w:t>AGE</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Anti-c</w:t>
            </w:r>
          </w:p>
        </w:tc>
        <w:tc>
          <w:tcPr>
            <w:tcW w:w="1253" w:type="dxa"/>
            <w:shd w:val="clear" w:color="auto" w:fill="auto"/>
          </w:tcPr>
          <w:p w:rsidR="003E3D07" w:rsidRDefault="003E3D07">
            <w:pPr>
              <w:pStyle w:val="TableText"/>
              <w:rPr>
                <w:rFonts w:eastAsia="Symbol"/>
              </w:rPr>
            </w:pPr>
            <w:r>
              <w:t>Anti-c</w:t>
            </w:r>
          </w:p>
        </w:tc>
        <w:tc>
          <w:tcPr>
            <w:tcW w:w="878" w:type="dxa"/>
            <w:shd w:val="clear" w:color="auto" w:fill="auto"/>
          </w:tcPr>
          <w:p w:rsidR="003E3D07" w:rsidRDefault="003E3D07">
            <w:pPr>
              <w:pStyle w:val="TableText"/>
              <w:rPr>
                <w:b/>
                <w:bCs/>
              </w:rPr>
            </w:pPr>
            <w:r>
              <w:rPr>
                <w:bCs/>
              </w:rPr>
              <w:t>Yes</w:t>
            </w:r>
          </w:p>
        </w:tc>
        <w:tc>
          <w:tcPr>
            <w:tcW w:w="878" w:type="dxa"/>
            <w:shd w:val="clear" w:color="auto" w:fill="auto"/>
          </w:tcPr>
          <w:p w:rsidR="003E3D07" w:rsidRDefault="003E3D07">
            <w:pPr>
              <w:pStyle w:val="TableText"/>
              <w:rPr>
                <w:rFonts w:eastAsia="Symbol"/>
                <w:b/>
                <w:bCs/>
              </w:rPr>
            </w:pPr>
            <w:r>
              <w:rPr>
                <w:bCs/>
              </w:rPr>
              <w:t>Yes</w:t>
            </w:r>
          </w:p>
        </w:tc>
        <w:tc>
          <w:tcPr>
            <w:tcW w:w="1253" w:type="dxa"/>
            <w:shd w:val="clear" w:color="auto" w:fill="auto"/>
          </w:tcPr>
          <w:p w:rsidR="003E3D07" w:rsidRDefault="003E3D07">
            <w:pPr>
              <w:pStyle w:val="TableText"/>
              <w:rPr>
                <w:rFonts w:eastAsia="Symbol"/>
              </w:rPr>
            </w:pPr>
            <w:r>
              <w:t>c</w:t>
            </w:r>
          </w:p>
        </w:tc>
        <w:tc>
          <w:tcPr>
            <w:tcW w:w="1253" w:type="dxa"/>
            <w:shd w:val="clear" w:color="auto" w:fill="auto"/>
          </w:tcPr>
          <w:p w:rsidR="003E3D07" w:rsidRDefault="003E3D07">
            <w:pPr>
              <w:pStyle w:val="TableText"/>
              <w:rPr>
                <w:rFonts w:eastAsia="Symbol"/>
              </w:rPr>
            </w:pPr>
            <w:r>
              <w:t>c</w:t>
            </w:r>
          </w:p>
        </w:tc>
        <w:tc>
          <w:tcPr>
            <w:tcW w:w="1296" w:type="dxa"/>
            <w:shd w:val="clear" w:color="auto" w:fill="auto"/>
          </w:tcPr>
          <w:p w:rsidR="003E3D07" w:rsidRDefault="003E3D07">
            <w:pPr>
              <w:pStyle w:val="TableText"/>
              <w:rPr>
                <w:rFonts w:eastAsia="Symbol"/>
              </w:rPr>
            </w:pPr>
            <w:r>
              <w:t>12</w:t>
            </w:r>
          </w:p>
        </w:tc>
        <w:tc>
          <w:tcPr>
            <w:tcW w:w="1296" w:type="dxa"/>
            <w:shd w:val="clear" w:color="auto" w:fill="auto"/>
          </w:tcPr>
          <w:p w:rsidR="003E3D07" w:rsidRDefault="003E3D07">
            <w:pPr>
              <w:pStyle w:val="TableText"/>
              <w:rPr>
                <w:rFonts w:eastAsia="Symbol"/>
              </w:rPr>
            </w:pPr>
            <w:r>
              <w:t>AGc</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Anti-e</w:t>
            </w:r>
          </w:p>
        </w:tc>
        <w:tc>
          <w:tcPr>
            <w:tcW w:w="1253" w:type="dxa"/>
            <w:shd w:val="clear" w:color="auto" w:fill="auto"/>
          </w:tcPr>
          <w:p w:rsidR="003E3D07" w:rsidRDefault="003E3D07">
            <w:pPr>
              <w:pStyle w:val="TableText"/>
              <w:rPr>
                <w:rFonts w:eastAsia="Symbol"/>
              </w:rPr>
            </w:pPr>
            <w:r>
              <w:t>Anti-e</w:t>
            </w:r>
          </w:p>
        </w:tc>
        <w:tc>
          <w:tcPr>
            <w:tcW w:w="878" w:type="dxa"/>
            <w:shd w:val="clear" w:color="auto" w:fill="auto"/>
          </w:tcPr>
          <w:p w:rsidR="003E3D07" w:rsidRDefault="003E3D07">
            <w:pPr>
              <w:pStyle w:val="TableText"/>
              <w:rPr>
                <w:b/>
                <w:bCs/>
              </w:rPr>
            </w:pPr>
            <w:r>
              <w:rPr>
                <w:bCs/>
              </w:rPr>
              <w:t>Yes</w:t>
            </w:r>
          </w:p>
        </w:tc>
        <w:tc>
          <w:tcPr>
            <w:tcW w:w="878" w:type="dxa"/>
            <w:shd w:val="clear" w:color="auto" w:fill="auto"/>
          </w:tcPr>
          <w:p w:rsidR="003E3D07" w:rsidRDefault="003E3D07">
            <w:pPr>
              <w:pStyle w:val="TableText"/>
              <w:rPr>
                <w:rFonts w:eastAsia="Symbol"/>
                <w:b/>
                <w:bCs/>
              </w:rPr>
            </w:pPr>
            <w:r>
              <w:rPr>
                <w:bCs/>
              </w:rPr>
              <w:t>Yes</w:t>
            </w:r>
          </w:p>
        </w:tc>
        <w:tc>
          <w:tcPr>
            <w:tcW w:w="1253" w:type="dxa"/>
            <w:shd w:val="clear" w:color="auto" w:fill="auto"/>
          </w:tcPr>
          <w:p w:rsidR="003E3D07" w:rsidRDefault="003E3D07">
            <w:pPr>
              <w:pStyle w:val="TableText"/>
              <w:rPr>
                <w:rFonts w:eastAsia="Symbol"/>
              </w:rPr>
            </w:pPr>
            <w:r>
              <w:t>e</w:t>
            </w:r>
          </w:p>
        </w:tc>
        <w:tc>
          <w:tcPr>
            <w:tcW w:w="1253" w:type="dxa"/>
            <w:shd w:val="clear" w:color="auto" w:fill="auto"/>
          </w:tcPr>
          <w:p w:rsidR="003E3D07" w:rsidRDefault="003E3D07">
            <w:pPr>
              <w:pStyle w:val="TableText"/>
              <w:rPr>
                <w:rFonts w:eastAsia="Symbol"/>
              </w:rPr>
            </w:pPr>
            <w:r>
              <w:t>e</w:t>
            </w:r>
          </w:p>
        </w:tc>
        <w:tc>
          <w:tcPr>
            <w:tcW w:w="1296" w:type="dxa"/>
            <w:shd w:val="clear" w:color="auto" w:fill="auto"/>
          </w:tcPr>
          <w:p w:rsidR="003E3D07" w:rsidRDefault="003E3D07">
            <w:pPr>
              <w:pStyle w:val="TableText"/>
              <w:rPr>
                <w:rFonts w:eastAsia="Symbol"/>
              </w:rPr>
            </w:pPr>
            <w:r>
              <w:t>2</w:t>
            </w:r>
          </w:p>
        </w:tc>
        <w:tc>
          <w:tcPr>
            <w:tcW w:w="1296" w:type="dxa"/>
            <w:shd w:val="clear" w:color="auto" w:fill="auto"/>
          </w:tcPr>
          <w:p w:rsidR="003E3D07" w:rsidRDefault="003E3D07">
            <w:pPr>
              <w:pStyle w:val="TableText"/>
              <w:rPr>
                <w:rFonts w:eastAsia="Symbol"/>
              </w:rPr>
            </w:pPr>
            <w:r>
              <w:t>AGe</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Anti-f</w:t>
            </w:r>
          </w:p>
        </w:tc>
        <w:tc>
          <w:tcPr>
            <w:tcW w:w="1253" w:type="dxa"/>
            <w:shd w:val="clear" w:color="auto" w:fill="auto"/>
          </w:tcPr>
          <w:p w:rsidR="003E3D07" w:rsidRDefault="003E3D07">
            <w:pPr>
              <w:pStyle w:val="TableText"/>
              <w:rPr>
                <w:rFonts w:eastAsia="Symbol"/>
              </w:rPr>
            </w:pPr>
            <w:r>
              <w:t>Anti-f</w:t>
            </w:r>
          </w:p>
        </w:tc>
        <w:tc>
          <w:tcPr>
            <w:tcW w:w="878" w:type="dxa"/>
            <w:shd w:val="clear" w:color="auto" w:fill="auto"/>
          </w:tcPr>
          <w:p w:rsidR="003E3D07" w:rsidRDefault="003E3D07">
            <w:pPr>
              <w:pStyle w:val="TableText"/>
              <w:rPr>
                <w:b/>
                <w:bCs/>
              </w:rPr>
            </w:pPr>
            <w:r>
              <w:rPr>
                <w:bCs/>
              </w:rPr>
              <w:t>Yes</w:t>
            </w:r>
          </w:p>
        </w:tc>
        <w:tc>
          <w:tcPr>
            <w:tcW w:w="878" w:type="dxa"/>
            <w:shd w:val="clear" w:color="auto" w:fill="auto"/>
          </w:tcPr>
          <w:p w:rsidR="003E3D07" w:rsidRDefault="003E3D07">
            <w:pPr>
              <w:pStyle w:val="TableText"/>
              <w:rPr>
                <w:rFonts w:eastAsia="Symbol"/>
                <w:b/>
                <w:bCs/>
              </w:rPr>
            </w:pPr>
            <w:r>
              <w:rPr>
                <w:bCs/>
              </w:rPr>
              <w:t>Yes</w:t>
            </w:r>
          </w:p>
        </w:tc>
        <w:tc>
          <w:tcPr>
            <w:tcW w:w="1253" w:type="dxa"/>
            <w:shd w:val="clear" w:color="auto" w:fill="auto"/>
          </w:tcPr>
          <w:p w:rsidR="003E3D07" w:rsidRDefault="003E3D07">
            <w:pPr>
              <w:pStyle w:val="TableText"/>
              <w:rPr>
                <w:rFonts w:eastAsia="Symbol"/>
              </w:rPr>
            </w:pPr>
            <w:r>
              <w:t>c and e</w:t>
            </w:r>
          </w:p>
        </w:tc>
        <w:tc>
          <w:tcPr>
            <w:tcW w:w="1253" w:type="dxa"/>
            <w:shd w:val="clear" w:color="auto" w:fill="auto"/>
          </w:tcPr>
          <w:p w:rsidR="003E3D07" w:rsidRDefault="003E3D07">
            <w:pPr>
              <w:pStyle w:val="TableText"/>
              <w:rPr>
                <w:rFonts w:eastAsia="Symbol"/>
              </w:rPr>
            </w:pPr>
            <w:r>
              <w:t>f</w:t>
            </w:r>
          </w:p>
        </w:tc>
        <w:tc>
          <w:tcPr>
            <w:tcW w:w="1296" w:type="dxa"/>
            <w:shd w:val="clear" w:color="auto" w:fill="auto"/>
          </w:tcPr>
          <w:p w:rsidR="003E3D07" w:rsidRDefault="003E3D07">
            <w:pPr>
              <w:pStyle w:val="TableText"/>
              <w:rPr>
                <w:rFonts w:eastAsia="Symbol"/>
              </w:rPr>
            </w:pPr>
            <w:r>
              <w:t>N/A</w:t>
            </w:r>
          </w:p>
        </w:tc>
        <w:tc>
          <w:tcPr>
            <w:tcW w:w="1296" w:type="dxa"/>
            <w:shd w:val="clear" w:color="auto" w:fill="auto"/>
          </w:tcPr>
          <w:p w:rsidR="003E3D07" w:rsidRDefault="003E3D07">
            <w:pPr>
              <w:pStyle w:val="TableText"/>
            </w:pPr>
            <w:r>
              <w:t>AGc</w:t>
            </w:r>
          </w:p>
          <w:p w:rsidR="003E3D07" w:rsidRDefault="003E3D07">
            <w:pPr>
              <w:pStyle w:val="TableText"/>
              <w:rPr>
                <w:rFonts w:eastAsia="Symbol"/>
              </w:rPr>
            </w:pPr>
            <w:r>
              <w:t>AGe</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Anti-G</w:t>
            </w:r>
          </w:p>
        </w:tc>
        <w:tc>
          <w:tcPr>
            <w:tcW w:w="1253" w:type="dxa"/>
            <w:shd w:val="clear" w:color="auto" w:fill="auto"/>
          </w:tcPr>
          <w:p w:rsidR="003E3D07" w:rsidRDefault="003E3D07">
            <w:pPr>
              <w:pStyle w:val="TableText"/>
              <w:rPr>
                <w:rFonts w:eastAsia="Symbol"/>
              </w:rPr>
            </w:pPr>
            <w:r>
              <w:t>Anti-G</w:t>
            </w:r>
          </w:p>
        </w:tc>
        <w:tc>
          <w:tcPr>
            <w:tcW w:w="878" w:type="dxa"/>
            <w:shd w:val="clear" w:color="auto" w:fill="auto"/>
          </w:tcPr>
          <w:p w:rsidR="003E3D07" w:rsidRDefault="003E3D07">
            <w:pPr>
              <w:pStyle w:val="TableText"/>
              <w:rPr>
                <w:b/>
                <w:bCs/>
              </w:rPr>
            </w:pPr>
            <w:r>
              <w:rPr>
                <w:bCs/>
              </w:rPr>
              <w:t>Yes</w:t>
            </w:r>
          </w:p>
        </w:tc>
        <w:tc>
          <w:tcPr>
            <w:tcW w:w="878" w:type="dxa"/>
            <w:shd w:val="clear" w:color="auto" w:fill="auto"/>
          </w:tcPr>
          <w:p w:rsidR="003E3D07" w:rsidRDefault="003E3D07">
            <w:pPr>
              <w:pStyle w:val="TableText"/>
              <w:rPr>
                <w:rFonts w:eastAsia="Symbol"/>
                <w:b/>
                <w:bCs/>
              </w:rPr>
            </w:pPr>
            <w:r>
              <w:rPr>
                <w:bCs/>
              </w:rPr>
              <w:t>Yes</w:t>
            </w:r>
          </w:p>
        </w:tc>
        <w:tc>
          <w:tcPr>
            <w:tcW w:w="1253" w:type="dxa"/>
            <w:shd w:val="clear" w:color="auto" w:fill="auto"/>
          </w:tcPr>
          <w:p w:rsidR="003E3D07" w:rsidRDefault="003E3D07">
            <w:pPr>
              <w:pStyle w:val="TableText"/>
              <w:rPr>
                <w:rFonts w:eastAsia="Symbol"/>
              </w:rPr>
            </w:pPr>
            <w:r>
              <w:rPr>
                <w:rFonts w:eastAsia="Symbol"/>
              </w:rPr>
              <w:t>C and D</w:t>
            </w:r>
          </w:p>
        </w:tc>
        <w:tc>
          <w:tcPr>
            <w:tcW w:w="1253" w:type="dxa"/>
            <w:shd w:val="clear" w:color="auto" w:fill="auto"/>
          </w:tcPr>
          <w:p w:rsidR="003E3D07" w:rsidRDefault="003E3D07">
            <w:pPr>
              <w:pStyle w:val="TableText"/>
              <w:rPr>
                <w:rFonts w:eastAsia="Symbol"/>
              </w:rPr>
            </w:pPr>
            <w:r>
              <w:t>G</w:t>
            </w:r>
          </w:p>
        </w:tc>
        <w:tc>
          <w:tcPr>
            <w:tcW w:w="1296" w:type="dxa"/>
            <w:shd w:val="clear" w:color="auto" w:fill="auto"/>
          </w:tcPr>
          <w:p w:rsidR="003E3D07" w:rsidRDefault="003E3D07">
            <w:pPr>
              <w:pStyle w:val="TableText"/>
              <w:rPr>
                <w:rFonts w:eastAsia="Symbol"/>
              </w:rPr>
            </w:pPr>
            <w:r>
              <w:t>N/A</w:t>
            </w:r>
          </w:p>
        </w:tc>
        <w:tc>
          <w:tcPr>
            <w:tcW w:w="1296" w:type="dxa"/>
            <w:shd w:val="clear" w:color="auto" w:fill="auto"/>
          </w:tcPr>
          <w:p w:rsidR="003E3D07" w:rsidRDefault="003E3D07">
            <w:pPr>
              <w:pStyle w:val="TableText"/>
            </w:pPr>
            <w:r>
              <w:t>AGD</w:t>
            </w:r>
          </w:p>
          <w:p w:rsidR="003E3D07" w:rsidRDefault="003E3D07">
            <w:pPr>
              <w:pStyle w:val="TableText"/>
              <w:rPr>
                <w:rFonts w:eastAsia="Symbol"/>
              </w:rPr>
            </w:pPr>
            <w:r>
              <w:t>AGC</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Anti-K</w:t>
            </w:r>
          </w:p>
        </w:tc>
        <w:tc>
          <w:tcPr>
            <w:tcW w:w="1253" w:type="dxa"/>
            <w:shd w:val="clear" w:color="auto" w:fill="auto"/>
          </w:tcPr>
          <w:p w:rsidR="003E3D07" w:rsidRDefault="003E3D07">
            <w:pPr>
              <w:pStyle w:val="TableText"/>
              <w:rPr>
                <w:b/>
                <w:bCs/>
              </w:rPr>
            </w:pPr>
            <w:r>
              <w:t>Anti-K</w:t>
            </w:r>
          </w:p>
        </w:tc>
        <w:tc>
          <w:tcPr>
            <w:tcW w:w="878" w:type="dxa"/>
            <w:shd w:val="clear" w:color="auto" w:fill="auto"/>
          </w:tcPr>
          <w:p w:rsidR="003E3D07" w:rsidRDefault="003E3D07">
            <w:pPr>
              <w:pStyle w:val="TableText"/>
              <w:rPr>
                <w:b/>
                <w:bCs/>
              </w:rPr>
            </w:pPr>
            <w:r>
              <w:rPr>
                <w:bCs/>
              </w:rPr>
              <w:t>Yes</w:t>
            </w:r>
          </w:p>
        </w:tc>
        <w:tc>
          <w:tcPr>
            <w:tcW w:w="878" w:type="dxa"/>
            <w:shd w:val="clear" w:color="auto" w:fill="auto"/>
          </w:tcPr>
          <w:p w:rsidR="003E3D07" w:rsidRDefault="003E3D07">
            <w:pPr>
              <w:pStyle w:val="TableText"/>
              <w:rPr>
                <w:rFonts w:eastAsia="Symbol"/>
                <w:b/>
                <w:bCs/>
              </w:rPr>
            </w:pPr>
            <w:r>
              <w:rPr>
                <w:bCs/>
              </w:rPr>
              <w:t>Yes</w:t>
            </w:r>
          </w:p>
        </w:tc>
        <w:tc>
          <w:tcPr>
            <w:tcW w:w="1253" w:type="dxa"/>
            <w:shd w:val="clear" w:color="auto" w:fill="auto"/>
          </w:tcPr>
          <w:p w:rsidR="003E3D07" w:rsidRDefault="003E3D07">
            <w:pPr>
              <w:pStyle w:val="TableText"/>
              <w:rPr>
                <w:rFonts w:eastAsia="Symbol"/>
              </w:rPr>
            </w:pPr>
            <w:r>
              <w:t>K</w:t>
            </w:r>
          </w:p>
        </w:tc>
        <w:tc>
          <w:tcPr>
            <w:tcW w:w="1253" w:type="dxa"/>
            <w:shd w:val="clear" w:color="auto" w:fill="auto"/>
          </w:tcPr>
          <w:p w:rsidR="003E3D07" w:rsidRDefault="003E3D07">
            <w:pPr>
              <w:pStyle w:val="TableText"/>
            </w:pPr>
            <w:r>
              <w:t>K</w:t>
            </w:r>
          </w:p>
        </w:tc>
        <w:tc>
          <w:tcPr>
            <w:tcW w:w="1296" w:type="dxa"/>
            <w:shd w:val="clear" w:color="auto" w:fill="auto"/>
          </w:tcPr>
          <w:p w:rsidR="003E3D07" w:rsidRDefault="003E3D07">
            <w:pPr>
              <w:pStyle w:val="TableText"/>
              <w:rPr>
                <w:rFonts w:eastAsia="Symbol"/>
              </w:rPr>
            </w:pPr>
            <w:r>
              <w:t>91</w:t>
            </w:r>
          </w:p>
        </w:tc>
        <w:tc>
          <w:tcPr>
            <w:tcW w:w="1296" w:type="dxa"/>
            <w:shd w:val="clear" w:color="auto" w:fill="auto"/>
          </w:tcPr>
          <w:p w:rsidR="003E3D07" w:rsidRDefault="003E3D07">
            <w:pPr>
              <w:pStyle w:val="TableText"/>
              <w:rPr>
                <w:rFonts w:eastAsia="Symbol"/>
              </w:rPr>
            </w:pPr>
            <w:r>
              <w:t>AGK</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Anti-k</w:t>
            </w:r>
          </w:p>
        </w:tc>
        <w:tc>
          <w:tcPr>
            <w:tcW w:w="1253" w:type="dxa"/>
            <w:shd w:val="clear" w:color="auto" w:fill="auto"/>
          </w:tcPr>
          <w:p w:rsidR="003E3D07" w:rsidRDefault="003E3D07">
            <w:pPr>
              <w:pStyle w:val="TableText"/>
              <w:rPr>
                <w:rFonts w:eastAsia="Symbol"/>
              </w:rPr>
            </w:pPr>
            <w:r>
              <w:t>Anti-k</w:t>
            </w:r>
          </w:p>
        </w:tc>
        <w:tc>
          <w:tcPr>
            <w:tcW w:w="878" w:type="dxa"/>
            <w:shd w:val="clear" w:color="auto" w:fill="auto"/>
          </w:tcPr>
          <w:p w:rsidR="003E3D07" w:rsidRDefault="003E3D07">
            <w:pPr>
              <w:pStyle w:val="TableText"/>
              <w:rPr>
                <w:b/>
                <w:bCs/>
              </w:rPr>
            </w:pPr>
            <w:r>
              <w:rPr>
                <w:bCs/>
              </w:rPr>
              <w:t>Yes</w:t>
            </w:r>
          </w:p>
        </w:tc>
        <w:tc>
          <w:tcPr>
            <w:tcW w:w="878" w:type="dxa"/>
            <w:shd w:val="clear" w:color="auto" w:fill="auto"/>
          </w:tcPr>
          <w:p w:rsidR="003E3D07" w:rsidRDefault="003E3D07">
            <w:pPr>
              <w:pStyle w:val="TableText"/>
              <w:rPr>
                <w:rFonts w:eastAsia="Symbol"/>
                <w:b/>
                <w:bCs/>
              </w:rPr>
            </w:pPr>
            <w:r>
              <w:rPr>
                <w:bCs/>
              </w:rPr>
              <w:t>Yes</w:t>
            </w:r>
          </w:p>
        </w:tc>
        <w:tc>
          <w:tcPr>
            <w:tcW w:w="1253" w:type="dxa"/>
            <w:shd w:val="clear" w:color="auto" w:fill="auto"/>
          </w:tcPr>
          <w:p w:rsidR="003E3D07" w:rsidRDefault="003E3D07">
            <w:pPr>
              <w:pStyle w:val="TableText"/>
              <w:rPr>
                <w:rFonts w:eastAsia="Symbol"/>
              </w:rPr>
            </w:pPr>
            <w:r>
              <w:t>k</w:t>
            </w:r>
          </w:p>
        </w:tc>
        <w:tc>
          <w:tcPr>
            <w:tcW w:w="1253" w:type="dxa"/>
            <w:shd w:val="clear" w:color="auto" w:fill="auto"/>
          </w:tcPr>
          <w:p w:rsidR="003E3D07" w:rsidRDefault="003E3D07">
            <w:pPr>
              <w:pStyle w:val="TableText"/>
              <w:rPr>
                <w:rFonts w:eastAsia="Symbol"/>
              </w:rPr>
            </w:pPr>
            <w:r>
              <w:t>k</w:t>
            </w:r>
          </w:p>
        </w:tc>
        <w:tc>
          <w:tcPr>
            <w:tcW w:w="1296" w:type="dxa"/>
            <w:shd w:val="clear" w:color="auto" w:fill="auto"/>
          </w:tcPr>
          <w:p w:rsidR="003E3D07" w:rsidRDefault="003E3D07">
            <w:pPr>
              <w:pStyle w:val="TableText"/>
              <w:rPr>
                <w:rFonts w:eastAsia="Symbol"/>
              </w:rPr>
            </w:pPr>
            <w:r>
              <w:t>1</w:t>
            </w:r>
          </w:p>
        </w:tc>
        <w:tc>
          <w:tcPr>
            <w:tcW w:w="1296" w:type="dxa"/>
            <w:shd w:val="clear" w:color="auto" w:fill="auto"/>
          </w:tcPr>
          <w:p w:rsidR="003E3D07" w:rsidRDefault="003E3D07">
            <w:pPr>
              <w:pStyle w:val="TableText"/>
              <w:rPr>
                <w:rFonts w:eastAsia="Symbol"/>
              </w:rPr>
            </w:pPr>
            <w:r>
              <w:t>AGk</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 xml:space="preserve">Anti-Kp(a) </w:t>
            </w:r>
          </w:p>
        </w:tc>
        <w:tc>
          <w:tcPr>
            <w:tcW w:w="1253" w:type="dxa"/>
            <w:shd w:val="clear" w:color="auto" w:fill="auto"/>
          </w:tcPr>
          <w:p w:rsidR="003E3D07" w:rsidRDefault="003E3D07">
            <w:pPr>
              <w:pStyle w:val="TableText"/>
              <w:rPr>
                <w:rFonts w:eastAsia="Symbol"/>
              </w:rPr>
            </w:pPr>
            <w:r>
              <w:t>Anti-Kp(a)</w:t>
            </w:r>
          </w:p>
        </w:tc>
        <w:tc>
          <w:tcPr>
            <w:tcW w:w="878" w:type="dxa"/>
            <w:shd w:val="clear" w:color="auto" w:fill="auto"/>
          </w:tcPr>
          <w:p w:rsidR="003E3D07" w:rsidRDefault="003E3D07">
            <w:pPr>
              <w:pStyle w:val="TableText"/>
              <w:rPr>
                <w:b/>
                <w:bCs/>
              </w:rPr>
            </w:pPr>
            <w:r>
              <w:rPr>
                <w:bCs/>
              </w:rPr>
              <w:t>Yes</w:t>
            </w:r>
          </w:p>
        </w:tc>
        <w:tc>
          <w:tcPr>
            <w:tcW w:w="878" w:type="dxa"/>
            <w:shd w:val="clear" w:color="auto" w:fill="auto"/>
          </w:tcPr>
          <w:p w:rsidR="003E3D07" w:rsidRDefault="003E3D07">
            <w:pPr>
              <w:pStyle w:val="TableText"/>
              <w:rPr>
                <w:rFonts w:eastAsia="Symbol"/>
              </w:rPr>
            </w:pPr>
            <w:r>
              <w:t>Optional</w:t>
            </w:r>
          </w:p>
        </w:tc>
        <w:tc>
          <w:tcPr>
            <w:tcW w:w="1253" w:type="dxa"/>
            <w:shd w:val="clear" w:color="auto" w:fill="auto"/>
          </w:tcPr>
          <w:p w:rsidR="003E3D07" w:rsidRDefault="003E3D07">
            <w:pPr>
              <w:pStyle w:val="TableText"/>
              <w:rPr>
                <w:rFonts w:eastAsia="Symbol"/>
              </w:rPr>
            </w:pPr>
            <w:r>
              <w:t>Kp(a)</w:t>
            </w:r>
          </w:p>
        </w:tc>
        <w:tc>
          <w:tcPr>
            <w:tcW w:w="1253" w:type="dxa"/>
            <w:shd w:val="clear" w:color="auto" w:fill="auto"/>
          </w:tcPr>
          <w:p w:rsidR="003E3D07" w:rsidRDefault="003E3D07">
            <w:pPr>
              <w:pStyle w:val="TableText"/>
              <w:rPr>
                <w:rFonts w:eastAsia="Symbol"/>
              </w:rPr>
            </w:pPr>
            <w:r>
              <w:t>Kp(a)</w:t>
            </w:r>
          </w:p>
        </w:tc>
        <w:tc>
          <w:tcPr>
            <w:tcW w:w="1296" w:type="dxa"/>
            <w:shd w:val="clear" w:color="auto" w:fill="auto"/>
          </w:tcPr>
          <w:p w:rsidR="003E3D07" w:rsidRDefault="003E3D07">
            <w:pPr>
              <w:pStyle w:val="TableText"/>
              <w:rPr>
                <w:rFonts w:eastAsia="Symbol"/>
              </w:rPr>
            </w:pPr>
            <w:r>
              <w:t>98</w:t>
            </w:r>
          </w:p>
        </w:tc>
        <w:tc>
          <w:tcPr>
            <w:tcW w:w="1296" w:type="dxa"/>
            <w:shd w:val="clear" w:color="auto" w:fill="auto"/>
          </w:tcPr>
          <w:p w:rsidR="003E3D07" w:rsidRDefault="003E3D07">
            <w:pPr>
              <w:pStyle w:val="TableText"/>
              <w:rPr>
                <w:rFonts w:eastAsia="Symbol"/>
              </w:rPr>
            </w:pPr>
            <w:r>
              <w:t xml:space="preserve">AGKp(a) </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Anti-Kp(b)</w:t>
            </w:r>
          </w:p>
        </w:tc>
        <w:tc>
          <w:tcPr>
            <w:tcW w:w="1253" w:type="dxa"/>
            <w:shd w:val="clear" w:color="auto" w:fill="auto"/>
          </w:tcPr>
          <w:p w:rsidR="003E3D07" w:rsidRDefault="003E3D07">
            <w:pPr>
              <w:pStyle w:val="TableText"/>
              <w:rPr>
                <w:rFonts w:eastAsia="Symbol"/>
              </w:rPr>
            </w:pPr>
            <w:r>
              <w:t>Anti-Kp(b)</w:t>
            </w:r>
          </w:p>
        </w:tc>
        <w:tc>
          <w:tcPr>
            <w:tcW w:w="878" w:type="dxa"/>
            <w:shd w:val="clear" w:color="auto" w:fill="auto"/>
          </w:tcPr>
          <w:p w:rsidR="003E3D07" w:rsidRDefault="003E3D07">
            <w:pPr>
              <w:pStyle w:val="TableText"/>
              <w:rPr>
                <w:b/>
                <w:bCs/>
              </w:rPr>
            </w:pPr>
            <w:r>
              <w:rPr>
                <w:bCs/>
              </w:rPr>
              <w:t>Yes</w:t>
            </w:r>
          </w:p>
        </w:tc>
        <w:tc>
          <w:tcPr>
            <w:tcW w:w="878" w:type="dxa"/>
            <w:shd w:val="clear" w:color="auto" w:fill="auto"/>
          </w:tcPr>
          <w:p w:rsidR="003E3D07" w:rsidRDefault="003E3D07">
            <w:pPr>
              <w:pStyle w:val="TableText"/>
              <w:rPr>
                <w:rFonts w:eastAsia="Symbol"/>
              </w:rPr>
            </w:pPr>
            <w:r>
              <w:t>Optional</w:t>
            </w:r>
          </w:p>
        </w:tc>
        <w:tc>
          <w:tcPr>
            <w:tcW w:w="1253" w:type="dxa"/>
            <w:shd w:val="clear" w:color="auto" w:fill="auto"/>
          </w:tcPr>
          <w:p w:rsidR="003E3D07" w:rsidRDefault="003E3D07">
            <w:pPr>
              <w:pStyle w:val="TableText"/>
              <w:rPr>
                <w:rFonts w:eastAsia="Symbol"/>
              </w:rPr>
            </w:pPr>
            <w:r>
              <w:t>Kp(b)</w:t>
            </w:r>
          </w:p>
        </w:tc>
        <w:tc>
          <w:tcPr>
            <w:tcW w:w="1253" w:type="dxa"/>
            <w:shd w:val="clear" w:color="auto" w:fill="auto"/>
          </w:tcPr>
          <w:p w:rsidR="003E3D07" w:rsidRDefault="003E3D07">
            <w:pPr>
              <w:pStyle w:val="TableText"/>
              <w:rPr>
                <w:rFonts w:eastAsia="Symbol"/>
              </w:rPr>
            </w:pPr>
            <w:r>
              <w:t>Kp(b)</w:t>
            </w:r>
          </w:p>
        </w:tc>
        <w:tc>
          <w:tcPr>
            <w:tcW w:w="1296" w:type="dxa"/>
            <w:shd w:val="clear" w:color="auto" w:fill="auto"/>
          </w:tcPr>
          <w:p w:rsidR="003E3D07" w:rsidRDefault="003E3D07">
            <w:pPr>
              <w:pStyle w:val="TableText"/>
              <w:rPr>
                <w:rFonts w:eastAsia="Symbol"/>
              </w:rPr>
            </w:pPr>
            <w:r>
              <w:t>2</w:t>
            </w:r>
          </w:p>
        </w:tc>
        <w:tc>
          <w:tcPr>
            <w:tcW w:w="1296" w:type="dxa"/>
            <w:shd w:val="clear" w:color="auto" w:fill="auto"/>
          </w:tcPr>
          <w:p w:rsidR="003E3D07" w:rsidRDefault="003E3D07">
            <w:pPr>
              <w:pStyle w:val="TableText"/>
              <w:rPr>
                <w:rFonts w:eastAsia="Symbol"/>
              </w:rPr>
            </w:pPr>
            <w:r>
              <w:t>AGKp(b)</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Anti-Jk(a)</w:t>
            </w:r>
          </w:p>
        </w:tc>
        <w:tc>
          <w:tcPr>
            <w:tcW w:w="1253" w:type="dxa"/>
            <w:shd w:val="clear" w:color="auto" w:fill="auto"/>
          </w:tcPr>
          <w:p w:rsidR="003E3D07" w:rsidRDefault="003E3D07">
            <w:pPr>
              <w:pStyle w:val="TableText"/>
              <w:rPr>
                <w:rFonts w:eastAsia="Symbol"/>
              </w:rPr>
            </w:pPr>
            <w:r>
              <w:t>Anti-Jk(a)</w:t>
            </w:r>
          </w:p>
        </w:tc>
        <w:tc>
          <w:tcPr>
            <w:tcW w:w="878" w:type="dxa"/>
            <w:shd w:val="clear" w:color="auto" w:fill="auto"/>
          </w:tcPr>
          <w:p w:rsidR="003E3D07" w:rsidRDefault="003E3D07">
            <w:pPr>
              <w:pStyle w:val="TableText"/>
              <w:rPr>
                <w:b/>
                <w:bCs/>
              </w:rPr>
            </w:pPr>
            <w:r>
              <w:rPr>
                <w:bCs/>
              </w:rPr>
              <w:t>Yes</w:t>
            </w:r>
          </w:p>
        </w:tc>
        <w:tc>
          <w:tcPr>
            <w:tcW w:w="878" w:type="dxa"/>
            <w:shd w:val="clear" w:color="auto" w:fill="auto"/>
          </w:tcPr>
          <w:p w:rsidR="003E3D07" w:rsidRDefault="003E3D07">
            <w:pPr>
              <w:pStyle w:val="TableText"/>
              <w:rPr>
                <w:rFonts w:eastAsia="Symbol"/>
                <w:b/>
                <w:bCs/>
              </w:rPr>
            </w:pPr>
            <w:r>
              <w:rPr>
                <w:bCs/>
              </w:rPr>
              <w:t>Yes</w:t>
            </w:r>
          </w:p>
        </w:tc>
        <w:tc>
          <w:tcPr>
            <w:tcW w:w="1253" w:type="dxa"/>
            <w:shd w:val="clear" w:color="auto" w:fill="auto"/>
          </w:tcPr>
          <w:p w:rsidR="003E3D07" w:rsidRDefault="003E3D07">
            <w:pPr>
              <w:pStyle w:val="TableText"/>
              <w:rPr>
                <w:rFonts w:eastAsia="Symbol"/>
              </w:rPr>
            </w:pPr>
            <w:r>
              <w:t>Jk(a)</w:t>
            </w:r>
          </w:p>
        </w:tc>
        <w:tc>
          <w:tcPr>
            <w:tcW w:w="1253" w:type="dxa"/>
            <w:shd w:val="clear" w:color="auto" w:fill="auto"/>
          </w:tcPr>
          <w:p w:rsidR="003E3D07" w:rsidRDefault="003E3D07">
            <w:pPr>
              <w:pStyle w:val="TableText"/>
              <w:rPr>
                <w:rFonts w:eastAsia="Symbol"/>
              </w:rPr>
            </w:pPr>
            <w:r>
              <w:t>Jk(a)</w:t>
            </w:r>
          </w:p>
        </w:tc>
        <w:tc>
          <w:tcPr>
            <w:tcW w:w="1296" w:type="dxa"/>
            <w:shd w:val="clear" w:color="auto" w:fill="auto"/>
          </w:tcPr>
          <w:p w:rsidR="003E3D07" w:rsidRDefault="003E3D07">
            <w:pPr>
              <w:pStyle w:val="TableText"/>
              <w:rPr>
                <w:rFonts w:eastAsia="Symbol"/>
              </w:rPr>
            </w:pPr>
            <w:r>
              <w:t>15</w:t>
            </w:r>
          </w:p>
        </w:tc>
        <w:tc>
          <w:tcPr>
            <w:tcW w:w="1296" w:type="dxa"/>
            <w:shd w:val="clear" w:color="auto" w:fill="auto"/>
          </w:tcPr>
          <w:p w:rsidR="003E3D07" w:rsidRDefault="003E3D07">
            <w:pPr>
              <w:pStyle w:val="TableText"/>
              <w:rPr>
                <w:rFonts w:eastAsia="Symbol"/>
              </w:rPr>
            </w:pPr>
            <w:r>
              <w:t>AGJk(a)</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Anti-Jk(b)</w:t>
            </w:r>
          </w:p>
        </w:tc>
        <w:tc>
          <w:tcPr>
            <w:tcW w:w="1253" w:type="dxa"/>
            <w:shd w:val="clear" w:color="auto" w:fill="auto"/>
          </w:tcPr>
          <w:p w:rsidR="003E3D07" w:rsidRDefault="003E3D07">
            <w:pPr>
              <w:pStyle w:val="TableText"/>
              <w:rPr>
                <w:rFonts w:eastAsia="Symbol"/>
              </w:rPr>
            </w:pPr>
            <w:r>
              <w:t>Anti-Jk(b)</w:t>
            </w:r>
          </w:p>
        </w:tc>
        <w:tc>
          <w:tcPr>
            <w:tcW w:w="878" w:type="dxa"/>
            <w:shd w:val="clear" w:color="auto" w:fill="auto"/>
          </w:tcPr>
          <w:p w:rsidR="003E3D07" w:rsidRDefault="003E3D07">
            <w:pPr>
              <w:pStyle w:val="TableText"/>
              <w:rPr>
                <w:b/>
                <w:bCs/>
              </w:rPr>
            </w:pPr>
            <w:r>
              <w:rPr>
                <w:bCs/>
              </w:rPr>
              <w:t>Yes</w:t>
            </w:r>
          </w:p>
        </w:tc>
        <w:tc>
          <w:tcPr>
            <w:tcW w:w="878" w:type="dxa"/>
            <w:shd w:val="clear" w:color="auto" w:fill="auto"/>
          </w:tcPr>
          <w:p w:rsidR="003E3D07" w:rsidRDefault="003E3D07">
            <w:pPr>
              <w:pStyle w:val="TableText"/>
              <w:rPr>
                <w:rFonts w:eastAsia="Symbol"/>
                <w:b/>
                <w:bCs/>
              </w:rPr>
            </w:pPr>
            <w:r>
              <w:rPr>
                <w:bCs/>
              </w:rPr>
              <w:t>Yes</w:t>
            </w:r>
          </w:p>
        </w:tc>
        <w:tc>
          <w:tcPr>
            <w:tcW w:w="1253" w:type="dxa"/>
            <w:shd w:val="clear" w:color="auto" w:fill="auto"/>
          </w:tcPr>
          <w:p w:rsidR="003E3D07" w:rsidRDefault="003E3D07">
            <w:pPr>
              <w:pStyle w:val="TableText"/>
              <w:rPr>
                <w:rFonts w:eastAsia="Symbol"/>
              </w:rPr>
            </w:pPr>
            <w:r>
              <w:t>Jk(b)</w:t>
            </w:r>
          </w:p>
        </w:tc>
        <w:tc>
          <w:tcPr>
            <w:tcW w:w="1253" w:type="dxa"/>
            <w:shd w:val="clear" w:color="auto" w:fill="auto"/>
          </w:tcPr>
          <w:p w:rsidR="003E3D07" w:rsidRDefault="003E3D07">
            <w:pPr>
              <w:pStyle w:val="TableText"/>
              <w:rPr>
                <w:rFonts w:eastAsia="Symbol"/>
              </w:rPr>
            </w:pPr>
            <w:r>
              <w:t>Jk(b)</w:t>
            </w:r>
          </w:p>
        </w:tc>
        <w:tc>
          <w:tcPr>
            <w:tcW w:w="1296" w:type="dxa"/>
            <w:shd w:val="clear" w:color="auto" w:fill="auto"/>
          </w:tcPr>
          <w:p w:rsidR="003E3D07" w:rsidRDefault="003E3D07">
            <w:pPr>
              <w:pStyle w:val="TableText"/>
              <w:rPr>
                <w:rFonts w:eastAsia="Symbol"/>
              </w:rPr>
            </w:pPr>
            <w:r>
              <w:t>42</w:t>
            </w:r>
          </w:p>
        </w:tc>
        <w:tc>
          <w:tcPr>
            <w:tcW w:w="1296" w:type="dxa"/>
            <w:shd w:val="clear" w:color="auto" w:fill="auto"/>
          </w:tcPr>
          <w:p w:rsidR="003E3D07" w:rsidRDefault="003E3D07">
            <w:pPr>
              <w:pStyle w:val="TableText"/>
              <w:rPr>
                <w:rFonts w:eastAsia="Symbol"/>
              </w:rPr>
            </w:pPr>
            <w:r>
              <w:t>AGJk(b)</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Anti-Jk3</w:t>
            </w:r>
          </w:p>
        </w:tc>
        <w:tc>
          <w:tcPr>
            <w:tcW w:w="1253" w:type="dxa"/>
            <w:shd w:val="clear" w:color="auto" w:fill="auto"/>
          </w:tcPr>
          <w:p w:rsidR="003E3D07" w:rsidRDefault="003E3D07">
            <w:pPr>
              <w:pStyle w:val="TableText"/>
              <w:rPr>
                <w:rFonts w:eastAsia="Symbol"/>
              </w:rPr>
            </w:pPr>
            <w:r>
              <w:rPr>
                <w:rFonts w:eastAsia="Symbol"/>
              </w:rPr>
              <w:t>Anti-Jk(a)Jk(b)</w:t>
            </w:r>
          </w:p>
        </w:tc>
        <w:tc>
          <w:tcPr>
            <w:tcW w:w="878" w:type="dxa"/>
            <w:shd w:val="clear" w:color="auto" w:fill="auto"/>
          </w:tcPr>
          <w:p w:rsidR="003E3D07" w:rsidRDefault="003E3D07">
            <w:pPr>
              <w:pStyle w:val="TableText"/>
              <w:rPr>
                <w:rFonts w:eastAsia="Symbol"/>
              </w:rPr>
            </w:pPr>
            <w:r>
              <w:rPr>
                <w:bCs/>
              </w:rPr>
              <w:t>Yes</w:t>
            </w:r>
          </w:p>
        </w:tc>
        <w:tc>
          <w:tcPr>
            <w:tcW w:w="878" w:type="dxa"/>
            <w:shd w:val="clear" w:color="auto" w:fill="auto"/>
          </w:tcPr>
          <w:p w:rsidR="003E3D07" w:rsidRDefault="003E3D07">
            <w:pPr>
              <w:pStyle w:val="TableText"/>
              <w:rPr>
                <w:rFonts w:eastAsia="Symbol"/>
              </w:rPr>
            </w:pPr>
            <w:r>
              <w:rPr>
                <w:bCs/>
              </w:rPr>
              <w:t>Yes</w:t>
            </w:r>
          </w:p>
        </w:tc>
        <w:tc>
          <w:tcPr>
            <w:tcW w:w="1253" w:type="dxa"/>
            <w:shd w:val="clear" w:color="auto" w:fill="auto"/>
          </w:tcPr>
          <w:p w:rsidR="003E3D07" w:rsidRDefault="003E3D07">
            <w:pPr>
              <w:pStyle w:val="TableText"/>
              <w:rPr>
                <w:rFonts w:eastAsia="Symbol"/>
              </w:rPr>
            </w:pPr>
            <w:r>
              <w:t>Jk(a) and Jk(b)</w:t>
            </w:r>
          </w:p>
        </w:tc>
        <w:tc>
          <w:tcPr>
            <w:tcW w:w="1253" w:type="dxa"/>
            <w:shd w:val="clear" w:color="auto" w:fill="auto"/>
          </w:tcPr>
          <w:p w:rsidR="003E3D07" w:rsidRDefault="003E3D07">
            <w:pPr>
              <w:pStyle w:val="TableText"/>
              <w:rPr>
                <w:rFonts w:eastAsia="Symbol"/>
              </w:rPr>
            </w:pPr>
            <w:r>
              <w:rPr>
                <w:rFonts w:eastAsia="Symbol"/>
              </w:rPr>
              <w:t>None</w:t>
            </w:r>
          </w:p>
        </w:tc>
        <w:tc>
          <w:tcPr>
            <w:tcW w:w="1296" w:type="dxa"/>
            <w:shd w:val="clear" w:color="auto" w:fill="auto"/>
          </w:tcPr>
          <w:p w:rsidR="003E3D07" w:rsidRDefault="003E3D07">
            <w:pPr>
              <w:pStyle w:val="TableText"/>
              <w:rPr>
                <w:rFonts w:eastAsia="Symbol"/>
              </w:rPr>
            </w:pPr>
            <w:r>
              <w:t>N/A</w:t>
            </w:r>
          </w:p>
        </w:tc>
        <w:tc>
          <w:tcPr>
            <w:tcW w:w="1296" w:type="dxa"/>
            <w:shd w:val="clear" w:color="auto" w:fill="auto"/>
          </w:tcPr>
          <w:p w:rsidR="003E3D07" w:rsidRDefault="003E3D07">
            <w:pPr>
              <w:pStyle w:val="TableText"/>
            </w:pPr>
            <w:r>
              <w:t>AGJk(a)</w:t>
            </w:r>
          </w:p>
          <w:p w:rsidR="003E3D07" w:rsidRDefault="003E3D07">
            <w:pPr>
              <w:pStyle w:val="TableText"/>
              <w:rPr>
                <w:rFonts w:eastAsia="Symbol"/>
              </w:rPr>
            </w:pPr>
            <w:r>
              <w:t>AGJk(b)</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Anti-Fy(a)</w:t>
            </w:r>
          </w:p>
        </w:tc>
        <w:tc>
          <w:tcPr>
            <w:tcW w:w="1253" w:type="dxa"/>
            <w:shd w:val="clear" w:color="auto" w:fill="auto"/>
          </w:tcPr>
          <w:p w:rsidR="003E3D07" w:rsidRDefault="003E3D07">
            <w:pPr>
              <w:pStyle w:val="TableText"/>
              <w:rPr>
                <w:rFonts w:eastAsia="Symbol"/>
              </w:rPr>
            </w:pPr>
            <w:r>
              <w:t>Anti-Fy(a)</w:t>
            </w:r>
          </w:p>
        </w:tc>
        <w:tc>
          <w:tcPr>
            <w:tcW w:w="878" w:type="dxa"/>
            <w:shd w:val="clear" w:color="auto" w:fill="auto"/>
          </w:tcPr>
          <w:p w:rsidR="003E3D07" w:rsidRDefault="003E3D07">
            <w:pPr>
              <w:pStyle w:val="TableText"/>
              <w:rPr>
                <w:b/>
                <w:bCs/>
              </w:rPr>
            </w:pPr>
            <w:r>
              <w:rPr>
                <w:bCs/>
              </w:rPr>
              <w:t>Yes</w:t>
            </w:r>
          </w:p>
        </w:tc>
        <w:tc>
          <w:tcPr>
            <w:tcW w:w="878" w:type="dxa"/>
            <w:shd w:val="clear" w:color="auto" w:fill="auto"/>
          </w:tcPr>
          <w:p w:rsidR="003E3D07" w:rsidRDefault="003E3D07">
            <w:pPr>
              <w:pStyle w:val="TableText"/>
              <w:rPr>
                <w:rFonts w:eastAsia="Symbol"/>
                <w:b/>
                <w:bCs/>
              </w:rPr>
            </w:pPr>
            <w:r>
              <w:rPr>
                <w:bCs/>
              </w:rPr>
              <w:t>Yes</w:t>
            </w:r>
          </w:p>
        </w:tc>
        <w:tc>
          <w:tcPr>
            <w:tcW w:w="1253" w:type="dxa"/>
            <w:shd w:val="clear" w:color="auto" w:fill="auto"/>
          </w:tcPr>
          <w:p w:rsidR="003E3D07" w:rsidRDefault="003E3D07">
            <w:pPr>
              <w:pStyle w:val="TableText"/>
              <w:rPr>
                <w:rFonts w:eastAsia="Symbol"/>
              </w:rPr>
            </w:pPr>
            <w:r>
              <w:t>Fy(a)</w:t>
            </w:r>
          </w:p>
        </w:tc>
        <w:tc>
          <w:tcPr>
            <w:tcW w:w="1253" w:type="dxa"/>
            <w:shd w:val="clear" w:color="auto" w:fill="auto"/>
          </w:tcPr>
          <w:p w:rsidR="003E3D07" w:rsidRDefault="003E3D07">
            <w:pPr>
              <w:pStyle w:val="TableText"/>
              <w:rPr>
                <w:rFonts w:eastAsia="Symbol"/>
              </w:rPr>
            </w:pPr>
            <w:r>
              <w:t>Fy(a)</w:t>
            </w:r>
          </w:p>
        </w:tc>
        <w:tc>
          <w:tcPr>
            <w:tcW w:w="1296" w:type="dxa"/>
            <w:shd w:val="clear" w:color="auto" w:fill="auto"/>
          </w:tcPr>
          <w:p w:rsidR="003E3D07" w:rsidRDefault="003E3D07">
            <w:pPr>
              <w:pStyle w:val="TableText"/>
              <w:rPr>
                <w:rFonts w:eastAsia="Symbol"/>
              </w:rPr>
            </w:pPr>
            <w:r>
              <w:t>63</w:t>
            </w:r>
          </w:p>
        </w:tc>
        <w:tc>
          <w:tcPr>
            <w:tcW w:w="1296" w:type="dxa"/>
            <w:shd w:val="clear" w:color="auto" w:fill="auto"/>
          </w:tcPr>
          <w:p w:rsidR="003E3D07" w:rsidRDefault="003E3D07">
            <w:pPr>
              <w:pStyle w:val="TableText"/>
              <w:rPr>
                <w:rFonts w:eastAsia="Symbol"/>
              </w:rPr>
            </w:pPr>
            <w:r>
              <w:t>AGFy(a)</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Anti-Fy(b)</w:t>
            </w:r>
          </w:p>
        </w:tc>
        <w:tc>
          <w:tcPr>
            <w:tcW w:w="1253" w:type="dxa"/>
            <w:shd w:val="clear" w:color="auto" w:fill="auto"/>
          </w:tcPr>
          <w:p w:rsidR="003E3D07" w:rsidRDefault="003E3D07">
            <w:pPr>
              <w:pStyle w:val="TableText"/>
              <w:rPr>
                <w:rFonts w:eastAsia="Symbol"/>
              </w:rPr>
            </w:pPr>
            <w:r>
              <w:t>Anti-Fy(b)</w:t>
            </w:r>
          </w:p>
        </w:tc>
        <w:tc>
          <w:tcPr>
            <w:tcW w:w="878" w:type="dxa"/>
            <w:shd w:val="clear" w:color="auto" w:fill="auto"/>
          </w:tcPr>
          <w:p w:rsidR="003E3D07" w:rsidRDefault="003E3D07">
            <w:pPr>
              <w:pStyle w:val="TableText"/>
              <w:rPr>
                <w:b/>
                <w:bCs/>
              </w:rPr>
            </w:pPr>
            <w:r>
              <w:rPr>
                <w:bCs/>
              </w:rPr>
              <w:t>Yes</w:t>
            </w:r>
          </w:p>
        </w:tc>
        <w:tc>
          <w:tcPr>
            <w:tcW w:w="878" w:type="dxa"/>
            <w:shd w:val="clear" w:color="auto" w:fill="auto"/>
          </w:tcPr>
          <w:p w:rsidR="003E3D07" w:rsidRDefault="003E3D07">
            <w:pPr>
              <w:pStyle w:val="TableText"/>
              <w:rPr>
                <w:rFonts w:eastAsia="Symbol"/>
                <w:b/>
                <w:bCs/>
              </w:rPr>
            </w:pPr>
            <w:r>
              <w:rPr>
                <w:bCs/>
              </w:rPr>
              <w:t>Yes</w:t>
            </w:r>
          </w:p>
        </w:tc>
        <w:tc>
          <w:tcPr>
            <w:tcW w:w="1253" w:type="dxa"/>
            <w:shd w:val="clear" w:color="auto" w:fill="auto"/>
          </w:tcPr>
          <w:p w:rsidR="003E3D07" w:rsidRDefault="003E3D07">
            <w:pPr>
              <w:pStyle w:val="TableText"/>
              <w:rPr>
                <w:rFonts w:eastAsia="Symbol"/>
              </w:rPr>
            </w:pPr>
            <w:r>
              <w:t>Fy(b)</w:t>
            </w:r>
          </w:p>
        </w:tc>
        <w:tc>
          <w:tcPr>
            <w:tcW w:w="1253" w:type="dxa"/>
            <w:shd w:val="clear" w:color="auto" w:fill="auto"/>
          </w:tcPr>
          <w:p w:rsidR="003E3D07" w:rsidRDefault="003E3D07">
            <w:pPr>
              <w:pStyle w:val="TableText"/>
              <w:rPr>
                <w:rFonts w:eastAsia="Symbol"/>
              </w:rPr>
            </w:pPr>
            <w:r>
              <w:t>Fy(b)</w:t>
            </w:r>
          </w:p>
        </w:tc>
        <w:tc>
          <w:tcPr>
            <w:tcW w:w="1296" w:type="dxa"/>
            <w:shd w:val="clear" w:color="auto" w:fill="auto"/>
          </w:tcPr>
          <w:p w:rsidR="003E3D07" w:rsidRDefault="003E3D07">
            <w:pPr>
              <w:pStyle w:val="TableText"/>
              <w:rPr>
                <w:rFonts w:eastAsia="Symbol"/>
              </w:rPr>
            </w:pPr>
            <w:r>
              <w:t>47</w:t>
            </w:r>
          </w:p>
        </w:tc>
        <w:tc>
          <w:tcPr>
            <w:tcW w:w="1296" w:type="dxa"/>
            <w:shd w:val="clear" w:color="auto" w:fill="auto"/>
          </w:tcPr>
          <w:p w:rsidR="003E3D07" w:rsidRDefault="003E3D07">
            <w:pPr>
              <w:pStyle w:val="TableText"/>
              <w:rPr>
                <w:rFonts w:eastAsia="Symbol"/>
              </w:rPr>
            </w:pPr>
            <w:r>
              <w:t>AGFy(b)</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Anti-M</w:t>
            </w:r>
          </w:p>
        </w:tc>
        <w:tc>
          <w:tcPr>
            <w:tcW w:w="1253" w:type="dxa"/>
            <w:shd w:val="clear" w:color="auto" w:fill="auto"/>
          </w:tcPr>
          <w:p w:rsidR="003E3D07" w:rsidRDefault="003E3D07">
            <w:pPr>
              <w:pStyle w:val="TableText"/>
            </w:pPr>
            <w:r>
              <w:t>Anti-M</w:t>
            </w:r>
          </w:p>
        </w:tc>
        <w:tc>
          <w:tcPr>
            <w:tcW w:w="878" w:type="dxa"/>
            <w:shd w:val="clear" w:color="auto" w:fill="auto"/>
          </w:tcPr>
          <w:p w:rsidR="003E3D07" w:rsidRDefault="003E3D07">
            <w:pPr>
              <w:pStyle w:val="TableText"/>
            </w:pPr>
            <w:r>
              <w:t>No</w:t>
            </w:r>
          </w:p>
        </w:tc>
        <w:tc>
          <w:tcPr>
            <w:tcW w:w="878" w:type="dxa"/>
            <w:shd w:val="clear" w:color="auto" w:fill="auto"/>
          </w:tcPr>
          <w:p w:rsidR="003E3D07" w:rsidRDefault="003E3D07">
            <w:pPr>
              <w:pStyle w:val="TableText"/>
              <w:rPr>
                <w:rFonts w:eastAsia="Symbol"/>
              </w:rPr>
            </w:pPr>
            <w:r w:rsidRPr="00035BA7">
              <w:t>Optional</w:t>
            </w:r>
          </w:p>
        </w:tc>
        <w:tc>
          <w:tcPr>
            <w:tcW w:w="1253" w:type="dxa"/>
            <w:shd w:val="clear" w:color="auto" w:fill="auto"/>
          </w:tcPr>
          <w:p w:rsidR="003E3D07" w:rsidRDefault="003E3D07">
            <w:pPr>
              <w:pStyle w:val="TableText"/>
              <w:rPr>
                <w:rFonts w:eastAsia="Symbol"/>
              </w:rPr>
            </w:pPr>
            <w:r>
              <w:t>M</w:t>
            </w:r>
          </w:p>
        </w:tc>
        <w:tc>
          <w:tcPr>
            <w:tcW w:w="1253" w:type="dxa"/>
            <w:shd w:val="clear" w:color="auto" w:fill="auto"/>
          </w:tcPr>
          <w:p w:rsidR="003E3D07" w:rsidRDefault="003E3D07">
            <w:pPr>
              <w:pStyle w:val="TableText"/>
            </w:pPr>
            <w:r>
              <w:t>M</w:t>
            </w:r>
          </w:p>
        </w:tc>
        <w:tc>
          <w:tcPr>
            <w:tcW w:w="1296" w:type="dxa"/>
            <w:shd w:val="clear" w:color="auto" w:fill="auto"/>
          </w:tcPr>
          <w:p w:rsidR="003E3D07" w:rsidRDefault="003E3D07">
            <w:pPr>
              <w:pStyle w:val="TableText"/>
              <w:rPr>
                <w:rFonts w:eastAsia="Symbol"/>
              </w:rPr>
            </w:pPr>
            <w:r>
              <w:t>26</w:t>
            </w:r>
          </w:p>
        </w:tc>
        <w:tc>
          <w:tcPr>
            <w:tcW w:w="1296" w:type="dxa"/>
            <w:shd w:val="clear" w:color="auto" w:fill="auto"/>
          </w:tcPr>
          <w:p w:rsidR="003E3D07" w:rsidRDefault="003E3D07">
            <w:pPr>
              <w:pStyle w:val="TableText"/>
              <w:rPr>
                <w:rFonts w:eastAsia="Symbol"/>
              </w:rPr>
            </w:pPr>
            <w:r>
              <w:t>AGM</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Anti-N</w:t>
            </w:r>
          </w:p>
        </w:tc>
        <w:tc>
          <w:tcPr>
            <w:tcW w:w="1253" w:type="dxa"/>
            <w:shd w:val="clear" w:color="auto" w:fill="auto"/>
          </w:tcPr>
          <w:p w:rsidR="003E3D07" w:rsidRDefault="003E3D07">
            <w:pPr>
              <w:pStyle w:val="TableText"/>
            </w:pPr>
            <w:r>
              <w:t>Anti-N</w:t>
            </w:r>
          </w:p>
        </w:tc>
        <w:tc>
          <w:tcPr>
            <w:tcW w:w="878" w:type="dxa"/>
            <w:shd w:val="clear" w:color="auto" w:fill="auto"/>
          </w:tcPr>
          <w:p w:rsidR="003E3D07" w:rsidRDefault="003E3D07">
            <w:pPr>
              <w:pStyle w:val="TableText"/>
            </w:pPr>
            <w:r>
              <w:t>No</w:t>
            </w:r>
          </w:p>
        </w:tc>
        <w:tc>
          <w:tcPr>
            <w:tcW w:w="878" w:type="dxa"/>
            <w:shd w:val="clear" w:color="auto" w:fill="auto"/>
          </w:tcPr>
          <w:p w:rsidR="003E3D07" w:rsidRDefault="003E3D07">
            <w:pPr>
              <w:pStyle w:val="TableText"/>
              <w:rPr>
                <w:rFonts w:eastAsia="Symbol"/>
              </w:rPr>
            </w:pPr>
            <w:r>
              <w:t>Optional</w:t>
            </w:r>
          </w:p>
        </w:tc>
        <w:tc>
          <w:tcPr>
            <w:tcW w:w="1253" w:type="dxa"/>
            <w:shd w:val="clear" w:color="auto" w:fill="auto"/>
          </w:tcPr>
          <w:p w:rsidR="003E3D07" w:rsidRDefault="003E3D07">
            <w:pPr>
              <w:pStyle w:val="TableText"/>
              <w:rPr>
                <w:rFonts w:eastAsia="Symbol"/>
              </w:rPr>
            </w:pPr>
            <w:r>
              <w:t>N</w:t>
            </w:r>
          </w:p>
        </w:tc>
        <w:tc>
          <w:tcPr>
            <w:tcW w:w="1253" w:type="dxa"/>
            <w:shd w:val="clear" w:color="auto" w:fill="auto"/>
          </w:tcPr>
          <w:p w:rsidR="003E3D07" w:rsidRDefault="003E3D07">
            <w:pPr>
              <w:pStyle w:val="TableText"/>
            </w:pPr>
            <w:r>
              <w:t>N</w:t>
            </w:r>
          </w:p>
        </w:tc>
        <w:tc>
          <w:tcPr>
            <w:tcW w:w="1296" w:type="dxa"/>
            <w:shd w:val="clear" w:color="auto" w:fill="auto"/>
          </w:tcPr>
          <w:p w:rsidR="003E3D07" w:rsidRDefault="003E3D07">
            <w:pPr>
              <w:pStyle w:val="TableText"/>
              <w:rPr>
                <w:rFonts w:eastAsia="Symbol"/>
              </w:rPr>
            </w:pPr>
            <w:r>
              <w:t>27</w:t>
            </w:r>
          </w:p>
        </w:tc>
        <w:tc>
          <w:tcPr>
            <w:tcW w:w="1296" w:type="dxa"/>
            <w:shd w:val="clear" w:color="auto" w:fill="auto"/>
          </w:tcPr>
          <w:p w:rsidR="003E3D07" w:rsidRDefault="003E3D07">
            <w:pPr>
              <w:pStyle w:val="TableText"/>
              <w:rPr>
                <w:rFonts w:eastAsia="Symbol"/>
              </w:rPr>
            </w:pPr>
            <w:r>
              <w:t>AGN</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Anti-S</w:t>
            </w:r>
          </w:p>
        </w:tc>
        <w:tc>
          <w:tcPr>
            <w:tcW w:w="1253" w:type="dxa"/>
            <w:shd w:val="clear" w:color="auto" w:fill="auto"/>
          </w:tcPr>
          <w:p w:rsidR="003E3D07" w:rsidRDefault="003E3D07">
            <w:pPr>
              <w:pStyle w:val="TableText"/>
              <w:rPr>
                <w:rFonts w:eastAsia="Symbol"/>
              </w:rPr>
            </w:pPr>
            <w:r>
              <w:t>Anti-S</w:t>
            </w:r>
          </w:p>
        </w:tc>
        <w:tc>
          <w:tcPr>
            <w:tcW w:w="878" w:type="dxa"/>
            <w:shd w:val="clear" w:color="auto" w:fill="auto"/>
          </w:tcPr>
          <w:p w:rsidR="003E3D07" w:rsidRDefault="003E3D07">
            <w:pPr>
              <w:pStyle w:val="TableText"/>
              <w:rPr>
                <w:b/>
                <w:bCs/>
              </w:rPr>
            </w:pPr>
            <w:r>
              <w:rPr>
                <w:bCs/>
              </w:rPr>
              <w:t>Yes</w:t>
            </w:r>
          </w:p>
        </w:tc>
        <w:tc>
          <w:tcPr>
            <w:tcW w:w="878" w:type="dxa"/>
            <w:shd w:val="clear" w:color="auto" w:fill="auto"/>
          </w:tcPr>
          <w:p w:rsidR="003E3D07" w:rsidRDefault="003E3D07">
            <w:pPr>
              <w:pStyle w:val="TableText"/>
              <w:rPr>
                <w:rFonts w:eastAsia="Symbol"/>
                <w:b/>
                <w:bCs/>
              </w:rPr>
            </w:pPr>
            <w:r>
              <w:rPr>
                <w:bCs/>
              </w:rPr>
              <w:t>Yes</w:t>
            </w:r>
          </w:p>
        </w:tc>
        <w:tc>
          <w:tcPr>
            <w:tcW w:w="1253" w:type="dxa"/>
            <w:shd w:val="clear" w:color="auto" w:fill="auto"/>
          </w:tcPr>
          <w:p w:rsidR="003E3D07" w:rsidRDefault="003E3D07">
            <w:pPr>
              <w:pStyle w:val="TableText"/>
              <w:rPr>
                <w:rFonts w:eastAsia="Symbol"/>
              </w:rPr>
            </w:pPr>
            <w:r>
              <w:t>S</w:t>
            </w:r>
          </w:p>
        </w:tc>
        <w:tc>
          <w:tcPr>
            <w:tcW w:w="1253" w:type="dxa"/>
            <w:shd w:val="clear" w:color="auto" w:fill="auto"/>
          </w:tcPr>
          <w:p w:rsidR="003E3D07" w:rsidRDefault="003E3D07">
            <w:pPr>
              <w:pStyle w:val="TableText"/>
              <w:rPr>
                <w:rFonts w:eastAsia="Symbol"/>
              </w:rPr>
            </w:pPr>
            <w:r>
              <w:t>S</w:t>
            </w:r>
          </w:p>
        </w:tc>
        <w:tc>
          <w:tcPr>
            <w:tcW w:w="1296" w:type="dxa"/>
            <w:shd w:val="clear" w:color="auto" w:fill="auto"/>
          </w:tcPr>
          <w:p w:rsidR="003E3D07" w:rsidRDefault="003E3D07">
            <w:pPr>
              <w:pStyle w:val="TableText"/>
              <w:rPr>
                <w:rFonts w:eastAsia="Symbol"/>
              </w:rPr>
            </w:pPr>
            <w:r>
              <w:t>58</w:t>
            </w:r>
          </w:p>
        </w:tc>
        <w:tc>
          <w:tcPr>
            <w:tcW w:w="1296" w:type="dxa"/>
            <w:shd w:val="clear" w:color="auto" w:fill="auto"/>
          </w:tcPr>
          <w:p w:rsidR="003E3D07" w:rsidRDefault="003E3D07">
            <w:pPr>
              <w:pStyle w:val="TableText"/>
              <w:rPr>
                <w:rFonts w:eastAsia="Symbol"/>
              </w:rPr>
            </w:pPr>
            <w:r>
              <w:t>AGS</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Anti-s</w:t>
            </w:r>
          </w:p>
        </w:tc>
        <w:tc>
          <w:tcPr>
            <w:tcW w:w="1253" w:type="dxa"/>
            <w:shd w:val="clear" w:color="auto" w:fill="auto"/>
          </w:tcPr>
          <w:p w:rsidR="003E3D07" w:rsidRDefault="003E3D07">
            <w:pPr>
              <w:pStyle w:val="TableText"/>
              <w:rPr>
                <w:rFonts w:eastAsia="Symbol"/>
              </w:rPr>
            </w:pPr>
            <w:r>
              <w:t>Anti-s</w:t>
            </w:r>
          </w:p>
        </w:tc>
        <w:tc>
          <w:tcPr>
            <w:tcW w:w="878" w:type="dxa"/>
            <w:shd w:val="clear" w:color="auto" w:fill="auto"/>
          </w:tcPr>
          <w:p w:rsidR="003E3D07" w:rsidRDefault="003E3D07">
            <w:pPr>
              <w:pStyle w:val="TableText"/>
              <w:rPr>
                <w:b/>
                <w:bCs/>
              </w:rPr>
            </w:pPr>
            <w:r>
              <w:rPr>
                <w:bCs/>
              </w:rPr>
              <w:t>Yes</w:t>
            </w:r>
          </w:p>
        </w:tc>
        <w:tc>
          <w:tcPr>
            <w:tcW w:w="878" w:type="dxa"/>
            <w:shd w:val="clear" w:color="auto" w:fill="auto"/>
          </w:tcPr>
          <w:p w:rsidR="003E3D07" w:rsidRDefault="003E3D07">
            <w:pPr>
              <w:pStyle w:val="TableText"/>
              <w:rPr>
                <w:rFonts w:eastAsia="Symbol"/>
                <w:b/>
                <w:bCs/>
              </w:rPr>
            </w:pPr>
            <w:r>
              <w:rPr>
                <w:bCs/>
              </w:rPr>
              <w:t>Yes</w:t>
            </w:r>
          </w:p>
        </w:tc>
        <w:tc>
          <w:tcPr>
            <w:tcW w:w="1253" w:type="dxa"/>
            <w:shd w:val="clear" w:color="auto" w:fill="auto"/>
          </w:tcPr>
          <w:p w:rsidR="003E3D07" w:rsidRDefault="003E3D07">
            <w:pPr>
              <w:pStyle w:val="TableText"/>
              <w:rPr>
                <w:rFonts w:eastAsia="Symbol"/>
              </w:rPr>
            </w:pPr>
            <w:r>
              <w:t>s</w:t>
            </w:r>
          </w:p>
        </w:tc>
        <w:tc>
          <w:tcPr>
            <w:tcW w:w="1253" w:type="dxa"/>
            <w:shd w:val="clear" w:color="auto" w:fill="auto"/>
          </w:tcPr>
          <w:p w:rsidR="003E3D07" w:rsidRDefault="003E3D07">
            <w:pPr>
              <w:pStyle w:val="TableText"/>
              <w:rPr>
                <w:rFonts w:eastAsia="Symbol"/>
              </w:rPr>
            </w:pPr>
            <w:r>
              <w:t>s</w:t>
            </w:r>
          </w:p>
        </w:tc>
        <w:tc>
          <w:tcPr>
            <w:tcW w:w="1296" w:type="dxa"/>
            <w:shd w:val="clear" w:color="auto" w:fill="auto"/>
          </w:tcPr>
          <w:p w:rsidR="003E3D07" w:rsidRDefault="003E3D07">
            <w:pPr>
              <w:pStyle w:val="TableText"/>
              <w:rPr>
                <w:rFonts w:eastAsia="Symbol"/>
              </w:rPr>
            </w:pPr>
            <w:r>
              <w:t>7</w:t>
            </w:r>
          </w:p>
        </w:tc>
        <w:tc>
          <w:tcPr>
            <w:tcW w:w="1296" w:type="dxa"/>
            <w:shd w:val="clear" w:color="auto" w:fill="auto"/>
          </w:tcPr>
          <w:p w:rsidR="003E3D07" w:rsidRDefault="003E3D07">
            <w:pPr>
              <w:pStyle w:val="TableText"/>
              <w:rPr>
                <w:rFonts w:eastAsia="Symbol"/>
              </w:rPr>
            </w:pPr>
            <w:r>
              <w:t>AGs</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Anti-U</w:t>
            </w:r>
          </w:p>
        </w:tc>
        <w:tc>
          <w:tcPr>
            <w:tcW w:w="1253" w:type="dxa"/>
            <w:shd w:val="clear" w:color="auto" w:fill="auto"/>
          </w:tcPr>
          <w:p w:rsidR="003E3D07" w:rsidRDefault="003E3D07">
            <w:pPr>
              <w:pStyle w:val="TableText"/>
              <w:rPr>
                <w:b/>
                <w:bCs/>
              </w:rPr>
            </w:pPr>
            <w:r>
              <w:t>Anti-U</w:t>
            </w:r>
          </w:p>
        </w:tc>
        <w:tc>
          <w:tcPr>
            <w:tcW w:w="878" w:type="dxa"/>
            <w:shd w:val="clear" w:color="auto" w:fill="auto"/>
          </w:tcPr>
          <w:p w:rsidR="003E3D07" w:rsidRDefault="003E3D07">
            <w:pPr>
              <w:pStyle w:val="TableText"/>
              <w:rPr>
                <w:b/>
                <w:bCs/>
              </w:rPr>
            </w:pPr>
            <w:r>
              <w:rPr>
                <w:bCs/>
              </w:rPr>
              <w:t>Yes</w:t>
            </w:r>
          </w:p>
        </w:tc>
        <w:tc>
          <w:tcPr>
            <w:tcW w:w="878" w:type="dxa"/>
            <w:shd w:val="clear" w:color="auto" w:fill="auto"/>
          </w:tcPr>
          <w:p w:rsidR="003E3D07" w:rsidRDefault="003E3D07">
            <w:pPr>
              <w:pStyle w:val="TableText"/>
              <w:rPr>
                <w:rFonts w:eastAsia="Symbol"/>
              </w:rPr>
            </w:pPr>
            <w:r>
              <w:t>Optional</w:t>
            </w:r>
          </w:p>
        </w:tc>
        <w:tc>
          <w:tcPr>
            <w:tcW w:w="1253" w:type="dxa"/>
            <w:shd w:val="clear" w:color="auto" w:fill="auto"/>
          </w:tcPr>
          <w:p w:rsidR="003E3D07" w:rsidRDefault="003E3D07">
            <w:pPr>
              <w:pStyle w:val="TableText"/>
              <w:rPr>
                <w:rFonts w:eastAsia="Symbol"/>
              </w:rPr>
            </w:pPr>
            <w:r>
              <w:t>U</w:t>
            </w:r>
          </w:p>
        </w:tc>
        <w:tc>
          <w:tcPr>
            <w:tcW w:w="1253" w:type="dxa"/>
            <w:shd w:val="clear" w:color="auto" w:fill="auto"/>
          </w:tcPr>
          <w:p w:rsidR="003E3D07" w:rsidRDefault="003E3D07">
            <w:pPr>
              <w:pStyle w:val="TableText"/>
            </w:pPr>
            <w:r>
              <w:t>U</w:t>
            </w:r>
          </w:p>
        </w:tc>
        <w:tc>
          <w:tcPr>
            <w:tcW w:w="1296" w:type="dxa"/>
            <w:shd w:val="clear" w:color="auto" w:fill="auto"/>
          </w:tcPr>
          <w:p w:rsidR="003E3D07" w:rsidRDefault="003E3D07">
            <w:pPr>
              <w:pStyle w:val="TableText"/>
              <w:rPr>
                <w:rFonts w:eastAsia="Symbol"/>
              </w:rPr>
            </w:pPr>
            <w:r>
              <w:t>0</w:t>
            </w:r>
          </w:p>
        </w:tc>
        <w:tc>
          <w:tcPr>
            <w:tcW w:w="1296" w:type="dxa"/>
            <w:shd w:val="clear" w:color="auto" w:fill="auto"/>
          </w:tcPr>
          <w:p w:rsidR="003E3D07" w:rsidRDefault="003E3D07">
            <w:pPr>
              <w:pStyle w:val="TableText"/>
              <w:rPr>
                <w:rFonts w:eastAsia="Symbol"/>
              </w:rPr>
            </w:pPr>
            <w:r>
              <w:t>AGU</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Anti-P1</w:t>
            </w:r>
          </w:p>
        </w:tc>
        <w:tc>
          <w:tcPr>
            <w:tcW w:w="1253" w:type="dxa"/>
            <w:shd w:val="clear" w:color="auto" w:fill="auto"/>
          </w:tcPr>
          <w:p w:rsidR="003E3D07" w:rsidRDefault="003E3D07">
            <w:pPr>
              <w:pStyle w:val="TableText"/>
            </w:pPr>
            <w:r>
              <w:t>Anti-P1</w:t>
            </w:r>
          </w:p>
        </w:tc>
        <w:tc>
          <w:tcPr>
            <w:tcW w:w="878" w:type="dxa"/>
            <w:shd w:val="clear" w:color="auto" w:fill="auto"/>
          </w:tcPr>
          <w:p w:rsidR="003E3D07" w:rsidRDefault="003E3D07">
            <w:pPr>
              <w:pStyle w:val="TableText"/>
            </w:pPr>
            <w:r>
              <w:t>No</w:t>
            </w:r>
          </w:p>
        </w:tc>
        <w:tc>
          <w:tcPr>
            <w:tcW w:w="878" w:type="dxa"/>
            <w:shd w:val="clear" w:color="auto" w:fill="auto"/>
          </w:tcPr>
          <w:p w:rsidR="003E3D07" w:rsidRDefault="003E3D07">
            <w:pPr>
              <w:pStyle w:val="TableText"/>
              <w:rPr>
                <w:rFonts w:eastAsia="Symbol"/>
              </w:rPr>
            </w:pPr>
            <w:r>
              <w:t>Optional</w:t>
            </w:r>
          </w:p>
        </w:tc>
        <w:tc>
          <w:tcPr>
            <w:tcW w:w="1253" w:type="dxa"/>
            <w:shd w:val="clear" w:color="auto" w:fill="auto"/>
          </w:tcPr>
          <w:p w:rsidR="003E3D07" w:rsidRDefault="003E3D07">
            <w:pPr>
              <w:pStyle w:val="TableText"/>
              <w:rPr>
                <w:rFonts w:eastAsia="Symbol"/>
              </w:rPr>
            </w:pPr>
            <w:r>
              <w:t>P1</w:t>
            </w:r>
          </w:p>
        </w:tc>
        <w:tc>
          <w:tcPr>
            <w:tcW w:w="1253" w:type="dxa"/>
            <w:shd w:val="clear" w:color="auto" w:fill="auto"/>
          </w:tcPr>
          <w:p w:rsidR="003E3D07" w:rsidRDefault="003E3D07">
            <w:pPr>
              <w:pStyle w:val="TableText"/>
              <w:rPr>
                <w:rFonts w:eastAsia="Symbol"/>
              </w:rPr>
            </w:pPr>
            <w:r>
              <w:t>P1</w:t>
            </w:r>
          </w:p>
        </w:tc>
        <w:tc>
          <w:tcPr>
            <w:tcW w:w="1296" w:type="dxa"/>
            <w:shd w:val="clear" w:color="auto" w:fill="auto"/>
          </w:tcPr>
          <w:p w:rsidR="003E3D07" w:rsidRDefault="003E3D07">
            <w:pPr>
              <w:pStyle w:val="TableText"/>
              <w:rPr>
                <w:rFonts w:eastAsia="Symbol"/>
              </w:rPr>
            </w:pPr>
            <w:r>
              <w:rPr>
                <w:rFonts w:eastAsia="Symbol"/>
              </w:rPr>
              <w:t>21</w:t>
            </w:r>
          </w:p>
        </w:tc>
        <w:tc>
          <w:tcPr>
            <w:tcW w:w="1296" w:type="dxa"/>
            <w:shd w:val="clear" w:color="auto" w:fill="auto"/>
          </w:tcPr>
          <w:p w:rsidR="003E3D07" w:rsidRDefault="003E3D07">
            <w:pPr>
              <w:pStyle w:val="TableText"/>
              <w:rPr>
                <w:rFonts w:eastAsia="Symbol"/>
              </w:rPr>
            </w:pPr>
            <w:r>
              <w:t>AGP1</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Anti-Le(a)</w:t>
            </w:r>
          </w:p>
        </w:tc>
        <w:tc>
          <w:tcPr>
            <w:tcW w:w="1253" w:type="dxa"/>
            <w:shd w:val="clear" w:color="auto" w:fill="auto"/>
          </w:tcPr>
          <w:p w:rsidR="003E3D07" w:rsidRDefault="003E3D07">
            <w:pPr>
              <w:pStyle w:val="TableText"/>
              <w:rPr>
                <w:rFonts w:eastAsia="Symbol"/>
              </w:rPr>
            </w:pPr>
            <w:r>
              <w:t>Anti-Le(a)</w:t>
            </w:r>
          </w:p>
        </w:tc>
        <w:tc>
          <w:tcPr>
            <w:tcW w:w="878" w:type="dxa"/>
            <w:shd w:val="clear" w:color="auto" w:fill="auto"/>
          </w:tcPr>
          <w:p w:rsidR="003E3D07" w:rsidRDefault="003E3D07">
            <w:pPr>
              <w:pStyle w:val="TableText"/>
            </w:pPr>
            <w:r>
              <w:t>No</w:t>
            </w:r>
          </w:p>
        </w:tc>
        <w:tc>
          <w:tcPr>
            <w:tcW w:w="878" w:type="dxa"/>
            <w:shd w:val="clear" w:color="auto" w:fill="auto"/>
          </w:tcPr>
          <w:p w:rsidR="003E3D07" w:rsidRDefault="003E3D07">
            <w:pPr>
              <w:pStyle w:val="TableText"/>
              <w:rPr>
                <w:rFonts w:eastAsia="Symbol"/>
              </w:rPr>
            </w:pPr>
            <w:r>
              <w:t>Optional</w:t>
            </w:r>
          </w:p>
        </w:tc>
        <w:tc>
          <w:tcPr>
            <w:tcW w:w="1253" w:type="dxa"/>
            <w:shd w:val="clear" w:color="auto" w:fill="auto"/>
          </w:tcPr>
          <w:p w:rsidR="003E3D07" w:rsidRDefault="003E3D07">
            <w:pPr>
              <w:pStyle w:val="TableText"/>
              <w:rPr>
                <w:rFonts w:eastAsia="Symbol"/>
              </w:rPr>
            </w:pPr>
            <w:r>
              <w:t>Le(a)</w:t>
            </w:r>
          </w:p>
        </w:tc>
        <w:tc>
          <w:tcPr>
            <w:tcW w:w="1253" w:type="dxa"/>
            <w:shd w:val="clear" w:color="auto" w:fill="auto"/>
          </w:tcPr>
          <w:p w:rsidR="003E3D07" w:rsidRDefault="003E3D07">
            <w:pPr>
              <w:pStyle w:val="TableText"/>
              <w:rPr>
                <w:rFonts w:eastAsia="Symbol"/>
              </w:rPr>
            </w:pPr>
            <w:r>
              <w:t>Le(a)</w:t>
            </w:r>
          </w:p>
        </w:tc>
        <w:tc>
          <w:tcPr>
            <w:tcW w:w="1296" w:type="dxa"/>
            <w:shd w:val="clear" w:color="auto" w:fill="auto"/>
          </w:tcPr>
          <w:p w:rsidR="003E3D07" w:rsidRDefault="003E3D07">
            <w:pPr>
              <w:pStyle w:val="TableText"/>
              <w:rPr>
                <w:rFonts w:eastAsia="Symbol"/>
              </w:rPr>
            </w:pPr>
            <w:r>
              <w:t>78</w:t>
            </w:r>
          </w:p>
        </w:tc>
        <w:tc>
          <w:tcPr>
            <w:tcW w:w="1296" w:type="dxa"/>
            <w:shd w:val="clear" w:color="auto" w:fill="auto"/>
          </w:tcPr>
          <w:p w:rsidR="003E3D07" w:rsidRDefault="003E3D07">
            <w:pPr>
              <w:pStyle w:val="TableText"/>
              <w:rPr>
                <w:rFonts w:eastAsia="Symbol"/>
              </w:rPr>
            </w:pPr>
            <w:r>
              <w:t>AGLe(a)</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Anti-Le(b)</w:t>
            </w:r>
          </w:p>
        </w:tc>
        <w:tc>
          <w:tcPr>
            <w:tcW w:w="1253" w:type="dxa"/>
            <w:shd w:val="clear" w:color="auto" w:fill="auto"/>
          </w:tcPr>
          <w:p w:rsidR="003E3D07" w:rsidRDefault="003E3D07">
            <w:pPr>
              <w:pStyle w:val="TableText"/>
              <w:rPr>
                <w:rFonts w:eastAsia="Symbol"/>
              </w:rPr>
            </w:pPr>
            <w:r>
              <w:t>Anti-Le(b)</w:t>
            </w:r>
          </w:p>
        </w:tc>
        <w:tc>
          <w:tcPr>
            <w:tcW w:w="878" w:type="dxa"/>
            <w:shd w:val="clear" w:color="auto" w:fill="auto"/>
          </w:tcPr>
          <w:p w:rsidR="003E3D07" w:rsidRDefault="003E3D07">
            <w:pPr>
              <w:pStyle w:val="TableText"/>
            </w:pPr>
            <w:r>
              <w:t>No</w:t>
            </w:r>
          </w:p>
        </w:tc>
        <w:tc>
          <w:tcPr>
            <w:tcW w:w="878" w:type="dxa"/>
            <w:shd w:val="clear" w:color="auto" w:fill="auto"/>
          </w:tcPr>
          <w:p w:rsidR="003E3D07" w:rsidRDefault="003E3D07">
            <w:pPr>
              <w:pStyle w:val="TableText"/>
              <w:rPr>
                <w:rFonts w:eastAsia="Symbol"/>
              </w:rPr>
            </w:pPr>
            <w:r>
              <w:t>Optional</w:t>
            </w:r>
          </w:p>
        </w:tc>
        <w:tc>
          <w:tcPr>
            <w:tcW w:w="1253" w:type="dxa"/>
            <w:shd w:val="clear" w:color="auto" w:fill="auto"/>
          </w:tcPr>
          <w:p w:rsidR="003E3D07" w:rsidRDefault="003E3D07">
            <w:pPr>
              <w:pStyle w:val="TableText"/>
              <w:rPr>
                <w:rFonts w:eastAsia="Symbol"/>
              </w:rPr>
            </w:pPr>
            <w:r>
              <w:t>Le(b)</w:t>
            </w:r>
          </w:p>
        </w:tc>
        <w:tc>
          <w:tcPr>
            <w:tcW w:w="1253" w:type="dxa"/>
            <w:shd w:val="clear" w:color="auto" w:fill="auto"/>
          </w:tcPr>
          <w:p w:rsidR="003E3D07" w:rsidRDefault="003E3D07">
            <w:pPr>
              <w:pStyle w:val="TableText"/>
              <w:rPr>
                <w:rFonts w:eastAsia="Symbol"/>
              </w:rPr>
            </w:pPr>
            <w:r>
              <w:t>Le(b)</w:t>
            </w:r>
          </w:p>
        </w:tc>
        <w:tc>
          <w:tcPr>
            <w:tcW w:w="1296" w:type="dxa"/>
            <w:shd w:val="clear" w:color="auto" w:fill="auto"/>
          </w:tcPr>
          <w:p w:rsidR="003E3D07" w:rsidRDefault="003E3D07">
            <w:pPr>
              <w:pStyle w:val="TableText"/>
              <w:rPr>
                <w:rFonts w:eastAsia="Symbol"/>
              </w:rPr>
            </w:pPr>
            <w:r>
              <w:t>37</w:t>
            </w:r>
          </w:p>
        </w:tc>
        <w:tc>
          <w:tcPr>
            <w:tcW w:w="1296" w:type="dxa"/>
            <w:shd w:val="clear" w:color="auto" w:fill="auto"/>
          </w:tcPr>
          <w:p w:rsidR="003E3D07" w:rsidRDefault="003E3D07">
            <w:pPr>
              <w:pStyle w:val="TableText"/>
              <w:rPr>
                <w:rFonts w:eastAsia="Symbol"/>
              </w:rPr>
            </w:pPr>
            <w:r>
              <w:t>AGLe(b)</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Anti-Js(a)</w:t>
            </w:r>
          </w:p>
        </w:tc>
        <w:tc>
          <w:tcPr>
            <w:tcW w:w="1253" w:type="dxa"/>
            <w:shd w:val="clear" w:color="auto" w:fill="auto"/>
          </w:tcPr>
          <w:p w:rsidR="003E3D07" w:rsidRDefault="003E3D07">
            <w:pPr>
              <w:pStyle w:val="TableText"/>
              <w:rPr>
                <w:rFonts w:eastAsia="Symbol"/>
              </w:rPr>
            </w:pPr>
            <w:r>
              <w:t>Anti-Js(a)</w:t>
            </w:r>
          </w:p>
        </w:tc>
        <w:tc>
          <w:tcPr>
            <w:tcW w:w="878" w:type="dxa"/>
            <w:shd w:val="clear" w:color="auto" w:fill="auto"/>
          </w:tcPr>
          <w:p w:rsidR="003E3D07" w:rsidRDefault="003E3D07">
            <w:pPr>
              <w:pStyle w:val="TableText"/>
              <w:rPr>
                <w:b/>
                <w:bCs/>
              </w:rPr>
            </w:pPr>
            <w:r>
              <w:rPr>
                <w:bCs/>
              </w:rPr>
              <w:t>Yes</w:t>
            </w:r>
          </w:p>
        </w:tc>
        <w:tc>
          <w:tcPr>
            <w:tcW w:w="878" w:type="dxa"/>
            <w:shd w:val="clear" w:color="auto" w:fill="auto"/>
          </w:tcPr>
          <w:p w:rsidR="003E3D07" w:rsidRDefault="003E3D07">
            <w:pPr>
              <w:pStyle w:val="TableText"/>
              <w:rPr>
                <w:rFonts w:eastAsia="Symbol"/>
              </w:rPr>
            </w:pPr>
            <w:r>
              <w:t>Optional</w:t>
            </w:r>
          </w:p>
        </w:tc>
        <w:tc>
          <w:tcPr>
            <w:tcW w:w="1253" w:type="dxa"/>
            <w:shd w:val="clear" w:color="auto" w:fill="auto"/>
          </w:tcPr>
          <w:p w:rsidR="003E3D07" w:rsidRDefault="003E3D07">
            <w:pPr>
              <w:pStyle w:val="TableText"/>
              <w:rPr>
                <w:rFonts w:eastAsia="Symbol"/>
              </w:rPr>
            </w:pPr>
            <w:r>
              <w:t>Js(a)</w:t>
            </w:r>
          </w:p>
        </w:tc>
        <w:tc>
          <w:tcPr>
            <w:tcW w:w="1253" w:type="dxa"/>
            <w:shd w:val="clear" w:color="auto" w:fill="auto"/>
          </w:tcPr>
          <w:p w:rsidR="003E3D07" w:rsidRDefault="003E3D07">
            <w:pPr>
              <w:pStyle w:val="TableText"/>
              <w:rPr>
                <w:rFonts w:eastAsia="Symbol"/>
              </w:rPr>
            </w:pPr>
            <w:r>
              <w:t>Js(a)</w:t>
            </w:r>
          </w:p>
        </w:tc>
        <w:tc>
          <w:tcPr>
            <w:tcW w:w="1296" w:type="dxa"/>
            <w:shd w:val="clear" w:color="auto" w:fill="auto"/>
          </w:tcPr>
          <w:p w:rsidR="003E3D07" w:rsidRDefault="003E3D07">
            <w:pPr>
              <w:pStyle w:val="TableText"/>
              <w:rPr>
                <w:rFonts w:eastAsia="Symbol"/>
              </w:rPr>
            </w:pPr>
            <w:r>
              <w:t>90</w:t>
            </w:r>
          </w:p>
        </w:tc>
        <w:tc>
          <w:tcPr>
            <w:tcW w:w="1296" w:type="dxa"/>
            <w:shd w:val="clear" w:color="auto" w:fill="auto"/>
          </w:tcPr>
          <w:p w:rsidR="003E3D07" w:rsidRDefault="003E3D07">
            <w:pPr>
              <w:pStyle w:val="TableText"/>
              <w:rPr>
                <w:rFonts w:eastAsia="Symbol"/>
              </w:rPr>
            </w:pPr>
            <w:r>
              <w:t>AGJs(a)</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Anti-Js(b)</w:t>
            </w:r>
          </w:p>
        </w:tc>
        <w:tc>
          <w:tcPr>
            <w:tcW w:w="1253" w:type="dxa"/>
            <w:shd w:val="clear" w:color="auto" w:fill="auto"/>
          </w:tcPr>
          <w:p w:rsidR="003E3D07" w:rsidRDefault="003E3D07">
            <w:pPr>
              <w:pStyle w:val="TableText"/>
              <w:rPr>
                <w:rFonts w:eastAsia="Symbol"/>
              </w:rPr>
            </w:pPr>
            <w:r>
              <w:t>Anti-Js(b)</w:t>
            </w:r>
          </w:p>
        </w:tc>
        <w:tc>
          <w:tcPr>
            <w:tcW w:w="878" w:type="dxa"/>
            <w:shd w:val="clear" w:color="auto" w:fill="auto"/>
          </w:tcPr>
          <w:p w:rsidR="003E3D07" w:rsidRDefault="003E3D07">
            <w:pPr>
              <w:pStyle w:val="TableText"/>
              <w:rPr>
                <w:b/>
                <w:bCs/>
              </w:rPr>
            </w:pPr>
            <w:r>
              <w:rPr>
                <w:bCs/>
              </w:rPr>
              <w:t>Yes</w:t>
            </w:r>
          </w:p>
        </w:tc>
        <w:tc>
          <w:tcPr>
            <w:tcW w:w="878" w:type="dxa"/>
            <w:shd w:val="clear" w:color="auto" w:fill="auto"/>
          </w:tcPr>
          <w:p w:rsidR="003E3D07" w:rsidRDefault="003E3D07">
            <w:pPr>
              <w:pStyle w:val="TableText"/>
              <w:rPr>
                <w:rFonts w:eastAsia="Symbol"/>
              </w:rPr>
            </w:pPr>
            <w:r>
              <w:t>Optional</w:t>
            </w:r>
          </w:p>
        </w:tc>
        <w:tc>
          <w:tcPr>
            <w:tcW w:w="1253" w:type="dxa"/>
            <w:shd w:val="clear" w:color="auto" w:fill="auto"/>
          </w:tcPr>
          <w:p w:rsidR="003E3D07" w:rsidRDefault="003E3D07">
            <w:pPr>
              <w:pStyle w:val="TableText"/>
              <w:rPr>
                <w:rFonts w:eastAsia="Symbol"/>
              </w:rPr>
            </w:pPr>
            <w:r>
              <w:t>Js(b)</w:t>
            </w:r>
          </w:p>
        </w:tc>
        <w:tc>
          <w:tcPr>
            <w:tcW w:w="1253" w:type="dxa"/>
            <w:shd w:val="clear" w:color="auto" w:fill="auto"/>
          </w:tcPr>
          <w:p w:rsidR="003E3D07" w:rsidRDefault="003E3D07">
            <w:pPr>
              <w:pStyle w:val="TableText"/>
              <w:rPr>
                <w:rFonts w:eastAsia="Symbol"/>
              </w:rPr>
            </w:pPr>
            <w:r>
              <w:t>Js(b)</w:t>
            </w:r>
          </w:p>
        </w:tc>
        <w:tc>
          <w:tcPr>
            <w:tcW w:w="1296" w:type="dxa"/>
            <w:shd w:val="clear" w:color="auto" w:fill="auto"/>
          </w:tcPr>
          <w:p w:rsidR="003E3D07" w:rsidRDefault="003E3D07">
            <w:pPr>
              <w:pStyle w:val="TableText"/>
              <w:rPr>
                <w:rFonts w:eastAsia="Symbol"/>
              </w:rPr>
            </w:pPr>
            <w:r>
              <w:t>10</w:t>
            </w:r>
          </w:p>
        </w:tc>
        <w:tc>
          <w:tcPr>
            <w:tcW w:w="1296" w:type="dxa"/>
            <w:shd w:val="clear" w:color="auto" w:fill="auto"/>
          </w:tcPr>
          <w:p w:rsidR="003E3D07" w:rsidRDefault="003E3D07">
            <w:pPr>
              <w:pStyle w:val="TableText"/>
              <w:rPr>
                <w:rFonts w:eastAsia="Symbol"/>
              </w:rPr>
            </w:pPr>
            <w:r>
              <w:t>AGJs(b)</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Anti-Lu(a)</w:t>
            </w:r>
          </w:p>
        </w:tc>
        <w:tc>
          <w:tcPr>
            <w:tcW w:w="1253" w:type="dxa"/>
            <w:shd w:val="clear" w:color="auto" w:fill="auto"/>
          </w:tcPr>
          <w:p w:rsidR="003E3D07" w:rsidRDefault="003E3D07">
            <w:pPr>
              <w:pStyle w:val="TableText"/>
            </w:pPr>
            <w:r>
              <w:t>Anti-Lu(a)</w:t>
            </w:r>
          </w:p>
        </w:tc>
        <w:tc>
          <w:tcPr>
            <w:tcW w:w="878" w:type="dxa"/>
            <w:shd w:val="clear" w:color="auto" w:fill="auto"/>
          </w:tcPr>
          <w:p w:rsidR="003E3D07" w:rsidRDefault="003E3D07">
            <w:pPr>
              <w:pStyle w:val="TableText"/>
            </w:pPr>
            <w:r>
              <w:t>No</w:t>
            </w:r>
          </w:p>
        </w:tc>
        <w:tc>
          <w:tcPr>
            <w:tcW w:w="878" w:type="dxa"/>
            <w:shd w:val="clear" w:color="auto" w:fill="auto"/>
          </w:tcPr>
          <w:p w:rsidR="003E3D07" w:rsidRDefault="003E3D07">
            <w:pPr>
              <w:pStyle w:val="TableText"/>
              <w:rPr>
                <w:rFonts w:eastAsia="Symbol"/>
              </w:rPr>
            </w:pPr>
            <w:r>
              <w:t>Optional</w:t>
            </w:r>
          </w:p>
        </w:tc>
        <w:tc>
          <w:tcPr>
            <w:tcW w:w="1253" w:type="dxa"/>
            <w:shd w:val="clear" w:color="auto" w:fill="auto"/>
          </w:tcPr>
          <w:p w:rsidR="003E3D07" w:rsidRDefault="003E3D07">
            <w:pPr>
              <w:pStyle w:val="TableText"/>
              <w:rPr>
                <w:rFonts w:eastAsia="Symbol"/>
              </w:rPr>
            </w:pPr>
            <w:r>
              <w:t>Lu(a)</w:t>
            </w:r>
          </w:p>
        </w:tc>
        <w:tc>
          <w:tcPr>
            <w:tcW w:w="1253" w:type="dxa"/>
            <w:shd w:val="clear" w:color="auto" w:fill="auto"/>
          </w:tcPr>
          <w:p w:rsidR="003E3D07" w:rsidRDefault="003E3D07">
            <w:pPr>
              <w:pStyle w:val="TableText"/>
            </w:pPr>
            <w:r>
              <w:t>Lu(a)</w:t>
            </w:r>
          </w:p>
        </w:tc>
        <w:tc>
          <w:tcPr>
            <w:tcW w:w="1296" w:type="dxa"/>
            <w:shd w:val="clear" w:color="auto" w:fill="auto"/>
          </w:tcPr>
          <w:p w:rsidR="003E3D07" w:rsidRDefault="003E3D07">
            <w:pPr>
              <w:pStyle w:val="TableText"/>
              <w:rPr>
                <w:rFonts w:eastAsia="Symbol"/>
              </w:rPr>
            </w:pPr>
            <w:r>
              <w:t>92</w:t>
            </w:r>
          </w:p>
        </w:tc>
        <w:tc>
          <w:tcPr>
            <w:tcW w:w="1296" w:type="dxa"/>
            <w:shd w:val="clear" w:color="auto" w:fill="auto"/>
          </w:tcPr>
          <w:p w:rsidR="003E3D07" w:rsidRDefault="003E3D07">
            <w:pPr>
              <w:pStyle w:val="TableText"/>
              <w:rPr>
                <w:rFonts w:eastAsia="Symbol"/>
              </w:rPr>
            </w:pPr>
            <w:r>
              <w:t>AGLu(a)</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Anti-Lu(b)</w:t>
            </w:r>
          </w:p>
        </w:tc>
        <w:tc>
          <w:tcPr>
            <w:tcW w:w="1253" w:type="dxa"/>
            <w:shd w:val="clear" w:color="auto" w:fill="auto"/>
          </w:tcPr>
          <w:p w:rsidR="003E3D07" w:rsidRDefault="003E3D07">
            <w:pPr>
              <w:pStyle w:val="TableText"/>
            </w:pPr>
            <w:r>
              <w:t>Anti-Lu(b)</w:t>
            </w:r>
          </w:p>
        </w:tc>
        <w:tc>
          <w:tcPr>
            <w:tcW w:w="878" w:type="dxa"/>
            <w:shd w:val="clear" w:color="auto" w:fill="auto"/>
          </w:tcPr>
          <w:p w:rsidR="003E3D07" w:rsidRDefault="003E3D07">
            <w:pPr>
              <w:pStyle w:val="TableText"/>
            </w:pPr>
            <w:r>
              <w:t>No</w:t>
            </w:r>
          </w:p>
        </w:tc>
        <w:tc>
          <w:tcPr>
            <w:tcW w:w="878" w:type="dxa"/>
            <w:shd w:val="clear" w:color="auto" w:fill="auto"/>
          </w:tcPr>
          <w:p w:rsidR="003E3D07" w:rsidRDefault="003E3D07">
            <w:pPr>
              <w:pStyle w:val="TableText"/>
              <w:rPr>
                <w:rFonts w:eastAsia="Symbol"/>
              </w:rPr>
            </w:pPr>
            <w:r>
              <w:t>Optional</w:t>
            </w:r>
          </w:p>
        </w:tc>
        <w:tc>
          <w:tcPr>
            <w:tcW w:w="1253" w:type="dxa"/>
            <w:shd w:val="clear" w:color="auto" w:fill="auto"/>
          </w:tcPr>
          <w:p w:rsidR="003E3D07" w:rsidRDefault="003E3D07">
            <w:pPr>
              <w:pStyle w:val="TableText"/>
              <w:rPr>
                <w:rFonts w:eastAsia="Symbol"/>
              </w:rPr>
            </w:pPr>
            <w:r>
              <w:t>Lu(b)</w:t>
            </w:r>
          </w:p>
        </w:tc>
        <w:tc>
          <w:tcPr>
            <w:tcW w:w="1253" w:type="dxa"/>
            <w:shd w:val="clear" w:color="auto" w:fill="auto"/>
          </w:tcPr>
          <w:p w:rsidR="003E3D07" w:rsidRDefault="003E3D07">
            <w:pPr>
              <w:pStyle w:val="TableText"/>
            </w:pPr>
            <w:r>
              <w:t>Lu(b)</w:t>
            </w:r>
          </w:p>
        </w:tc>
        <w:tc>
          <w:tcPr>
            <w:tcW w:w="1296" w:type="dxa"/>
            <w:shd w:val="clear" w:color="auto" w:fill="auto"/>
          </w:tcPr>
          <w:p w:rsidR="003E3D07" w:rsidRDefault="003E3D07">
            <w:pPr>
              <w:pStyle w:val="TableText"/>
              <w:rPr>
                <w:rFonts w:eastAsia="Symbol"/>
              </w:rPr>
            </w:pPr>
            <w:r>
              <w:t>2</w:t>
            </w:r>
          </w:p>
        </w:tc>
        <w:tc>
          <w:tcPr>
            <w:tcW w:w="1296" w:type="dxa"/>
            <w:shd w:val="clear" w:color="auto" w:fill="auto"/>
          </w:tcPr>
          <w:p w:rsidR="003E3D07" w:rsidRDefault="003E3D07">
            <w:pPr>
              <w:pStyle w:val="TableText"/>
              <w:rPr>
                <w:rFonts w:eastAsia="Symbol"/>
              </w:rPr>
            </w:pPr>
            <w:r>
              <w:t>AGLu(b)</w:t>
            </w:r>
          </w:p>
        </w:tc>
      </w:tr>
      <w:tr w:rsidR="00824338" w:rsidRPr="00584AF9">
        <w:tblPrEx>
          <w:tblBorders>
            <w:insideH w:val="single" w:sz="4" w:space="0" w:color="auto"/>
            <w:insideV w:val="single" w:sz="4" w:space="0" w:color="auto"/>
          </w:tblBorders>
        </w:tblPrEx>
        <w:tc>
          <w:tcPr>
            <w:tcW w:w="1253" w:type="dxa"/>
            <w:shd w:val="clear" w:color="auto" w:fill="auto"/>
          </w:tcPr>
          <w:p w:rsidR="003E3D07" w:rsidRPr="00584AF9" w:rsidRDefault="003E3D07" w:rsidP="00584AF9">
            <w:pPr>
              <w:pStyle w:val="TableText"/>
              <w:rPr>
                <w:rFonts w:eastAsia="Symbol"/>
              </w:rPr>
            </w:pPr>
            <w:r w:rsidRPr="00584AF9">
              <w:t>Anti-Lu3</w:t>
            </w:r>
          </w:p>
        </w:tc>
        <w:tc>
          <w:tcPr>
            <w:tcW w:w="1253" w:type="dxa"/>
            <w:shd w:val="clear" w:color="auto" w:fill="auto"/>
          </w:tcPr>
          <w:p w:rsidR="003E3D07" w:rsidRPr="006E05B3" w:rsidRDefault="003E3D07" w:rsidP="00584AF9">
            <w:pPr>
              <w:pStyle w:val="TableText"/>
              <w:rPr>
                <w:lang w:val="fr-FR"/>
              </w:rPr>
            </w:pPr>
            <w:r w:rsidRPr="006E05B3">
              <w:rPr>
                <w:lang w:val="fr-FR"/>
              </w:rPr>
              <w:t>Anti-Lu(a)Lu(b)</w:t>
            </w:r>
          </w:p>
        </w:tc>
        <w:tc>
          <w:tcPr>
            <w:tcW w:w="878" w:type="dxa"/>
            <w:shd w:val="clear" w:color="auto" w:fill="auto"/>
          </w:tcPr>
          <w:p w:rsidR="003E3D07" w:rsidRPr="00584AF9" w:rsidRDefault="003E3D07" w:rsidP="00584AF9">
            <w:pPr>
              <w:pStyle w:val="TableText"/>
            </w:pPr>
            <w:r w:rsidRPr="00584AF9">
              <w:t>No</w:t>
            </w:r>
          </w:p>
        </w:tc>
        <w:tc>
          <w:tcPr>
            <w:tcW w:w="878" w:type="dxa"/>
            <w:shd w:val="clear" w:color="auto" w:fill="auto"/>
          </w:tcPr>
          <w:p w:rsidR="003E3D07" w:rsidRPr="00584AF9" w:rsidRDefault="003E3D07" w:rsidP="00584AF9">
            <w:pPr>
              <w:pStyle w:val="TableText"/>
              <w:rPr>
                <w:rFonts w:eastAsia="Symbol"/>
              </w:rPr>
            </w:pPr>
            <w:r w:rsidRPr="00584AF9">
              <w:t>Optional</w:t>
            </w:r>
          </w:p>
        </w:tc>
        <w:tc>
          <w:tcPr>
            <w:tcW w:w="1253" w:type="dxa"/>
            <w:shd w:val="clear" w:color="auto" w:fill="auto"/>
          </w:tcPr>
          <w:p w:rsidR="003E3D07" w:rsidRPr="00584AF9" w:rsidRDefault="003E3D07" w:rsidP="00584AF9">
            <w:pPr>
              <w:pStyle w:val="TableText"/>
              <w:rPr>
                <w:rFonts w:eastAsia="Symbol"/>
              </w:rPr>
            </w:pPr>
            <w:r w:rsidRPr="00584AF9">
              <w:t>Lu (a) and Lu(b)</w:t>
            </w:r>
          </w:p>
        </w:tc>
        <w:tc>
          <w:tcPr>
            <w:tcW w:w="1253" w:type="dxa"/>
            <w:shd w:val="clear" w:color="auto" w:fill="auto"/>
          </w:tcPr>
          <w:p w:rsidR="003E3D07" w:rsidRPr="00584AF9" w:rsidRDefault="003E3D07" w:rsidP="00584AF9">
            <w:pPr>
              <w:pStyle w:val="TableText"/>
              <w:rPr>
                <w:rFonts w:eastAsia="Symbol"/>
              </w:rPr>
            </w:pPr>
            <w:r w:rsidRPr="00584AF9">
              <w:rPr>
                <w:rFonts w:eastAsia="Symbol"/>
              </w:rPr>
              <w:t>None</w:t>
            </w:r>
          </w:p>
        </w:tc>
        <w:tc>
          <w:tcPr>
            <w:tcW w:w="1296" w:type="dxa"/>
            <w:shd w:val="clear" w:color="auto" w:fill="auto"/>
          </w:tcPr>
          <w:p w:rsidR="003E3D07" w:rsidRPr="00584AF9" w:rsidRDefault="003E3D07" w:rsidP="00584AF9">
            <w:pPr>
              <w:pStyle w:val="TableText"/>
              <w:rPr>
                <w:rFonts w:eastAsia="Symbol"/>
              </w:rPr>
            </w:pPr>
            <w:r w:rsidRPr="00584AF9">
              <w:t>N/A</w:t>
            </w:r>
          </w:p>
        </w:tc>
        <w:tc>
          <w:tcPr>
            <w:tcW w:w="1296" w:type="dxa"/>
            <w:shd w:val="clear" w:color="auto" w:fill="auto"/>
          </w:tcPr>
          <w:p w:rsidR="003E3D07" w:rsidRPr="00584AF9" w:rsidRDefault="003E3D07" w:rsidP="00584AF9">
            <w:pPr>
              <w:pStyle w:val="TableText"/>
              <w:rPr>
                <w:rFonts w:eastAsia="Symbol"/>
              </w:rPr>
            </w:pPr>
            <w:r w:rsidRPr="00584AF9">
              <w:t>AGLu(a) AGLu(b)</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Anti-C(w)</w:t>
            </w:r>
          </w:p>
        </w:tc>
        <w:tc>
          <w:tcPr>
            <w:tcW w:w="1253" w:type="dxa"/>
            <w:shd w:val="clear" w:color="auto" w:fill="auto"/>
          </w:tcPr>
          <w:p w:rsidR="003E3D07" w:rsidRDefault="003E3D07">
            <w:pPr>
              <w:pStyle w:val="TableText"/>
            </w:pPr>
            <w:r>
              <w:t>Anti-Cw</w:t>
            </w:r>
          </w:p>
        </w:tc>
        <w:tc>
          <w:tcPr>
            <w:tcW w:w="878" w:type="dxa"/>
            <w:shd w:val="clear" w:color="auto" w:fill="auto"/>
          </w:tcPr>
          <w:p w:rsidR="003E3D07" w:rsidRDefault="003E3D07">
            <w:pPr>
              <w:pStyle w:val="TableText"/>
            </w:pPr>
            <w:r>
              <w:rPr>
                <w:bCs/>
              </w:rPr>
              <w:t>Yes</w:t>
            </w:r>
          </w:p>
        </w:tc>
        <w:tc>
          <w:tcPr>
            <w:tcW w:w="878" w:type="dxa"/>
            <w:shd w:val="clear" w:color="auto" w:fill="auto"/>
          </w:tcPr>
          <w:p w:rsidR="003E3D07" w:rsidRDefault="003E3D07">
            <w:pPr>
              <w:pStyle w:val="TableText"/>
              <w:rPr>
                <w:rFonts w:eastAsia="Symbol"/>
              </w:rPr>
            </w:pPr>
            <w:r>
              <w:t>Optional</w:t>
            </w:r>
          </w:p>
        </w:tc>
        <w:tc>
          <w:tcPr>
            <w:tcW w:w="1253" w:type="dxa"/>
            <w:shd w:val="clear" w:color="auto" w:fill="auto"/>
          </w:tcPr>
          <w:p w:rsidR="003E3D07" w:rsidRDefault="003E3D07">
            <w:pPr>
              <w:pStyle w:val="TableText"/>
              <w:rPr>
                <w:rFonts w:eastAsia="Symbol"/>
              </w:rPr>
            </w:pPr>
            <w:r>
              <w:t>C(w)</w:t>
            </w:r>
          </w:p>
        </w:tc>
        <w:tc>
          <w:tcPr>
            <w:tcW w:w="1253" w:type="dxa"/>
            <w:shd w:val="clear" w:color="auto" w:fill="auto"/>
          </w:tcPr>
          <w:p w:rsidR="003E3D07" w:rsidRDefault="003E3D07">
            <w:pPr>
              <w:pStyle w:val="TableText"/>
            </w:pPr>
            <w:r>
              <w:t>Cw</w:t>
            </w:r>
          </w:p>
        </w:tc>
        <w:tc>
          <w:tcPr>
            <w:tcW w:w="1296" w:type="dxa"/>
            <w:shd w:val="clear" w:color="auto" w:fill="auto"/>
          </w:tcPr>
          <w:p w:rsidR="003E3D07" w:rsidRDefault="003E3D07">
            <w:pPr>
              <w:pStyle w:val="TableText"/>
              <w:rPr>
                <w:rFonts w:eastAsia="Symbol"/>
              </w:rPr>
            </w:pPr>
            <w:r>
              <w:t>99</w:t>
            </w:r>
          </w:p>
        </w:tc>
        <w:tc>
          <w:tcPr>
            <w:tcW w:w="1296" w:type="dxa"/>
            <w:shd w:val="clear" w:color="auto" w:fill="auto"/>
          </w:tcPr>
          <w:p w:rsidR="003E3D07" w:rsidRDefault="003E3D07">
            <w:pPr>
              <w:pStyle w:val="TableText"/>
              <w:rPr>
                <w:rFonts w:eastAsia="Symbol"/>
              </w:rPr>
            </w:pPr>
            <w:r>
              <w:t>AGC(w)</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Anti-Ce</w:t>
            </w:r>
          </w:p>
        </w:tc>
        <w:tc>
          <w:tcPr>
            <w:tcW w:w="1253" w:type="dxa"/>
            <w:shd w:val="clear" w:color="auto" w:fill="auto"/>
          </w:tcPr>
          <w:p w:rsidR="003E3D07" w:rsidRDefault="003E3D07">
            <w:pPr>
              <w:pStyle w:val="TableText"/>
              <w:rPr>
                <w:rFonts w:eastAsia="Symbol"/>
              </w:rPr>
            </w:pPr>
            <w:r>
              <w:t>Anti-Ce</w:t>
            </w:r>
          </w:p>
        </w:tc>
        <w:tc>
          <w:tcPr>
            <w:tcW w:w="878" w:type="dxa"/>
            <w:shd w:val="clear" w:color="auto" w:fill="auto"/>
          </w:tcPr>
          <w:p w:rsidR="003E3D07" w:rsidRDefault="003E3D07">
            <w:pPr>
              <w:pStyle w:val="TableText"/>
            </w:pPr>
            <w:r>
              <w:rPr>
                <w:bCs/>
              </w:rPr>
              <w:t>Yes</w:t>
            </w:r>
          </w:p>
        </w:tc>
        <w:tc>
          <w:tcPr>
            <w:tcW w:w="878" w:type="dxa"/>
            <w:shd w:val="clear" w:color="auto" w:fill="auto"/>
          </w:tcPr>
          <w:p w:rsidR="003E3D07" w:rsidRDefault="003E3D07">
            <w:pPr>
              <w:pStyle w:val="TableText"/>
              <w:rPr>
                <w:rFonts w:eastAsia="Symbol"/>
              </w:rPr>
            </w:pPr>
            <w:r>
              <w:rPr>
                <w:bCs/>
              </w:rPr>
              <w:t>Yes</w:t>
            </w:r>
          </w:p>
        </w:tc>
        <w:tc>
          <w:tcPr>
            <w:tcW w:w="1253" w:type="dxa"/>
            <w:shd w:val="clear" w:color="auto" w:fill="auto"/>
          </w:tcPr>
          <w:p w:rsidR="003E3D07" w:rsidRDefault="003E3D07">
            <w:pPr>
              <w:pStyle w:val="TableText"/>
              <w:rPr>
                <w:rFonts w:eastAsia="Symbol"/>
              </w:rPr>
            </w:pPr>
            <w:r>
              <w:t>C and e</w:t>
            </w:r>
          </w:p>
        </w:tc>
        <w:tc>
          <w:tcPr>
            <w:tcW w:w="1253" w:type="dxa"/>
            <w:shd w:val="clear" w:color="auto" w:fill="auto"/>
          </w:tcPr>
          <w:p w:rsidR="003E3D07" w:rsidRDefault="003E3D07">
            <w:pPr>
              <w:pStyle w:val="TableText"/>
              <w:rPr>
                <w:rFonts w:eastAsia="Symbol"/>
              </w:rPr>
            </w:pPr>
            <w:r>
              <w:t>Ce</w:t>
            </w:r>
          </w:p>
        </w:tc>
        <w:tc>
          <w:tcPr>
            <w:tcW w:w="1296" w:type="dxa"/>
            <w:shd w:val="clear" w:color="auto" w:fill="auto"/>
          </w:tcPr>
          <w:p w:rsidR="003E3D07" w:rsidRDefault="003E3D07">
            <w:pPr>
              <w:pStyle w:val="TableText"/>
              <w:rPr>
                <w:rFonts w:eastAsia="Symbol"/>
              </w:rPr>
            </w:pPr>
            <w:r>
              <w:t>N/A</w:t>
            </w:r>
          </w:p>
        </w:tc>
        <w:tc>
          <w:tcPr>
            <w:tcW w:w="1296" w:type="dxa"/>
            <w:shd w:val="clear" w:color="auto" w:fill="auto"/>
          </w:tcPr>
          <w:p w:rsidR="003E3D07" w:rsidRDefault="003E3D07">
            <w:pPr>
              <w:pStyle w:val="TableText"/>
            </w:pPr>
            <w:r>
              <w:t>AGC</w:t>
            </w:r>
          </w:p>
          <w:p w:rsidR="003E3D07" w:rsidRDefault="003E3D07">
            <w:pPr>
              <w:pStyle w:val="TableText"/>
              <w:rPr>
                <w:rFonts w:eastAsia="Symbol"/>
              </w:rPr>
            </w:pPr>
            <w:r>
              <w:t>AGe</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Anti-C(x)</w:t>
            </w:r>
          </w:p>
        </w:tc>
        <w:tc>
          <w:tcPr>
            <w:tcW w:w="1253" w:type="dxa"/>
            <w:shd w:val="clear" w:color="auto" w:fill="auto"/>
          </w:tcPr>
          <w:p w:rsidR="003E3D07" w:rsidRDefault="003E3D07">
            <w:pPr>
              <w:pStyle w:val="TableText"/>
              <w:rPr>
                <w:rFonts w:eastAsia="Symbol"/>
              </w:rPr>
            </w:pPr>
            <w:r>
              <w:t>Anti-Cx</w:t>
            </w:r>
          </w:p>
        </w:tc>
        <w:tc>
          <w:tcPr>
            <w:tcW w:w="878" w:type="dxa"/>
            <w:shd w:val="clear" w:color="auto" w:fill="auto"/>
          </w:tcPr>
          <w:p w:rsidR="003E3D07" w:rsidRDefault="003E3D07">
            <w:pPr>
              <w:pStyle w:val="TableText"/>
            </w:pPr>
            <w:r>
              <w:rPr>
                <w:bCs/>
              </w:rPr>
              <w:t>Yes</w:t>
            </w:r>
          </w:p>
        </w:tc>
        <w:tc>
          <w:tcPr>
            <w:tcW w:w="878" w:type="dxa"/>
            <w:shd w:val="clear" w:color="auto" w:fill="auto"/>
          </w:tcPr>
          <w:p w:rsidR="003E3D07" w:rsidRDefault="003E3D07">
            <w:pPr>
              <w:pStyle w:val="TableText"/>
              <w:rPr>
                <w:rFonts w:eastAsia="Symbol"/>
              </w:rPr>
            </w:pPr>
            <w:r>
              <w:t>Optional</w:t>
            </w:r>
          </w:p>
        </w:tc>
        <w:tc>
          <w:tcPr>
            <w:tcW w:w="1253" w:type="dxa"/>
            <w:shd w:val="clear" w:color="auto" w:fill="auto"/>
          </w:tcPr>
          <w:p w:rsidR="003E3D07" w:rsidRDefault="003E3D07">
            <w:pPr>
              <w:pStyle w:val="TableText"/>
              <w:rPr>
                <w:rFonts w:eastAsia="Symbol"/>
              </w:rPr>
            </w:pPr>
            <w:r>
              <w:t>C(x)</w:t>
            </w:r>
          </w:p>
        </w:tc>
        <w:tc>
          <w:tcPr>
            <w:tcW w:w="1253" w:type="dxa"/>
            <w:shd w:val="clear" w:color="auto" w:fill="auto"/>
          </w:tcPr>
          <w:p w:rsidR="003E3D07" w:rsidRDefault="003E3D07">
            <w:pPr>
              <w:pStyle w:val="TableText"/>
              <w:rPr>
                <w:rFonts w:eastAsia="Symbol"/>
              </w:rPr>
            </w:pPr>
            <w:r>
              <w:t>Cx</w:t>
            </w:r>
          </w:p>
        </w:tc>
        <w:tc>
          <w:tcPr>
            <w:tcW w:w="1296" w:type="dxa"/>
            <w:shd w:val="clear" w:color="auto" w:fill="auto"/>
          </w:tcPr>
          <w:p w:rsidR="003E3D07" w:rsidRDefault="003E3D07">
            <w:pPr>
              <w:pStyle w:val="TableText"/>
              <w:rPr>
                <w:rFonts w:eastAsia="Symbol"/>
              </w:rPr>
            </w:pPr>
            <w:r>
              <w:t>99</w:t>
            </w:r>
          </w:p>
        </w:tc>
        <w:tc>
          <w:tcPr>
            <w:tcW w:w="1296" w:type="dxa"/>
            <w:shd w:val="clear" w:color="auto" w:fill="auto"/>
          </w:tcPr>
          <w:p w:rsidR="003E3D07" w:rsidRDefault="003E3D07">
            <w:pPr>
              <w:pStyle w:val="TableText"/>
              <w:rPr>
                <w:rFonts w:eastAsia="Symbol"/>
              </w:rPr>
            </w:pPr>
            <w:r>
              <w:rPr>
                <w:rFonts w:eastAsia="Symbol"/>
              </w:rPr>
              <w:t>AGC(x)</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Anti-E(w)</w:t>
            </w:r>
          </w:p>
        </w:tc>
        <w:tc>
          <w:tcPr>
            <w:tcW w:w="1253" w:type="dxa"/>
            <w:shd w:val="clear" w:color="auto" w:fill="auto"/>
          </w:tcPr>
          <w:p w:rsidR="003E3D07" w:rsidRDefault="003E3D07">
            <w:pPr>
              <w:pStyle w:val="TableText"/>
              <w:rPr>
                <w:rFonts w:eastAsia="Symbol"/>
              </w:rPr>
            </w:pPr>
            <w:r>
              <w:t>Anti-E(w)</w:t>
            </w:r>
          </w:p>
        </w:tc>
        <w:tc>
          <w:tcPr>
            <w:tcW w:w="878" w:type="dxa"/>
            <w:shd w:val="clear" w:color="auto" w:fill="auto"/>
          </w:tcPr>
          <w:p w:rsidR="003E3D07" w:rsidRDefault="003E3D07">
            <w:pPr>
              <w:pStyle w:val="TableText"/>
            </w:pPr>
            <w:r>
              <w:rPr>
                <w:bCs/>
              </w:rPr>
              <w:t>Yes</w:t>
            </w:r>
          </w:p>
        </w:tc>
        <w:tc>
          <w:tcPr>
            <w:tcW w:w="878" w:type="dxa"/>
            <w:shd w:val="clear" w:color="auto" w:fill="auto"/>
          </w:tcPr>
          <w:p w:rsidR="003E3D07" w:rsidRDefault="003E3D07">
            <w:pPr>
              <w:pStyle w:val="TableText"/>
              <w:rPr>
                <w:rFonts w:eastAsia="Symbol"/>
              </w:rPr>
            </w:pPr>
            <w:r>
              <w:t>Optional</w:t>
            </w:r>
          </w:p>
        </w:tc>
        <w:tc>
          <w:tcPr>
            <w:tcW w:w="1253" w:type="dxa"/>
            <w:shd w:val="clear" w:color="auto" w:fill="auto"/>
          </w:tcPr>
          <w:p w:rsidR="003E3D07" w:rsidRDefault="003E3D07">
            <w:pPr>
              <w:pStyle w:val="TableText"/>
              <w:rPr>
                <w:rFonts w:eastAsia="Symbol"/>
              </w:rPr>
            </w:pPr>
            <w:r>
              <w:t>E(w)</w:t>
            </w:r>
          </w:p>
        </w:tc>
        <w:tc>
          <w:tcPr>
            <w:tcW w:w="1253" w:type="dxa"/>
            <w:shd w:val="clear" w:color="auto" w:fill="auto"/>
          </w:tcPr>
          <w:p w:rsidR="003E3D07" w:rsidRDefault="003E3D07">
            <w:pPr>
              <w:pStyle w:val="TableText"/>
              <w:rPr>
                <w:rFonts w:eastAsia="Symbol"/>
              </w:rPr>
            </w:pPr>
            <w:r>
              <w:t>E(w)</w:t>
            </w:r>
          </w:p>
        </w:tc>
        <w:tc>
          <w:tcPr>
            <w:tcW w:w="1296" w:type="dxa"/>
            <w:shd w:val="clear" w:color="auto" w:fill="auto"/>
          </w:tcPr>
          <w:p w:rsidR="003E3D07" w:rsidRDefault="003E3D07">
            <w:pPr>
              <w:pStyle w:val="TableText"/>
              <w:rPr>
                <w:rFonts w:eastAsia="Symbol"/>
              </w:rPr>
            </w:pPr>
            <w:r>
              <w:t>99</w:t>
            </w:r>
          </w:p>
        </w:tc>
        <w:tc>
          <w:tcPr>
            <w:tcW w:w="1296" w:type="dxa"/>
            <w:shd w:val="clear" w:color="auto" w:fill="auto"/>
          </w:tcPr>
          <w:p w:rsidR="003E3D07" w:rsidRDefault="003E3D07">
            <w:pPr>
              <w:pStyle w:val="TableText"/>
              <w:rPr>
                <w:rFonts w:eastAsia="Symbol"/>
              </w:rPr>
            </w:pPr>
            <w:r>
              <w:rPr>
                <w:rFonts w:eastAsia="Symbol"/>
              </w:rPr>
              <w:t>AGE(w)</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Anti-V</w:t>
            </w:r>
          </w:p>
        </w:tc>
        <w:tc>
          <w:tcPr>
            <w:tcW w:w="1253" w:type="dxa"/>
            <w:shd w:val="clear" w:color="auto" w:fill="auto"/>
          </w:tcPr>
          <w:p w:rsidR="003E3D07" w:rsidRDefault="003E3D07">
            <w:pPr>
              <w:pStyle w:val="TableText"/>
            </w:pPr>
            <w:r>
              <w:t>Anti-V</w:t>
            </w:r>
          </w:p>
        </w:tc>
        <w:tc>
          <w:tcPr>
            <w:tcW w:w="878" w:type="dxa"/>
            <w:shd w:val="clear" w:color="auto" w:fill="auto"/>
          </w:tcPr>
          <w:p w:rsidR="003E3D07" w:rsidRDefault="003E3D07">
            <w:pPr>
              <w:pStyle w:val="TableText"/>
            </w:pPr>
            <w:r>
              <w:rPr>
                <w:bCs/>
              </w:rPr>
              <w:t>Yes</w:t>
            </w:r>
          </w:p>
        </w:tc>
        <w:tc>
          <w:tcPr>
            <w:tcW w:w="878" w:type="dxa"/>
            <w:shd w:val="clear" w:color="auto" w:fill="auto"/>
          </w:tcPr>
          <w:p w:rsidR="003E3D07" w:rsidRDefault="003E3D07">
            <w:pPr>
              <w:pStyle w:val="TableText"/>
              <w:rPr>
                <w:rFonts w:eastAsia="Symbol"/>
              </w:rPr>
            </w:pPr>
            <w:r>
              <w:t>Optional</w:t>
            </w:r>
          </w:p>
        </w:tc>
        <w:tc>
          <w:tcPr>
            <w:tcW w:w="1253" w:type="dxa"/>
            <w:shd w:val="clear" w:color="auto" w:fill="auto"/>
          </w:tcPr>
          <w:p w:rsidR="003E3D07" w:rsidRDefault="003E3D07">
            <w:pPr>
              <w:pStyle w:val="TableText"/>
              <w:rPr>
                <w:rFonts w:eastAsia="Symbol"/>
              </w:rPr>
            </w:pPr>
            <w:r>
              <w:t>V</w:t>
            </w:r>
          </w:p>
        </w:tc>
        <w:tc>
          <w:tcPr>
            <w:tcW w:w="1253" w:type="dxa"/>
            <w:shd w:val="clear" w:color="auto" w:fill="auto"/>
          </w:tcPr>
          <w:p w:rsidR="003E3D07" w:rsidRDefault="003E3D07">
            <w:pPr>
              <w:pStyle w:val="TableText"/>
              <w:rPr>
                <w:rFonts w:eastAsia="Symbol"/>
              </w:rPr>
            </w:pPr>
            <w:r>
              <w:t>V</w:t>
            </w:r>
          </w:p>
        </w:tc>
        <w:tc>
          <w:tcPr>
            <w:tcW w:w="1296" w:type="dxa"/>
            <w:shd w:val="clear" w:color="auto" w:fill="auto"/>
          </w:tcPr>
          <w:p w:rsidR="003E3D07" w:rsidRDefault="003E3D07">
            <w:pPr>
              <w:pStyle w:val="TableText"/>
              <w:rPr>
                <w:rFonts w:eastAsia="Symbol"/>
              </w:rPr>
            </w:pPr>
            <w:r>
              <w:t>85</w:t>
            </w:r>
          </w:p>
        </w:tc>
        <w:tc>
          <w:tcPr>
            <w:tcW w:w="1296" w:type="dxa"/>
            <w:shd w:val="clear" w:color="auto" w:fill="auto"/>
          </w:tcPr>
          <w:p w:rsidR="003E3D07" w:rsidRDefault="003E3D07">
            <w:pPr>
              <w:pStyle w:val="TableText"/>
              <w:rPr>
                <w:rFonts w:eastAsia="Symbol"/>
              </w:rPr>
            </w:pPr>
            <w:r>
              <w:rPr>
                <w:rFonts w:eastAsia="Symbol"/>
              </w:rPr>
              <w:t>AGV</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Anti-Xg(a)</w:t>
            </w:r>
          </w:p>
        </w:tc>
        <w:tc>
          <w:tcPr>
            <w:tcW w:w="1253" w:type="dxa"/>
            <w:shd w:val="clear" w:color="auto" w:fill="auto"/>
          </w:tcPr>
          <w:p w:rsidR="003E3D07" w:rsidRDefault="003E3D07">
            <w:pPr>
              <w:pStyle w:val="TableText"/>
            </w:pPr>
            <w:r>
              <w:t>Anti-Xg(a)</w:t>
            </w:r>
          </w:p>
        </w:tc>
        <w:tc>
          <w:tcPr>
            <w:tcW w:w="878" w:type="dxa"/>
            <w:shd w:val="clear" w:color="auto" w:fill="auto"/>
          </w:tcPr>
          <w:p w:rsidR="003E3D07" w:rsidRDefault="003E3D07">
            <w:pPr>
              <w:pStyle w:val="TableText"/>
            </w:pPr>
            <w:r>
              <w:t>No</w:t>
            </w:r>
          </w:p>
        </w:tc>
        <w:tc>
          <w:tcPr>
            <w:tcW w:w="878" w:type="dxa"/>
            <w:shd w:val="clear" w:color="auto" w:fill="auto"/>
          </w:tcPr>
          <w:p w:rsidR="003E3D07" w:rsidRDefault="003E3D07">
            <w:pPr>
              <w:pStyle w:val="TableText"/>
              <w:rPr>
                <w:rFonts w:eastAsia="Symbol"/>
              </w:rPr>
            </w:pPr>
            <w:r>
              <w:t>Optional</w:t>
            </w:r>
          </w:p>
        </w:tc>
        <w:tc>
          <w:tcPr>
            <w:tcW w:w="1253" w:type="dxa"/>
            <w:shd w:val="clear" w:color="auto" w:fill="auto"/>
          </w:tcPr>
          <w:p w:rsidR="003E3D07" w:rsidRDefault="003E3D07">
            <w:pPr>
              <w:pStyle w:val="TableText"/>
              <w:rPr>
                <w:rFonts w:eastAsia="Symbol"/>
              </w:rPr>
            </w:pPr>
            <w:r>
              <w:t>Xg(a)</w:t>
            </w:r>
          </w:p>
        </w:tc>
        <w:tc>
          <w:tcPr>
            <w:tcW w:w="1253" w:type="dxa"/>
            <w:shd w:val="clear" w:color="auto" w:fill="auto"/>
          </w:tcPr>
          <w:p w:rsidR="003E3D07" w:rsidRDefault="003E3D07">
            <w:pPr>
              <w:pStyle w:val="TableText"/>
            </w:pPr>
            <w:r>
              <w:t>Xg(a)</w:t>
            </w:r>
          </w:p>
        </w:tc>
        <w:tc>
          <w:tcPr>
            <w:tcW w:w="1296" w:type="dxa"/>
            <w:shd w:val="clear" w:color="auto" w:fill="auto"/>
          </w:tcPr>
          <w:p w:rsidR="003E3D07" w:rsidRDefault="003E3D07">
            <w:pPr>
              <w:pStyle w:val="TableText"/>
              <w:rPr>
                <w:rFonts w:eastAsia="Symbol"/>
              </w:rPr>
            </w:pPr>
            <w:r>
              <w:t>25</w:t>
            </w:r>
          </w:p>
        </w:tc>
        <w:tc>
          <w:tcPr>
            <w:tcW w:w="1296" w:type="dxa"/>
            <w:shd w:val="clear" w:color="auto" w:fill="auto"/>
          </w:tcPr>
          <w:p w:rsidR="003E3D07" w:rsidRDefault="003E3D07">
            <w:pPr>
              <w:pStyle w:val="TableText"/>
              <w:rPr>
                <w:rFonts w:eastAsia="Symbol"/>
              </w:rPr>
            </w:pPr>
            <w:r>
              <w:t>AGXg(a)</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Anti-M(g)</w:t>
            </w:r>
          </w:p>
        </w:tc>
        <w:tc>
          <w:tcPr>
            <w:tcW w:w="1253" w:type="dxa"/>
            <w:shd w:val="clear" w:color="auto" w:fill="auto"/>
          </w:tcPr>
          <w:p w:rsidR="003E3D07" w:rsidRDefault="003E3D07">
            <w:pPr>
              <w:pStyle w:val="TableText"/>
            </w:pPr>
            <w:r>
              <w:t>Anti-M(g)</w:t>
            </w:r>
          </w:p>
        </w:tc>
        <w:tc>
          <w:tcPr>
            <w:tcW w:w="878" w:type="dxa"/>
            <w:shd w:val="clear" w:color="auto" w:fill="auto"/>
          </w:tcPr>
          <w:p w:rsidR="003E3D07" w:rsidRDefault="003E3D07">
            <w:pPr>
              <w:pStyle w:val="TableText"/>
            </w:pPr>
            <w:r>
              <w:t>No</w:t>
            </w:r>
          </w:p>
        </w:tc>
        <w:tc>
          <w:tcPr>
            <w:tcW w:w="878" w:type="dxa"/>
            <w:shd w:val="clear" w:color="auto" w:fill="auto"/>
          </w:tcPr>
          <w:p w:rsidR="003E3D07" w:rsidRDefault="003E3D07">
            <w:pPr>
              <w:pStyle w:val="TableText"/>
              <w:rPr>
                <w:rFonts w:eastAsia="Symbol"/>
              </w:rPr>
            </w:pPr>
            <w:r>
              <w:t>Optional</w:t>
            </w:r>
          </w:p>
        </w:tc>
        <w:tc>
          <w:tcPr>
            <w:tcW w:w="1253" w:type="dxa"/>
            <w:shd w:val="clear" w:color="auto" w:fill="auto"/>
          </w:tcPr>
          <w:p w:rsidR="003E3D07" w:rsidRDefault="003E3D07">
            <w:pPr>
              <w:pStyle w:val="TableText"/>
              <w:rPr>
                <w:rFonts w:eastAsia="Symbol"/>
              </w:rPr>
            </w:pPr>
            <w:r>
              <w:t>M(g)</w:t>
            </w:r>
          </w:p>
        </w:tc>
        <w:tc>
          <w:tcPr>
            <w:tcW w:w="1253" w:type="dxa"/>
            <w:shd w:val="clear" w:color="auto" w:fill="auto"/>
          </w:tcPr>
          <w:p w:rsidR="003E3D07" w:rsidRDefault="003E3D07">
            <w:pPr>
              <w:pStyle w:val="TableText"/>
              <w:rPr>
                <w:rFonts w:eastAsia="Symbol"/>
              </w:rPr>
            </w:pPr>
            <w:r>
              <w:t>M(g)</w:t>
            </w:r>
          </w:p>
        </w:tc>
        <w:tc>
          <w:tcPr>
            <w:tcW w:w="1296" w:type="dxa"/>
            <w:shd w:val="clear" w:color="auto" w:fill="auto"/>
          </w:tcPr>
          <w:p w:rsidR="003E3D07" w:rsidRDefault="003E3D07">
            <w:pPr>
              <w:pStyle w:val="TableText"/>
              <w:rPr>
                <w:rFonts w:eastAsia="Symbol"/>
              </w:rPr>
            </w:pPr>
            <w:r>
              <w:rPr>
                <w:rFonts w:eastAsia="Symbol"/>
              </w:rPr>
              <w:t>99</w:t>
            </w:r>
          </w:p>
        </w:tc>
        <w:tc>
          <w:tcPr>
            <w:tcW w:w="1296" w:type="dxa"/>
            <w:shd w:val="clear" w:color="auto" w:fill="auto"/>
          </w:tcPr>
          <w:p w:rsidR="003E3D07" w:rsidRDefault="003E3D07">
            <w:pPr>
              <w:pStyle w:val="TableText"/>
              <w:rPr>
                <w:rFonts w:eastAsia="Symbol"/>
              </w:rPr>
            </w:pPr>
            <w:r>
              <w:rPr>
                <w:rFonts w:eastAsia="Symbol"/>
              </w:rPr>
              <w:t>AGM(g)</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Anti-Mi(a)</w:t>
            </w:r>
          </w:p>
        </w:tc>
        <w:tc>
          <w:tcPr>
            <w:tcW w:w="1253" w:type="dxa"/>
            <w:shd w:val="clear" w:color="auto" w:fill="auto"/>
          </w:tcPr>
          <w:p w:rsidR="003E3D07" w:rsidRDefault="003E3D07">
            <w:pPr>
              <w:pStyle w:val="TableText"/>
            </w:pPr>
            <w:r>
              <w:t>Anti-Mi(a)</w:t>
            </w:r>
          </w:p>
        </w:tc>
        <w:tc>
          <w:tcPr>
            <w:tcW w:w="878" w:type="dxa"/>
            <w:shd w:val="clear" w:color="auto" w:fill="auto"/>
          </w:tcPr>
          <w:p w:rsidR="003E3D07" w:rsidRDefault="003E3D07">
            <w:pPr>
              <w:pStyle w:val="TableText"/>
            </w:pPr>
            <w:r>
              <w:t>No</w:t>
            </w:r>
          </w:p>
        </w:tc>
        <w:tc>
          <w:tcPr>
            <w:tcW w:w="878" w:type="dxa"/>
            <w:shd w:val="clear" w:color="auto" w:fill="auto"/>
          </w:tcPr>
          <w:p w:rsidR="003E3D07" w:rsidRDefault="003E3D07">
            <w:pPr>
              <w:pStyle w:val="TableText"/>
              <w:rPr>
                <w:rFonts w:eastAsia="Symbol"/>
              </w:rPr>
            </w:pPr>
            <w:r>
              <w:t>Optional</w:t>
            </w:r>
          </w:p>
        </w:tc>
        <w:tc>
          <w:tcPr>
            <w:tcW w:w="1253" w:type="dxa"/>
            <w:shd w:val="clear" w:color="auto" w:fill="auto"/>
          </w:tcPr>
          <w:p w:rsidR="003E3D07" w:rsidRDefault="003E3D07">
            <w:pPr>
              <w:pStyle w:val="TableText"/>
              <w:rPr>
                <w:rFonts w:eastAsia="Symbol"/>
              </w:rPr>
            </w:pPr>
            <w:r>
              <w:t>Mi(a)</w:t>
            </w:r>
          </w:p>
        </w:tc>
        <w:tc>
          <w:tcPr>
            <w:tcW w:w="1253" w:type="dxa"/>
            <w:shd w:val="clear" w:color="auto" w:fill="auto"/>
          </w:tcPr>
          <w:p w:rsidR="003E3D07" w:rsidRDefault="003E3D07">
            <w:pPr>
              <w:pStyle w:val="TableText"/>
              <w:rPr>
                <w:rFonts w:eastAsia="Symbol"/>
              </w:rPr>
            </w:pPr>
            <w:r>
              <w:t>Mi(a)</w:t>
            </w:r>
          </w:p>
        </w:tc>
        <w:tc>
          <w:tcPr>
            <w:tcW w:w="1296" w:type="dxa"/>
            <w:shd w:val="clear" w:color="auto" w:fill="auto"/>
          </w:tcPr>
          <w:p w:rsidR="003E3D07" w:rsidRDefault="003E3D07">
            <w:pPr>
              <w:pStyle w:val="TableText"/>
              <w:rPr>
                <w:rFonts w:eastAsia="Symbol"/>
              </w:rPr>
            </w:pPr>
            <w:r>
              <w:rPr>
                <w:rFonts w:eastAsia="Symbol"/>
              </w:rPr>
              <w:t>99</w:t>
            </w:r>
          </w:p>
        </w:tc>
        <w:tc>
          <w:tcPr>
            <w:tcW w:w="1296" w:type="dxa"/>
            <w:shd w:val="clear" w:color="auto" w:fill="auto"/>
          </w:tcPr>
          <w:p w:rsidR="003E3D07" w:rsidRDefault="003E3D07">
            <w:pPr>
              <w:pStyle w:val="TableText"/>
              <w:rPr>
                <w:rFonts w:eastAsia="Symbol"/>
              </w:rPr>
            </w:pPr>
            <w:r>
              <w:rPr>
                <w:rFonts w:eastAsia="Symbol"/>
              </w:rPr>
              <w:t>AGMi(a)</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Anti-P</w:t>
            </w:r>
          </w:p>
        </w:tc>
        <w:tc>
          <w:tcPr>
            <w:tcW w:w="1253" w:type="dxa"/>
            <w:shd w:val="clear" w:color="auto" w:fill="auto"/>
          </w:tcPr>
          <w:p w:rsidR="003E3D07" w:rsidRDefault="003E3D07">
            <w:pPr>
              <w:pStyle w:val="TableText"/>
            </w:pPr>
            <w:r>
              <w:t>Anti-P</w:t>
            </w:r>
          </w:p>
        </w:tc>
        <w:tc>
          <w:tcPr>
            <w:tcW w:w="878" w:type="dxa"/>
            <w:shd w:val="clear" w:color="auto" w:fill="auto"/>
          </w:tcPr>
          <w:p w:rsidR="003E3D07" w:rsidRDefault="003E3D07">
            <w:pPr>
              <w:pStyle w:val="TableText"/>
            </w:pPr>
            <w:r>
              <w:t>No</w:t>
            </w:r>
          </w:p>
        </w:tc>
        <w:tc>
          <w:tcPr>
            <w:tcW w:w="878" w:type="dxa"/>
            <w:shd w:val="clear" w:color="auto" w:fill="auto"/>
          </w:tcPr>
          <w:p w:rsidR="003E3D07" w:rsidRDefault="003E3D07">
            <w:pPr>
              <w:pStyle w:val="TableText"/>
              <w:rPr>
                <w:rFonts w:eastAsia="Symbol"/>
              </w:rPr>
            </w:pPr>
            <w:r>
              <w:t>Optional</w:t>
            </w:r>
          </w:p>
        </w:tc>
        <w:tc>
          <w:tcPr>
            <w:tcW w:w="1253" w:type="dxa"/>
            <w:shd w:val="clear" w:color="auto" w:fill="auto"/>
          </w:tcPr>
          <w:p w:rsidR="003E3D07" w:rsidRDefault="003E3D07">
            <w:pPr>
              <w:pStyle w:val="TableText"/>
              <w:rPr>
                <w:rFonts w:eastAsia="Symbol"/>
              </w:rPr>
            </w:pPr>
            <w:r>
              <w:t>P</w:t>
            </w:r>
          </w:p>
        </w:tc>
        <w:tc>
          <w:tcPr>
            <w:tcW w:w="1253" w:type="dxa"/>
            <w:shd w:val="clear" w:color="auto" w:fill="auto"/>
          </w:tcPr>
          <w:p w:rsidR="003E3D07" w:rsidRDefault="003E3D07">
            <w:pPr>
              <w:pStyle w:val="TableText"/>
              <w:rPr>
                <w:rFonts w:eastAsia="Symbol"/>
              </w:rPr>
            </w:pPr>
            <w:r>
              <w:t>P (not otherwise specified)</w:t>
            </w:r>
          </w:p>
        </w:tc>
        <w:tc>
          <w:tcPr>
            <w:tcW w:w="1296" w:type="dxa"/>
            <w:shd w:val="clear" w:color="auto" w:fill="auto"/>
          </w:tcPr>
          <w:p w:rsidR="003E3D07" w:rsidRDefault="003E3D07">
            <w:pPr>
              <w:pStyle w:val="TableText"/>
              <w:rPr>
                <w:rFonts w:eastAsia="Symbol"/>
              </w:rPr>
            </w:pPr>
            <w:r>
              <w:rPr>
                <w:rFonts w:eastAsia="Symbol"/>
              </w:rPr>
              <w:t>25</w:t>
            </w:r>
          </w:p>
        </w:tc>
        <w:tc>
          <w:tcPr>
            <w:tcW w:w="1296" w:type="dxa"/>
            <w:shd w:val="clear" w:color="auto" w:fill="auto"/>
          </w:tcPr>
          <w:p w:rsidR="003E3D07" w:rsidRDefault="003E3D07">
            <w:pPr>
              <w:pStyle w:val="TableText"/>
              <w:rPr>
                <w:rFonts w:eastAsia="Symbol"/>
              </w:rPr>
            </w:pPr>
            <w:r>
              <w:t>AGP</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lastRenderedPageBreak/>
              <w:t>Anti-A1</w:t>
            </w:r>
          </w:p>
        </w:tc>
        <w:tc>
          <w:tcPr>
            <w:tcW w:w="1253" w:type="dxa"/>
            <w:shd w:val="clear" w:color="auto" w:fill="auto"/>
          </w:tcPr>
          <w:p w:rsidR="003E3D07" w:rsidRDefault="003E3D07">
            <w:pPr>
              <w:pStyle w:val="TableText"/>
            </w:pPr>
            <w:r>
              <w:t>Anti-A-1</w:t>
            </w:r>
          </w:p>
        </w:tc>
        <w:tc>
          <w:tcPr>
            <w:tcW w:w="878" w:type="dxa"/>
            <w:shd w:val="clear" w:color="auto" w:fill="auto"/>
          </w:tcPr>
          <w:p w:rsidR="003E3D07" w:rsidRDefault="003E3D07">
            <w:pPr>
              <w:pStyle w:val="TableText"/>
            </w:pPr>
            <w:r>
              <w:t>No</w:t>
            </w:r>
          </w:p>
        </w:tc>
        <w:tc>
          <w:tcPr>
            <w:tcW w:w="878" w:type="dxa"/>
            <w:shd w:val="clear" w:color="auto" w:fill="auto"/>
          </w:tcPr>
          <w:p w:rsidR="003E3D07" w:rsidRDefault="003E3D07">
            <w:pPr>
              <w:pStyle w:val="TableText"/>
              <w:rPr>
                <w:rFonts w:eastAsia="Symbol"/>
              </w:rPr>
            </w:pPr>
            <w:r>
              <w:t>Optional</w:t>
            </w:r>
          </w:p>
        </w:tc>
        <w:tc>
          <w:tcPr>
            <w:tcW w:w="1253" w:type="dxa"/>
            <w:shd w:val="clear" w:color="auto" w:fill="auto"/>
          </w:tcPr>
          <w:p w:rsidR="003E3D07" w:rsidRDefault="003E3D07">
            <w:pPr>
              <w:pStyle w:val="TableText"/>
              <w:rPr>
                <w:rFonts w:eastAsia="Symbol"/>
              </w:rPr>
            </w:pPr>
            <w:r>
              <w:t>A1</w:t>
            </w:r>
          </w:p>
        </w:tc>
        <w:tc>
          <w:tcPr>
            <w:tcW w:w="1253" w:type="dxa"/>
            <w:shd w:val="clear" w:color="auto" w:fill="auto"/>
          </w:tcPr>
          <w:p w:rsidR="003E3D07" w:rsidRDefault="003E3D07">
            <w:pPr>
              <w:pStyle w:val="TableText"/>
              <w:rPr>
                <w:rFonts w:eastAsia="Symbol"/>
              </w:rPr>
            </w:pPr>
            <w:r>
              <w:t>A-1</w:t>
            </w:r>
          </w:p>
        </w:tc>
        <w:tc>
          <w:tcPr>
            <w:tcW w:w="1296" w:type="dxa"/>
            <w:shd w:val="clear" w:color="auto" w:fill="auto"/>
          </w:tcPr>
          <w:p w:rsidR="003E3D07" w:rsidRDefault="003E3D07">
            <w:pPr>
              <w:pStyle w:val="TableText"/>
              <w:rPr>
                <w:rFonts w:eastAsia="Symbol"/>
              </w:rPr>
            </w:pPr>
            <w:r>
              <w:rPr>
                <w:rFonts w:eastAsia="Symbol"/>
              </w:rPr>
              <w:t>10</w:t>
            </w:r>
          </w:p>
        </w:tc>
        <w:tc>
          <w:tcPr>
            <w:tcW w:w="1296" w:type="dxa"/>
            <w:shd w:val="clear" w:color="auto" w:fill="auto"/>
          </w:tcPr>
          <w:p w:rsidR="003E3D07" w:rsidRDefault="003E3D07">
            <w:pPr>
              <w:pStyle w:val="TableText"/>
              <w:rPr>
                <w:rFonts w:eastAsia="Symbol"/>
              </w:rPr>
            </w:pPr>
            <w:r>
              <w:t>AGA1</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Anti-H</w:t>
            </w:r>
          </w:p>
        </w:tc>
        <w:tc>
          <w:tcPr>
            <w:tcW w:w="1253" w:type="dxa"/>
            <w:shd w:val="clear" w:color="auto" w:fill="auto"/>
          </w:tcPr>
          <w:p w:rsidR="003E3D07" w:rsidRDefault="003E3D07">
            <w:pPr>
              <w:pStyle w:val="TableText"/>
              <w:rPr>
                <w:rFonts w:eastAsia="Symbol"/>
              </w:rPr>
            </w:pPr>
            <w:r>
              <w:t>Anti-H</w:t>
            </w:r>
          </w:p>
        </w:tc>
        <w:tc>
          <w:tcPr>
            <w:tcW w:w="878" w:type="dxa"/>
            <w:shd w:val="clear" w:color="auto" w:fill="auto"/>
          </w:tcPr>
          <w:p w:rsidR="003E3D07" w:rsidRDefault="003E3D07">
            <w:pPr>
              <w:pStyle w:val="TableText"/>
            </w:pPr>
            <w:r>
              <w:t>No</w:t>
            </w:r>
          </w:p>
        </w:tc>
        <w:tc>
          <w:tcPr>
            <w:tcW w:w="878" w:type="dxa"/>
            <w:shd w:val="clear" w:color="auto" w:fill="auto"/>
          </w:tcPr>
          <w:p w:rsidR="003E3D07" w:rsidRDefault="003E3D07">
            <w:pPr>
              <w:pStyle w:val="TableText"/>
              <w:rPr>
                <w:rFonts w:eastAsia="Symbol"/>
              </w:rPr>
            </w:pPr>
            <w:r>
              <w:t>Optional</w:t>
            </w:r>
          </w:p>
        </w:tc>
        <w:tc>
          <w:tcPr>
            <w:tcW w:w="1253" w:type="dxa"/>
            <w:shd w:val="clear" w:color="auto" w:fill="auto"/>
          </w:tcPr>
          <w:p w:rsidR="003E3D07" w:rsidRDefault="003E3D07">
            <w:pPr>
              <w:pStyle w:val="TableText"/>
              <w:rPr>
                <w:rFonts w:eastAsia="Symbol"/>
              </w:rPr>
            </w:pPr>
            <w:r>
              <w:t>H</w:t>
            </w:r>
          </w:p>
        </w:tc>
        <w:tc>
          <w:tcPr>
            <w:tcW w:w="1253" w:type="dxa"/>
            <w:shd w:val="clear" w:color="auto" w:fill="auto"/>
          </w:tcPr>
          <w:p w:rsidR="003E3D07" w:rsidRDefault="003E3D07">
            <w:pPr>
              <w:pStyle w:val="TableText"/>
              <w:rPr>
                <w:rFonts w:eastAsia="Symbol"/>
              </w:rPr>
            </w:pPr>
            <w:r>
              <w:t>H</w:t>
            </w:r>
          </w:p>
        </w:tc>
        <w:tc>
          <w:tcPr>
            <w:tcW w:w="1296" w:type="dxa"/>
            <w:shd w:val="clear" w:color="auto" w:fill="auto"/>
          </w:tcPr>
          <w:p w:rsidR="003E3D07" w:rsidRDefault="003E3D07">
            <w:pPr>
              <w:pStyle w:val="TableText"/>
              <w:rPr>
                <w:rFonts w:eastAsia="Symbol"/>
              </w:rPr>
            </w:pPr>
            <w:r>
              <w:t>0</w:t>
            </w:r>
          </w:p>
        </w:tc>
        <w:tc>
          <w:tcPr>
            <w:tcW w:w="1296" w:type="dxa"/>
            <w:shd w:val="clear" w:color="auto" w:fill="auto"/>
          </w:tcPr>
          <w:p w:rsidR="003E3D07" w:rsidRDefault="003E3D07">
            <w:pPr>
              <w:pStyle w:val="TableText"/>
              <w:rPr>
                <w:rFonts w:eastAsia="Symbol"/>
              </w:rPr>
            </w:pPr>
            <w:r>
              <w:rPr>
                <w:rFonts w:eastAsia="Symbol"/>
              </w:rPr>
              <w:t>AGH</w:t>
            </w:r>
          </w:p>
        </w:tc>
      </w:tr>
      <w:tr w:rsidR="00824338">
        <w:tblPrEx>
          <w:tblBorders>
            <w:insideH w:val="single" w:sz="4" w:space="0" w:color="auto"/>
            <w:insideV w:val="single" w:sz="4" w:space="0" w:color="auto"/>
          </w:tblBorders>
        </w:tblPrEx>
        <w:trPr>
          <w:trHeight w:val="720"/>
        </w:trPr>
        <w:tc>
          <w:tcPr>
            <w:tcW w:w="1253" w:type="dxa"/>
            <w:shd w:val="clear" w:color="auto" w:fill="auto"/>
          </w:tcPr>
          <w:p w:rsidR="003E3D07" w:rsidRDefault="003E3D07">
            <w:pPr>
              <w:pStyle w:val="TableText"/>
              <w:rPr>
                <w:rFonts w:eastAsia="Symbol"/>
              </w:rPr>
            </w:pPr>
            <w:r>
              <w:t>Anti-I</w:t>
            </w:r>
          </w:p>
        </w:tc>
        <w:tc>
          <w:tcPr>
            <w:tcW w:w="1253" w:type="dxa"/>
            <w:shd w:val="clear" w:color="auto" w:fill="auto"/>
          </w:tcPr>
          <w:p w:rsidR="003E3D07" w:rsidRDefault="003E3D07">
            <w:pPr>
              <w:pStyle w:val="TableText"/>
              <w:rPr>
                <w:rFonts w:eastAsia="Symbol"/>
              </w:rPr>
            </w:pPr>
            <w:r>
              <w:t>Anti-I</w:t>
            </w:r>
          </w:p>
        </w:tc>
        <w:tc>
          <w:tcPr>
            <w:tcW w:w="878" w:type="dxa"/>
            <w:shd w:val="clear" w:color="auto" w:fill="auto"/>
          </w:tcPr>
          <w:p w:rsidR="003E3D07" w:rsidRDefault="003E3D07">
            <w:pPr>
              <w:pStyle w:val="TableText"/>
            </w:pPr>
            <w:r>
              <w:t>No</w:t>
            </w:r>
          </w:p>
        </w:tc>
        <w:tc>
          <w:tcPr>
            <w:tcW w:w="878" w:type="dxa"/>
            <w:shd w:val="clear" w:color="auto" w:fill="auto"/>
          </w:tcPr>
          <w:p w:rsidR="003E3D07" w:rsidRDefault="003E3D07">
            <w:pPr>
              <w:pStyle w:val="TableText"/>
              <w:rPr>
                <w:rFonts w:eastAsia="Symbol"/>
              </w:rPr>
            </w:pPr>
            <w:r>
              <w:t>No</w:t>
            </w:r>
          </w:p>
        </w:tc>
        <w:tc>
          <w:tcPr>
            <w:tcW w:w="1253" w:type="dxa"/>
            <w:shd w:val="clear" w:color="auto" w:fill="auto"/>
          </w:tcPr>
          <w:p w:rsidR="003E3D07" w:rsidRDefault="003E3D07">
            <w:pPr>
              <w:pStyle w:val="TableText"/>
              <w:rPr>
                <w:rFonts w:eastAsia="Symbol"/>
              </w:rPr>
            </w:pPr>
            <w:r>
              <w:t>None</w:t>
            </w:r>
          </w:p>
        </w:tc>
        <w:tc>
          <w:tcPr>
            <w:tcW w:w="1253" w:type="dxa"/>
            <w:shd w:val="clear" w:color="auto" w:fill="auto"/>
          </w:tcPr>
          <w:p w:rsidR="003E3D07" w:rsidRDefault="003E3D07">
            <w:pPr>
              <w:pStyle w:val="TableText"/>
              <w:rPr>
                <w:rFonts w:eastAsia="Symbol"/>
              </w:rPr>
            </w:pPr>
            <w:r>
              <w:t>None</w:t>
            </w:r>
          </w:p>
        </w:tc>
        <w:tc>
          <w:tcPr>
            <w:tcW w:w="1296" w:type="dxa"/>
            <w:shd w:val="clear" w:color="auto" w:fill="auto"/>
          </w:tcPr>
          <w:p w:rsidR="003E3D07" w:rsidRDefault="003E3D07">
            <w:pPr>
              <w:pStyle w:val="TableText"/>
              <w:rPr>
                <w:rFonts w:eastAsia="Symbol"/>
              </w:rPr>
            </w:pPr>
            <w:r>
              <w:t>0</w:t>
            </w:r>
          </w:p>
        </w:tc>
        <w:tc>
          <w:tcPr>
            <w:tcW w:w="1296" w:type="dxa"/>
            <w:vMerge w:val="restart"/>
            <w:shd w:val="clear" w:color="auto" w:fill="auto"/>
          </w:tcPr>
          <w:p w:rsidR="003E3D07" w:rsidRDefault="003E3D07">
            <w:pPr>
              <w:pStyle w:val="TableText"/>
              <w:rPr>
                <w:rFonts w:eastAsia="Symbol"/>
              </w:rPr>
            </w:pPr>
            <w:r>
              <w:rPr>
                <w:rFonts w:eastAsia="Symbol"/>
              </w:rPr>
              <w:t>None</w:t>
            </w:r>
          </w:p>
        </w:tc>
      </w:tr>
      <w:tr w:rsidR="00824338">
        <w:tblPrEx>
          <w:tblBorders>
            <w:insideH w:val="single" w:sz="4" w:space="0" w:color="auto"/>
            <w:insideV w:val="single" w:sz="4" w:space="0" w:color="auto"/>
          </w:tblBorders>
        </w:tblPrEx>
        <w:trPr>
          <w:trHeight w:val="720"/>
        </w:trPr>
        <w:tc>
          <w:tcPr>
            <w:tcW w:w="1253" w:type="dxa"/>
            <w:shd w:val="clear" w:color="auto" w:fill="auto"/>
          </w:tcPr>
          <w:p w:rsidR="003E3D07" w:rsidRDefault="003E3D07">
            <w:pPr>
              <w:pStyle w:val="TableText"/>
              <w:rPr>
                <w:rFonts w:eastAsia="Symbol"/>
              </w:rPr>
            </w:pPr>
            <w:r>
              <w:t>Anti-i</w:t>
            </w:r>
          </w:p>
        </w:tc>
        <w:tc>
          <w:tcPr>
            <w:tcW w:w="1253" w:type="dxa"/>
            <w:shd w:val="clear" w:color="auto" w:fill="auto"/>
          </w:tcPr>
          <w:p w:rsidR="003E3D07" w:rsidRDefault="003E3D07">
            <w:pPr>
              <w:pStyle w:val="TableText"/>
              <w:rPr>
                <w:rFonts w:eastAsia="Symbol"/>
              </w:rPr>
            </w:pPr>
            <w:r>
              <w:t>Anti-i</w:t>
            </w:r>
          </w:p>
        </w:tc>
        <w:tc>
          <w:tcPr>
            <w:tcW w:w="878" w:type="dxa"/>
            <w:shd w:val="clear" w:color="auto" w:fill="auto"/>
          </w:tcPr>
          <w:p w:rsidR="003E3D07" w:rsidRDefault="003E3D07">
            <w:pPr>
              <w:pStyle w:val="TableText"/>
            </w:pPr>
            <w:r>
              <w:t>No</w:t>
            </w:r>
          </w:p>
        </w:tc>
        <w:tc>
          <w:tcPr>
            <w:tcW w:w="878" w:type="dxa"/>
            <w:shd w:val="clear" w:color="auto" w:fill="auto"/>
          </w:tcPr>
          <w:p w:rsidR="003E3D07" w:rsidRDefault="003E3D07">
            <w:pPr>
              <w:pStyle w:val="TableText"/>
              <w:rPr>
                <w:rFonts w:eastAsia="Symbol"/>
              </w:rPr>
            </w:pPr>
            <w:r>
              <w:t>No</w:t>
            </w:r>
          </w:p>
        </w:tc>
        <w:tc>
          <w:tcPr>
            <w:tcW w:w="1253" w:type="dxa"/>
            <w:shd w:val="clear" w:color="auto" w:fill="auto"/>
          </w:tcPr>
          <w:p w:rsidR="003E3D07" w:rsidRDefault="003E3D07">
            <w:pPr>
              <w:pStyle w:val="TableText"/>
              <w:rPr>
                <w:rFonts w:eastAsia="Symbol"/>
              </w:rPr>
            </w:pPr>
            <w:r>
              <w:t>None</w:t>
            </w:r>
          </w:p>
        </w:tc>
        <w:tc>
          <w:tcPr>
            <w:tcW w:w="1253" w:type="dxa"/>
            <w:shd w:val="clear" w:color="auto" w:fill="auto"/>
          </w:tcPr>
          <w:p w:rsidR="003E3D07" w:rsidRDefault="003E3D07">
            <w:pPr>
              <w:pStyle w:val="TableText"/>
              <w:rPr>
                <w:rFonts w:eastAsia="Symbol"/>
              </w:rPr>
            </w:pPr>
            <w:r>
              <w:t>None</w:t>
            </w:r>
          </w:p>
        </w:tc>
        <w:tc>
          <w:tcPr>
            <w:tcW w:w="1296" w:type="dxa"/>
            <w:shd w:val="clear" w:color="auto" w:fill="auto"/>
          </w:tcPr>
          <w:p w:rsidR="003E3D07" w:rsidRDefault="003E3D07">
            <w:pPr>
              <w:pStyle w:val="TableText"/>
              <w:rPr>
                <w:rFonts w:eastAsia="Symbol"/>
              </w:rPr>
            </w:pPr>
            <w:r>
              <w:rPr>
                <w:rFonts w:eastAsia="Symbol"/>
              </w:rPr>
              <w:t>99</w:t>
            </w:r>
          </w:p>
        </w:tc>
        <w:tc>
          <w:tcPr>
            <w:tcW w:w="1296" w:type="dxa"/>
            <w:vMerge/>
            <w:shd w:val="clear" w:color="auto" w:fill="auto"/>
          </w:tcPr>
          <w:p w:rsidR="003E3D07" w:rsidRDefault="003E3D07">
            <w:pPr>
              <w:pStyle w:val="TableText"/>
              <w:rPr>
                <w:rFonts w:eastAsia="Symbol"/>
              </w:rPr>
            </w:pPr>
          </w:p>
        </w:tc>
      </w:tr>
      <w:tr w:rsidR="00824338">
        <w:tblPrEx>
          <w:tblBorders>
            <w:insideH w:val="single" w:sz="4" w:space="0" w:color="auto"/>
            <w:insideV w:val="single" w:sz="4" w:space="0" w:color="auto"/>
          </w:tblBorders>
        </w:tblPrEx>
        <w:trPr>
          <w:trHeight w:val="720"/>
        </w:trPr>
        <w:tc>
          <w:tcPr>
            <w:tcW w:w="1253" w:type="dxa"/>
            <w:shd w:val="clear" w:color="auto" w:fill="auto"/>
          </w:tcPr>
          <w:p w:rsidR="003E3D07" w:rsidRDefault="003E3D07">
            <w:pPr>
              <w:pStyle w:val="TableText"/>
            </w:pPr>
            <w:r>
              <w:t>Warm autoantibody</w:t>
            </w:r>
          </w:p>
        </w:tc>
        <w:tc>
          <w:tcPr>
            <w:tcW w:w="1253" w:type="dxa"/>
            <w:shd w:val="clear" w:color="auto" w:fill="auto"/>
          </w:tcPr>
          <w:p w:rsidR="003E3D07" w:rsidRDefault="003E3D07">
            <w:pPr>
              <w:pStyle w:val="TableText"/>
            </w:pPr>
            <w:r>
              <w:t>Warm autoantibody</w:t>
            </w:r>
          </w:p>
        </w:tc>
        <w:tc>
          <w:tcPr>
            <w:tcW w:w="878" w:type="dxa"/>
            <w:shd w:val="clear" w:color="auto" w:fill="auto"/>
          </w:tcPr>
          <w:p w:rsidR="003E3D07" w:rsidRDefault="003E3D07">
            <w:pPr>
              <w:pStyle w:val="TableText"/>
            </w:pPr>
            <w:r>
              <w:t>Unknown</w:t>
            </w:r>
            <w:r w:rsidR="00F528F3" w:rsidRPr="00191509">
              <w:rPr>
                <w:szCs w:val="18"/>
              </w:rPr>
              <w:t>§</w:t>
            </w:r>
          </w:p>
        </w:tc>
        <w:tc>
          <w:tcPr>
            <w:tcW w:w="878" w:type="dxa"/>
            <w:shd w:val="clear" w:color="auto" w:fill="auto"/>
          </w:tcPr>
          <w:p w:rsidR="003E3D07" w:rsidRDefault="003E3D07">
            <w:pPr>
              <w:pStyle w:val="TableText"/>
            </w:pPr>
            <w:r>
              <w:t>No</w:t>
            </w:r>
          </w:p>
        </w:tc>
        <w:tc>
          <w:tcPr>
            <w:tcW w:w="1253" w:type="dxa"/>
            <w:shd w:val="clear" w:color="auto" w:fill="auto"/>
          </w:tcPr>
          <w:p w:rsidR="003E3D07" w:rsidRDefault="003E3D07">
            <w:pPr>
              <w:pStyle w:val="TableText"/>
              <w:rPr>
                <w:rFonts w:eastAsia="Symbol"/>
              </w:rPr>
            </w:pPr>
            <w:r>
              <w:rPr>
                <w:rFonts w:eastAsia="Symbol"/>
              </w:rPr>
              <w:t>None</w:t>
            </w:r>
          </w:p>
        </w:tc>
        <w:tc>
          <w:tcPr>
            <w:tcW w:w="1253" w:type="dxa"/>
            <w:shd w:val="clear" w:color="auto" w:fill="auto"/>
          </w:tcPr>
          <w:p w:rsidR="003E3D07" w:rsidRDefault="003E3D07">
            <w:pPr>
              <w:pStyle w:val="TableText"/>
              <w:rPr>
                <w:rFonts w:eastAsia="Symbol"/>
              </w:rPr>
            </w:pPr>
            <w:r>
              <w:rPr>
                <w:rFonts w:eastAsia="Symbol"/>
              </w:rPr>
              <w:t>None</w:t>
            </w:r>
          </w:p>
        </w:tc>
        <w:tc>
          <w:tcPr>
            <w:tcW w:w="1296" w:type="dxa"/>
            <w:shd w:val="clear" w:color="auto" w:fill="auto"/>
          </w:tcPr>
          <w:p w:rsidR="003E3D07" w:rsidRDefault="003E3D07">
            <w:pPr>
              <w:pStyle w:val="TableText"/>
            </w:pPr>
            <w:r>
              <w:rPr>
                <w:rFonts w:eastAsia="Symbol"/>
              </w:rPr>
              <w:t>0</w:t>
            </w:r>
          </w:p>
        </w:tc>
        <w:tc>
          <w:tcPr>
            <w:tcW w:w="1296" w:type="dxa"/>
            <w:vMerge/>
            <w:shd w:val="clear" w:color="auto" w:fill="auto"/>
          </w:tcPr>
          <w:p w:rsidR="003E3D07" w:rsidRDefault="003E3D07">
            <w:pPr>
              <w:pStyle w:val="TableText"/>
              <w:rPr>
                <w:rFonts w:eastAsia="Symbol"/>
              </w:rPr>
            </w:pPr>
          </w:p>
        </w:tc>
      </w:tr>
      <w:tr w:rsidR="00824338">
        <w:tblPrEx>
          <w:tblBorders>
            <w:insideH w:val="single" w:sz="4" w:space="0" w:color="auto"/>
            <w:insideV w:val="single" w:sz="4" w:space="0" w:color="auto"/>
          </w:tblBorders>
        </w:tblPrEx>
        <w:trPr>
          <w:trHeight w:val="720"/>
        </w:trPr>
        <w:tc>
          <w:tcPr>
            <w:tcW w:w="1253" w:type="dxa"/>
            <w:shd w:val="clear" w:color="auto" w:fill="auto"/>
          </w:tcPr>
          <w:p w:rsidR="003E3D07" w:rsidRDefault="003E3D07">
            <w:pPr>
              <w:pStyle w:val="TableText"/>
              <w:rPr>
                <w:rFonts w:eastAsia="Symbol"/>
              </w:rPr>
            </w:pPr>
            <w:r>
              <w:t>Cold autoantibody</w:t>
            </w:r>
          </w:p>
        </w:tc>
        <w:tc>
          <w:tcPr>
            <w:tcW w:w="1253" w:type="dxa"/>
            <w:shd w:val="clear" w:color="auto" w:fill="auto"/>
          </w:tcPr>
          <w:p w:rsidR="003E3D07" w:rsidRDefault="003E3D07">
            <w:pPr>
              <w:pStyle w:val="TableText"/>
            </w:pPr>
            <w:r>
              <w:t>Cold autoantibody</w:t>
            </w:r>
          </w:p>
        </w:tc>
        <w:tc>
          <w:tcPr>
            <w:tcW w:w="878" w:type="dxa"/>
            <w:shd w:val="clear" w:color="auto" w:fill="auto"/>
          </w:tcPr>
          <w:p w:rsidR="003E3D07" w:rsidRDefault="003E3D07">
            <w:pPr>
              <w:pStyle w:val="TableText"/>
            </w:pPr>
            <w:r>
              <w:t>No</w:t>
            </w:r>
          </w:p>
        </w:tc>
        <w:tc>
          <w:tcPr>
            <w:tcW w:w="878" w:type="dxa"/>
            <w:shd w:val="clear" w:color="auto" w:fill="auto"/>
          </w:tcPr>
          <w:p w:rsidR="003E3D07" w:rsidRDefault="003E3D07">
            <w:pPr>
              <w:pStyle w:val="TableText"/>
              <w:rPr>
                <w:rFonts w:eastAsia="Symbol"/>
              </w:rPr>
            </w:pPr>
            <w:r>
              <w:t>No</w:t>
            </w:r>
          </w:p>
        </w:tc>
        <w:tc>
          <w:tcPr>
            <w:tcW w:w="1253" w:type="dxa"/>
            <w:shd w:val="clear" w:color="auto" w:fill="auto"/>
          </w:tcPr>
          <w:p w:rsidR="003E3D07" w:rsidRDefault="003E3D07">
            <w:pPr>
              <w:pStyle w:val="TableText"/>
              <w:rPr>
                <w:rFonts w:eastAsia="Symbol"/>
              </w:rPr>
            </w:pPr>
            <w:r>
              <w:rPr>
                <w:rFonts w:eastAsia="Symbol"/>
              </w:rPr>
              <w:t>None</w:t>
            </w:r>
          </w:p>
        </w:tc>
        <w:tc>
          <w:tcPr>
            <w:tcW w:w="1253" w:type="dxa"/>
            <w:shd w:val="clear" w:color="auto" w:fill="auto"/>
          </w:tcPr>
          <w:p w:rsidR="003E3D07" w:rsidRDefault="003E3D07">
            <w:pPr>
              <w:pStyle w:val="TableText"/>
              <w:rPr>
                <w:rFonts w:eastAsia="Symbol"/>
              </w:rPr>
            </w:pPr>
            <w:r>
              <w:rPr>
                <w:rFonts w:eastAsia="Symbol"/>
              </w:rPr>
              <w:t>None</w:t>
            </w:r>
          </w:p>
        </w:tc>
        <w:tc>
          <w:tcPr>
            <w:tcW w:w="1296" w:type="dxa"/>
            <w:shd w:val="clear" w:color="auto" w:fill="auto"/>
          </w:tcPr>
          <w:p w:rsidR="003E3D07" w:rsidRDefault="003E3D07">
            <w:pPr>
              <w:pStyle w:val="TableText"/>
              <w:rPr>
                <w:rFonts w:eastAsia="Symbol"/>
              </w:rPr>
            </w:pPr>
            <w:r>
              <w:t>0</w:t>
            </w:r>
          </w:p>
        </w:tc>
        <w:tc>
          <w:tcPr>
            <w:tcW w:w="1296" w:type="dxa"/>
            <w:vMerge/>
            <w:shd w:val="clear" w:color="auto" w:fill="auto"/>
          </w:tcPr>
          <w:p w:rsidR="003E3D07" w:rsidRDefault="003E3D07">
            <w:pPr>
              <w:pStyle w:val="TableText"/>
              <w:rPr>
                <w:rFonts w:eastAsia="Symbol"/>
              </w:rPr>
            </w:pP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Anti-Le(ab)</w:t>
            </w:r>
          </w:p>
        </w:tc>
        <w:tc>
          <w:tcPr>
            <w:tcW w:w="1253" w:type="dxa"/>
            <w:shd w:val="clear" w:color="auto" w:fill="auto"/>
          </w:tcPr>
          <w:p w:rsidR="003E3D07" w:rsidRDefault="003E3D07">
            <w:pPr>
              <w:pStyle w:val="TableText"/>
            </w:pPr>
            <w:r>
              <w:t>Anti-Le(x)</w:t>
            </w:r>
          </w:p>
        </w:tc>
        <w:tc>
          <w:tcPr>
            <w:tcW w:w="878" w:type="dxa"/>
            <w:shd w:val="clear" w:color="auto" w:fill="auto"/>
          </w:tcPr>
          <w:p w:rsidR="003E3D07" w:rsidRDefault="003E3D07">
            <w:pPr>
              <w:pStyle w:val="TableText"/>
            </w:pPr>
            <w:r>
              <w:t>N</w:t>
            </w:r>
            <w:r w:rsidR="004D0818">
              <w:t>o</w:t>
            </w:r>
          </w:p>
        </w:tc>
        <w:tc>
          <w:tcPr>
            <w:tcW w:w="878" w:type="dxa"/>
            <w:shd w:val="clear" w:color="auto" w:fill="auto"/>
          </w:tcPr>
          <w:p w:rsidR="003E3D07" w:rsidRDefault="003E3D07">
            <w:pPr>
              <w:pStyle w:val="TableText"/>
              <w:rPr>
                <w:rFonts w:eastAsia="Symbol"/>
              </w:rPr>
            </w:pPr>
            <w:r>
              <w:t>Optional</w:t>
            </w:r>
          </w:p>
        </w:tc>
        <w:tc>
          <w:tcPr>
            <w:tcW w:w="1253" w:type="dxa"/>
            <w:shd w:val="clear" w:color="auto" w:fill="auto"/>
          </w:tcPr>
          <w:p w:rsidR="003E3D07" w:rsidRDefault="003E3D07">
            <w:pPr>
              <w:pStyle w:val="TableText"/>
              <w:rPr>
                <w:rFonts w:eastAsia="Symbol"/>
              </w:rPr>
            </w:pPr>
            <w:r>
              <w:rPr>
                <w:rFonts w:eastAsia="Symbol"/>
              </w:rPr>
              <w:t>Le(a) and Le(b)</w:t>
            </w:r>
          </w:p>
        </w:tc>
        <w:tc>
          <w:tcPr>
            <w:tcW w:w="1253" w:type="dxa"/>
            <w:shd w:val="clear" w:color="auto" w:fill="auto"/>
          </w:tcPr>
          <w:p w:rsidR="003E3D07" w:rsidRDefault="003E3D07">
            <w:pPr>
              <w:pStyle w:val="TableText"/>
              <w:rPr>
                <w:rFonts w:eastAsia="Symbol"/>
              </w:rPr>
            </w:pPr>
            <w:r>
              <w:rPr>
                <w:rFonts w:eastAsia="Symbol"/>
              </w:rPr>
              <w:t>None</w:t>
            </w:r>
          </w:p>
        </w:tc>
        <w:tc>
          <w:tcPr>
            <w:tcW w:w="1296" w:type="dxa"/>
            <w:shd w:val="clear" w:color="auto" w:fill="auto"/>
          </w:tcPr>
          <w:p w:rsidR="003E3D07" w:rsidRDefault="003E3D07">
            <w:pPr>
              <w:pStyle w:val="TableText"/>
              <w:rPr>
                <w:rFonts w:eastAsia="Symbol"/>
              </w:rPr>
            </w:pPr>
            <w:r>
              <w:t>N/A</w:t>
            </w:r>
          </w:p>
        </w:tc>
        <w:tc>
          <w:tcPr>
            <w:tcW w:w="1296" w:type="dxa"/>
            <w:shd w:val="clear" w:color="auto" w:fill="auto"/>
          </w:tcPr>
          <w:p w:rsidR="003E3D07" w:rsidRDefault="003E3D07">
            <w:pPr>
              <w:pStyle w:val="TableText"/>
            </w:pPr>
            <w:r>
              <w:t>AGLe(a)</w:t>
            </w:r>
          </w:p>
          <w:p w:rsidR="003E3D07" w:rsidRDefault="003E3D07">
            <w:pPr>
              <w:pStyle w:val="TableText"/>
              <w:rPr>
                <w:rFonts w:eastAsia="Symbol"/>
              </w:rPr>
            </w:pPr>
            <w:r>
              <w:t>AGLe(b)</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Anti-Di(a)</w:t>
            </w:r>
          </w:p>
        </w:tc>
        <w:tc>
          <w:tcPr>
            <w:tcW w:w="1253" w:type="dxa"/>
            <w:shd w:val="clear" w:color="auto" w:fill="auto"/>
          </w:tcPr>
          <w:p w:rsidR="003E3D07" w:rsidRDefault="003E3D07">
            <w:pPr>
              <w:pStyle w:val="TableText"/>
              <w:rPr>
                <w:rFonts w:eastAsia="Symbol"/>
              </w:rPr>
            </w:pPr>
            <w:r>
              <w:t>Anti-Di(a)</w:t>
            </w:r>
          </w:p>
        </w:tc>
        <w:tc>
          <w:tcPr>
            <w:tcW w:w="878" w:type="dxa"/>
            <w:shd w:val="clear" w:color="auto" w:fill="auto"/>
          </w:tcPr>
          <w:p w:rsidR="003E3D07" w:rsidRDefault="003E3D07">
            <w:pPr>
              <w:pStyle w:val="TableText"/>
            </w:pPr>
            <w:r>
              <w:t>No</w:t>
            </w:r>
          </w:p>
        </w:tc>
        <w:tc>
          <w:tcPr>
            <w:tcW w:w="878" w:type="dxa"/>
            <w:shd w:val="clear" w:color="auto" w:fill="auto"/>
          </w:tcPr>
          <w:p w:rsidR="003E3D07" w:rsidRDefault="003E3D07">
            <w:pPr>
              <w:pStyle w:val="TableText"/>
              <w:rPr>
                <w:rFonts w:eastAsia="Symbol"/>
              </w:rPr>
            </w:pPr>
            <w:r>
              <w:t>Optional</w:t>
            </w:r>
          </w:p>
        </w:tc>
        <w:tc>
          <w:tcPr>
            <w:tcW w:w="1253" w:type="dxa"/>
            <w:shd w:val="clear" w:color="auto" w:fill="auto"/>
          </w:tcPr>
          <w:p w:rsidR="003E3D07" w:rsidRDefault="003E3D07">
            <w:pPr>
              <w:pStyle w:val="TableText"/>
              <w:rPr>
                <w:rFonts w:eastAsia="Symbol"/>
              </w:rPr>
            </w:pPr>
            <w:r>
              <w:t>Di(a)</w:t>
            </w:r>
          </w:p>
        </w:tc>
        <w:tc>
          <w:tcPr>
            <w:tcW w:w="1253" w:type="dxa"/>
            <w:shd w:val="clear" w:color="auto" w:fill="auto"/>
          </w:tcPr>
          <w:p w:rsidR="003E3D07" w:rsidRDefault="003E3D07">
            <w:pPr>
              <w:pStyle w:val="TableText"/>
              <w:rPr>
                <w:rFonts w:eastAsia="Symbol"/>
              </w:rPr>
            </w:pPr>
            <w:r>
              <w:t>Di(a)</w:t>
            </w:r>
          </w:p>
        </w:tc>
        <w:tc>
          <w:tcPr>
            <w:tcW w:w="1296" w:type="dxa"/>
            <w:shd w:val="clear" w:color="auto" w:fill="auto"/>
          </w:tcPr>
          <w:p w:rsidR="003E3D07" w:rsidRDefault="003E3D07">
            <w:pPr>
              <w:pStyle w:val="TableText"/>
              <w:rPr>
                <w:rFonts w:eastAsia="Symbol"/>
              </w:rPr>
            </w:pPr>
            <w:r>
              <w:t>0</w:t>
            </w:r>
          </w:p>
        </w:tc>
        <w:tc>
          <w:tcPr>
            <w:tcW w:w="1296" w:type="dxa"/>
            <w:shd w:val="clear" w:color="auto" w:fill="auto"/>
          </w:tcPr>
          <w:p w:rsidR="003E3D07" w:rsidRDefault="003E3D07">
            <w:pPr>
              <w:pStyle w:val="TableText"/>
              <w:rPr>
                <w:rFonts w:eastAsia="Symbol"/>
              </w:rPr>
            </w:pPr>
            <w:r>
              <w:t>AGDi(a)</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Anti-Di(b)</w:t>
            </w:r>
          </w:p>
        </w:tc>
        <w:tc>
          <w:tcPr>
            <w:tcW w:w="1253" w:type="dxa"/>
            <w:shd w:val="clear" w:color="auto" w:fill="auto"/>
          </w:tcPr>
          <w:p w:rsidR="003E3D07" w:rsidRDefault="003E3D07">
            <w:pPr>
              <w:pStyle w:val="TableText"/>
              <w:rPr>
                <w:rFonts w:eastAsia="Symbol"/>
              </w:rPr>
            </w:pPr>
            <w:r>
              <w:t>Anti-Di(b)</w:t>
            </w:r>
          </w:p>
        </w:tc>
        <w:tc>
          <w:tcPr>
            <w:tcW w:w="878" w:type="dxa"/>
            <w:shd w:val="clear" w:color="auto" w:fill="auto"/>
          </w:tcPr>
          <w:p w:rsidR="003E3D07" w:rsidRDefault="003E3D07">
            <w:pPr>
              <w:pStyle w:val="TableText"/>
            </w:pPr>
            <w:r>
              <w:t>No</w:t>
            </w:r>
          </w:p>
        </w:tc>
        <w:tc>
          <w:tcPr>
            <w:tcW w:w="878" w:type="dxa"/>
            <w:shd w:val="clear" w:color="auto" w:fill="auto"/>
          </w:tcPr>
          <w:p w:rsidR="003E3D07" w:rsidRDefault="003E3D07">
            <w:pPr>
              <w:pStyle w:val="TableText"/>
              <w:rPr>
                <w:rFonts w:eastAsia="Symbol"/>
              </w:rPr>
            </w:pPr>
            <w:r>
              <w:t>Optional</w:t>
            </w:r>
          </w:p>
        </w:tc>
        <w:tc>
          <w:tcPr>
            <w:tcW w:w="1253" w:type="dxa"/>
            <w:shd w:val="clear" w:color="auto" w:fill="auto"/>
          </w:tcPr>
          <w:p w:rsidR="003E3D07" w:rsidRDefault="003E3D07">
            <w:pPr>
              <w:pStyle w:val="TableText"/>
              <w:rPr>
                <w:rFonts w:eastAsia="Symbol"/>
              </w:rPr>
            </w:pPr>
            <w:r>
              <w:t>Di(b)</w:t>
            </w:r>
          </w:p>
        </w:tc>
        <w:tc>
          <w:tcPr>
            <w:tcW w:w="1253" w:type="dxa"/>
            <w:shd w:val="clear" w:color="auto" w:fill="auto"/>
          </w:tcPr>
          <w:p w:rsidR="003E3D07" w:rsidRDefault="003E3D07">
            <w:pPr>
              <w:pStyle w:val="TableText"/>
              <w:rPr>
                <w:rFonts w:eastAsia="Symbol"/>
              </w:rPr>
            </w:pPr>
            <w:r>
              <w:t>Di(b)</w:t>
            </w:r>
          </w:p>
        </w:tc>
        <w:tc>
          <w:tcPr>
            <w:tcW w:w="1296" w:type="dxa"/>
            <w:shd w:val="clear" w:color="auto" w:fill="auto"/>
          </w:tcPr>
          <w:p w:rsidR="003E3D07" w:rsidRDefault="003E3D07">
            <w:pPr>
              <w:pStyle w:val="TableText"/>
              <w:rPr>
                <w:rFonts w:eastAsia="Symbol"/>
              </w:rPr>
            </w:pPr>
            <w:r>
              <w:rPr>
                <w:rFonts w:eastAsia="Symbol"/>
              </w:rPr>
              <w:t>99</w:t>
            </w:r>
          </w:p>
        </w:tc>
        <w:tc>
          <w:tcPr>
            <w:tcW w:w="1296" w:type="dxa"/>
            <w:shd w:val="clear" w:color="auto" w:fill="auto"/>
          </w:tcPr>
          <w:p w:rsidR="003E3D07" w:rsidRDefault="003E3D07">
            <w:pPr>
              <w:pStyle w:val="TableText"/>
              <w:rPr>
                <w:rFonts w:eastAsia="Symbol"/>
              </w:rPr>
            </w:pPr>
            <w:r>
              <w:t>AGDi(b)</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Anti-Do(a)</w:t>
            </w:r>
          </w:p>
        </w:tc>
        <w:tc>
          <w:tcPr>
            <w:tcW w:w="1253" w:type="dxa"/>
            <w:shd w:val="clear" w:color="auto" w:fill="auto"/>
          </w:tcPr>
          <w:p w:rsidR="003E3D07" w:rsidRDefault="003E3D07">
            <w:pPr>
              <w:pStyle w:val="TableText"/>
              <w:rPr>
                <w:rFonts w:eastAsia="Symbol"/>
              </w:rPr>
            </w:pPr>
            <w:r>
              <w:t>Anti-Do(a)</w:t>
            </w:r>
          </w:p>
        </w:tc>
        <w:tc>
          <w:tcPr>
            <w:tcW w:w="878" w:type="dxa"/>
            <w:shd w:val="clear" w:color="auto" w:fill="auto"/>
          </w:tcPr>
          <w:p w:rsidR="003E3D07" w:rsidRDefault="003E3D07">
            <w:pPr>
              <w:pStyle w:val="TableText"/>
            </w:pPr>
            <w:r>
              <w:t>No</w:t>
            </w:r>
          </w:p>
        </w:tc>
        <w:tc>
          <w:tcPr>
            <w:tcW w:w="878" w:type="dxa"/>
            <w:shd w:val="clear" w:color="auto" w:fill="auto"/>
          </w:tcPr>
          <w:p w:rsidR="003E3D07" w:rsidRDefault="003E3D07">
            <w:pPr>
              <w:pStyle w:val="TableText"/>
              <w:rPr>
                <w:rFonts w:eastAsia="Symbol"/>
              </w:rPr>
            </w:pPr>
            <w:r>
              <w:t>Optional</w:t>
            </w:r>
          </w:p>
        </w:tc>
        <w:tc>
          <w:tcPr>
            <w:tcW w:w="1253" w:type="dxa"/>
            <w:shd w:val="clear" w:color="auto" w:fill="auto"/>
          </w:tcPr>
          <w:p w:rsidR="003E3D07" w:rsidRDefault="003E3D07">
            <w:pPr>
              <w:pStyle w:val="TableText"/>
              <w:rPr>
                <w:rFonts w:eastAsia="Symbol"/>
              </w:rPr>
            </w:pPr>
            <w:r>
              <w:t>Do(a)</w:t>
            </w:r>
          </w:p>
        </w:tc>
        <w:tc>
          <w:tcPr>
            <w:tcW w:w="1253" w:type="dxa"/>
            <w:shd w:val="clear" w:color="auto" w:fill="auto"/>
          </w:tcPr>
          <w:p w:rsidR="003E3D07" w:rsidRDefault="003E3D07">
            <w:pPr>
              <w:pStyle w:val="TableText"/>
              <w:rPr>
                <w:rFonts w:eastAsia="Symbol"/>
              </w:rPr>
            </w:pPr>
            <w:r>
              <w:t>Do(a)</w:t>
            </w:r>
          </w:p>
        </w:tc>
        <w:tc>
          <w:tcPr>
            <w:tcW w:w="1296" w:type="dxa"/>
            <w:shd w:val="clear" w:color="auto" w:fill="auto"/>
          </w:tcPr>
          <w:p w:rsidR="003E3D07" w:rsidRDefault="003E3D07">
            <w:pPr>
              <w:pStyle w:val="TableText"/>
              <w:rPr>
                <w:rFonts w:eastAsia="Symbol"/>
              </w:rPr>
            </w:pPr>
            <w:r>
              <w:t>33</w:t>
            </w:r>
          </w:p>
        </w:tc>
        <w:tc>
          <w:tcPr>
            <w:tcW w:w="1296" w:type="dxa"/>
            <w:shd w:val="clear" w:color="auto" w:fill="auto"/>
          </w:tcPr>
          <w:p w:rsidR="003E3D07" w:rsidRDefault="003E3D07">
            <w:pPr>
              <w:pStyle w:val="TableText"/>
            </w:pPr>
            <w:r>
              <w:t>AGDo(a)</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Anti-Do(b)</w:t>
            </w:r>
          </w:p>
        </w:tc>
        <w:tc>
          <w:tcPr>
            <w:tcW w:w="1253" w:type="dxa"/>
            <w:shd w:val="clear" w:color="auto" w:fill="auto"/>
          </w:tcPr>
          <w:p w:rsidR="003E3D07" w:rsidRDefault="003E3D07">
            <w:pPr>
              <w:pStyle w:val="TableText"/>
              <w:rPr>
                <w:rFonts w:eastAsia="Symbol"/>
              </w:rPr>
            </w:pPr>
            <w:r>
              <w:t>None</w:t>
            </w:r>
          </w:p>
        </w:tc>
        <w:tc>
          <w:tcPr>
            <w:tcW w:w="878" w:type="dxa"/>
            <w:shd w:val="clear" w:color="auto" w:fill="auto"/>
          </w:tcPr>
          <w:p w:rsidR="003E3D07" w:rsidRDefault="003E3D07">
            <w:pPr>
              <w:pStyle w:val="TableText"/>
            </w:pPr>
            <w:r>
              <w:t>No</w:t>
            </w:r>
          </w:p>
        </w:tc>
        <w:tc>
          <w:tcPr>
            <w:tcW w:w="878" w:type="dxa"/>
            <w:shd w:val="clear" w:color="auto" w:fill="auto"/>
          </w:tcPr>
          <w:p w:rsidR="003E3D07" w:rsidRDefault="003E3D07">
            <w:pPr>
              <w:pStyle w:val="TableText"/>
              <w:rPr>
                <w:rFonts w:eastAsia="Symbol"/>
              </w:rPr>
            </w:pPr>
            <w:r>
              <w:t>Optional</w:t>
            </w:r>
          </w:p>
        </w:tc>
        <w:tc>
          <w:tcPr>
            <w:tcW w:w="1253" w:type="dxa"/>
            <w:shd w:val="clear" w:color="auto" w:fill="auto"/>
          </w:tcPr>
          <w:p w:rsidR="003E3D07" w:rsidRDefault="003E3D07">
            <w:pPr>
              <w:pStyle w:val="TableText"/>
              <w:rPr>
                <w:rFonts w:eastAsia="Symbol"/>
              </w:rPr>
            </w:pPr>
            <w:r>
              <w:t>Do(b)</w:t>
            </w:r>
          </w:p>
        </w:tc>
        <w:tc>
          <w:tcPr>
            <w:tcW w:w="1253" w:type="dxa"/>
            <w:shd w:val="clear" w:color="auto" w:fill="auto"/>
          </w:tcPr>
          <w:p w:rsidR="003E3D07" w:rsidRDefault="003E3D07">
            <w:pPr>
              <w:pStyle w:val="TableText"/>
              <w:rPr>
                <w:rFonts w:eastAsia="Symbol"/>
              </w:rPr>
            </w:pPr>
            <w:r>
              <w:t>None</w:t>
            </w:r>
          </w:p>
        </w:tc>
        <w:tc>
          <w:tcPr>
            <w:tcW w:w="1296" w:type="dxa"/>
            <w:shd w:val="clear" w:color="auto" w:fill="auto"/>
          </w:tcPr>
          <w:p w:rsidR="003E3D07" w:rsidRDefault="003E3D07">
            <w:pPr>
              <w:pStyle w:val="TableText"/>
              <w:rPr>
                <w:rFonts w:eastAsia="Symbol"/>
              </w:rPr>
            </w:pPr>
            <w:r>
              <w:t>17</w:t>
            </w:r>
          </w:p>
        </w:tc>
        <w:tc>
          <w:tcPr>
            <w:tcW w:w="1296" w:type="dxa"/>
            <w:shd w:val="clear" w:color="auto" w:fill="auto"/>
          </w:tcPr>
          <w:p w:rsidR="003E3D07" w:rsidRDefault="003E3D07">
            <w:pPr>
              <w:pStyle w:val="TableText"/>
            </w:pPr>
            <w:r>
              <w:t>AGDo(b)</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Anti-Co(a)</w:t>
            </w:r>
          </w:p>
        </w:tc>
        <w:tc>
          <w:tcPr>
            <w:tcW w:w="1253" w:type="dxa"/>
            <w:shd w:val="clear" w:color="auto" w:fill="auto"/>
          </w:tcPr>
          <w:p w:rsidR="003E3D07" w:rsidRDefault="003E3D07">
            <w:pPr>
              <w:pStyle w:val="TableText"/>
              <w:rPr>
                <w:rFonts w:eastAsia="Symbol"/>
              </w:rPr>
            </w:pPr>
            <w:r>
              <w:t>None</w:t>
            </w:r>
          </w:p>
        </w:tc>
        <w:tc>
          <w:tcPr>
            <w:tcW w:w="878" w:type="dxa"/>
            <w:shd w:val="clear" w:color="auto" w:fill="auto"/>
          </w:tcPr>
          <w:p w:rsidR="003E3D07" w:rsidRDefault="003E3D07">
            <w:pPr>
              <w:pStyle w:val="TableText"/>
            </w:pPr>
            <w:r>
              <w:t>No</w:t>
            </w:r>
          </w:p>
        </w:tc>
        <w:tc>
          <w:tcPr>
            <w:tcW w:w="878" w:type="dxa"/>
            <w:shd w:val="clear" w:color="auto" w:fill="auto"/>
          </w:tcPr>
          <w:p w:rsidR="003E3D07" w:rsidRDefault="003E3D07">
            <w:pPr>
              <w:pStyle w:val="TableText"/>
              <w:rPr>
                <w:rFonts w:eastAsia="Symbol"/>
              </w:rPr>
            </w:pPr>
            <w:r>
              <w:t>Optional</w:t>
            </w:r>
          </w:p>
        </w:tc>
        <w:tc>
          <w:tcPr>
            <w:tcW w:w="1253" w:type="dxa"/>
            <w:shd w:val="clear" w:color="auto" w:fill="auto"/>
          </w:tcPr>
          <w:p w:rsidR="003E3D07" w:rsidRDefault="003E3D07">
            <w:pPr>
              <w:pStyle w:val="TableText"/>
              <w:rPr>
                <w:rFonts w:eastAsia="Symbol"/>
              </w:rPr>
            </w:pPr>
            <w:r>
              <w:t>Co(a)</w:t>
            </w:r>
          </w:p>
        </w:tc>
        <w:tc>
          <w:tcPr>
            <w:tcW w:w="1253" w:type="dxa"/>
            <w:shd w:val="clear" w:color="auto" w:fill="auto"/>
          </w:tcPr>
          <w:p w:rsidR="003E3D07" w:rsidRDefault="003E3D07">
            <w:pPr>
              <w:pStyle w:val="TableText"/>
              <w:rPr>
                <w:rFonts w:eastAsia="Symbol"/>
              </w:rPr>
            </w:pPr>
            <w:r>
              <w:t>None</w:t>
            </w:r>
          </w:p>
        </w:tc>
        <w:tc>
          <w:tcPr>
            <w:tcW w:w="1296" w:type="dxa"/>
            <w:shd w:val="clear" w:color="auto" w:fill="auto"/>
          </w:tcPr>
          <w:p w:rsidR="003E3D07" w:rsidRDefault="003E3D07">
            <w:pPr>
              <w:pStyle w:val="TableText"/>
              <w:rPr>
                <w:rFonts w:eastAsia="Symbol"/>
              </w:rPr>
            </w:pPr>
            <w:r>
              <w:t>33</w:t>
            </w:r>
          </w:p>
        </w:tc>
        <w:tc>
          <w:tcPr>
            <w:tcW w:w="1296" w:type="dxa"/>
            <w:shd w:val="clear" w:color="auto" w:fill="auto"/>
          </w:tcPr>
          <w:p w:rsidR="003E3D07" w:rsidRDefault="003E3D07">
            <w:pPr>
              <w:pStyle w:val="TableText"/>
            </w:pPr>
            <w:r>
              <w:t>AGCo(a)</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Anti-Co(b)</w:t>
            </w:r>
          </w:p>
        </w:tc>
        <w:tc>
          <w:tcPr>
            <w:tcW w:w="1253" w:type="dxa"/>
            <w:shd w:val="clear" w:color="auto" w:fill="auto"/>
          </w:tcPr>
          <w:p w:rsidR="003E3D07" w:rsidRDefault="003E3D07">
            <w:pPr>
              <w:pStyle w:val="TableText"/>
              <w:rPr>
                <w:rFonts w:eastAsia="Symbol"/>
              </w:rPr>
            </w:pPr>
            <w:r>
              <w:t>None</w:t>
            </w:r>
          </w:p>
        </w:tc>
        <w:tc>
          <w:tcPr>
            <w:tcW w:w="878" w:type="dxa"/>
            <w:shd w:val="clear" w:color="auto" w:fill="auto"/>
          </w:tcPr>
          <w:p w:rsidR="003E3D07" w:rsidRDefault="003E3D07">
            <w:pPr>
              <w:pStyle w:val="TableText"/>
            </w:pPr>
            <w:r>
              <w:t>No</w:t>
            </w:r>
          </w:p>
        </w:tc>
        <w:tc>
          <w:tcPr>
            <w:tcW w:w="878" w:type="dxa"/>
            <w:shd w:val="clear" w:color="auto" w:fill="auto"/>
          </w:tcPr>
          <w:p w:rsidR="003E3D07" w:rsidRDefault="003E3D07">
            <w:pPr>
              <w:pStyle w:val="TableText"/>
              <w:rPr>
                <w:rFonts w:eastAsia="Symbol"/>
              </w:rPr>
            </w:pPr>
            <w:r>
              <w:t>Optional</w:t>
            </w:r>
          </w:p>
        </w:tc>
        <w:tc>
          <w:tcPr>
            <w:tcW w:w="1253" w:type="dxa"/>
            <w:shd w:val="clear" w:color="auto" w:fill="auto"/>
          </w:tcPr>
          <w:p w:rsidR="003E3D07" w:rsidRDefault="003E3D07">
            <w:pPr>
              <w:pStyle w:val="TableText"/>
              <w:rPr>
                <w:rFonts w:eastAsia="Symbol"/>
              </w:rPr>
            </w:pPr>
            <w:r>
              <w:t>Co(b)</w:t>
            </w:r>
          </w:p>
        </w:tc>
        <w:tc>
          <w:tcPr>
            <w:tcW w:w="1253" w:type="dxa"/>
            <w:shd w:val="clear" w:color="auto" w:fill="auto"/>
          </w:tcPr>
          <w:p w:rsidR="003E3D07" w:rsidRDefault="003E3D07">
            <w:pPr>
              <w:pStyle w:val="TableText"/>
              <w:rPr>
                <w:rFonts w:eastAsia="Symbol"/>
              </w:rPr>
            </w:pPr>
            <w:r>
              <w:t>None</w:t>
            </w:r>
          </w:p>
        </w:tc>
        <w:tc>
          <w:tcPr>
            <w:tcW w:w="1296" w:type="dxa"/>
            <w:shd w:val="clear" w:color="auto" w:fill="auto"/>
          </w:tcPr>
          <w:p w:rsidR="003E3D07" w:rsidRDefault="003E3D07">
            <w:pPr>
              <w:pStyle w:val="TableText"/>
              <w:rPr>
                <w:rFonts w:eastAsia="Symbol"/>
              </w:rPr>
            </w:pPr>
            <w:r>
              <w:t>17</w:t>
            </w:r>
          </w:p>
        </w:tc>
        <w:tc>
          <w:tcPr>
            <w:tcW w:w="1296" w:type="dxa"/>
            <w:shd w:val="clear" w:color="auto" w:fill="auto"/>
          </w:tcPr>
          <w:p w:rsidR="003E3D07" w:rsidRDefault="003E3D07">
            <w:pPr>
              <w:pStyle w:val="TableText"/>
            </w:pPr>
            <w:r>
              <w:t>AGCo(b)</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Anti-LW(a)</w:t>
            </w:r>
          </w:p>
        </w:tc>
        <w:tc>
          <w:tcPr>
            <w:tcW w:w="1253" w:type="dxa"/>
            <w:shd w:val="clear" w:color="auto" w:fill="auto"/>
          </w:tcPr>
          <w:p w:rsidR="003E3D07" w:rsidRDefault="003E3D07">
            <w:pPr>
              <w:pStyle w:val="TableText"/>
            </w:pPr>
            <w:r>
              <w:t>None</w:t>
            </w:r>
          </w:p>
        </w:tc>
        <w:tc>
          <w:tcPr>
            <w:tcW w:w="878" w:type="dxa"/>
            <w:shd w:val="clear" w:color="auto" w:fill="auto"/>
          </w:tcPr>
          <w:p w:rsidR="003E3D07" w:rsidRDefault="003E3D07">
            <w:pPr>
              <w:pStyle w:val="TableText"/>
            </w:pPr>
            <w:r>
              <w:t>No</w:t>
            </w:r>
          </w:p>
        </w:tc>
        <w:tc>
          <w:tcPr>
            <w:tcW w:w="878" w:type="dxa"/>
            <w:shd w:val="clear" w:color="auto" w:fill="auto"/>
          </w:tcPr>
          <w:p w:rsidR="003E3D07" w:rsidRDefault="003E3D07">
            <w:pPr>
              <w:pStyle w:val="TableText"/>
              <w:rPr>
                <w:rFonts w:eastAsia="Symbol"/>
              </w:rPr>
            </w:pPr>
            <w:r>
              <w:t>Optional</w:t>
            </w:r>
          </w:p>
        </w:tc>
        <w:tc>
          <w:tcPr>
            <w:tcW w:w="1253" w:type="dxa"/>
            <w:shd w:val="clear" w:color="auto" w:fill="auto"/>
          </w:tcPr>
          <w:p w:rsidR="003E3D07" w:rsidRDefault="003E3D07">
            <w:pPr>
              <w:pStyle w:val="TableText"/>
              <w:rPr>
                <w:rFonts w:eastAsia="Symbol"/>
              </w:rPr>
            </w:pPr>
            <w:r>
              <w:t>LW(a)</w:t>
            </w:r>
          </w:p>
        </w:tc>
        <w:tc>
          <w:tcPr>
            <w:tcW w:w="1253" w:type="dxa"/>
            <w:shd w:val="clear" w:color="auto" w:fill="auto"/>
          </w:tcPr>
          <w:p w:rsidR="003E3D07" w:rsidRDefault="003E3D07">
            <w:pPr>
              <w:pStyle w:val="TableText"/>
              <w:rPr>
                <w:rFonts w:eastAsia="Symbol"/>
              </w:rPr>
            </w:pPr>
            <w:r>
              <w:t>None</w:t>
            </w:r>
          </w:p>
        </w:tc>
        <w:tc>
          <w:tcPr>
            <w:tcW w:w="1296" w:type="dxa"/>
            <w:shd w:val="clear" w:color="auto" w:fill="auto"/>
          </w:tcPr>
          <w:p w:rsidR="003E3D07" w:rsidRDefault="003E3D07">
            <w:pPr>
              <w:pStyle w:val="TableText"/>
              <w:rPr>
                <w:rFonts w:eastAsia="Symbol"/>
              </w:rPr>
            </w:pPr>
            <w:r>
              <w:t>0</w:t>
            </w:r>
          </w:p>
        </w:tc>
        <w:tc>
          <w:tcPr>
            <w:tcW w:w="1296" w:type="dxa"/>
            <w:shd w:val="clear" w:color="auto" w:fill="auto"/>
          </w:tcPr>
          <w:p w:rsidR="003E3D07" w:rsidRDefault="003E3D07">
            <w:pPr>
              <w:pStyle w:val="TableText"/>
            </w:pPr>
            <w:r>
              <w:t>AG LW(a)</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Anti-LW(b)</w:t>
            </w:r>
          </w:p>
        </w:tc>
        <w:tc>
          <w:tcPr>
            <w:tcW w:w="1253" w:type="dxa"/>
            <w:shd w:val="clear" w:color="auto" w:fill="auto"/>
          </w:tcPr>
          <w:p w:rsidR="003E3D07" w:rsidRDefault="003E3D07">
            <w:pPr>
              <w:pStyle w:val="TableText"/>
            </w:pPr>
            <w:r>
              <w:t>None</w:t>
            </w:r>
          </w:p>
        </w:tc>
        <w:tc>
          <w:tcPr>
            <w:tcW w:w="878" w:type="dxa"/>
            <w:shd w:val="clear" w:color="auto" w:fill="auto"/>
          </w:tcPr>
          <w:p w:rsidR="003E3D07" w:rsidRDefault="003E3D07">
            <w:pPr>
              <w:pStyle w:val="TableText"/>
            </w:pPr>
            <w:r>
              <w:t>No</w:t>
            </w:r>
          </w:p>
        </w:tc>
        <w:tc>
          <w:tcPr>
            <w:tcW w:w="878" w:type="dxa"/>
            <w:shd w:val="clear" w:color="auto" w:fill="auto"/>
          </w:tcPr>
          <w:p w:rsidR="003E3D07" w:rsidRDefault="003E3D07">
            <w:pPr>
              <w:pStyle w:val="TableText"/>
              <w:rPr>
                <w:rFonts w:eastAsia="Symbol"/>
              </w:rPr>
            </w:pPr>
            <w:r>
              <w:t>Optional</w:t>
            </w:r>
          </w:p>
        </w:tc>
        <w:tc>
          <w:tcPr>
            <w:tcW w:w="1253" w:type="dxa"/>
            <w:shd w:val="clear" w:color="auto" w:fill="auto"/>
          </w:tcPr>
          <w:p w:rsidR="003E3D07" w:rsidRDefault="003E3D07">
            <w:pPr>
              <w:pStyle w:val="TableText"/>
              <w:rPr>
                <w:rFonts w:eastAsia="Symbol"/>
              </w:rPr>
            </w:pPr>
            <w:r>
              <w:t>LW(b)</w:t>
            </w:r>
          </w:p>
        </w:tc>
        <w:tc>
          <w:tcPr>
            <w:tcW w:w="1253" w:type="dxa"/>
            <w:shd w:val="clear" w:color="auto" w:fill="auto"/>
          </w:tcPr>
          <w:p w:rsidR="003E3D07" w:rsidRDefault="003E3D07">
            <w:pPr>
              <w:pStyle w:val="TableText"/>
              <w:rPr>
                <w:rFonts w:eastAsia="Symbol"/>
              </w:rPr>
            </w:pPr>
            <w:r>
              <w:t>None</w:t>
            </w:r>
          </w:p>
        </w:tc>
        <w:tc>
          <w:tcPr>
            <w:tcW w:w="1296" w:type="dxa"/>
            <w:shd w:val="clear" w:color="auto" w:fill="auto"/>
          </w:tcPr>
          <w:p w:rsidR="003E3D07" w:rsidRDefault="003E3D07">
            <w:pPr>
              <w:pStyle w:val="TableText"/>
              <w:rPr>
                <w:rFonts w:eastAsia="Symbol"/>
              </w:rPr>
            </w:pPr>
            <w:r>
              <w:t>99</w:t>
            </w:r>
          </w:p>
        </w:tc>
        <w:tc>
          <w:tcPr>
            <w:tcW w:w="1296" w:type="dxa"/>
            <w:shd w:val="clear" w:color="auto" w:fill="auto"/>
          </w:tcPr>
          <w:p w:rsidR="003E3D07" w:rsidRDefault="003E3D07">
            <w:pPr>
              <w:pStyle w:val="TableText"/>
            </w:pPr>
            <w:r>
              <w:t>AG LW(b)</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Anti-Sc1</w:t>
            </w:r>
          </w:p>
        </w:tc>
        <w:tc>
          <w:tcPr>
            <w:tcW w:w="1253" w:type="dxa"/>
            <w:shd w:val="clear" w:color="auto" w:fill="auto"/>
          </w:tcPr>
          <w:p w:rsidR="003E3D07" w:rsidRDefault="003E3D07">
            <w:pPr>
              <w:pStyle w:val="TableText"/>
              <w:rPr>
                <w:rFonts w:eastAsia="Symbol"/>
              </w:rPr>
            </w:pPr>
            <w:r>
              <w:t>None</w:t>
            </w:r>
          </w:p>
        </w:tc>
        <w:tc>
          <w:tcPr>
            <w:tcW w:w="878" w:type="dxa"/>
            <w:shd w:val="clear" w:color="auto" w:fill="auto"/>
          </w:tcPr>
          <w:p w:rsidR="003E3D07" w:rsidRDefault="003E3D07">
            <w:pPr>
              <w:pStyle w:val="TableText"/>
            </w:pPr>
            <w:r>
              <w:t>No</w:t>
            </w:r>
          </w:p>
        </w:tc>
        <w:tc>
          <w:tcPr>
            <w:tcW w:w="878" w:type="dxa"/>
            <w:shd w:val="clear" w:color="auto" w:fill="auto"/>
          </w:tcPr>
          <w:p w:rsidR="003E3D07" w:rsidRDefault="003E3D07">
            <w:pPr>
              <w:pStyle w:val="TableText"/>
              <w:rPr>
                <w:rFonts w:eastAsia="Symbol"/>
              </w:rPr>
            </w:pPr>
            <w:r>
              <w:t>Optional</w:t>
            </w:r>
          </w:p>
        </w:tc>
        <w:tc>
          <w:tcPr>
            <w:tcW w:w="1253" w:type="dxa"/>
            <w:shd w:val="clear" w:color="auto" w:fill="auto"/>
          </w:tcPr>
          <w:p w:rsidR="003E3D07" w:rsidRDefault="003E3D07">
            <w:pPr>
              <w:pStyle w:val="TableText"/>
              <w:rPr>
                <w:rFonts w:eastAsia="Symbol"/>
              </w:rPr>
            </w:pPr>
            <w:r>
              <w:t>Sc1</w:t>
            </w:r>
          </w:p>
        </w:tc>
        <w:tc>
          <w:tcPr>
            <w:tcW w:w="1253" w:type="dxa"/>
            <w:shd w:val="clear" w:color="auto" w:fill="auto"/>
          </w:tcPr>
          <w:p w:rsidR="003E3D07" w:rsidRDefault="003E3D07">
            <w:pPr>
              <w:pStyle w:val="TableText"/>
              <w:rPr>
                <w:rFonts w:eastAsia="Symbol"/>
              </w:rPr>
            </w:pPr>
            <w:r>
              <w:t>None</w:t>
            </w:r>
          </w:p>
        </w:tc>
        <w:tc>
          <w:tcPr>
            <w:tcW w:w="1296" w:type="dxa"/>
            <w:shd w:val="clear" w:color="auto" w:fill="auto"/>
          </w:tcPr>
          <w:p w:rsidR="003E3D07" w:rsidRDefault="003E3D07">
            <w:pPr>
              <w:pStyle w:val="TableText"/>
              <w:rPr>
                <w:rFonts w:eastAsia="Symbol"/>
              </w:rPr>
            </w:pPr>
            <w:r>
              <w:t>0</w:t>
            </w:r>
          </w:p>
        </w:tc>
        <w:tc>
          <w:tcPr>
            <w:tcW w:w="1296" w:type="dxa"/>
            <w:shd w:val="clear" w:color="auto" w:fill="auto"/>
          </w:tcPr>
          <w:p w:rsidR="003E3D07" w:rsidRDefault="003E3D07">
            <w:pPr>
              <w:pStyle w:val="TableText"/>
              <w:rPr>
                <w:rFonts w:eastAsia="Symbol"/>
              </w:rPr>
            </w:pPr>
            <w:r>
              <w:t>AGSc1</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Anti-Sc2</w:t>
            </w:r>
          </w:p>
        </w:tc>
        <w:tc>
          <w:tcPr>
            <w:tcW w:w="1253" w:type="dxa"/>
            <w:shd w:val="clear" w:color="auto" w:fill="auto"/>
          </w:tcPr>
          <w:p w:rsidR="003E3D07" w:rsidRDefault="003E3D07">
            <w:pPr>
              <w:pStyle w:val="TableText"/>
              <w:rPr>
                <w:rFonts w:eastAsia="Symbol"/>
              </w:rPr>
            </w:pPr>
            <w:r>
              <w:t>None</w:t>
            </w:r>
          </w:p>
        </w:tc>
        <w:tc>
          <w:tcPr>
            <w:tcW w:w="878" w:type="dxa"/>
            <w:shd w:val="clear" w:color="auto" w:fill="auto"/>
          </w:tcPr>
          <w:p w:rsidR="003E3D07" w:rsidRDefault="003E3D07">
            <w:pPr>
              <w:pStyle w:val="TableText"/>
            </w:pPr>
            <w:r>
              <w:t>No</w:t>
            </w:r>
          </w:p>
        </w:tc>
        <w:tc>
          <w:tcPr>
            <w:tcW w:w="878" w:type="dxa"/>
            <w:shd w:val="clear" w:color="auto" w:fill="auto"/>
          </w:tcPr>
          <w:p w:rsidR="003E3D07" w:rsidRDefault="003E3D07">
            <w:pPr>
              <w:pStyle w:val="TableText"/>
              <w:rPr>
                <w:rFonts w:eastAsia="Symbol"/>
              </w:rPr>
            </w:pPr>
            <w:r>
              <w:t>Optional</w:t>
            </w:r>
          </w:p>
        </w:tc>
        <w:tc>
          <w:tcPr>
            <w:tcW w:w="1253" w:type="dxa"/>
            <w:shd w:val="clear" w:color="auto" w:fill="auto"/>
          </w:tcPr>
          <w:p w:rsidR="003E3D07" w:rsidRDefault="003E3D07">
            <w:pPr>
              <w:pStyle w:val="TableText"/>
              <w:rPr>
                <w:rFonts w:eastAsia="Symbol"/>
              </w:rPr>
            </w:pPr>
            <w:r>
              <w:t>Sc2</w:t>
            </w:r>
          </w:p>
        </w:tc>
        <w:tc>
          <w:tcPr>
            <w:tcW w:w="1253" w:type="dxa"/>
            <w:shd w:val="clear" w:color="auto" w:fill="auto"/>
          </w:tcPr>
          <w:p w:rsidR="003E3D07" w:rsidRDefault="003E3D07">
            <w:pPr>
              <w:pStyle w:val="TableText"/>
              <w:rPr>
                <w:rFonts w:eastAsia="Symbol"/>
              </w:rPr>
            </w:pPr>
            <w:r>
              <w:t>None</w:t>
            </w:r>
          </w:p>
        </w:tc>
        <w:tc>
          <w:tcPr>
            <w:tcW w:w="1296" w:type="dxa"/>
            <w:shd w:val="clear" w:color="auto" w:fill="auto"/>
          </w:tcPr>
          <w:p w:rsidR="003E3D07" w:rsidRDefault="003E3D07">
            <w:pPr>
              <w:pStyle w:val="TableText"/>
              <w:rPr>
                <w:rFonts w:eastAsia="Symbol"/>
              </w:rPr>
            </w:pPr>
            <w:r>
              <w:t>99</w:t>
            </w:r>
          </w:p>
        </w:tc>
        <w:tc>
          <w:tcPr>
            <w:tcW w:w="1296" w:type="dxa"/>
            <w:shd w:val="clear" w:color="auto" w:fill="auto"/>
          </w:tcPr>
          <w:p w:rsidR="003E3D07" w:rsidRDefault="003E3D07">
            <w:pPr>
              <w:pStyle w:val="TableText"/>
              <w:rPr>
                <w:rFonts w:eastAsia="Symbol"/>
              </w:rPr>
            </w:pPr>
            <w:r>
              <w:t>AGSc2</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Anti-Sd(a)</w:t>
            </w:r>
          </w:p>
        </w:tc>
        <w:tc>
          <w:tcPr>
            <w:tcW w:w="1253" w:type="dxa"/>
            <w:shd w:val="clear" w:color="auto" w:fill="auto"/>
          </w:tcPr>
          <w:p w:rsidR="003E3D07" w:rsidRDefault="003E3D07">
            <w:pPr>
              <w:pStyle w:val="TableText"/>
              <w:rPr>
                <w:rFonts w:eastAsia="Symbol"/>
              </w:rPr>
            </w:pPr>
            <w:r>
              <w:t>None</w:t>
            </w:r>
          </w:p>
        </w:tc>
        <w:tc>
          <w:tcPr>
            <w:tcW w:w="878" w:type="dxa"/>
            <w:shd w:val="clear" w:color="auto" w:fill="auto"/>
          </w:tcPr>
          <w:p w:rsidR="003E3D07" w:rsidRDefault="003E3D07">
            <w:pPr>
              <w:pStyle w:val="TableText"/>
            </w:pPr>
            <w:r>
              <w:t>No</w:t>
            </w:r>
          </w:p>
        </w:tc>
        <w:tc>
          <w:tcPr>
            <w:tcW w:w="878" w:type="dxa"/>
            <w:shd w:val="clear" w:color="auto" w:fill="auto"/>
          </w:tcPr>
          <w:p w:rsidR="003E3D07" w:rsidRDefault="003E3D07">
            <w:pPr>
              <w:pStyle w:val="TableText"/>
              <w:rPr>
                <w:rFonts w:eastAsia="Symbol"/>
              </w:rPr>
            </w:pPr>
            <w:r>
              <w:t>Optional</w:t>
            </w:r>
          </w:p>
        </w:tc>
        <w:tc>
          <w:tcPr>
            <w:tcW w:w="1253" w:type="dxa"/>
            <w:shd w:val="clear" w:color="auto" w:fill="auto"/>
          </w:tcPr>
          <w:p w:rsidR="003E3D07" w:rsidRDefault="003E3D07">
            <w:pPr>
              <w:pStyle w:val="TableText"/>
              <w:rPr>
                <w:rFonts w:eastAsia="Symbol"/>
              </w:rPr>
            </w:pPr>
            <w:r>
              <w:t>Sd(a)</w:t>
            </w:r>
          </w:p>
        </w:tc>
        <w:tc>
          <w:tcPr>
            <w:tcW w:w="1253" w:type="dxa"/>
            <w:shd w:val="clear" w:color="auto" w:fill="auto"/>
          </w:tcPr>
          <w:p w:rsidR="003E3D07" w:rsidRDefault="003E3D07">
            <w:pPr>
              <w:pStyle w:val="TableText"/>
            </w:pPr>
            <w:r>
              <w:t>None</w:t>
            </w:r>
          </w:p>
        </w:tc>
        <w:tc>
          <w:tcPr>
            <w:tcW w:w="1296" w:type="dxa"/>
            <w:shd w:val="clear" w:color="auto" w:fill="auto"/>
          </w:tcPr>
          <w:p w:rsidR="003E3D07" w:rsidRDefault="003E3D07">
            <w:pPr>
              <w:pStyle w:val="TableText"/>
              <w:rPr>
                <w:rFonts w:eastAsia="Symbol"/>
              </w:rPr>
            </w:pPr>
            <w:r>
              <w:t>1</w:t>
            </w:r>
          </w:p>
        </w:tc>
        <w:tc>
          <w:tcPr>
            <w:tcW w:w="1296" w:type="dxa"/>
            <w:shd w:val="clear" w:color="auto" w:fill="auto"/>
          </w:tcPr>
          <w:p w:rsidR="003E3D07" w:rsidRDefault="003E3D07">
            <w:pPr>
              <w:pStyle w:val="TableText"/>
              <w:rPr>
                <w:rFonts w:eastAsia="Symbol"/>
              </w:rPr>
            </w:pPr>
            <w:r>
              <w:t>AGSd(a)</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Anti-Au(a)</w:t>
            </w:r>
          </w:p>
        </w:tc>
        <w:tc>
          <w:tcPr>
            <w:tcW w:w="1253" w:type="dxa"/>
            <w:shd w:val="clear" w:color="auto" w:fill="auto"/>
          </w:tcPr>
          <w:p w:rsidR="003E3D07" w:rsidRDefault="003E3D07">
            <w:pPr>
              <w:pStyle w:val="TableText"/>
              <w:rPr>
                <w:rFonts w:eastAsia="Symbol"/>
              </w:rPr>
            </w:pPr>
            <w:r>
              <w:t>Anti-Au(a)</w:t>
            </w:r>
          </w:p>
        </w:tc>
        <w:tc>
          <w:tcPr>
            <w:tcW w:w="878" w:type="dxa"/>
            <w:shd w:val="clear" w:color="auto" w:fill="auto"/>
          </w:tcPr>
          <w:p w:rsidR="003E3D07" w:rsidRDefault="003E3D07">
            <w:pPr>
              <w:pStyle w:val="TableText"/>
            </w:pPr>
            <w:r>
              <w:t>No</w:t>
            </w:r>
          </w:p>
        </w:tc>
        <w:tc>
          <w:tcPr>
            <w:tcW w:w="878" w:type="dxa"/>
            <w:shd w:val="clear" w:color="auto" w:fill="auto"/>
          </w:tcPr>
          <w:p w:rsidR="003E3D07" w:rsidRDefault="003E3D07">
            <w:pPr>
              <w:pStyle w:val="TableText"/>
              <w:rPr>
                <w:rFonts w:eastAsia="Symbol"/>
              </w:rPr>
            </w:pPr>
            <w:r>
              <w:t>Optional</w:t>
            </w:r>
          </w:p>
        </w:tc>
        <w:tc>
          <w:tcPr>
            <w:tcW w:w="1253" w:type="dxa"/>
            <w:shd w:val="clear" w:color="auto" w:fill="auto"/>
          </w:tcPr>
          <w:p w:rsidR="003E3D07" w:rsidRDefault="003E3D07">
            <w:pPr>
              <w:pStyle w:val="TableText"/>
              <w:rPr>
                <w:rFonts w:eastAsia="Symbol"/>
              </w:rPr>
            </w:pPr>
            <w:r>
              <w:t>Au(a)</w:t>
            </w:r>
          </w:p>
        </w:tc>
        <w:tc>
          <w:tcPr>
            <w:tcW w:w="1253" w:type="dxa"/>
            <w:shd w:val="clear" w:color="auto" w:fill="auto"/>
          </w:tcPr>
          <w:p w:rsidR="003E3D07" w:rsidRDefault="003E3D07">
            <w:pPr>
              <w:pStyle w:val="TableText"/>
              <w:rPr>
                <w:rFonts w:eastAsia="Symbol"/>
              </w:rPr>
            </w:pPr>
            <w:r>
              <w:t>Au(a)</w:t>
            </w:r>
          </w:p>
        </w:tc>
        <w:tc>
          <w:tcPr>
            <w:tcW w:w="1296" w:type="dxa"/>
            <w:shd w:val="clear" w:color="auto" w:fill="auto"/>
          </w:tcPr>
          <w:p w:rsidR="003E3D07" w:rsidRDefault="003E3D07">
            <w:pPr>
              <w:pStyle w:val="TableText"/>
              <w:rPr>
                <w:rFonts w:eastAsia="Symbol"/>
              </w:rPr>
            </w:pPr>
            <w:r>
              <w:t>20</w:t>
            </w:r>
          </w:p>
        </w:tc>
        <w:tc>
          <w:tcPr>
            <w:tcW w:w="1296" w:type="dxa"/>
            <w:shd w:val="clear" w:color="auto" w:fill="auto"/>
          </w:tcPr>
          <w:p w:rsidR="003E3D07" w:rsidRDefault="003E3D07">
            <w:pPr>
              <w:pStyle w:val="TableText"/>
            </w:pPr>
            <w:r>
              <w:t>AGAu(a)</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pPr>
            <w:r>
              <w:t>Anti-Au(b)</w:t>
            </w:r>
          </w:p>
        </w:tc>
        <w:tc>
          <w:tcPr>
            <w:tcW w:w="1253" w:type="dxa"/>
            <w:shd w:val="clear" w:color="auto" w:fill="auto"/>
          </w:tcPr>
          <w:p w:rsidR="003E3D07" w:rsidRDefault="003E3D07">
            <w:pPr>
              <w:pStyle w:val="TableText"/>
              <w:rPr>
                <w:rFonts w:eastAsia="Symbol"/>
              </w:rPr>
            </w:pPr>
            <w:r>
              <w:t>None</w:t>
            </w:r>
          </w:p>
        </w:tc>
        <w:tc>
          <w:tcPr>
            <w:tcW w:w="878" w:type="dxa"/>
            <w:shd w:val="clear" w:color="auto" w:fill="auto"/>
          </w:tcPr>
          <w:p w:rsidR="003E3D07" w:rsidRDefault="003E3D07">
            <w:pPr>
              <w:pStyle w:val="TableText"/>
            </w:pPr>
            <w:r>
              <w:t>No</w:t>
            </w:r>
          </w:p>
        </w:tc>
        <w:tc>
          <w:tcPr>
            <w:tcW w:w="878" w:type="dxa"/>
            <w:shd w:val="clear" w:color="auto" w:fill="auto"/>
          </w:tcPr>
          <w:p w:rsidR="003E3D07" w:rsidRDefault="003E3D07">
            <w:pPr>
              <w:pStyle w:val="TableText"/>
            </w:pPr>
            <w:r>
              <w:t>Optional</w:t>
            </w:r>
          </w:p>
        </w:tc>
        <w:tc>
          <w:tcPr>
            <w:tcW w:w="1253" w:type="dxa"/>
            <w:shd w:val="clear" w:color="auto" w:fill="auto"/>
          </w:tcPr>
          <w:p w:rsidR="003E3D07" w:rsidRDefault="003E3D07">
            <w:pPr>
              <w:pStyle w:val="TableText"/>
            </w:pPr>
            <w:r>
              <w:t>Au(b)</w:t>
            </w:r>
          </w:p>
        </w:tc>
        <w:tc>
          <w:tcPr>
            <w:tcW w:w="1253" w:type="dxa"/>
            <w:shd w:val="clear" w:color="auto" w:fill="auto"/>
          </w:tcPr>
          <w:p w:rsidR="003E3D07" w:rsidRDefault="003E3D07">
            <w:pPr>
              <w:pStyle w:val="TableText"/>
            </w:pPr>
            <w:r>
              <w:t>None</w:t>
            </w:r>
          </w:p>
        </w:tc>
        <w:tc>
          <w:tcPr>
            <w:tcW w:w="1296" w:type="dxa"/>
            <w:shd w:val="clear" w:color="auto" w:fill="auto"/>
          </w:tcPr>
          <w:p w:rsidR="003E3D07" w:rsidRDefault="003E3D07">
            <w:pPr>
              <w:pStyle w:val="TableText"/>
              <w:rPr>
                <w:rFonts w:eastAsia="Symbol"/>
              </w:rPr>
            </w:pPr>
            <w:r>
              <w:t>50</w:t>
            </w:r>
          </w:p>
        </w:tc>
        <w:tc>
          <w:tcPr>
            <w:tcW w:w="1296" w:type="dxa"/>
            <w:shd w:val="clear" w:color="auto" w:fill="auto"/>
          </w:tcPr>
          <w:p w:rsidR="003E3D07" w:rsidRDefault="003E3D07">
            <w:pPr>
              <w:pStyle w:val="TableText"/>
            </w:pPr>
            <w:r>
              <w:t>AGAu(b)</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Anti-Ch</w:t>
            </w:r>
          </w:p>
        </w:tc>
        <w:tc>
          <w:tcPr>
            <w:tcW w:w="1253" w:type="dxa"/>
            <w:shd w:val="clear" w:color="auto" w:fill="auto"/>
          </w:tcPr>
          <w:p w:rsidR="003E3D07" w:rsidRDefault="003E3D07">
            <w:pPr>
              <w:pStyle w:val="TableText"/>
              <w:rPr>
                <w:rFonts w:eastAsia="Symbol"/>
              </w:rPr>
            </w:pPr>
            <w:r>
              <w:t>None</w:t>
            </w:r>
          </w:p>
        </w:tc>
        <w:tc>
          <w:tcPr>
            <w:tcW w:w="878" w:type="dxa"/>
            <w:shd w:val="clear" w:color="auto" w:fill="auto"/>
          </w:tcPr>
          <w:p w:rsidR="003E3D07" w:rsidRDefault="003E3D07">
            <w:pPr>
              <w:pStyle w:val="TableText"/>
            </w:pPr>
            <w:r>
              <w:t>No</w:t>
            </w:r>
          </w:p>
        </w:tc>
        <w:tc>
          <w:tcPr>
            <w:tcW w:w="878" w:type="dxa"/>
            <w:shd w:val="clear" w:color="auto" w:fill="auto"/>
          </w:tcPr>
          <w:p w:rsidR="003E3D07" w:rsidRDefault="003E3D07">
            <w:pPr>
              <w:pStyle w:val="TableText"/>
              <w:rPr>
                <w:rFonts w:eastAsia="Symbol"/>
              </w:rPr>
            </w:pPr>
            <w:r>
              <w:t>Optional</w:t>
            </w:r>
          </w:p>
        </w:tc>
        <w:tc>
          <w:tcPr>
            <w:tcW w:w="1253" w:type="dxa"/>
            <w:shd w:val="clear" w:color="auto" w:fill="auto"/>
          </w:tcPr>
          <w:p w:rsidR="003E3D07" w:rsidRDefault="003E3D07">
            <w:pPr>
              <w:pStyle w:val="TableText"/>
              <w:rPr>
                <w:rFonts w:eastAsia="Symbol"/>
              </w:rPr>
            </w:pPr>
            <w:r>
              <w:t>Ch</w:t>
            </w:r>
          </w:p>
        </w:tc>
        <w:tc>
          <w:tcPr>
            <w:tcW w:w="1253" w:type="dxa"/>
            <w:shd w:val="clear" w:color="auto" w:fill="auto"/>
          </w:tcPr>
          <w:p w:rsidR="003E3D07" w:rsidRDefault="003E3D07">
            <w:pPr>
              <w:pStyle w:val="TableText"/>
            </w:pPr>
            <w:r>
              <w:t>None</w:t>
            </w:r>
          </w:p>
        </w:tc>
        <w:tc>
          <w:tcPr>
            <w:tcW w:w="1296" w:type="dxa"/>
            <w:shd w:val="clear" w:color="auto" w:fill="auto"/>
          </w:tcPr>
          <w:p w:rsidR="003E3D07" w:rsidRDefault="003E3D07">
            <w:pPr>
              <w:pStyle w:val="TableText"/>
              <w:rPr>
                <w:rFonts w:eastAsia="Symbol"/>
              </w:rPr>
            </w:pPr>
            <w:r>
              <w:t>2</w:t>
            </w:r>
          </w:p>
        </w:tc>
        <w:tc>
          <w:tcPr>
            <w:tcW w:w="1296" w:type="dxa"/>
            <w:shd w:val="clear" w:color="auto" w:fill="auto"/>
          </w:tcPr>
          <w:p w:rsidR="003E3D07" w:rsidRDefault="003E3D07">
            <w:pPr>
              <w:pStyle w:val="TableText"/>
            </w:pPr>
            <w:r>
              <w:t>AGCh</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Anti-Rg</w:t>
            </w:r>
          </w:p>
        </w:tc>
        <w:tc>
          <w:tcPr>
            <w:tcW w:w="1253" w:type="dxa"/>
            <w:shd w:val="clear" w:color="auto" w:fill="auto"/>
          </w:tcPr>
          <w:p w:rsidR="003E3D07" w:rsidRDefault="003E3D07">
            <w:pPr>
              <w:pStyle w:val="TableText"/>
              <w:rPr>
                <w:rFonts w:eastAsia="Symbol"/>
              </w:rPr>
            </w:pPr>
            <w:r>
              <w:t>None</w:t>
            </w:r>
          </w:p>
        </w:tc>
        <w:tc>
          <w:tcPr>
            <w:tcW w:w="878" w:type="dxa"/>
            <w:shd w:val="clear" w:color="auto" w:fill="auto"/>
          </w:tcPr>
          <w:p w:rsidR="003E3D07" w:rsidRDefault="003E3D07">
            <w:pPr>
              <w:pStyle w:val="TableText"/>
            </w:pPr>
            <w:r>
              <w:t>No</w:t>
            </w:r>
          </w:p>
        </w:tc>
        <w:tc>
          <w:tcPr>
            <w:tcW w:w="878" w:type="dxa"/>
            <w:shd w:val="clear" w:color="auto" w:fill="auto"/>
          </w:tcPr>
          <w:p w:rsidR="003E3D07" w:rsidRDefault="003E3D07">
            <w:pPr>
              <w:pStyle w:val="TableText"/>
              <w:rPr>
                <w:rFonts w:eastAsia="Symbol"/>
              </w:rPr>
            </w:pPr>
            <w:r>
              <w:t>Optional</w:t>
            </w:r>
          </w:p>
        </w:tc>
        <w:tc>
          <w:tcPr>
            <w:tcW w:w="1253" w:type="dxa"/>
            <w:shd w:val="clear" w:color="auto" w:fill="auto"/>
          </w:tcPr>
          <w:p w:rsidR="003E3D07" w:rsidRDefault="003E3D07">
            <w:pPr>
              <w:pStyle w:val="TableText"/>
              <w:rPr>
                <w:rFonts w:eastAsia="Symbol"/>
              </w:rPr>
            </w:pPr>
            <w:r>
              <w:t>Rg</w:t>
            </w:r>
          </w:p>
        </w:tc>
        <w:tc>
          <w:tcPr>
            <w:tcW w:w="1253" w:type="dxa"/>
            <w:shd w:val="clear" w:color="auto" w:fill="auto"/>
          </w:tcPr>
          <w:p w:rsidR="003E3D07" w:rsidRDefault="003E3D07">
            <w:pPr>
              <w:pStyle w:val="TableText"/>
            </w:pPr>
            <w:r>
              <w:t>None</w:t>
            </w:r>
          </w:p>
        </w:tc>
        <w:tc>
          <w:tcPr>
            <w:tcW w:w="1296" w:type="dxa"/>
            <w:shd w:val="clear" w:color="auto" w:fill="auto"/>
          </w:tcPr>
          <w:p w:rsidR="003E3D07" w:rsidRDefault="003E3D07">
            <w:pPr>
              <w:pStyle w:val="TableText"/>
              <w:rPr>
                <w:rFonts w:eastAsia="Symbol"/>
              </w:rPr>
            </w:pPr>
            <w:r>
              <w:t>3</w:t>
            </w:r>
          </w:p>
        </w:tc>
        <w:tc>
          <w:tcPr>
            <w:tcW w:w="1296" w:type="dxa"/>
            <w:shd w:val="clear" w:color="auto" w:fill="auto"/>
          </w:tcPr>
          <w:p w:rsidR="003E3D07" w:rsidRDefault="003E3D07">
            <w:pPr>
              <w:pStyle w:val="TableText"/>
            </w:pPr>
            <w:r>
              <w:t>AGRg</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Anti-Cs(a)</w:t>
            </w:r>
          </w:p>
        </w:tc>
        <w:tc>
          <w:tcPr>
            <w:tcW w:w="1253" w:type="dxa"/>
            <w:shd w:val="clear" w:color="auto" w:fill="auto"/>
          </w:tcPr>
          <w:p w:rsidR="003E3D07" w:rsidRDefault="003E3D07">
            <w:pPr>
              <w:pStyle w:val="TableText"/>
              <w:rPr>
                <w:rFonts w:eastAsia="Symbol"/>
              </w:rPr>
            </w:pPr>
            <w:r>
              <w:t>None</w:t>
            </w:r>
          </w:p>
        </w:tc>
        <w:tc>
          <w:tcPr>
            <w:tcW w:w="878" w:type="dxa"/>
            <w:shd w:val="clear" w:color="auto" w:fill="auto"/>
          </w:tcPr>
          <w:p w:rsidR="003E3D07" w:rsidRDefault="003E3D07">
            <w:pPr>
              <w:pStyle w:val="TableText"/>
            </w:pPr>
            <w:r>
              <w:t>No</w:t>
            </w:r>
          </w:p>
        </w:tc>
        <w:tc>
          <w:tcPr>
            <w:tcW w:w="878" w:type="dxa"/>
            <w:shd w:val="clear" w:color="auto" w:fill="auto"/>
          </w:tcPr>
          <w:p w:rsidR="003E3D07" w:rsidRDefault="003E3D07">
            <w:pPr>
              <w:pStyle w:val="TableText"/>
              <w:rPr>
                <w:rFonts w:eastAsia="Symbol"/>
              </w:rPr>
            </w:pPr>
            <w:r>
              <w:t>Optional</w:t>
            </w:r>
          </w:p>
        </w:tc>
        <w:tc>
          <w:tcPr>
            <w:tcW w:w="1253" w:type="dxa"/>
            <w:shd w:val="clear" w:color="auto" w:fill="auto"/>
          </w:tcPr>
          <w:p w:rsidR="003E3D07" w:rsidRDefault="003E3D07">
            <w:pPr>
              <w:pStyle w:val="TableText"/>
              <w:rPr>
                <w:rFonts w:eastAsia="Symbol"/>
              </w:rPr>
            </w:pPr>
            <w:r>
              <w:t>Cs(a)</w:t>
            </w:r>
          </w:p>
        </w:tc>
        <w:tc>
          <w:tcPr>
            <w:tcW w:w="1253" w:type="dxa"/>
            <w:shd w:val="clear" w:color="auto" w:fill="auto"/>
          </w:tcPr>
          <w:p w:rsidR="003E3D07" w:rsidRDefault="003E3D07">
            <w:pPr>
              <w:pStyle w:val="TableText"/>
            </w:pPr>
            <w:r>
              <w:t>None</w:t>
            </w:r>
          </w:p>
        </w:tc>
        <w:tc>
          <w:tcPr>
            <w:tcW w:w="1296" w:type="dxa"/>
            <w:shd w:val="clear" w:color="auto" w:fill="auto"/>
          </w:tcPr>
          <w:p w:rsidR="003E3D07" w:rsidRDefault="003E3D07">
            <w:pPr>
              <w:pStyle w:val="TableText"/>
              <w:rPr>
                <w:rFonts w:eastAsia="Symbol"/>
              </w:rPr>
            </w:pPr>
            <w:r>
              <w:t>4</w:t>
            </w:r>
          </w:p>
        </w:tc>
        <w:tc>
          <w:tcPr>
            <w:tcW w:w="1296" w:type="dxa"/>
            <w:shd w:val="clear" w:color="auto" w:fill="auto"/>
          </w:tcPr>
          <w:p w:rsidR="003E3D07" w:rsidRDefault="003E3D07">
            <w:pPr>
              <w:pStyle w:val="TableText"/>
            </w:pPr>
            <w:r>
              <w:t>AGCs(a)</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Anti-Yk(a)</w:t>
            </w:r>
          </w:p>
        </w:tc>
        <w:tc>
          <w:tcPr>
            <w:tcW w:w="1253" w:type="dxa"/>
            <w:shd w:val="clear" w:color="auto" w:fill="auto"/>
          </w:tcPr>
          <w:p w:rsidR="003E3D07" w:rsidRDefault="003E3D07">
            <w:pPr>
              <w:pStyle w:val="TableText"/>
              <w:rPr>
                <w:rFonts w:eastAsia="Symbol"/>
              </w:rPr>
            </w:pPr>
            <w:r>
              <w:t>None</w:t>
            </w:r>
          </w:p>
        </w:tc>
        <w:tc>
          <w:tcPr>
            <w:tcW w:w="878" w:type="dxa"/>
            <w:shd w:val="clear" w:color="auto" w:fill="auto"/>
          </w:tcPr>
          <w:p w:rsidR="003E3D07" w:rsidRDefault="003E3D07">
            <w:pPr>
              <w:pStyle w:val="TableText"/>
            </w:pPr>
            <w:r>
              <w:t>No</w:t>
            </w:r>
          </w:p>
        </w:tc>
        <w:tc>
          <w:tcPr>
            <w:tcW w:w="878" w:type="dxa"/>
            <w:shd w:val="clear" w:color="auto" w:fill="auto"/>
          </w:tcPr>
          <w:p w:rsidR="003E3D07" w:rsidRDefault="003E3D07">
            <w:pPr>
              <w:pStyle w:val="TableText"/>
              <w:rPr>
                <w:rFonts w:eastAsia="Symbol"/>
              </w:rPr>
            </w:pPr>
            <w:r>
              <w:t>Optional</w:t>
            </w:r>
          </w:p>
        </w:tc>
        <w:tc>
          <w:tcPr>
            <w:tcW w:w="1253" w:type="dxa"/>
            <w:shd w:val="clear" w:color="auto" w:fill="auto"/>
          </w:tcPr>
          <w:p w:rsidR="003E3D07" w:rsidRDefault="003E3D07">
            <w:pPr>
              <w:pStyle w:val="TableText"/>
              <w:rPr>
                <w:rFonts w:eastAsia="Symbol"/>
              </w:rPr>
            </w:pPr>
            <w:r>
              <w:t>Yk(a)</w:t>
            </w:r>
          </w:p>
        </w:tc>
        <w:tc>
          <w:tcPr>
            <w:tcW w:w="1253" w:type="dxa"/>
            <w:shd w:val="clear" w:color="auto" w:fill="auto"/>
          </w:tcPr>
          <w:p w:rsidR="003E3D07" w:rsidRDefault="003E3D07">
            <w:pPr>
              <w:pStyle w:val="TableText"/>
            </w:pPr>
            <w:r>
              <w:t>None</w:t>
            </w:r>
          </w:p>
        </w:tc>
        <w:tc>
          <w:tcPr>
            <w:tcW w:w="1296" w:type="dxa"/>
            <w:shd w:val="clear" w:color="auto" w:fill="auto"/>
          </w:tcPr>
          <w:p w:rsidR="003E3D07" w:rsidRDefault="003E3D07">
            <w:pPr>
              <w:pStyle w:val="TableText"/>
              <w:rPr>
                <w:rFonts w:eastAsia="Symbol"/>
              </w:rPr>
            </w:pPr>
            <w:r>
              <w:t>4</w:t>
            </w:r>
          </w:p>
        </w:tc>
        <w:tc>
          <w:tcPr>
            <w:tcW w:w="1296" w:type="dxa"/>
            <w:shd w:val="clear" w:color="auto" w:fill="auto"/>
          </w:tcPr>
          <w:p w:rsidR="003E3D07" w:rsidRDefault="003E3D07">
            <w:pPr>
              <w:pStyle w:val="TableText"/>
            </w:pPr>
            <w:r>
              <w:t>AGYk(a)</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Anti-Kn(a)</w:t>
            </w:r>
          </w:p>
        </w:tc>
        <w:tc>
          <w:tcPr>
            <w:tcW w:w="1253" w:type="dxa"/>
            <w:shd w:val="clear" w:color="auto" w:fill="auto"/>
          </w:tcPr>
          <w:p w:rsidR="003E3D07" w:rsidRDefault="003E3D07">
            <w:pPr>
              <w:pStyle w:val="TableText"/>
              <w:rPr>
                <w:rFonts w:eastAsia="Symbol"/>
              </w:rPr>
            </w:pPr>
            <w:r>
              <w:t>None</w:t>
            </w:r>
          </w:p>
        </w:tc>
        <w:tc>
          <w:tcPr>
            <w:tcW w:w="878" w:type="dxa"/>
            <w:shd w:val="clear" w:color="auto" w:fill="auto"/>
          </w:tcPr>
          <w:p w:rsidR="003E3D07" w:rsidRDefault="003E3D07">
            <w:pPr>
              <w:pStyle w:val="TableText"/>
            </w:pPr>
            <w:r>
              <w:t>No</w:t>
            </w:r>
          </w:p>
        </w:tc>
        <w:tc>
          <w:tcPr>
            <w:tcW w:w="878" w:type="dxa"/>
            <w:shd w:val="clear" w:color="auto" w:fill="auto"/>
          </w:tcPr>
          <w:p w:rsidR="003E3D07" w:rsidRDefault="003E3D07">
            <w:pPr>
              <w:pStyle w:val="TableText"/>
              <w:rPr>
                <w:rFonts w:eastAsia="Symbol"/>
              </w:rPr>
            </w:pPr>
            <w:r>
              <w:t>Optional</w:t>
            </w:r>
          </w:p>
        </w:tc>
        <w:tc>
          <w:tcPr>
            <w:tcW w:w="1253" w:type="dxa"/>
            <w:shd w:val="clear" w:color="auto" w:fill="auto"/>
          </w:tcPr>
          <w:p w:rsidR="003E3D07" w:rsidRDefault="003E3D07">
            <w:pPr>
              <w:pStyle w:val="TableText"/>
              <w:rPr>
                <w:rFonts w:eastAsia="Symbol"/>
              </w:rPr>
            </w:pPr>
            <w:r>
              <w:t>Kn(a)</w:t>
            </w:r>
          </w:p>
        </w:tc>
        <w:tc>
          <w:tcPr>
            <w:tcW w:w="1253" w:type="dxa"/>
            <w:shd w:val="clear" w:color="auto" w:fill="auto"/>
          </w:tcPr>
          <w:p w:rsidR="003E3D07" w:rsidRDefault="003E3D07">
            <w:pPr>
              <w:pStyle w:val="TableText"/>
            </w:pPr>
            <w:r>
              <w:t>None</w:t>
            </w:r>
          </w:p>
        </w:tc>
        <w:tc>
          <w:tcPr>
            <w:tcW w:w="1296" w:type="dxa"/>
            <w:shd w:val="clear" w:color="auto" w:fill="auto"/>
          </w:tcPr>
          <w:p w:rsidR="003E3D07" w:rsidRDefault="003E3D07">
            <w:pPr>
              <w:pStyle w:val="TableText"/>
              <w:rPr>
                <w:rFonts w:eastAsia="Symbol"/>
              </w:rPr>
            </w:pPr>
            <w:r>
              <w:t>1</w:t>
            </w:r>
          </w:p>
        </w:tc>
        <w:tc>
          <w:tcPr>
            <w:tcW w:w="1296" w:type="dxa"/>
            <w:shd w:val="clear" w:color="auto" w:fill="auto"/>
          </w:tcPr>
          <w:p w:rsidR="003E3D07" w:rsidRDefault="003E3D07">
            <w:pPr>
              <w:pStyle w:val="TableText"/>
            </w:pPr>
            <w:r>
              <w:t>AGKn(a)</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pPr>
              <w:pStyle w:val="TableText"/>
              <w:rPr>
                <w:rFonts w:eastAsia="Symbol"/>
              </w:rPr>
            </w:pPr>
            <w:r>
              <w:t>Anti-McC(a)</w:t>
            </w:r>
          </w:p>
        </w:tc>
        <w:tc>
          <w:tcPr>
            <w:tcW w:w="1253" w:type="dxa"/>
            <w:shd w:val="clear" w:color="auto" w:fill="auto"/>
          </w:tcPr>
          <w:p w:rsidR="003E3D07" w:rsidRDefault="003E3D07">
            <w:pPr>
              <w:pStyle w:val="TableText"/>
            </w:pPr>
            <w:r>
              <w:t>None</w:t>
            </w:r>
          </w:p>
        </w:tc>
        <w:tc>
          <w:tcPr>
            <w:tcW w:w="878" w:type="dxa"/>
            <w:shd w:val="clear" w:color="auto" w:fill="auto"/>
          </w:tcPr>
          <w:p w:rsidR="003E3D07" w:rsidRDefault="003E3D07">
            <w:pPr>
              <w:pStyle w:val="TableText"/>
            </w:pPr>
            <w:r>
              <w:t>No</w:t>
            </w:r>
          </w:p>
        </w:tc>
        <w:tc>
          <w:tcPr>
            <w:tcW w:w="878" w:type="dxa"/>
            <w:shd w:val="clear" w:color="auto" w:fill="auto"/>
          </w:tcPr>
          <w:p w:rsidR="003E3D07" w:rsidRDefault="003E3D07">
            <w:pPr>
              <w:pStyle w:val="TableText"/>
              <w:rPr>
                <w:rFonts w:eastAsia="Symbol"/>
              </w:rPr>
            </w:pPr>
            <w:r>
              <w:t>Optional</w:t>
            </w:r>
          </w:p>
        </w:tc>
        <w:tc>
          <w:tcPr>
            <w:tcW w:w="1253" w:type="dxa"/>
            <w:shd w:val="clear" w:color="auto" w:fill="auto"/>
          </w:tcPr>
          <w:p w:rsidR="003E3D07" w:rsidRDefault="003E3D07">
            <w:pPr>
              <w:pStyle w:val="TableText"/>
              <w:rPr>
                <w:rFonts w:eastAsia="Symbol"/>
              </w:rPr>
            </w:pPr>
            <w:r>
              <w:t>McC(a)</w:t>
            </w:r>
          </w:p>
        </w:tc>
        <w:tc>
          <w:tcPr>
            <w:tcW w:w="1253" w:type="dxa"/>
            <w:shd w:val="clear" w:color="auto" w:fill="auto"/>
          </w:tcPr>
          <w:p w:rsidR="003E3D07" w:rsidRDefault="003E3D07">
            <w:pPr>
              <w:pStyle w:val="TableText"/>
            </w:pPr>
            <w:r>
              <w:t>None</w:t>
            </w:r>
          </w:p>
        </w:tc>
        <w:tc>
          <w:tcPr>
            <w:tcW w:w="1296" w:type="dxa"/>
            <w:shd w:val="clear" w:color="auto" w:fill="auto"/>
          </w:tcPr>
          <w:p w:rsidR="003E3D07" w:rsidRDefault="003E3D07">
            <w:pPr>
              <w:pStyle w:val="TableText"/>
              <w:rPr>
                <w:rFonts w:eastAsia="Symbol"/>
              </w:rPr>
            </w:pPr>
            <w:r>
              <w:t>1</w:t>
            </w:r>
          </w:p>
        </w:tc>
        <w:tc>
          <w:tcPr>
            <w:tcW w:w="1296" w:type="dxa"/>
            <w:shd w:val="clear" w:color="auto" w:fill="auto"/>
          </w:tcPr>
          <w:p w:rsidR="003E3D07" w:rsidRDefault="003E3D07">
            <w:pPr>
              <w:pStyle w:val="TableText"/>
            </w:pPr>
            <w:r>
              <w:t>AGMcC(a)</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rsidP="009C5939">
            <w:pPr>
              <w:pStyle w:val="TableText"/>
              <w:rPr>
                <w:rFonts w:eastAsia="Symbol"/>
              </w:rPr>
            </w:pPr>
            <w:r>
              <w:t>Anti-JMH</w:t>
            </w:r>
          </w:p>
        </w:tc>
        <w:tc>
          <w:tcPr>
            <w:tcW w:w="1253" w:type="dxa"/>
            <w:shd w:val="clear" w:color="auto" w:fill="auto"/>
          </w:tcPr>
          <w:p w:rsidR="003E3D07" w:rsidRDefault="003E3D07" w:rsidP="009C5939">
            <w:pPr>
              <w:pStyle w:val="TableText"/>
            </w:pPr>
            <w:r>
              <w:t>None</w:t>
            </w:r>
          </w:p>
        </w:tc>
        <w:tc>
          <w:tcPr>
            <w:tcW w:w="878" w:type="dxa"/>
            <w:shd w:val="clear" w:color="auto" w:fill="auto"/>
          </w:tcPr>
          <w:p w:rsidR="003E3D07" w:rsidRDefault="003E3D07" w:rsidP="009C5939">
            <w:pPr>
              <w:pStyle w:val="TableText"/>
            </w:pPr>
            <w:r>
              <w:t>No</w:t>
            </w:r>
          </w:p>
        </w:tc>
        <w:tc>
          <w:tcPr>
            <w:tcW w:w="878" w:type="dxa"/>
            <w:shd w:val="clear" w:color="auto" w:fill="auto"/>
          </w:tcPr>
          <w:p w:rsidR="003E3D07" w:rsidRDefault="003E3D07" w:rsidP="009C5939">
            <w:pPr>
              <w:pStyle w:val="TableText"/>
              <w:rPr>
                <w:rFonts w:eastAsia="Symbol"/>
              </w:rPr>
            </w:pPr>
            <w:r>
              <w:t>Optional</w:t>
            </w:r>
          </w:p>
        </w:tc>
        <w:tc>
          <w:tcPr>
            <w:tcW w:w="1253" w:type="dxa"/>
            <w:shd w:val="clear" w:color="auto" w:fill="auto"/>
          </w:tcPr>
          <w:p w:rsidR="003E3D07" w:rsidRDefault="003E3D07" w:rsidP="009C5939">
            <w:pPr>
              <w:pStyle w:val="TableText"/>
              <w:rPr>
                <w:rFonts w:eastAsia="Symbol"/>
              </w:rPr>
            </w:pPr>
            <w:r>
              <w:t>JMH</w:t>
            </w:r>
          </w:p>
        </w:tc>
        <w:tc>
          <w:tcPr>
            <w:tcW w:w="1253" w:type="dxa"/>
            <w:shd w:val="clear" w:color="auto" w:fill="auto"/>
          </w:tcPr>
          <w:p w:rsidR="003E3D07" w:rsidRDefault="003E3D07" w:rsidP="009C5939">
            <w:pPr>
              <w:pStyle w:val="TableText"/>
            </w:pPr>
            <w:r>
              <w:t>None</w:t>
            </w:r>
          </w:p>
        </w:tc>
        <w:tc>
          <w:tcPr>
            <w:tcW w:w="1296" w:type="dxa"/>
            <w:shd w:val="clear" w:color="auto" w:fill="auto"/>
          </w:tcPr>
          <w:p w:rsidR="003E3D07" w:rsidRDefault="003E3D07" w:rsidP="009C5939">
            <w:pPr>
              <w:pStyle w:val="TableText"/>
              <w:rPr>
                <w:rFonts w:eastAsia="Symbol"/>
              </w:rPr>
            </w:pPr>
            <w:r>
              <w:t>1</w:t>
            </w:r>
          </w:p>
        </w:tc>
        <w:tc>
          <w:tcPr>
            <w:tcW w:w="1296" w:type="dxa"/>
            <w:shd w:val="clear" w:color="auto" w:fill="auto"/>
          </w:tcPr>
          <w:p w:rsidR="003E3D07" w:rsidRDefault="003E3D07" w:rsidP="009C5939">
            <w:pPr>
              <w:pStyle w:val="TableText"/>
            </w:pPr>
            <w:r>
              <w:t>AGJMH</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rsidP="009C5939">
            <w:pPr>
              <w:pStyle w:val="TableText"/>
              <w:rPr>
                <w:rFonts w:eastAsia="Symbol"/>
              </w:rPr>
            </w:pPr>
            <w:r>
              <w:t>Anti-Yt(a)</w:t>
            </w:r>
          </w:p>
        </w:tc>
        <w:tc>
          <w:tcPr>
            <w:tcW w:w="1253" w:type="dxa"/>
            <w:shd w:val="clear" w:color="auto" w:fill="auto"/>
          </w:tcPr>
          <w:p w:rsidR="003E3D07" w:rsidRDefault="003E3D07" w:rsidP="009C5939">
            <w:pPr>
              <w:pStyle w:val="TableText"/>
              <w:rPr>
                <w:rFonts w:eastAsia="Symbol"/>
              </w:rPr>
            </w:pPr>
            <w:r>
              <w:t>None</w:t>
            </w:r>
          </w:p>
        </w:tc>
        <w:tc>
          <w:tcPr>
            <w:tcW w:w="878" w:type="dxa"/>
            <w:shd w:val="clear" w:color="auto" w:fill="auto"/>
          </w:tcPr>
          <w:p w:rsidR="003E3D07" w:rsidRDefault="003E3D07" w:rsidP="009C5939">
            <w:pPr>
              <w:pStyle w:val="TableText"/>
            </w:pPr>
            <w:r>
              <w:t>No</w:t>
            </w:r>
          </w:p>
        </w:tc>
        <w:tc>
          <w:tcPr>
            <w:tcW w:w="878" w:type="dxa"/>
            <w:shd w:val="clear" w:color="auto" w:fill="auto"/>
          </w:tcPr>
          <w:p w:rsidR="003E3D07" w:rsidRDefault="003E3D07" w:rsidP="009C5939">
            <w:pPr>
              <w:pStyle w:val="TableText"/>
              <w:rPr>
                <w:rFonts w:eastAsia="Symbol"/>
              </w:rPr>
            </w:pPr>
            <w:r>
              <w:t>Optional</w:t>
            </w:r>
          </w:p>
        </w:tc>
        <w:tc>
          <w:tcPr>
            <w:tcW w:w="1253" w:type="dxa"/>
            <w:shd w:val="clear" w:color="auto" w:fill="auto"/>
          </w:tcPr>
          <w:p w:rsidR="003E3D07" w:rsidRDefault="003E3D07" w:rsidP="009C5939">
            <w:pPr>
              <w:pStyle w:val="TableText"/>
              <w:rPr>
                <w:rFonts w:eastAsia="Symbol"/>
              </w:rPr>
            </w:pPr>
            <w:r>
              <w:t>Yt(a)</w:t>
            </w:r>
          </w:p>
        </w:tc>
        <w:tc>
          <w:tcPr>
            <w:tcW w:w="1253" w:type="dxa"/>
            <w:shd w:val="clear" w:color="auto" w:fill="auto"/>
          </w:tcPr>
          <w:p w:rsidR="003E3D07" w:rsidRDefault="003E3D07" w:rsidP="009C5939">
            <w:pPr>
              <w:pStyle w:val="TableText"/>
              <w:rPr>
                <w:rFonts w:eastAsia="Symbol"/>
              </w:rPr>
            </w:pPr>
            <w:r>
              <w:t>None</w:t>
            </w:r>
          </w:p>
        </w:tc>
        <w:tc>
          <w:tcPr>
            <w:tcW w:w="1296" w:type="dxa"/>
            <w:shd w:val="clear" w:color="auto" w:fill="auto"/>
          </w:tcPr>
          <w:p w:rsidR="003E3D07" w:rsidRDefault="003E3D07" w:rsidP="009C5939">
            <w:pPr>
              <w:pStyle w:val="TableText"/>
              <w:rPr>
                <w:rFonts w:eastAsia="Symbol"/>
              </w:rPr>
            </w:pPr>
            <w:r>
              <w:t>1</w:t>
            </w:r>
          </w:p>
        </w:tc>
        <w:tc>
          <w:tcPr>
            <w:tcW w:w="1296" w:type="dxa"/>
            <w:shd w:val="clear" w:color="auto" w:fill="auto"/>
          </w:tcPr>
          <w:p w:rsidR="003E3D07" w:rsidRDefault="003E3D07" w:rsidP="009C5939">
            <w:pPr>
              <w:pStyle w:val="TableText"/>
              <w:rPr>
                <w:rFonts w:eastAsia="Symbol"/>
              </w:rPr>
            </w:pPr>
            <w:r>
              <w:t>AGYt(a)</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rsidP="009C5939">
            <w:pPr>
              <w:pStyle w:val="TableText"/>
              <w:rPr>
                <w:rFonts w:eastAsia="Symbol"/>
              </w:rPr>
            </w:pPr>
            <w:r>
              <w:t>Anti-Yt(b)</w:t>
            </w:r>
          </w:p>
        </w:tc>
        <w:tc>
          <w:tcPr>
            <w:tcW w:w="1253" w:type="dxa"/>
            <w:shd w:val="clear" w:color="auto" w:fill="auto"/>
          </w:tcPr>
          <w:p w:rsidR="003E3D07" w:rsidRDefault="003E3D07" w:rsidP="009C5939">
            <w:pPr>
              <w:pStyle w:val="TableText"/>
              <w:rPr>
                <w:rFonts w:eastAsia="Symbol"/>
              </w:rPr>
            </w:pPr>
            <w:r>
              <w:t>None</w:t>
            </w:r>
          </w:p>
        </w:tc>
        <w:tc>
          <w:tcPr>
            <w:tcW w:w="878" w:type="dxa"/>
            <w:shd w:val="clear" w:color="auto" w:fill="auto"/>
          </w:tcPr>
          <w:p w:rsidR="003E3D07" w:rsidRDefault="003E3D07" w:rsidP="009C5939">
            <w:pPr>
              <w:pStyle w:val="TableText"/>
            </w:pPr>
            <w:r>
              <w:t>No</w:t>
            </w:r>
          </w:p>
        </w:tc>
        <w:tc>
          <w:tcPr>
            <w:tcW w:w="878" w:type="dxa"/>
            <w:shd w:val="clear" w:color="auto" w:fill="auto"/>
          </w:tcPr>
          <w:p w:rsidR="003E3D07" w:rsidRDefault="003E3D07" w:rsidP="009C5939">
            <w:pPr>
              <w:pStyle w:val="TableText"/>
              <w:rPr>
                <w:rFonts w:eastAsia="Symbol"/>
              </w:rPr>
            </w:pPr>
            <w:r>
              <w:t>Optional</w:t>
            </w:r>
          </w:p>
        </w:tc>
        <w:tc>
          <w:tcPr>
            <w:tcW w:w="1253" w:type="dxa"/>
            <w:shd w:val="clear" w:color="auto" w:fill="auto"/>
          </w:tcPr>
          <w:p w:rsidR="003E3D07" w:rsidRDefault="003E3D07" w:rsidP="009C5939">
            <w:pPr>
              <w:pStyle w:val="TableText"/>
              <w:rPr>
                <w:rFonts w:eastAsia="Symbol"/>
              </w:rPr>
            </w:pPr>
            <w:r>
              <w:t>Yt(b)</w:t>
            </w:r>
          </w:p>
        </w:tc>
        <w:tc>
          <w:tcPr>
            <w:tcW w:w="1253" w:type="dxa"/>
            <w:shd w:val="clear" w:color="auto" w:fill="auto"/>
          </w:tcPr>
          <w:p w:rsidR="003E3D07" w:rsidRDefault="003E3D07" w:rsidP="009C5939">
            <w:pPr>
              <w:pStyle w:val="TableText"/>
              <w:rPr>
                <w:rFonts w:eastAsia="Symbol"/>
              </w:rPr>
            </w:pPr>
            <w:r>
              <w:t>None</w:t>
            </w:r>
          </w:p>
        </w:tc>
        <w:tc>
          <w:tcPr>
            <w:tcW w:w="1296" w:type="dxa"/>
            <w:shd w:val="clear" w:color="auto" w:fill="auto"/>
          </w:tcPr>
          <w:p w:rsidR="003E3D07" w:rsidRDefault="003E3D07" w:rsidP="009C5939">
            <w:pPr>
              <w:pStyle w:val="TableText"/>
              <w:rPr>
                <w:rFonts w:eastAsia="Symbol"/>
              </w:rPr>
            </w:pPr>
            <w:r>
              <w:t>92</w:t>
            </w:r>
          </w:p>
        </w:tc>
        <w:tc>
          <w:tcPr>
            <w:tcW w:w="1296" w:type="dxa"/>
            <w:shd w:val="clear" w:color="auto" w:fill="auto"/>
          </w:tcPr>
          <w:p w:rsidR="003E3D07" w:rsidRDefault="003E3D07" w:rsidP="009C5939">
            <w:pPr>
              <w:pStyle w:val="TableText"/>
              <w:rPr>
                <w:rFonts w:eastAsia="Symbol"/>
              </w:rPr>
            </w:pPr>
            <w:r>
              <w:t>AGYt(b)</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rsidP="009C5939">
            <w:pPr>
              <w:pStyle w:val="TableText"/>
              <w:rPr>
                <w:rFonts w:eastAsia="Symbol"/>
              </w:rPr>
            </w:pPr>
            <w:r>
              <w:t>HTLA (probable)</w:t>
            </w:r>
          </w:p>
        </w:tc>
        <w:tc>
          <w:tcPr>
            <w:tcW w:w="1253" w:type="dxa"/>
            <w:shd w:val="clear" w:color="auto" w:fill="auto"/>
          </w:tcPr>
          <w:p w:rsidR="003E3D07" w:rsidRDefault="003E3D07" w:rsidP="009C5939">
            <w:pPr>
              <w:pStyle w:val="TableText"/>
            </w:pPr>
            <w:r>
              <w:t>None</w:t>
            </w:r>
          </w:p>
        </w:tc>
        <w:tc>
          <w:tcPr>
            <w:tcW w:w="878" w:type="dxa"/>
            <w:shd w:val="clear" w:color="auto" w:fill="auto"/>
          </w:tcPr>
          <w:p w:rsidR="003E3D07" w:rsidRDefault="003E3D07" w:rsidP="009C5939">
            <w:pPr>
              <w:pStyle w:val="TableText"/>
            </w:pPr>
            <w:r>
              <w:t>No</w:t>
            </w:r>
          </w:p>
        </w:tc>
        <w:tc>
          <w:tcPr>
            <w:tcW w:w="878" w:type="dxa"/>
            <w:shd w:val="clear" w:color="auto" w:fill="auto"/>
          </w:tcPr>
          <w:p w:rsidR="003E3D07" w:rsidRDefault="003E3D07" w:rsidP="009C5939">
            <w:pPr>
              <w:pStyle w:val="TableText"/>
              <w:rPr>
                <w:rFonts w:eastAsia="Symbol"/>
              </w:rPr>
            </w:pPr>
            <w:r>
              <w:t>No</w:t>
            </w:r>
          </w:p>
        </w:tc>
        <w:tc>
          <w:tcPr>
            <w:tcW w:w="1253" w:type="dxa"/>
            <w:shd w:val="clear" w:color="auto" w:fill="auto"/>
          </w:tcPr>
          <w:p w:rsidR="003E3D07" w:rsidRDefault="003E3D07" w:rsidP="009C5939">
            <w:pPr>
              <w:pStyle w:val="TableText"/>
              <w:rPr>
                <w:rFonts w:eastAsia="Symbol"/>
              </w:rPr>
            </w:pPr>
            <w:r>
              <w:t>None</w:t>
            </w:r>
          </w:p>
        </w:tc>
        <w:tc>
          <w:tcPr>
            <w:tcW w:w="1253" w:type="dxa"/>
            <w:shd w:val="clear" w:color="auto" w:fill="auto"/>
          </w:tcPr>
          <w:p w:rsidR="003E3D07" w:rsidRDefault="003E3D07" w:rsidP="009C5939">
            <w:pPr>
              <w:pStyle w:val="TableText"/>
              <w:rPr>
                <w:rFonts w:eastAsia="Symbol"/>
              </w:rPr>
            </w:pPr>
            <w:r>
              <w:t>None</w:t>
            </w:r>
          </w:p>
        </w:tc>
        <w:tc>
          <w:tcPr>
            <w:tcW w:w="1296" w:type="dxa"/>
            <w:shd w:val="clear" w:color="auto" w:fill="auto"/>
          </w:tcPr>
          <w:p w:rsidR="003E3D07" w:rsidRDefault="003E3D07" w:rsidP="009C5939">
            <w:pPr>
              <w:pStyle w:val="TableText"/>
              <w:rPr>
                <w:rFonts w:eastAsia="Symbol"/>
              </w:rPr>
            </w:pPr>
            <w:r>
              <w:rPr>
                <w:rFonts w:eastAsia="Symbol"/>
              </w:rPr>
              <w:t>0</w:t>
            </w:r>
          </w:p>
        </w:tc>
        <w:tc>
          <w:tcPr>
            <w:tcW w:w="1296" w:type="dxa"/>
            <w:vMerge w:val="restart"/>
            <w:shd w:val="clear" w:color="auto" w:fill="auto"/>
          </w:tcPr>
          <w:p w:rsidR="003E3D07" w:rsidRDefault="003E3D07" w:rsidP="009C5939">
            <w:pPr>
              <w:pStyle w:val="TableText"/>
            </w:pPr>
            <w:r>
              <w:rPr>
                <w:rFonts w:eastAsia="Symbol"/>
              </w:rPr>
              <w:t>None</w:t>
            </w:r>
          </w:p>
        </w:tc>
      </w:tr>
      <w:tr w:rsidR="00824338">
        <w:tblPrEx>
          <w:tblBorders>
            <w:insideH w:val="single" w:sz="4" w:space="0" w:color="auto"/>
            <w:insideV w:val="single" w:sz="4" w:space="0" w:color="auto"/>
          </w:tblBorders>
        </w:tblPrEx>
        <w:tc>
          <w:tcPr>
            <w:tcW w:w="1253" w:type="dxa"/>
            <w:shd w:val="clear" w:color="auto" w:fill="auto"/>
          </w:tcPr>
          <w:p w:rsidR="003E3D07" w:rsidRDefault="003E3D07" w:rsidP="009C5939">
            <w:pPr>
              <w:pStyle w:val="TableText"/>
            </w:pPr>
            <w:r>
              <w:t>Antibody, No Specificity</w:t>
            </w:r>
          </w:p>
          <w:p w:rsidR="003E3D07" w:rsidRDefault="003E3D07" w:rsidP="009C5939">
            <w:pPr>
              <w:pStyle w:val="TableText"/>
              <w:rPr>
                <w:sz w:val="20"/>
              </w:rPr>
            </w:pPr>
            <w:r>
              <w:t>Identified</w:t>
            </w:r>
          </w:p>
        </w:tc>
        <w:tc>
          <w:tcPr>
            <w:tcW w:w="1253" w:type="dxa"/>
            <w:shd w:val="clear" w:color="auto" w:fill="auto"/>
          </w:tcPr>
          <w:p w:rsidR="003E3D07" w:rsidRDefault="003E3D07" w:rsidP="009C5939">
            <w:pPr>
              <w:pStyle w:val="TableText"/>
              <w:rPr>
                <w:sz w:val="20"/>
              </w:rPr>
            </w:pPr>
            <w:r>
              <w:t>Antibody (not otherwise specified)</w:t>
            </w:r>
          </w:p>
        </w:tc>
        <w:tc>
          <w:tcPr>
            <w:tcW w:w="878" w:type="dxa"/>
            <w:shd w:val="clear" w:color="auto" w:fill="auto"/>
          </w:tcPr>
          <w:p w:rsidR="003E3D07" w:rsidRDefault="003E3D07" w:rsidP="009C5939">
            <w:pPr>
              <w:pStyle w:val="TableText"/>
            </w:pPr>
            <w:r>
              <w:t>Unknown</w:t>
            </w:r>
            <w:r w:rsidR="00191509" w:rsidRPr="00191509">
              <w:rPr>
                <w:szCs w:val="18"/>
              </w:rPr>
              <w:t>§</w:t>
            </w:r>
          </w:p>
        </w:tc>
        <w:tc>
          <w:tcPr>
            <w:tcW w:w="878" w:type="dxa"/>
            <w:shd w:val="clear" w:color="auto" w:fill="auto"/>
          </w:tcPr>
          <w:p w:rsidR="003E3D07" w:rsidRDefault="003E3D07" w:rsidP="009C5939">
            <w:pPr>
              <w:pStyle w:val="TableText"/>
            </w:pPr>
            <w:r>
              <w:t>No</w:t>
            </w:r>
          </w:p>
        </w:tc>
        <w:tc>
          <w:tcPr>
            <w:tcW w:w="1253" w:type="dxa"/>
            <w:shd w:val="clear" w:color="auto" w:fill="auto"/>
          </w:tcPr>
          <w:p w:rsidR="003E3D07" w:rsidRDefault="003E3D07" w:rsidP="009C5939">
            <w:pPr>
              <w:pStyle w:val="TableText"/>
            </w:pPr>
            <w:r>
              <w:t>None</w:t>
            </w:r>
          </w:p>
        </w:tc>
        <w:tc>
          <w:tcPr>
            <w:tcW w:w="1253" w:type="dxa"/>
            <w:shd w:val="clear" w:color="auto" w:fill="auto"/>
          </w:tcPr>
          <w:p w:rsidR="003E3D07" w:rsidRDefault="003E3D07" w:rsidP="009C5939">
            <w:pPr>
              <w:pStyle w:val="TableText"/>
            </w:pPr>
            <w:r>
              <w:t>None</w:t>
            </w:r>
          </w:p>
        </w:tc>
        <w:tc>
          <w:tcPr>
            <w:tcW w:w="1296" w:type="dxa"/>
            <w:shd w:val="clear" w:color="auto" w:fill="auto"/>
          </w:tcPr>
          <w:p w:rsidR="003E3D07" w:rsidRDefault="003E3D07" w:rsidP="009C5939">
            <w:pPr>
              <w:pStyle w:val="TableText"/>
              <w:rPr>
                <w:rFonts w:eastAsia="Symbol"/>
              </w:rPr>
            </w:pPr>
            <w:r>
              <w:rPr>
                <w:rFonts w:eastAsia="Symbol"/>
              </w:rPr>
              <w:t>0</w:t>
            </w:r>
          </w:p>
        </w:tc>
        <w:tc>
          <w:tcPr>
            <w:tcW w:w="1296" w:type="dxa"/>
            <w:vMerge/>
            <w:shd w:val="clear" w:color="auto" w:fill="auto"/>
          </w:tcPr>
          <w:p w:rsidR="003E3D07" w:rsidRDefault="003E3D07" w:rsidP="009C5939">
            <w:pPr>
              <w:pStyle w:val="TableText"/>
              <w:rPr>
                <w:rFonts w:eastAsia="Symbol"/>
              </w:rPr>
            </w:pPr>
          </w:p>
        </w:tc>
      </w:tr>
      <w:tr w:rsidR="00824338">
        <w:tblPrEx>
          <w:tblBorders>
            <w:insideH w:val="single" w:sz="4" w:space="0" w:color="auto"/>
            <w:insideV w:val="single" w:sz="4" w:space="0" w:color="auto"/>
          </w:tblBorders>
        </w:tblPrEx>
        <w:tc>
          <w:tcPr>
            <w:tcW w:w="1253" w:type="dxa"/>
            <w:shd w:val="clear" w:color="auto" w:fill="auto"/>
          </w:tcPr>
          <w:p w:rsidR="003E3D07" w:rsidRDefault="003E3D07" w:rsidP="009C5939">
            <w:pPr>
              <w:pStyle w:val="TableText"/>
            </w:pPr>
            <w:r>
              <w:t>Antibody to Low-Incidence Antigen</w:t>
            </w:r>
          </w:p>
        </w:tc>
        <w:tc>
          <w:tcPr>
            <w:tcW w:w="1253" w:type="dxa"/>
            <w:shd w:val="clear" w:color="auto" w:fill="auto"/>
          </w:tcPr>
          <w:p w:rsidR="003E3D07" w:rsidRDefault="003E3D07" w:rsidP="009C5939">
            <w:pPr>
              <w:pStyle w:val="TableText"/>
            </w:pPr>
            <w:r>
              <w:t>Antibody, private (not otherwise specified)</w:t>
            </w:r>
          </w:p>
        </w:tc>
        <w:tc>
          <w:tcPr>
            <w:tcW w:w="878" w:type="dxa"/>
            <w:shd w:val="clear" w:color="auto" w:fill="auto"/>
          </w:tcPr>
          <w:p w:rsidR="003E3D07" w:rsidRDefault="003E3D07" w:rsidP="009C5939">
            <w:pPr>
              <w:pStyle w:val="TableText"/>
            </w:pPr>
            <w:r>
              <w:t>Unknown</w:t>
            </w:r>
            <w:r w:rsidR="00191509" w:rsidRPr="00191509">
              <w:rPr>
                <w:szCs w:val="18"/>
              </w:rPr>
              <w:t>§</w:t>
            </w:r>
          </w:p>
        </w:tc>
        <w:tc>
          <w:tcPr>
            <w:tcW w:w="878" w:type="dxa"/>
            <w:shd w:val="clear" w:color="auto" w:fill="auto"/>
          </w:tcPr>
          <w:p w:rsidR="003E3D07" w:rsidRDefault="003E3D07" w:rsidP="009C5939">
            <w:pPr>
              <w:pStyle w:val="TableText"/>
            </w:pPr>
            <w:r>
              <w:t>No</w:t>
            </w:r>
          </w:p>
        </w:tc>
        <w:tc>
          <w:tcPr>
            <w:tcW w:w="1253" w:type="dxa"/>
            <w:shd w:val="clear" w:color="auto" w:fill="auto"/>
          </w:tcPr>
          <w:p w:rsidR="003E3D07" w:rsidRDefault="003E3D07" w:rsidP="009C5939">
            <w:pPr>
              <w:pStyle w:val="TableText"/>
            </w:pPr>
            <w:r>
              <w:t>None</w:t>
            </w:r>
          </w:p>
        </w:tc>
        <w:tc>
          <w:tcPr>
            <w:tcW w:w="1253" w:type="dxa"/>
            <w:shd w:val="clear" w:color="auto" w:fill="auto"/>
          </w:tcPr>
          <w:p w:rsidR="003E3D07" w:rsidRDefault="003E3D07" w:rsidP="009C5939">
            <w:pPr>
              <w:pStyle w:val="TableText"/>
            </w:pPr>
            <w:r>
              <w:t>None</w:t>
            </w:r>
          </w:p>
        </w:tc>
        <w:tc>
          <w:tcPr>
            <w:tcW w:w="1296" w:type="dxa"/>
            <w:shd w:val="clear" w:color="auto" w:fill="auto"/>
          </w:tcPr>
          <w:p w:rsidR="003E3D07" w:rsidRDefault="003E3D07" w:rsidP="009C5939">
            <w:pPr>
              <w:pStyle w:val="TableText"/>
              <w:rPr>
                <w:rFonts w:eastAsia="Symbol"/>
              </w:rPr>
            </w:pPr>
            <w:r>
              <w:rPr>
                <w:rFonts w:eastAsia="Symbol"/>
              </w:rPr>
              <w:t>99</w:t>
            </w:r>
          </w:p>
        </w:tc>
        <w:tc>
          <w:tcPr>
            <w:tcW w:w="1296" w:type="dxa"/>
            <w:vMerge/>
            <w:shd w:val="clear" w:color="auto" w:fill="auto"/>
          </w:tcPr>
          <w:p w:rsidR="003E3D07" w:rsidRDefault="003E3D07" w:rsidP="009C5939">
            <w:pPr>
              <w:pStyle w:val="TableText"/>
              <w:rPr>
                <w:rFonts w:eastAsia="Symbol"/>
              </w:rPr>
            </w:pPr>
          </w:p>
        </w:tc>
      </w:tr>
      <w:tr w:rsidR="00824338">
        <w:tblPrEx>
          <w:tblBorders>
            <w:insideH w:val="single" w:sz="4" w:space="0" w:color="auto"/>
            <w:insideV w:val="single" w:sz="4" w:space="0" w:color="auto"/>
          </w:tblBorders>
        </w:tblPrEx>
        <w:tc>
          <w:tcPr>
            <w:tcW w:w="1253" w:type="dxa"/>
            <w:shd w:val="clear" w:color="auto" w:fill="auto"/>
          </w:tcPr>
          <w:p w:rsidR="003E3D07" w:rsidRDefault="003E3D07" w:rsidP="009C5939">
            <w:pPr>
              <w:pStyle w:val="TableText"/>
              <w:rPr>
                <w:sz w:val="20"/>
              </w:rPr>
            </w:pPr>
            <w:r>
              <w:lastRenderedPageBreak/>
              <w:t>Antibody to High-Incidence Antigen</w:t>
            </w:r>
          </w:p>
        </w:tc>
        <w:tc>
          <w:tcPr>
            <w:tcW w:w="1253" w:type="dxa"/>
            <w:shd w:val="clear" w:color="auto" w:fill="auto"/>
          </w:tcPr>
          <w:p w:rsidR="003E3D07" w:rsidRDefault="003E3D07" w:rsidP="009C5939">
            <w:pPr>
              <w:pStyle w:val="TableText"/>
              <w:rPr>
                <w:sz w:val="20"/>
              </w:rPr>
            </w:pPr>
            <w:r>
              <w:t>Antibody, public (not otherwise specified)</w:t>
            </w:r>
          </w:p>
        </w:tc>
        <w:tc>
          <w:tcPr>
            <w:tcW w:w="878" w:type="dxa"/>
            <w:shd w:val="clear" w:color="auto" w:fill="auto"/>
          </w:tcPr>
          <w:p w:rsidR="003E3D07" w:rsidRDefault="003E3D07" w:rsidP="009C5939">
            <w:pPr>
              <w:pStyle w:val="TableText"/>
            </w:pPr>
            <w:r>
              <w:t>Unknown</w:t>
            </w:r>
            <w:r w:rsidR="00191509" w:rsidRPr="00191509">
              <w:rPr>
                <w:szCs w:val="18"/>
              </w:rPr>
              <w:t>§</w:t>
            </w:r>
          </w:p>
        </w:tc>
        <w:tc>
          <w:tcPr>
            <w:tcW w:w="878" w:type="dxa"/>
            <w:shd w:val="clear" w:color="auto" w:fill="auto"/>
          </w:tcPr>
          <w:p w:rsidR="003E3D07" w:rsidRDefault="003E3D07" w:rsidP="009C5939">
            <w:pPr>
              <w:pStyle w:val="TableText"/>
            </w:pPr>
            <w:r>
              <w:t>No</w:t>
            </w:r>
          </w:p>
        </w:tc>
        <w:tc>
          <w:tcPr>
            <w:tcW w:w="1253" w:type="dxa"/>
            <w:shd w:val="clear" w:color="auto" w:fill="auto"/>
          </w:tcPr>
          <w:p w:rsidR="003E3D07" w:rsidRDefault="003E3D07" w:rsidP="009C5939">
            <w:pPr>
              <w:pStyle w:val="TableText"/>
            </w:pPr>
            <w:r>
              <w:t>None</w:t>
            </w:r>
          </w:p>
        </w:tc>
        <w:tc>
          <w:tcPr>
            <w:tcW w:w="1253" w:type="dxa"/>
            <w:shd w:val="clear" w:color="auto" w:fill="auto"/>
          </w:tcPr>
          <w:p w:rsidR="003E3D07" w:rsidRDefault="003E3D07" w:rsidP="009C5939">
            <w:pPr>
              <w:pStyle w:val="TableText"/>
            </w:pPr>
            <w:r>
              <w:t>None</w:t>
            </w:r>
          </w:p>
        </w:tc>
        <w:tc>
          <w:tcPr>
            <w:tcW w:w="1296" w:type="dxa"/>
            <w:shd w:val="clear" w:color="auto" w:fill="auto"/>
          </w:tcPr>
          <w:p w:rsidR="003E3D07" w:rsidRDefault="003E3D07" w:rsidP="009C5939">
            <w:pPr>
              <w:pStyle w:val="TableText"/>
              <w:rPr>
                <w:rFonts w:eastAsia="Symbol"/>
              </w:rPr>
            </w:pPr>
            <w:r>
              <w:rPr>
                <w:rFonts w:eastAsia="Symbol"/>
              </w:rPr>
              <w:t>0</w:t>
            </w:r>
          </w:p>
        </w:tc>
        <w:tc>
          <w:tcPr>
            <w:tcW w:w="1296" w:type="dxa"/>
            <w:vMerge/>
            <w:shd w:val="clear" w:color="auto" w:fill="auto"/>
          </w:tcPr>
          <w:p w:rsidR="003E3D07" w:rsidRDefault="003E3D07" w:rsidP="009C5939">
            <w:pPr>
              <w:pStyle w:val="TableText"/>
              <w:rPr>
                <w:rFonts w:eastAsia="Symbol"/>
              </w:rPr>
            </w:pPr>
          </w:p>
        </w:tc>
      </w:tr>
      <w:tr w:rsidR="00A447A2">
        <w:tblPrEx>
          <w:tblBorders>
            <w:insideH w:val="single" w:sz="4" w:space="0" w:color="auto"/>
            <w:insideV w:val="single" w:sz="4" w:space="0" w:color="auto"/>
          </w:tblBorders>
        </w:tblPrEx>
        <w:tc>
          <w:tcPr>
            <w:tcW w:w="1253" w:type="dxa"/>
            <w:shd w:val="clear" w:color="auto" w:fill="auto"/>
          </w:tcPr>
          <w:p w:rsidR="00A447A2" w:rsidRDefault="00A447A2" w:rsidP="009C5939">
            <w:pPr>
              <w:pStyle w:val="TableText"/>
            </w:pPr>
            <w:r>
              <w:t xml:space="preserve">Serologic Crossmatch Test Required </w:t>
            </w:r>
            <w:r w:rsidRPr="00A447A2">
              <w:rPr>
                <w:vanish/>
              </w:rPr>
              <w:t>DR 3145</w:t>
            </w:r>
          </w:p>
        </w:tc>
        <w:tc>
          <w:tcPr>
            <w:tcW w:w="1253" w:type="dxa"/>
            <w:shd w:val="clear" w:color="auto" w:fill="auto"/>
          </w:tcPr>
          <w:p w:rsidR="00A447A2" w:rsidRDefault="00A447A2" w:rsidP="009C5939">
            <w:pPr>
              <w:pStyle w:val="TableText"/>
            </w:pPr>
            <w:r>
              <w:t>N/A</w:t>
            </w:r>
          </w:p>
        </w:tc>
        <w:tc>
          <w:tcPr>
            <w:tcW w:w="878" w:type="dxa"/>
            <w:shd w:val="clear" w:color="auto" w:fill="auto"/>
          </w:tcPr>
          <w:p w:rsidR="00A447A2" w:rsidRDefault="00A447A2" w:rsidP="009C5939">
            <w:pPr>
              <w:pStyle w:val="TableText"/>
            </w:pPr>
            <w:r>
              <w:t>No</w:t>
            </w:r>
          </w:p>
        </w:tc>
        <w:tc>
          <w:tcPr>
            <w:tcW w:w="878" w:type="dxa"/>
            <w:shd w:val="clear" w:color="auto" w:fill="auto"/>
          </w:tcPr>
          <w:p w:rsidR="00A447A2" w:rsidRDefault="00A447A2" w:rsidP="009C5939">
            <w:pPr>
              <w:pStyle w:val="TableText"/>
            </w:pPr>
            <w:r>
              <w:t>No</w:t>
            </w:r>
          </w:p>
        </w:tc>
        <w:tc>
          <w:tcPr>
            <w:tcW w:w="1253" w:type="dxa"/>
            <w:shd w:val="clear" w:color="auto" w:fill="auto"/>
          </w:tcPr>
          <w:p w:rsidR="00A447A2" w:rsidRDefault="00A447A2" w:rsidP="009C5939">
            <w:pPr>
              <w:pStyle w:val="TableText"/>
            </w:pPr>
            <w:r>
              <w:t>None</w:t>
            </w:r>
          </w:p>
        </w:tc>
        <w:tc>
          <w:tcPr>
            <w:tcW w:w="1253" w:type="dxa"/>
            <w:shd w:val="clear" w:color="auto" w:fill="auto"/>
          </w:tcPr>
          <w:p w:rsidR="00A447A2" w:rsidRDefault="00A447A2" w:rsidP="009C5939">
            <w:pPr>
              <w:pStyle w:val="TableText"/>
            </w:pPr>
            <w:r>
              <w:t>None</w:t>
            </w:r>
          </w:p>
        </w:tc>
        <w:tc>
          <w:tcPr>
            <w:tcW w:w="1296" w:type="dxa"/>
            <w:shd w:val="clear" w:color="auto" w:fill="auto"/>
          </w:tcPr>
          <w:p w:rsidR="00A447A2" w:rsidRDefault="00A447A2" w:rsidP="009C5939">
            <w:pPr>
              <w:pStyle w:val="TableText"/>
              <w:rPr>
                <w:rFonts w:eastAsia="Symbol"/>
              </w:rPr>
            </w:pPr>
            <w:r>
              <w:rPr>
                <w:rFonts w:eastAsia="Symbol"/>
              </w:rPr>
              <w:t>N/A</w:t>
            </w:r>
          </w:p>
        </w:tc>
        <w:tc>
          <w:tcPr>
            <w:tcW w:w="1296" w:type="dxa"/>
            <w:shd w:val="clear" w:color="auto" w:fill="auto"/>
          </w:tcPr>
          <w:p w:rsidR="00A447A2" w:rsidRDefault="00A447A2" w:rsidP="009C5939">
            <w:pPr>
              <w:pStyle w:val="TableText"/>
              <w:rPr>
                <w:rFonts w:eastAsia="Symbol"/>
              </w:rPr>
            </w:pPr>
            <w:r>
              <w:rPr>
                <w:rFonts w:eastAsia="Symbol"/>
              </w:rPr>
              <w:t>None</w:t>
            </w:r>
          </w:p>
        </w:tc>
      </w:tr>
    </w:tbl>
    <w:bookmarkEnd w:id="606"/>
    <w:p w:rsidR="00460F61" w:rsidRDefault="00460F61" w:rsidP="00460F61">
      <w:pPr>
        <w:pStyle w:val="BodyText"/>
      </w:pPr>
      <w:r>
        <w:t xml:space="preserve">*Specificities written </w:t>
      </w:r>
      <w:r w:rsidR="00C732CF">
        <w:t>as</w:t>
      </w:r>
      <w:r>
        <w:t xml:space="preserve"> superscript</w:t>
      </w:r>
      <w:r w:rsidR="000C01A8">
        <w:t xml:space="preserve"> or subscript</w:t>
      </w:r>
      <w:r>
        <w:t xml:space="preserve"> </w:t>
      </w:r>
      <w:r w:rsidR="00C732CF">
        <w:t xml:space="preserve">letters </w:t>
      </w:r>
      <w:r>
        <w:t xml:space="preserve">in blood bank literature are </w:t>
      </w:r>
      <w:r w:rsidR="00C732CF">
        <w:t>shown as</w:t>
      </w:r>
      <w:r>
        <w:t xml:space="preserve"> letters enclosed in parentheses in VBECS </w:t>
      </w:r>
      <w:r w:rsidR="00C732CF">
        <w:t>(</w:t>
      </w:r>
      <w:r>
        <w:t>the GUI cannot display superscript</w:t>
      </w:r>
      <w:r w:rsidR="000C01A8">
        <w:t xml:space="preserve"> or subscript</w:t>
      </w:r>
      <w:r>
        <w:t xml:space="preserve"> letter</w:t>
      </w:r>
      <w:r w:rsidR="00C732CF">
        <w:t>s)</w:t>
      </w:r>
      <w:r>
        <w:t xml:space="preserve">. Specificities written </w:t>
      </w:r>
      <w:r w:rsidR="00C732CF">
        <w:t>as</w:t>
      </w:r>
      <w:r>
        <w:t xml:space="preserve"> subscript</w:t>
      </w:r>
      <w:r w:rsidR="00C732CF">
        <w:t xml:space="preserve"> characters</w:t>
      </w:r>
      <w:r>
        <w:t xml:space="preserve"> in blood bank literature are</w:t>
      </w:r>
      <w:r w:rsidR="00C732CF">
        <w:t xml:space="preserve"> shown as</w:t>
      </w:r>
      <w:r>
        <w:t xml:space="preserve"> numbers or letters not enclosed in parentheses.</w:t>
      </w:r>
    </w:p>
    <w:p w:rsidR="00460F61" w:rsidRDefault="001116E3" w:rsidP="00460F61">
      <w:pPr>
        <w:pStyle w:val="BodyText"/>
      </w:pPr>
      <w:r w:rsidRPr="00191509">
        <w:rPr>
          <w:rFonts w:eastAsia="Symbol"/>
        </w:rPr>
        <w:t>†</w:t>
      </w:r>
      <w:r w:rsidR="00460F61">
        <w:t xml:space="preserve">Examples of common </w:t>
      </w:r>
      <w:r w:rsidR="00460F61" w:rsidRPr="00CA6E27">
        <w:rPr>
          <w:bCs/>
        </w:rPr>
        <w:t>VistA</w:t>
      </w:r>
      <w:r w:rsidR="00460F61">
        <w:t xml:space="preserve"> antibody</w:t>
      </w:r>
      <w:r w:rsidR="00EB4BDF">
        <w:t xml:space="preserve"> and </w:t>
      </w:r>
      <w:r w:rsidR="00460F61">
        <w:t xml:space="preserve">antigen terminology. Individual sites may vary. Refer to </w:t>
      </w:r>
      <w:r w:rsidR="00EB4BDF">
        <w:t>division-specific</w:t>
      </w:r>
      <w:r w:rsidR="00460F61">
        <w:t xml:space="preserve"> </w:t>
      </w:r>
      <w:r w:rsidR="00EB4BDF">
        <w:t xml:space="preserve">mapping </w:t>
      </w:r>
      <w:r w:rsidR="00460F61">
        <w:t>documents.</w:t>
      </w:r>
    </w:p>
    <w:p w:rsidR="001116E3" w:rsidRDefault="001116E3" w:rsidP="00460F61">
      <w:pPr>
        <w:pStyle w:val="BodyText"/>
        <w:rPr>
          <w:rFonts w:eastAsia="Symbol"/>
        </w:rPr>
      </w:pPr>
      <w:r>
        <w:rPr>
          <w:rFonts w:eastAsia="Symbol"/>
        </w:rPr>
        <w:t>‡The user will order the tests for each antigen separately; VBECS does not display a duplicate antigen typing for this com</w:t>
      </w:r>
      <w:r w:rsidR="00C15725">
        <w:rPr>
          <w:rFonts w:eastAsia="Symbol"/>
        </w:rPr>
        <w:t>bination antibody specificity.</w:t>
      </w:r>
    </w:p>
    <w:p w:rsidR="004D0818" w:rsidRDefault="00F528F3" w:rsidP="00270245">
      <w:pPr>
        <w:pStyle w:val="BodyText"/>
      </w:pPr>
      <w:r w:rsidRPr="00191509">
        <w:t>§</w:t>
      </w:r>
      <w:r w:rsidR="004D0818" w:rsidRPr="00663162">
        <w:t>When the clinical significance is unknow</w:t>
      </w:r>
      <w:r w:rsidR="004D0818">
        <w:t>n,</w:t>
      </w:r>
      <w:r w:rsidR="004D0818" w:rsidRPr="00663162">
        <w:t xml:space="preserve"> it is displayed as "No" due to the limitations of the system</w:t>
      </w:r>
      <w:r w:rsidR="004D0818">
        <w:t>.</w:t>
      </w:r>
    </w:p>
    <w:p w:rsidR="002A21AE" w:rsidRDefault="0065062F" w:rsidP="0065062F">
      <w:pPr>
        <w:pStyle w:val="Heading3"/>
      </w:pPr>
      <w:bookmarkStart w:id="607" w:name="table14"/>
      <w:bookmarkStart w:id="608" w:name="_Toc459900196"/>
      <w:bookmarkEnd w:id="607"/>
      <w:r w:rsidRPr="00F628FE">
        <w:t>Antibody and Antigen Table: Database Conversion</w:t>
      </w:r>
      <w:bookmarkEnd w:id="608"/>
      <w:r w:rsidR="002A21AE">
        <w:t xml:space="preserve"> </w:t>
      </w:r>
      <w:r w:rsidR="002A21AE">
        <w:rPr>
          <w:rFonts w:ascii="Geneva" w:hAnsi="Geneva"/>
          <w:vanish/>
        </w:rPr>
        <w:t xml:space="preserve">TT_23.01C </w:t>
      </w:r>
      <w:bookmarkEnd w:id="593"/>
      <w:bookmarkEnd w:id="594"/>
      <w:r w:rsidR="002A21AE">
        <w:fldChar w:fldCharType="begin"/>
      </w:r>
      <w:r w:rsidR="002A21AE">
        <w:instrText xml:space="preserve"> XE </w:instrText>
      </w:r>
      <w:r w:rsidR="00FA7E65">
        <w:instrText>“</w:instrText>
      </w:r>
      <w:r w:rsidR="002A21AE">
        <w:instrText>Tables:Antibody and Antigen Table, Database Conversion</w:instrText>
      </w:r>
      <w:r w:rsidR="00FA7E65">
        <w:instrText>”</w:instrText>
      </w:r>
      <w:r w:rsidR="002A21AE">
        <w:instrText xml:space="preserve"> </w:instrText>
      </w:r>
      <w:r w:rsidR="002A21AE">
        <w:fldChar w:fldCharType="end"/>
      </w:r>
    </w:p>
    <w:p w:rsidR="00D7283A" w:rsidRDefault="00E105E6" w:rsidP="00D7283A">
      <w:pPr>
        <w:pStyle w:val="BodyText"/>
      </w:pPr>
      <w:r>
        <w:t xml:space="preserve">Users cannot set antigen negative requirements for these antibodies in VBECS. </w:t>
      </w:r>
      <w:r w:rsidR="00D7283A">
        <w:t xml:space="preserve">Clinical significance of antibody specificity is set using the 14th edition of the AABB Technical Manual. </w:t>
      </w:r>
    </w:p>
    <w:p w:rsidR="002A21AE" w:rsidRDefault="002A21AE">
      <w:pPr>
        <w:pStyle w:val="Caption"/>
      </w:pPr>
      <w:bookmarkStart w:id="609" w:name="_Toc97523632"/>
      <w:bookmarkStart w:id="610" w:name="_Toc97527602"/>
      <w:bookmarkStart w:id="611" w:name="_Ref126730915"/>
      <w:r>
        <w:t xml:space="preserve">Table </w:t>
      </w:r>
      <w:r>
        <w:fldChar w:fldCharType="begin"/>
      </w:r>
      <w:r>
        <w:instrText xml:space="preserve"> SEQ Table \* ARABIC </w:instrText>
      </w:r>
      <w:r>
        <w:fldChar w:fldCharType="separate"/>
      </w:r>
      <w:r w:rsidR="005F38BC">
        <w:rPr>
          <w:noProof/>
        </w:rPr>
        <w:t>15</w:t>
      </w:r>
      <w:r>
        <w:fldChar w:fldCharType="end"/>
      </w:r>
      <w:bookmarkEnd w:id="611"/>
      <w:r>
        <w:t xml:space="preserve">: </w:t>
      </w:r>
      <w:r>
        <w:rPr>
          <w:vanish/>
        </w:rPr>
        <w:t xml:space="preserve">TT_23.01C </w:t>
      </w:r>
      <w:r>
        <w:t>Antibody and Antigen Table: Database Conversion</w:t>
      </w:r>
      <w:bookmarkEnd w:id="609"/>
      <w:bookmarkEnd w:id="610"/>
    </w:p>
    <w:tbl>
      <w:tblPr>
        <w:tblW w:w="936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339"/>
        <w:gridCol w:w="2339"/>
        <w:gridCol w:w="2341"/>
        <w:gridCol w:w="2341"/>
      </w:tblGrid>
      <w:tr w:rsidR="0012237C">
        <w:trPr>
          <w:tblHeader/>
        </w:trPr>
        <w:tc>
          <w:tcPr>
            <w:tcW w:w="3740" w:type="dxa"/>
            <w:gridSpan w:val="2"/>
            <w:tcBorders>
              <w:top w:val="single" w:sz="4" w:space="0" w:color="auto"/>
              <w:left w:val="single" w:sz="4" w:space="0" w:color="auto"/>
              <w:bottom w:val="single" w:sz="4" w:space="0" w:color="auto"/>
              <w:right w:val="single" w:sz="4" w:space="0" w:color="auto"/>
            </w:tcBorders>
            <w:shd w:val="clear" w:color="auto" w:fill="C0C0C0"/>
          </w:tcPr>
          <w:p w:rsidR="0012237C" w:rsidRPr="00CA6E27" w:rsidRDefault="0012237C" w:rsidP="00084E6B">
            <w:pPr>
              <w:pStyle w:val="TableText"/>
              <w:rPr>
                <w:b/>
              </w:rPr>
            </w:pPr>
            <w:r>
              <w:rPr>
                <w:b/>
              </w:rPr>
              <w:t>Antibody Name</w:t>
            </w:r>
          </w:p>
        </w:tc>
        <w:tc>
          <w:tcPr>
            <w:tcW w:w="3742" w:type="dxa"/>
            <w:gridSpan w:val="2"/>
            <w:tcBorders>
              <w:top w:val="single" w:sz="4" w:space="0" w:color="auto"/>
              <w:left w:val="single" w:sz="4" w:space="0" w:color="auto"/>
              <w:bottom w:val="single" w:sz="4" w:space="0" w:color="auto"/>
              <w:right w:val="single" w:sz="4" w:space="0" w:color="auto"/>
            </w:tcBorders>
            <w:shd w:val="clear" w:color="auto" w:fill="C0C0C0"/>
          </w:tcPr>
          <w:p w:rsidR="0012237C" w:rsidRPr="00CA6E27" w:rsidRDefault="0012237C" w:rsidP="00084E6B">
            <w:pPr>
              <w:pStyle w:val="TableText"/>
              <w:rPr>
                <w:b/>
              </w:rPr>
            </w:pPr>
            <w:r>
              <w:rPr>
                <w:b/>
              </w:rPr>
              <w:t>Associated Antigen</w:t>
            </w:r>
          </w:p>
        </w:tc>
      </w:tr>
      <w:tr w:rsidR="0012237C">
        <w:trPr>
          <w:tblHeader/>
        </w:trPr>
        <w:tc>
          <w:tcPr>
            <w:tcW w:w="1870" w:type="dxa"/>
            <w:tcBorders>
              <w:top w:val="single" w:sz="4" w:space="0" w:color="auto"/>
              <w:left w:val="single" w:sz="4" w:space="0" w:color="auto"/>
              <w:bottom w:val="single" w:sz="4" w:space="0" w:color="auto"/>
              <w:right w:val="single" w:sz="4" w:space="0" w:color="auto"/>
            </w:tcBorders>
            <w:shd w:val="clear" w:color="auto" w:fill="C0C0C0"/>
          </w:tcPr>
          <w:p w:rsidR="0012237C" w:rsidRPr="003B5F9B" w:rsidRDefault="0012237C" w:rsidP="00084E6B">
            <w:pPr>
              <w:pStyle w:val="TableText"/>
              <w:rPr>
                <w:b/>
              </w:rPr>
            </w:pPr>
            <w:r>
              <w:rPr>
                <w:b/>
              </w:rPr>
              <w:t>VBECS</w:t>
            </w:r>
            <w:r w:rsidR="00E047E8">
              <w:rPr>
                <w:b/>
              </w:rPr>
              <w:t>*</w:t>
            </w:r>
          </w:p>
        </w:tc>
        <w:tc>
          <w:tcPr>
            <w:tcW w:w="1870" w:type="dxa"/>
            <w:tcBorders>
              <w:top w:val="single" w:sz="4" w:space="0" w:color="auto"/>
              <w:left w:val="single" w:sz="4" w:space="0" w:color="auto"/>
              <w:bottom w:val="single" w:sz="4" w:space="0" w:color="auto"/>
              <w:right w:val="single" w:sz="4" w:space="0" w:color="auto"/>
            </w:tcBorders>
            <w:shd w:val="clear" w:color="auto" w:fill="C0C0C0"/>
          </w:tcPr>
          <w:p w:rsidR="0012237C" w:rsidRDefault="0012237C" w:rsidP="00084E6B">
            <w:pPr>
              <w:pStyle w:val="TableText"/>
              <w:rPr>
                <w:b/>
              </w:rPr>
            </w:pPr>
            <w:r w:rsidRPr="00CA6E27">
              <w:rPr>
                <w:b/>
              </w:rPr>
              <w:t>VistA</w:t>
            </w:r>
            <w:r w:rsidR="00E047E8">
              <w:rPr>
                <w:rFonts w:cs="Arial"/>
                <w:b/>
              </w:rPr>
              <w:t>†</w:t>
            </w:r>
          </w:p>
        </w:tc>
        <w:tc>
          <w:tcPr>
            <w:tcW w:w="1871" w:type="dxa"/>
            <w:tcBorders>
              <w:top w:val="single" w:sz="4" w:space="0" w:color="auto"/>
              <w:left w:val="single" w:sz="4" w:space="0" w:color="auto"/>
              <w:bottom w:val="single" w:sz="4" w:space="0" w:color="auto"/>
              <w:right w:val="single" w:sz="4" w:space="0" w:color="auto"/>
            </w:tcBorders>
            <w:shd w:val="clear" w:color="auto" w:fill="C0C0C0"/>
          </w:tcPr>
          <w:p w:rsidR="0012237C" w:rsidRPr="003B5F9B" w:rsidRDefault="0012237C" w:rsidP="00084E6B">
            <w:pPr>
              <w:pStyle w:val="TableText"/>
              <w:rPr>
                <w:b/>
              </w:rPr>
            </w:pPr>
            <w:r>
              <w:rPr>
                <w:b/>
              </w:rPr>
              <w:t>VBECS</w:t>
            </w:r>
            <w:r w:rsidR="00E047E8">
              <w:rPr>
                <w:b/>
              </w:rPr>
              <w:t>*</w:t>
            </w:r>
          </w:p>
        </w:tc>
        <w:tc>
          <w:tcPr>
            <w:tcW w:w="1871" w:type="dxa"/>
            <w:tcBorders>
              <w:top w:val="single" w:sz="4" w:space="0" w:color="auto"/>
              <w:left w:val="single" w:sz="4" w:space="0" w:color="auto"/>
              <w:bottom w:val="single" w:sz="4" w:space="0" w:color="auto"/>
              <w:right w:val="single" w:sz="4" w:space="0" w:color="auto"/>
            </w:tcBorders>
            <w:shd w:val="clear" w:color="auto" w:fill="C0C0C0"/>
          </w:tcPr>
          <w:p w:rsidR="0012237C" w:rsidRDefault="0012237C" w:rsidP="00084E6B">
            <w:pPr>
              <w:pStyle w:val="TableText"/>
              <w:rPr>
                <w:b/>
              </w:rPr>
            </w:pPr>
            <w:r w:rsidRPr="00CA6E27">
              <w:rPr>
                <w:b/>
              </w:rPr>
              <w:t>VistA</w:t>
            </w:r>
            <w:r w:rsidR="00E047E8">
              <w:rPr>
                <w:rFonts w:cs="Arial"/>
                <w:b/>
              </w:rPr>
              <w:t>†</w:t>
            </w:r>
          </w:p>
        </w:tc>
      </w:tr>
      <w:tr w:rsidR="0012237C">
        <w:tc>
          <w:tcPr>
            <w:tcW w:w="1870" w:type="dxa"/>
            <w:tcBorders>
              <w:top w:val="single" w:sz="4" w:space="0" w:color="auto"/>
              <w:left w:val="single" w:sz="4" w:space="0" w:color="auto"/>
              <w:bottom w:val="single" w:sz="4" w:space="0" w:color="auto"/>
              <w:right w:val="single" w:sz="4" w:space="0" w:color="auto"/>
            </w:tcBorders>
            <w:shd w:val="clear" w:color="auto" w:fill="FFFFFF"/>
          </w:tcPr>
          <w:p w:rsidR="0012237C" w:rsidRDefault="00E047E8">
            <w:pPr>
              <w:pStyle w:val="TableText"/>
            </w:pPr>
            <w:r>
              <w:t>Anti-P1+P+P(k)</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rsidR="0012237C" w:rsidRDefault="0012237C">
            <w:pPr>
              <w:pStyle w:val="TableText"/>
            </w:pPr>
            <w:r>
              <w:t>Anti-PP1</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rsidR="0012237C" w:rsidRDefault="0012237C">
            <w:pPr>
              <w:pStyle w:val="TableText"/>
              <w:rPr>
                <w:rFonts w:eastAsia="Symbol"/>
              </w:rPr>
            </w:pPr>
            <w:r>
              <w:t>P1+P+P(k)</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rsidR="0012237C" w:rsidRDefault="0012237C">
            <w:pPr>
              <w:pStyle w:val="TableText"/>
              <w:rPr>
                <w:rFonts w:eastAsia="Symbol"/>
              </w:rPr>
            </w:pPr>
            <w:r>
              <w:rPr>
                <w:rFonts w:eastAsia="Symbol"/>
              </w:rPr>
              <w:t>PP1</w:t>
            </w:r>
          </w:p>
        </w:tc>
      </w:tr>
      <w:tr w:rsidR="0012237C">
        <w:tc>
          <w:tcPr>
            <w:tcW w:w="1870" w:type="dxa"/>
            <w:tcBorders>
              <w:top w:val="single" w:sz="4" w:space="0" w:color="auto"/>
              <w:left w:val="single" w:sz="4" w:space="0" w:color="auto"/>
              <w:bottom w:val="single" w:sz="4" w:space="0" w:color="auto"/>
              <w:right w:val="single" w:sz="4" w:space="0" w:color="auto"/>
            </w:tcBorders>
            <w:shd w:val="clear" w:color="auto" w:fill="FFFFFF"/>
          </w:tcPr>
          <w:p w:rsidR="0012237C" w:rsidRDefault="0012237C">
            <w:pPr>
              <w:pStyle w:val="TableText"/>
            </w:pPr>
            <w:r>
              <w:t>Anti-Pk</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rsidR="0012237C" w:rsidRDefault="0012237C">
            <w:pPr>
              <w:pStyle w:val="TableText"/>
            </w:pPr>
            <w:r>
              <w:t>Anti-p(k)</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rsidR="0012237C" w:rsidRDefault="0012237C">
            <w:pPr>
              <w:pStyle w:val="TableText"/>
              <w:rPr>
                <w:rFonts w:eastAsia="Symbol"/>
              </w:rPr>
            </w:pPr>
            <w:r>
              <w:t>P(k)</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rsidR="0012237C" w:rsidRDefault="0012237C">
            <w:pPr>
              <w:pStyle w:val="TableText"/>
              <w:rPr>
                <w:rFonts w:eastAsia="Symbol"/>
              </w:rPr>
            </w:pPr>
            <w:r>
              <w:t>p(k)</w:t>
            </w:r>
          </w:p>
        </w:tc>
      </w:tr>
      <w:tr w:rsidR="0012237C">
        <w:tc>
          <w:tcPr>
            <w:tcW w:w="1870" w:type="dxa"/>
            <w:tcBorders>
              <w:top w:val="single" w:sz="4" w:space="0" w:color="auto"/>
              <w:left w:val="single" w:sz="4" w:space="0" w:color="auto"/>
              <w:bottom w:val="single" w:sz="4" w:space="0" w:color="auto"/>
              <w:right w:val="single" w:sz="4" w:space="0" w:color="auto"/>
            </w:tcBorders>
            <w:shd w:val="clear" w:color="auto" w:fill="FFFFFF"/>
          </w:tcPr>
          <w:p w:rsidR="0012237C" w:rsidRDefault="0012237C">
            <w:pPr>
              <w:pStyle w:val="TableText"/>
            </w:pPr>
            <w:r>
              <w:t>Anti -M, other</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rsidR="0012237C" w:rsidRDefault="0012237C">
            <w:pPr>
              <w:pStyle w:val="TableText"/>
            </w:pPr>
            <w:r>
              <w:t>Anti-M, other</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rsidR="0012237C" w:rsidRDefault="0012237C">
            <w:pPr>
              <w:pStyle w:val="TableText"/>
              <w:rPr>
                <w:szCs w:val="18"/>
              </w:rPr>
            </w:pPr>
            <w:r>
              <w:rPr>
                <w:rFonts w:eastAsia="Symbol"/>
              </w:rPr>
              <w:t>None</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rsidR="0012237C" w:rsidRDefault="0012237C">
            <w:pPr>
              <w:pStyle w:val="TableText"/>
            </w:pPr>
            <w:r>
              <w:rPr>
                <w:rFonts w:eastAsia="Symbol"/>
              </w:rPr>
              <w:t>None</w:t>
            </w:r>
          </w:p>
        </w:tc>
      </w:tr>
      <w:tr w:rsidR="0012237C">
        <w:tc>
          <w:tcPr>
            <w:tcW w:w="1870" w:type="dxa"/>
            <w:tcBorders>
              <w:top w:val="single" w:sz="4" w:space="0" w:color="auto"/>
              <w:left w:val="single" w:sz="4" w:space="0" w:color="auto"/>
              <w:bottom w:val="single" w:sz="4" w:space="0" w:color="auto"/>
              <w:right w:val="single" w:sz="4" w:space="0" w:color="auto"/>
            </w:tcBorders>
            <w:shd w:val="clear" w:color="auto" w:fill="FFFFFF"/>
          </w:tcPr>
          <w:p w:rsidR="0012237C" w:rsidRDefault="0012237C">
            <w:pPr>
              <w:pStyle w:val="TableText"/>
            </w:pPr>
            <w:r>
              <w:t>Anti-LW</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rsidR="0012237C" w:rsidRDefault="0012237C">
            <w:pPr>
              <w:pStyle w:val="TableText"/>
            </w:pPr>
            <w:r>
              <w:t>Anti-LW</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rsidR="0012237C" w:rsidRDefault="0012237C">
            <w:pPr>
              <w:pStyle w:val="TableText"/>
              <w:rPr>
                <w:szCs w:val="18"/>
              </w:rPr>
            </w:pPr>
            <w:r>
              <w:rPr>
                <w:szCs w:val="18"/>
              </w:rPr>
              <w:t>None</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rsidR="0012237C" w:rsidRDefault="0012237C">
            <w:pPr>
              <w:pStyle w:val="TableText"/>
            </w:pPr>
            <w:r>
              <w:t>LW</w:t>
            </w:r>
          </w:p>
        </w:tc>
      </w:tr>
      <w:tr w:rsidR="0012237C">
        <w:tc>
          <w:tcPr>
            <w:tcW w:w="1870" w:type="dxa"/>
            <w:tcBorders>
              <w:top w:val="single" w:sz="4" w:space="0" w:color="auto"/>
              <w:left w:val="single" w:sz="4" w:space="0" w:color="auto"/>
              <w:bottom w:val="single" w:sz="4" w:space="0" w:color="auto"/>
              <w:right w:val="single" w:sz="4" w:space="0" w:color="auto"/>
            </w:tcBorders>
            <w:shd w:val="clear" w:color="auto" w:fill="FFFFFF"/>
          </w:tcPr>
          <w:p w:rsidR="0012237C" w:rsidRDefault="0012237C">
            <w:pPr>
              <w:pStyle w:val="TableText"/>
              <w:rPr>
                <w:szCs w:val="18"/>
              </w:rPr>
            </w:pPr>
            <w:r>
              <w:t>Anti-Lu</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rsidR="0012237C" w:rsidRDefault="0012237C">
            <w:pPr>
              <w:pStyle w:val="TableText"/>
              <w:rPr>
                <w:szCs w:val="18"/>
              </w:rPr>
            </w:pPr>
            <w:r>
              <w:t>Anti-Lu</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rsidR="0012237C" w:rsidRDefault="0012237C">
            <w:pPr>
              <w:pStyle w:val="TableText"/>
              <w:rPr>
                <w:szCs w:val="18"/>
              </w:rPr>
            </w:pPr>
            <w:r>
              <w:rPr>
                <w:szCs w:val="18"/>
              </w:rPr>
              <w:t>None</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rsidR="0012237C" w:rsidRDefault="0012237C">
            <w:pPr>
              <w:pStyle w:val="TableText"/>
              <w:rPr>
                <w:szCs w:val="18"/>
              </w:rPr>
            </w:pPr>
            <w:r>
              <w:t>Lu</w:t>
            </w:r>
          </w:p>
        </w:tc>
      </w:tr>
      <w:tr w:rsidR="0012237C">
        <w:tc>
          <w:tcPr>
            <w:tcW w:w="1870" w:type="dxa"/>
            <w:tcBorders>
              <w:top w:val="single" w:sz="4" w:space="0" w:color="auto"/>
              <w:left w:val="single" w:sz="4" w:space="0" w:color="auto"/>
              <w:bottom w:val="single" w:sz="4" w:space="0" w:color="auto"/>
              <w:right w:val="single" w:sz="4" w:space="0" w:color="auto"/>
            </w:tcBorders>
            <w:shd w:val="clear" w:color="auto" w:fill="FFFFFF"/>
          </w:tcPr>
          <w:p w:rsidR="0012237C" w:rsidRDefault="0012237C">
            <w:pPr>
              <w:pStyle w:val="TableText"/>
              <w:rPr>
                <w:rFonts w:eastAsia="Symbol"/>
                <w:szCs w:val="18"/>
              </w:rPr>
            </w:pPr>
            <w:r>
              <w:rPr>
                <w:szCs w:val="18"/>
              </w:rPr>
              <w:t>Anti-Le, other</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rsidR="0012237C" w:rsidRDefault="0012237C">
            <w:pPr>
              <w:pStyle w:val="TableText"/>
              <w:rPr>
                <w:szCs w:val="18"/>
              </w:rPr>
            </w:pPr>
            <w:r>
              <w:rPr>
                <w:szCs w:val="18"/>
              </w:rPr>
              <w:t>Anti-Le, other</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rsidR="0012237C" w:rsidRDefault="0012237C">
            <w:pPr>
              <w:pStyle w:val="TableText"/>
              <w:rPr>
                <w:rFonts w:eastAsia="Symbol"/>
                <w:szCs w:val="18"/>
              </w:rPr>
            </w:pPr>
            <w:r>
              <w:rPr>
                <w:szCs w:val="18"/>
              </w:rPr>
              <w:t>None</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rsidR="0012237C" w:rsidRDefault="0012237C">
            <w:pPr>
              <w:pStyle w:val="TableText"/>
              <w:rPr>
                <w:szCs w:val="18"/>
              </w:rPr>
            </w:pPr>
            <w:r>
              <w:rPr>
                <w:szCs w:val="18"/>
              </w:rPr>
              <w:t>None</w:t>
            </w:r>
          </w:p>
        </w:tc>
      </w:tr>
      <w:tr w:rsidR="0012237C">
        <w:tc>
          <w:tcPr>
            <w:tcW w:w="1870" w:type="dxa"/>
            <w:tcBorders>
              <w:top w:val="single" w:sz="4" w:space="0" w:color="auto"/>
              <w:left w:val="single" w:sz="4" w:space="0" w:color="auto"/>
              <w:bottom w:val="single" w:sz="4" w:space="0" w:color="auto"/>
              <w:right w:val="single" w:sz="4" w:space="0" w:color="auto"/>
            </w:tcBorders>
            <w:shd w:val="clear" w:color="auto" w:fill="FFFFFF"/>
          </w:tcPr>
          <w:p w:rsidR="0012237C" w:rsidRDefault="0012237C">
            <w:pPr>
              <w:pStyle w:val="TableText"/>
              <w:rPr>
                <w:rFonts w:eastAsia="Symbol"/>
                <w:szCs w:val="18"/>
              </w:rPr>
            </w:pPr>
            <w:r>
              <w:rPr>
                <w:szCs w:val="18"/>
              </w:rPr>
              <w:t>Anti-N, other</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rsidR="0012237C" w:rsidRDefault="0012237C">
            <w:pPr>
              <w:pStyle w:val="TableText"/>
              <w:rPr>
                <w:szCs w:val="18"/>
              </w:rPr>
            </w:pPr>
            <w:r>
              <w:rPr>
                <w:szCs w:val="18"/>
              </w:rPr>
              <w:t>Anti-N, other</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rsidR="0012237C" w:rsidRDefault="0012237C">
            <w:pPr>
              <w:pStyle w:val="TableText"/>
              <w:rPr>
                <w:rFonts w:eastAsia="Symbol"/>
                <w:szCs w:val="18"/>
              </w:rPr>
            </w:pPr>
            <w:r>
              <w:rPr>
                <w:szCs w:val="18"/>
              </w:rPr>
              <w:t>None</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rsidR="0012237C" w:rsidRDefault="0012237C">
            <w:pPr>
              <w:pStyle w:val="TableText"/>
              <w:rPr>
                <w:szCs w:val="18"/>
              </w:rPr>
            </w:pPr>
            <w:r>
              <w:rPr>
                <w:szCs w:val="18"/>
              </w:rPr>
              <w:t>None</w:t>
            </w:r>
          </w:p>
        </w:tc>
      </w:tr>
      <w:tr w:rsidR="0012237C">
        <w:tc>
          <w:tcPr>
            <w:tcW w:w="1870" w:type="dxa"/>
            <w:tcBorders>
              <w:top w:val="single" w:sz="4" w:space="0" w:color="auto"/>
              <w:left w:val="single" w:sz="4" w:space="0" w:color="auto"/>
              <w:bottom w:val="single" w:sz="4" w:space="0" w:color="auto"/>
              <w:right w:val="single" w:sz="4" w:space="0" w:color="auto"/>
            </w:tcBorders>
            <w:shd w:val="clear" w:color="auto" w:fill="FFFFFF"/>
          </w:tcPr>
          <w:p w:rsidR="0012237C" w:rsidRDefault="0012237C">
            <w:pPr>
              <w:pStyle w:val="TableText"/>
              <w:rPr>
                <w:rFonts w:eastAsia="Symbol"/>
                <w:szCs w:val="18"/>
              </w:rPr>
            </w:pPr>
            <w:r>
              <w:rPr>
                <w:szCs w:val="18"/>
              </w:rPr>
              <w:t>Anti-I(int)</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rsidR="0012237C" w:rsidRDefault="0012237C">
            <w:pPr>
              <w:pStyle w:val="TableText"/>
              <w:rPr>
                <w:rFonts w:eastAsia="Symbol"/>
                <w:szCs w:val="18"/>
              </w:rPr>
            </w:pPr>
            <w:r>
              <w:rPr>
                <w:szCs w:val="18"/>
              </w:rPr>
              <w:t>Anti-I(int)</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rsidR="0012237C" w:rsidRDefault="0012237C">
            <w:pPr>
              <w:pStyle w:val="TableText"/>
              <w:rPr>
                <w:rFonts w:eastAsia="Symbol"/>
                <w:szCs w:val="18"/>
              </w:rPr>
            </w:pPr>
            <w:r>
              <w:rPr>
                <w:szCs w:val="18"/>
              </w:rPr>
              <w:t>None</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rsidR="0012237C" w:rsidRDefault="0012237C">
            <w:pPr>
              <w:pStyle w:val="TableText"/>
              <w:rPr>
                <w:rFonts w:eastAsia="Symbol"/>
                <w:szCs w:val="18"/>
              </w:rPr>
            </w:pPr>
            <w:r>
              <w:rPr>
                <w:szCs w:val="18"/>
              </w:rPr>
              <w:t>I(int)</w:t>
            </w:r>
          </w:p>
        </w:tc>
      </w:tr>
      <w:tr w:rsidR="0012237C">
        <w:tc>
          <w:tcPr>
            <w:tcW w:w="1870" w:type="dxa"/>
            <w:tcBorders>
              <w:top w:val="single" w:sz="4" w:space="0" w:color="auto"/>
              <w:left w:val="single" w:sz="4" w:space="0" w:color="auto"/>
              <w:bottom w:val="single" w:sz="4" w:space="0" w:color="auto"/>
              <w:right w:val="single" w:sz="4" w:space="0" w:color="auto"/>
            </w:tcBorders>
            <w:shd w:val="clear" w:color="auto" w:fill="FFFFFF"/>
          </w:tcPr>
          <w:p w:rsidR="0012237C" w:rsidRDefault="0012237C">
            <w:pPr>
              <w:pStyle w:val="TableText"/>
              <w:rPr>
                <w:rFonts w:eastAsia="Symbol"/>
                <w:szCs w:val="18"/>
              </w:rPr>
            </w:pPr>
            <w:r>
              <w:rPr>
                <w:szCs w:val="18"/>
              </w:rPr>
              <w:t>Anti-rhesus (not otherwise specified)</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rsidR="0012237C" w:rsidRDefault="0012237C">
            <w:pPr>
              <w:pStyle w:val="TableText"/>
              <w:rPr>
                <w:rFonts w:eastAsia="Symbol"/>
                <w:szCs w:val="18"/>
              </w:rPr>
            </w:pPr>
            <w:r>
              <w:rPr>
                <w:szCs w:val="18"/>
              </w:rPr>
              <w:t>Anti-rhesus</w:t>
            </w:r>
            <w:r w:rsidR="00B70069">
              <w:rPr>
                <w:szCs w:val="18"/>
              </w:rPr>
              <w:t xml:space="preserve"> </w:t>
            </w:r>
            <w:r>
              <w:rPr>
                <w:szCs w:val="18"/>
              </w:rPr>
              <w:t>(not otherwise specified)</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rsidR="0012237C" w:rsidRDefault="0012237C">
            <w:pPr>
              <w:pStyle w:val="TableText"/>
              <w:rPr>
                <w:rFonts w:eastAsia="Symbol"/>
                <w:szCs w:val="18"/>
              </w:rPr>
            </w:pPr>
            <w:r>
              <w:rPr>
                <w:szCs w:val="18"/>
              </w:rPr>
              <w:t>None</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rsidR="0012237C" w:rsidRDefault="0012237C">
            <w:pPr>
              <w:pStyle w:val="TableText"/>
              <w:rPr>
                <w:szCs w:val="18"/>
              </w:rPr>
            </w:pPr>
            <w:r>
              <w:rPr>
                <w:szCs w:val="18"/>
              </w:rPr>
              <w:t>None</w:t>
            </w:r>
          </w:p>
        </w:tc>
      </w:tr>
    </w:tbl>
    <w:p w:rsidR="00DB0629" w:rsidRDefault="00DB0629" w:rsidP="00DB0629">
      <w:pPr>
        <w:pStyle w:val="BodyText"/>
      </w:pPr>
      <w:bookmarkStart w:id="612" w:name="_Toc30328380"/>
      <w:bookmarkStart w:id="613" w:name="_Toc40167869"/>
      <w:bookmarkStart w:id="614" w:name="_Toc91323806"/>
      <w:r>
        <w:t xml:space="preserve">*Specificities written as superscript </w:t>
      </w:r>
      <w:r w:rsidR="00F60E07">
        <w:t>or</w:t>
      </w:r>
      <w:r w:rsidR="00776377">
        <w:t xml:space="preserve"> subscript </w:t>
      </w:r>
      <w:r>
        <w:t xml:space="preserve">letters in blood bank literature are shown as letters enclosed in parentheses in VBECS (the GUI cannot display superscript </w:t>
      </w:r>
      <w:r w:rsidR="00F60E07">
        <w:t>or</w:t>
      </w:r>
      <w:r w:rsidR="00776377">
        <w:t xml:space="preserve"> subscript </w:t>
      </w:r>
      <w:r>
        <w:t>letters). Specificities written as subscript characters in blood bank literature are shown as numbers or letters not enclosed in parentheses.</w:t>
      </w:r>
    </w:p>
    <w:p w:rsidR="00D7283A" w:rsidRDefault="00E047E8" w:rsidP="00D7283A">
      <w:pPr>
        <w:pStyle w:val="BodyText"/>
      </w:pPr>
      <w:r>
        <w:t>†</w:t>
      </w:r>
      <w:r w:rsidR="00DB0629">
        <w:t xml:space="preserve">Examples of common </w:t>
      </w:r>
      <w:r w:rsidR="00DB0629" w:rsidRPr="00CA6E27">
        <w:rPr>
          <w:bCs/>
        </w:rPr>
        <w:t>VistA</w:t>
      </w:r>
      <w:r w:rsidR="00DB0629">
        <w:t xml:space="preserve"> antibody and antigen terminology. Individual sites may vary. Refer to division-specific mapping documents.</w:t>
      </w:r>
    </w:p>
    <w:p w:rsidR="002A21AE" w:rsidRDefault="00D7283A" w:rsidP="0054285E">
      <w:pPr>
        <w:pStyle w:val="Heading3"/>
      </w:pPr>
      <w:r>
        <w:br w:type="page"/>
      </w:r>
      <w:bookmarkStart w:id="615" w:name="tables"/>
      <w:bookmarkEnd w:id="615"/>
      <w:r w:rsidR="00966400">
        <w:rPr>
          <w:rFonts w:ascii="Geneva" w:hAnsi="Geneva"/>
          <w:vanish/>
        </w:rPr>
        <w:lastRenderedPageBreak/>
        <w:t xml:space="preserve"> </w:t>
      </w:r>
      <w:r w:rsidR="002A21AE">
        <w:rPr>
          <w:rFonts w:ascii="Geneva" w:hAnsi="Geneva"/>
          <w:vanish/>
        </w:rPr>
        <w:t xml:space="preserve">TT_53.02 </w:t>
      </w:r>
      <w:bookmarkStart w:id="616" w:name="_Toc459900197"/>
      <w:r w:rsidR="002A21AE">
        <w:t>Antibody Screen Test Interpretation</w:t>
      </w:r>
      <w:bookmarkEnd w:id="612"/>
      <w:bookmarkEnd w:id="613"/>
      <w:bookmarkEnd w:id="614"/>
      <w:bookmarkEnd w:id="616"/>
      <w:r w:rsidR="002A21AE">
        <w:fldChar w:fldCharType="begin"/>
      </w:r>
      <w:r w:rsidR="002A21AE">
        <w:instrText xml:space="preserve"> XE </w:instrText>
      </w:r>
      <w:r w:rsidR="00FA7E65">
        <w:instrText>“</w:instrText>
      </w:r>
      <w:r w:rsidR="002A21AE">
        <w:instrText>Tables:Antibody Screen Test Interpretation</w:instrText>
      </w:r>
      <w:r w:rsidR="00FA7E65">
        <w:instrText>”</w:instrText>
      </w:r>
      <w:r w:rsidR="002A21AE">
        <w:instrText xml:space="preserve"> </w:instrText>
      </w:r>
      <w:r w:rsidR="002A21AE">
        <w:fldChar w:fldCharType="end"/>
      </w:r>
      <w:r w:rsidR="002A21AE">
        <w:t xml:space="preserve"> </w:t>
      </w:r>
    </w:p>
    <w:p w:rsidR="002A21AE" w:rsidRDefault="002A21AE" w:rsidP="00FA7E65">
      <w:pPr>
        <w:pStyle w:val="BodyText"/>
      </w:pPr>
      <w:r>
        <w:t xml:space="preserve">For an </w:t>
      </w:r>
      <w:r w:rsidR="008E2E30">
        <w:t>Antibody Screen Test (ABS)</w:t>
      </w:r>
      <w:r w:rsidR="0023261D">
        <w:t xml:space="preserve"> </w:t>
      </w:r>
      <w:r>
        <w:t>to be correctly interpreted, the system must take the row validation (</w:t>
      </w:r>
      <w:r w:rsidR="00800320">
        <w:fldChar w:fldCharType="begin"/>
      </w:r>
      <w:r w:rsidR="00800320">
        <w:instrText xml:space="preserve"> REF _Ref126732000 \h </w:instrText>
      </w:r>
      <w:r w:rsidR="00800320">
        <w:fldChar w:fldCharType="separate"/>
      </w:r>
      <w:r w:rsidR="005F38BC">
        <w:t xml:space="preserve">Table </w:t>
      </w:r>
      <w:r w:rsidR="005F38BC">
        <w:rPr>
          <w:noProof/>
        </w:rPr>
        <w:t>16</w:t>
      </w:r>
      <w:r w:rsidR="00800320">
        <w:fldChar w:fldCharType="end"/>
      </w:r>
      <w:r>
        <w:t>) for each screening cell and test method and determine whether the screening in total is positive</w:t>
      </w:r>
      <w:r w:rsidR="00760B98">
        <w:t xml:space="preserve"> or ne</w:t>
      </w:r>
      <w:r>
        <w:t xml:space="preserve">gative. This table is the input from the Blood Bank Technologist. Interpreting the </w:t>
      </w:r>
      <w:r w:rsidR="008E2E30">
        <w:t>ABS</w:t>
      </w:r>
      <w:r>
        <w:t>: The Blood Bank Technologist does not enter an interpretation for each row/cell of the antibody screen. The technologist enters an interpretation for the combination of screening cells including the autocontrol when tested. The system must correlate the information from the rows in the test, as described in system rules</w:t>
      </w:r>
      <w:r w:rsidR="0047520D">
        <w:t xml:space="preserve"> </w:t>
      </w:r>
      <w:r>
        <w:rPr>
          <w:vanish/>
        </w:rPr>
        <w:t>TT_53.01</w:t>
      </w:r>
      <w:r>
        <w:t xml:space="preserve">, to determine the proper interpretation for the </w:t>
      </w:r>
      <w:r w:rsidR="008E2E30">
        <w:t>ABS</w:t>
      </w:r>
      <w:r>
        <w:t>. Valid interpretations are positive or negative. A technologist may enter an antibody screen comment with the interpretation.</w:t>
      </w:r>
    </w:p>
    <w:p w:rsidR="002A21AE" w:rsidRDefault="002A21AE" w:rsidP="000E3E6B">
      <w:pPr>
        <w:pStyle w:val="BodyText"/>
        <w:ind w:leftChars="120" w:left="288"/>
      </w:pPr>
      <w:r w:rsidRPr="00D1343E">
        <w:rPr>
          <w:rFonts w:ascii="Wingdings 2" w:hAnsi="Wingdings 2" w:cs="Arial"/>
          <w:sz w:val="27"/>
          <w:szCs w:val="27"/>
        </w:rPr>
        <w:t></w:t>
      </w:r>
      <w:r w:rsidRPr="00D1343E">
        <w:rPr>
          <w:rStyle w:val="BodyTextChar"/>
        </w:rPr>
        <w:t xml:space="preserve"> SR 1: Valid interpretation. Update database.</w:t>
      </w:r>
    </w:p>
    <w:p w:rsidR="002A21AE" w:rsidRDefault="00D1343E" w:rsidP="000E3E6B">
      <w:pPr>
        <w:pStyle w:val="BodyText"/>
        <w:ind w:leftChars="120" w:left="288"/>
        <w:rPr>
          <w:rStyle w:val="BodyTextChar"/>
        </w:rPr>
      </w:pPr>
      <w:r w:rsidRPr="00D1343E">
        <w:rPr>
          <w:rFonts w:ascii="Wingdings 2" w:hAnsi="Wingdings 2" w:cs="Arial"/>
          <w:sz w:val="27"/>
          <w:szCs w:val="27"/>
        </w:rPr>
        <w:t></w:t>
      </w:r>
      <w:r w:rsidRPr="00D1343E">
        <w:rPr>
          <w:rStyle w:val="BodyTextChar"/>
        </w:rPr>
        <w:t xml:space="preserve"> </w:t>
      </w:r>
      <w:r w:rsidR="002A21AE" w:rsidRPr="00D1343E">
        <w:rPr>
          <w:rStyle w:val="BodyTextChar"/>
        </w:rPr>
        <w:t>SR 2: Warning message. No override. Do not update database at this time.</w:t>
      </w:r>
    </w:p>
    <w:p w:rsidR="00760B98" w:rsidRDefault="00760B98" w:rsidP="000E3E6B">
      <w:pPr>
        <w:pStyle w:val="BodyText"/>
        <w:ind w:leftChars="120" w:left="288"/>
      </w:pPr>
      <w:r w:rsidRPr="00D1343E">
        <w:rPr>
          <w:rFonts w:ascii="Wingdings 2" w:hAnsi="Wingdings 2" w:cs="Arial"/>
          <w:sz w:val="27"/>
          <w:szCs w:val="27"/>
        </w:rPr>
        <w:t></w:t>
      </w:r>
      <w:r w:rsidRPr="00D1343E">
        <w:rPr>
          <w:rStyle w:val="BodyTextChar"/>
        </w:rPr>
        <w:t xml:space="preserve"> </w:t>
      </w:r>
      <w:r>
        <w:t>SR 3: Valid interpretation. Update database. Collect comment and exception.</w:t>
      </w:r>
    </w:p>
    <w:p w:rsidR="002A21AE" w:rsidRDefault="00D1343E" w:rsidP="000E3E6B">
      <w:pPr>
        <w:pStyle w:val="BodyText"/>
        <w:ind w:leftChars="120" w:left="288"/>
        <w:rPr>
          <w:rStyle w:val="BodyTextChar"/>
        </w:rPr>
      </w:pPr>
      <w:r w:rsidRPr="00D1343E">
        <w:rPr>
          <w:rFonts w:ascii="Wingdings 2" w:hAnsi="Wingdings 2" w:cs="Arial"/>
          <w:sz w:val="27"/>
          <w:szCs w:val="27"/>
        </w:rPr>
        <w:t></w:t>
      </w:r>
      <w:r w:rsidRPr="00D1343E">
        <w:rPr>
          <w:rStyle w:val="BodyTextChar"/>
        </w:rPr>
        <w:t xml:space="preserve"> </w:t>
      </w:r>
      <w:r w:rsidR="002A21AE" w:rsidRPr="00D1343E">
        <w:rPr>
          <w:rStyle w:val="BodyTextChar"/>
        </w:rPr>
        <w:t>EM 1: “Interpretation does not match your results.”</w:t>
      </w:r>
    </w:p>
    <w:p w:rsidR="00FF176A" w:rsidRDefault="00FF176A" w:rsidP="000E3E6B">
      <w:pPr>
        <w:pStyle w:val="BodyText"/>
        <w:ind w:leftChars="120" w:left="288"/>
      </w:pPr>
      <w:r w:rsidRPr="00D1343E">
        <w:rPr>
          <w:rFonts w:ascii="Wingdings 2" w:hAnsi="Wingdings 2" w:cs="Arial"/>
          <w:sz w:val="27"/>
          <w:szCs w:val="27"/>
        </w:rPr>
        <w:t></w:t>
      </w:r>
      <w:r w:rsidRPr="00D1343E">
        <w:rPr>
          <w:rStyle w:val="BodyTextChar"/>
        </w:rPr>
        <w:t xml:space="preserve"> </w:t>
      </w:r>
      <w:r>
        <w:rPr>
          <w:rStyle w:val="BodyTextChar"/>
        </w:rPr>
        <w:t xml:space="preserve">EM 2: </w:t>
      </w:r>
      <w:r w:rsidR="00AD0B01" w:rsidRPr="00AD0B01">
        <w:rPr>
          <w:rStyle w:val="BodyTextChar"/>
        </w:rPr>
        <w:t>“You are attempting to file an invalid antibody screen. This is not allowed.”</w:t>
      </w:r>
    </w:p>
    <w:p w:rsidR="002A21AE" w:rsidRDefault="002A21AE">
      <w:pPr>
        <w:pStyle w:val="Caption"/>
      </w:pPr>
      <w:bookmarkStart w:id="617" w:name="_Toc97523633"/>
      <w:bookmarkStart w:id="618" w:name="_Toc97527603"/>
      <w:bookmarkStart w:id="619" w:name="_Ref126504351"/>
      <w:bookmarkStart w:id="620" w:name="_Ref126504384"/>
      <w:bookmarkStart w:id="621" w:name="_Ref126732000"/>
      <w:r>
        <w:t xml:space="preserve">Table </w:t>
      </w:r>
      <w:r>
        <w:fldChar w:fldCharType="begin"/>
      </w:r>
      <w:r>
        <w:instrText xml:space="preserve"> SEQ Table \* ARABIC </w:instrText>
      </w:r>
      <w:r>
        <w:fldChar w:fldCharType="separate"/>
      </w:r>
      <w:r w:rsidR="005F38BC">
        <w:rPr>
          <w:noProof/>
        </w:rPr>
        <w:t>16</w:t>
      </w:r>
      <w:r>
        <w:fldChar w:fldCharType="end"/>
      </w:r>
      <w:bookmarkEnd w:id="621"/>
      <w:r>
        <w:t xml:space="preserve">: </w:t>
      </w:r>
      <w:r>
        <w:rPr>
          <w:vanish/>
        </w:rPr>
        <w:t xml:space="preserve">TT_53.02 </w:t>
      </w:r>
      <w:r>
        <w:t>Antibody Screen Test Interpretation</w:t>
      </w:r>
      <w:bookmarkEnd w:id="617"/>
      <w:bookmarkEnd w:id="618"/>
      <w:bookmarkEnd w:id="619"/>
      <w:bookmarkEnd w:id="620"/>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5"/>
        <w:gridCol w:w="2938"/>
        <w:gridCol w:w="1209"/>
        <w:gridCol w:w="1572"/>
        <w:gridCol w:w="1088"/>
        <w:gridCol w:w="1028"/>
      </w:tblGrid>
      <w:tr w:rsidR="00FA5AF0" w:rsidRPr="00FC17CF">
        <w:tblPrEx>
          <w:tblCellMar>
            <w:top w:w="0" w:type="dxa"/>
            <w:bottom w:w="0" w:type="dxa"/>
          </w:tblCellMar>
        </w:tblPrEx>
        <w:trPr>
          <w:cantSplit/>
          <w:tblHeader/>
        </w:trPr>
        <w:tc>
          <w:tcPr>
            <w:tcW w:w="9288" w:type="dxa"/>
            <w:gridSpan w:val="6"/>
            <w:tcBorders>
              <w:bottom w:val="nil"/>
            </w:tcBorders>
            <w:shd w:val="clear" w:color="auto" w:fill="C0C0C0"/>
          </w:tcPr>
          <w:p w:rsidR="00FA5AF0" w:rsidRPr="00FC17CF" w:rsidRDefault="00FA5AF0" w:rsidP="00CD34EB">
            <w:pPr>
              <w:pStyle w:val="TableText"/>
              <w:rPr>
                <w:b/>
              </w:rPr>
            </w:pPr>
            <w:r w:rsidRPr="00FC17CF">
              <w:rPr>
                <w:b/>
              </w:rPr>
              <w:t>Antibody Screen Test Interpretation</w:t>
            </w:r>
          </w:p>
        </w:tc>
      </w:tr>
      <w:tr w:rsidR="00FA5AF0" w:rsidRPr="00FC17CF">
        <w:tblPrEx>
          <w:tblCellMar>
            <w:top w:w="0" w:type="dxa"/>
            <w:bottom w:w="0" w:type="dxa"/>
          </w:tblCellMar>
        </w:tblPrEx>
        <w:trPr>
          <w:cantSplit/>
        </w:trPr>
        <w:tc>
          <w:tcPr>
            <w:tcW w:w="1513" w:type="dxa"/>
            <w:vMerge w:val="restart"/>
            <w:shd w:val="clear" w:color="auto" w:fill="C0C0C0"/>
          </w:tcPr>
          <w:p w:rsidR="00FA5AF0" w:rsidRPr="00FC17CF" w:rsidRDefault="00FA5AF0" w:rsidP="00CD34EB">
            <w:pPr>
              <w:pStyle w:val="TableText"/>
              <w:rPr>
                <w:b/>
              </w:rPr>
            </w:pPr>
            <w:r>
              <w:rPr>
                <w:b/>
              </w:rPr>
              <w:t>Antibody Screen I</w:t>
            </w:r>
            <w:r w:rsidRPr="00FC17CF">
              <w:rPr>
                <w:b/>
              </w:rPr>
              <w:t xml:space="preserve">nterpretation: includes all cells tested; might be SC 1 and SC 2 only, or SC 1, 2, 3, or SC 1, 2, 3, 4, as indicated by site parameter in </w:t>
            </w:r>
            <w:r w:rsidR="00C73BF5" w:rsidRPr="00C73BF5">
              <w:rPr>
                <w:b/>
              </w:rPr>
              <w:t>Configure Daily QC</w:t>
            </w:r>
            <w:r w:rsidRPr="00FC17CF">
              <w:rPr>
                <w:b/>
              </w:rPr>
              <w:t>. Method of Tube, Gel, or Solid Phase</w:t>
            </w:r>
          </w:p>
        </w:tc>
        <w:tc>
          <w:tcPr>
            <w:tcW w:w="2915" w:type="dxa"/>
            <w:tcBorders>
              <w:bottom w:val="nil"/>
            </w:tcBorders>
            <w:shd w:val="clear" w:color="auto" w:fill="C0C0C0"/>
            <w:vAlign w:val="bottom"/>
          </w:tcPr>
          <w:p w:rsidR="00FA5AF0" w:rsidRPr="00FC17CF" w:rsidRDefault="00FA5AF0" w:rsidP="00CD34EB">
            <w:pPr>
              <w:pStyle w:val="TableText"/>
              <w:rPr>
                <w:b/>
              </w:rPr>
            </w:pPr>
            <w:r w:rsidRPr="00FC17CF">
              <w:rPr>
                <w:b/>
              </w:rPr>
              <w:t>SC 1</w:t>
            </w:r>
            <w:r>
              <w:rPr>
                <w:b/>
              </w:rPr>
              <w:t xml:space="preserve">, </w:t>
            </w:r>
            <w:r w:rsidRPr="00FC17CF">
              <w:rPr>
                <w:b/>
              </w:rPr>
              <w:t>SC 2</w:t>
            </w:r>
            <w:r>
              <w:rPr>
                <w:b/>
              </w:rPr>
              <w:t xml:space="preserve">, </w:t>
            </w:r>
            <w:r w:rsidRPr="00FC17CF">
              <w:rPr>
                <w:b/>
              </w:rPr>
              <w:t>SC 3</w:t>
            </w:r>
            <w:r>
              <w:rPr>
                <w:b/>
              </w:rPr>
              <w:t xml:space="preserve">, </w:t>
            </w:r>
            <w:r w:rsidRPr="00FC17CF">
              <w:rPr>
                <w:b/>
              </w:rPr>
              <w:t>SC 4</w:t>
            </w:r>
            <w:r>
              <w:rPr>
                <w:b/>
              </w:rPr>
              <w:t xml:space="preserve">, </w:t>
            </w:r>
            <w:r w:rsidRPr="00FC17CF">
              <w:rPr>
                <w:b/>
              </w:rPr>
              <w:t>Autocontrol Interpretation</w:t>
            </w:r>
          </w:p>
        </w:tc>
        <w:tc>
          <w:tcPr>
            <w:tcW w:w="1200" w:type="dxa"/>
            <w:tcBorders>
              <w:bottom w:val="nil"/>
            </w:tcBorders>
            <w:shd w:val="clear" w:color="auto" w:fill="C0C0C0"/>
            <w:vAlign w:val="bottom"/>
          </w:tcPr>
          <w:p w:rsidR="00FA5AF0" w:rsidRPr="00FC17CF" w:rsidRDefault="00FA5AF0" w:rsidP="00CD34EB">
            <w:pPr>
              <w:pStyle w:val="TableText"/>
              <w:rPr>
                <w:b/>
              </w:rPr>
            </w:pPr>
            <w:r w:rsidRPr="00FC17CF">
              <w:rPr>
                <w:b/>
              </w:rPr>
              <w:t>Tech Entry</w:t>
            </w:r>
          </w:p>
        </w:tc>
        <w:tc>
          <w:tcPr>
            <w:tcW w:w="1560" w:type="dxa"/>
            <w:tcBorders>
              <w:bottom w:val="nil"/>
            </w:tcBorders>
            <w:shd w:val="clear" w:color="auto" w:fill="C0C0C0"/>
            <w:vAlign w:val="bottom"/>
          </w:tcPr>
          <w:p w:rsidR="00FA5AF0" w:rsidRPr="00FC17CF" w:rsidRDefault="00FA5AF0" w:rsidP="00CD34EB">
            <w:pPr>
              <w:pStyle w:val="TableText"/>
              <w:rPr>
                <w:b/>
              </w:rPr>
            </w:pPr>
            <w:r w:rsidRPr="00FC17CF">
              <w:rPr>
                <w:b/>
              </w:rPr>
              <w:t>System Interpretation of Screening Cell Test</w:t>
            </w:r>
          </w:p>
        </w:tc>
        <w:tc>
          <w:tcPr>
            <w:tcW w:w="1080" w:type="dxa"/>
            <w:tcBorders>
              <w:bottom w:val="nil"/>
            </w:tcBorders>
            <w:shd w:val="clear" w:color="auto" w:fill="C0C0C0"/>
            <w:vAlign w:val="bottom"/>
          </w:tcPr>
          <w:p w:rsidR="00FA5AF0" w:rsidRPr="00FC17CF" w:rsidRDefault="00FA5AF0" w:rsidP="00CD34EB">
            <w:pPr>
              <w:pStyle w:val="TableText"/>
              <w:rPr>
                <w:b/>
              </w:rPr>
            </w:pPr>
            <w:r w:rsidRPr="00FC17CF">
              <w:rPr>
                <w:b/>
              </w:rPr>
              <w:t>System Response</w:t>
            </w:r>
          </w:p>
        </w:tc>
        <w:tc>
          <w:tcPr>
            <w:tcW w:w="1020" w:type="dxa"/>
            <w:tcBorders>
              <w:bottom w:val="nil"/>
            </w:tcBorders>
            <w:shd w:val="clear" w:color="auto" w:fill="C0C0C0"/>
            <w:vAlign w:val="bottom"/>
          </w:tcPr>
          <w:p w:rsidR="00FA5AF0" w:rsidRPr="00FC17CF" w:rsidRDefault="00FA5AF0" w:rsidP="00CD34EB">
            <w:pPr>
              <w:pStyle w:val="TableText"/>
              <w:rPr>
                <w:b/>
              </w:rPr>
            </w:pPr>
            <w:r w:rsidRPr="00FC17CF">
              <w:rPr>
                <w:b/>
              </w:rPr>
              <w:t>Error Message</w:t>
            </w:r>
          </w:p>
        </w:tc>
      </w:tr>
      <w:tr w:rsidR="00FA5AF0">
        <w:tblPrEx>
          <w:tblCellMar>
            <w:top w:w="0" w:type="dxa"/>
            <w:bottom w:w="0" w:type="dxa"/>
          </w:tblCellMar>
        </w:tblPrEx>
        <w:trPr>
          <w:cantSplit/>
        </w:trPr>
        <w:tc>
          <w:tcPr>
            <w:tcW w:w="1513" w:type="dxa"/>
            <w:vMerge/>
          </w:tcPr>
          <w:p w:rsidR="00FA5AF0" w:rsidRDefault="00FA5AF0" w:rsidP="00FA5AF0">
            <w:pPr>
              <w:pStyle w:val="TableText"/>
            </w:pPr>
          </w:p>
        </w:tc>
        <w:tc>
          <w:tcPr>
            <w:tcW w:w="2915" w:type="dxa"/>
            <w:vMerge w:val="restart"/>
            <w:tcBorders>
              <w:top w:val="single" w:sz="4" w:space="0" w:color="auto"/>
            </w:tcBorders>
          </w:tcPr>
          <w:p w:rsidR="00FA5AF0" w:rsidRPr="00565DBF" w:rsidRDefault="00FA5AF0" w:rsidP="00FA5AF0">
            <w:pPr>
              <w:pStyle w:val="TableText"/>
            </w:pPr>
            <w:r w:rsidRPr="00565DBF">
              <w:t>System interpretation if all individual row validations are negative.</w:t>
            </w:r>
          </w:p>
        </w:tc>
        <w:tc>
          <w:tcPr>
            <w:tcW w:w="1200" w:type="dxa"/>
            <w:tcBorders>
              <w:top w:val="single" w:sz="4" w:space="0" w:color="auto"/>
            </w:tcBorders>
          </w:tcPr>
          <w:p w:rsidR="00FA5AF0" w:rsidRPr="00565DBF" w:rsidRDefault="00FA5AF0" w:rsidP="00FA5AF0">
            <w:pPr>
              <w:pStyle w:val="TableText"/>
            </w:pPr>
            <w:r w:rsidRPr="00565DBF">
              <w:t>Negative</w:t>
            </w:r>
          </w:p>
        </w:tc>
        <w:tc>
          <w:tcPr>
            <w:tcW w:w="1560" w:type="dxa"/>
            <w:tcBorders>
              <w:top w:val="single" w:sz="4" w:space="0" w:color="auto"/>
            </w:tcBorders>
            <w:shd w:val="clear" w:color="auto" w:fill="auto"/>
          </w:tcPr>
          <w:p w:rsidR="00FA5AF0" w:rsidRPr="00565DBF" w:rsidRDefault="00FA5AF0" w:rsidP="00FA5AF0">
            <w:pPr>
              <w:pStyle w:val="TableText"/>
              <w:rPr>
                <w:szCs w:val="20"/>
              </w:rPr>
            </w:pPr>
            <w:r w:rsidRPr="00565DBF">
              <w:rPr>
                <w:szCs w:val="20"/>
              </w:rPr>
              <w:t>Negative (N)</w:t>
            </w:r>
          </w:p>
        </w:tc>
        <w:tc>
          <w:tcPr>
            <w:tcW w:w="1080" w:type="dxa"/>
            <w:tcBorders>
              <w:top w:val="single" w:sz="4" w:space="0" w:color="auto"/>
            </w:tcBorders>
          </w:tcPr>
          <w:p w:rsidR="00FA5AF0" w:rsidRPr="00565DBF" w:rsidRDefault="00FA5AF0" w:rsidP="00FA5AF0">
            <w:pPr>
              <w:pStyle w:val="TableText"/>
            </w:pPr>
            <w:r w:rsidRPr="00565DBF">
              <w:t>SR 1</w:t>
            </w:r>
          </w:p>
        </w:tc>
        <w:tc>
          <w:tcPr>
            <w:tcW w:w="1020" w:type="dxa"/>
            <w:tcBorders>
              <w:top w:val="single" w:sz="4" w:space="0" w:color="auto"/>
            </w:tcBorders>
          </w:tcPr>
          <w:p w:rsidR="00FA5AF0" w:rsidRPr="00565DBF" w:rsidRDefault="00FA5AF0" w:rsidP="00FA5AF0">
            <w:pPr>
              <w:pStyle w:val="TableText"/>
            </w:pPr>
            <w:r w:rsidRPr="00565DBF">
              <w:t>N/A</w:t>
            </w:r>
          </w:p>
        </w:tc>
      </w:tr>
      <w:tr w:rsidR="00FA5AF0">
        <w:tblPrEx>
          <w:tblCellMar>
            <w:top w:w="0" w:type="dxa"/>
            <w:bottom w:w="0" w:type="dxa"/>
          </w:tblCellMar>
        </w:tblPrEx>
        <w:trPr>
          <w:cantSplit/>
        </w:trPr>
        <w:tc>
          <w:tcPr>
            <w:tcW w:w="1513" w:type="dxa"/>
            <w:vMerge/>
          </w:tcPr>
          <w:p w:rsidR="00FA5AF0" w:rsidRDefault="00FA5AF0" w:rsidP="00FA5AF0">
            <w:pPr>
              <w:pStyle w:val="TableText"/>
            </w:pPr>
          </w:p>
        </w:tc>
        <w:tc>
          <w:tcPr>
            <w:tcW w:w="2915" w:type="dxa"/>
            <w:vMerge/>
          </w:tcPr>
          <w:p w:rsidR="00FA5AF0" w:rsidRPr="00565DBF" w:rsidRDefault="00FA5AF0" w:rsidP="00FA5AF0">
            <w:pPr>
              <w:pStyle w:val="TableText"/>
            </w:pPr>
          </w:p>
        </w:tc>
        <w:tc>
          <w:tcPr>
            <w:tcW w:w="1200" w:type="dxa"/>
          </w:tcPr>
          <w:p w:rsidR="00FA5AF0" w:rsidRPr="00565DBF" w:rsidRDefault="00760B98" w:rsidP="00FA5AF0">
            <w:pPr>
              <w:pStyle w:val="TableText"/>
            </w:pPr>
            <w:r>
              <w:t>Positive</w:t>
            </w:r>
          </w:p>
        </w:tc>
        <w:tc>
          <w:tcPr>
            <w:tcW w:w="1560" w:type="dxa"/>
            <w:shd w:val="clear" w:color="auto" w:fill="auto"/>
          </w:tcPr>
          <w:p w:rsidR="00FA5AF0" w:rsidRPr="00565DBF" w:rsidRDefault="00FA5AF0" w:rsidP="00FA5AF0">
            <w:pPr>
              <w:pStyle w:val="TableText"/>
              <w:rPr>
                <w:szCs w:val="20"/>
              </w:rPr>
            </w:pPr>
            <w:r w:rsidRPr="00565DBF">
              <w:rPr>
                <w:szCs w:val="20"/>
              </w:rPr>
              <w:t>Negative (N)</w:t>
            </w:r>
          </w:p>
        </w:tc>
        <w:tc>
          <w:tcPr>
            <w:tcW w:w="1080" w:type="dxa"/>
          </w:tcPr>
          <w:p w:rsidR="00FA5AF0" w:rsidRPr="00565DBF" w:rsidRDefault="00FA5AF0" w:rsidP="00FA5AF0">
            <w:pPr>
              <w:pStyle w:val="TableText"/>
            </w:pPr>
            <w:r w:rsidRPr="00565DBF">
              <w:t>SR 2</w:t>
            </w:r>
          </w:p>
        </w:tc>
        <w:tc>
          <w:tcPr>
            <w:tcW w:w="1020" w:type="dxa"/>
          </w:tcPr>
          <w:p w:rsidR="00FA5AF0" w:rsidRPr="00565DBF" w:rsidRDefault="00FA5AF0" w:rsidP="00FA5AF0">
            <w:pPr>
              <w:pStyle w:val="TableText"/>
            </w:pPr>
            <w:r w:rsidRPr="00565DBF">
              <w:t>EM 1</w:t>
            </w:r>
          </w:p>
        </w:tc>
      </w:tr>
      <w:tr w:rsidR="00FA5AF0">
        <w:tblPrEx>
          <w:tblCellMar>
            <w:top w:w="0" w:type="dxa"/>
            <w:bottom w:w="0" w:type="dxa"/>
          </w:tblCellMar>
        </w:tblPrEx>
        <w:trPr>
          <w:cantSplit/>
        </w:trPr>
        <w:tc>
          <w:tcPr>
            <w:tcW w:w="1513" w:type="dxa"/>
            <w:vMerge/>
          </w:tcPr>
          <w:p w:rsidR="00FA5AF0" w:rsidRDefault="00FA5AF0" w:rsidP="00FA5AF0">
            <w:pPr>
              <w:pStyle w:val="TableText"/>
            </w:pPr>
          </w:p>
        </w:tc>
        <w:tc>
          <w:tcPr>
            <w:tcW w:w="2915" w:type="dxa"/>
            <w:tcBorders>
              <w:top w:val="single" w:sz="4" w:space="0" w:color="auto"/>
            </w:tcBorders>
          </w:tcPr>
          <w:p w:rsidR="00FA5AF0" w:rsidRPr="00565DBF" w:rsidRDefault="00FA5AF0" w:rsidP="00FA5AF0">
            <w:pPr>
              <w:pStyle w:val="TableText"/>
            </w:pPr>
            <w:r w:rsidRPr="00565DBF">
              <w:t xml:space="preserve">System interpretation if all individual row validations are negative and indicates that a comment is required. </w:t>
            </w:r>
          </w:p>
        </w:tc>
        <w:tc>
          <w:tcPr>
            <w:tcW w:w="1200" w:type="dxa"/>
            <w:tcBorders>
              <w:top w:val="single" w:sz="4" w:space="0" w:color="auto"/>
            </w:tcBorders>
          </w:tcPr>
          <w:p w:rsidR="00FA5AF0" w:rsidRPr="00565DBF" w:rsidRDefault="00FA5AF0" w:rsidP="00FA5AF0">
            <w:pPr>
              <w:pStyle w:val="TableText"/>
            </w:pPr>
            <w:r w:rsidRPr="00565DBF">
              <w:t>Negative</w:t>
            </w:r>
          </w:p>
        </w:tc>
        <w:tc>
          <w:tcPr>
            <w:tcW w:w="1560" w:type="dxa"/>
            <w:tcBorders>
              <w:top w:val="single" w:sz="4" w:space="0" w:color="auto"/>
            </w:tcBorders>
          </w:tcPr>
          <w:p w:rsidR="00FA5AF0" w:rsidRPr="00565DBF" w:rsidRDefault="00FA5AF0" w:rsidP="00FA5AF0">
            <w:pPr>
              <w:pStyle w:val="TableText"/>
              <w:rPr>
                <w:szCs w:val="20"/>
              </w:rPr>
            </w:pPr>
            <w:r w:rsidRPr="00565DBF">
              <w:rPr>
                <w:szCs w:val="16"/>
              </w:rPr>
              <w:t>Negative (N</w:t>
            </w:r>
            <w:r w:rsidRPr="00565DBF">
              <w:rPr>
                <w:szCs w:val="20"/>
              </w:rPr>
              <w:t>)</w:t>
            </w:r>
          </w:p>
        </w:tc>
        <w:tc>
          <w:tcPr>
            <w:tcW w:w="1080" w:type="dxa"/>
            <w:tcBorders>
              <w:top w:val="single" w:sz="4" w:space="0" w:color="auto"/>
            </w:tcBorders>
          </w:tcPr>
          <w:p w:rsidR="00FA5AF0" w:rsidRPr="00565DBF" w:rsidRDefault="00FA5AF0" w:rsidP="00FA5AF0">
            <w:pPr>
              <w:pStyle w:val="TableText"/>
            </w:pPr>
            <w:r w:rsidRPr="00565DBF">
              <w:t>SR 3</w:t>
            </w:r>
          </w:p>
        </w:tc>
        <w:tc>
          <w:tcPr>
            <w:tcW w:w="1020" w:type="dxa"/>
            <w:tcBorders>
              <w:top w:val="single" w:sz="4" w:space="0" w:color="auto"/>
            </w:tcBorders>
          </w:tcPr>
          <w:p w:rsidR="00FA5AF0" w:rsidRPr="00565DBF" w:rsidRDefault="00604046" w:rsidP="00FA5AF0">
            <w:pPr>
              <w:pStyle w:val="TableText"/>
            </w:pPr>
            <w:r>
              <w:t>N/A</w:t>
            </w:r>
          </w:p>
        </w:tc>
      </w:tr>
      <w:tr w:rsidR="00FA5AF0">
        <w:tblPrEx>
          <w:tblCellMar>
            <w:top w:w="0" w:type="dxa"/>
            <w:bottom w:w="0" w:type="dxa"/>
          </w:tblCellMar>
        </w:tblPrEx>
        <w:trPr>
          <w:cantSplit/>
        </w:trPr>
        <w:tc>
          <w:tcPr>
            <w:tcW w:w="1513" w:type="dxa"/>
            <w:vMerge/>
          </w:tcPr>
          <w:p w:rsidR="00FA5AF0" w:rsidRDefault="00FA5AF0" w:rsidP="00FA5AF0">
            <w:pPr>
              <w:pStyle w:val="TableText"/>
            </w:pPr>
          </w:p>
        </w:tc>
        <w:tc>
          <w:tcPr>
            <w:tcW w:w="2915" w:type="dxa"/>
            <w:vMerge w:val="restart"/>
            <w:tcBorders>
              <w:top w:val="single" w:sz="4" w:space="0" w:color="auto"/>
            </w:tcBorders>
          </w:tcPr>
          <w:p w:rsidR="00FA5AF0" w:rsidRPr="00565DBF" w:rsidRDefault="00FA5AF0" w:rsidP="00FA5AF0">
            <w:pPr>
              <w:pStyle w:val="TableText"/>
            </w:pPr>
            <w:r w:rsidRPr="00565DBF">
              <w:t>System interpretation if one, several, or all rows are positive (P).</w:t>
            </w:r>
          </w:p>
        </w:tc>
        <w:tc>
          <w:tcPr>
            <w:tcW w:w="1200" w:type="dxa"/>
            <w:tcBorders>
              <w:top w:val="single" w:sz="4" w:space="0" w:color="auto"/>
            </w:tcBorders>
          </w:tcPr>
          <w:p w:rsidR="00FA5AF0" w:rsidRPr="00565DBF" w:rsidRDefault="00FA5AF0" w:rsidP="00FA5AF0">
            <w:pPr>
              <w:pStyle w:val="TableText"/>
            </w:pPr>
            <w:r w:rsidRPr="00565DBF">
              <w:t>Positive</w:t>
            </w:r>
          </w:p>
        </w:tc>
        <w:tc>
          <w:tcPr>
            <w:tcW w:w="1560" w:type="dxa"/>
            <w:tcBorders>
              <w:top w:val="single" w:sz="4" w:space="0" w:color="auto"/>
            </w:tcBorders>
            <w:shd w:val="clear" w:color="auto" w:fill="auto"/>
          </w:tcPr>
          <w:p w:rsidR="00FA5AF0" w:rsidRPr="00565DBF" w:rsidRDefault="00FA5AF0" w:rsidP="00FA5AF0">
            <w:pPr>
              <w:pStyle w:val="TableText"/>
              <w:rPr>
                <w:szCs w:val="20"/>
              </w:rPr>
            </w:pPr>
            <w:r w:rsidRPr="00565DBF">
              <w:rPr>
                <w:szCs w:val="20"/>
              </w:rPr>
              <w:t>Positive (P)</w:t>
            </w:r>
          </w:p>
        </w:tc>
        <w:tc>
          <w:tcPr>
            <w:tcW w:w="1080" w:type="dxa"/>
            <w:tcBorders>
              <w:top w:val="single" w:sz="4" w:space="0" w:color="auto"/>
            </w:tcBorders>
          </w:tcPr>
          <w:p w:rsidR="00FA5AF0" w:rsidRPr="00565DBF" w:rsidRDefault="00FA5AF0" w:rsidP="00FA5AF0">
            <w:pPr>
              <w:pStyle w:val="TableText"/>
            </w:pPr>
            <w:r w:rsidRPr="00565DBF">
              <w:t>SR 1</w:t>
            </w:r>
          </w:p>
        </w:tc>
        <w:tc>
          <w:tcPr>
            <w:tcW w:w="1020" w:type="dxa"/>
            <w:tcBorders>
              <w:top w:val="single" w:sz="4" w:space="0" w:color="auto"/>
            </w:tcBorders>
          </w:tcPr>
          <w:p w:rsidR="00FA5AF0" w:rsidRPr="00565DBF" w:rsidRDefault="00FA5AF0" w:rsidP="00FA5AF0">
            <w:pPr>
              <w:pStyle w:val="TableText"/>
            </w:pPr>
            <w:r w:rsidRPr="00565DBF">
              <w:t>N/A</w:t>
            </w:r>
          </w:p>
        </w:tc>
      </w:tr>
      <w:tr w:rsidR="00FA5AF0">
        <w:tblPrEx>
          <w:tblCellMar>
            <w:top w:w="0" w:type="dxa"/>
            <w:bottom w:w="0" w:type="dxa"/>
          </w:tblCellMar>
        </w:tblPrEx>
        <w:trPr>
          <w:cantSplit/>
        </w:trPr>
        <w:tc>
          <w:tcPr>
            <w:tcW w:w="1513" w:type="dxa"/>
            <w:vMerge/>
          </w:tcPr>
          <w:p w:rsidR="00FA5AF0" w:rsidRDefault="00FA5AF0" w:rsidP="00FA5AF0">
            <w:pPr>
              <w:pStyle w:val="TableText"/>
            </w:pPr>
          </w:p>
        </w:tc>
        <w:tc>
          <w:tcPr>
            <w:tcW w:w="2915" w:type="dxa"/>
            <w:vMerge/>
          </w:tcPr>
          <w:p w:rsidR="00FA5AF0" w:rsidRPr="00565DBF" w:rsidRDefault="00FA5AF0" w:rsidP="00FA5AF0">
            <w:pPr>
              <w:pStyle w:val="TableText"/>
            </w:pPr>
          </w:p>
        </w:tc>
        <w:tc>
          <w:tcPr>
            <w:tcW w:w="1200" w:type="dxa"/>
          </w:tcPr>
          <w:p w:rsidR="00FA5AF0" w:rsidRPr="00565DBF" w:rsidRDefault="00FA5AF0" w:rsidP="00FA5AF0">
            <w:pPr>
              <w:pStyle w:val="TableText"/>
            </w:pPr>
            <w:r w:rsidRPr="00565DBF">
              <w:t>Negative</w:t>
            </w:r>
          </w:p>
        </w:tc>
        <w:tc>
          <w:tcPr>
            <w:tcW w:w="1560" w:type="dxa"/>
            <w:shd w:val="clear" w:color="auto" w:fill="auto"/>
          </w:tcPr>
          <w:p w:rsidR="00FA5AF0" w:rsidRPr="00565DBF" w:rsidRDefault="00FA5AF0" w:rsidP="00FA5AF0">
            <w:pPr>
              <w:pStyle w:val="TableText"/>
              <w:rPr>
                <w:szCs w:val="20"/>
              </w:rPr>
            </w:pPr>
            <w:r w:rsidRPr="00565DBF">
              <w:rPr>
                <w:szCs w:val="20"/>
              </w:rPr>
              <w:t>Positive (P)</w:t>
            </w:r>
          </w:p>
        </w:tc>
        <w:tc>
          <w:tcPr>
            <w:tcW w:w="1080" w:type="dxa"/>
          </w:tcPr>
          <w:p w:rsidR="00FA5AF0" w:rsidRPr="00565DBF" w:rsidRDefault="00FA5AF0" w:rsidP="00FA5AF0">
            <w:pPr>
              <w:pStyle w:val="TableText"/>
            </w:pPr>
            <w:r w:rsidRPr="00565DBF">
              <w:t>SR 2</w:t>
            </w:r>
          </w:p>
        </w:tc>
        <w:tc>
          <w:tcPr>
            <w:tcW w:w="1020" w:type="dxa"/>
          </w:tcPr>
          <w:p w:rsidR="00FA5AF0" w:rsidRPr="00565DBF" w:rsidRDefault="00FA5AF0" w:rsidP="00FA5AF0">
            <w:pPr>
              <w:pStyle w:val="TableText"/>
            </w:pPr>
            <w:r w:rsidRPr="00565DBF">
              <w:t>EM 1</w:t>
            </w:r>
          </w:p>
        </w:tc>
      </w:tr>
      <w:tr w:rsidR="00FA5AF0">
        <w:tblPrEx>
          <w:tblCellMar>
            <w:top w:w="0" w:type="dxa"/>
            <w:bottom w:w="0" w:type="dxa"/>
          </w:tblCellMar>
        </w:tblPrEx>
        <w:trPr>
          <w:cantSplit/>
        </w:trPr>
        <w:tc>
          <w:tcPr>
            <w:tcW w:w="1513" w:type="dxa"/>
            <w:vMerge/>
          </w:tcPr>
          <w:p w:rsidR="00FA5AF0" w:rsidRDefault="00FA5AF0" w:rsidP="00FA5AF0">
            <w:pPr>
              <w:pStyle w:val="TableText"/>
            </w:pPr>
          </w:p>
        </w:tc>
        <w:tc>
          <w:tcPr>
            <w:tcW w:w="2915" w:type="dxa"/>
          </w:tcPr>
          <w:p w:rsidR="00FA5AF0" w:rsidRPr="00565DBF" w:rsidRDefault="00FA5AF0" w:rsidP="00FA5AF0">
            <w:pPr>
              <w:pStyle w:val="TableText"/>
            </w:pPr>
            <w:r w:rsidRPr="00565DBF">
              <w:t>System interpretation if one, several, or all rows are positive (P) and indicates that a comment is required.</w:t>
            </w:r>
          </w:p>
        </w:tc>
        <w:tc>
          <w:tcPr>
            <w:tcW w:w="1200" w:type="dxa"/>
          </w:tcPr>
          <w:p w:rsidR="00FA5AF0" w:rsidRPr="00565DBF" w:rsidRDefault="00FA5AF0" w:rsidP="00FA5AF0">
            <w:pPr>
              <w:pStyle w:val="TableText"/>
              <w:rPr>
                <w:szCs w:val="16"/>
              </w:rPr>
            </w:pPr>
            <w:r w:rsidRPr="00565DBF">
              <w:rPr>
                <w:szCs w:val="16"/>
              </w:rPr>
              <w:t>Positive</w:t>
            </w:r>
          </w:p>
        </w:tc>
        <w:tc>
          <w:tcPr>
            <w:tcW w:w="1560" w:type="dxa"/>
          </w:tcPr>
          <w:p w:rsidR="00FA5AF0" w:rsidRPr="00565DBF" w:rsidRDefault="00FA5AF0" w:rsidP="00FA5AF0">
            <w:pPr>
              <w:pStyle w:val="TableText"/>
              <w:rPr>
                <w:szCs w:val="16"/>
              </w:rPr>
            </w:pPr>
            <w:r w:rsidRPr="00565DBF">
              <w:rPr>
                <w:szCs w:val="16"/>
              </w:rPr>
              <w:t>Positive (P)</w:t>
            </w:r>
          </w:p>
        </w:tc>
        <w:tc>
          <w:tcPr>
            <w:tcW w:w="1080" w:type="dxa"/>
          </w:tcPr>
          <w:p w:rsidR="00FA5AF0" w:rsidRPr="00565DBF" w:rsidRDefault="00FA5AF0" w:rsidP="00FA5AF0">
            <w:pPr>
              <w:pStyle w:val="TableText"/>
            </w:pPr>
            <w:r w:rsidRPr="00565DBF">
              <w:t>SR 3</w:t>
            </w:r>
          </w:p>
        </w:tc>
        <w:tc>
          <w:tcPr>
            <w:tcW w:w="1020" w:type="dxa"/>
          </w:tcPr>
          <w:p w:rsidR="00FA5AF0" w:rsidRPr="00565DBF" w:rsidRDefault="00CB127B" w:rsidP="00FA5AF0">
            <w:pPr>
              <w:pStyle w:val="TableText"/>
            </w:pPr>
            <w:r w:rsidRPr="00565DBF">
              <w:t>N/A</w:t>
            </w:r>
          </w:p>
        </w:tc>
      </w:tr>
      <w:tr w:rsidR="00FA5AF0">
        <w:tblPrEx>
          <w:tblCellMar>
            <w:top w:w="0" w:type="dxa"/>
            <w:bottom w:w="0" w:type="dxa"/>
          </w:tblCellMar>
        </w:tblPrEx>
        <w:trPr>
          <w:cantSplit/>
        </w:trPr>
        <w:tc>
          <w:tcPr>
            <w:tcW w:w="1513" w:type="dxa"/>
            <w:vMerge/>
          </w:tcPr>
          <w:p w:rsidR="00FA5AF0" w:rsidRDefault="00FA5AF0" w:rsidP="00FA5AF0">
            <w:pPr>
              <w:pStyle w:val="TableText"/>
            </w:pPr>
          </w:p>
        </w:tc>
        <w:tc>
          <w:tcPr>
            <w:tcW w:w="2915" w:type="dxa"/>
          </w:tcPr>
          <w:p w:rsidR="00FA5AF0" w:rsidRPr="00565DBF" w:rsidRDefault="00FA5AF0" w:rsidP="00FA5AF0">
            <w:pPr>
              <w:pStyle w:val="TableText"/>
            </w:pPr>
            <w:r w:rsidRPr="00565DBF">
              <w:t>System interpretation if one, several, or all rows are invalid (I).</w:t>
            </w:r>
          </w:p>
        </w:tc>
        <w:tc>
          <w:tcPr>
            <w:tcW w:w="1200" w:type="dxa"/>
          </w:tcPr>
          <w:p w:rsidR="00FA5AF0" w:rsidRPr="00565DBF" w:rsidRDefault="00FA5AF0" w:rsidP="00FA5AF0">
            <w:pPr>
              <w:pStyle w:val="TableText"/>
            </w:pPr>
            <w:r w:rsidRPr="00565DBF">
              <w:t>Positive or Negative</w:t>
            </w:r>
          </w:p>
        </w:tc>
        <w:tc>
          <w:tcPr>
            <w:tcW w:w="1560" w:type="dxa"/>
          </w:tcPr>
          <w:p w:rsidR="00FA5AF0" w:rsidRPr="00565DBF" w:rsidRDefault="00FA5AF0" w:rsidP="00FA5AF0">
            <w:pPr>
              <w:pStyle w:val="TableText"/>
              <w:rPr>
                <w:szCs w:val="20"/>
              </w:rPr>
            </w:pPr>
            <w:r w:rsidRPr="00565DBF">
              <w:rPr>
                <w:szCs w:val="20"/>
              </w:rPr>
              <w:t>Invalid (I)</w:t>
            </w:r>
          </w:p>
        </w:tc>
        <w:tc>
          <w:tcPr>
            <w:tcW w:w="1080" w:type="dxa"/>
          </w:tcPr>
          <w:p w:rsidR="00FA5AF0" w:rsidRPr="00565DBF" w:rsidRDefault="00FA5AF0" w:rsidP="00FA5AF0">
            <w:pPr>
              <w:pStyle w:val="TableText"/>
            </w:pPr>
            <w:r w:rsidRPr="00565DBF">
              <w:t>SR 2</w:t>
            </w:r>
          </w:p>
        </w:tc>
        <w:tc>
          <w:tcPr>
            <w:tcW w:w="1020" w:type="dxa"/>
          </w:tcPr>
          <w:p w:rsidR="00FA5AF0" w:rsidRPr="00565DBF" w:rsidRDefault="00FA5AF0" w:rsidP="00FA5AF0">
            <w:pPr>
              <w:pStyle w:val="TableText"/>
            </w:pPr>
            <w:r w:rsidRPr="00565DBF">
              <w:t>EM2</w:t>
            </w:r>
          </w:p>
        </w:tc>
      </w:tr>
    </w:tbl>
    <w:p w:rsidR="005A73A7" w:rsidRDefault="005A73A7" w:rsidP="005A73A7">
      <w:pPr>
        <w:pStyle w:val="BodyText"/>
      </w:pPr>
    </w:p>
    <w:p w:rsidR="00D5085C" w:rsidRDefault="00D5085C" w:rsidP="00FA7E65">
      <w:pPr>
        <w:pStyle w:val="BodyText"/>
        <w:sectPr w:rsidR="00D5085C" w:rsidSect="00EE771C">
          <w:footerReference w:type="default" r:id="rId236"/>
          <w:pgSz w:w="12240" w:h="15840" w:code="1"/>
          <w:pgMar w:top="1440" w:right="1440" w:bottom="1440" w:left="1440" w:header="720" w:footer="720" w:gutter="0"/>
          <w:cols w:space="720"/>
          <w:docGrid w:linePitch="360"/>
        </w:sectPr>
      </w:pPr>
    </w:p>
    <w:p w:rsidR="002A21AE" w:rsidRDefault="002A21AE">
      <w:pPr>
        <w:pStyle w:val="Heading3"/>
      </w:pPr>
      <w:r>
        <w:rPr>
          <w:rFonts w:ascii="Geneva" w:hAnsi="Geneva"/>
          <w:vanish/>
        </w:rPr>
        <w:lastRenderedPageBreak/>
        <w:t xml:space="preserve">PT_31.01 </w:t>
      </w:r>
      <w:bookmarkStart w:id="622" w:name="_Toc459900198"/>
      <w:r>
        <w:t>Canned Comment Category Types and Text</w:t>
      </w:r>
      <w:bookmarkEnd w:id="622"/>
    </w:p>
    <w:p w:rsidR="002A21AE" w:rsidRDefault="002A21AE" w:rsidP="00FA7E65">
      <w:pPr>
        <w:pStyle w:val="BodyText"/>
      </w:pPr>
      <w:r>
        <w:t xml:space="preserve">Canned comments are defined comments that can be inserted in a record during execution of a variety of functions. The canned comments available in a function are restricted to the category type associated with that function. </w:t>
      </w:r>
      <w:r w:rsidR="00800320">
        <w:fldChar w:fldCharType="begin"/>
      </w:r>
      <w:r w:rsidR="00800320">
        <w:instrText xml:space="preserve"> REF _Ref126732112 \h </w:instrText>
      </w:r>
      <w:r w:rsidR="00800320">
        <w:fldChar w:fldCharType="separate"/>
      </w:r>
      <w:r w:rsidR="005F38BC">
        <w:t xml:space="preserve">Table </w:t>
      </w:r>
      <w:r w:rsidR="005F38BC">
        <w:rPr>
          <w:noProof/>
        </w:rPr>
        <w:t>17</w:t>
      </w:r>
      <w:r w:rsidR="00800320">
        <w:fldChar w:fldCharType="end"/>
      </w:r>
      <w:r>
        <w:t xml:space="preserve"> lists the category types available when defining canned comments.</w:t>
      </w:r>
    </w:p>
    <w:p w:rsidR="002A21AE" w:rsidRDefault="002A21AE">
      <w:pPr>
        <w:pStyle w:val="Caption"/>
      </w:pPr>
      <w:bookmarkStart w:id="623" w:name="_Toc97523634"/>
      <w:bookmarkStart w:id="624" w:name="_Toc97527604"/>
      <w:bookmarkStart w:id="625" w:name="_Ref126484498"/>
      <w:bookmarkStart w:id="626" w:name="_Ref126732112"/>
      <w:r>
        <w:t xml:space="preserve">Table </w:t>
      </w:r>
      <w:r>
        <w:fldChar w:fldCharType="begin"/>
      </w:r>
      <w:r>
        <w:instrText xml:space="preserve"> SEQ Table \* ARABIC </w:instrText>
      </w:r>
      <w:r>
        <w:fldChar w:fldCharType="separate"/>
      </w:r>
      <w:r w:rsidR="005F38BC">
        <w:rPr>
          <w:noProof/>
        </w:rPr>
        <w:t>17</w:t>
      </w:r>
      <w:r>
        <w:fldChar w:fldCharType="end"/>
      </w:r>
      <w:bookmarkEnd w:id="626"/>
      <w:r>
        <w:t xml:space="preserve">: </w:t>
      </w:r>
      <w:r>
        <w:rPr>
          <w:vanish/>
        </w:rPr>
        <w:t xml:space="preserve">PT_31.01 </w:t>
      </w:r>
      <w:r>
        <w:t>Canned Comment Category Types and Text</w:t>
      </w:r>
      <w:bookmarkEnd w:id="623"/>
      <w:bookmarkEnd w:id="624"/>
      <w:bookmarkEnd w:id="625"/>
      <w:r w:rsidR="00562075">
        <w:t xml:space="preserve"> </w:t>
      </w:r>
      <w:r w:rsidR="00562075">
        <w:fldChar w:fldCharType="begin"/>
      </w:r>
      <w:r w:rsidR="00562075">
        <w:instrText xml:space="preserve"> XE “Tables:Canned Comment Category Types and Text” </w:instrText>
      </w:r>
      <w:r w:rsidR="00562075">
        <w:fldChar w:fldCharType="end"/>
      </w:r>
    </w:p>
    <w:tbl>
      <w:tblPr>
        <w:tblW w:w="13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ayout w:type="fixed"/>
        <w:tblCellMar>
          <w:left w:w="0" w:type="dxa"/>
          <w:right w:w="0" w:type="dxa"/>
        </w:tblCellMar>
        <w:tblLook w:val="0000" w:firstRow="0" w:lastRow="0" w:firstColumn="0" w:lastColumn="0" w:noHBand="0" w:noVBand="0"/>
      </w:tblPr>
      <w:tblGrid>
        <w:gridCol w:w="1299"/>
        <w:gridCol w:w="11"/>
        <w:gridCol w:w="277"/>
        <w:gridCol w:w="11"/>
        <w:gridCol w:w="9"/>
        <w:gridCol w:w="277"/>
        <w:gridCol w:w="11"/>
        <w:gridCol w:w="297"/>
        <w:gridCol w:w="290"/>
        <w:gridCol w:w="297"/>
        <w:gridCol w:w="297"/>
        <w:gridCol w:w="297"/>
        <w:gridCol w:w="297"/>
        <w:gridCol w:w="289"/>
        <w:gridCol w:w="297"/>
        <w:gridCol w:w="289"/>
        <w:gridCol w:w="290"/>
        <w:gridCol w:w="290"/>
        <w:gridCol w:w="298"/>
        <w:gridCol w:w="298"/>
        <w:gridCol w:w="298"/>
        <w:gridCol w:w="298"/>
        <w:gridCol w:w="298"/>
        <w:gridCol w:w="298"/>
        <w:gridCol w:w="298"/>
        <w:gridCol w:w="298"/>
        <w:gridCol w:w="298"/>
        <w:gridCol w:w="290"/>
        <w:gridCol w:w="383"/>
        <w:gridCol w:w="383"/>
        <w:gridCol w:w="290"/>
        <w:gridCol w:w="290"/>
        <w:gridCol w:w="383"/>
        <w:gridCol w:w="383"/>
        <w:gridCol w:w="390"/>
        <w:gridCol w:w="290"/>
        <w:gridCol w:w="290"/>
        <w:gridCol w:w="298"/>
        <w:gridCol w:w="298"/>
        <w:gridCol w:w="290"/>
        <w:gridCol w:w="298"/>
        <w:gridCol w:w="298"/>
        <w:gridCol w:w="298"/>
        <w:gridCol w:w="298"/>
      </w:tblGrid>
      <w:tr w:rsidR="003D06B5" w:rsidTr="003D06B5">
        <w:trPr>
          <w:cantSplit/>
          <w:tblHeader/>
        </w:trPr>
        <w:tc>
          <w:tcPr>
            <w:tcW w:w="1310" w:type="dxa"/>
            <w:gridSpan w:val="2"/>
            <w:shd w:val="clear" w:color="auto" w:fill="auto"/>
            <w:tcMar>
              <w:top w:w="15" w:type="dxa"/>
              <w:left w:w="15" w:type="dxa"/>
              <w:bottom w:w="0" w:type="dxa"/>
              <w:right w:w="15" w:type="dxa"/>
            </w:tcMar>
            <w:vAlign w:val="bottom"/>
          </w:tcPr>
          <w:p w:rsidR="003D06B5" w:rsidRPr="00A52BB6" w:rsidRDefault="003D06B5" w:rsidP="005D1016">
            <w:pPr>
              <w:pStyle w:val="TableText"/>
              <w:rPr>
                <w:b/>
                <w:szCs w:val="16"/>
              </w:rPr>
            </w:pPr>
          </w:p>
        </w:tc>
        <w:tc>
          <w:tcPr>
            <w:tcW w:w="297" w:type="dxa"/>
            <w:gridSpan w:val="3"/>
          </w:tcPr>
          <w:p w:rsidR="003D06B5" w:rsidRDefault="003D06B5" w:rsidP="00A52BB6">
            <w:pPr>
              <w:pStyle w:val="TableText"/>
              <w:jc w:val="center"/>
              <w:rPr>
                <w:b/>
                <w:szCs w:val="16"/>
              </w:rPr>
            </w:pPr>
          </w:p>
        </w:tc>
        <w:tc>
          <w:tcPr>
            <w:tcW w:w="11650" w:type="dxa"/>
            <w:gridSpan w:val="39"/>
            <w:shd w:val="clear" w:color="auto" w:fill="B3B3B3"/>
            <w:vAlign w:val="center"/>
          </w:tcPr>
          <w:p w:rsidR="003D06B5" w:rsidRPr="00A52BB6" w:rsidRDefault="003D06B5" w:rsidP="00A52BB6">
            <w:pPr>
              <w:pStyle w:val="TableText"/>
              <w:jc w:val="center"/>
              <w:rPr>
                <w:b/>
                <w:szCs w:val="16"/>
              </w:rPr>
            </w:pPr>
            <w:r>
              <w:rPr>
                <w:b/>
                <w:szCs w:val="16"/>
              </w:rPr>
              <w:t>Category Types</w:t>
            </w:r>
          </w:p>
        </w:tc>
      </w:tr>
      <w:tr w:rsidR="003D06B5" w:rsidTr="003D06B5">
        <w:trPr>
          <w:cantSplit/>
          <w:trHeight w:hRule="exact" w:val="2905"/>
          <w:tblHeader/>
        </w:trPr>
        <w:tc>
          <w:tcPr>
            <w:tcW w:w="1310" w:type="dxa"/>
            <w:gridSpan w:val="2"/>
            <w:shd w:val="clear" w:color="auto" w:fill="B3B3B3"/>
            <w:tcMar>
              <w:top w:w="15" w:type="dxa"/>
              <w:left w:w="15" w:type="dxa"/>
              <w:bottom w:w="0" w:type="dxa"/>
              <w:right w:w="15" w:type="dxa"/>
            </w:tcMar>
            <w:vAlign w:val="bottom"/>
          </w:tcPr>
          <w:p w:rsidR="003D06B5" w:rsidRDefault="003D06B5">
            <w:pPr>
              <w:pStyle w:val="TableText"/>
              <w:rPr>
                <w:rFonts w:eastAsia="Symbol"/>
                <w:b/>
                <w:szCs w:val="16"/>
              </w:rPr>
            </w:pPr>
            <w:r>
              <w:rPr>
                <w:b/>
                <w:szCs w:val="16"/>
              </w:rPr>
              <w:t>Text</w:t>
            </w:r>
          </w:p>
        </w:tc>
        <w:tc>
          <w:tcPr>
            <w:tcW w:w="288" w:type="dxa"/>
            <w:gridSpan w:val="2"/>
            <w:shd w:val="clear" w:color="auto" w:fill="B3B3B3"/>
            <w:tcMar>
              <w:top w:w="15" w:type="dxa"/>
              <w:left w:w="15" w:type="dxa"/>
              <w:bottom w:w="0" w:type="dxa"/>
              <w:right w:w="15" w:type="dxa"/>
            </w:tcMar>
            <w:textDirection w:val="btLr"/>
            <w:vAlign w:val="center"/>
          </w:tcPr>
          <w:p w:rsidR="003D06B5" w:rsidRPr="006A5D0F" w:rsidRDefault="003D06B5" w:rsidP="006A5D0F">
            <w:pPr>
              <w:pStyle w:val="TableText"/>
              <w:rPr>
                <w:b/>
              </w:rPr>
            </w:pPr>
            <w:r w:rsidRPr="006A5D0F">
              <w:rPr>
                <w:b/>
              </w:rPr>
              <w:t>ABO Incompatible Issue</w:t>
            </w:r>
          </w:p>
        </w:tc>
        <w:tc>
          <w:tcPr>
            <w:tcW w:w="297" w:type="dxa"/>
            <w:gridSpan w:val="3"/>
            <w:shd w:val="clear" w:color="auto" w:fill="B3B3B3"/>
            <w:textDirection w:val="btLr"/>
          </w:tcPr>
          <w:p w:rsidR="003D06B5" w:rsidRPr="006A5D0F" w:rsidRDefault="003D06B5" w:rsidP="006A5D0F">
            <w:pPr>
              <w:pStyle w:val="TableText"/>
              <w:rPr>
                <w:b/>
              </w:rPr>
            </w:pPr>
            <w:r>
              <w:rPr>
                <w:b/>
              </w:rPr>
              <w:t>Automated Testing Review</w:t>
            </w:r>
          </w:p>
        </w:tc>
        <w:tc>
          <w:tcPr>
            <w:tcW w:w="297" w:type="dxa"/>
            <w:shd w:val="clear" w:color="auto" w:fill="B3B3B3"/>
            <w:noWrap/>
            <w:tcMar>
              <w:top w:w="15" w:type="dxa"/>
              <w:left w:w="15" w:type="dxa"/>
              <w:bottom w:w="0" w:type="dxa"/>
              <w:right w:w="15" w:type="dxa"/>
            </w:tcMar>
            <w:textDirection w:val="btLr"/>
            <w:vAlign w:val="center"/>
          </w:tcPr>
          <w:p w:rsidR="003D06B5" w:rsidRPr="006A5D0F" w:rsidRDefault="003D06B5" w:rsidP="006A5D0F">
            <w:pPr>
              <w:pStyle w:val="TableText"/>
              <w:rPr>
                <w:rFonts w:eastAsia="Symbol"/>
                <w:b/>
              </w:rPr>
            </w:pPr>
            <w:r w:rsidRPr="006A5D0F">
              <w:rPr>
                <w:b/>
              </w:rPr>
              <w:t>Crossmatch</w:t>
            </w:r>
          </w:p>
        </w:tc>
        <w:tc>
          <w:tcPr>
            <w:tcW w:w="290" w:type="dxa"/>
            <w:shd w:val="clear" w:color="auto" w:fill="B3B3B3"/>
            <w:tcMar>
              <w:top w:w="15" w:type="dxa"/>
              <w:left w:w="15" w:type="dxa"/>
              <w:bottom w:w="0" w:type="dxa"/>
              <w:right w:w="15" w:type="dxa"/>
            </w:tcMar>
            <w:textDirection w:val="btLr"/>
            <w:vAlign w:val="center"/>
          </w:tcPr>
          <w:p w:rsidR="003D06B5" w:rsidRPr="006A5D0F" w:rsidRDefault="003D06B5" w:rsidP="006A5D0F">
            <w:pPr>
              <w:pStyle w:val="TableText"/>
              <w:rPr>
                <w:rFonts w:eastAsia="Symbol"/>
                <w:b/>
              </w:rPr>
            </w:pPr>
            <w:r w:rsidRPr="006A5D0F">
              <w:rPr>
                <w:b/>
              </w:rPr>
              <w:t>Incoming Shipment</w:t>
            </w:r>
          </w:p>
        </w:tc>
        <w:tc>
          <w:tcPr>
            <w:tcW w:w="297" w:type="dxa"/>
            <w:shd w:val="clear" w:color="auto" w:fill="B3B3B3"/>
            <w:noWrap/>
            <w:tcMar>
              <w:top w:w="15" w:type="dxa"/>
              <w:left w:w="15" w:type="dxa"/>
              <w:bottom w:w="0" w:type="dxa"/>
              <w:right w:w="15" w:type="dxa"/>
            </w:tcMar>
            <w:textDirection w:val="btLr"/>
            <w:vAlign w:val="center"/>
          </w:tcPr>
          <w:p w:rsidR="003D06B5" w:rsidRPr="006A5D0F" w:rsidRDefault="003D06B5" w:rsidP="006A5D0F">
            <w:pPr>
              <w:pStyle w:val="TableText"/>
              <w:rPr>
                <w:rFonts w:eastAsia="Symbol"/>
                <w:b/>
              </w:rPr>
            </w:pPr>
            <w:r w:rsidRPr="006A5D0F">
              <w:rPr>
                <w:b/>
              </w:rPr>
              <w:t>Justify ABO/Rh Change</w:t>
            </w:r>
          </w:p>
        </w:tc>
        <w:tc>
          <w:tcPr>
            <w:tcW w:w="297" w:type="dxa"/>
            <w:shd w:val="clear" w:color="auto" w:fill="B3B3B3"/>
            <w:tcMar>
              <w:top w:w="15" w:type="dxa"/>
              <w:left w:w="15" w:type="dxa"/>
              <w:bottom w:w="0" w:type="dxa"/>
              <w:right w:w="15" w:type="dxa"/>
            </w:tcMar>
            <w:textDirection w:val="btLr"/>
            <w:vAlign w:val="bottom"/>
          </w:tcPr>
          <w:p w:rsidR="003D06B5" w:rsidRPr="006A5D0F" w:rsidRDefault="003D06B5" w:rsidP="006A5D0F">
            <w:pPr>
              <w:pStyle w:val="TableText"/>
              <w:rPr>
                <w:b/>
              </w:rPr>
            </w:pPr>
            <w:r w:rsidRPr="006A5D0F">
              <w:rPr>
                <w:b/>
              </w:rPr>
              <w:t>Justify ABO/Rh Discrepancy</w:t>
            </w:r>
          </w:p>
        </w:tc>
        <w:tc>
          <w:tcPr>
            <w:tcW w:w="297" w:type="dxa"/>
            <w:shd w:val="clear" w:color="auto" w:fill="B3B3B3"/>
            <w:noWrap/>
            <w:tcMar>
              <w:top w:w="15" w:type="dxa"/>
              <w:left w:w="15" w:type="dxa"/>
              <w:bottom w:w="0" w:type="dxa"/>
              <w:right w:w="15" w:type="dxa"/>
            </w:tcMar>
            <w:textDirection w:val="btLr"/>
            <w:vAlign w:val="center"/>
          </w:tcPr>
          <w:p w:rsidR="003D06B5" w:rsidRPr="006A5D0F" w:rsidRDefault="003D06B5" w:rsidP="006A5D0F">
            <w:pPr>
              <w:pStyle w:val="TableText"/>
              <w:rPr>
                <w:rFonts w:eastAsia="Symbol"/>
                <w:b/>
              </w:rPr>
            </w:pPr>
            <w:r w:rsidRPr="006A5D0F">
              <w:rPr>
                <w:b/>
              </w:rPr>
              <w:t>Order Cancellation</w:t>
            </w:r>
          </w:p>
        </w:tc>
        <w:tc>
          <w:tcPr>
            <w:tcW w:w="297" w:type="dxa"/>
            <w:shd w:val="clear" w:color="auto" w:fill="B3B3B3"/>
            <w:noWrap/>
            <w:tcMar>
              <w:top w:w="15" w:type="dxa"/>
              <w:left w:w="15" w:type="dxa"/>
              <w:bottom w:w="0" w:type="dxa"/>
              <w:right w:w="15" w:type="dxa"/>
            </w:tcMar>
            <w:textDirection w:val="btLr"/>
            <w:vAlign w:val="center"/>
          </w:tcPr>
          <w:p w:rsidR="003D06B5" w:rsidRPr="006A5D0F" w:rsidRDefault="003D06B5" w:rsidP="006A5D0F">
            <w:pPr>
              <w:pStyle w:val="TableText"/>
              <w:rPr>
                <w:rFonts w:eastAsia="Symbol"/>
                <w:b/>
              </w:rPr>
            </w:pPr>
            <w:r w:rsidRPr="006A5D0F">
              <w:rPr>
                <w:b/>
              </w:rPr>
              <w:t>Order Processing</w:t>
            </w:r>
          </w:p>
        </w:tc>
        <w:tc>
          <w:tcPr>
            <w:tcW w:w="289" w:type="dxa"/>
            <w:shd w:val="clear" w:color="auto" w:fill="B3B3B3"/>
            <w:tcMar>
              <w:top w:w="15" w:type="dxa"/>
              <w:left w:w="15" w:type="dxa"/>
              <w:bottom w:w="0" w:type="dxa"/>
              <w:right w:w="15" w:type="dxa"/>
            </w:tcMar>
            <w:textDirection w:val="btLr"/>
            <w:vAlign w:val="center"/>
          </w:tcPr>
          <w:p w:rsidR="003D06B5" w:rsidRPr="006A5D0F" w:rsidRDefault="003D06B5" w:rsidP="006A5D0F">
            <w:pPr>
              <w:pStyle w:val="TableText"/>
              <w:rPr>
                <w:b/>
              </w:rPr>
            </w:pPr>
            <w:r w:rsidRPr="006A5D0F">
              <w:rPr>
                <w:b/>
              </w:rPr>
              <w:t>Parameter Setting Change</w:t>
            </w:r>
          </w:p>
        </w:tc>
        <w:tc>
          <w:tcPr>
            <w:tcW w:w="297" w:type="dxa"/>
            <w:shd w:val="clear" w:color="auto" w:fill="B3B3B3"/>
            <w:noWrap/>
            <w:tcMar>
              <w:top w:w="15" w:type="dxa"/>
              <w:left w:w="15" w:type="dxa"/>
              <w:bottom w:w="0" w:type="dxa"/>
              <w:right w:w="15" w:type="dxa"/>
            </w:tcMar>
            <w:textDirection w:val="btLr"/>
            <w:vAlign w:val="center"/>
          </w:tcPr>
          <w:p w:rsidR="003D06B5" w:rsidRPr="006A5D0F" w:rsidRDefault="003D06B5" w:rsidP="006A5D0F">
            <w:pPr>
              <w:pStyle w:val="TableText"/>
              <w:rPr>
                <w:rFonts w:eastAsia="Symbol"/>
                <w:b/>
              </w:rPr>
            </w:pPr>
            <w:r w:rsidRPr="006A5D0F">
              <w:rPr>
                <w:b/>
              </w:rPr>
              <w:t>Patient Testing</w:t>
            </w:r>
          </w:p>
        </w:tc>
        <w:tc>
          <w:tcPr>
            <w:tcW w:w="289" w:type="dxa"/>
            <w:shd w:val="clear" w:color="auto" w:fill="B3B3B3"/>
            <w:tcMar>
              <w:top w:w="15" w:type="dxa"/>
              <w:left w:w="15" w:type="dxa"/>
              <w:bottom w:w="0" w:type="dxa"/>
              <w:right w:w="15" w:type="dxa"/>
            </w:tcMar>
            <w:textDirection w:val="btLr"/>
            <w:vAlign w:val="center"/>
          </w:tcPr>
          <w:p w:rsidR="003D06B5" w:rsidRPr="006A5D0F" w:rsidRDefault="003D06B5" w:rsidP="006A5D0F">
            <w:pPr>
              <w:pStyle w:val="TableText"/>
              <w:rPr>
                <w:b/>
              </w:rPr>
            </w:pPr>
            <w:r w:rsidRPr="006A5D0F">
              <w:rPr>
                <w:b/>
              </w:rPr>
              <w:t>Quarantine/Discard</w:t>
            </w:r>
          </w:p>
        </w:tc>
        <w:tc>
          <w:tcPr>
            <w:tcW w:w="290" w:type="dxa"/>
            <w:shd w:val="clear" w:color="auto" w:fill="B3B3B3"/>
            <w:tcMar>
              <w:top w:w="15" w:type="dxa"/>
              <w:left w:w="15" w:type="dxa"/>
              <w:bottom w:w="0" w:type="dxa"/>
              <w:right w:w="15" w:type="dxa"/>
            </w:tcMar>
            <w:textDirection w:val="btLr"/>
            <w:vAlign w:val="center"/>
          </w:tcPr>
          <w:p w:rsidR="003D06B5" w:rsidRPr="006A5D0F" w:rsidRDefault="003D06B5" w:rsidP="006A5D0F">
            <w:pPr>
              <w:pStyle w:val="TableText"/>
              <w:rPr>
                <w:b/>
              </w:rPr>
            </w:pPr>
            <w:r w:rsidRPr="006A5D0F">
              <w:rPr>
                <w:b/>
              </w:rPr>
              <w:t>Reagent and Supply</w:t>
            </w:r>
          </w:p>
        </w:tc>
        <w:tc>
          <w:tcPr>
            <w:tcW w:w="290" w:type="dxa"/>
            <w:shd w:val="clear" w:color="auto" w:fill="B3B3B3"/>
            <w:tcMar>
              <w:top w:w="15" w:type="dxa"/>
              <w:left w:w="15" w:type="dxa"/>
              <w:bottom w:w="0" w:type="dxa"/>
              <w:right w:w="15" w:type="dxa"/>
            </w:tcMar>
            <w:textDirection w:val="btLr"/>
            <w:vAlign w:val="center"/>
          </w:tcPr>
          <w:p w:rsidR="003D06B5" w:rsidRPr="006A5D0F" w:rsidRDefault="003D06B5" w:rsidP="006A5D0F">
            <w:pPr>
              <w:pStyle w:val="TableText"/>
              <w:rPr>
                <w:b/>
              </w:rPr>
            </w:pPr>
            <w:r w:rsidRPr="006A5D0F">
              <w:rPr>
                <w:b/>
              </w:rPr>
              <w:t>Release from Quarantine</w:t>
            </w:r>
          </w:p>
        </w:tc>
        <w:tc>
          <w:tcPr>
            <w:tcW w:w="298" w:type="dxa"/>
            <w:shd w:val="clear" w:color="auto" w:fill="B3B3B3"/>
            <w:noWrap/>
            <w:tcMar>
              <w:top w:w="15" w:type="dxa"/>
              <w:left w:w="15" w:type="dxa"/>
              <w:bottom w:w="0" w:type="dxa"/>
              <w:right w:w="15" w:type="dxa"/>
            </w:tcMar>
            <w:textDirection w:val="btLr"/>
            <w:vAlign w:val="center"/>
          </w:tcPr>
          <w:p w:rsidR="003D06B5" w:rsidRPr="006A5D0F" w:rsidRDefault="003D06B5" w:rsidP="006A5D0F">
            <w:pPr>
              <w:pStyle w:val="TableText"/>
              <w:rPr>
                <w:rFonts w:eastAsia="Symbol"/>
                <w:b/>
              </w:rPr>
            </w:pPr>
            <w:r w:rsidRPr="006A5D0F">
              <w:rPr>
                <w:b/>
              </w:rPr>
              <w:t>Reason for Release</w:t>
            </w:r>
          </w:p>
        </w:tc>
        <w:tc>
          <w:tcPr>
            <w:tcW w:w="298" w:type="dxa"/>
            <w:shd w:val="clear" w:color="auto" w:fill="B3B3B3"/>
            <w:noWrap/>
            <w:tcMar>
              <w:top w:w="15" w:type="dxa"/>
              <w:left w:w="15" w:type="dxa"/>
              <w:bottom w:w="0" w:type="dxa"/>
              <w:right w:w="15" w:type="dxa"/>
            </w:tcMar>
            <w:textDirection w:val="btLr"/>
            <w:vAlign w:val="center"/>
          </w:tcPr>
          <w:p w:rsidR="003D06B5" w:rsidRPr="006A5D0F" w:rsidRDefault="003D06B5" w:rsidP="006A5D0F">
            <w:pPr>
              <w:pStyle w:val="TableText"/>
              <w:rPr>
                <w:rFonts w:eastAsia="Symbol"/>
                <w:b/>
              </w:rPr>
            </w:pPr>
            <w:r w:rsidRPr="006A5D0F">
              <w:rPr>
                <w:b/>
              </w:rPr>
              <w:t>Special Instruction Inactivation</w:t>
            </w:r>
          </w:p>
        </w:tc>
        <w:tc>
          <w:tcPr>
            <w:tcW w:w="298" w:type="dxa"/>
            <w:shd w:val="clear" w:color="auto" w:fill="B3B3B3"/>
            <w:noWrap/>
            <w:tcMar>
              <w:top w:w="15" w:type="dxa"/>
              <w:left w:w="15" w:type="dxa"/>
              <w:bottom w:w="0" w:type="dxa"/>
              <w:right w:w="15" w:type="dxa"/>
            </w:tcMar>
            <w:textDirection w:val="btLr"/>
            <w:vAlign w:val="center"/>
          </w:tcPr>
          <w:p w:rsidR="003D06B5" w:rsidRPr="006A5D0F" w:rsidRDefault="003D06B5" w:rsidP="006A5D0F">
            <w:pPr>
              <w:pStyle w:val="TableText"/>
              <w:rPr>
                <w:rFonts w:eastAsia="Symbol"/>
                <w:b/>
              </w:rPr>
            </w:pPr>
            <w:r w:rsidRPr="006A5D0F">
              <w:rPr>
                <w:b/>
              </w:rPr>
              <w:t>Special Instructions</w:t>
            </w:r>
          </w:p>
        </w:tc>
        <w:tc>
          <w:tcPr>
            <w:tcW w:w="298" w:type="dxa"/>
            <w:shd w:val="clear" w:color="auto" w:fill="B3B3B3"/>
            <w:noWrap/>
            <w:tcMar>
              <w:top w:w="15" w:type="dxa"/>
              <w:left w:w="15" w:type="dxa"/>
              <w:bottom w:w="0" w:type="dxa"/>
              <w:right w:w="15" w:type="dxa"/>
            </w:tcMar>
            <w:textDirection w:val="btLr"/>
            <w:vAlign w:val="center"/>
          </w:tcPr>
          <w:p w:rsidR="003D06B5" w:rsidRPr="006A5D0F" w:rsidRDefault="003D06B5" w:rsidP="006A5D0F">
            <w:pPr>
              <w:pStyle w:val="TableText"/>
              <w:rPr>
                <w:rFonts w:eastAsia="Symbol"/>
                <w:b/>
              </w:rPr>
            </w:pPr>
            <w:r w:rsidRPr="006A5D0F">
              <w:rPr>
                <w:b/>
              </w:rPr>
              <w:t>Specimen Extension</w:t>
            </w:r>
          </w:p>
        </w:tc>
        <w:tc>
          <w:tcPr>
            <w:tcW w:w="298" w:type="dxa"/>
            <w:shd w:val="clear" w:color="auto" w:fill="B3B3B3"/>
            <w:noWrap/>
            <w:tcMar>
              <w:top w:w="15" w:type="dxa"/>
              <w:left w:w="15" w:type="dxa"/>
              <w:bottom w:w="0" w:type="dxa"/>
              <w:right w:w="15" w:type="dxa"/>
            </w:tcMar>
            <w:textDirection w:val="btLr"/>
            <w:vAlign w:val="center"/>
          </w:tcPr>
          <w:p w:rsidR="003D06B5" w:rsidRPr="006A5D0F" w:rsidRDefault="003D06B5" w:rsidP="006A5D0F">
            <w:pPr>
              <w:pStyle w:val="TableText"/>
              <w:rPr>
                <w:rFonts w:eastAsia="Symbol"/>
                <w:b/>
              </w:rPr>
            </w:pPr>
            <w:r w:rsidRPr="006A5D0F">
              <w:rPr>
                <w:b/>
              </w:rPr>
              <w:t>Specimen General</w:t>
            </w:r>
          </w:p>
        </w:tc>
        <w:tc>
          <w:tcPr>
            <w:tcW w:w="298" w:type="dxa"/>
            <w:shd w:val="clear" w:color="auto" w:fill="B3B3B3"/>
            <w:noWrap/>
            <w:tcMar>
              <w:top w:w="15" w:type="dxa"/>
              <w:left w:w="15" w:type="dxa"/>
              <w:bottom w:w="0" w:type="dxa"/>
              <w:right w:w="15" w:type="dxa"/>
            </w:tcMar>
            <w:textDirection w:val="btLr"/>
            <w:vAlign w:val="center"/>
          </w:tcPr>
          <w:p w:rsidR="003D06B5" w:rsidRDefault="003D06B5">
            <w:pPr>
              <w:pStyle w:val="TableText"/>
              <w:rPr>
                <w:rFonts w:eastAsia="Symbol"/>
                <w:b/>
                <w:szCs w:val="16"/>
              </w:rPr>
            </w:pPr>
            <w:r>
              <w:rPr>
                <w:b/>
                <w:szCs w:val="16"/>
              </w:rPr>
              <w:t>Specimen Processing</w:t>
            </w:r>
          </w:p>
        </w:tc>
        <w:tc>
          <w:tcPr>
            <w:tcW w:w="298" w:type="dxa"/>
            <w:shd w:val="clear" w:color="auto" w:fill="B3B3B3"/>
            <w:noWrap/>
            <w:tcMar>
              <w:top w:w="15" w:type="dxa"/>
              <w:left w:w="15" w:type="dxa"/>
              <w:bottom w:w="0" w:type="dxa"/>
              <w:right w:w="15" w:type="dxa"/>
            </w:tcMar>
            <w:textDirection w:val="btLr"/>
            <w:vAlign w:val="center"/>
          </w:tcPr>
          <w:p w:rsidR="003D06B5" w:rsidRDefault="003D06B5">
            <w:pPr>
              <w:pStyle w:val="TableText"/>
              <w:rPr>
                <w:rFonts w:eastAsia="Symbol"/>
                <w:b/>
                <w:szCs w:val="16"/>
              </w:rPr>
            </w:pPr>
            <w:r>
              <w:rPr>
                <w:b/>
                <w:szCs w:val="16"/>
              </w:rPr>
              <w:t>Specimen Unacceptable</w:t>
            </w:r>
          </w:p>
        </w:tc>
        <w:tc>
          <w:tcPr>
            <w:tcW w:w="298" w:type="dxa"/>
            <w:shd w:val="clear" w:color="auto" w:fill="B3B3B3"/>
            <w:noWrap/>
            <w:tcMar>
              <w:top w:w="15" w:type="dxa"/>
              <w:left w:w="15" w:type="dxa"/>
              <w:bottom w:w="0" w:type="dxa"/>
              <w:right w:w="15" w:type="dxa"/>
            </w:tcMar>
            <w:textDirection w:val="btLr"/>
            <w:vAlign w:val="center"/>
          </w:tcPr>
          <w:p w:rsidR="003D06B5" w:rsidRDefault="003D06B5">
            <w:pPr>
              <w:pStyle w:val="TableText"/>
              <w:rPr>
                <w:rFonts w:eastAsia="Symbol"/>
                <w:b/>
                <w:szCs w:val="16"/>
              </w:rPr>
            </w:pPr>
            <w:r>
              <w:rPr>
                <w:b/>
                <w:szCs w:val="16"/>
              </w:rPr>
              <w:t>Transfusion Processing</w:t>
            </w:r>
          </w:p>
        </w:tc>
        <w:tc>
          <w:tcPr>
            <w:tcW w:w="298" w:type="dxa"/>
            <w:shd w:val="clear" w:color="auto" w:fill="B3B3B3"/>
            <w:noWrap/>
            <w:tcMar>
              <w:top w:w="15" w:type="dxa"/>
              <w:left w:w="15" w:type="dxa"/>
              <w:bottom w:w="0" w:type="dxa"/>
              <w:right w:w="15" w:type="dxa"/>
            </w:tcMar>
            <w:textDirection w:val="btLr"/>
            <w:vAlign w:val="center"/>
          </w:tcPr>
          <w:p w:rsidR="003D06B5" w:rsidRDefault="003D06B5">
            <w:pPr>
              <w:pStyle w:val="TableText"/>
              <w:rPr>
                <w:rFonts w:eastAsia="Symbol"/>
                <w:b/>
                <w:szCs w:val="16"/>
              </w:rPr>
            </w:pPr>
            <w:r>
              <w:rPr>
                <w:b/>
                <w:szCs w:val="16"/>
              </w:rPr>
              <w:t>Transfusion Reaction Workup</w:t>
            </w:r>
          </w:p>
        </w:tc>
        <w:tc>
          <w:tcPr>
            <w:tcW w:w="290" w:type="dxa"/>
            <w:shd w:val="clear" w:color="auto" w:fill="B3B3B3"/>
            <w:tcMar>
              <w:top w:w="15" w:type="dxa"/>
              <w:left w:w="15" w:type="dxa"/>
              <w:bottom w:w="0" w:type="dxa"/>
              <w:right w:w="15" w:type="dxa"/>
            </w:tcMar>
            <w:textDirection w:val="btLr"/>
            <w:vAlign w:val="center"/>
          </w:tcPr>
          <w:p w:rsidR="003D06B5" w:rsidRDefault="003D06B5">
            <w:pPr>
              <w:pStyle w:val="TableText"/>
              <w:rPr>
                <w:b/>
                <w:szCs w:val="16"/>
              </w:rPr>
            </w:pPr>
            <w:r>
              <w:rPr>
                <w:b/>
                <w:szCs w:val="16"/>
              </w:rPr>
              <w:t>Specimen Required</w:t>
            </w:r>
          </w:p>
        </w:tc>
        <w:tc>
          <w:tcPr>
            <w:tcW w:w="383" w:type="dxa"/>
            <w:shd w:val="clear" w:color="auto" w:fill="B3B3B3"/>
            <w:tcMar>
              <w:top w:w="15" w:type="dxa"/>
              <w:left w:w="15" w:type="dxa"/>
              <w:bottom w:w="0" w:type="dxa"/>
              <w:right w:w="15" w:type="dxa"/>
            </w:tcMar>
            <w:textDirection w:val="btLr"/>
            <w:vAlign w:val="center"/>
          </w:tcPr>
          <w:p w:rsidR="003D06B5" w:rsidRDefault="003D06B5">
            <w:pPr>
              <w:pStyle w:val="TableText"/>
              <w:rPr>
                <w:b/>
                <w:szCs w:val="16"/>
              </w:rPr>
            </w:pPr>
            <w:r>
              <w:rPr>
                <w:b/>
                <w:szCs w:val="16"/>
              </w:rPr>
              <w:t>Pre-Transfusion Specimen Checks</w:t>
            </w:r>
          </w:p>
        </w:tc>
        <w:tc>
          <w:tcPr>
            <w:tcW w:w="383" w:type="dxa"/>
            <w:shd w:val="clear" w:color="auto" w:fill="B3B3B3"/>
            <w:tcMar>
              <w:top w:w="15" w:type="dxa"/>
              <w:left w:w="15" w:type="dxa"/>
              <w:bottom w:w="0" w:type="dxa"/>
              <w:right w:w="15" w:type="dxa"/>
            </w:tcMar>
            <w:textDirection w:val="btLr"/>
            <w:vAlign w:val="center"/>
          </w:tcPr>
          <w:p w:rsidR="003D06B5" w:rsidRDefault="003D06B5">
            <w:pPr>
              <w:pStyle w:val="TableText"/>
              <w:rPr>
                <w:b/>
                <w:szCs w:val="16"/>
              </w:rPr>
            </w:pPr>
            <w:r>
              <w:rPr>
                <w:b/>
                <w:szCs w:val="16"/>
              </w:rPr>
              <w:t>Post-Transfusion Specimen Checks</w:t>
            </w:r>
          </w:p>
        </w:tc>
        <w:tc>
          <w:tcPr>
            <w:tcW w:w="290" w:type="dxa"/>
            <w:shd w:val="clear" w:color="auto" w:fill="B3B3B3"/>
            <w:tcMar>
              <w:top w:w="15" w:type="dxa"/>
              <w:left w:w="15" w:type="dxa"/>
              <w:bottom w:w="0" w:type="dxa"/>
              <w:right w:w="15" w:type="dxa"/>
            </w:tcMar>
            <w:textDirection w:val="btLr"/>
            <w:vAlign w:val="center"/>
          </w:tcPr>
          <w:p w:rsidR="003D06B5" w:rsidRDefault="003D06B5">
            <w:pPr>
              <w:pStyle w:val="TableText"/>
              <w:rPr>
                <w:b/>
                <w:szCs w:val="16"/>
              </w:rPr>
            </w:pPr>
            <w:r>
              <w:rPr>
                <w:b/>
                <w:szCs w:val="16"/>
              </w:rPr>
              <w:t>Implicated Units</w:t>
            </w:r>
          </w:p>
        </w:tc>
        <w:tc>
          <w:tcPr>
            <w:tcW w:w="290" w:type="dxa"/>
            <w:shd w:val="clear" w:color="auto" w:fill="B3B3B3"/>
            <w:tcMar>
              <w:top w:w="15" w:type="dxa"/>
              <w:left w:w="15" w:type="dxa"/>
              <w:bottom w:w="0" w:type="dxa"/>
              <w:right w:w="15" w:type="dxa"/>
            </w:tcMar>
            <w:textDirection w:val="btLr"/>
            <w:vAlign w:val="center"/>
          </w:tcPr>
          <w:p w:rsidR="003D06B5" w:rsidRDefault="003D06B5">
            <w:pPr>
              <w:pStyle w:val="TableText"/>
              <w:rPr>
                <w:b/>
                <w:szCs w:val="16"/>
              </w:rPr>
            </w:pPr>
            <w:r>
              <w:rPr>
                <w:b/>
                <w:szCs w:val="16"/>
              </w:rPr>
              <w:t>Symptom Details</w:t>
            </w:r>
          </w:p>
        </w:tc>
        <w:tc>
          <w:tcPr>
            <w:tcW w:w="383" w:type="dxa"/>
            <w:shd w:val="clear" w:color="auto" w:fill="B3B3B3"/>
            <w:tcMar>
              <w:top w:w="15" w:type="dxa"/>
              <w:left w:w="15" w:type="dxa"/>
              <w:bottom w:w="0" w:type="dxa"/>
              <w:right w:w="15" w:type="dxa"/>
            </w:tcMar>
            <w:textDirection w:val="btLr"/>
            <w:vAlign w:val="center"/>
          </w:tcPr>
          <w:p w:rsidR="003D06B5" w:rsidRDefault="003D06B5">
            <w:pPr>
              <w:pStyle w:val="TableText"/>
              <w:rPr>
                <w:b/>
                <w:szCs w:val="16"/>
              </w:rPr>
            </w:pPr>
            <w:r>
              <w:rPr>
                <w:b/>
                <w:szCs w:val="16"/>
              </w:rPr>
              <w:t>Transfusion Blood Bag Not Returned</w:t>
            </w:r>
          </w:p>
        </w:tc>
        <w:tc>
          <w:tcPr>
            <w:tcW w:w="383" w:type="dxa"/>
            <w:shd w:val="clear" w:color="auto" w:fill="B3B3B3"/>
            <w:tcMar>
              <w:top w:w="15" w:type="dxa"/>
              <w:left w:w="15" w:type="dxa"/>
              <w:bottom w:w="0" w:type="dxa"/>
              <w:right w:w="15" w:type="dxa"/>
            </w:tcMar>
            <w:textDirection w:val="btLr"/>
            <w:vAlign w:val="center"/>
          </w:tcPr>
          <w:p w:rsidR="003D06B5" w:rsidRDefault="003D06B5">
            <w:pPr>
              <w:pStyle w:val="TableText"/>
              <w:rPr>
                <w:b/>
                <w:szCs w:val="16"/>
              </w:rPr>
            </w:pPr>
            <w:r>
              <w:rPr>
                <w:b/>
                <w:szCs w:val="16"/>
              </w:rPr>
              <w:t>Transfusion Clerical Checks Failed</w:t>
            </w:r>
          </w:p>
        </w:tc>
        <w:tc>
          <w:tcPr>
            <w:tcW w:w="390" w:type="dxa"/>
            <w:shd w:val="clear" w:color="auto" w:fill="B3B3B3"/>
            <w:noWrap/>
            <w:tcMar>
              <w:top w:w="15" w:type="dxa"/>
              <w:left w:w="15" w:type="dxa"/>
              <w:bottom w:w="0" w:type="dxa"/>
              <w:right w:w="15" w:type="dxa"/>
            </w:tcMar>
            <w:textDirection w:val="btLr"/>
            <w:vAlign w:val="center"/>
          </w:tcPr>
          <w:p w:rsidR="003D06B5" w:rsidRDefault="003D06B5">
            <w:pPr>
              <w:pStyle w:val="TableText"/>
              <w:rPr>
                <w:rFonts w:eastAsia="Symbol"/>
                <w:b/>
                <w:szCs w:val="16"/>
              </w:rPr>
            </w:pPr>
            <w:r>
              <w:rPr>
                <w:b/>
                <w:szCs w:val="16"/>
              </w:rPr>
              <w:t>Transfusion Requirement Inactivation</w:t>
            </w:r>
          </w:p>
        </w:tc>
        <w:tc>
          <w:tcPr>
            <w:tcW w:w="290" w:type="dxa"/>
            <w:shd w:val="clear" w:color="auto" w:fill="B3B3B3"/>
            <w:tcMar>
              <w:top w:w="15" w:type="dxa"/>
              <w:left w:w="15" w:type="dxa"/>
              <w:bottom w:w="0" w:type="dxa"/>
              <w:right w:w="15" w:type="dxa"/>
            </w:tcMar>
            <w:textDirection w:val="btLr"/>
            <w:vAlign w:val="center"/>
          </w:tcPr>
          <w:p w:rsidR="003D06B5" w:rsidRDefault="003D06B5">
            <w:pPr>
              <w:pStyle w:val="TableText"/>
              <w:rPr>
                <w:b/>
                <w:szCs w:val="16"/>
              </w:rPr>
            </w:pPr>
            <w:r>
              <w:rPr>
                <w:b/>
                <w:szCs w:val="16"/>
              </w:rPr>
              <w:t>Unit Inactivation</w:t>
            </w:r>
          </w:p>
        </w:tc>
        <w:tc>
          <w:tcPr>
            <w:tcW w:w="290" w:type="dxa"/>
            <w:shd w:val="clear" w:color="auto" w:fill="B3B3B3"/>
            <w:tcMar>
              <w:top w:w="15" w:type="dxa"/>
              <w:left w:w="15" w:type="dxa"/>
              <w:bottom w:w="0" w:type="dxa"/>
              <w:right w:w="15" w:type="dxa"/>
            </w:tcMar>
            <w:textDirection w:val="btLr"/>
            <w:vAlign w:val="center"/>
          </w:tcPr>
          <w:p w:rsidR="003D06B5" w:rsidRDefault="003D06B5">
            <w:pPr>
              <w:pStyle w:val="TableText"/>
              <w:rPr>
                <w:b/>
                <w:szCs w:val="16"/>
              </w:rPr>
            </w:pPr>
            <w:r>
              <w:rPr>
                <w:b/>
                <w:szCs w:val="16"/>
              </w:rPr>
              <w:t>Unit Data Invalidation</w:t>
            </w:r>
          </w:p>
        </w:tc>
        <w:tc>
          <w:tcPr>
            <w:tcW w:w="298" w:type="dxa"/>
            <w:shd w:val="clear" w:color="auto" w:fill="B3B3B3"/>
            <w:noWrap/>
            <w:tcMar>
              <w:top w:w="15" w:type="dxa"/>
              <w:left w:w="15" w:type="dxa"/>
              <w:bottom w:w="0" w:type="dxa"/>
              <w:right w:w="15" w:type="dxa"/>
            </w:tcMar>
            <w:textDirection w:val="btLr"/>
            <w:vAlign w:val="center"/>
          </w:tcPr>
          <w:p w:rsidR="003D06B5" w:rsidRDefault="003D06B5">
            <w:pPr>
              <w:pStyle w:val="TableText"/>
              <w:rPr>
                <w:rFonts w:eastAsia="Symbol"/>
                <w:b/>
                <w:szCs w:val="16"/>
              </w:rPr>
            </w:pPr>
            <w:r>
              <w:rPr>
                <w:b/>
                <w:szCs w:val="16"/>
              </w:rPr>
              <w:t>Unit Issue</w:t>
            </w:r>
          </w:p>
        </w:tc>
        <w:tc>
          <w:tcPr>
            <w:tcW w:w="298" w:type="dxa"/>
            <w:shd w:val="clear" w:color="auto" w:fill="B3B3B3"/>
            <w:noWrap/>
            <w:tcMar>
              <w:top w:w="15" w:type="dxa"/>
              <w:left w:w="15" w:type="dxa"/>
              <w:bottom w:w="0" w:type="dxa"/>
              <w:right w:w="15" w:type="dxa"/>
            </w:tcMar>
            <w:textDirection w:val="btLr"/>
            <w:vAlign w:val="center"/>
          </w:tcPr>
          <w:p w:rsidR="003D06B5" w:rsidRDefault="003D06B5">
            <w:pPr>
              <w:pStyle w:val="TableText"/>
              <w:rPr>
                <w:rFonts w:eastAsia="Symbol"/>
                <w:b/>
                <w:szCs w:val="16"/>
              </w:rPr>
            </w:pPr>
            <w:r>
              <w:rPr>
                <w:b/>
                <w:szCs w:val="16"/>
              </w:rPr>
              <w:t>Unit Modification</w:t>
            </w:r>
          </w:p>
        </w:tc>
        <w:tc>
          <w:tcPr>
            <w:tcW w:w="290" w:type="dxa"/>
            <w:shd w:val="clear" w:color="auto" w:fill="B3B3B3"/>
            <w:tcMar>
              <w:top w:w="15" w:type="dxa"/>
              <w:left w:w="15" w:type="dxa"/>
              <w:bottom w:w="0" w:type="dxa"/>
              <w:right w:w="15" w:type="dxa"/>
            </w:tcMar>
            <w:textDirection w:val="btLr"/>
            <w:vAlign w:val="center"/>
          </w:tcPr>
          <w:p w:rsidR="003D06B5" w:rsidRDefault="003D06B5">
            <w:pPr>
              <w:pStyle w:val="TableText"/>
              <w:rPr>
                <w:rFonts w:eastAsia="Symbol"/>
                <w:b/>
                <w:szCs w:val="16"/>
              </w:rPr>
            </w:pPr>
            <w:r>
              <w:rPr>
                <w:b/>
                <w:szCs w:val="16"/>
              </w:rPr>
              <w:t>Unit Return</w:t>
            </w:r>
          </w:p>
        </w:tc>
        <w:tc>
          <w:tcPr>
            <w:tcW w:w="298" w:type="dxa"/>
            <w:shd w:val="clear" w:color="auto" w:fill="B3B3B3"/>
            <w:noWrap/>
            <w:tcMar>
              <w:top w:w="15" w:type="dxa"/>
              <w:left w:w="15" w:type="dxa"/>
              <w:bottom w:w="0" w:type="dxa"/>
              <w:right w:w="15" w:type="dxa"/>
            </w:tcMar>
            <w:textDirection w:val="btLr"/>
            <w:vAlign w:val="center"/>
          </w:tcPr>
          <w:p w:rsidR="003D06B5" w:rsidRDefault="003D06B5">
            <w:pPr>
              <w:pStyle w:val="TableText"/>
              <w:rPr>
                <w:rFonts w:eastAsia="Symbol"/>
                <w:b/>
                <w:szCs w:val="16"/>
              </w:rPr>
            </w:pPr>
            <w:r>
              <w:rPr>
                <w:b/>
                <w:szCs w:val="16"/>
              </w:rPr>
              <w:t>Unit Restriction</w:t>
            </w:r>
          </w:p>
        </w:tc>
        <w:tc>
          <w:tcPr>
            <w:tcW w:w="298" w:type="dxa"/>
            <w:shd w:val="clear" w:color="auto" w:fill="B3B3B3"/>
            <w:noWrap/>
            <w:tcMar>
              <w:top w:w="15" w:type="dxa"/>
              <w:left w:w="15" w:type="dxa"/>
              <w:bottom w:w="0" w:type="dxa"/>
              <w:right w:w="15" w:type="dxa"/>
            </w:tcMar>
            <w:textDirection w:val="btLr"/>
            <w:vAlign w:val="center"/>
          </w:tcPr>
          <w:p w:rsidR="003D06B5" w:rsidRDefault="003D06B5">
            <w:pPr>
              <w:pStyle w:val="TableText"/>
              <w:rPr>
                <w:rFonts w:eastAsia="Symbol"/>
                <w:b/>
                <w:szCs w:val="16"/>
              </w:rPr>
            </w:pPr>
            <w:r>
              <w:rPr>
                <w:b/>
                <w:szCs w:val="16"/>
              </w:rPr>
              <w:t>Unit Selection</w:t>
            </w:r>
          </w:p>
        </w:tc>
        <w:tc>
          <w:tcPr>
            <w:tcW w:w="298" w:type="dxa"/>
            <w:shd w:val="clear" w:color="auto" w:fill="B3B3B3"/>
            <w:noWrap/>
            <w:tcMar>
              <w:top w:w="15" w:type="dxa"/>
              <w:left w:w="15" w:type="dxa"/>
              <w:bottom w:w="0" w:type="dxa"/>
              <w:right w:w="15" w:type="dxa"/>
            </w:tcMar>
            <w:textDirection w:val="btLr"/>
            <w:vAlign w:val="center"/>
          </w:tcPr>
          <w:p w:rsidR="003D06B5" w:rsidRDefault="003D06B5">
            <w:pPr>
              <w:pStyle w:val="TableText"/>
              <w:rPr>
                <w:rFonts w:eastAsia="Symbol"/>
                <w:b/>
                <w:szCs w:val="16"/>
              </w:rPr>
            </w:pPr>
            <w:r>
              <w:rPr>
                <w:b/>
                <w:szCs w:val="16"/>
              </w:rPr>
              <w:t>Unit Status Removal</w:t>
            </w:r>
          </w:p>
        </w:tc>
        <w:tc>
          <w:tcPr>
            <w:tcW w:w="298" w:type="dxa"/>
            <w:shd w:val="clear" w:color="auto" w:fill="B3B3B3"/>
            <w:noWrap/>
            <w:tcMar>
              <w:top w:w="15" w:type="dxa"/>
              <w:left w:w="15" w:type="dxa"/>
              <w:bottom w:w="0" w:type="dxa"/>
              <w:right w:w="15" w:type="dxa"/>
            </w:tcMar>
            <w:textDirection w:val="btLr"/>
            <w:vAlign w:val="center"/>
          </w:tcPr>
          <w:p w:rsidR="003D06B5" w:rsidRDefault="003D06B5">
            <w:pPr>
              <w:pStyle w:val="TableText"/>
              <w:rPr>
                <w:rFonts w:eastAsia="Symbol"/>
                <w:b/>
                <w:szCs w:val="16"/>
              </w:rPr>
            </w:pPr>
            <w:r>
              <w:rPr>
                <w:b/>
                <w:szCs w:val="16"/>
              </w:rPr>
              <w:t>Unit Testing</w:t>
            </w: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pPr>
            <w:r>
              <w:t>Other</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7" w:type="dxa"/>
            <w:gridSpan w:val="3"/>
            <w:vAlign w:val="bottom"/>
          </w:tcPr>
          <w:p w:rsidR="003D06B5" w:rsidRDefault="003D06B5" w:rsidP="003D06B5">
            <w:pPr>
              <w:pStyle w:val="TableText"/>
              <w:jc w:val="center"/>
              <w:rPr>
                <w:bCs/>
                <w:caps/>
                <w:szCs w:val="20"/>
              </w:rPr>
            </w:pPr>
            <w:r>
              <w:rPr>
                <w:bCs/>
                <w:caps/>
                <w:szCs w:val="20"/>
              </w:rPr>
              <w:t>X</w:t>
            </w:r>
          </w:p>
        </w:tc>
        <w:tc>
          <w:tcPr>
            <w:tcW w:w="308" w:type="dxa"/>
            <w:gridSpan w:val="2"/>
            <w:noWrap/>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7" w:type="dxa"/>
            <w:noWrap/>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r w:rsidRPr="006A5D0F">
              <w:rPr>
                <w:bCs/>
                <w:caps/>
                <w:szCs w:val="20"/>
              </w:rPr>
              <w:t>X</w:t>
            </w:r>
          </w:p>
        </w:tc>
        <w:tc>
          <w:tcPr>
            <w:tcW w:w="297" w:type="dxa"/>
            <w:noWrap/>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7" w:type="dxa"/>
            <w:noWrap/>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7" w:type="dxa"/>
            <w:noWrap/>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390" w:type="dxa"/>
            <w:noWrap/>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24 hour post-op</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pPr>
            <w:r>
              <w:t>ABO inconclusive</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r w:rsidRPr="006A5D0F">
              <w:rPr>
                <w:bCs/>
                <w:caps/>
                <w:szCs w:val="20"/>
              </w:rPr>
              <w:t>X</w:t>
            </w: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Biohazardous</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Blood shortage</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r>
              <w:rPr>
                <w:rFonts w:eastAsia="Symbol"/>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Broken during processing</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r>
              <w:rPr>
                <w:rFonts w:eastAsia="Symbol"/>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Broken upon receipt</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r>
              <w:rPr>
                <w:rFonts w:eastAsia="Symbol"/>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510"/>
        </w:trPr>
        <w:tc>
          <w:tcPr>
            <w:tcW w:w="1299" w:type="dxa"/>
            <w:tcMar>
              <w:top w:w="15" w:type="dxa"/>
              <w:left w:w="15" w:type="dxa"/>
              <w:bottom w:w="0" w:type="dxa"/>
              <w:right w:w="15" w:type="dxa"/>
            </w:tcMar>
            <w:vAlign w:val="bottom"/>
          </w:tcPr>
          <w:p w:rsidR="003D06B5" w:rsidRDefault="003D06B5">
            <w:pPr>
              <w:pStyle w:val="TableText"/>
              <w:rPr>
                <w:rFonts w:eastAsia="Symbol"/>
              </w:rPr>
            </w:pPr>
            <w:r>
              <w:lastRenderedPageBreak/>
              <w:t>Check the patient’s blood counts before selecting units, use often exceeds original order</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Clerical error</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Contaminated</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6F3F08" w:rsidTr="006F3F08">
        <w:tblPrEx>
          <w:shd w:val="clear" w:color="auto" w:fill="auto"/>
        </w:tblPrEx>
        <w:trPr>
          <w:cantSplit/>
          <w:trHeight w:val="255"/>
        </w:trPr>
        <w:tc>
          <w:tcPr>
            <w:tcW w:w="1299" w:type="dxa"/>
            <w:tcMar>
              <w:top w:w="15" w:type="dxa"/>
              <w:left w:w="15" w:type="dxa"/>
              <w:bottom w:w="0" w:type="dxa"/>
              <w:right w:w="15" w:type="dxa"/>
            </w:tcMar>
            <w:vAlign w:val="bottom"/>
          </w:tcPr>
          <w:p w:rsidR="006F3F08" w:rsidRDefault="006F3F08">
            <w:pPr>
              <w:pStyle w:val="TableText"/>
            </w:pPr>
            <w:r>
              <w:t>Control NEG</w:t>
            </w:r>
          </w:p>
        </w:tc>
        <w:tc>
          <w:tcPr>
            <w:tcW w:w="288" w:type="dxa"/>
            <w:gridSpan w:val="2"/>
            <w:tcMar>
              <w:top w:w="15" w:type="dxa"/>
              <w:left w:w="15" w:type="dxa"/>
              <w:bottom w:w="0" w:type="dxa"/>
              <w:right w:w="15" w:type="dxa"/>
            </w:tcMar>
            <w:vAlign w:val="bottom"/>
          </w:tcPr>
          <w:p w:rsidR="006F3F08" w:rsidRDefault="006F3F08">
            <w:pPr>
              <w:pStyle w:val="TableText"/>
              <w:jc w:val="center"/>
              <w:rPr>
                <w:bCs/>
                <w:caps/>
                <w:szCs w:val="20"/>
              </w:rPr>
            </w:pPr>
          </w:p>
        </w:tc>
        <w:tc>
          <w:tcPr>
            <w:tcW w:w="297" w:type="dxa"/>
            <w:gridSpan w:val="3"/>
            <w:vAlign w:val="bottom"/>
          </w:tcPr>
          <w:p w:rsidR="006F3F08" w:rsidRDefault="006F3F08" w:rsidP="006F3F08">
            <w:pPr>
              <w:pStyle w:val="TableText"/>
              <w:jc w:val="center"/>
              <w:rPr>
                <w:rFonts w:eastAsia="Symbol"/>
                <w:bCs/>
                <w:caps/>
                <w:szCs w:val="20"/>
              </w:rPr>
            </w:pPr>
            <w:r>
              <w:rPr>
                <w:rFonts w:eastAsia="Symbol"/>
                <w:bCs/>
                <w:caps/>
                <w:szCs w:val="20"/>
              </w:rPr>
              <w:t>X</w:t>
            </w:r>
          </w:p>
        </w:tc>
        <w:tc>
          <w:tcPr>
            <w:tcW w:w="308" w:type="dxa"/>
            <w:gridSpan w:val="2"/>
            <w:noWrap/>
            <w:tcMar>
              <w:top w:w="15" w:type="dxa"/>
              <w:left w:w="15" w:type="dxa"/>
              <w:bottom w:w="0" w:type="dxa"/>
              <w:right w:w="15" w:type="dxa"/>
            </w:tcMar>
            <w:vAlign w:val="bottom"/>
          </w:tcPr>
          <w:p w:rsidR="006F3F08" w:rsidRDefault="006F3F08">
            <w:pPr>
              <w:pStyle w:val="TableText"/>
              <w:jc w:val="center"/>
              <w:rPr>
                <w:rFonts w:eastAsia="Symbol"/>
                <w:bCs/>
                <w:caps/>
                <w:szCs w:val="20"/>
              </w:rPr>
            </w:pPr>
          </w:p>
        </w:tc>
        <w:tc>
          <w:tcPr>
            <w:tcW w:w="290" w:type="dxa"/>
            <w:tcMar>
              <w:top w:w="15" w:type="dxa"/>
              <w:left w:w="15" w:type="dxa"/>
              <w:bottom w:w="0" w:type="dxa"/>
              <w:right w:w="15" w:type="dxa"/>
            </w:tcMar>
            <w:vAlign w:val="bottom"/>
          </w:tcPr>
          <w:p w:rsidR="006F3F08" w:rsidRDefault="006F3F08">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6F3F08" w:rsidRDefault="006F3F08">
            <w:pPr>
              <w:pStyle w:val="TableText"/>
              <w:jc w:val="center"/>
              <w:rPr>
                <w:rFonts w:eastAsia="Symbol"/>
                <w:bCs/>
                <w:caps/>
                <w:szCs w:val="20"/>
              </w:rPr>
            </w:pPr>
          </w:p>
        </w:tc>
        <w:tc>
          <w:tcPr>
            <w:tcW w:w="297" w:type="dxa"/>
            <w:tcMar>
              <w:top w:w="15" w:type="dxa"/>
              <w:left w:w="15" w:type="dxa"/>
              <w:bottom w:w="0" w:type="dxa"/>
              <w:right w:w="15" w:type="dxa"/>
            </w:tcMar>
            <w:vAlign w:val="bottom"/>
          </w:tcPr>
          <w:p w:rsidR="006F3F08" w:rsidRPr="006A5D0F" w:rsidRDefault="006F3F08" w:rsidP="006A5D0F">
            <w:pPr>
              <w:pStyle w:val="TableText"/>
              <w:jc w:val="center"/>
              <w:rPr>
                <w:bCs/>
                <w:caps/>
                <w:szCs w:val="20"/>
              </w:rPr>
            </w:pPr>
          </w:p>
        </w:tc>
        <w:tc>
          <w:tcPr>
            <w:tcW w:w="297" w:type="dxa"/>
            <w:noWrap/>
            <w:tcMar>
              <w:top w:w="15" w:type="dxa"/>
              <w:left w:w="15" w:type="dxa"/>
              <w:bottom w:w="0" w:type="dxa"/>
              <w:right w:w="15" w:type="dxa"/>
            </w:tcMar>
            <w:vAlign w:val="bottom"/>
          </w:tcPr>
          <w:p w:rsidR="006F3F08" w:rsidRDefault="006F3F08">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6F3F08" w:rsidRDefault="006F3F08">
            <w:pPr>
              <w:pStyle w:val="TableText"/>
              <w:jc w:val="center"/>
              <w:rPr>
                <w:rFonts w:eastAsia="Symbol"/>
                <w:bCs/>
                <w:caps/>
                <w:szCs w:val="20"/>
              </w:rPr>
            </w:pPr>
          </w:p>
        </w:tc>
        <w:tc>
          <w:tcPr>
            <w:tcW w:w="289" w:type="dxa"/>
            <w:tcMar>
              <w:top w:w="15" w:type="dxa"/>
              <w:left w:w="15" w:type="dxa"/>
              <w:bottom w:w="0" w:type="dxa"/>
              <w:right w:w="15" w:type="dxa"/>
            </w:tcMar>
            <w:vAlign w:val="bottom"/>
          </w:tcPr>
          <w:p w:rsidR="006F3F08" w:rsidRDefault="006F3F08">
            <w:pPr>
              <w:pStyle w:val="TableText"/>
              <w:jc w:val="center"/>
              <w:rPr>
                <w:bCs/>
                <w:caps/>
                <w:szCs w:val="20"/>
              </w:rPr>
            </w:pPr>
          </w:p>
        </w:tc>
        <w:tc>
          <w:tcPr>
            <w:tcW w:w="297" w:type="dxa"/>
            <w:noWrap/>
            <w:tcMar>
              <w:top w:w="15" w:type="dxa"/>
              <w:left w:w="15" w:type="dxa"/>
              <w:bottom w:w="0" w:type="dxa"/>
              <w:right w:w="15" w:type="dxa"/>
            </w:tcMar>
            <w:vAlign w:val="bottom"/>
          </w:tcPr>
          <w:p w:rsidR="006F3F08" w:rsidRDefault="006F3F08">
            <w:pPr>
              <w:pStyle w:val="TableText"/>
              <w:jc w:val="center"/>
              <w:rPr>
                <w:rFonts w:eastAsia="Symbol"/>
                <w:bCs/>
                <w:caps/>
                <w:szCs w:val="20"/>
              </w:rPr>
            </w:pPr>
          </w:p>
        </w:tc>
        <w:tc>
          <w:tcPr>
            <w:tcW w:w="289" w:type="dxa"/>
            <w:tcMar>
              <w:top w:w="15" w:type="dxa"/>
              <w:left w:w="15" w:type="dxa"/>
              <w:bottom w:w="0" w:type="dxa"/>
              <w:right w:w="15" w:type="dxa"/>
            </w:tcMar>
            <w:vAlign w:val="bottom"/>
          </w:tcPr>
          <w:p w:rsidR="006F3F08" w:rsidRDefault="006F3F08">
            <w:pPr>
              <w:pStyle w:val="TableText"/>
              <w:jc w:val="center"/>
              <w:rPr>
                <w:bCs/>
                <w:caps/>
                <w:szCs w:val="20"/>
              </w:rPr>
            </w:pPr>
          </w:p>
        </w:tc>
        <w:tc>
          <w:tcPr>
            <w:tcW w:w="290" w:type="dxa"/>
            <w:tcMar>
              <w:top w:w="15" w:type="dxa"/>
              <w:left w:w="15" w:type="dxa"/>
              <w:bottom w:w="0" w:type="dxa"/>
              <w:right w:w="15" w:type="dxa"/>
            </w:tcMar>
            <w:vAlign w:val="bottom"/>
          </w:tcPr>
          <w:p w:rsidR="006F3F08" w:rsidRDefault="006F3F08">
            <w:pPr>
              <w:pStyle w:val="TableText"/>
              <w:jc w:val="center"/>
              <w:rPr>
                <w:bCs/>
                <w:caps/>
                <w:szCs w:val="20"/>
              </w:rPr>
            </w:pPr>
          </w:p>
        </w:tc>
        <w:tc>
          <w:tcPr>
            <w:tcW w:w="290" w:type="dxa"/>
            <w:tcMar>
              <w:top w:w="15" w:type="dxa"/>
              <w:left w:w="15" w:type="dxa"/>
              <w:bottom w:w="0" w:type="dxa"/>
              <w:right w:w="15" w:type="dxa"/>
            </w:tcMar>
            <w:vAlign w:val="bottom"/>
          </w:tcPr>
          <w:p w:rsidR="006F3F08" w:rsidRDefault="006F3F08">
            <w:pPr>
              <w:pStyle w:val="TableText"/>
              <w:jc w:val="center"/>
              <w:rPr>
                <w:bCs/>
                <w:caps/>
                <w:szCs w:val="20"/>
              </w:rPr>
            </w:pPr>
          </w:p>
        </w:tc>
        <w:tc>
          <w:tcPr>
            <w:tcW w:w="298" w:type="dxa"/>
            <w:noWrap/>
            <w:tcMar>
              <w:top w:w="15" w:type="dxa"/>
              <w:left w:w="15" w:type="dxa"/>
              <w:bottom w:w="0" w:type="dxa"/>
              <w:right w:w="15" w:type="dxa"/>
            </w:tcMar>
            <w:vAlign w:val="bottom"/>
          </w:tcPr>
          <w:p w:rsidR="006F3F08" w:rsidRDefault="006F3F08">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6F3F08" w:rsidRDefault="006F3F08">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6F3F08" w:rsidRDefault="006F3F08">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6F3F08" w:rsidRDefault="006F3F08">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6F3F08" w:rsidRDefault="006F3F08">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6F3F08" w:rsidRDefault="006F3F08">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6F3F08" w:rsidRDefault="006F3F08">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6F3F08" w:rsidRDefault="006F3F08">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6F3F08" w:rsidRDefault="006F3F08">
            <w:pPr>
              <w:pStyle w:val="TableText"/>
              <w:jc w:val="center"/>
              <w:rPr>
                <w:rFonts w:eastAsia="Symbol"/>
                <w:bCs/>
                <w:caps/>
                <w:szCs w:val="20"/>
              </w:rPr>
            </w:pPr>
          </w:p>
        </w:tc>
        <w:tc>
          <w:tcPr>
            <w:tcW w:w="290" w:type="dxa"/>
            <w:tcMar>
              <w:top w:w="15" w:type="dxa"/>
              <w:left w:w="15" w:type="dxa"/>
              <w:bottom w:w="0" w:type="dxa"/>
              <w:right w:w="15" w:type="dxa"/>
            </w:tcMar>
            <w:vAlign w:val="bottom"/>
          </w:tcPr>
          <w:p w:rsidR="006F3F08" w:rsidRDefault="006F3F08">
            <w:pPr>
              <w:pStyle w:val="TableText"/>
              <w:jc w:val="center"/>
              <w:rPr>
                <w:bCs/>
                <w:caps/>
                <w:szCs w:val="20"/>
              </w:rPr>
            </w:pPr>
          </w:p>
        </w:tc>
        <w:tc>
          <w:tcPr>
            <w:tcW w:w="383" w:type="dxa"/>
            <w:tcMar>
              <w:top w:w="15" w:type="dxa"/>
              <w:left w:w="15" w:type="dxa"/>
              <w:bottom w:w="0" w:type="dxa"/>
              <w:right w:w="15" w:type="dxa"/>
            </w:tcMar>
            <w:vAlign w:val="bottom"/>
          </w:tcPr>
          <w:p w:rsidR="006F3F08" w:rsidRDefault="006F3F08">
            <w:pPr>
              <w:pStyle w:val="TableText"/>
              <w:jc w:val="center"/>
              <w:rPr>
                <w:bCs/>
                <w:caps/>
                <w:szCs w:val="20"/>
              </w:rPr>
            </w:pPr>
          </w:p>
        </w:tc>
        <w:tc>
          <w:tcPr>
            <w:tcW w:w="383" w:type="dxa"/>
            <w:tcMar>
              <w:top w:w="15" w:type="dxa"/>
              <w:left w:w="15" w:type="dxa"/>
              <w:bottom w:w="0" w:type="dxa"/>
              <w:right w:w="15" w:type="dxa"/>
            </w:tcMar>
            <w:vAlign w:val="bottom"/>
          </w:tcPr>
          <w:p w:rsidR="006F3F08" w:rsidRDefault="006F3F08">
            <w:pPr>
              <w:pStyle w:val="TableText"/>
              <w:jc w:val="center"/>
              <w:rPr>
                <w:bCs/>
                <w:caps/>
                <w:szCs w:val="20"/>
              </w:rPr>
            </w:pPr>
          </w:p>
        </w:tc>
        <w:tc>
          <w:tcPr>
            <w:tcW w:w="290" w:type="dxa"/>
            <w:tcMar>
              <w:top w:w="15" w:type="dxa"/>
              <w:left w:w="15" w:type="dxa"/>
              <w:bottom w:w="0" w:type="dxa"/>
              <w:right w:w="15" w:type="dxa"/>
            </w:tcMar>
            <w:vAlign w:val="bottom"/>
          </w:tcPr>
          <w:p w:rsidR="006F3F08" w:rsidRDefault="006F3F08">
            <w:pPr>
              <w:pStyle w:val="TableText"/>
              <w:jc w:val="center"/>
              <w:rPr>
                <w:bCs/>
                <w:caps/>
                <w:szCs w:val="20"/>
              </w:rPr>
            </w:pPr>
          </w:p>
        </w:tc>
        <w:tc>
          <w:tcPr>
            <w:tcW w:w="290" w:type="dxa"/>
            <w:tcMar>
              <w:top w:w="15" w:type="dxa"/>
              <w:left w:w="15" w:type="dxa"/>
              <w:bottom w:w="0" w:type="dxa"/>
              <w:right w:w="15" w:type="dxa"/>
            </w:tcMar>
            <w:vAlign w:val="bottom"/>
          </w:tcPr>
          <w:p w:rsidR="006F3F08" w:rsidRDefault="006F3F08">
            <w:pPr>
              <w:pStyle w:val="TableText"/>
              <w:jc w:val="center"/>
              <w:rPr>
                <w:bCs/>
                <w:caps/>
                <w:szCs w:val="20"/>
              </w:rPr>
            </w:pPr>
          </w:p>
        </w:tc>
        <w:tc>
          <w:tcPr>
            <w:tcW w:w="383" w:type="dxa"/>
            <w:tcMar>
              <w:top w:w="15" w:type="dxa"/>
              <w:left w:w="15" w:type="dxa"/>
              <w:bottom w:w="0" w:type="dxa"/>
              <w:right w:w="15" w:type="dxa"/>
            </w:tcMar>
            <w:vAlign w:val="bottom"/>
          </w:tcPr>
          <w:p w:rsidR="006F3F08" w:rsidRDefault="006F3F08">
            <w:pPr>
              <w:pStyle w:val="TableText"/>
              <w:jc w:val="center"/>
              <w:rPr>
                <w:bCs/>
                <w:caps/>
                <w:szCs w:val="20"/>
              </w:rPr>
            </w:pPr>
          </w:p>
        </w:tc>
        <w:tc>
          <w:tcPr>
            <w:tcW w:w="383" w:type="dxa"/>
            <w:tcMar>
              <w:top w:w="15" w:type="dxa"/>
              <w:left w:w="15" w:type="dxa"/>
              <w:bottom w:w="0" w:type="dxa"/>
              <w:right w:w="15" w:type="dxa"/>
            </w:tcMar>
            <w:vAlign w:val="bottom"/>
          </w:tcPr>
          <w:p w:rsidR="006F3F08" w:rsidRDefault="006F3F08">
            <w:pPr>
              <w:pStyle w:val="TableText"/>
              <w:jc w:val="center"/>
              <w:rPr>
                <w:bCs/>
                <w:caps/>
                <w:szCs w:val="20"/>
              </w:rPr>
            </w:pPr>
          </w:p>
        </w:tc>
        <w:tc>
          <w:tcPr>
            <w:tcW w:w="390" w:type="dxa"/>
            <w:noWrap/>
            <w:tcMar>
              <w:top w:w="15" w:type="dxa"/>
              <w:left w:w="15" w:type="dxa"/>
              <w:bottom w:w="0" w:type="dxa"/>
              <w:right w:w="15" w:type="dxa"/>
            </w:tcMar>
            <w:vAlign w:val="bottom"/>
          </w:tcPr>
          <w:p w:rsidR="006F3F08" w:rsidRDefault="006F3F08">
            <w:pPr>
              <w:pStyle w:val="TableText"/>
              <w:jc w:val="center"/>
              <w:rPr>
                <w:rFonts w:eastAsia="Symbol"/>
                <w:bCs/>
                <w:caps/>
                <w:szCs w:val="20"/>
              </w:rPr>
            </w:pPr>
          </w:p>
        </w:tc>
        <w:tc>
          <w:tcPr>
            <w:tcW w:w="290" w:type="dxa"/>
            <w:tcMar>
              <w:top w:w="15" w:type="dxa"/>
              <w:left w:w="15" w:type="dxa"/>
              <w:bottom w:w="0" w:type="dxa"/>
              <w:right w:w="15" w:type="dxa"/>
            </w:tcMar>
            <w:vAlign w:val="bottom"/>
          </w:tcPr>
          <w:p w:rsidR="006F3F08" w:rsidRDefault="006F3F08">
            <w:pPr>
              <w:pStyle w:val="TableText"/>
              <w:jc w:val="center"/>
              <w:rPr>
                <w:bCs/>
                <w:caps/>
                <w:szCs w:val="20"/>
              </w:rPr>
            </w:pPr>
          </w:p>
        </w:tc>
        <w:tc>
          <w:tcPr>
            <w:tcW w:w="290" w:type="dxa"/>
            <w:tcMar>
              <w:top w:w="15" w:type="dxa"/>
              <w:left w:w="15" w:type="dxa"/>
              <w:bottom w:w="0" w:type="dxa"/>
              <w:right w:w="15" w:type="dxa"/>
            </w:tcMar>
            <w:vAlign w:val="bottom"/>
          </w:tcPr>
          <w:p w:rsidR="006F3F08" w:rsidRDefault="006F3F08">
            <w:pPr>
              <w:pStyle w:val="TableText"/>
              <w:jc w:val="center"/>
              <w:rPr>
                <w:bCs/>
                <w:caps/>
                <w:szCs w:val="20"/>
              </w:rPr>
            </w:pPr>
          </w:p>
        </w:tc>
        <w:tc>
          <w:tcPr>
            <w:tcW w:w="298" w:type="dxa"/>
            <w:noWrap/>
            <w:tcMar>
              <w:top w:w="15" w:type="dxa"/>
              <w:left w:w="15" w:type="dxa"/>
              <w:bottom w:w="0" w:type="dxa"/>
              <w:right w:w="15" w:type="dxa"/>
            </w:tcMar>
            <w:vAlign w:val="bottom"/>
          </w:tcPr>
          <w:p w:rsidR="006F3F08" w:rsidRDefault="006F3F08">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6F3F08" w:rsidRDefault="006F3F08">
            <w:pPr>
              <w:pStyle w:val="TableText"/>
              <w:jc w:val="center"/>
              <w:rPr>
                <w:bCs/>
                <w:caps/>
                <w:szCs w:val="20"/>
              </w:rPr>
            </w:pPr>
          </w:p>
        </w:tc>
        <w:tc>
          <w:tcPr>
            <w:tcW w:w="290" w:type="dxa"/>
            <w:tcMar>
              <w:top w:w="15" w:type="dxa"/>
              <w:left w:w="15" w:type="dxa"/>
              <w:bottom w:w="0" w:type="dxa"/>
              <w:right w:w="15" w:type="dxa"/>
            </w:tcMar>
            <w:vAlign w:val="bottom"/>
          </w:tcPr>
          <w:p w:rsidR="006F3F08" w:rsidRDefault="006F3F08">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6F3F08" w:rsidRDefault="006F3F08">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6F3F08" w:rsidRDefault="006F3F08">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6F3F08" w:rsidRDefault="006F3F08">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6F3F08" w:rsidRDefault="006F3F08">
            <w:pPr>
              <w:pStyle w:val="TableText"/>
              <w:jc w:val="center"/>
              <w:rPr>
                <w:rFonts w:eastAsia="Symbol"/>
                <w:bCs/>
                <w:caps/>
                <w:szCs w:val="20"/>
              </w:rPr>
            </w:pPr>
          </w:p>
        </w:tc>
      </w:tr>
      <w:tr w:rsidR="006F3F08" w:rsidTr="006F3F08">
        <w:tblPrEx>
          <w:shd w:val="clear" w:color="auto" w:fill="auto"/>
        </w:tblPrEx>
        <w:trPr>
          <w:cantSplit/>
          <w:trHeight w:val="255"/>
        </w:trPr>
        <w:tc>
          <w:tcPr>
            <w:tcW w:w="1299" w:type="dxa"/>
            <w:tcMar>
              <w:top w:w="15" w:type="dxa"/>
              <w:left w:w="15" w:type="dxa"/>
              <w:bottom w:w="0" w:type="dxa"/>
              <w:right w:w="15" w:type="dxa"/>
            </w:tcMar>
            <w:vAlign w:val="bottom"/>
          </w:tcPr>
          <w:p w:rsidR="006F3F08" w:rsidRDefault="006F3F08">
            <w:pPr>
              <w:pStyle w:val="TableText"/>
            </w:pPr>
            <w:r>
              <w:t>Control POS</w:t>
            </w:r>
          </w:p>
        </w:tc>
        <w:tc>
          <w:tcPr>
            <w:tcW w:w="288" w:type="dxa"/>
            <w:gridSpan w:val="2"/>
            <w:tcMar>
              <w:top w:w="15" w:type="dxa"/>
              <w:left w:w="15" w:type="dxa"/>
              <w:bottom w:w="0" w:type="dxa"/>
              <w:right w:w="15" w:type="dxa"/>
            </w:tcMar>
            <w:vAlign w:val="bottom"/>
          </w:tcPr>
          <w:p w:rsidR="006F3F08" w:rsidRDefault="006F3F08">
            <w:pPr>
              <w:pStyle w:val="TableText"/>
              <w:jc w:val="center"/>
              <w:rPr>
                <w:bCs/>
                <w:caps/>
                <w:szCs w:val="20"/>
              </w:rPr>
            </w:pPr>
          </w:p>
        </w:tc>
        <w:tc>
          <w:tcPr>
            <w:tcW w:w="297" w:type="dxa"/>
            <w:gridSpan w:val="3"/>
            <w:vAlign w:val="bottom"/>
          </w:tcPr>
          <w:p w:rsidR="006F3F08" w:rsidRDefault="006F3F08" w:rsidP="006F3F08">
            <w:pPr>
              <w:pStyle w:val="TableText"/>
              <w:jc w:val="center"/>
              <w:rPr>
                <w:rFonts w:eastAsia="Symbol"/>
                <w:bCs/>
                <w:caps/>
                <w:szCs w:val="20"/>
              </w:rPr>
            </w:pPr>
            <w:r>
              <w:rPr>
                <w:rFonts w:eastAsia="Symbol"/>
                <w:bCs/>
                <w:caps/>
                <w:szCs w:val="20"/>
              </w:rPr>
              <w:t>X</w:t>
            </w:r>
          </w:p>
        </w:tc>
        <w:tc>
          <w:tcPr>
            <w:tcW w:w="308" w:type="dxa"/>
            <w:gridSpan w:val="2"/>
            <w:noWrap/>
            <w:tcMar>
              <w:top w:w="15" w:type="dxa"/>
              <w:left w:w="15" w:type="dxa"/>
              <w:bottom w:w="0" w:type="dxa"/>
              <w:right w:w="15" w:type="dxa"/>
            </w:tcMar>
            <w:vAlign w:val="bottom"/>
          </w:tcPr>
          <w:p w:rsidR="006F3F08" w:rsidRDefault="006F3F08" w:rsidP="006F3F08">
            <w:pPr>
              <w:pStyle w:val="TableText"/>
              <w:jc w:val="center"/>
              <w:rPr>
                <w:rFonts w:eastAsia="Symbol"/>
                <w:bCs/>
                <w:caps/>
                <w:szCs w:val="20"/>
              </w:rPr>
            </w:pPr>
          </w:p>
        </w:tc>
        <w:tc>
          <w:tcPr>
            <w:tcW w:w="290" w:type="dxa"/>
            <w:tcMar>
              <w:top w:w="15" w:type="dxa"/>
              <w:left w:w="15" w:type="dxa"/>
              <w:bottom w:w="0" w:type="dxa"/>
              <w:right w:w="15" w:type="dxa"/>
            </w:tcMar>
            <w:vAlign w:val="bottom"/>
          </w:tcPr>
          <w:p w:rsidR="006F3F08" w:rsidRDefault="006F3F08">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6F3F08" w:rsidRDefault="006F3F08">
            <w:pPr>
              <w:pStyle w:val="TableText"/>
              <w:jc w:val="center"/>
              <w:rPr>
                <w:rFonts w:eastAsia="Symbol"/>
                <w:bCs/>
                <w:caps/>
                <w:szCs w:val="20"/>
              </w:rPr>
            </w:pPr>
          </w:p>
        </w:tc>
        <w:tc>
          <w:tcPr>
            <w:tcW w:w="297" w:type="dxa"/>
            <w:tcMar>
              <w:top w:w="15" w:type="dxa"/>
              <w:left w:w="15" w:type="dxa"/>
              <w:bottom w:w="0" w:type="dxa"/>
              <w:right w:w="15" w:type="dxa"/>
            </w:tcMar>
            <w:vAlign w:val="bottom"/>
          </w:tcPr>
          <w:p w:rsidR="006F3F08" w:rsidRPr="006A5D0F" w:rsidRDefault="006F3F08" w:rsidP="006A5D0F">
            <w:pPr>
              <w:pStyle w:val="TableText"/>
              <w:jc w:val="center"/>
              <w:rPr>
                <w:bCs/>
                <w:caps/>
                <w:szCs w:val="20"/>
              </w:rPr>
            </w:pPr>
          </w:p>
        </w:tc>
        <w:tc>
          <w:tcPr>
            <w:tcW w:w="297" w:type="dxa"/>
            <w:noWrap/>
            <w:tcMar>
              <w:top w:w="15" w:type="dxa"/>
              <w:left w:w="15" w:type="dxa"/>
              <w:bottom w:w="0" w:type="dxa"/>
              <w:right w:w="15" w:type="dxa"/>
            </w:tcMar>
            <w:vAlign w:val="bottom"/>
          </w:tcPr>
          <w:p w:rsidR="006F3F08" w:rsidRDefault="006F3F08">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6F3F08" w:rsidRDefault="006F3F08">
            <w:pPr>
              <w:pStyle w:val="TableText"/>
              <w:jc w:val="center"/>
              <w:rPr>
                <w:rFonts w:eastAsia="Symbol"/>
                <w:bCs/>
                <w:caps/>
                <w:szCs w:val="20"/>
              </w:rPr>
            </w:pPr>
          </w:p>
        </w:tc>
        <w:tc>
          <w:tcPr>
            <w:tcW w:w="289" w:type="dxa"/>
            <w:tcMar>
              <w:top w:w="15" w:type="dxa"/>
              <w:left w:w="15" w:type="dxa"/>
              <w:bottom w:w="0" w:type="dxa"/>
              <w:right w:w="15" w:type="dxa"/>
            </w:tcMar>
            <w:vAlign w:val="bottom"/>
          </w:tcPr>
          <w:p w:rsidR="006F3F08" w:rsidRDefault="006F3F08">
            <w:pPr>
              <w:pStyle w:val="TableText"/>
              <w:jc w:val="center"/>
              <w:rPr>
                <w:bCs/>
                <w:caps/>
                <w:szCs w:val="20"/>
              </w:rPr>
            </w:pPr>
          </w:p>
        </w:tc>
        <w:tc>
          <w:tcPr>
            <w:tcW w:w="297" w:type="dxa"/>
            <w:noWrap/>
            <w:tcMar>
              <w:top w:w="15" w:type="dxa"/>
              <w:left w:w="15" w:type="dxa"/>
              <w:bottom w:w="0" w:type="dxa"/>
              <w:right w:w="15" w:type="dxa"/>
            </w:tcMar>
            <w:vAlign w:val="bottom"/>
          </w:tcPr>
          <w:p w:rsidR="006F3F08" w:rsidRDefault="006F3F08">
            <w:pPr>
              <w:pStyle w:val="TableText"/>
              <w:jc w:val="center"/>
              <w:rPr>
                <w:rFonts w:eastAsia="Symbol"/>
                <w:bCs/>
                <w:caps/>
                <w:szCs w:val="20"/>
              </w:rPr>
            </w:pPr>
          </w:p>
        </w:tc>
        <w:tc>
          <w:tcPr>
            <w:tcW w:w="289" w:type="dxa"/>
            <w:tcMar>
              <w:top w:w="15" w:type="dxa"/>
              <w:left w:w="15" w:type="dxa"/>
              <w:bottom w:w="0" w:type="dxa"/>
              <w:right w:w="15" w:type="dxa"/>
            </w:tcMar>
            <w:vAlign w:val="bottom"/>
          </w:tcPr>
          <w:p w:rsidR="006F3F08" w:rsidRDefault="006F3F08">
            <w:pPr>
              <w:pStyle w:val="TableText"/>
              <w:jc w:val="center"/>
              <w:rPr>
                <w:bCs/>
                <w:caps/>
                <w:szCs w:val="20"/>
              </w:rPr>
            </w:pPr>
          </w:p>
        </w:tc>
        <w:tc>
          <w:tcPr>
            <w:tcW w:w="290" w:type="dxa"/>
            <w:tcMar>
              <w:top w:w="15" w:type="dxa"/>
              <w:left w:w="15" w:type="dxa"/>
              <w:bottom w:w="0" w:type="dxa"/>
              <w:right w:w="15" w:type="dxa"/>
            </w:tcMar>
            <w:vAlign w:val="bottom"/>
          </w:tcPr>
          <w:p w:rsidR="006F3F08" w:rsidRDefault="006F3F08">
            <w:pPr>
              <w:pStyle w:val="TableText"/>
              <w:jc w:val="center"/>
              <w:rPr>
                <w:bCs/>
                <w:caps/>
                <w:szCs w:val="20"/>
              </w:rPr>
            </w:pPr>
          </w:p>
        </w:tc>
        <w:tc>
          <w:tcPr>
            <w:tcW w:w="290" w:type="dxa"/>
            <w:tcMar>
              <w:top w:w="15" w:type="dxa"/>
              <w:left w:w="15" w:type="dxa"/>
              <w:bottom w:w="0" w:type="dxa"/>
              <w:right w:w="15" w:type="dxa"/>
            </w:tcMar>
            <w:vAlign w:val="bottom"/>
          </w:tcPr>
          <w:p w:rsidR="006F3F08" w:rsidRDefault="006F3F08">
            <w:pPr>
              <w:pStyle w:val="TableText"/>
              <w:jc w:val="center"/>
              <w:rPr>
                <w:bCs/>
                <w:caps/>
                <w:szCs w:val="20"/>
              </w:rPr>
            </w:pPr>
          </w:p>
        </w:tc>
        <w:tc>
          <w:tcPr>
            <w:tcW w:w="298" w:type="dxa"/>
            <w:noWrap/>
            <w:tcMar>
              <w:top w:w="15" w:type="dxa"/>
              <w:left w:w="15" w:type="dxa"/>
              <w:bottom w:w="0" w:type="dxa"/>
              <w:right w:w="15" w:type="dxa"/>
            </w:tcMar>
            <w:vAlign w:val="bottom"/>
          </w:tcPr>
          <w:p w:rsidR="006F3F08" w:rsidRDefault="006F3F08">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6F3F08" w:rsidRDefault="006F3F08">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6F3F08" w:rsidRDefault="006F3F08">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6F3F08" w:rsidRDefault="006F3F08">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6F3F08" w:rsidRDefault="006F3F08">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6F3F08" w:rsidRDefault="006F3F08">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6F3F08" w:rsidRDefault="006F3F08">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6F3F08" w:rsidRDefault="006F3F08">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6F3F08" w:rsidRDefault="006F3F08">
            <w:pPr>
              <w:pStyle w:val="TableText"/>
              <w:jc w:val="center"/>
              <w:rPr>
                <w:rFonts w:eastAsia="Symbol"/>
                <w:bCs/>
                <w:caps/>
                <w:szCs w:val="20"/>
              </w:rPr>
            </w:pPr>
          </w:p>
        </w:tc>
        <w:tc>
          <w:tcPr>
            <w:tcW w:w="290" w:type="dxa"/>
            <w:tcMar>
              <w:top w:w="15" w:type="dxa"/>
              <w:left w:w="15" w:type="dxa"/>
              <w:bottom w:w="0" w:type="dxa"/>
              <w:right w:w="15" w:type="dxa"/>
            </w:tcMar>
            <w:vAlign w:val="bottom"/>
          </w:tcPr>
          <w:p w:rsidR="006F3F08" w:rsidRDefault="006F3F08">
            <w:pPr>
              <w:pStyle w:val="TableText"/>
              <w:jc w:val="center"/>
              <w:rPr>
                <w:bCs/>
                <w:caps/>
                <w:szCs w:val="20"/>
              </w:rPr>
            </w:pPr>
          </w:p>
        </w:tc>
        <w:tc>
          <w:tcPr>
            <w:tcW w:w="383" w:type="dxa"/>
            <w:tcMar>
              <w:top w:w="15" w:type="dxa"/>
              <w:left w:w="15" w:type="dxa"/>
              <w:bottom w:w="0" w:type="dxa"/>
              <w:right w:w="15" w:type="dxa"/>
            </w:tcMar>
            <w:vAlign w:val="bottom"/>
          </w:tcPr>
          <w:p w:rsidR="006F3F08" w:rsidRDefault="006F3F08">
            <w:pPr>
              <w:pStyle w:val="TableText"/>
              <w:jc w:val="center"/>
              <w:rPr>
                <w:bCs/>
                <w:caps/>
                <w:szCs w:val="20"/>
              </w:rPr>
            </w:pPr>
          </w:p>
        </w:tc>
        <w:tc>
          <w:tcPr>
            <w:tcW w:w="383" w:type="dxa"/>
            <w:tcMar>
              <w:top w:w="15" w:type="dxa"/>
              <w:left w:w="15" w:type="dxa"/>
              <w:bottom w:w="0" w:type="dxa"/>
              <w:right w:w="15" w:type="dxa"/>
            </w:tcMar>
            <w:vAlign w:val="bottom"/>
          </w:tcPr>
          <w:p w:rsidR="006F3F08" w:rsidRDefault="006F3F08">
            <w:pPr>
              <w:pStyle w:val="TableText"/>
              <w:jc w:val="center"/>
              <w:rPr>
                <w:bCs/>
                <w:caps/>
                <w:szCs w:val="20"/>
              </w:rPr>
            </w:pPr>
          </w:p>
        </w:tc>
        <w:tc>
          <w:tcPr>
            <w:tcW w:w="290" w:type="dxa"/>
            <w:tcMar>
              <w:top w:w="15" w:type="dxa"/>
              <w:left w:w="15" w:type="dxa"/>
              <w:bottom w:w="0" w:type="dxa"/>
              <w:right w:w="15" w:type="dxa"/>
            </w:tcMar>
            <w:vAlign w:val="bottom"/>
          </w:tcPr>
          <w:p w:rsidR="006F3F08" w:rsidRDefault="006F3F08">
            <w:pPr>
              <w:pStyle w:val="TableText"/>
              <w:jc w:val="center"/>
              <w:rPr>
                <w:bCs/>
                <w:caps/>
                <w:szCs w:val="20"/>
              </w:rPr>
            </w:pPr>
          </w:p>
        </w:tc>
        <w:tc>
          <w:tcPr>
            <w:tcW w:w="290" w:type="dxa"/>
            <w:tcMar>
              <w:top w:w="15" w:type="dxa"/>
              <w:left w:w="15" w:type="dxa"/>
              <w:bottom w:w="0" w:type="dxa"/>
              <w:right w:w="15" w:type="dxa"/>
            </w:tcMar>
            <w:vAlign w:val="bottom"/>
          </w:tcPr>
          <w:p w:rsidR="006F3F08" w:rsidRDefault="006F3F08">
            <w:pPr>
              <w:pStyle w:val="TableText"/>
              <w:jc w:val="center"/>
              <w:rPr>
                <w:bCs/>
                <w:caps/>
                <w:szCs w:val="20"/>
              </w:rPr>
            </w:pPr>
          </w:p>
        </w:tc>
        <w:tc>
          <w:tcPr>
            <w:tcW w:w="383" w:type="dxa"/>
            <w:tcMar>
              <w:top w:w="15" w:type="dxa"/>
              <w:left w:w="15" w:type="dxa"/>
              <w:bottom w:w="0" w:type="dxa"/>
              <w:right w:w="15" w:type="dxa"/>
            </w:tcMar>
            <w:vAlign w:val="bottom"/>
          </w:tcPr>
          <w:p w:rsidR="006F3F08" w:rsidRDefault="006F3F08">
            <w:pPr>
              <w:pStyle w:val="TableText"/>
              <w:jc w:val="center"/>
              <w:rPr>
                <w:bCs/>
                <w:caps/>
                <w:szCs w:val="20"/>
              </w:rPr>
            </w:pPr>
          </w:p>
        </w:tc>
        <w:tc>
          <w:tcPr>
            <w:tcW w:w="383" w:type="dxa"/>
            <w:tcMar>
              <w:top w:w="15" w:type="dxa"/>
              <w:left w:w="15" w:type="dxa"/>
              <w:bottom w:w="0" w:type="dxa"/>
              <w:right w:w="15" w:type="dxa"/>
            </w:tcMar>
            <w:vAlign w:val="bottom"/>
          </w:tcPr>
          <w:p w:rsidR="006F3F08" w:rsidRDefault="006F3F08">
            <w:pPr>
              <w:pStyle w:val="TableText"/>
              <w:jc w:val="center"/>
              <w:rPr>
                <w:bCs/>
                <w:caps/>
                <w:szCs w:val="20"/>
              </w:rPr>
            </w:pPr>
          </w:p>
        </w:tc>
        <w:tc>
          <w:tcPr>
            <w:tcW w:w="390" w:type="dxa"/>
            <w:noWrap/>
            <w:tcMar>
              <w:top w:w="15" w:type="dxa"/>
              <w:left w:w="15" w:type="dxa"/>
              <w:bottom w:w="0" w:type="dxa"/>
              <w:right w:w="15" w:type="dxa"/>
            </w:tcMar>
            <w:vAlign w:val="bottom"/>
          </w:tcPr>
          <w:p w:rsidR="006F3F08" w:rsidRDefault="006F3F08">
            <w:pPr>
              <w:pStyle w:val="TableText"/>
              <w:jc w:val="center"/>
              <w:rPr>
                <w:rFonts w:eastAsia="Symbol"/>
                <w:bCs/>
                <w:caps/>
                <w:szCs w:val="20"/>
              </w:rPr>
            </w:pPr>
          </w:p>
        </w:tc>
        <w:tc>
          <w:tcPr>
            <w:tcW w:w="290" w:type="dxa"/>
            <w:tcMar>
              <w:top w:w="15" w:type="dxa"/>
              <w:left w:w="15" w:type="dxa"/>
              <w:bottom w:w="0" w:type="dxa"/>
              <w:right w:w="15" w:type="dxa"/>
            </w:tcMar>
            <w:vAlign w:val="bottom"/>
          </w:tcPr>
          <w:p w:rsidR="006F3F08" w:rsidRDefault="006F3F08">
            <w:pPr>
              <w:pStyle w:val="TableText"/>
              <w:jc w:val="center"/>
              <w:rPr>
                <w:bCs/>
                <w:caps/>
                <w:szCs w:val="20"/>
              </w:rPr>
            </w:pPr>
          </w:p>
        </w:tc>
        <w:tc>
          <w:tcPr>
            <w:tcW w:w="290" w:type="dxa"/>
            <w:tcMar>
              <w:top w:w="15" w:type="dxa"/>
              <w:left w:w="15" w:type="dxa"/>
              <w:bottom w:w="0" w:type="dxa"/>
              <w:right w:w="15" w:type="dxa"/>
            </w:tcMar>
            <w:vAlign w:val="bottom"/>
          </w:tcPr>
          <w:p w:rsidR="006F3F08" w:rsidRDefault="006F3F08">
            <w:pPr>
              <w:pStyle w:val="TableText"/>
              <w:jc w:val="center"/>
              <w:rPr>
                <w:bCs/>
                <w:caps/>
                <w:szCs w:val="20"/>
              </w:rPr>
            </w:pPr>
          </w:p>
        </w:tc>
        <w:tc>
          <w:tcPr>
            <w:tcW w:w="298" w:type="dxa"/>
            <w:noWrap/>
            <w:tcMar>
              <w:top w:w="15" w:type="dxa"/>
              <w:left w:w="15" w:type="dxa"/>
              <w:bottom w:w="0" w:type="dxa"/>
              <w:right w:w="15" w:type="dxa"/>
            </w:tcMar>
            <w:vAlign w:val="bottom"/>
          </w:tcPr>
          <w:p w:rsidR="006F3F08" w:rsidRDefault="006F3F08">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6F3F08" w:rsidRDefault="006F3F08">
            <w:pPr>
              <w:pStyle w:val="TableText"/>
              <w:jc w:val="center"/>
              <w:rPr>
                <w:bCs/>
                <w:caps/>
                <w:szCs w:val="20"/>
              </w:rPr>
            </w:pPr>
          </w:p>
        </w:tc>
        <w:tc>
          <w:tcPr>
            <w:tcW w:w="290" w:type="dxa"/>
            <w:tcMar>
              <w:top w:w="15" w:type="dxa"/>
              <w:left w:w="15" w:type="dxa"/>
              <w:bottom w:w="0" w:type="dxa"/>
              <w:right w:w="15" w:type="dxa"/>
            </w:tcMar>
            <w:vAlign w:val="bottom"/>
          </w:tcPr>
          <w:p w:rsidR="006F3F08" w:rsidRDefault="006F3F08">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6F3F08" w:rsidRDefault="006F3F08">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6F3F08" w:rsidRDefault="006F3F08">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6F3F08" w:rsidRDefault="006F3F08">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6F3F08" w:rsidRDefault="006F3F08">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Counts or levels exceed transfusion trigger</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Critical need</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pPr>
            <w:r>
              <w:t>Disposition for research</w:t>
            </w:r>
          </w:p>
        </w:tc>
        <w:tc>
          <w:tcPr>
            <w:tcW w:w="288" w:type="dxa"/>
            <w:gridSpan w:val="2"/>
            <w:tcMar>
              <w:top w:w="15" w:type="dxa"/>
              <w:left w:w="15" w:type="dxa"/>
              <w:bottom w:w="0" w:type="dxa"/>
              <w:right w:w="15" w:type="dxa"/>
            </w:tcMar>
            <w:vAlign w:val="bottom"/>
          </w:tcPr>
          <w:p w:rsidR="003D06B5" w:rsidRDefault="003D06B5">
            <w:pPr>
              <w:pStyle w:val="TableText"/>
              <w:jc w:val="center"/>
              <w:rPr>
                <w:bCs/>
                <w:szCs w:val="20"/>
              </w:rPr>
            </w:pPr>
          </w:p>
        </w:tc>
        <w:tc>
          <w:tcPr>
            <w:tcW w:w="297" w:type="dxa"/>
            <w:gridSpan w:val="3"/>
          </w:tcPr>
          <w:p w:rsidR="003D06B5" w:rsidRDefault="003D06B5">
            <w:pPr>
              <w:pStyle w:val="TableText"/>
              <w:jc w:val="center"/>
              <w:rPr>
                <w:rFonts w:eastAsia="Symbol"/>
                <w:bC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89" w:type="dxa"/>
            <w:tcMar>
              <w:top w:w="15" w:type="dxa"/>
              <w:left w:w="15" w:type="dxa"/>
              <w:bottom w:w="0" w:type="dxa"/>
              <w:right w:w="15" w:type="dxa"/>
            </w:tcMar>
            <w:vAlign w:val="bottom"/>
          </w:tcPr>
          <w:p w:rsidR="003D06B5" w:rsidRDefault="003D06B5">
            <w:pPr>
              <w:pStyle w:val="TableText"/>
              <w:jc w:val="center"/>
              <w:rPr>
                <w:bC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89" w:type="dxa"/>
            <w:tcMar>
              <w:top w:w="15" w:type="dxa"/>
              <w:left w:w="15" w:type="dxa"/>
              <w:bottom w:w="0" w:type="dxa"/>
              <w:right w:w="15" w:type="dxa"/>
            </w:tcMar>
            <w:vAlign w:val="bottom"/>
          </w:tcPr>
          <w:p w:rsidR="003D06B5" w:rsidRDefault="003D06B5">
            <w:pPr>
              <w:pStyle w:val="TableText"/>
              <w:jc w:val="center"/>
              <w:rPr>
                <w:bCs/>
                <w:szCs w:val="20"/>
              </w:rPr>
            </w:pPr>
            <w:r>
              <w:rPr>
                <w:bCs/>
                <w:szCs w:val="20"/>
              </w:rPr>
              <w:t>X</w:t>
            </w: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383" w:type="dxa"/>
            <w:tcMar>
              <w:top w:w="15" w:type="dxa"/>
              <w:left w:w="15" w:type="dxa"/>
              <w:bottom w:w="0" w:type="dxa"/>
              <w:right w:w="15" w:type="dxa"/>
            </w:tcMar>
            <w:vAlign w:val="bottom"/>
          </w:tcPr>
          <w:p w:rsidR="003D06B5" w:rsidRDefault="003D06B5">
            <w:pPr>
              <w:pStyle w:val="TableText"/>
              <w:jc w:val="center"/>
              <w:rPr>
                <w:bCs/>
                <w:szCs w:val="20"/>
              </w:rPr>
            </w:pPr>
          </w:p>
        </w:tc>
        <w:tc>
          <w:tcPr>
            <w:tcW w:w="383" w:type="dxa"/>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383" w:type="dxa"/>
            <w:tcMar>
              <w:top w:w="15" w:type="dxa"/>
              <w:left w:w="15" w:type="dxa"/>
              <w:bottom w:w="0" w:type="dxa"/>
              <w:right w:w="15" w:type="dxa"/>
            </w:tcMar>
            <w:vAlign w:val="bottom"/>
          </w:tcPr>
          <w:p w:rsidR="003D06B5" w:rsidRDefault="003D06B5">
            <w:pPr>
              <w:pStyle w:val="TableText"/>
              <w:jc w:val="center"/>
              <w:rPr>
                <w:bCs/>
                <w:szCs w:val="20"/>
              </w:rPr>
            </w:pPr>
          </w:p>
        </w:tc>
        <w:tc>
          <w:tcPr>
            <w:tcW w:w="383" w:type="dxa"/>
            <w:tcMar>
              <w:top w:w="15" w:type="dxa"/>
              <w:left w:w="15" w:type="dxa"/>
              <w:bottom w:w="0" w:type="dxa"/>
              <w:right w:w="15" w:type="dxa"/>
            </w:tcMar>
            <w:vAlign w:val="bottom"/>
          </w:tcPr>
          <w:p w:rsidR="003D06B5" w:rsidRDefault="003D06B5">
            <w:pPr>
              <w:pStyle w:val="TableText"/>
              <w:jc w:val="center"/>
              <w:rPr>
                <w:bC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Expired</w:t>
            </w:r>
          </w:p>
        </w:tc>
        <w:tc>
          <w:tcPr>
            <w:tcW w:w="288" w:type="dxa"/>
            <w:gridSpan w:val="2"/>
            <w:tcMar>
              <w:top w:w="15" w:type="dxa"/>
              <w:left w:w="15" w:type="dxa"/>
              <w:bottom w:w="0" w:type="dxa"/>
              <w:right w:w="15" w:type="dxa"/>
            </w:tcMar>
            <w:vAlign w:val="bottom"/>
          </w:tcPr>
          <w:p w:rsidR="003D06B5" w:rsidRDefault="003D06B5">
            <w:pPr>
              <w:pStyle w:val="TableText"/>
              <w:jc w:val="center"/>
              <w:rPr>
                <w:bCs/>
                <w:szCs w:val="20"/>
              </w:rPr>
            </w:pPr>
          </w:p>
        </w:tc>
        <w:tc>
          <w:tcPr>
            <w:tcW w:w="297" w:type="dxa"/>
            <w:gridSpan w:val="3"/>
          </w:tcPr>
          <w:p w:rsidR="003D06B5" w:rsidRDefault="003D06B5">
            <w:pPr>
              <w:pStyle w:val="TableText"/>
              <w:jc w:val="center"/>
              <w:rPr>
                <w:rFonts w:eastAsia="Symbol"/>
                <w:bC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89" w:type="dxa"/>
            <w:tcMar>
              <w:top w:w="15" w:type="dxa"/>
              <w:left w:w="15" w:type="dxa"/>
              <w:bottom w:w="0" w:type="dxa"/>
              <w:right w:w="15" w:type="dxa"/>
            </w:tcMar>
            <w:vAlign w:val="bottom"/>
          </w:tcPr>
          <w:p w:rsidR="003D06B5" w:rsidRDefault="003D06B5">
            <w:pPr>
              <w:pStyle w:val="TableText"/>
              <w:jc w:val="center"/>
              <w:rPr>
                <w:bC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89" w:type="dxa"/>
            <w:tcMar>
              <w:top w:w="15" w:type="dxa"/>
              <w:left w:w="15" w:type="dxa"/>
              <w:bottom w:w="0" w:type="dxa"/>
              <w:right w:w="15" w:type="dxa"/>
            </w:tcMar>
            <w:vAlign w:val="bottom"/>
          </w:tcPr>
          <w:p w:rsidR="003D06B5" w:rsidRDefault="003D06B5">
            <w:pPr>
              <w:pStyle w:val="TableText"/>
              <w:jc w:val="center"/>
              <w:rPr>
                <w:bCs/>
                <w:szCs w:val="20"/>
              </w:rPr>
            </w:pPr>
            <w:r>
              <w:rPr>
                <w:bCs/>
                <w:szCs w:val="20"/>
              </w:rPr>
              <w:t>X</w:t>
            </w: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383" w:type="dxa"/>
            <w:tcMar>
              <w:top w:w="15" w:type="dxa"/>
              <w:left w:w="15" w:type="dxa"/>
              <w:bottom w:w="0" w:type="dxa"/>
              <w:right w:w="15" w:type="dxa"/>
            </w:tcMar>
            <w:vAlign w:val="bottom"/>
          </w:tcPr>
          <w:p w:rsidR="003D06B5" w:rsidRDefault="003D06B5">
            <w:pPr>
              <w:pStyle w:val="TableText"/>
              <w:jc w:val="center"/>
              <w:rPr>
                <w:bCs/>
                <w:szCs w:val="20"/>
              </w:rPr>
            </w:pPr>
          </w:p>
        </w:tc>
        <w:tc>
          <w:tcPr>
            <w:tcW w:w="383" w:type="dxa"/>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383" w:type="dxa"/>
            <w:tcMar>
              <w:top w:w="15" w:type="dxa"/>
              <w:left w:w="15" w:type="dxa"/>
              <w:bottom w:w="0" w:type="dxa"/>
              <w:right w:w="15" w:type="dxa"/>
            </w:tcMar>
            <w:vAlign w:val="bottom"/>
          </w:tcPr>
          <w:p w:rsidR="003D06B5" w:rsidRDefault="003D06B5">
            <w:pPr>
              <w:pStyle w:val="TableText"/>
              <w:jc w:val="center"/>
              <w:rPr>
                <w:bCs/>
                <w:szCs w:val="20"/>
              </w:rPr>
            </w:pPr>
          </w:p>
        </w:tc>
        <w:tc>
          <w:tcPr>
            <w:tcW w:w="383" w:type="dxa"/>
            <w:tcMar>
              <w:top w:w="15" w:type="dxa"/>
              <w:left w:w="15" w:type="dxa"/>
              <w:bottom w:w="0" w:type="dxa"/>
              <w:right w:w="15" w:type="dxa"/>
            </w:tcMar>
            <w:vAlign w:val="bottom"/>
          </w:tcPr>
          <w:p w:rsidR="003D06B5" w:rsidRDefault="003D06B5">
            <w:pPr>
              <w:pStyle w:val="TableText"/>
              <w:jc w:val="center"/>
              <w:rPr>
                <w:bC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szCs w:val="20"/>
              </w:rPr>
            </w:pPr>
            <w:r>
              <w:rPr>
                <w:rFonts w:eastAsia="Symbol"/>
                <w:bC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For use by another patient</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Improperly stored</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r>
              <w:rPr>
                <w:rFonts w:eastAsia="Symbol"/>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lastRenderedPageBreak/>
              <w:t>Inappropriate blood component ordered</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Inappropriate test ordered</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Incinerated</w:t>
            </w:r>
          </w:p>
        </w:tc>
        <w:tc>
          <w:tcPr>
            <w:tcW w:w="288" w:type="dxa"/>
            <w:gridSpan w:val="2"/>
            <w:tcMar>
              <w:top w:w="15" w:type="dxa"/>
              <w:left w:w="15" w:type="dxa"/>
              <w:bottom w:w="0" w:type="dxa"/>
              <w:right w:w="15" w:type="dxa"/>
            </w:tcMar>
            <w:vAlign w:val="bottom"/>
          </w:tcPr>
          <w:p w:rsidR="003D06B5" w:rsidRDefault="003D06B5">
            <w:pPr>
              <w:pStyle w:val="TableText"/>
              <w:jc w:val="center"/>
              <w:rPr>
                <w:bCs/>
                <w:szCs w:val="20"/>
              </w:rPr>
            </w:pPr>
          </w:p>
        </w:tc>
        <w:tc>
          <w:tcPr>
            <w:tcW w:w="297" w:type="dxa"/>
            <w:gridSpan w:val="3"/>
          </w:tcPr>
          <w:p w:rsidR="003D06B5" w:rsidRDefault="003D06B5">
            <w:pPr>
              <w:pStyle w:val="TableText"/>
              <w:jc w:val="center"/>
              <w:rPr>
                <w:rFonts w:eastAsia="Symbol"/>
                <w:bC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89" w:type="dxa"/>
            <w:tcMar>
              <w:top w:w="15" w:type="dxa"/>
              <w:left w:w="15" w:type="dxa"/>
              <w:bottom w:w="0" w:type="dxa"/>
              <w:right w:w="15" w:type="dxa"/>
            </w:tcMar>
            <w:vAlign w:val="bottom"/>
          </w:tcPr>
          <w:p w:rsidR="003D06B5" w:rsidRDefault="003D06B5">
            <w:pPr>
              <w:pStyle w:val="TableText"/>
              <w:jc w:val="center"/>
              <w:rPr>
                <w:bC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89" w:type="dxa"/>
            <w:tcMar>
              <w:top w:w="15" w:type="dxa"/>
              <w:left w:w="15" w:type="dxa"/>
              <w:bottom w:w="0" w:type="dxa"/>
              <w:right w:w="15" w:type="dxa"/>
            </w:tcMar>
            <w:vAlign w:val="bottom"/>
          </w:tcPr>
          <w:p w:rsidR="003D06B5" w:rsidRDefault="003D06B5">
            <w:pPr>
              <w:pStyle w:val="TableText"/>
              <w:jc w:val="center"/>
              <w:rPr>
                <w:bCs/>
                <w:szCs w:val="20"/>
              </w:rPr>
            </w:pPr>
            <w:r>
              <w:rPr>
                <w:bCs/>
                <w:szCs w:val="20"/>
              </w:rPr>
              <w:t>X</w:t>
            </w: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383" w:type="dxa"/>
            <w:tcMar>
              <w:top w:w="15" w:type="dxa"/>
              <w:left w:w="15" w:type="dxa"/>
              <w:bottom w:w="0" w:type="dxa"/>
              <w:right w:w="15" w:type="dxa"/>
            </w:tcMar>
            <w:vAlign w:val="bottom"/>
          </w:tcPr>
          <w:p w:rsidR="003D06B5" w:rsidRDefault="003D06B5">
            <w:pPr>
              <w:pStyle w:val="TableText"/>
              <w:jc w:val="center"/>
              <w:rPr>
                <w:bCs/>
                <w:szCs w:val="20"/>
              </w:rPr>
            </w:pPr>
          </w:p>
        </w:tc>
        <w:tc>
          <w:tcPr>
            <w:tcW w:w="383" w:type="dxa"/>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383" w:type="dxa"/>
            <w:tcMar>
              <w:top w:w="15" w:type="dxa"/>
              <w:left w:w="15" w:type="dxa"/>
              <w:bottom w:w="0" w:type="dxa"/>
              <w:right w:w="15" w:type="dxa"/>
            </w:tcMar>
            <w:vAlign w:val="bottom"/>
          </w:tcPr>
          <w:p w:rsidR="003D06B5" w:rsidRDefault="003D06B5">
            <w:pPr>
              <w:pStyle w:val="TableText"/>
              <w:jc w:val="center"/>
              <w:rPr>
                <w:bCs/>
                <w:szCs w:val="20"/>
              </w:rPr>
            </w:pPr>
          </w:p>
        </w:tc>
        <w:tc>
          <w:tcPr>
            <w:tcW w:w="383" w:type="dxa"/>
            <w:tcMar>
              <w:top w:w="15" w:type="dxa"/>
              <w:left w:w="15" w:type="dxa"/>
              <w:bottom w:w="0" w:type="dxa"/>
              <w:right w:w="15" w:type="dxa"/>
            </w:tcMar>
            <w:vAlign w:val="bottom"/>
          </w:tcPr>
          <w:p w:rsidR="003D06B5" w:rsidRDefault="003D06B5">
            <w:pPr>
              <w:pStyle w:val="TableText"/>
              <w:jc w:val="center"/>
              <w:rPr>
                <w:bC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r>
      <w:tr w:rsidR="003D06B5" w:rsidTr="003D06B5">
        <w:tblPrEx>
          <w:shd w:val="clear" w:color="auto" w:fill="auto"/>
        </w:tblPrEx>
        <w:trPr>
          <w:cantSplit/>
          <w:trHeight w:val="138"/>
        </w:trPr>
        <w:tc>
          <w:tcPr>
            <w:tcW w:w="1299" w:type="dxa"/>
            <w:tcMar>
              <w:top w:w="15" w:type="dxa"/>
              <w:left w:w="15" w:type="dxa"/>
              <w:bottom w:w="0" w:type="dxa"/>
              <w:right w:w="15" w:type="dxa"/>
            </w:tcMar>
            <w:vAlign w:val="bottom"/>
          </w:tcPr>
          <w:p w:rsidR="003D06B5" w:rsidRDefault="003D06B5">
            <w:pPr>
              <w:pStyle w:val="TableText"/>
            </w:pPr>
            <w:r>
              <w:t>Incomplete donor screening tests</w:t>
            </w:r>
          </w:p>
        </w:tc>
        <w:tc>
          <w:tcPr>
            <w:tcW w:w="288" w:type="dxa"/>
            <w:gridSpan w:val="2"/>
            <w:tcMar>
              <w:top w:w="15" w:type="dxa"/>
              <w:left w:w="15" w:type="dxa"/>
              <w:bottom w:w="0" w:type="dxa"/>
              <w:right w:w="15" w:type="dxa"/>
            </w:tcMar>
            <w:vAlign w:val="bottom"/>
          </w:tcPr>
          <w:p w:rsidR="003D06B5" w:rsidRDefault="003D06B5">
            <w:pPr>
              <w:pStyle w:val="TableText"/>
              <w:jc w:val="center"/>
              <w:rPr>
                <w:bCs/>
                <w:szCs w:val="20"/>
              </w:rPr>
            </w:pPr>
          </w:p>
        </w:tc>
        <w:tc>
          <w:tcPr>
            <w:tcW w:w="297" w:type="dxa"/>
            <w:gridSpan w:val="3"/>
          </w:tcPr>
          <w:p w:rsidR="003D06B5" w:rsidRDefault="003D06B5">
            <w:pPr>
              <w:pStyle w:val="TableText"/>
              <w:jc w:val="center"/>
              <w:rPr>
                <w:bC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7" w:type="dxa"/>
            <w:noWrap/>
            <w:tcMar>
              <w:top w:w="15" w:type="dxa"/>
              <w:left w:w="15" w:type="dxa"/>
              <w:bottom w:w="0" w:type="dxa"/>
              <w:right w:w="15" w:type="dxa"/>
            </w:tcMar>
            <w:vAlign w:val="bottom"/>
          </w:tcPr>
          <w:p w:rsidR="003D06B5" w:rsidRDefault="003D06B5">
            <w:pPr>
              <w:pStyle w:val="TableText"/>
              <w:jc w:val="center"/>
              <w:rPr>
                <w:bC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szCs w:val="20"/>
              </w:rPr>
            </w:pPr>
          </w:p>
        </w:tc>
        <w:tc>
          <w:tcPr>
            <w:tcW w:w="297" w:type="dxa"/>
            <w:noWrap/>
            <w:tcMar>
              <w:top w:w="15" w:type="dxa"/>
              <w:left w:w="15" w:type="dxa"/>
              <w:bottom w:w="0" w:type="dxa"/>
              <w:right w:w="15" w:type="dxa"/>
            </w:tcMar>
            <w:vAlign w:val="bottom"/>
          </w:tcPr>
          <w:p w:rsidR="003D06B5" w:rsidRDefault="003D06B5">
            <w:pPr>
              <w:pStyle w:val="TableText"/>
              <w:jc w:val="center"/>
              <w:rPr>
                <w:bCs/>
                <w:szCs w:val="20"/>
              </w:rPr>
            </w:pPr>
          </w:p>
        </w:tc>
        <w:tc>
          <w:tcPr>
            <w:tcW w:w="297" w:type="dxa"/>
            <w:noWrap/>
            <w:tcMar>
              <w:top w:w="15" w:type="dxa"/>
              <w:left w:w="15" w:type="dxa"/>
              <w:bottom w:w="0" w:type="dxa"/>
              <w:right w:w="15" w:type="dxa"/>
            </w:tcMar>
            <w:vAlign w:val="bottom"/>
          </w:tcPr>
          <w:p w:rsidR="003D06B5" w:rsidRDefault="003D06B5">
            <w:pPr>
              <w:pStyle w:val="TableText"/>
              <w:jc w:val="center"/>
              <w:rPr>
                <w:bCs/>
                <w:szCs w:val="20"/>
              </w:rPr>
            </w:pPr>
          </w:p>
        </w:tc>
        <w:tc>
          <w:tcPr>
            <w:tcW w:w="289" w:type="dxa"/>
            <w:tcMar>
              <w:top w:w="15" w:type="dxa"/>
              <w:left w:w="15" w:type="dxa"/>
              <w:bottom w:w="0" w:type="dxa"/>
              <w:right w:w="15" w:type="dxa"/>
            </w:tcMar>
            <w:vAlign w:val="bottom"/>
          </w:tcPr>
          <w:p w:rsidR="003D06B5" w:rsidRDefault="003D06B5">
            <w:pPr>
              <w:pStyle w:val="TableText"/>
              <w:jc w:val="center"/>
              <w:rPr>
                <w:bCs/>
                <w:szCs w:val="20"/>
              </w:rPr>
            </w:pPr>
          </w:p>
        </w:tc>
        <w:tc>
          <w:tcPr>
            <w:tcW w:w="297" w:type="dxa"/>
            <w:noWrap/>
            <w:tcMar>
              <w:top w:w="15" w:type="dxa"/>
              <w:left w:w="15" w:type="dxa"/>
              <w:bottom w:w="0" w:type="dxa"/>
              <w:right w:w="15" w:type="dxa"/>
            </w:tcMar>
            <w:vAlign w:val="bottom"/>
          </w:tcPr>
          <w:p w:rsidR="003D06B5" w:rsidRDefault="003D06B5">
            <w:pPr>
              <w:pStyle w:val="TableText"/>
              <w:jc w:val="center"/>
              <w:rPr>
                <w:bCs/>
                <w:szCs w:val="20"/>
              </w:rPr>
            </w:pPr>
          </w:p>
        </w:tc>
        <w:tc>
          <w:tcPr>
            <w:tcW w:w="289" w:type="dxa"/>
            <w:tcMar>
              <w:top w:w="15" w:type="dxa"/>
              <w:left w:w="15" w:type="dxa"/>
              <w:bottom w:w="0" w:type="dxa"/>
              <w:right w:w="15" w:type="dxa"/>
            </w:tcMar>
            <w:vAlign w:val="bottom"/>
          </w:tcPr>
          <w:p w:rsidR="003D06B5" w:rsidRDefault="003D06B5">
            <w:pPr>
              <w:pStyle w:val="TableText"/>
              <w:jc w:val="center"/>
              <w:rPr>
                <w:bCs/>
                <w:szCs w:val="20"/>
              </w:rPr>
            </w:pPr>
            <w:r>
              <w:rPr>
                <w:bCs/>
                <w:szCs w:val="20"/>
              </w:rPr>
              <w:t>X</w:t>
            </w: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383" w:type="dxa"/>
            <w:tcMar>
              <w:top w:w="15" w:type="dxa"/>
              <w:left w:w="15" w:type="dxa"/>
              <w:bottom w:w="0" w:type="dxa"/>
              <w:right w:w="15" w:type="dxa"/>
            </w:tcMar>
            <w:vAlign w:val="bottom"/>
          </w:tcPr>
          <w:p w:rsidR="003D06B5" w:rsidRDefault="003D06B5">
            <w:pPr>
              <w:pStyle w:val="TableText"/>
              <w:jc w:val="center"/>
              <w:rPr>
                <w:bCs/>
                <w:szCs w:val="20"/>
              </w:rPr>
            </w:pPr>
          </w:p>
        </w:tc>
        <w:tc>
          <w:tcPr>
            <w:tcW w:w="383" w:type="dxa"/>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383" w:type="dxa"/>
            <w:tcMar>
              <w:top w:w="15" w:type="dxa"/>
              <w:left w:w="15" w:type="dxa"/>
              <w:bottom w:w="0" w:type="dxa"/>
              <w:right w:w="15" w:type="dxa"/>
            </w:tcMar>
            <w:vAlign w:val="bottom"/>
          </w:tcPr>
          <w:p w:rsidR="003D06B5" w:rsidRDefault="003D06B5">
            <w:pPr>
              <w:pStyle w:val="TableText"/>
              <w:jc w:val="center"/>
              <w:rPr>
                <w:bCs/>
                <w:szCs w:val="20"/>
              </w:rPr>
            </w:pPr>
          </w:p>
        </w:tc>
        <w:tc>
          <w:tcPr>
            <w:tcW w:w="383" w:type="dxa"/>
            <w:tcMar>
              <w:top w:w="15" w:type="dxa"/>
              <w:left w:w="15" w:type="dxa"/>
              <w:bottom w:w="0" w:type="dxa"/>
              <w:right w:w="15" w:type="dxa"/>
            </w:tcMar>
            <w:vAlign w:val="bottom"/>
          </w:tcPr>
          <w:p w:rsidR="003D06B5" w:rsidRDefault="003D06B5">
            <w:pPr>
              <w:pStyle w:val="TableText"/>
              <w:jc w:val="center"/>
              <w:rPr>
                <w:bCs/>
                <w:szCs w:val="20"/>
              </w:rPr>
            </w:pPr>
          </w:p>
        </w:tc>
        <w:tc>
          <w:tcPr>
            <w:tcW w:w="390" w:type="dxa"/>
            <w:noWrap/>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r>
              <w:rPr>
                <w:bC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r>
              <w:rPr>
                <w:bCs/>
                <w:szCs w:val="20"/>
              </w:rPr>
              <w:t>X</w:t>
            </w: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Incomplete label</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Incomplete or unreadable Phlebotomist ID</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Incorrectly labeled</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Issued to ER</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Lab equipment failure</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Massive transfusion</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r w:rsidRPr="006A5D0F">
              <w:rPr>
                <w:bCs/>
                <w:caps/>
                <w:szCs w:val="20"/>
              </w:rPr>
              <w:t>X</w:t>
            </w: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r>
              <w:rPr>
                <w:rFonts w:eastAsia="Symbol"/>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lastRenderedPageBreak/>
              <w:t>Max time for active orders exceeded</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New lot numbers in use</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New specimen required</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No longer applied</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No longer applies</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No phlebotomist ID</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Order cancelled</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Patient deceased</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r>
              <w:rPr>
                <w:rFonts w:eastAsia="Symbol"/>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Patient discharged or transferred</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rFonts w:eastAsia="Symbol"/>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r>
              <w:rPr>
                <w:rFonts w:eastAsia="Symbol"/>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Patient eligible for specimen extension</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pPr>
            <w:r>
              <w:lastRenderedPageBreak/>
              <w:t>Patient has rouleaux; saline replacement crossmatches are needed</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Patient refuses treatment</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r>
              <w:rPr>
                <w:rFonts w:eastAsia="Symbol"/>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Patient unavailable</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r>
              <w:rPr>
                <w:rFonts w:eastAsia="Symbol"/>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138"/>
        </w:trPr>
        <w:tc>
          <w:tcPr>
            <w:tcW w:w="1299" w:type="dxa"/>
            <w:tcMar>
              <w:top w:w="15" w:type="dxa"/>
              <w:left w:w="15" w:type="dxa"/>
              <w:bottom w:w="0" w:type="dxa"/>
              <w:right w:w="15" w:type="dxa"/>
            </w:tcMar>
            <w:vAlign w:val="bottom"/>
          </w:tcPr>
          <w:p w:rsidR="003D06B5" w:rsidRDefault="003D06B5">
            <w:pPr>
              <w:pStyle w:val="TableText"/>
            </w:pPr>
            <w:r>
              <w:t>Positive donor screening test(s)</w:t>
            </w:r>
          </w:p>
        </w:tc>
        <w:tc>
          <w:tcPr>
            <w:tcW w:w="288" w:type="dxa"/>
            <w:gridSpan w:val="2"/>
            <w:tcMar>
              <w:top w:w="15" w:type="dxa"/>
              <w:left w:w="15" w:type="dxa"/>
              <w:bottom w:w="0" w:type="dxa"/>
              <w:right w:w="15" w:type="dxa"/>
            </w:tcMar>
            <w:vAlign w:val="bottom"/>
          </w:tcPr>
          <w:p w:rsidR="003D06B5" w:rsidRDefault="003D06B5">
            <w:pPr>
              <w:pStyle w:val="TableText"/>
              <w:jc w:val="center"/>
              <w:rPr>
                <w:bCs/>
                <w:szCs w:val="20"/>
              </w:rPr>
            </w:pPr>
          </w:p>
        </w:tc>
        <w:tc>
          <w:tcPr>
            <w:tcW w:w="297" w:type="dxa"/>
            <w:gridSpan w:val="3"/>
          </w:tcPr>
          <w:p w:rsidR="003D06B5" w:rsidRDefault="003D06B5">
            <w:pPr>
              <w:pStyle w:val="TableText"/>
              <w:jc w:val="center"/>
              <w:rPr>
                <w:bC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7" w:type="dxa"/>
            <w:noWrap/>
            <w:tcMar>
              <w:top w:w="15" w:type="dxa"/>
              <w:left w:w="15" w:type="dxa"/>
              <w:bottom w:w="0" w:type="dxa"/>
              <w:right w:w="15" w:type="dxa"/>
            </w:tcMar>
            <w:vAlign w:val="bottom"/>
          </w:tcPr>
          <w:p w:rsidR="003D06B5" w:rsidRDefault="003D06B5">
            <w:pPr>
              <w:pStyle w:val="TableText"/>
              <w:jc w:val="center"/>
              <w:rPr>
                <w:bC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szCs w:val="20"/>
              </w:rPr>
            </w:pPr>
          </w:p>
        </w:tc>
        <w:tc>
          <w:tcPr>
            <w:tcW w:w="297" w:type="dxa"/>
            <w:noWrap/>
            <w:tcMar>
              <w:top w:w="15" w:type="dxa"/>
              <w:left w:w="15" w:type="dxa"/>
              <w:bottom w:w="0" w:type="dxa"/>
              <w:right w:w="15" w:type="dxa"/>
            </w:tcMar>
            <w:vAlign w:val="bottom"/>
          </w:tcPr>
          <w:p w:rsidR="003D06B5" w:rsidRDefault="003D06B5">
            <w:pPr>
              <w:pStyle w:val="TableText"/>
              <w:jc w:val="center"/>
              <w:rPr>
                <w:bCs/>
                <w:szCs w:val="20"/>
              </w:rPr>
            </w:pPr>
          </w:p>
        </w:tc>
        <w:tc>
          <w:tcPr>
            <w:tcW w:w="297" w:type="dxa"/>
            <w:noWrap/>
            <w:tcMar>
              <w:top w:w="15" w:type="dxa"/>
              <w:left w:w="15" w:type="dxa"/>
              <w:bottom w:w="0" w:type="dxa"/>
              <w:right w:w="15" w:type="dxa"/>
            </w:tcMar>
            <w:vAlign w:val="bottom"/>
          </w:tcPr>
          <w:p w:rsidR="003D06B5" w:rsidRDefault="003D06B5">
            <w:pPr>
              <w:pStyle w:val="TableText"/>
              <w:jc w:val="center"/>
              <w:rPr>
                <w:bCs/>
                <w:szCs w:val="20"/>
              </w:rPr>
            </w:pPr>
          </w:p>
        </w:tc>
        <w:tc>
          <w:tcPr>
            <w:tcW w:w="289" w:type="dxa"/>
            <w:tcMar>
              <w:top w:w="15" w:type="dxa"/>
              <w:left w:w="15" w:type="dxa"/>
              <w:bottom w:w="0" w:type="dxa"/>
              <w:right w:w="15" w:type="dxa"/>
            </w:tcMar>
            <w:vAlign w:val="bottom"/>
          </w:tcPr>
          <w:p w:rsidR="003D06B5" w:rsidRDefault="003D06B5">
            <w:pPr>
              <w:pStyle w:val="TableText"/>
              <w:jc w:val="center"/>
              <w:rPr>
                <w:bCs/>
                <w:szCs w:val="20"/>
              </w:rPr>
            </w:pPr>
          </w:p>
        </w:tc>
        <w:tc>
          <w:tcPr>
            <w:tcW w:w="297" w:type="dxa"/>
            <w:noWrap/>
            <w:tcMar>
              <w:top w:w="15" w:type="dxa"/>
              <w:left w:w="15" w:type="dxa"/>
              <w:bottom w:w="0" w:type="dxa"/>
              <w:right w:w="15" w:type="dxa"/>
            </w:tcMar>
            <w:vAlign w:val="bottom"/>
          </w:tcPr>
          <w:p w:rsidR="003D06B5" w:rsidRDefault="003D06B5">
            <w:pPr>
              <w:pStyle w:val="TableText"/>
              <w:jc w:val="center"/>
              <w:rPr>
                <w:bCs/>
                <w:szCs w:val="20"/>
              </w:rPr>
            </w:pPr>
          </w:p>
        </w:tc>
        <w:tc>
          <w:tcPr>
            <w:tcW w:w="289" w:type="dxa"/>
            <w:tcMar>
              <w:top w:w="15" w:type="dxa"/>
              <w:left w:w="15" w:type="dxa"/>
              <w:bottom w:w="0" w:type="dxa"/>
              <w:right w:w="15" w:type="dxa"/>
            </w:tcMar>
            <w:vAlign w:val="bottom"/>
          </w:tcPr>
          <w:p w:rsidR="003D06B5" w:rsidRDefault="003D06B5">
            <w:pPr>
              <w:pStyle w:val="TableText"/>
              <w:jc w:val="center"/>
              <w:rPr>
                <w:bCs/>
                <w:szCs w:val="20"/>
              </w:rPr>
            </w:pPr>
            <w:r>
              <w:rPr>
                <w:bCs/>
                <w:szCs w:val="20"/>
              </w:rPr>
              <w:t>X</w:t>
            </w: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383" w:type="dxa"/>
            <w:tcMar>
              <w:top w:w="15" w:type="dxa"/>
              <w:left w:w="15" w:type="dxa"/>
              <w:bottom w:w="0" w:type="dxa"/>
              <w:right w:w="15" w:type="dxa"/>
            </w:tcMar>
            <w:vAlign w:val="bottom"/>
          </w:tcPr>
          <w:p w:rsidR="003D06B5" w:rsidRDefault="003D06B5">
            <w:pPr>
              <w:pStyle w:val="TableText"/>
              <w:jc w:val="center"/>
              <w:rPr>
                <w:bCs/>
                <w:szCs w:val="20"/>
              </w:rPr>
            </w:pPr>
          </w:p>
        </w:tc>
        <w:tc>
          <w:tcPr>
            <w:tcW w:w="383" w:type="dxa"/>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383" w:type="dxa"/>
            <w:tcMar>
              <w:top w:w="15" w:type="dxa"/>
              <w:left w:w="15" w:type="dxa"/>
              <w:bottom w:w="0" w:type="dxa"/>
              <w:right w:w="15" w:type="dxa"/>
            </w:tcMar>
            <w:vAlign w:val="bottom"/>
          </w:tcPr>
          <w:p w:rsidR="003D06B5" w:rsidRDefault="003D06B5">
            <w:pPr>
              <w:pStyle w:val="TableText"/>
              <w:jc w:val="center"/>
              <w:rPr>
                <w:bCs/>
                <w:szCs w:val="20"/>
              </w:rPr>
            </w:pPr>
          </w:p>
        </w:tc>
        <w:tc>
          <w:tcPr>
            <w:tcW w:w="383" w:type="dxa"/>
            <w:tcMar>
              <w:top w:w="15" w:type="dxa"/>
              <w:left w:w="15" w:type="dxa"/>
              <w:bottom w:w="0" w:type="dxa"/>
              <w:right w:w="15" w:type="dxa"/>
            </w:tcMar>
            <w:vAlign w:val="bottom"/>
          </w:tcPr>
          <w:p w:rsidR="003D06B5" w:rsidRDefault="003D06B5">
            <w:pPr>
              <w:pStyle w:val="TableText"/>
              <w:jc w:val="center"/>
              <w:rPr>
                <w:bCs/>
                <w:szCs w:val="20"/>
              </w:rPr>
            </w:pPr>
          </w:p>
        </w:tc>
        <w:tc>
          <w:tcPr>
            <w:tcW w:w="390" w:type="dxa"/>
            <w:noWrap/>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r>
              <w:rPr>
                <w:bC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r>
              <w:rPr>
                <w:bCs/>
                <w:szCs w:val="20"/>
              </w:rPr>
              <w:t>x</w:t>
            </w:r>
          </w:p>
        </w:tc>
      </w:tr>
      <w:tr w:rsidR="00BA14E9" w:rsidTr="00BA14E9">
        <w:tblPrEx>
          <w:shd w:val="clear" w:color="auto" w:fill="auto"/>
        </w:tblPrEx>
        <w:trPr>
          <w:cantSplit/>
          <w:trHeight w:val="138"/>
        </w:trPr>
        <w:tc>
          <w:tcPr>
            <w:tcW w:w="1299" w:type="dxa"/>
            <w:tcMar>
              <w:top w:w="15" w:type="dxa"/>
              <w:left w:w="15" w:type="dxa"/>
              <w:bottom w:w="0" w:type="dxa"/>
              <w:right w:w="15" w:type="dxa"/>
            </w:tcMar>
            <w:vAlign w:val="bottom"/>
          </w:tcPr>
          <w:p w:rsidR="00BA14E9" w:rsidRDefault="00BA14E9">
            <w:pPr>
              <w:pStyle w:val="TableText"/>
            </w:pPr>
            <w:r>
              <w:t>Post-transfusion reaction</w:t>
            </w:r>
          </w:p>
        </w:tc>
        <w:tc>
          <w:tcPr>
            <w:tcW w:w="288" w:type="dxa"/>
            <w:gridSpan w:val="2"/>
            <w:tcMar>
              <w:top w:w="15" w:type="dxa"/>
              <w:left w:w="15" w:type="dxa"/>
              <w:bottom w:w="0" w:type="dxa"/>
              <w:right w:w="15" w:type="dxa"/>
            </w:tcMar>
            <w:vAlign w:val="bottom"/>
          </w:tcPr>
          <w:p w:rsidR="00BA14E9" w:rsidRDefault="00BA14E9">
            <w:pPr>
              <w:pStyle w:val="TableText"/>
              <w:jc w:val="center"/>
              <w:rPr>
                <w:bCs/>
                <w:szCs w:val="20"/>
              </w:rPr>
            </w:pPr>
          </w:p>
        </w:tc>
        <w:tc>
          <w:tcPr>
            <w:tcW w:w="297" w:type="dxa"/>
            <w:gridSpan w:val="3"/>
            <w:vAlign w:val="bottom"/>
          </w:tcPr>
          <w:p w:rsidR="00BA14E9" w:rsidRDefault="00BA14E9" w:rsidP="00BA14E9">
            <w:pPr>
              <w:pStyle w:val="TableText"/>
              <w:jc w:val="center"/>
              <w:rPr>
                <w:bCs/>
                <w:szCs w:val="20"/>
              </w:rPr>
            </w:pPr>
            <w:r>
              <w:rPr>
                <w:bCs/>
                <w:szCs w:val="20"/>
              </w:rPr>
              <w:t>X</w:t>
            </w:r>
          </w:p>
        </w:tc>
        <w:tc>
          <w:tcPr>
            <w:tcW w:w="308" w:type="dxa"/>
            <w:gridSpan w:val="2"/>
            <w:noWrap/>
            <w:tcMar>
              <w:top w:w="15" w:type="dxa"/>
              <w:left w:w="15" w:type="dxa"/>
              <w:bottom w:w="0" w:type="dxa"/>
              <w:right w:w="15" w:type="dxa"/>
            </w:tcMar>
            <w:vAlign w:val="bottom"/>
          </w:tcPr>
          <w:p w:rsidR="00BA14E9" w:rsidRDefault="00BA14E9">
            <w:pPr>
              <w:pStyle w:val="TableText"/>
              <w:jc w:val="center"/>
              <w:rPr>
                <w:bCs/>
                <w:szCs w:val="20"/>
              </w:rPr>
            </w:pPr>
          </w:p>
        </w:tc>
        <w:tc>
          <w:tcPr>
            <w:tcW w:w="290" w:type="dxa"/>
            <w:tcMar>
              <w:top w:w="15" w:type="dxa"/>
              <w:left w:w="15" w:type="dxa"/>
              <w:bottom w:w="0" w:type="dxa"/>
              <w:right w:w="15" w:type="dxa"/>
            </w:tcMar>
            <w:vAlign w:val="bottom"/>
          </w:tcPr>
          <w:p w:rsidR="00BA14E9" w:rsidRDefault="00BA14E9">
            <w:pPr>
              <w:pStyle w:val="TableText"/>
              <w:jc w:val="center"/>
              <w:rPr>
                <w:bCs/>
                <w:szCs w:val="20"/>
              </w:rPr>
            </w:pPr>
          </w:p>
        </w:tc>
        <w:tc>
          <w:tcPr>
            <w:tcW w:w="297" w:type="dxa"/>
            <w:noWrap/>
            <w:tcMar>
              <w:top w:w="15" w:type="dxa"/>
              <w:left w:w="15" w:type="dxa"/>
              <w:bottom w:w="0" w:type="dxa"/>
              <w:right w:w="15" w:type="dxa"/>
            </w:tcMar>
            <w:vAlign w:val="bottom"/>
          </w:tcPr>
          <w:p w:rsidR="00BA14E9" w:rsidRDefault="00BA14E9">
            <w:pPr>
              <w:pStyle w:val="TableText"/>
              <w:jc w:val="center"/>
              <w:rPr>
                <w:bCs/>
                <w:szCs w:val="20"/>
              </w:rPr>
            </w:pPr>
          </w:p>
        </w:tc>
        <w:tc>
          <w:tcPr>
            <w:tcW w:w="297" w:type="dxa"/>
            <w:tcMar>
              <w:top w:w="15" w:type="dxa"/>
              <w:left w:w="15" w:type="dxa"/>
              <w:bottom w:w="0" w:type="dxa"/>
              <w:right w:w="15" w:type="dxa"/>
            </w:tcMar>
            <w:vAlign w:val="bottom"/>
          </w:tcPr>
          <w:p w:rsidR="00BA14E9" w:rsidRPr="006A5D0F" w:rsidRDefault="00BA14E9" w:rsidP="006A5D0F">
            <w:pPr>
              <w:pStyle w:val="TableText"/>
              <w:jc w:val="center"/>
              <w:rPr>
                <w:bCs/>
                <w:szCs w:val="20"/>
              </w:rPr>
            </w:pPr>
          </w:p>
        </w:tc>
        <w:tc>
          <w:tcPr>
            <w:tcW w:w="297" w:type="dxa"/>
            <w:noWrap/>
            <w:tcMar>
              <w:top w:w="15" w:type="dxa"/>
              <w:left w:w="15" w:type="dxa"/>
              <w:bottom w:w="0" w:type="dxa"/>
              <w:right w:w="15" w:type="dxa"/>
            </w:tcMar>
            <w:vAlign w:val="bottom"/>
          </w:tcPr>
          <w:p w:rsidR="00BA14E9" w:rsidRDefault="00BA14E9">
            <w:pPr>
              <w:pStyle w:val="TableText"/>
              <w:jc w:val="center"/>
              <w:rPr>
                <w:bCs/>
                <w:szCs w:val="20"/>
              </w:rPr>
            </w:pPr>
          </w:p>
        </w:tc>
        <w:tc>
          <w:tcPr>
            <w:tcW w:w="297" w:type="dxa"/>
            <w:noWrap/>
            <w:tcMar>
              <w:top w:w="15" w:type="dxa"/>
              <w:left w:w="15" w:type="dxa"/>
              <w:bottom w:w="0" w:type="dxa"/>
              <w:right w:w="15" w:type="dxa"/>
            </w:tcMar>
            <w:vAlign w:val="bottom"/>
          </w:tcPr>
          <w:p w:rsidR="00BA14E9" w:rsidRDefault="00BA14E9">
            <w:pPr>
              <w:pStyle w:val="TableText"/>
              <w:jc w:val="center"/>
              <w:rPr>
                <w:bCs/>
                <w:szCs w:val="20"/>
              </w:rPr>
            </w:pPr>
          </w:p>
        </w:tc>
        <w:tc>
          <w:tcPr>
            <w:tcW w:w="289" w:type="dxa"/>
            <w:tcMar>
              <w:top w:w="15" w:type="dxa"/>
              <w:left w:w="15" w:type="dxa"/>
              <w:bottom w:w="0" w:type="dxa"/>
              <w:right w:w="15" w:type="dxa"/>
            </w:tcMar>
            <w:vAlign w:val="bottom"/>
          </w:tcPr>
          <w:p w:rsidR="00BA14E9" w:rsidRDefault="00BA14E9">
            <w:pPr>
              <w:pStyle w:val="TableText"/>
              <w:jc w:val="center"/>
              <w:rPr>
                <w:bCs/>
                <w:szCs w:val="20"/>
              </w:rPr>
            </w:pPr>
          </w:p>
        </w:tc>
        <w:tc>
          <w:tcPr>
            <w:tcW w:w="297" w:type="dxa"/>
            <w:noWrap/>
            <w:tcMar>
              <w:top w:w="15" w:type="dxa"/>
              <w:left w:w="15" w:type="dxa"/>
              <w:bottom w:w="0" w:type="dxa"/>
              <w:right w:w="15" w:type="dxa"/>
            </w:tcMar>
            <w:vAlign w:val="bottom"/>
          </w:tcPr>
          <w:p w:rsidR="00BA14E9" w:rsidRDefault="00BA14E9">
            <w:pPr>
              <w:pStyle w:val="TableText"/>
              <w:jc w:val="center"/>
              <w:rPr>
                <w:bCs/>
                <w:szCs w:val="20"/>
              </w:rPr>
            </w:pPr>
          </w:p>
        </w:tc>
        <w:tc>
          <w:tcPr>
            <w:tcW w:w="289" w:type="dxa"/>
            <w:tcMar>
              <w:top w:w="15" w:type="dxa"/>
              <w:left w:w="15" w:type="dxa"/>
              <w:bottom w:w="0" w:type="dxa"/>
              <w:right w:w="15" w:type="dxa"/>
            </w:tcMar>
            <w:vAlign w:val="bottom"/>
          </w:tcPr>
          <w:p w:rsidR="00BA14E9" w:rsidRDefault="00BA14E9">
            <w:pPr>
              <w:pStyle w:val="TableText"/>
              <w:jc w:val="center"/>
              <w:rPr>
                <w:bCs/>
                <w:szCs w:val="20"/>
              </w:rPr>
            </w:pPr>
          </w:p>
        </w:tc>
        <w:tc>
          <w:tcPr>
            <w:tcW w:w="290" w:type="dxa"/>
            <w:tcMar>
              <w:top w:w="15" w:type="dxa"/>
              <w:left w:w="15" w:type="dxa"/>
              <w:bottom w:w="0" w:type="dxa"/>
              <w:right w:w="15" w:type="dxa"/>
            </w:tcMar>
            <w:vAlign w:val="bottom"/>
          </w:tcPr>
          <w:p w:rsidR="00BA14E9" w:rsidRDefault="00BA14E9">
            <w:pPr>
              <w:pStyle w:val="TableText"/>
              <w:jc w:val="center"/>
              <w:rPr>
                <w:bCs/>
                <w:szCs w:val="20"/>
              </w:rPr>
            </w:pPr>
          </w:p>
        </w:tc>
        <w:tc>
          <w:tcPr>
            <w:tcW w:w="290" w:type="dxa"/>
            <w:tcMar>
              <w:top w:w="15" w:type="dxa"/>
              <w:left w:w="15" w:type="dxa"/>
              <w:bottom w:w="0" w:type="dxa"/>
              <w:right w:w="15" w:type="dxa"/>
            </w:tcMar>
            <w:vAlign w:val="bottom"/>
          </w:tcPr>
          <w:p w:rsidR="00BA14E9" w:rsidRDefault="00BA14E9">
            <w:pPr>
              <w:pStyle w:val="TableText"/>
              <w:jc w:val="center"/>
              <w:rPr>
                <w:bCs/>
                <w:szCs w:val="20"/>
              </w:rPr>
            </w:pPr>
          </w:p>
        </w:tc>
        <w:tc>
          <w:tcPr>
            <w:tcW w:w="298" w:type="dxa"/>
            <w:noWrap/>
            <w:tcMar>
              <w:top w:w="15" w:type="dxa"/>
              <w:left w:w="15" w:type="dxa"/>
              <w:bottom w:w="0" w:type="dxa"/>
              <w:right w:w="15" w:type="dxa"/>
            </w:tcMar>
            <w:vAlign w:val="bottom"/>
          </w:tcPr>
          <w:p w:rsidR="00BA14E9" w:rsidRDefault="00BA14E9">
            <w:pPr>
              <w:pStyle w:val="TableText"/>
              <w:jc w:val="center"/>
              <w:rPr>
                <w:bCs/>
                <w:szCs w:val="20"/>
              </w:rPr>
            </w:pPr>
          </w:p>
        </w:tc>
        <w:tc>
          <w:tcPr>
            <w:tcW w:w="298" w:type="dxa"/>
            <w:noWrap/>
            <w:tcMar>
              <w:top w:w="15" w:type="dxa"/>
              <w:left w:w="15" w:type="dxa"/>
              <w:bottom w:w="0" w:type="dxa"/>
              <w:right w:w="15" w:type="dxa"/>
            </w:tcMar>
            <w:vAlign w:val="bottom"/>
          </w:tcPr>
          <w:p w:rsidR="00BA14E9" w:rsidRDefault="00BA14E9">
            <w:pPr>
              <w:pStyle w:val="TableText"/>
              <w:jc w:val="center"/>
              <w:rPr>
                <w:bCs/>
                <w:szCs w:val="20"/>
              </w:rPr>
            </w:pPr>
          </w:p>
        </w:tc>
        <w:tc>
          <w:tcPr>
            <w:tcW w:w="298" w:type="dxa"/>
            <w:noWrap/>
            <w:tcMar>
              <w:top w:w="15" w:type="dxa"/>
              <w:left w:w="15" w:type="dxa"/>
              <w:bottom w:w="0" w:type="dxa"/>
              <w:right w:w="15" w:type="dxa"/>
            </w:tcMar>
            <w:vAlign w:val="bottom"/>
          </w:tcPr>
          <w:p w:rsidR="00BA14E9" w:rsidRDefault="00BA14E9">
            <w:pPr>
              <w:pStyle w:val="TableText"/>
              <w:jc w:val="center"/>
              <w:rPr>
                <w:bCs/>
                <w:szCs w:val="20"/>
              </w:rPr>
            </w:pPr>
          </w:p>
        </w:tc>
        <w:tc>
          <w:tcPr>
            <w:tcW w:w="298" w:type="dxa"/>
            <w:noWrap/>
            <w:tcMar>
              <w:top w:w="15" w:type="dxa"/>
              <w:left w:w="15" w:type="dxa"/>
              <w:bottom w:w="0" w:type="dxa"/>
              <w:right w:w="15" w:type="dxa"/>
            </w:tcMar>
            <w:vAlign w:val="bottom"/>
          </w:tcPr>
          <w:p w:rsidR="00BA14E9" w:rsidRDefault="00BA14E9">
            <w:pPr>
              <w:pStyle w:val="TableText"/>
              <w:jc w:val="center"/>
              <w:rPr>
                <w:bCs/>
                <w:szCs w:val="20"/>
              </w:rPr>
            </w:pPr>
          </w:p>
        </w:tc>
        <w:tc>
          <w:tcPr>
            <w:tcW w:w="298" w:type="dxa"/>
            <w:noWrap/>
            <w:tcMar>
              <w:top w:w="15" w:type="dxa"/>
              <w:left w:w="15" w:type="dxa"/>
              <w:bottom w:w="0" w:type="dxa"/>
              <w:right w:w="15" w:type="dxa"/>
            </w:tcMar>
            <w:vAlign w:val="bottom"/>
          </w:tcPr>
          <w:p w:rsidR="00BA14E9" w:rsidRDefault="00BA14E9">
            <w:pPr>
              <w:pStyle w:val="TableText"/>
              <w:jc w:val="center"/>
              <w:rPr>
                <w:bCs/>
                <w:szCs w:val="20"/>
              </w:rPr>
            </w:pPr>
          </w:p>
        </w:tc>
        <w:tc>
          <w:tcPr>
            <w:tcW w:w="298" w:type="dxa"/>
            <w:noWrap/>
            <w:tcMar>
              <w:top w:w="15" w:type="dxa"/>
              <w:left w:w="15" w:type="dxa"/>
              <w:bottom w:w="0" w:type="dxa"/>
              <w:right w:w="15" w:type="dxa"/>
            </w:tcMar>
            <w:vAlign w:val="bottom"/>
          </w:tcPr>
          <w:p w:rsidR="00BA14E9" w:rsidRDefault="00BA14E9">
            <w:pPr>
              <w:pStyle w:val="TableText"/>
              <w:jc w:val="center"/>
              <w:rPr>
                <w:bCs/>
                <w:szCs w:val="20"/>
              </w:rPr>
            </w:pPr>
          </w:p>
        </w:tc>
        <w:tc>
          <w:tcPr>
            <w:tcW w:w="298" w:type="dxa"/>
            <w:noWrap/>
            <w:tcMar>
              <w:top w:w="15" w:type="dxa"/>
              <w:left w:w="15" w:type="dxa"/>
              <w:bottom w:w="0" w:type="dxa"/>
              <w:right w:w="15" w:type="dxa"/>
            </w:tcMar>
            <w:vAlign w:val="bottom"/>
          </w:tcPr>
          <w:p w:rsidR="00BA14E9" w:rsidRDefault="00BA14E9">
            <w:pPr>
              <w:pStyle w:val="TableText"/>
              <w:jc w:val="center"/>
              <w:rPr>
                <w:bCs/>
                <w:szCs w:val="20"/>
              </w:rPr>
            </w:pPr>
          </w:p>
        </w:tc>
        <w:tc>
          <w:tcPr>
            <w:tcW w:w="298" w:type="dxa"/>
            <w:noWrap/>
            <w:tcMar>
              <w:top w:w="15" w:type="dxa"/>
              <w:left w:w="15" w:type="dxa"/>
              <w:bottom w:w="0" w:type="dxa"/>
              <w:right w:w="15" w:type="dxa"/>
            </w:tcMar>
            <w:vAlign w:val="bottom"/>
          </w:tcPr>
          <w:p w:rsidR="00BA14E9" w:rsidRDefault="00BA14E9">
            <w:pPr>
              <w:pStyle w:val="TableText"/>
              <w:jc w:val="center"/>
              <w:rPr>
                <w:bCs/>
                <w:szCs w:val="20"/>
              </w:rPr>
            </w:pPr>
          </w:p>
        </w:tc>
        <w:tc>
          <w:tcPr>
            <w:tcW w:w="298" w:type="dxa"/>
            <w:noWrap/>
            <w:tcMar>
              <w:top w:w="15" w:type="dxa"/>
              <w:left w:w="15" w:type="dxa"/>
              <w:bottom w:w="0" w:type="dxa"/>
              <w:right w:w="15" w:type="dxa"/>
            </w:tcMar>
            <w:vAlign w:val="bottom"/>
          </w:tcPr>
          <w:p w:rsidR="00BA14E9" w:rsidRDefault="00BA14E9">
            <w:pPr>
              <w:pStyle w:val="TableText"/>
              <w:jc w:val="center"/>
              <w:rPr>
                <w:bCs/>
                <w:szCs w:val="20"/>
              </w:rPr>
            </w:pPr>
          </w:p>
        </w:tc>
        <w:tc>
          <w:tcPr>
            <w:tcW w:w="290" w:type="dxa"/>
            <w:tcMar>
              <w:top w:w="15" w:type="dxa"/>
              <w:left w:w="15" w:type="dxa"/>
              <w:bottom w:w="0" w:type="dxa"/>
              <w:right w:w="15" w:type="dxa"/>
            </w:tcMar>
            <w:vAlign w:val="bottom"/>
          </w:tcPr>
          <w:p w:rsidR="00BA14E9" w:rsidRDefault="00BA14E9">
            <w:pPr>
              <w:pStyle w:val="TableText"/>
              <w:jc w:val="center"/>
              <w:rPr>
                <w:bCs/>
                <w:szCs w:val="20"/>
              </w:rPr>
            </w:pPr>
          </w:p>
        </w:tc>
        <w:tc>
          <w:tcPr>
            <w:tcW w:w="383" w:type="dxa"/>
            <w:tcMar>
              <w:top w:w="15" w:type="dxa"/>
              <w:left w:w="15" w:type="dxa"/>
              <w:bottom w:w="0" w:type="dxa"/>
              <w:right w:w="15" w:type="dxa"/>
            </w:tcMar>
            <w:vAlign w:val="bottom"/>
          </w:tcPr>
          <w:p w:rsidR="00BA14E9" w:rsidRDefault="00BA14E9">
            <w:pPr>
              <w:pStyle w:val="TableText"/>
              <w:jc w:val="center"/>
              <w:rPr>
                <w:bCs/>
                <w:szCs w:val="20"/>
              </w:rPr>
            </w:pPr>
          </w:p>
        </w:tc>
        <w:tc>
          <w:tcPr>
            <w:tcW w:w="383" w:type="dxa"/>
            <w:tcMar>
              <w:top w:w="15" w:type="dxa"/>
              <w:left w:w="15" w:type="dxa"/>
              <w:bottom w:w="0" w:type="dxa"/>
              <w:right w:w="15" w:type="dxa"/>
            </w:tcMar>
            <w:vAlign w:val="bottom"/>
          </w:tcPr>
          <w:p w:rsidR="00BA14E9" w:rsidRDefault="00BA14E9">
            <w:pPr>
              <w:pStyle w:val="TableText"/>
              <w:jc w:val="center"/>
              <w:rPr>
                <w:bCs/>
                <w:szCs w:val="20"/>
              </w:rPr>
            </w:pPr>
          </w:p>
        </w:tc>
        <w:tc>
          <w:tcPr>
            <w:tcW w:w="290" w:type="dxa"/>
            <w:tcMar>
              <w:top w:w="15" w:type="dxa"/>
              <w:left w:w="15" w:type="dxa"/>
              <w:bottom w:w="0" w:type="dxa"/>
              <w:right w:w="15" w:type="dxa"/>
            </w:tcMar>
            <w:vAlign w:val="bottom"/>
          </w:tcPr>
          <w:p w:rsidR="00BA14E9" w:rsidRDefault="00BA14E9">
            <w:pPr>
              <w:pStyle w:val="TableText"/>
              <w:jc w:val="center"/>
              <w:rPr>
                <w:bCs/>
                <w:szCs w:val="20"/>
              </w:rPr>
            </w:pPr>
          </w:p>
        </w:tc>
        <w:tc>
          <w:tcPr>
            <w:tcW w:w="290" w:type="dxa"/>
            <w:tcMar>
              <w:top w:w="15" w:type="dxa"/>
              <w:left w:w="15" w:type="dxa"/>
              <w:bottom w:w="0" w:type="dxa"/>
              <w:right w:w="15" w:type="dxa"/>
            </w:tcMar>
            <w:vAlign w:val="bottom"/>
          </w:tcPr>
          <w:p w:rsidR="00BA14E9" w:rsidRDefault="00BA14E9">
            <w:pPr>
              <w:pStyle w:val="TableText"/>
              <w:jc w:val="center"/>
              <w:rPr>
                <w:bCs/>
                <w:szCs w:val="20"/>
              </w:rPr>
            </w:pPr>
          </w:p>
        </w:tc>
        <w:tc>
          <w:tcPr>
            <w:tcW w:w="383" w:type="dxa"/>
            <w:tcMar>
              <w:top w:w="15" w:type="dxa"/>
              <w:left w:w="15" w:type="dxa"/>
              <w:bottom w:w="0" w:type="dxa"/>
              <w:right w:w="15" w:type="dxa"/>
            </w:tcMar>
            <w:vAlign w:val="bottom"/>
          </w:tcPr>
          <w:p w:rsidR="00BA14E9" w:rsidRDefault="00BA14E9">
            <w:pPr>
              <w:pStyle w:val="TableText"/>
              <w:jc w:val="center"/>
              <w:rPr>
                <w:bCs/>
                <w:szCs w:val="20"/>
              </w:rPr>
            </w:pPr>
          </w:p>
        </w:tc>
        <w:tc>
          <w:tcPr>
            <w:tcW w:w="383" w:type="dxa"/>
            <w:tcMar>
              <w:top w:w="15" w:type="dxa"/>
              <w:left w:w="15" w:type="dxa"/>
              <w:bottom w:w="0" w:type="dxa"/>
              <w:right w:w="15" w:type="dxa"/>
            </w:tcMar>
            <w:vAlign w:val="bottom"/>
          </w:tcPr>
          <w:p w:rsidR="00BA14E9" w:rsidRDefault="00BA14E9">
            <w:pPr>
              <w:pStyle w:val="TableText"/>
              <w:jc w:val="center"/>
              <w:rPr>
                <w:bCs/>
                <w:szCs w:val="20"/>
              </w:rPr>
            </w:pPr>
          </w:p>
        </w:tc>
        <w:tc>
          <w:tcPr>
            <w:tcW w:w="390" w:type="dxa"/>
            <w:noWrap/>
            <w:tcMar>
              <w:top w:w="15" w:type="dxa"/>
              <w:left w:w="15" w:type="dxa"/>
              <w:bottom w:w="0" w:type="dxa"/>
              <w:right w:w="15" w:type="dxa"/>
            </w:tcMar>
            <w:vAlign w:val="bottom"/>
          </w:tcPr>
          <w:p w:rsidR="00BA14E9" w:rsidRDefault="00BA14E9">
            <w:pPr>
              <w:pStyle w:val="TableText"/>
              <w:jc w:val="center"/>
              <w:rPr>
                <w:bCs/>
                <w:szCs w:val="20"/>
              </w:rPr>
            </w:pPr>
          </w:p>
        </w:tc>
        <w:tc>
          <w:tcPr>
            <w:tcW w:w="290" w:type="dxa"/>
            <w:tcMar>
              <w:top w:w="15" w:type="dxa"/>
              <w:left w:w="15" w:type="dxa"/>
              <w:bottom w:w="0" w:type="dxa"/>
              <w:right w:w="15" w:type="dxa"/>
            </w:tcMar>
            <w:vAlign w:val="bottom"/>
          </w:tcPr>
          <w:p w:rsidR="00BA14E9" w:rsidRDefault="00BA14E9">
            <w:pPr>
              <w:pStyle w:val="TableText"/>
              <w:jc w:val="center"/>
              <w:rPr>
                <w:bCs/>
                <w:szCs w:val="20"/>
              </w:rPr>
            </w:pPr>
          </w:p>
        </w:tc>
        <w:tc>
          <w:tcPr>
            <w:tcW w:w="290" w:type="dxa"/>
            <w:tcMar>
              <w:top w:w="15" w:type="dxa"/>
              <w:left w:w="15" w:type="dxa"/>
              <w:bottom w:w="0" w:type="dxa"/>
              <w:right w:w="15" w:type="dxa"/>
            </w:tcMar>
            <w:vAlign w:val="bottom"/>
          </w:tcPr>
          <w:p w:rsidR="00BA14E9" w:rsidRDefault="00BA14E9">
            <w:pPr>
              <w:pStyle w:val="TableText"/>
              <w:jc w:val="center"/>
              <w:rPr>
                <w:bCs/>
                <w:szCs w:val="20"/>
              </w:rPr>
            </w:pPr>
          </w:p>
        </w:tc>
        <w:tc>
          <w:tcPr>
            <w:tcW w:w="298" w:type="dxa"/>
            <w:noWrap/>
            <w:tcMar>
              <w:top w:w="15" w:type="dxa"/>
              <w:left w:w="15" w:type="dxa"/>
              <w:bottom w:w="0" w:type="dxa"/>
              <w:right w:w="15" w:type="dxa"/>
            </w:tcMar>
            <w:vAlign w:val="bottom"/>
          </w:tcPr>
          <w:p w:rsidR="00BA14E9" w:rsidRDefault="00BA14E9">
            <w:pPr>
              <w:pStyle w:val="TableText"/>
              <w:jc w:val="center"/>
              <w:rPr>
                <w:bCs/>
                <w:szCs w:val="20"/>
              </w:rPr>
            </w:pPr>
          </w:p>
        </w:tc>
        <w:tc>
          <w:tcPr>
            <w:tcW w:w="298" w:type="dxa"/>
            <w:noWrap/>
            <w:tcMar>
              <w:top w:w="15" w:type="dxa"/>
              <w:left w:w="15" w:type="dxa"/>
              <w:bottom w:w="0" w:type="dxa"/>
              <w:right w:w="15" w:type="dxa"/>
            </w:tcMar>
            <w:vAlign w:val="bottom"/>
          </w:tcPr>
          <w:p w:rsidR="00BA14E9" w:rsidRDefault="00BA14E9">
            <w:pPr>
              <w:pStyle w:val="TableText"/>
              <w:jc w:val="center"/>
              <w:rPr>
                <w:bCs/>
                <w:szCs w:val="20"/>
              </w:rPr>
            </w:pPr>
          </w:p>
        </w:tc>
        <w:tc>
          <w:tcPr>
            <w:tcW w:w="290" w:type="dxa"/>
            <w:tcMar>
              <w:top w:w="15" w:type="dxa"/>
              <w:left w:w="15" w:type="dxa"/>
              <w:bottom w:w="0" w:type="dxa"/>
              <w:right w:w="15" w:type="dxa"/>
            </w:tcMar>
            <w:vAlign w:val="bottom"/>
          </w:tcPr>
          <w:p w:rsidR="00BA14E9" w:rsidRDefault="00BA14E9">
            <w:pPr>
              <w:pStyle w:val="TableText"/>
              <w:jc w:val="center"/>
              <w:rPr>
                <w:bCs/>
                <w:szCs w:val="20"/>
              </w:rPr>
            </w:pPr>
          </w:p>
        </w:tc>
        <w:tc>
          <w:tcPr>
            <w:tcW w:w="298" w:type="dxa"/>
            <w:noWrap/>
            <w:tcMar>
              <w:top w:w="15" w:type="dxa"/>
              <w:left w:w="15" w:type="dxa"/>
              <w:bottom w:w="0" w:type="dxa"/>
              <w:right w:w="15" w:type="dxa"/>
            </w:tcMar>
            <w:vAlign w:val="bottom"/>
          </w:tcPr>
          <w:p w:rsidR="00BA14E9" w:rsidRDefault="00BA14E9">
            <w:pPr>
              <w:pStyle w:val="TableText"/>
              <w:jc w:val="center"/>
              <w:rPr>
                <w:bCs/>
                <w:szCs w:val="20"/>
              </w:rPr>
            </w:pPr>
          </w:p>
        </w:tc>
        <w:tc>
          <w:tcPr>
            <w:tcW w:w="298" w:type="dxa"/>
            <w:noWrap/>
            <w:tcMar>
              <w:top w:w="15" w:type="dxa"/>
              <w:left w:w="15" w:type="dxa"/>
              <w:bottom w:w="0" w:type="dxa"/>
              <w:right w:w="15" w:type="dxa"/>
            </w:tcMar>
            <w:vAlign w:val="bottom"/>
          </w:tcPr>
          <w:p w:rsidR="00BA14E9" w:rsidRDefault="00BA14E9">
            <w:pPr>
              <w:pStyle w:val="TableText"/>
              <w:jc w:val="center"/>
              <w:rPr>
                <w:bCs/>
                <w:szCs w:val="20"/>
              </w:rPr>
            </w:pPr>
          </w:p>
        </w:tc>
        <w:tc>
          <w:tcPr>
            <w:tcW w:w="298" w:type="dxa"/>
            <w:noWrap/>
            <w:tcMar>
              <w:top w:w="15" w:type="dxa"/>
              <w:left w:w="15" w:type="dxa"/>
              <w:bottom w:w="0" w:type="dxa"/>
              <w:right w:w="15" w:type="dxa"/>
            </w:tcMar>
            <w:vAlign w:val="bottom"/>
          </w:tcPr>
          <w:p w:rsidR="00BA14E9" w:rsidRDefault="00BA14E9">
            <w:pPr>
              <w:pStyle w:val="TableText"/>
              <w:jc w:val="center"/>
              <w:rPr>
                <w:bCs/>
                <w:szCs w:val="20"/>
              </w:rPr>
            </w:pPr>
          </w:p>
        </w:tc>
        <w:tc>
          <w:tcPr>
            <w:tcW w:w="298" w:type="dxa"/>
            <w:noWrap/>
            <w:tcMar>
              <w:top w:w="15" w:type="dxa"/>
              <w:left w:w="15" w:type="dxa"/>
              <w:bottom w:w="0" w:type="dxa"/>
              <w:right w:w="15" w:type="dxa"/>
            </w:tcMar>
            <w:vAlign w:val="bottom"/>
          </w:tcPr>
          <w:p w:rsidR="00BA14E9" w:rsidRDefault="00BA14E9">
            <w:pPr>
              <w:pStyle w:val="TableText"/>
              <w:jc w:val="center"/>
              <w:rPr>
                <w:bC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Pre-op Workup</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138"/>
        </w:trPr>
        <w:tc>
          <w:tcPr>
            <w:tcW w:w="1299" w:type="dxa"/>
            <w:tcMar>
              <w:top w:w="15" w:type="dxa"/>
              <w:left w:w="15" w:type="dxa"/>
              <w:bottom w:w="0" w:type="dxa"/>
              <w:right w:w="15" w:type="dxa"/>
            </w:tcMar>
            <w:vAlign w:val="bottom"/>
          </w:tcPr>
          <w:p w:rsidR="003D06B5" w:rsidRDefault="003D06B5">
            <w:pPr>
              <w:pStyle w:val="TableText"/>
            </w:pPr>
            <w:r>
              <w:t>Product shortage</w:t>
            </w:r>
          </w:p>
        </w:tc>
        <w:tc>
          <w:tcPr>
            <w:tcW w:w="288" w:type="dxa"/>
            <w:gridSpan w:val="2"/>
            <w:tcMar>
              <w:top w:w="15" w:type="dxa"/>
              <w:left w:w="15" w:type="dxa"/>
              <w:bottom w:w="0" w:type="dxa"/>
              <w:right w:w="15" w:type="dxa"/>
            </w:tcMar>
            <w:vAlign w:val="bottom"/>
          </w:tcPr>
          <w:p w:rsidR="003D06B5" w:rsidRDefault="003D06B5">
            <w:pPr>
              <w:pStyle w:val="TableText"/>
              <w:jc w:val="center"/>
              <w:rPr>
                <w:bCs/>
                <w:szCs w:val="20"/>
              </w:rPr>
            </w:pPr>
          </w:p>
        </w:tc>
        <w:tc>
          <w:tcPr>
            <w:tcW w:w="297" w:type="dxa"/>
            <w:gridSpan w:val="3"/>
          </w:tcPr>
          <w:p w:rsidR="003D06B5" w:rsidRDefault="003D06B5">
            <w:pPr>
              <w:pStyle w:val="TableText"/>
              <w:jc w:val="center"/>
              <w:rPr>
                <w:bC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7" w:type="dxa"/>
            <w:noWrap/>
            <w:tcMar>
              <w:top w:w="15" w:type="dxa"/>
              <w:left w:w="15" w:type="dxa"/>
              <w:bottom w:w="0" w:type="dxa"/>
              <w:right w:w="15" w:type="dxa"/>
            </w:tcMar>
            <w:vAlign w:val="bottom"/>
          </w:tcPr>
          <w:p w:rsidR="003D06B5" w:rsidRDefault="003D06B5">
            <w:pPr>
              <w:pStyle w:val="TableText"/>
              <w:jc w:val="center"/>
              <w:rPr>
                <w:bC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szCs w:val="20"/>
              </w:rPr>
            </w:pPr>
          </w:p>
        </w:tc>
        <w:tc>
          <w:tcPr>
            <w:tcW w:w="297" w:type="dxa"/>
            <w:noWrap/>
            <w:tcMar>
              <w:top w:w="15" w:type="dxa"/>
              <w:left w:w="15" w:type="dxa"/>
              <w:bottom w:w="0" w:type="dxa"/>
              <w:right w:w="15" w:type="dxa"/>
            </w:tcMar>
            <w:vAlign w:val="bottom"/>
          </w:tcPr>
          <w:p w:rsidR="003D06B5" w:rsidRDefault="003D06B5">
            <w:pPr>
              <w:pStyle w:val="TableText"/>
              <w:jc w:val="center"/>
              <w:rPr>
                <w:bCs/>
                <w:szCs w:val="20"/>
              </w:rPr>
            </w:pPr>
          </w:p>
        </w:tc>
        <w:tc>
          <w:tcPr>
            <w:tcW w:w="297" w:type="dxa"/>
            <w:noWrap/>
            <w:tcMar>
              <w:top w:w="15" w:type="dxa"/>
              <w:left w:w="15" w:type="dxa"/>
              <w:bottom w:w="0" w:type="dxa"/>
              <w:right w:w="15" w:type="dxa"/>
            </w:tcMar>
            <w:vAlign w:val="bottom"/>
          </w:tcPr>
          <w:p w:rsidR="003D06B5" w:rsidRDefault="003D06B5">
            <w:pPr>
              <w:pStyle w:val="TableText"/>
              <w:jc w:val="center"/>
              <w:rPr>
                <w:bCs/>
                <w:szCs w:val="20"/>
              </w:rPr>
            </w:pPr>
          </w:p>
        </w:tc>
        <w:tc>
          <w:tcPr>
            <w:tcW w:w="289" w:type="dxa"/>
            <w:tcMar>
              <w:top w:w="15" w:type="dxa"/>
              <w:left w:w="15" w:type="dxa"/>
              <w:bottom w:w="0" w:type="dxa"/>
              <w:right w:w="15" w:type="dxa"/>
            </w:tcMar>
            <w:vAlign w:val="bottom"/>
          </w:tcPr>
          <w:p w:rsidR="003D06B5" w:rsidRDefault="003D06B5">
            <w:pPr>
              <w:pStyle w:val="TableText"/>
              <w:jc w:val="center"/>
              <w:rPr>
                <w:bCs/>
                <w:szCs w:val="20"/>
              </w:rPr>
            </w:pPr>
          </w:p>
        </w:tc>
        <w:tc>
          <w:tcPr>
            <w:tcW w:w="297" w:type="dxa"/>
            <w:noWrap/>
            <w:tcMar>
              <w:top w:w="15" w:type="dxa"/>
              <w:left w:w="15" w:type="dxa"/>
              <w:bottom w:w="0" w:type="dxa"/>
              <w:right w:w="15" w:type="dxa"/>
            </w:tcMar>
            <w:vAlign w:val="bottom"/>
          </w:tcPr>
          <w:p w:rsidR="003D06B5" w:rsidRDefault="003D06B5">
            <w:pPr>
              <w:pStyle w:val="TableText"/>
              <w:jc w:val="center"/>
              <w:rPr>
                <w:bCs/>
                <w:szCs w:val="20"/>
              </w:rPr>
            </w:pPr>
          </w:p>
        </w:tc>
        <w:tc>
          <w:tcPr>
            <w:tcW w:w="289" w:type="dxa"/>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r>
              <w:rPr>
                <w:bCs/>
                <w:szCs w:val="20"/>
              </w:rPr>
              <w:t>X</w:t>
            </w: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383" w:type="dxa"/>
            <w:tcMar>
              <w:top w:w="15" w:type="dxa"/>
              <w:left w:w="15" w:type="dxa"/>
              <w:bottom w:w="0" w:type="dxa"/>
              <w:right w:w="15" w:type="dxa"/>
            </w:tcMar>
            <w:vAlign w:val="bottom"/>
          </w:tcPr>
          <w:p w:rsidR="003D06B5" w:rsidRDefault="003D06B5">
            <w:pPr>
              <w:pStyle w:val="TableText"/>
              <w:jc w:val="center"/>
              <w:rPr>
                <w:bCs/>
                <w:szCs w:val="20"/>
              </w:rPr>
            </w:pPr>
          </w:p>
        </w:tc>
        <w:tc>
          <w:tcPr>
            <w:tcW w:w="383" w:type="dxa"/>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383" w:type="dxa"/>
            <w:tcMar>
              <w:top w:w="15" w:type="dxa"/>
              <w:left w:w="15" w:type="dxa"/>
              <w:bottom w:w="0" w:type="dxa"/>
              <w:right w:w="15" w:type="dxa"/>
            </w:tcMar>
            <w:vAlign w:val="bottom"/>
          </w:tcPr>
          <w:p w:rsidR="003D06B5" w:rsidRDefault="003D06B5">
            <w:pPr>
              <w:pStyle w:val="TableText"/>
              <w:jc w:val="center"/>
              <w:rPr>
                <w:bCs/>
                <w:szCs w:val="20"/>
              </w:rPr>
            </w:pPr>
          </w:p>
        </w:tc>
        <w:tc>
          <w:tcPr>
            <w:tcW w:w="383" w:type="dxa"/>
            <w:tcMar>
              <w:top w:w="15" w:type="dxa"/>
              <w:left w:w="15" w:type="dxa"/>
              <w:bottom w:w="0" w:type="dxa"/>
              <w:right w:w="15" w:type="dxa"/>
            </w:tcMar>
            <w:vAlign w:val="bottom"/>
          </w:tcPr>
          <w:p w:rsidR="003D06B5" w:rsidRDefault="003D06B5">
            <w:pPr>
              <w:pStyle w:val="TableText"/>
              <w:jc w:val="center"/>
              <w:rPr>
                <w:bCs/>
                <w:szCs w:val="20"/>
              </w:rPr>
            </w:pPr>
          </w:p>
        </w:tc>
        <w:tc>
          <w:tcPr>
            <w:tcW w:w="390" w:type="dxa"/>
            <w:noWrap/>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r>
      <w:tr w:rsidR="003D06B5" w:rsidTr="003D06B5">
        <w:tblPrEx>
          <w:shd w:val="clear" w:color="auto" w:fill="auto"/>
        </w:tblPrEx>
        <w:trPr>
          <w:cantSplit/>
          <w:trHeight w:val="138"/>
        </w:trPr>
        <w:tc>
          <w:tcPr>
            <w:tcW w:w="1299" w:type="dxa"/>
            <w:tcMar>
              <w:top w:w="15" w:type="dxa"/>
              <w:left w:w="15" w:type="dxa"/>
              <w:bottom w:w="0" w:type="dxa"/>
              <w:right w:w="15" w:type="dxa"/>
            </w:tcMar>
            <w:vAlign w:val="bottom"/>
          </w:tcPr>
          <w:p w:rsidR="003D06B5" w:rsidRDefault="003D06B5">
            <w:pPr>
              <w:pStyle w:val="TableText"/>
            </w:pPr>
            <w:r>
              <w:t>Prolonged storage outside of monitored storage area</w:t>
            </w:r>
          </w:p>
        </w:tc>
        <w:tc>
          <w:tcPr>
            <w:tcW w:w="288" w:type="dxa"/>
            <w:gridSpan w:val="2"/>
            <w:tcMar>
              <w:top w:w="15" w:type="dxa"/>
              <w:left w:w="15" w:type="dxa"/>
              <w:bottom w:w="0" w:type="dxa"/>
              <w:right w:w="15" w:type="dxa"/>
            </w:tcMar>
            <w:vAlign w:val="bottom"/>
          </w:tcPr>
          <w:p w:rsidR="003D06B5" w:rsidRDefault="003D06B5">
            <w:pPr>
              <w:pStyle w:val="TableText"/>
              <w:jc w:val="center"/>
              <w:rPr>
                <w:bCs/>
                <w:szCs w:val="20"/>
              </w:rPr>
            </w:pPr>
          </w:p>
        </w:tc>
        <w:tc>
          <w:tcPr>
            <w:tcW w:w="297" w:type="dxa"/>
            <w:gridSpan w:val="3"/>
          </w:tcPr>
          <w:p w:rsidR="003D06B5" w:rsidRDefault="003D06B5">
            <w:pPr>
              <w:pStyle w:val="TableText"/>
              <w:jc w:val="center"/>
              <w:rPr>
                <w:bC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r>
              <w:rPr>
                <w:bCs/>
                <w:szCs w:val="20"/>
              </w:rPr>
              <w:t>X</w:t>
            </w:r>
          </w:p>
        </w:tc>
        <w:tc>
          <w:tcPr>
            <w:tcW w:w="297" w:type="dxa"/>
            <w:noWrap/>
            <w:tcMar>
              <w:top w:w="15" w:type="dxa"/>
              <w:left w:w="15" w:type="dxa"/>
              <w:bottom w:w="0" w:type="dxa"/>
              <w:right w:w="15" w:type="dxa"/>
            </w:tcMar>
            <w:vAlign w:val="bottom"/>
          </w:tcPr>
          <w:p w:rsidR="003D06B5" w:rsidRDefault="003D06B5">
            <w:pPr>
              <w:pStyle w:val="TableText"/>
              <w:jc w:val="center"/>
              <w:rPr>
                <w:bC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szCs w:val="20"/>
              </w:rPr>
            </w:pPr>
          </w:p>
        </w:tc>
        <w:tc>
          <w:tcPr>
            <w:tcW w:w="297" w:type="dxa"/>
            <w:noWrap/>
            <w:tcMar>
              <w:top w:w="15" w:type="dxa"/>
              <w:left w:w="15" w:type="dxa"/>
              <w:bottom w:w="0" w:type="dxa"/>
              <w:right w:w="15" w:type="dxa"/>
            </w:tcMar>
            <w:vAlign w:val="bottom"/>
          </w:tcPr>
          <w:p w:rsidR="003D06B5" w:rsidRDefault="003D06B5">
            <w:pPr>
              <w:pStyle w:val="TableText"/>
              <w:jc w:val="center"/>
              <w:rPr>
                <w:bCs/>
                <w:szCs w:val="20"/>
              </w:rPr>
            </w:pPr>
          </w:p>
        </w:tc>
        <w:tc>
          <w:tcPr>
            <w:tcW w:w="297" w:type="dxa"/>
            <w:noWrap/>
            <w:tcMar>
              <w:top w:w="15" w:type="dxa"/>
              <w:left w:w="15" w:type="dxa"/>
              <w:bottom w:w="0" w:type="dxa"/>
              <w:right w:w="15" w:type="dxa"/>
            </w:tcMar>
            <w:vAlign w:val="bottom"/>
          </w:tcPr>
          <w:p w:rsidR="003D06B5" w:rsidRDefault="003D06B5">
            <w:pPr>
              <w:pStyle w:val="TableText"/>
              <w:jc w:val="center"/>
              <w:rPr>
                <w:bCs/>
                <w:szCs w:val="20"/>
              </w:rPr>
            </w:pPr>
          </w:p>
        </w:tc>
        <w:tc>
          <w:tcPr>
            <w:tcW w:w="289" w:type="dxa"/>
            <w:tcMar>
              <w:top w:w="15" w:type="dxa"/>
              <w:left w:w="15" w:type="dxa"/>
              <w:bottom w:w="0" w:type="dxa"/>
              <w:right w:w="15" w:type="dxa"/>
            </w:tcMar>
            <w:vAlign w:val="bottom"/>
          </w:tcPr>
          <w:p w:rsidR="003D06B5" w:rsidRDefault="003D06B5">
            <w:pPr>
              <w:pStyle w:val="TableText"/>
              <w:jc w:val="center"/>
              <w:rPr>
                <w:bCs/>
                <w:szCs w:val="20"/>
              </w:rPr>
            </w:pPr>
          </w:p>
        </w:tc>
        <w:tc>
          <w:tcPr>
            <w:tcW w:w="297" w:type="dxa"/>
            <w:noWrap/>
            <w:tcMar>
              <w:top w:w="15" w:type="dxa"/>
              <w:left w:w="15" w:type="dxa"/>
              <w:bottom w:w="0" w:type="dxa"/>
              <w:right w:w="15" w:type="dxa"/>
            </w:tcMar>
            <w:vAlign w:val="bottom"/>
          </w:tcPr>
          <w:p w:rsidR="003D06B5" w:rsidRDefault="003D06B5">
            <w:pPr>
              <w:pStyle w:val="TableText"/>
              <w:jc w:val="center"/>
              <w:rPr>
                <w:bCs/>
                <w:szCs w:val="20"/>
              </w:rPr>
            </w:pPr>
          </w:p>
        </w:tc>
        <w:tc>
          <w:tcPr>
            <w:tcW w:w="289" w:type="dxa"/>
            <w:tcMar>
              <w:top w:w="15" w:type="dxa"/>
              <w:left w:w="15" w:type="dxa"/>
              <w:bottom w:w="0" w:type="dxa"/>
              <w:right w:w="15" w:type="dxa"/>
            </w:tcMar>
            <w:vAlign w:val="bottom"/>
          </w:tcPr>
          <w:p w:rsidR="003D06B5" w:rsidRDefault="003D06B5">
            <w:pPr>
              <w:pStyle w:val="TableText"/>
              <w:jc w:val="center"/>
              <w:rPr>
                <w:bCs/>
                <w:szCs w:val="20"/>
              </w:rPr>
            </w:pPr>
            <w:r>
              <w:rPr>
                <w:bCs/>
                <w:szCs w:val="20"/>
              </w:rPr>
              <w:t>X</w:t>
            </w: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383" w:type="dxa"/>
            <w:tcMar>
              <w:top w:w="15" w:type="dxa"/>
              <w:left w:w="15" w:type="dxa"/>
              <w:bottom w:w="0" w:type="dxa"/>
              <w:right w:w="15" w:type="dxa"/>
            </w:tcMar>
            <w:vAlign w:val="bottom"/>
          </w:tcPr>
          <w:p w:rsidR="003D06B5" w:rsidRDefault="003D06B5">
            <w:pPr>
              <w:pStyle w:val="TableText"/>
              <w:jc w:val="center"/>
              <w:rPr>
                <w:bCs/>
                <w:szCs w:val="20"/>
              </w:rPr>
            </w:pPr>
          </w:p>
        </w:tc>
        <w:tc>
          <w:tcPr>
            <w:tcW w:w="383" w:type="dxa"/>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383" w:type="dxa"/>
            <w:tcMar>
              <w:top w:w="15" w:type="dxa"/>
              <w:left w:w="15" w:type="dxa"/>
              <w:bottom w:w="0" w:type="dxa"/>
              <w:right w:w="15" w:type="dxa"/>
            </w:tcMar>
            <w:vAlign w:val="bottom"/>
          </w:tcPr>
          <w:p w:rsidR="003D06B5" w:rsidRDefault="003D06B5">
            <w:pPr>
              <w:pStyle w:val="TableText"/>
              <w:jc w:val="center"/>
              <w:rPr>
                <w:bCs/>
                <w:szCs w:val="20"/>
              </w:rPr>
            </w:pPr>
          </w:p>
        </w:tc>
        <w:tc>
          <w:tcPr>
            <w:tcW w:w="383" w:type="dxa"/>
            <w:tcMar>
              <w:top w:w="15" w:type="dxa"/>
              <w:left w:w="15" w:type="dxa"/>
              <w:bottom w:w="0" w:type="dxa"/>
              <w:right w:w="15" w:type="dxa"/>
            </w:tcMar>
            <w:vAlign w:val="bottom"/>
          </w:tcPr>
          <w:p w:rsidR="003D06B5" w:rsidRDefault="003D06B5">
            <w:pPr>
              <w:pStyle w:val="TableText"/>
              <w:jc w:val="center"/>
              <w:rPr>
                <w:bCs/>
                <w:szCs w:val="20"/>
              </w:rPr>
            </w:pPr>
          </w:p>
        </w:tc>
        <w:tc>
          <w:tcPr>
            <w:tcW w:w="390" w:type="dxa"/>
            <w:noWrap/>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r>
      <w:tr w:rsidR="003D06B5" w:rsidTr="003D06B5">
        <w:tblPrEx>
          <w:shd w:val="clear" w:color="auto" w:fill="auto"/>
        </w:tblPrEx>
        <w:trPr>
          <w:cantSplit/>
          <w:trHeight w:val="65"/>
        </w:trPr>
        <w:tc>
          <w:tcPr>
            <w:tcW w:w="1299" w:type="dxa"/>
            <w:tcMar>
              <w:top w:w="15" w:type="dxa"/>
              <w:left w:w="15" w:type="dxa"/>
              <w:bottom w:w="0" w:type="dxa"/>
              <w:right w:w="15" w:type="dxa"/>
            </w:tcMar>
            <w:vAlign w:val="bottom"/>
          </w:tcPr>
          <w:p w:rsidR="003D06B5" w:rsidRDefault="003D06B5">
            <w:pPr>
              <w:pStyle w:val="TableText"/>
              <w:rPr>
                <w:rFonts w:eastAsia="Symbol"/>
              </w:rPr>
            </w:pPr>
            <w:r>
              <w:t>Punctured</w:t>
            </w:r>
          </w:p>
        </w:tc>
        <w:tc>
          <w:tcPr>
            <w:tcW w:w="288" w:type="dxa"/>
            <w:gridSpan w:val="2"/>
            <w:tcMar>
              <w:top w:w="15" w:type="dxa"/>
              <w:left w:w="15" w:type="dxa"/>
              <w:bottom w:w="0" w:type="dxa"/>
              <w:right w:w="15" w:type="dxa"/>
            </w:tcMar>
            <w:vAlign w:val="bottom"/>
          </w:tcPr>
          <w:p w:rsidR="003D06B5" w:rsidRDefault="003D06B5">
            <w:pPr>
              <w:pStyle w:val="TableText"/>
              <w:jc w:val="center"/>
              <w:rPr>
                <w:bCs/>
                <w:szCs w:val="20"/>
              </w:rPr>
            </w:pPr>
          </w:p>
        </w:tc>
        <w:tc>
          <w:tcPr>
            <w:tcW w:w="297" w:type="dxa"/>
            <w:gridSpan w:val="3"/>
          </w:tcPr>
          <w:p w:rsidR="003D06B5" w:rsidRDefault="003D06B5">
            <w:pPr>
              <w:pStyle w:val="TableText"/>
              <w:jc w:val="center"/>
              <w:rPr>
                <w:rFonts w:eastAsia="Symbol"/>
                <w:bC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89" w:type="dxa"/>
            <w:tcMar>
              <w:top w:w="15" w:type="dxa"/>
              <w:left w:w="15" w:type="dxa"/>
              <w:bottom w:w="0" w:type="dxa"/>
              <w:right w:w="15" w:type="dxa"/>
            </w:tcMar>
            <w:vAlign w:val="bottom"/>
          </w:tcPr>
          <w:p w:rsidR="003D06B5" w:rsidRDefault="003D06B5">
            <w:pPr>
              <w:pStyle w:val="TableText"/>
              <w:jc w:val="center"/>
              <w:rPr>
                <w:bC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89" w:type="dxa"/>
            <w:tcMar>
              <w:top w:w="15" w:type="dxa"/>
              <w:left w:w="15" w:type="dxa"/>
              <w:bottom w:w="0" w:type="dxa"/>
              <w:right w:w="15" w:type="dxa"/>
            </w:tcMar>
            <w:vAlign w:val="bottom"/>
          </w:tcPr>
          <w:p w:rsidR="003D06B5" w:rsidRDefault="003D06B5">
            <w:pPr>
              <w:pStyle w:val="TableText"/>
              <w:jc w:val="center"/>
              <w:rPr>
                <w:bCs/>
                <w:szCs w:val="20"/>
              </w:rPr>
            </w:pPr>
            <w:r>
              <w:rPr>
                <w:bCs/>
                <w:szCs w:val="20"/>
              </w:rPr>
              <w:t>X</w:t>
            </w: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383" w:type="dxa"/>
            <w:tcMar>
              <w:top w:w="15" w:type="dxa"/>
              <w:left w:w="15" w:type="dxa"/>
              <w:bottom w:w="0" w:type="dxa"/>
              <w:right w:w="15" w:type="dxa"/>
            </w:tcMar>
            <w:vAlign w:val="bottom"/>
          </w:tcPr>
          <w:p w:rsidR="003D06B5" w:rsidRDefault="003D06B5">
            <w:pPr>
              <w:pStyle w:val="TableText"/>
              <w:jc w:val="center"/>
              <w:rPr>
                <w:bCs/>
                <w:szCs w:val="20"/>
              </w:rPr>
            </w:pPr>
          </w:p>
        </w:tc>
        <w:tc>
          <w:tcPr>
            <w:tcW w:w="383" w:type="dxa"/>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383" w:type="dxa"/>
            <w:tcMar>
              <w:top w:w="15" w:type="dxa"/>
              <w:left w:w="15" w:type="dxa"/>
              <w:bottom w:w="0" w:type="dxa"/>
              <w:right w:w="15" w:type="dxa"/>
            </w:tcMar>
            <w:vAlign w:val="bottom"/>
          </w:tcPr>
          <w:p w:rsidR="003D06B5" w:rsidRDefault="003D06B5">
            <w:pPr>
              <w:pStyle w:val="TableText"/>
              <w:jc w:val="center"/>
              <w:rPr>
                <w:bCs/>
                <w:szCs w:val="20"/>
              </w:rPr>
            </w:pPr>
          </w:p>
        </w:tc>
        <w:tc>
          <w:tcPr>
            <w:tcW w:w="383" w:type="dxa"/>
            <w:tcMar>
              <w:top w:w="15" w:type="dxa"/>
              <w:left w:w="15" w:type="dxa"/>
              <w:bottom w:w="0" w:type="dxa"/>
              <w:right w:w="15" w:type="dxa"/>
            </w:tcMar>
            <w:vAlign w:val="bottom"/>
          </w:tcPr>
          <w:p w:rsidR="003D06B5" w:rsidRDefault="003D06B5">
            <w:pPr>
              <w:pStyle w:val="TableText"/>
              <w:jc w:val="center"/>
              <w:rPr>
                <w:bC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r>
              <w:rPr>
                <w:bCs/>
                <w:szCs w:val="20"/>
              </w:rPr>
              <w:t>X</w:t>
            </w:r>
          </w:p>
        </w:tc>
        <w:tc>
          <w:tcPr>
            <w:tcW w:w="290" w:type="dxa"/>
            <w:tcMar>
              <w:top w:w="15" w:type="dxa"/>
              <w:left w:w="15" w:type="dxa"/>
              <w:bottom w:w="0" w:type="dxa"/>
              <w:right w:w="15" w:type="dxa"/>
            </w:tcMar>
            <w:vAlign w:val="bottom"/>
          </w:tcPr>
          <w:p w:rsidR="003D06B5" w:rsidRDefault="003D06B5">
            <w:pPr>
              <w:pStyle w:val="TableText"/>
              <w:jc w:val="center"/>
              <w:rPr>
                <w:rFonts w:eastAsia="Symbol"/>
                <w:bCs/>
                <w:szCs w:val="20"/>
              </w:rPr>
            </w:pPr>
            <w:r>
              <w:rPr>
                <w:rFonts w:eastAsia="Symbol"/>
                <w:bC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lastRenderedPageBreak/>
              <w:t>QNS (quantity not sufficient)</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611406" w:rsidTr="00611406">
        <w:tblPrEx>
          <w:shd w:val="clear" w:color="auto" w:fill="auto"/>
        </w:tblPrEx>
        <w:trPr>
          <w:cantSplit/>
          <w:trHeight w:val="255"/>
        </w:trPr>
        <w:tc>
          <w:tcPr>
            <w:tcW w:w="1299" w:type="dxa"/>
            <w:tcMar>
              <w:top w:w="15" w:type="dxa"/>
              <w:left w:w="15" w:type="dxa"/>
              <w:bottom w:w="0" w:type="dxa"/>
              <w:right w:w="15" w:type="dxa"/>
            </w:tcMar>
            <w:vAlign w:val="bottom"/>
          </w:tcPr>
          <w:p w:rsidR="00611406" w:rsidRDefault="00611406">
            <w:pPr>
              <w:pStyle w:val="TableText"/>
            </w:pPr>
            <w:r>
              <w:t>Remove Data Record</w:t>
            </w:r>
            <w:r w:rsidR="00BA14E9">
              <w:t xml:space="preserve"> reviewed, </w:t>
            </w:r>
            <w:r>
              <w:t>history</w:t>
            </w:r>
          </w:p>
        </w:tc>
        <w:tc>
          <w:tcPr>
            <w:tcW w:w="288" w:type="dxa"/>
            <w:gridSpan w:val="2"/>
            <w:tcMar>
              <w:top w:w="15" w:type="dxa"/>
              <w:left w:w="15" w:type="dxa"/>
              <w:bottom w:w="0" w:type="dxa"/>
              <w:right w:w="15" w:type="dxa"/>
            </w:tcMar>
            <w:vAlign w:val="bottom"/>
          </w:tcPr>
          <w:p w:rsidR="00611406" w:rsidRDefault="00611406">
            <w:pPr>
              <w:pStyle w:val="TableText"/>
              <w:jc w:val="center"/>
              <w:rPr>
                <w:bCs/>
                <w:caps/>
                <w:szCs w:val="20"/>
              </w:rPr>
            </w:pPr>
          </w:p>
        </w:tc>
        <w:tc>
          <w:tcPr>
            <w:tcW w:w="297" w:type="dxa"/>
            <w:gridSpan w:val="3"/>
            <w:vAlign w:val="bottom"/>
          </w:tcPr>
          <w:p w:rsidR="00611406" w:rsidRDefault="00611406" w:rsidP="00611406">
            <w:pPr>
              <w:pStyle w:val="TableText"/>
              <w:jc w:val="center"/>
              <w:rPr>
                <w:rFonts w:eastAsia="Symbol"/>
                <w:bCs/>
                <w:caps/>
                <w:szCs w:val="20"/>
              </w:rPr>
            </w:pPr>
            <w:r>
              <w:rPr>
                <w:rFonts w:eastAsia="Symbol"/>
                <w:bCs/>
                <w:caps/>
                <w:szCs w:val="20"/>
              </w:rPr>
              <w:t>X</w:t>
            </w:r>
          </w:p>
        </w:tc>
        <w:tc>
          <w:tcPr>
            <w:tcW w:w="308" w:type="dxa"/>
            <w:gridSpan w:val="2"/>
            <w:noWrap/>
            <w:tcMar>
              <w:top w:w="15" w:type="dxa"/>
              <w:left w:w="15" w:type="dxa"/>
              <w:bottom w:w="0" w:type="dxa"/>
              <w:right w:w="15" w:type="dxa"/>
            </w:tcMar>
            <w:vAlign w:val="bottom"/>
          </w:tcPr>
          <w:p w:rsidR="00611406" w:rsidRDefault="00611406">
            <w:pPr>
              <w:pStyle w:val="TableText"/>
              <w:jc w:val="center"/>
              <w:rPr>
                <w:rFonts w:eastAsia="Symbol"/>
                <w:bCs/>
                <w:caps/>
                <w:szCs w:val="20"/>
              </w:rPr>
            </w:pPr>
          </w:p>
        </w:tc>
        <w:tc>
          <w:tcPr>
            <w:tcW w:w="290" w:type="dxa"/>
            <w:tcMar>
              <w:top w:w="15" w:type="dxa"/>
              <w:left w:w="15" w:type="dxa"/>
              <w:bottom w:w="0" w:type="dxa"/>
              <w:right w:w="15" w:type="dxa"/>
            </w:tcMar>
            <w:vAlign w:val="bottom"/>
          </w:tcPr>
          <w:p w:rsidR="00611406" w:rsidRDefault="00611406">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611406" w:rsidRDefault="00611406">
            <w:pPr>
              <w:pStyle w:val="TableText"/>
              <w:jc w:val="center"/>
              <w:rPr>
                <w:rFonts w:eastAsia="Symbol"/>
                <w:bCs/>
                <w:caps/>
                <w:szCs w:val="20"/>
              </w:rPr>
            </w:pPr>
          </w:p>
        </w:tc>
        <w:tc>
          <w:tcPr>
            <w:tcW w:w="297" w:type="dxa"/>
            <w:tcMar>
              <w:top w:w="15" w:type="dxa"/>
              <w:left w:w="15" w:type="dxa"/>
              <w:bottom w:w="0" w:type="dxa"/>
              <w:right w:w="15" w:type="dxa"/>
            </w:tcMar>
            <w:vAlign w:val="bottom"/>
          </w:tcPr>
          <w:p w:rsidR="00611406" w:rsidRPr="006A5D0F" w:rsidRDefault="00611406" w:rsidP="006A5D0F">
            <w:pPr>
              <w:pStyle w:val="TableText"/>
              <w:jc w:val="center"/>
              <w:rPr>
                <w:bCs/>
                <w:caps/>
                <w:szCs w:val="20"/>
              </w:rPr>
            </w:pPr>
          </w:p>
        </w:tc>
        <w:tc>
          <w:tcPr>
            <w:tcW w:w="297" w:type="dxa"/>
            <w:noWrap/>
            <w:tcMar>
              <w:top w:w="15" w:type="dxa"/>
              <w:left w:w="15" w:type="dxa"/>
              <w:bottom w:w="0" w:type="dxa"/>
              <w:right w:w="15" w:type="dxa"/>
            </w:tcMar>
            <w:vAlign w:val="bottom"/>
          </w:tcPr>
          <w:p w:rsidR="00611406" w:rsidRDefault="00611406">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611406" w:rsidRDefault="00611406">
            <w:pPr>
              <w:pStyle w:val="TableText"/>
              <w:jc w:val="center"/>
              <w:rPr>
                <w:rFonts w:eastAsia="Symbol"/>
                <w:bCs/>
                <w:caps/>
                <w:szCs w:val="20"/>
              </w:rPr>
            </w:pPr>
          </w:p>
        </w:tc>
        <w:tc>
          <w:tcPr>
            <w:tcW w:w="289" w:type="dxa"/>
            <w:tcMar>
              <w:top w:w="15" w:type="dxa"/>
              <w:left w:w="15" w:type="dxa"/>
              <w:bottom w:w="0" w:type="dxa"/>
              <w:right w:w="15" w:type="dxa"/>
            </w:tcMar>
            <w:vAlign w:val="bottom"/>
          </w:tcPr>
          <w:p w:rsidR="00611406" w:rsidRDefault="00611406">
            <w:pPr>
              <w:pStyle w:val="TableText"/>
              <w:jc w:val="center"/>
              <w:rPr>
                <w:bCs/>
                <w:caps/>
                <w:szCs w:val="20"/>
              </w:rPr>
            </w:pPr>
          </w:p>
        </w:tc>
        <w:tc>
          <w:tcPr>
            <w:tcW w:w="297" w:type="dxa"/>
            <w:noWrap/>
            <w:tcMar>
              <w:top w:w="15" w:type="dxa"/>
              <w:left w:w="15" w:type="dxa"/>
              <w:bottom w:w="0" w:type="dxa"/>
              <w:right w:w="15" w:type="dxa"/>
            </w:tcMar>
            <w:vAlign w:val="bottom"/>
          </w:tcPr>
          <w:p w:rsidR="00611406" w:rsidRDefault="00611406">
            <w:pPr>
              <w:pStyle w:val="TableText"/>
              <w:jc w:val="center"/>
              <w:rPr>
                <w:rFonts w:eastAsia="Symbol"/>
                <w:bCs/>
                <w:caps/>
                <w:szCs w:val="20"/>
              </w:rPr>
            </w:pPr>
          </w:p>
        </w:tc>
        <w:tc>
          <w:tcPr>
            <w:tcW w:w="289" w:type="dxa"/>
            <w:tcMar>
              <w:top w:w="15" w:type="dxa"/>
              <w:left w:w="15" w:type="dxa"/>
              <w:bottom w:w="0" w:type="dxa"/>
              <w:right w:w="15" w:type="dxa"/>
            </w:tcMar>
            <w:vAlign w:val="bottom"/>
          </w:tcPr>
          <w:p w:rsidR="00611406" w:rsidRDefault="00611406">
            <w:pPr>
              <w:pStyle w:val="TableText"/>
              <w:jc w:val="center"/>
              <w:rPr>
                <w:bCs/>
                <w:caps/>
                <w:szCs w:val="20"/>
              </w:rPr>
            </w:pPr>
          </w:p>
        </w:tc>
        <w:tc>
          <w:tcPr>
            <w:tcW w:w="290" w:type="dxa"/>
            <w:tcMar>
              <w:top w:w="15" w:type="dxa"/>
              <w:left w:w="15" w:type="dxa"/>
              <w:bottom w:w="0" w:type="dxa"/>
              <w:right w:w="15" w:type="dxa"/>
            </w:tcMar>
            <w:vAlign w:val="bottom"/>
          </w:tcPr>
          <w:p w:rsidR="00611406" w:rsidRDefault="00611406">
            <w:pPr>
              <w:pStyle w:val="TableText"/>
              <w:jc w:val="center"/>
              <w:rPr>
                <w:bCs/>
                <w:caps/>
                <w:szCs w:val="20"/>
              </w:rPr>
            </w:pPr>
          </w:p>
        </w:tc>
        <w:tc>
          <w:tcPr>
            <w:tcW w:w="290" w:type="dxa"/>
            <w:tcMar>
              <w:top w:w="15" w:type="dxa"/>
              <w:left w:w="15" w:type="dxa"/>
              <w:bottom w:w="0" w:type="dxa"/>
              <w:right w:w="15" w:type="dxa"/>
            </w:tcMar>
            <w:vAlign w:val="bottom"/>
          </w:tcPr>
          <w:p w:rsidR="00611406" w:rsidRDefault="00611406">
            <w:pPr>
              <w:pStyle w:val="TableText"/>
              <w:jc w:val="center"/>
              <w:rPr>
                <w:bCs/>
                <w:caps/>
                <w:szCs w:val="20"/>
              </w:rPr>
            </w:pPr>
          </w:p>
        </w:tc>
        <w:tc>
          <w:tcPr>
            <w:tcW w:w="298" w:type="dxa"/>
            <w:noWrap/>
            <w:tcMar>
              <w:top w:w="15" w:type="dxa"/>
              <w:left w:w="15" w:type="dxa"/>
              <w:bottom w:w="0" w:type="dxa"/>
              <w:right w:w="15" w:type="dxa"/>
            </w:tcMar>
            <w:vAlign w:val="bottom"/>
          </w:tcPr>
          <w:p w:rsidR="00611406" w:rsidRDefault="00611406">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611406" w:rsidRDefault="00611406">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611406" w:rsidRDefault="00611406">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611406" w:rsidRDefault="00611406">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611406" w:rsidRDefault="00611406">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611406" w:rsidRDefault="00611406">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611406" w:rsidRDefault="00611406">
            <w:pPr>
              <w:pStyle w:val="TableText"/>
              <w:jc w:val="center"/>
              <w:rPr>
                <w:bCs/>
                <w:caps/>
                <w:szCs w:val="20"/>
              </w:rPr>
            </w:pPr>
          </w:p>
        </w:tc>
        <w:tc>
          <w:tcPr>
            <w:tcW w:w="298" w:type="dxa"/>
            <w:noWrap/>
            <w:tcMar>
              <w:top w:w="15" w:type="dxa"/>
              <w:left w:w="15" w:type="dxa"/>
              <w:bottom w:w="0" w:type="dxa"/>
              <w:right w:w="15" w:type="dxa"/>
            </w:tcMar>
            <w:vAlign w:val="bottom"/>
          </w:tcPr>
          <w:p w:rsidR="00611406" w:rsidRDefault="00611406">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611406" w:rsidRDefault="00611406">
            <w:pPr>
              <w:pStyle w:val="TableText"/>
              <w:jc w:val="center"/>
              <w:rPr>
                <w:rFonts w:eastAsia="Symbol"/>
                <w:bCs/>
                <w:caps/>
                <w:szCs w:val="20"/>
              </w:rPr>
            </w:pPr>
          </w:p>
        </w:tc>
        <w:tc>
          <w:tcPr>
            <w:tcW w:w="290" w:type="dxa"/>
            <w:tcMar>
              <w:top w:w="15" w:type="dxa"/>
              <w:left w:w="15" w:type="dxa"/>
              <w:bottom w:w="0" w:type="dxa"/>
              <w:right w:w="15" w:type="dxa"/>
            </w:tcMar>
            <w:vAlign w:val="bottom"/>
          </w:tcPr>
          <w:p w:rsidR="00611406" w:rsidRDefault="00611406">
            <w:pPr>
              <w:pStyle w:val="TableText"/>
              <w:jc w:val="center"/>
              <w:rPr>
                <w:bCs/>
                <w:caps/>
                <w:szCs w:val="20"/>
              </w:rPr>
            </w:pPr>
          </w:p>
        </w:tc>
        <w:tc>
          <w:tcPr>
            <w:tcW w:w="383" w:type="dxa"/>
            <w:tcMar>
              <w:top w:w="15" w:type="dxa"/>
              <w:left w:w="15" w:type="dxa"/>
              <w:bottom w:w="0" w:type="dxa"/>
              <w:right w:w="15" w:type="dxa"/>
            </w:tcMar>
            <w:vAlign w:val="bottom"/>
          </w:tcPr>
          <w:p w:rsidR="00611406" w:rsidRDefault="00611406">
            <w:pPr>
              <w:pStyle w:val="TableText"/>
              <w:jc w:val="center"/>
              <w:rPr>
                <w:bCs/>
                <w:caps/>
                <w:szCs w:val="20"/>
              </w:rPr>
            </w:pPr>
          </w:p>
        </w:tc>
        <w:tc>
          <w:tcPr>
            <w:tcW w:w="383" w:type="dxa"/>
            <w:tcMar>
              <w:top w:w="15" w:type="dxa"/>
              <w:left w:w="15" w:type="dxa"/>
              <w:bottom w:w="0" w:type="dxa"/>
              <w:right w:w="15" w:type="dxa"/>
            </w:tcMar>
            <w:vAlign w:val="bottom"/>
          </w:tcPr>
          <w:p w:rsidR="00611406" w:rsidRDefault="00611406">
            <w:pPr>
              <w:pStyle w:val="TableText"/>
              <w:jc w:val="center"/>
              <w:rPr>
                <w:bCs/>
                <w:caps/>
                <w:szCs w:val="20"/>
              </w:rPr>
            </w:pPr>
          </w:p>
        </w:tc>
        <w:tc>
          <w:tcPr>
            <w:tcW w:w="290" w:type="dxa"/>
            <w:tcMar>
              <w:top w:w="15" w:type="dxa"/>
              <w:left w:w="15" w:type="dxa"/>
              <w:bottom w:w="0" w:type="dxa"/>
              <w:right w:w="15" w:type="dxa"/>
            </w:tcMar>
            <w:vAlign w:val="bottom"/>
          </w:tcPr>
          <w:p w:rsidR="00611406" w:rsidRDefault="00611406">
            <w:pPr>
              <w:pStyle w:val="TableText"/>
              <w:jc w:val="center"/>
              <w:rPr>
                <w:bCs/>
                <w:caps/>
                <w:szCs w:val="20"/>
              </w:rPr>
            </w:pPr>
          </w:p>
        </w:tc>
        <w:tc>
          <w:tcPr>
            <w:tcW w:w="290" w:type="dxa"/>
            <w:tcMar>
              <w:top w:w="15" w:type="dxa"/>
              <w:left w:w="15" w:type="dxa"/>
              <w:bottom w:w="0" w:type="dxa"/>
              <w:right w:w="15" w:type="dxa"/>
            </w:tcMar>
            <w:vAlign w:val="bottom"/>
          </w:tcPr>
          <w:p w:rsidR="00611406" w:rsidRDefault="00611406">
            <w:pPr>
              <w:pStyle w:val="TableText"/>
              <w:jc w:val="center"/>
              <w:rPr>
                <w:bCs/>
                <w:caps/>
                <w:szCs w:val="20"/>
              </w:rPr>
            </w:pPr>
          </w:p>
        </w:tc>
        <w:tc>
          <w:tcPr>
            <w:tcW w:w="383" w:type="dxa"/>
            <w:tcMar>
              <w:top w:w="15" w:type="dxa"/>
              <w:left w:w="15" w:type="dxa"/>
              <w:bottom w:w="0" w:type="dxa"/>
              <w:right w:w="15" w:type="dxa"/>
            </w:tcMar>
            <w:vAlign w:val="bottom"/>
          </w:tcPr>
          <w:p w:rsidR="00611406" w:rsidRDefault="00611406">
            <w:pPr>
              <w:pStyle w:val="TableText"/>
              <w:jc w:val="center"/>
              <w:rPr>
                <w:bCs/>
                <w:caps/>
                <w:szCs w:val="20"/>
              </w:rPr>
            </w:pPr>
          </w:p>
        </w:tc>
        <w:tc>
          <w:tcPr>
            <w:tcW w:w="383" w:type="dxa"/>
            <w:tcMar>
              <w:top w:w="15" w:type="dxa"/>
              <w:left w:w="15" w:type="dxa"/>
              <w:bottom w:w="0" w:type="dxa"/>
              <w:right w:w="15" w:type="dxa"/>
            </w:tcMar>
            <w:vAlign w:val="bottom"/>
          </w:tcPr>
          <w:p w:rsidR="00611406" w:rsidRDefault="00611406">
            <w:pPr>
              <w:pStyle w:val="TableText"/>
              <w:jc w:val="center"/>
              <w:rPr>
                <w:bCs/>
                <w:caps/>
                <w:szCs w:val="20"/>
              </w:rPr>
            </w:pPr>
          </w:p>
        </w:tc>
        <w:tc>
          <w:tcPr>
            <w:tcW w:w="390" w:type="dxa"/>
            <w:noWrap/>
            <w:tcMar>
              <w:top w:w="15" w:type="dxa"/>
              <w:left w:w="15" w:type="dxa"/>
              <w:bottom w:w="0" w:type="dxa"/>
              <w:right w:w="15" w:type="dxa"/>
            </w:tcMar>
            <w:vAlign w:val="bottom"/>
          </w:tcPr>
          <w:p w:rsidR="00611406" w:rsidRDefault="00611406">
            <w:pPr>
              <w:pStyle w:val="TableText"/>
              <w:jc w:val="center"/>
              <w:rPr>
                <w:rFonts w:eastAsia="Symbol"/>
                <w:bCs/>
                <w:caps/>
                <w:szCs w:val="20"/>
              </w:rPr>
            </w:pPr>
          </w:p>
        </w:tc>
        <w:tc>
          <w:tcPr>
            <w:tcW w:w="290" w:type="dxa"/>
            <w:tcMar>
              <w:top w:w="15" w:type="dxa"/>
              <w:left w:w="15" w:type="dxa"/>
              <w:bottom w:w="0" w:type="dxa"/>
              <w:right w:w="15" w:type="dxa"/>
            </w:tcMar>
            <w:vAlign w:val="bottom"/>
          </w:tcPr>
          <w:p w:rsidR="00611406" w:rsidRDefault="00611406">
            <w:pPr>
              <w:pStyle w:val="TableText"/>
              <w:jc w:val="center"/>
              <w:rPr>
                <w:bCs/>
                <w:caps/>
                <w:szCs w:val="20"/>
              </w:rPr>
            </w:pPr>
          </w:p>
        </w:tc>
        <w:tc>
          <w:tcPr>
            <w:tcW w:w="290" w:type="dxa"/>
            <w:tcMar>
              <w:top w:w="15" w:type="dxa"/>
              <w:left w:w="15" w:type="dxa"/>
              <w:bottom w:w="0" w:type="dxa"/>
              <w:right w:w="15" w:type="dxa"/>
            </w:tcMar>
            <w:vAlign w:val="bottom"/>
          </w:tcPr>
          <w:p w:rsidR="00611406" w:rsidRDefault="00611406">
            <w:pPr>
              <w:pStyle w:val="TableText"/>
              <w:jc w:val="center"/>
              <w:rPr>
                <w:bCs/>
                <w:caps/>
                <w:szCs w:val="20"/>
              </w:rPr>
            </w:pPr>
          </w:p>
        </w:tc>
        <w:tc>
          <w:tcPr>
            <w:tcW w:w="298" w:type="dxa"/>
            <w:noWrap/>
            <w:tcMar>
              <w:top w:w="15" w:type="dxa"/>
              <w:left w:w="15" w:type="dxa"/>
              <w:bottom w:w="0" w:type="dxa"/>
              <w:right w:w="15" w:type="dxa"/>
            </w:tcMar>
            <w:vAlign w:val="bottom"/>
          </w:tcPr>
          <w:p w:rsidR="00611406" w:rsidRDefault="00611406">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611406" w:rsidRDefault="00611406">
            <w:pPr>
              <w:pStyle w:val="TableText"/>
              <w:jc w:val="center"/>
              <w:rPr>
                <w:rFonts w:eastAsia="Symbol"/>
                <w:bCs/>
                <w:caps/>
                <w:szCs w:val="20"/>
              </w:rPr>
            </w:pPr>
          </w:p>
        </w:tc>
        <w:tc>
          <w:tcPr>
            <w:tcW w:w="290" w:type="dxa"/>
            <w:tcMar>
              <w:top w:w="15" w:type="dxa"/>
              <w:left w:w="15" w:type="dxa"/>
              <w:bottom w:w="0" w:type="dxa"/>
              <w:right w:w="15" w:type="dxa"/>
            </w:tcMar>
            <w:vAlign w:val="bottom"/>
          </w:tcPr>
          <w:p w:rsidR="00611406" w:rsidRDefault="00611406">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611406" w:rsidRDefault="00611406">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611406" w:rsidRDefault="00611406">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611406" w:rsidRDefault="00611406">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611406" w:rsidRDefault="00611406">
            <w:pPr>
              <w:pStyle w:val="TableText"/>
              <w:jc w:val="center"/>
              <w:rPr>
                <w:rFonts w:eastAsia="Symbol"/>
                <w:bCs/>
                <w:caps/>
                <w:szCs w:val="20"/>
              </w:rPr>
            </w:pPr>
          </w:p>
        </w:tc>
      </w:tr>
      <w:tr w:rsidR="00BA14E9" w:rsidTr="00611406">
        <w:tblPrEx>
          <w:shd w:val="clear" w:color="auto" w:fill="auto"/>
        </w:tblPrEx>
        <w:trPr>
          <w:cantSplit/>
          <w:trHeight w:val="255"/>
        </w:trPr>
        <w:tc>
          <w:tcPr>
            <w:tcW w:w="1299" w:type="dxa"/>
            <w:tcMar>
              <w:top w:w="15" w:type="dxa"/>
              <w:left w:w="15" w:type="dxa"/>
              <w:bottom w:w="0" w:type="dxa"/>
              <w:right w:w="15" w:type="dxa"/>
            </w:tcMar>
            <w:vAlign w:val="bottom"/>
          </w:tcPr>
          <w:p w:rsidR="00BA14E9" w:rsidRDefault="00BA14E9">
            <w:pPr>
              <w:pStyle w:val="TableText"/>
            </w:pPr>
            <w:r>
              <w:t>Remove Data Record reviewed, no history</w:t>
            </w:r>
          </w:p>
        </w:tc>
        <w:tc>
          <w:tcPr>
            <w:tcW w:w="288" w:type="dxa"/>
            <w:gridSpan w:val="2"/>
            <w:tcMar>
              <w:top w:w="15" w:type="dxa"/>
              <w:left w:w="15" w:type="dxa"/>
              <w:bottom w:w="0" w:type="dxa"/>
              <w:right w:w="15" w:type="dxa"/>
            </w:tcMar>
            <w:vAlign w:val="bottom"/>
          </w:tcPr>
          <w:p w:rsidR="00BA14E9" w:rsidRDefault="00BA14E9">
            <w:pPr>
              <w:pStyle w:val="TableText"/>
              <w:jc w:val="center"/>
              <w:rPr>
                <w:bCs/>
                <w:caps/>
                <w:szCs w:val="20"/>
              </w:rPr>
            </w:pPr>
          </w:p>
        </w:tc>
        <w:tc>
          <w:tcPr>
            <w:tcW w:w="297" w:type="dxa"/>
            <w:gridSpan w:val="3"/>
            <w:vAlign w:val="bottom"/>
          </w:tcPr>
          <w:p w:rsidR="00BA14E9" w:rsidRDefault="00BA14E9" w:rsidP="00611406">
            <w:pPr>
              <w:pStyle w:val="TableText"/>
              <w:jc w:val="center"/>
              <w:rPr>
                <w:rFonts w:eastAsia="Symbol"/>
                <w:bCs/>
                <w:caps/>
                <w:szCs w:val="20"/>
              </w:rPr>
            </w:pPr>
            <w:r>
              <w:rPr>
                <w:rFonts w:eastAsia="Symbol"/>
                <w:bCs/>
                <w:caps/>
                <w:szCs w:val="20"/>
              </w:rPr>
              <w:t>X</w:t>
            </w:r>
          </w:p>
        </w:tc>
        <w:tc>
          <w:tcPr>
            <w:tcW w:w="308" w:type="dxa"/>
            <w:gridSpan w:val="2"/>
            <w:noWrap/>
            <w:tcMar>
              <w:top w:w="15" w:type="dxa"/>
              <w:left w:w="15" w:type="dxa"/>
              <w:bottom w:w="0" w:type="dxa"/>
              <w:right w:w="15" w:type="dxa"/>
            </w:tcMar>
            <w:vAlign w:val="bottom"/>
          </w:tcPr>
          <w:p w:rsidR="00BA14E9" w:rsidRDefault="00BA14E9">
            <w:pPr>
              <w:pStyle w:val="TableText"/>
              <w:jc w:val="center"/>
              <w:rPr>
                <w:rFonts w:eastAsia="Symbol"/>
                <w:bCs/>
                <w:caps/>
                <w:szCs w:val="20"/>
              </w:rPr>
            </w:pPr>
          </w:p>
        </w:tc>
        <w:tc>
          <w:tcPr>
            <w:tcW w:w="290" w:type="dxa"/>
            <w:tcMar>
              <w:top w:w="15" w:type="dxa"/>
              <w:left w:w="15" w:type="dxa"/>
              <w:bottom w:w="0" w:type="dxa"/>
              <w:right w:w="15" w:type="dxa"/>
            </w:tcMar>
            <w:vAlign w:val="bottom"/>
          </w:tcPr>
          <w:p w:rsidR="00BA14E9" w:rsidRDefault="00BA14E9">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BA14E9" w:rsidRDefault="00BA14E9">
            <w:pPr>
              <w:pStyle w:val="TableText"/>
              <w:jc w:val="center"/>
              <w:rPr>
                <w:rFonts w:eastAsia="Symbol"/>
                <w:bCs/>
                <w:caps/>
                <w:szCs w:val="20"/>
              </w:rPr>
            </w:pPr>
          </w:p>
        </w:tc>
        <w:tc>
          <w:tcPr>
            <w:tcW w:w="297" w:type="dxa"/>
            <w:tcMar>
              <w:top w:w="15" w:type="dxa"/>
              <w:left w:w="15" w:type="dxa"/>
              <w:bottom w:w="0" w:type="dxa"/>
              <w:right w:w="15" w:type="dxa"/>
            </w:tcMar>
            <w:vAlign w:val="bottom"/>
          </w:tcPr>
          <w:p w:rsidR="00BA14E9" w:rsidRPr="006A5D0F" w:rsidRDefault="00BA14E9" w:rsidP="006A5D0F">
            <w:pPr>
              <w:pStyle w:val="TableText"/>
              <w:jc w:val="center"/>
              <w:rPr>
                <w:bCs/>
                <w:caps/>
                <w:szCs w:val="20"/>
              </w:rPr>
            </w:pPr>
          </w:p>
        </w:tc>
        <w:tc>
          <w:tcPr>
            <w:tcW w:w="297" w:type="dxa"/>
            <w:noWrap/>
            <w:tcMar>
              <w:top w:w="15" w:type="dxa"/>
              <w:left w:w="15" w:type="dxa"/>
              <w:bottom w:w="0" w:type="dxa"/>
              <w:right w:w="15" w:type="dxa"/>
            </w:tcMar>
            <w:vAlign w:val="bottom"/>
          </w:tcPr>
          <w:p w:rsidR="00BA14E9" w:rsidRDefault="00BA14E9">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BA14E9" w:rsidRDefault="00BA14E9">
            <w:pPr>
              <w:pStyle w:val="TableText"/>
              <w:jc w:val="center"/>
              <w:rPr>
                <w:rFonts w:eastAsia="Symbol"/>
                <w:bCs/>
                <w:caps/>
                <w:szCs w:val="20"/>
              </w:rPr>
            </w:pPr>
          </w:p>
        </w:tc>
        <w:tc>
          <w:tcPr>
            <w:tcW w:w="289" w:type="dxa"/>
            <w:tcMar>
              <w:top w:w="15" w:type="dxa"/>
              <w:left w:w="15" w:type="dxa"/>
              <w:bottom w:w="0" w:type="dxa"/>
              <w:right w:w="15" w:type="dxa"/>
            </w:tcMar>
            <w:vAlign w:val="bottom"/>
          </w:tcPr>
          <w:p w:rsidR="00BA14E9" w:rsidRDefault="00BA14E9">
            <w:pPr>
              <w:pStyle w:val="TableText"/>
              <w:jc w:val="center"/>
              <w:rPr>
                <w:bCs/>
                <w:caps/>
                <w:szCs w:val="20"/>
              </w:rPr>
            </w:pPr>
          </w:p>
        </w:tc>
        <w:tc>
          <w:tcPr>
            <w:tcW w:w="297" w:type="dxa"/>
            <w:noWrap/>
            <w:tcMar>
              <w:top w:w="15" w:type="dxa"/>
              <w:left w:w="15" w:type="dxa"/>
              <w:bottom w:w="0" w:type="dxa"/>
              <w:right w:w="15" w:type="dxa"/>
            </w:tcMar>
            <w:vAlign w:val="bottom"/>
          </w:tcPr>
          <w:p w:rsidR="00BA14E9" w:rsidRDefault="00BA14E9">
            <w:pPr>
              <w:pStyle w:val="TableText"/>
              <w:jc w:val="center"/>
              <w:rPr>
                <w:rFonts w:eastAsia="Symbol"/>
                <w:bCs/>
                <w:caps/>
                <w:szCs w:val="20"/>
              </w:rPr>
            </w:pPr>
          </w:p>
        </w:tc>
        <w:tc>
          <w:tcPr>
            <w:tcW w:w="289" w:type="dxa"/>
            <w:tcMar>
              <w:top w:w="15" w:type="dxa"/>
              <w:left w:w="15" w:type="dxa"/>
              <w:bottom w:w="0" w:type="dxa"/>
              <w:right w:w="15" w:type="dxa"/>
            </w:tcMar>
            <w:vAlign w:val="bottom"/>
          </w:tcPr>
          <w:p w:rsidR="00BA14E9" w:rsidRDefault="00BA14E9">
            <w:pPr>
              <w:pStyle w:val="TableText"/>
              <w:jc w:val="center"/>
              <w:rPr>
                <w:bCs/>
                <w:caps/>
                <w:szCs w:val="20"/>
              </w:rPr>
            </w:pPr>
          </w:p>
        </w:tc>
        <w:tc>
          <w:tcPr>
            <w:tcW w:w="290" w:type="dxa"/>
            <w:tcMar>
              <w:top w:w="15" w:type="dxa"/>
              <w:left w:w="15" w:type="dxa"/>
              <w:bottom w:w="0" w:type="dxa"/>
              <w:right w:w="15" w:type="dxa"/>
            </w:tcMar>
            <w:vAlign w:val="bottom"/>
          </w:tcPr>
          <w:p w:rsidR="00BA14E9" w:rsidRDefault="00BA14E9">
            <w:pPr>
              <w:pStyle w:val="TableText"/>
              <w:jc w:val="center"/>
              <w:rPr>
                <w:bCs/>
                <w:caps/>
                <w:szCs w:val="20"/>
              </w:rPr>
            </w:pPr>
          </w:p>
        </w:tc>
        <w:tc>
          <w:tcPr>
            <w:tcW w:w="290" w:type="dxa"/>
            <w:tcMar>
              <w:top w:w="15" w:type="dxa"/>
              <w:left w:w="15" w:type="dxa"/>
              <w:bottom w:w="0" w:type="dxa"/>
              <w:right w:w="15" w:type="dxa"/>
            </w:tcMar>
            <w:vAlign w:val="bottom"/>
          </w:tcPr>
          <w:p w:rsidR="00BA14E9" w:rsidRDefault="00BA14E9">
            <w:pPr>
              <w:pStyle w:val="TableText"/>
              <w:jc w:val="center"/>
              <w:rPr>
                <w:bCs/>
                <w:caps/>
                <w:szCs w:val="20"/>
              </w:rPr>
            </w:pPr>
          </w:p>
        </w:tc>
        <w:tc>
          <w:tcPr>
            <w:tcW w:w="298" w:type="dxa"/>
            <w:noWrap/>
            <w:tcMar>
              <w:top w:w="15" w:type="dxa"/>
              <w:left w:w="15" w:type="dxa"/>
              <w:bottom w:w="0" w:type="dxa"/>
              <w:right w:w="15" w:type="dxa"/>
            </w:tcMar>
            <w:vAlign w:val="bottom"/>
          </w:tcPr>
          <w:p w:rsidR="00BA14E9" w:rsidRDefault="00BA14E9">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BA14E9" w:rsidRDefault="00BA14E9">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BA14E9" w:rsidRDefault="00BA14E9">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BA14E9" w:rsidRDefault="00BA14E9">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BA14E9" w:rsidRDefault="00BA14E9">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BA14E9" w:rsidRDefault="00BA14E9">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BA14E9" w:rsidRDefault="00BA14E9">
            <w:pPr>
              <w:pStyle w:val="TableText"/>
              <w:jc w:val="center"/>
              <w:rPr>
                <w:bCs/>
                <w:caps/>
                <w:szCs w:val="20"/>
              </w:rPr>
            </w:pPr>
          </w:p>
        </w:tc>
        <w:tc>
          <w:tcPr>
            <w:tcW w:w="298" w:type="dxa"/>
            <w:noWrap/>
            <w:tcMar>
              <w:top w:w="15" w:type="dxa"/>
              <w:left w:w="15" w:type="dxa"/>
              <w:bottom w:w="0" w:type="dxa"/>
              <w:right w:w="15" w:type="dxa"/>
            </w:tcMar>
            <w:vAlign w:val="bottom"/>
          </w:tcPr>
          <w:p w:rsidR="00BA14E9" w:rsidRDefault="00BA14E9">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BA14E9" w:rsidRDefault="00BA14E9">
            <w:pPr>
              <w:pStyle w:val="TableText"/>
              <w:jc w:val="center"/>
              <w:rPr>
                <w:rFonts w:eastAsia="Symbol"/>
                <w:bCs/>
                <w:caps/>
                <w:szCs w:val="20"/>
              </w:rPr>
            </w:pPr>
          </w:p>
        </w:tc>
        <w:tc>
          <w:tcPr>
            <w:tcW w:w="290" w:type="dxa"/>
            <w:tcMar>
              <w:top w:w="15" w:type="dxa"/>
              <w:left w:w="15" w:type="dxa"/>
              <w:bottom w:w="0" w:type="dxa"/>
              <w:right w:w="15" w:type="dxa"/>
            </w:tcMar>
            <w:vAlign w:val="bottom"/>
          </w:tcPr>
          <w:p w:rsidR="00BA14E9" w:rsidRDefault="00BA14E9">
            <w:pPr>
              <w:pStyle w:val="TableText"/>
              <w:jc w:val="center"/>
              <w:rPr>
                <w:bCs/>
                <w:caps/>
                <w:szCs w:val="20"/>
              </w:rPr>
            </w:pPr>
          </w:p>
        </w:tc>
        <w:tc>
          <w:tcPr>
            <w:tcW w:w="383" w:type="dxa"/>
            <w:tcMar>
              <w:top w:w="15" w:type="dxa"/>
              <w:left w:w="15" w:type="dxa"/>
              <w:bottom w:w="0" w:type="dxa"/>
              <w:right w:w="15" w:type="dxa"/>
            </w:tcMar>
            <w:vAlign w:val="bottom"/>
          </w:tcPr>
          <w:p w:rsidR="00BA14E9" w:rsidRDefault="00BA14E9">
            <w:pPr>
              <w:pStyle w:val="TableText"/>
              <w:jc w:val="center"/>
              <w:rPr>
                <w:bCs/>
                <w:caps/>
                <w:szCs w:val="20"/>
              </w:rPr>
            </w:pPr>
          </w:p>
        </w:tc>
        <w:tc>
          <w:tcPr>
            <w:tcW w:w="383" w:type="dxa"/>
            <w:tcMar>
              <w:top w:w="15" w:type="dxa"/>
              <w:left w:w="15" w:type="dxa"/>
              <w:bottom w:w="0" w:type="dxa"/>
              <w:right w:w="15" w:type="dxa"/>
            </w:tcMar>
            <w:vAlign w:val="bottom"/>
          </w:tcPr>
          <w:p w:rsidR="00BA14E9" w:rsidRDefault="00BA14E9">
            <w:pPr>
              <w:pStyle w:val="TableText"/>
              <w:jc w:val="center"/>
              <w:rPr>
                <w:bCs/>
                <w:caps/>
                <w:szCs w:val="20"/>
              </w:rPr>
            </w:pPr>
          </w:p>
        </w:tc>
        <w:tc>
          <w:tcPr>
            <w:tcW w:w="290" w:type="dxa"/>
            <w:tcMar>
              <w:top w:w="15" w:type="dxa"/>
              <w:left w:w="15" w:type="dxa"/>
              <w:bottom w:w="0" w:type="dxa"/>
              <w:right w:w="15" w:type="dxa"/>
            </w:tcMar>
            <w:vAlign w:val="bottom"/>
          </w:tcPr>
          <w:p w:rsidR="00BA14E9" w:rsidRDefault="00BA14E9">
            <w:pPr>
              <w:pStyle w:val="TableText"/>
              <w:jc w:val="center"/>
              <w:rPr>
                <w:bCs/>
                <w:caps/>
                <w:szCs w:val="20"/>
              </w:rPr>
            </w:pPr>
          </w:p>
        </w:tc>
        <w:tc>
          <w:tcPr>
            <w:tcW w:w="290" w:type="dxa"/>
            <w:tcMar>
              <w:top w:w="15" w:type="dxa"/>
              <w:left w:w="15" w:type="dxa"/>
              <w:bottom w:w="0" w:type="dxa"/>
              <w:right w:w="15" w:type="dxa"/>
            </w:tcMar>
            <w:vAlign w:val="bottom"/>
          </w:tcPr>
          <w:p w:rsidR="00BA14E9" w:rsidRDefault="00BA14E9">
            <w:pPr>
              <w:pStyle w:val="TableText"/>
              <w:jc w:val="center"/>
              <w:rPr>
                <w:bCs/>
                <w:caps/>
                <w:szCs w:val="20"/>
              </w:rPr>
            </w:pPr>
          </w:p>
        </w:tc>
        <w:tc>
          <w:tcPr>
            <w:tcW w:w="383" w:type="dxa"/>
            <w:tcMar>
              <w:top w:w="15" w:type="dxa"/>
              <w:left w:w="15" w:type="dxa"/>
              <w:bottom w:w="0" w:type="dxa"/>
              <w:right w:w="15" w:type="dxa"/>
            </w:tcMar>
            <w:vAlign w:val="bottom"/>
          </w:tcPr>
          <w:p w:rsidR="00BA14E9" w:rsidRDefault="00BA14E9">
            <w:pPr>
              <w:pStyle w:val="TableText"/>
              <w:jc w:val="center"/>
              <w:rPr>
                <w:bCs/>
                <w:caps/>
                <w:szCs w:val="20"/>
              </w:rPr>
            </w:pPr>
          </w:p>
        </w:tc>
        <w:tc>
          <w:tcPr>
            <w:tcW w:w="383" w:type="dxa"/>
            <w:tcMar>
              <w:top w:w="15" w:type="dxa"/>
              <w:left w:w="15" w:type="dxa"/>
              <w:bottom w:w="0" w:type="dxa"/>
              <w:right w:w="15" w:type="dxa"/>
            </w:tcMar>
            <w:vAlign w:val="bottom"/>
          </w:tcPr>
          <w:p w:rsidR="00BA14E9" w:rsidRDefault="00BA14E9">
            <w:pPr>
              <w:pStyle w:val="TableText"/>
              <w:jc w:val="center"/>
              <w:rPr>
                <w:bCs/>
                <w:caps/>
                <w:szCs w:val="20"/>
              </w:rPr>
            </w:pPr>
          </w:p>
        </w:tc>
        <w:tc>
          <w:tcPr>
            <w:tcW w:w="390" w:type="dxa"/>
            <w:noWrap/>
            <w:tcMar>
              <w:top w:w="15" w:type="dxa"/>
              <w:left w:w="15" w:type="dxa"/>
              <w:bottom w:w="0" w:type="dxa"/>
              <w:right w:w="15" w:type="dxa"/>
            </w:tcMar>
            <w:vAlign w:val="bottom"/>
          </w:tcPr>
          <w:p w:rsidR="00BA14E9" w:rsidRDefault="00BA14E9">
            <w:pPr>
              <w:pStyle w:val="TableText"/>
              <w:jc w:val="center"/>
              <w:rPr>
                <w:rFonts w:eastAsia="Symbol"/>
                <w:bCs/>
                <w:caps/>
                <w:szCs w:val="20"/>
              </w:rPr>
            </w:pPr>
          </w:p>
        </w:tc>
        <w:tc>
          <w:tcPr>
            <w:tcW w:w="290" w:type="dxa"/>
            <w:tcMar>
              <w:top w:w="15" w:type="dxa"/>
              <w:left w:w="15" w:type="dxa"/>
              <w:bottom w:w="0" w:type="dxa"/>
              <w:right w:w="15" w:type="dxa"/>
            </w:tcMar>
            <w:vAlign w:val="bottom"/>
          </w:tcPr>
          <w:p w:rsidR="00BA14E9" w:rsidRDefault="00BA14E9">
            <w:pPr>
              <w:pStyle w:val="TableText"/>
              <w:jc w:val="center"/>
              <w:rPr>
                <w:bCs/>
                <w:caps/>
                <w:szCs w:val="20"/>
              </w:rPr>
            </w:pPr>
          </w:p>
        </w:tc>
        <w:tc>
          <w:tcPr>
            <w:tcW w:w="290" w:type="dxa"/>
            <w:tcMar>
              <w:top w:w="15" w:type="dxa"/>
              <w:left w:w="15" w:type="dxa"/>
              <w:bottom w:w="0" w:type="dxa"/>
              <w:right w:w="15" w:type="dxa"/>
            </w:tcMar>
            <w:vAlign w:val="bottom"/>
          </w:tcPr>
          <w:p w:rsidR="00BA14E9" w:rsidRDefault="00BA14E9">
            <w:pPr>
              <w:pStyle w:val="TableText"/>
              <w:jc w:val="center"/>
              <w:rPr>
                <w:bCs/>
                <w:caps/>
                <w:szCs w:val="20"/>
              </w:rPr>
            </w:pPr>
          </w:p>
        </w:tc>
        <w:tc>
          <w:tcPr>
            <w:tcW w:w="298" w:type="dxa"/>
            <w:noWrap/>
            <w:tcMar>
              <w:top w:w="15" w:type="dxa"/>
              <w:left w:w="15" w:type="dxa"/>
              <w:bottom w:w="0" w:type="dxa"/>
              <w:right w:w="15" w:type="dxa"/>
            </w:tcMar>
            <w:vAlign w:val="bottom"/>
          </w:tcPr>
          <w:p w:rsidR="00BA14E9" w:rsidRDefault="00BA14E9">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BA14E9" w:rsidRDefault="00BA14E9">
            <w:pPr>
              <w:pStyle w:val="TableText"/>
              <w:jc w:val="center"/>
              <w:rPr>
                <w:rFonts w:eastAsia="Symbol"/>
                <w:bCs/>
                <w:caps/>
                <w:szCs w:val="20"/>
              </w:rPr>
            </w:pPr>
          </w:p>
        </w:tc>
        <w:tc>
          <w:tcPr>
            <w:tcW w:w="290" w:type="dxa"/>
            <w:tcMar>
              <w:top w:w="15" w:type="dxa"/>
              <w:left w:w="15" w:type="dxa"/>
              <w:bottom w:w="0" w:type="dxa"/>
              <w:right w:w="15" w:type="dxa"/>
            </w:tcMar>
            <w:vAlign w:val="bottom"/>
          </w:tcPr>
          <w:p w:rsidR="00BA14E9" w:rsidRDefault="00BA14E9">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BA14E9" w:rsidRDefault="00BA14E9">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BA14E9" w:rsidRDefault="00BA14E9">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BA14E9" w:rsidRDefault="00BA14E9">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BA14E9" w:rsidRDefault="00BA14E9">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Remote storage cooler A</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138"/>
        </w:trPr>
        <w:tc>
          <w:tcPr>
            <w:tcW w:w="1299" w:type="dxa"/>
            <w:tcMar>
              <w:top w:w="15" w:type="dxa"/>
              <w:left w:w="15" w:type="dxa"/>
              <w:bottom w:w="0" w:type="dxa"/>
              <w:right w:w="15" w:type="dxa"/>
            </w:tcMar>
            <w:vAlign w:val="bottom"/>
          </w:tcPr>
          <w:p w:rsidR="003D06B5" w:rsidRDefault="003D06B5">
            <w:pPr>
              <w:pStyle w:val="TableText"/>
            </w:pPr>
            <w:r>
              <w:t>Resetting due to policy change</w:t>
            </w:r>
          </w:p>
        </w:tc>
        <w:tc>
          <w:tcPr>
            <w:tcW w:w="288" w:type="dxa"/>
            <w:gridSpan w:val="2"/>
            <w:tcMar>
              <w:top w:w="15" w:type="dxa"/>
              <w:left w:w="15" w:type="dxa"/>
              <w:bottom w:w="0" w:type="dxa"/>
              <w:right w:w="15" w:type="dxa"/>
            </w:tcMar>
            <w:vAlign w:val="bottom"/>
          </w:tcPr>
          <w:p w:rsidR="003D06B5" w:rsidRDefault="003D06B5">
            <w:pPr>
              <w:pStyle w:val="TableText"/>
              <w:jc w:val="center"/>
              <w:rPr>
                <w:bCs/>
                <w:szCs w:val="20"/>
              </w:rPr>
            </w:pPr>
          </w:p>
        </w:tc>
        <w:tc>
          <w:tcPr>
            <w:tcW w:w="297" w:type="dxa"/>
            <w:gridSpan w:val="3"/>
          </w:tcPr>
          <w:p w:rsidR="003D06B5" w:rsidRDefault="003D06B5">
            <w:pPr>
              <w:pStyle w:val="TableText"/>
              <w:jc w:val="center"/>
              <w:rPr>
                <w:bC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7" w:type="dxa"/>
            <w:noWrap/>
            <w:tcMar>
              <w:top w:w="15" w:type="dxa"/>
              <w:left w:w="15" w:type="dxa"/>
              <w:bottom w:w="0" w:type="dxa"/>
              <w:right w:w="15" w:type="dxa"/>
            </w:tcMar>
            <w:vAlign w:val="bottom"/>
          </w:tcPr>
          <w:p w:rsidR="003D06B5" w:rsidRDefault="003D06B5">
            <w:pPr>
              <w:pStyle w:val="TableText"/>
              <w:jc w:val="center"/>
              <w:rPr>
                <w:bC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szCs w:val="20"/>
              </w:rPr>
            </w:pPr>
          </w:p>
        </w:tc>
        <w:tc>
          <w:tcPr>
            <w:tcW w:w="297" w:type="dxa"/>
            <w:noWrap/>
            <w:tcMar>
              <w:top w:w="15" w:type="dxa"/>
              <w:left w:w="15" w:type="dxa"/>
              <w:bottom w:w="0" w:type="dxa"/>
              <w:right w:w="15" w:type="dxa"/>
            </w:tcMar>
            <w:vAlign w:val="bottom"/>
          </w:tcPr>
          <w:p w:rsidR="003D06B5" w:rsidRDefault="003D06B5">
            <w:pPr>
              <w:pStyle w:val="TableText"/>
              <w:jc w:val="center"/>
              <w:rPr>
                <w:bCs/>
                <w:szCs w:val="20"/>
              </w:rPr>
            </w:pPr>
          </w:p>
        </w:tc>
        <w:tc>
          <w:tcPr>
            <w:tcW w:w="297" w:type="dxa"/>
            <w:noWrap/>
            <w:tcMar>
              <w:top w:w="15" w:type="dxa"/>
              <w:left w:w="15" w:type="dxa"/>
              <w:bottom w:w="0" w:type="dxa"/>
              <w:right w:w="15" w:type="dxa"/>
            </w:tcMar>
            <w:vAlign w:val="bottom"/>
          </w:tcPr>
          <w:p w:rsidR="003D06B5" w:rsidRDefault="003D06B5">
            <w:pPr>
              <w:pStyle w:val="TableText"/>
              <w:jc w:val="center"/>
              <w:rPr>
                <w:bCs/>
                <w:szCs w:val="20"/>
              </w:rPr>
            </w:pPr>
          </w:p>
        </w:tc>
        <w:tc>
          <w:tcPr>
            <w:tcW w:w="289" w:type="dxa"/>
            <w:tcMar>
              <w:top w:w="15" w:type="dxa"/>
              <w:left w:w="15" w:type="dxa"/>
              <w:bottom w:w="0" w:type="dxa"/>
              <w:right w:w="15" w:type="dxa"/>
            </w:tcMar>
            <w:vAlign w:val="bottom"/>
          </w:tcPr>
          <w:p w:rsidR="003D06B5" w:rsidRDefault="003D06B5">
            <w:pPr>
              <w:pStyle w:val="TableText"/>
              <w:jc w:val="center"/>
              <w:rPr>
                <w:bCs/>
                <w:szCs w:val="20"/>
              </w:rPr>
            </w:pPr>
            <w:r>
              <w:rPr>
                <w:bCs/>
                <w:szCs w:val="20"/>
              </w:rPr>
              <w:t>X</w:t>
            </w:r>
          </w:p>
        </w:tc>
        <w:tc>
          <w:tcPr>
            <w:tcW w:w="297" w:type="dxa"/>
            <w:noWrap/>
            <w:tcMar>
              <w:top w:w="15" w:type="dxa"/>
              <w:left w:w="15" w:type="dxa"/>
              <w:bottom w:w="0" w:type="dxa"/>
              <w:right w:w="15" w:type="dxa"/>
            </w:tcMar>
            <w:vAlign w:val="bottom"/>
          </w:tcPr>
          <w:p w:rsidR="003D06B5" w:rsidRDefault="003D06B5">
            <w:pPr>
              <w:pStyle w:val="TableText"/>
              <w:jc w:val="center"/>
              <w:rPr>
                <w:bCs/>
                <w:szCs w:val="20"/>
              </w:rPr>
            </w:pPr>
          </w:p>
        </w:tc>
        <w:tc>
          <w:tcPr>
            <w:tcW w:w="289" w:type="dxa"/>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383" w:type="dxa"/>
            <w:tcMar>
              <w:top w:w="15" w:type="dxa"/>
              <w:left w:w="15" w:type="dxa"/>
              <w:bottom w:w="0" w:type="dxa"/>
              <w:right w:w="15" w:type="dxa"/>
            </w:tcMar>
            <w:vAlign w:val="bottom"/>
          </w:tcPr>
          <w:p w:rsidR="003D06B5" w:rsidRDefault="003D06B5">
            <w:pPr>
              <w:pStyle w:val="TableText"/>
              <w:jc w:val="center"/>
              <w:rPr>
                <w:bCs/>
                <w:szCs w:val="20"/>
              </w:rPr>
            </w:pPr>
          </w:p>
        </w:tc>
        <w:tc>
          <w:tcPr>
            <w:tcW w:w="383" w:type="dxa"/>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383" w:type="dxa"/>
            <w:tcMar>
              <w:top w:w="15" w:type="dxa"/>
              <w:left w:w="15" w:type="dxa"/>
              <w:bottom w:w="0" w:type="dxa"/>
              <w:right w:w="15" w:type="dxa"/>
            </w:tcMar>
            <w:vAlign w:val="bottom"/>
          </w:tcPr>
          <w:p w:rsidR="003D06B5" w:rsidRDefault="003D06B5">
            <w:pPr>
              <w:pStyle w:val="TableText"/>
              <w:jc w:val="center"/>
              <w:rPr>
                <w:bCs/>
                <w:szCs w:val="20"/>
              </w:rPr>
            </w:pPr>
          </w:p>
        </w:tc>
        <w:tc>
          <w:tcPr>
            <w:tcW w:w="383" w:type="dxa"/>
            <w:tcMar>
              <w:top w:w="15" w:type="dxa"/>
              <w:left w:w="15" w:type="dxa"/>
              <w:bottom w:w="0" w:type="dxa"/>
              <w:right w:w="15" w:type="dxa"/>
            </w:tcMar>
            <w:vAlign w:val="bottom"/>
          </w:tcPr>
          <w:p w:rsidR="003D06B5" w:rsidRDefault="003D06B5">
            <w:pPr>
              <w:pStyle w:val="TableText"/>
              <w:jc w:val="center"/>
              <w:rPr>
                <w:bCs/>
                <w:szCs w:val="20"/>
              </w:rPr>
            </w:pPr>
          </w:p>
        </w:tc>
        <w:tc>
          <w:tcPr>
            <w:tcW w:w="390" w:type="dxa"/>
            <w:noWrap/>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r>
      <w:tr w:rsidR="004342D1" w:rsidTr="004342D1">
        <w:tblPrEx>
          <w:shd w:val="clear" w:color="auto" w:fill="auto"/>
        </w:tblPrEx>
        <w:trPr>
          <w:cantSplit/>
          <w:trHeight w:val="138"/>
        </w:trPr>
        <w:tc>
          <w:tcPr>
            <w:tcW w:w="1299" w:type="dxa"/>
            <w:tcMar>
              <w:top w:w="15" w:type="dxa"/>
              <w:left w:w="15" w:type="dxa"/>
              <w:bottom w:w="0" w:type="dxa"/>
              <w:right w:w="15" w:type="dxa"/>
            </w:tcMar>
            <w:vAlign w:val="bottom"/>
          </w:tcPr>
          <w:p w:rsidR="004342D1" w:rsidRDefault="004342D1" w:rsidP="004342D1">
            <w:pPr>
              <w:pStyle w:val="TableText"/>
            </w:pPr>
            <w:r>
              <w:t>Results confirmed with tube testing</w:t>
            </w:r>
          </w:p>
        </w:tc>
        <w:tc>
          <w:tcPr>
            <w:tcW w:w="288" w:type="dxa"/>
            <w:gridSpan w:val="2"/>
            <w:tcMar>
              <w:top w:w="15" w:type="dxa"/>
              <w:left w:w="15" w:type="dxa"/>
              <w:bottom w:w="0" w:type="dxa"/>
              <w:right w:w="15" w:type="dxa"/>
            </w:tcMar>
            <w:vAlign w:val="bottom"/>
          </w:tcPr>
          <w:p w:rsidR="004342D1" w:rsidRDefault="004342D1">
            <w:pPr>
              <w:pStyle w:val="TableText"/>
              <w:jc w:val="center"/>
              <w:rPr>
                <w:bCs/>
                <w:szCs w:val="20"/>
              </w:rPr>
            </w:pPr>
          </w:p>
        </w:tc>
        <w:tc>
          <w:tcPr>
            <w:tcW w:w="297" w:type="dxa"/>
            <w:gridSpan w:val="3"/>
            <w:vAlign w:val="bottom"/>
          </w:tcPr>
          <w:p w:rsidR="004342D1" w:rsidRDefault="004342D1" w:rsidP="004342D1">
            <w:pPr>
              <w:pStyle w:val="TableText"/>
              <w:jc w:val="center"/>
              <w:rPr>
                <w:bCs/>
                <w:szCs w:val="20"/>
              </w:rPr>
            </w:pPr>
            <w:r>
              <w:rPr>
                <w:bCs/>
                <w:szCs w:val="20"/>
              </w:rPr>
              <w:t>X</w:t>
            </w:r>
          </w:p>
        </w:tc>
        <w:tc>
          <w:tcPr>
            <w:tcW w:w="308" w:type="dxa"/>
            <w:gridSpan w:val="2"/>
            <w:noWrap/>
            <w:tcMar>
              <w:top w:w="15" w:type="dxa"/>
              <w:left w:w="15" w:type="dxa"/>
              <w:bottom w:w="0" w:type="dxa"/>
              <w:right w:w="15" w:type="dxa"/>
            </w:tcMar>
            <w:vAlign w:val="bottom"/>
          </w:tcPr>
          <w:p w:rsidR="004342D1" w:rsidRDefault="004342D1">
            <w:pPr>
              <w:pStyle w:val="TableText"/>
              <w:jc w:val="center"/>
              <w:rPr>
                <w:bCs/>
                <w:szCs w:val="20"/>
              </w:rPr>
            </w:pPr>
          </w:p>
        </w:tc>
        <w:tc>
          <w:tcPr>
            <w:tcW w:w="290" w:type="dxa"/>
            <w:tcMar>
              <w:top w:w="15" w:type="dxa"/>
              <w:left w:w="15" w:type="dxa"/>
              <w:bottom w:w="0" w:type="dxa"/>
              <w:right w:w="15" w:type="dxa"/>
            </w:tcMar>
            <w:vAlign w:val="bottom"/>
          </w:tcPr>
          <w:p w:rsidR="004342D1" w:rsidRDefault="004342D1">
            <w:pPr>
              <w:pStyle w:val="TableText"/>
              <w:jc w:val="center"/>
              <w:rPr>
                <w:bCs/>
                <w:szCs w:val="20"/>
              </w:rPr>
            </w:pPr>
          </w:p>
        </w:tc>
        <w:tc>
          <w:tcPr>
            <w:tcW w:w="297" w:type="dxa"/>
            <w:noWrap/>
            <w:tcMar>
              <w:top w:w="15" w:type="dxa"/>
              <w:left w:w="15" w:type="dxa"/>
              <w:bottom w:w="0" w:type="dxa"/>
              <w:right w:w="15" w:type="dxa"/>
            </w:tcMar>
            <w:vAlign w:val="bottom"/>
          </w:tcPr>
          <w:p w:rsidR="004342D1" w:rsidRDefault="004342D1">
            <w:pPr>
              <w:pStyle w:val="TableText"/>
              <w:jc w:val="center"/>
              <w:rPr>
                <w:bCs/>
                <w:szCs w:val="20"/>
              </w:rPr>
            </w:pPr>
          </w:p>
        </w:tc>
        <w:tc>
          <w:tcPr>
            <w:tcW w:w="297" w:type="dxa"/>
            <w:tcMar>
              <w:top w:w="15" w:type="dxa"/>
              <w:left w:w="15" w:type="dxa"/>
              <w:bottom w:w="0" w:type="dxa"/>
              <w:right w:w="15" w:type="dxa"/>
            </w:tcMar>
            <w:vAlign w:val="bottom"/>
          </w:tcPr>
          <w:p w:rsidR="004342D1" w:rsidRPr="006A5D0F" w:rsidRDefault="004342D1" w:rsidP="006A5D0F">
            <w:pPr>
              <w:pStyle w:val="TableText"/>
              <w:jc w:val="center"/>
              <w:rPr>
                <w:bCs/>
                <w:szCs w:val="20"/>
              </w:rPr>
            </w:pPr>
          </w:p>
        </w:tc>
        <w:tc>
          <w:tcPr>
            <w:tcW w:w="297" w:type="dxa"/>
            <w:noWrap/>
            <w:tcMar>
              <w:top w:w="15" w:type="dxa"/>
              <w:left w:w="15" w:type="dxa"/>
              <w:bottom w:w="0" w:type="dxa"/>
              <w:right w:w="15" w:type="dxa"/>
            </w:tcMar>
            <w:vAlign w:val="bottom"/>
          </w:tcPr>
          <w:p w:rsidR="004342D1" w:rsidRDefault="004342D1">
            <w:pPr>
              <w:pStyle w:val="TableText"/>
              <w:jc w:val="center"/>
              <w:rPr>
                <w:bCs/>
                <w:szCs w:val="20"/>
              </w:rPr>
            </w:pPr>
          </w:p>
        </w:tc>
        <w:tc>
          <w:tcPr>
            <w:tcW w:w="297" w:type="dxa"/>
            <w:noWrap/>
            <w:tcMar>
              <w:top w:w="15" w:type="dxa"/>
              <w:left w:w="15" w:type="dxa"/>
              <w:bottom w:w="0" w:type="dxa"/>
              <w:right w:w="15" w:type="dxa"/>
            </w:tcMar>
            <w:vAlign w:val="bottom"/>
          </w:tcPr>
          <w:p w:rsidR="004342D1" w:rsidRDefault="004342D1">
            <w:pPr>
              <w:pStyle w:val="TableText"/>
              <w:jc w:val="center"/>
              <w:rPr>
                <w:bCs/>
                <w:szCs w:val="20"/>
              </w:rPr>
            </w:pPr>
          </w:p>
        </w:tc>
        <w:tc>
          <w:tcPr>
            <w:tcW w:w="289" w:type="dxa"/>
            <w:tcMar>
              <w:top w:w="15" w:type="dxa"/>
              <w:left w:w="15" w:type="dxa"/>
              <w:bottom w:w="0" w:type="dxa"/>
              <w:right w:w="15" w:type="dxa"/>
            </w:tcMar>
            <w:vAlign w:val="bottom"/>
          </w:tcPr>
          <w:p w:rsidR="004342D1" w:rsidRDefault="004342D1">
            <w:pPr>
              <w:pStyle w:val="TableText"/>
              <w:jc w:val="center"/>
              <w:rPr>
                <w:bCs/>
                <w:szCs w:val="20"/>
              </w:rPr>
            </w:pPr>
          </w:p>
        </w:tc>
        <w:tc>
          <w:tcPr>
            <w:tcW w:w="297" w:type="dxa"/>
            <w:noWrap/>
            <w:tcMar>
              <w:top w:w="15" w:type="dxa"/>
              <w:left w:w="15" w:type="dxa"/>
              <w:bottom w:w="0" w:type="dxa"/>
              <w:right w:w="15" w:type="dxa"/>
            </w:tcMar>
            <w:vAlign w:val="bottom"/>
          </w:tcPr>
          <w:p w:rsidR="004342D1" w:rsidRDefault="004342D1">
            <w:pPr>
              <w:pStyle w:val="TableText"/>
              <w:jc w:val="center"/>
              <w:rPr>
                <w:bCs/>
                <w:szCs w:val="20"/>
              </w:rPr>
            </w:pPr>
          </w:p>
        </w:tc>
        <w:tc>
          <w:tcPr>
            <w:tcW w:w="289" w:type="dxa"/>
            <w:tcMar>
              <w:top w:w="15" w:type="dxa"/>
              <w:left w:w="15" w:type="dxa"/>
              <w:bottom w:w="0" w:type="dxa"/>
              <w:right w:w="15" w:type="dxa"/>
            </w:tcMar>
            <w:vAlign w:val="bottom"/>
          </w:tcPr>
          <w:p w:rsidR="004342D1" w:rsidRDefault="004342D1">
            <w:pPr>
              <w:pStyle w:val="TableText"/>
              <w:jc w:val="center"/>
              <w:rPr>
                <w:bCs/>
                <w:szCs w:val="20"/>
              </w:rPr>
            </w:pPr>
          </w:p>
        </w:tc>
        <w:tc>
          <w:tcPr>
            <w:tcW w:w="290" w:type="dxa"/>
            <w:tcMar>
              <w:top w:w="15" w:type="dxa"/>
              <w:left w:w="15" w:type="dxa"/>
              <w:bottom w:w="0" w:type="dxa"/>
              <w:right w:w="15" w:type="dxa"/>
            </w:tcMar>
            <w:vAlign w:val="bottom"/>
          </w:tcPr>
          <w:p w:rsidR="004342D1" w:rsidRDefault="004342D1">
            <w:pPr>
              <w:pStyle w:val="TableText"/>
              <w:jc w:val="center"/>
              <w:rPr>
                <w:bCs/>
                <w:szCs w:val="20"/>
              </w:rPr>
            </w:pPr>
          </w:p>
        </w:tc>
        <w:tc>
          <w:tcPr>
            <w:tcW w:w="290" w:type="dxa"/>
            <w:tcMar>
              <w:top w:w="15" w:type="dxa"/>
              <w:left w:w="15" w:type="dxa"/>
              <w:bottom w:w="0" w:type="dxa"/>
              <w:right w:w="15" w:type="dxa"/>
            </w:tcMar>
            <w:vAlign w:val="bottom"/>
          </w:tcPr>
          <w:p w:rsidR="004342D1" w:rsidRDefault="004342D1">
            <w:pPr>
              <w:pStyle w:val="TableText"/>
              <w:jc w:val="center"/>
              <w:rPr>
                <w:bCs/>
                <w:szCs w:val="20"/>
              </w:rPr>
            </w:pPr>
          </w:p>
        </w:tc>
        <w:tc>
          <w:tcPr>
            <w:tcW w:w="298" w:type="dxa"/>
            <w:noWrap/>
            <w:tcMar>
              <w:top w:w="15" w:type="dxa"/>
              <w:left w:w="15" w:type="dxa"/>
              <w:bottom w:w="0" w:type="dxa"/>
              <w:right w:w="15" w:type="dxa"/>
            </w:tcMar>
            <w:vAlign w:val="bottom"/>
          </w:tcPr>
          <w:p w:rsidR="004342D1" w:rsidRDefault="004342D1">
            <w:pPr>
              <w:pStyle w:val="TableText"/>
              <w:jc w:val="center"/>
              <w:rPr>
                <w:bCs/>
                <w:szCs w:val="20"/>
              </w:rPr>
            </w:pPr>
          </w:p>
        </w:tc>
        <w:tc>
          <w:tcPr>
            <w:tcW w:w="298" w:type="dxa"/>
            <w:noWrap/>
            <w:tcMar>
              <w:top w:w="15" w:type="dxa"/>
              <w:left w:w="15" w:type="dxa"/>
              <w:bottom w:w="0" w:type="dxa"/>
              <w:right w:w="15" w:type="dxa"/>
            </w:tcMar>
            <w:vAlign w:val="bottom"/>
          </w:tcPr>
          <w:p w:rsidR="004342D1" w:rsidRDefault="004342D1">
            <w:pPr>
              <w:pStyle w:val="TableText"/>
              <w:jc w:val="center"/>
              <w:rPr>
                <w:bCs/>
                <w:szCs w:val="20"/>
              </w:rPr>
            </w:pPr>
          </w:p>
        </w:tc>
        <w:tc>
          <w:tcPr>
            <w:tcW w:w="298" w:type="dxa"/>
            <w:noWrap/>
            <w:tcMar>
              <w:top w:w="15" w:type="dxa"/>
              <w:left w:w="15" w:type="dxa"/>
              <w:bottom w:w="0" w:type="dxa"/>
              <w:right w:w="15" w:type="dxa"/>
            </w:tcMar>
            <w:vAlign w:val="bottom"/>
          </w:tcPr>
          <w:p w:rsidR="004342D1" w:rsidRDefault="004342D1">
            <w:pPr>
              <w:pStyle w:val="TableText"/>
              <w:jc w:val="center"/>
              <w:rPr>
                <w:bCs/>
                <w:szCs w:val="20"/>
              </w:rPr>
            </w:pPr>
          </w:p>
        </w:tc>
        <w:tc>
          <w:tcPr>
            <w:tcW w:w="298" w:type="dxa"/>
            <w:noWrap/>
            <w:tcMar>
              <w:top w:w="15" w:type="dxa"/>
              <w:left w:w="15" w:type="dxa"/>
              <w:bottom w:w="0" w:type="dxa"/>
              <w:right w:w="15" w:type="dxa"/>
            </w:tcMar>
            <w:vAlign w:val="bottom"/>
          </w:tcPr>
          <w:p w:rsidR="004342D1" w:rsidRDefault="004342D1">
            <w:pPr>
              <w:pStyle w:val="TableText"/>
              <w:jc w:val="center"/>
              <w:rPr>
                <w:bCs/>
                <w:szCs w:val="20"/>
              </w:rPr>
            </w:pPr>
          </w:p>
        </w:tc>
        <w:tc>
          <w:tcPr>
            <w:tcW w:w="298" w:type="dxa"/>
            <w:noWrap/>
            <w:tcMar>
              <w:top w:w="15" w:type="dxa"/>
              <w:left w:w="15" w:type="dxa"/>
              <w:bottom w:w="0" w:type="dxa"/>
              <w:right w:w="15" w:type="dxa"/>
            </w:tcMar>
            <w:vAlign w:val="bottom"/>
          </w:tcPr>
          <w:p w:rsidR="004342D1" w:rsidRDefault="004342D1">
            <w:pPr>
              <w:pStyle w:val="TableText"/>
              <w:jc w:val="center"/>
              <w:rPr>
                <w:bCs/>
                <w:szCs w:val="20"/>
              </w:rPr>
            </w:pPr>
          </w:p>
        </w:tc>
        <w:tc>
          <w:tcPr>
            <w:tcW w:w="298" w:type="dxa"/>
            <w:noWrap/>
            <w:tcMar>
              <w:top w:w="15" w:type="dxa"/>
              <w:left w:w="15" w:type="dxa"/>
              <w:bottom w:w="0" w:type="dxa"/>
              <w:right w:w="15" w:type="dxa"/>
            </w:tcMar>
            <w:vAlign w:val="bottom"/>
          </w:tcPr>
          <w:p w:rsidR="004342D1" w:rsidRDefault="004342D1">
            <w:pPr>
              <w:pStyle w:val="TableText"/>
              <w:jc w:val="center"/>
              <w:rPr>
                <w:bCs/>
                <w:szCs w:val="20"/>
              </w:rPr>
            </w:pPr>
          </w:p>
        </w:tc>
        <w:tc>
          <w:tcPr>
            <w:tcW w:w="298" w:type="dxa"/>
            <w:noWrap/>
            <w:tcMar>
              <w:top w:w="15" w:type="dxa"/>
              <w:left w:w="15" w:type="dxa"/>
              <w:bottom w:w="0" w:type="dxa"/>
              <w:right w:w="15" w:type="dxa"/>
            </w:tcMar>
            <w:vAlign w:val="bottom"/>
          </w:tcPr>
          <w:p w:rsidR="004342D1" w:rsidRDefault="004342D1">
            <w:pPr>
              <w:pStyle w:val="TableText"/>
              <w:jc w:val="center"/>
              <w:rPr>
                <w:bCs/>
                <w:szCs w:val="20"/>
              </w:rPr>
            </w:pPr>
          </w:p>
        </w:tc>
        <w:tc>
          <w:tcPr>
            <w:tcW w:w="298" w:type="dxa"/>
            <w:noWrap/>
            <w:tcMar>
              <w:top w:w="15" w:type="dxa"/>
              <w:left w:w="15" w:type="dxa"/>
              <w:bottom w:w="0" w:type="dxa"/>
              <w:right w:w="15" w:type="dxa"/>
            </w:tcMar>
            <w:vAlign w:val="bottom"/>
          </w:tcPr>
          <w:p w:rsidR="004342D1" w:rsidRDefault="004342D1">
            <w:pPr>
              <w:pStyle w:val="TableText"/>
              <w:jc w:val="center"/>
              <w:rPr>
                <w:bCs/>
                <w:szCs w:val="20"/>
              </w:rPr>
            </w:pPr>
          </w:p>
        </w:tc>
        <w:tc>
          <w:tcPr>
            <w:tcW w:w="298" w:type="dxa"/>
            <w:noWrap/>
            <w:tcMar>
              <w:top w:w="15" w:type="dxa"/>
              <w:left w:w="15" w:type="dxa"/>
              <w:bottom w:w="0" w:type="dxa"/>
              <w:right w:w="15" w:type="dxa"/>
            </w:tcMar>
            <w:vAlign w:val="bottom"/>
          </w:tcPr>
          <w:p w:rsidR="004342D1" w:rsidRDefault="004342D1">
            <w:pPr>
              <w:pStyle w:val="TableText"/>
              <w:jc w:val="center"/>
              <w:rPr>
                <w:bCs/>
                <w:szCs w:val="20"/>
              </w:rPr>
            </w:pPr>
          </w:p>
        </w:tc>
        <w:tc>
          <w:tcPr>
            <w:tcW w:w="290" w:type="dxa"/>
            <w:tcMar>
              <w:top w:w="15" w:type="dxa"/>
              <w:left w:w="15" w:type="dxa"/>
              <w:bottom w:w="0" w:type="dxa"/>
              <w:right w:w="15" w:type="dxa"/>
            </w:tcMar>
            <w:vAlign w:val="bottom"/>
          </w:tcPr>
          <w:p w:rsidR="004342D1" w:rsidRDefault="004342D1">
            <w:pPr>
              <w:pStyle w:val="TableText"/>
              <w:jc w:val="center"/>
              <w:rPr>
                <w:bCs/>
                <w:szCs w:val="20"/>
              </w:rPr>
            </w:pPr>
          </w:p>
        </w:tc>
        <w:tc>
          <w:tcPr>
            <w:tcW w:w="383" w:type="dxa"/>
            <w:tcMar>
              <w:top w:w="15" w:type="dxa"/>
              <w:left w:w="15" w:type="dxa"/>
              <w:bottom w:w="0" w:type="dxa"/>
              <w:right w:w="15" w:type="dxa"/>
            </w:tcMar>
            <w:vAlign w:val="bottom"/>
          </w:tcPr>
          <w:p w:rsidR="004342D1" w:rsidRDefault="004342D1">
            <w:pPr>
              <w:pStyle w:val="TableText"/>
              <w:jc w:val="center"/>
              <w:rPr>
                <w:bCs/>
                <w:szCs w:val="20"/>
              </w:rPr>
            </w:pPr>
          </w:p>
        </w:tc>
        <w:tc>
          <w:tcPr>
            <w:tcW w:w="383" w:type="dxa"/>
            <w:tcMar>
              <w:top w:w="15" w:type="dxa"/>
              <w:left w:w="15" w:type="dxa"/>
              <w:bottom w:w="0" w:type="dxa"/>
              <w:right w:w="15" w:type="dxa"/>
            </w:tcMar>
            <w:vAlign w:val="bottom"/>
          </w:tcPr>
          <w:p w:rsidR="004342D1" w:rsidRDefault="004342D1">
            <w:pPr>
              <w:pStyle w:val="TableText"/>
              <w:jc w:val="center"/>
              <w:rPr>
                <w:bCs/>
                <w:szCs w:val="20"/>
              </w:rPr>
            </w:pPr>
          </w:p>
        </w:tc>
        <w:tc>
          <w:tcPr>
            <w:tcW w:w="290" w:type="dxa"/>
            <w:tcMar>
              <w:top w:w="15" w:type="dxa"/>
              <w:left w:w="15" w:type="dxa"/>
              <w:bottom w:w="0" w:type="dxa"/>
              <w:right w:w="15" w:type="dxa"/>
            </w:tcMar>
            <w:vAlign w:val="bottom"/>
          </w:tcPr>
          <w:p w:rsidR="004342D1" w:rsidRDefault="004342D1">
            <w:pPr>
              <w:pStyle w:val="TableText"/>
              <w:jc w:val="center"/>
              <w:rPr>
                <w:bCs/>
                <w:szCs w:val="20"/>
              </w:rPr>
            </w:pPr>
          </w:p>
        </w:tc>
        <w:tc>
          <w:tcPr>
            <w:tcW w:w="290" w:type="dxa"/>
            <w:tcMar>
              <w:top w:w="15" w:type="dxa"/>
              <w:left w:w="15" w:type="dxa"/>
              <w:bottom w:w="0" w:type="dxa"/>
              <w:right w:w="15" w:type="dxa"/>
            </w:tcMar>
            <w:vAlign w:val="bottom"/>
          </w:tcPr>
          <w:p w:rsidR="004342D1" w:rsidRDefault="004342D1">
            <w:pPr>
              <w:pStyle w:val="TableText"/>
              <w:jc w:val="center"/>
              <w:rPr>
                <w:bCs/>
                <w:szCs w:val="20"/>
              </w:rPr>
            </w:pPr>
          </w:p>
        </w:tc>
        <w:tc>
          <w:tcPr>
            <w:tcW w:w="383" w:type="dxa"/>
            <w:tcMar>
              <w:top w:w="15" w:type="dxa"/>
              <w:left w:w="15" w:type="dxa"/>
              <w:bottom w:w="0" w:type="dxa"/>
              <w:right w:w="15" w:type="dxa"/>
            </w:tcMar>
            <w:vAlign w:val="bottom"/>
          </w:tcPr>
          <w:p w:rsidR="004342D1" w:rsidRDefault="004342D1">
            <w:pPr>
              <w:pStyle w:val="TableText"/>
              <w:jc w:val="center"/>
              <w:rPr>
                <w:bCs/>
                <w:szCs w:val="20"/>
              </w:rPr>
            </w:pPr>
          </w:p>
        </w:tc>
        <w:tc>
          <w:tcPr>
            <w:tcW w:w="383" w:type="dxa"/>
            <w:tcMar>
              <w:top w:w="15" w:type="dxa"/>
              <w:left w:w="15" w:type="dxa"/>
              <w:bottom w:w="0" w:type="dxa"/>
              <w:right w:w="15" w:type="dxa"/>
            </w:tcMar>
            <w:vAlign w:val="bottom"/>
          </w:tcPr>
          <w:p w:rsidR="004342D1" w:rsidRDefault="004342D1">
            <w:pPr>
              <w:pStyle w:val="TableText"/>
              <w:jc w:val="center"/>
              <w:rPr>
                <w:bCs/>
                <w:szCs w:val="20"/>
              </w:rPr>
            </w:pPr>
          </w:p>
        </w:tc>
        <w:tc>
          <w:tcPr>
            <w:tcW w:w="390" w:type="dxa"/>
            <w:noWrap/>
            <w:tcMar>
              <w:top w:w="15" w:type="dxa"/>
              <w:left w:w="15" w:type="dxa"/>
              <w:bottom w:w="0" w:type="dxa"/>
              <w:right w:w="15" w:type="dxa"/>
            </w:tcMar>
            <w:vAlign w:val="bottom"/>
          </w:tcPr>
          <w:p w:rsidR="004342D1" w:rsidRDefault="004342D1">
            <w:pPr>
              <w:pStyle w:val="TableText"/>
              <w:jc w:val="center"/>
              <w:rPr>
                <w:bCs/>
                <w:szCs w:val="20"/>
              </w:rPr>
            </w:pPr>
          </w:p>
        </w:tc>
        <w:tc>
          <w:tcPr>
            <w:tcW w:w="290" w:type="dxa"/>
            <w:tcMar>
              <w:top w:w="15" w:type="dxa"/>
              <w:left w:w="15" w:type="dxa"/>
              <w:bottom w:w="0" w:type="dxa"/>
              <w:right w:w="15" w:type="dxa"/>
            </w:tcMar>
            <w:vAlign w:val="bottom"/>
          </w:tcPr>
          <w:p w:rsidR="004342D1" w:rsidRDefault="004342D1">
            <w:pPr>
              <w:pStyle w:val="TableText"/>
              <w:jc w:val="center"/>
              <w:rPr>
                <w:bCs/>
                <w:szCs w:val="20"/>
              </w:rPr>
            </w:pPr>
          </w:p>
        </w:tc>
        <w:tc>
          <w:tcPr>
            <w:tcW w:w="290" w:type="dxa"/>
            <w:tcMar>
              <w:top w:w="15" w:type="dxa"/>
              <w:left w:w="15" w:type="dxa"/>
              <w:bottom w:w="0" w:type="dxa"/>
              <w:right w:w="15" w:type="dxa"/>
            </w:tcMar>
            <w:vAlign w:val="bottom"/>
          </w:tcPr>
          <w:p w:rsidR="004342D1" w:rsidRDefault="004342D1">
            <w:pPr>
              <w:pStyle w:val="TableText"/>
              <w:jc w:val="center"/>
              <w:rPr>
                <w:bCs/>
                <w:szCs w:val="20"/>
              </w:rPr>
            </w:pPr>
          </w:p>
        </w:tc>
        <w:tc>
          <w:tcPr>
            <w:tcW w:w="298" w:type="dxa"/>
            <w:noWrap/>
            <w:tcMar>
              <w:top w:w="15" w:type="dxa"/>
              <w:left w:w="15" w:type="dxa"/>
              <w:bottom w:w="0" w:type="dxa"/>
              <w:right w:w="15" w:type="dxa"/>
            </w:tcMar>
            <w:vAlign w:val="bottom"/>
          </w:tcPr>
          <w:p w:rsidR="004342D1" w:rsidRDefault="004342D1">
            <w:pPr>
              <w:pStyle w:val="TableText"/>
              <w:jc w:val="center"/>
              <w:rPr>
                <w:bCs/>
                <w:szCs w:val="20"/>
              </w:rPr>
            </w:pPr>
          </w:p>
        </w:tc>
        <w:tc>
          <w:tcPr>
            <w:tcW w:w="298" w:type="dxa"/>
            <w:noWrap/>
            <w:tcMar>
              <w:top w:w="15" w:type="dxa"/>
              <w:left w:w="15" w:type="dxa"/>
              <w:bottom w:w="0" w:type="dxa"/>
              <w:right w:w="15" w:type="dxa"/>
            </w:tcMar>
            <w:vAlign w:val="bottom"/>
          </w:tcPr>
          <w:p w:rsidR="004342D1" w:rsidRDefault="004342D1">
            <w:pPr>
              <w:pStyle w:val="TableText"/>
              <w:jc w:val="center"/>
              <w:rPr>
                <w:bCs/>
                <w:szCs w:val="20"/>
              </w:rPr>
            </w:pPr>
          </w:p>
        </w:tc>
        <w:tc>
          <w:tcPr>
            <w:tcW w:w="290" w:type="dxa"/>
            <w:tcMar>
              <w:top w:w="15" w:type="dxa"/>
              <w:left w:w="15" w:type="dxa"/>
              <w:bottom w:w="0" w:type="dxa"/>
              <w:right w:w="15" w:type="dxa"/>
            </w:tcMar>
            <w:vAlign w:val="bottom"/>
          </w:tcPr>
          <w:p w:rsidR="004342D1" w:rsidRDefault="004342D1">
            <w:pPr>
              <w:pStyle w:val="TableText"/>
              <w:jc w:val="center"/>
              <w:rPr>
                <w:bCs/>
                <w:szCs w:val="20"/>
              </w:rPr>
            </w:pPr>
          </w:p>
        </w:tc>
        <w:tc>
          <w:tcPr>
            <w:tcW w:w="298" w:type="dxa"/>
            <w:noWrap/>
            <w:tcMar>
              <w:top w:w="15" w:type="dxa"/>
              <w:left w:w="15" w:type="dxa"/>
              <w:bottom w:w="0" w:type="dxa"/>
              <w:right w:w="15" w:type="dxa"/>
            </w:tcMar>
            <w:vAlign w:val="bottom"/>
          </w:tcPr>
          <w:p w:rsidR="004342D1" w:rsidRDefault="004342D1">
            <w:pPr>
              <w:pStyle w:val="TableText"/>
              <w:jc w:val="center"/>
              <w:rPr>
                <w:bCs/>
                <w:szCs w:val="20"/>
              </w:rPr>
            </w:pPr>
          </w:p>
        </w:tc>
        <w:tc>
          <w:tcPr>
            <w:tcW w:w="298" w:type="dxa"/>
            <w:noWrap/>
            <w:tcMar>
              <w:top w:w="15" w:type="dxa"/>
              <w:left w:w="15" w:type="dxa"/>
              <w:bottom w:w="0" w:type="dxa"/>
              <w:right w:w="15" w:type="dxa"/>
            </w:tcMar>
            <w:vAlign w:val="bottom"/>
          </w:tcPr>
          <w:p w:rsidR="004342D1" w:rsidRDefault="004342D1">
            <w:pPr>
              <w:pStyle w:val="TableText"/>
              <w:jc w:val="center"/>
              <w:rPr>
                <w:bCs/>
                <w:szCs w:val="20"/>
              </w:rPr>
            </w:pPr>
          </w:p>
        </w:tc>
        <w:tc>
          <w:tcPr>
            <w:tcW w:w="298" w:type="dxa"/>
            <w:noWrap/>
            <w:tcMar>
              <w:top w:w="15" w:type="dxa"/>
              <w:left w:w="15" w:type="dxa"/>
              <w:bottom w:w="0" w:type="dxa"/>
              <w:right w:w="15" w:type="dxa"/>
            </w:tcMar>
            <w:vAlign w:val="bottom"/>
          </w:tcPr>
          <w:p w:rsidR="004342D1" w:rsidRDefault="004342D1">
            <w:pPr>
              <w:pStyle w:val="TableText"/>
              <w:jc w:val="center"/>
              <w:rPr>
                <w:bCs/>
                <w:szCs w:val="20"/>
              </w:rPr>
            </w:pPr>
          </w:p>
        </w:tc>
        <w:tc>
          <w:tcPr>
            <w:tcW w:w="298" w:type="dxa"/>
            <w:noWrap/>
            <w:tcMar>
              <w:top w:w="15" w:type="dxa"/>
              <w:left w:w="15" w:type="dxa"/>
              <w:bottom w:w="0" w:type="dxa"/>
              <w:right w:w="15" w:type="dxa"/>
            </w:tcMar>
            <w:vAlign w:val="bottom"/>
          </w:tcPr>
          <w:p w:rsidR="004342D1" w:rsidRDefault="004342D1">
            <w:pPr>
              <w:pStyle w:val="TableText"/>
              <w:jc w:val="center"/>
              <w:rPr>
                <w:bCs/>
                <w:szCs w:val="20"/>
              </w:rPr>
            </w:pPr>
          </w:p>
        </w:tc>
      </w:tr>
      <w:tr w:rsidR="006F3F08" w:rsidTr="004342D1">
        <w:tblPrEx>
          <w:shd w:val="clear" w:color="auto" w:fill="auto"/>
        </w:tblPrEx>
        <w:trPr>
          <w:cantSplit/>
          <w:trHeight w:val="138"/>
        </w:trPr>
        <w:tc>
          <w:tcPr>
            <w:tcW w:w="1299" w:type="dxa"/>
            <w:tcMar>
              <w:top w:w="15" w:type="dxa"/>
              <w:left w:w="15" w:type="dxa"/>
              <w:bottom w:w="0" w:type="dxa"/>
              <w:right w:w="15" w:type="dxa"/>
            </w:tcMar>
            <w:vAlign w:val="bottom"/>
          </w:tcPr>
          <w:p w:rsidR="006F3F08" w:rsidRDefault="006F3F08" w:rsidP="004342D1">
            <w:pPr>
              <w:pStyle w:val="TableText"/>
            </w:pPr>
            <w:r>
              <w:t>Rh D control negative</w:t>
            </w:r>
          </w:p>
        </w:tc>
        <w:tc>
          <w:tcPr>
            <w:tcW w:w="288" w:type="dxa"/>
            <w:gridSpan w:val="2"/>
            <w:tcMar>
              <w:top w:w="15" w:type="dxa"/>
              <w:left w:w="15" w:type="dxa"/>
              <w:bottom w:w="0" w:type="dxa"/>
              <w:right w:w="15" w:type="dxa"/>
            </w:tcMar>
            <w:vAlign w:val="bottom"/>
          </w:tcPr>
          <w:p w:rsidR="006F3F08" w:rsidRDefault="006F3F08">
            <w:pPr>
              <w:pStyle w:val="TableText"/>
              <w:jc w:val="center"/>
              <w:rPr>
                <w:bCs/>
                <w:szCs w:val="20"/>
              </w:rPr>
            </w:pPr>
          </w:p>
        </w:tc>
        <w:tc>
          <w:tcPr>
            <w:tcW w:w="297" w:type="dxa"/>
            <w:gridSpan w:val="3"/>
            <w:vAlign w:val="bottom"/>
          </w:tcPr>
          <w:p w:rsidR="006F3F08" w:rsidRDefault="006F3F08" w:rsidP="004342D1">
            <w:pPr>
              <w:pStyle w:val="TableText"/>
              <w:jc w:val="center"/>
              <w:rPr>
                <w:bCs/>
                <w:szCs w:val="20"/>
              </w:rPr>
            </w:pPr>
            <w:r>
              <w:rPr>
                <w:bCs/>
                <w:szCs w:val="20"/>
              </w:rPr>
              <w:t>X</w:t>
            </w:r>
          </w:p>
        </w:tc>
        <w:tc>
          <w:tcPr>
            <w:tcW w:w="308" w:type="dxa"/>
            <w:gridSpan w:val="2"/>
            <w:noWrap/>
            <w:tcMar>
              <w:top w:w="15" w:type="dxa"/>
              <w:left w:w="15" w:type="dxa"/>
              <w:bottom w:w="0" w:type="dxa"/>
              <w:right w:w="15" w:type="dxa"/>
            </w:tcMar>
            <w:vAlign w:val="bottom"/>
          </w:tcPr>
          <w:p w:rsidR="006F3F08" w:rsidRDefault="006F3F08">
            <w:pPr>
              <w:pStyle w:val="TableText"/>
              <w:jc w:val="center"/>
              <w:rPr>
                <w:bCs/>
                <w:szCs w:val="20"/>
              </w:rPr>
            </w:pPr>
          </w:p>
        </w:tc>
        <w:tc>
          <w:tcPr>
            <w:tcW w:w="290" w:type="dxa"/>
            <w:tcMar>
              <w:top w:w="15" w:type="dxa"/>
              <w:left w:w="15" w:type="dxa"/>
              <w:bottom w:w="0" w:type="dxa"/>
              <w:right w:w="15" w:type="dxa"/>
            </w:tcMar>
            <w:vAlign w:val="bottom"/>
          </w:tcPr>
          <w:p w:rsidR="006F3F08" w:rsidRDefault="006F3F08">
            <w:pPr>
              <w:pStyle w:val="TableText"/>
              <w:jc w:val="center"/>
              <w:rPr>
                <w:bCs/>
                <w:szCs w:val="20"/>
              </w:rPr>
            </w:pPr>
          </w:p>
        </w:tc>
        <w:tc>
          <w:tcPr>
            <w:tcW w:w="297" w:type="dxa"/>
            <w:noWrap/>
            <w:tcMar>
              <w:top w:w="15" w:type="dxa"/>
              <w:left w:w="15" w:type="dxa"/>
              <w:bottom w:w="0" w:type="dxa"/>
              <w:right w:w="15" w:type="dxa"/>
            </w:tcMar>
            <w:vAlign w:val="bottom"/>
          </w:tcPr>
          <w:p w:rsidR="006F3F08" w:rsidRDefault="006F3F08">
            <w:pPr>
              <w:pStyle w:val="TableText"/>
              <w:jc w:val="center"/>
              <w:rPr>
                <w:bCs/>
                <w:szCs w:val="20"/>
              </w:rPr>
            </w:pPr>
          </w:p>
        </w:tc>
        <w:tc>
          <w:tcPr>
            <w:tcW w:w="297" w:type="dxa"/>
            <w:tcMar>
              <w:top w:w="15" w:type="dxa"/>
              <w:left w:w="15" w:type="dxa"/>
              <w:bottom w:w="0" w:type="dxa"/>
              <w:right w:w="15" w:type="dxa"/>
            </w:tcMar>
            <w:vAlign w:val="bottom"/>
          </w:tcPr>
          <w:p w:rsidR="006F3F08" w:rsidRPr="006A5D0F" w:rsidRDefault="006F3F08" w:rsidP="006A5D0F">
            <w:pPr>
              <w:pStyle w:val="TableText"/>
              <w:jc w:val="center"/>
              <w:rPr>
                <w:bCs/>
                <w:szCs w:val="20"/>
              </w:rPr>
            </w:pPr>
          </w:p>
        </w:tc>
        <w:tc>
          <w:tcPr>
            <w:tcW w:w="297" w:type="dxa"/>
            <w:noWrap/>
            <w:tcMar>
              <w:top w:w="15" w:type="dxa"/>
              <w:left w:w="15" w:type="dxa"/>
              <w:bottom w:w="0" w:type="dxa"/>
              <w:right w:w="15" w:type="dxa"/>
            </w:tcMar>
            <w:vAlign w:val="bottom"/>
          </w:tcPr>
          <w:p w:rsidR="006F3F08" w:rsidRDefault="006F3F08">
            <w:pPr>
              <w:pStyle w:val="TableText"/>
              <w:jc w:val="center"/>
              <w:rPr>
                <w:bCs/>
                <w:szCs w:val="20"/>
              </w:rPr>
            </w:pPr>
          </w:p>
        </w:tc>
        <w:tc>
          <w:tcPr>
            <w:tcW w:w="297" w:type="dxa"/>
            <w:noWrap/>
            <w:tcMar>
              <w:top w:w="15" w:type="dxa"/>
              <w:left w:w="15" w:type="dxa"/>
              <w:bottom w:w="0" w:type="dxa"/>
              <w:right w:w="15" w:type="dxa"/>
            </w:tcMar>
            <w:vAlign w:val="bottom"/>
          </w:tcPr>
          <w:p w:rsidR="006F3F08" w:rsidRDefault="006F3F08">
            <w:pPr>
              <w:pStyle w:val="TableText"/>
              <w:jc w:val="center"/>
              <w:rPr>
                <w:bCs/>
                <w:szCs w:val="20"/>
              </w:rPr>
            </w:pPr>
          </w:p>
        </w:tc>
        <w:tc>
          <w:tcPr>
            <w:tcW w:w="289" w:type="dxa"/>
            <w:tcMar>
              <w:top w:w="15" w:type="dxa"/>
              <w:left w:w="15" w:type="dxa"/>
              <w:bottom w:w="0" w:type="dxa"/>
              <w:right w:w="15" w:type="dxa"/>
            </w:tcMar>
            <w:vAlign w:val="bottom"/>
          </w:tcPr>
          <w:p w:rsidR="006F3F08" w:rsidRDefault="006F3F08">
            <w:pPr>
              <w:pStyle w:val="TableText"/>
              <w:jc w:val="center"/>
              <w:rPr>
                <w:bCs/>
                <w:szCs w:val="20"/>
              </w:rPr>
            </w:pPr>
          </w:p>
        </w:tc>
        <w:tc>
          <w:tcPr>
            <w:tcW w:w="297" w:type="dxa"/>
            <w:noWrap/>
            <w:tcMar>
              <w:top w:w="15" w:type="dxa"/>
              <w:left w:w="15" w:type="dxa"/>
              <w:bottom w:w="0" w:type="dxa"/>
              <w:right w:w="15" w:type="dxa"/>
            </w:tcMar>
            <w:vAlign w:val="bottom"/>
          </w:tcPr>
          <w:p w:rsidR="006F3F08" w:rsidRDefault="006F3F08">
            <w:pPr>
              <w:pStyle w:val="TableText"/>
              <w:jc w:val="center"/>
              <w:rPr>
                <w:bCs/>
                <w:szCs w:val="20"/>
              </w:rPr>
            </w:pPr>
          </w:p>
        </w:tc>
        <w:tc>
          <w:tcPr>
            <w:tcW w:w="289" w:type="dxa"/>
            <w:tcMar>
              <w:top w:w="15" w:type="dxa"/>
              <w:left w:w="15" w:type="dxa"/>
              <w:bottom w:w="0" w:type="dxa"/>
              <w:right w:w="15" w:type="dxa"/>
            </w:tcMar>
            <w:vAlign w:val="bottom"/>
          </w:tcPr>
          <w:p w:rsidR="006F3F08" w:rsidRDefault="006F3F08">
            <w:pPr>
              <w:pStyle w:val="TableText"/>
              <w:jc w:val="center"/>
              <w:rPr>
                <w:bCs/>
                <w:szCs w:val="20"/>
              </w:rPr>
            </w:pPr>
          </w:p>
        </w:tc>
        <w:tc>
          <w:tcPr>
            <w:tcW w:w="290" w:type="dxa"/>
            <w:tcMar>
              <w:top w:w="15" w:type="dxa"/>
              <w:left w:w="15" w:type="dxa"/>
              <w:bottom w:w="0" w:type="dxa"/>
              <w:right w:w="15" w:type="dxa"/>
            </w:tcMar>
            <w:vAlign w:val="bottom"/>
          </w:tcPr>
          <w:p w:rsidR="006F3F08" w:rsidRDefault="006F3F08">
            <w:pPr>
              <w:pStyle w:val="TableText"/>
              <w:jc w:val="center"/>
              <w:rPr>
                <w:bCs/>
                <w:szCs w:val="20"/>
              </w:rPr>
            </w:pPr>
          </w:p>
        </w:tc>
        <w:tc>
          <w:tcPr>
            <w:tcW w:w="290" w:type="dxa"/>
            <w:tcMar>
              <w:top w:w="15" w:type="dxa"/>
              <w:left w:w="15" w:type="dxa"/>
              <w:bottom w:w="0" w:type="dxa"/>
              <w:right w:w="15" w:type="dxa"/>
            </w:tcMar>
            <w:vAlign w:val="bottom"/>
          </w:tcPr>
          <w:p w:rsidR="006F3F08" w:rsidRDefault="006F3F08">
            <w:pPr>
              <w:pStyle w:val="TableText"/>
              <w:jc w:val="center"/>
              <w:rPr>
                <w:bCs/>
                <w:szCs w:val="20"/>
              </w:rPr>
            </w:pPr>
          </w:p>
        </w:tc>
        <w:tc>
          <w:tcPr>
            <w:tcW w:w="298" w:type="dxa"/>
            <w:noWrap/>
            <w:tcMar>
              <w:top w:w="15" w:type="dxa"/>
              <w:left w:w="15" w:type="dxa"/>
              <w:bottom w:w="0" w:type="dxa"/>
              <w:right w:w="15" w:type="dxa"/>
            </w:tcMar>
            <w:vAlign w:val="bottom"/>
          </w:tcPr>
          <w:p w:rsidR="006F3F08" w:rsidRDefault="006F3F08">
            <w:pPr>
              <w:pStyle w:val="TableText"/>
              <w:jc w:val="center"/>
              <w:rPr>
                <w:bCs/>
                <w:szCs w:val="20"/>
              </w:rPr>
            </w:pPr>
          </w:p>
        </w:tc>
        <w:tc>
          <w:tcPr>
            <w:tcW w:w="298" w:type="dxa"/>
            <w:noWrap/>
            <w:tcMar>
              <w:top w:w="15" w:type="dxa"/>
              <w:left w:w="15" w:type="dxa"/>
              <w:bottom w:w="0" w:type="dxa"/>
              <w:right w:w="15" w:type="dxa"/>
            </w:tcMar>
            <w:vAlign w:val="bottom"/>
          </w:tcPr>
          <w:p w:rsidR="006F3F08" w:rsidRDefault="006F3F08">
            <w:pPr>
              <w:pStyle w:val="TableText"/>
              <w:jc w:val="center"/>
              <w:rPr>
                <w:bCs/>
                <w:szCs w:val="20"/>
              </w:rPr>
            </w:pPr>
          </w:p>
        </w:tc>
        <w:tc>
          <w:tcPr>
            <w:tcW w:w="298" w:type="dxa"/>
            <w:noWrap/>
            <w:tcMar>
              <w:top w:w="15" w:type="dxa"/>
              <w:left w:w="15" w:type="dxa"/>
              <w:bottom w:w="0" w:type="dxa"/>
              <w:right w:w="15" w:type="dxa"/>
            </w:tcMar>
            <w:vAlign w:val="bottom"/>
          </w:tcPr>
          <w:p w:rsidR="006F3F08" w:rsidRDefault="006F3F08">
            <w:pPr>
              <w:pStyle w:val="TableText"/>
              <w:jc w:val="center"/>
              <w:rPr>
                <w:bCs/>
                <w:szCs w:val="20"/>
              </w:rPr>
            </w:pPr>
          </w:p>
        </w:tc>
        <w:tc>
          <w:tcPr>
            <w:tcW w:w="298" w:type="dxa"/>
            <w:noWrap/>
            <w:tcMar>
              <w:top w:w="15" w:type="dxa"/>
              <w:left w:w="15" w:type="dxa"/>
              <w:bottom w:w="0" w:type="dxa"/>
              <w:right w:w="15" w:type="dxa"/>
            </w:tcMar>
            <w:vAlign w:val="bottom"/>
          </w:tcPr>
          <w:p w:rsidR="006F3F08" w:rsidRDefault="006F3F08">
            <w:pPr>
              <w:pStyle w:val="TableText"/>
              <w:jc w:val="center"/>
              <w:rPr>
                <w:bCs/>
                <w:szCs w:val="20"/>
              </w:rPr>
            </w:pPr>
          </w:p>
        </w:tc>
        <w:tc>
          <w:tcPr>
            <w:tcW w:w="298" w:type="dxa"/>
            <w:noWrap/>
            <w:tcMar>
              <w:top w:w="15" w:type="dxa"/>
              <w:left w:w="15" w:type="dxa"/>
              <w:bottom w:w="0" w:type="dxa"/>
              <w:right w:w="15" w:type="dxa"/>
            </w:tcMar>
            <w:vAlign w:val="bottom"/>
          </w:tcPr>
          <w:p w:rsidR="006F3F08" w:rsidRDefault="006F3F08">
            <w:pPr>
              <w:pStyle w:val="TableText"/>
              <w:jc w:val="center"/>
              <w:rPr>
                <w:bCs/>
                <w:szCs w:val="20"/>
              </w:rPr>
            </w:pPr>
          </w:p>
        </w:tc>
        <w:tc>
          <w:tcPr>
            <w:tcW w:w="298" w:type="dxa"/>
            <w:noWrap/>
            <w:tcMar>
              <w:top w:w="15" w:type="dxa"/>
              <w:left w:w="15" w:type="dxa"/>
              <w:bottom w:w="0" w:type="dxa"/>
              <w:right w:w="15" w:type="dxa"/>
            </w:tcMar>
            <w:vAlign w:val="bottom"/>
          </w:tcPr>
          <w:p w:rsidR="006F3F08" w:rsidRDefault="006F3F08">
            <w:pPr>
              <w:pStyle w:val="TableText"/>
              <w:jc w:val="center"/>
              <w:rPr>
                <w:bCs/>
                <w:szCs w:val="20"/>
              </w:rPr>
            </w:pPr>
          </w:p>
        </w:tc>
        <w:tc>
          <w:tcPr>
            <w:tcW w:w="298" w:type="dxa"/>
            <w:noWrap/>
            <w:tcMar>
              <w:top w:w="15" w:type="dxa"/>
              <w:left w:w="15" w:type="dxa"/>
              <w:bottom w:w="0" w:type="dxa"/>
              <w:right w:w="15" w:type="dxa"/>
            </w:tcMar>
            <w:vAlign w:val="bottom"/>
          </w:tcPr>
          <w:p w:rsidR="006F3F08" w:rsidRDefault="006F3F08">
            <w:pPr>
              <w:pStyle w:val="TableText"/>
              <w:jc w:val="center"/>
              <w:rPr>
                <w:bCs/>
                <w:szCs w:val="20"/>
              </w:rPr>
            </w:pPr>
          </w:p>
        </w:tc>
        <w:tc>
          <w:tcPr>
            <w:tcW w:w="298" w:type="dxa"/>
            <w:noWrap/>
            <w:tcMar>
              <w:top w:w="15" w:type="dxa"/>
              <w:left w:w="15" w:type="dxa"/>
              <w:bottom w:w="0" w:type="dxa"/>
              <w:right w:w="15" w:type="dxa"/>
            </w:tcMar>
            <w:vAlign w:val="bottom"/>
          </w:tcPr>
          <w:p w:rsidR="006F3F08" w:rsidRDefault="006F3F08">
            <w:pPr>
              <w:pStyle w:val="TableText"/>
              <w:jc w:val="center"/>
              <w:rPr>
                <w:bCs/>
                <w:szCs w:val="20"/>
              </w:rPr>
            </w:pPr>
          </w:p>
        </w:tc>
        <w:tc>
          <w:tcPr>
            <w:tcW w:w="298" w:type="dxa"/>
            <w:noWrap/>
            <w:tcMar>
              <w:top w:w="15" w:type="dxa"/>
              <w:left w:w="15" w:type="dxa"/>
              <w:bottom w:w="0" w:type="dxa"/>
              <w:right w:w="15" w:type="dxa"/>
            </w:tcMar>
            <w:vAlign w:val="bottom"/>
          </w:tcPr>
          <w:p w:rsidR="006F3F08" w:rsidRDefault="006F3F08">
            <w:pPr>
              <w:pStyle w:val="TableText"/>
              <w:jc w:val="center"/>
              <w:rPr>
                <w:bCs/>
                <w:szCs w:val="20"/>
              </w:rPr>
            </w:pPr>
          </w:p>
        </w:tc>
        <w:tc>
          <w:tcPr>
            <w:tcW w:w="290" w:type="dxa"/>
            <w:tcMar>
              <w:top w:w="15" w:type="dxa"/>
              <w:left w:w="15" w:type="dxa"/>
              <w:bottom w:w="0" w:type="dxa"/>
              <w:right w:w="15" w:type="dxa"/>
            </w:tcMar>
            <w:vAlign w:val="bottom"/>
          </w:tcPr>
          <w:p w:rsidR="006F3F08" w:rsidRDefault="006F3F08">
            <w:pPr>
              <w:pStyle w:val="TableText"/>
              <w:jc w:val="center"/>
              <w:rPr>
                <w:bCs/>
                <w:szCs w:val="20"/>
              </w:rPr>
            </w:pPr>
          </w:p>
        </w:tc>
        <w:tc>
          <w:tcPr>
            <w:tcW w:w="383" w:type="dxa"/>
            <w:tcMar>
              <w:top w:w="15" w:type="dxa"/>
              <w:left w:w="15" w:type="dxa"/>
              <w:bottom w:w="0" w:type="dxa"/>
              <w:right w:w="15" w:type="dxa"/>
            </w:tcMar>
            <w:vAlign w:val="bottom"/>
          </w:tcPr>
          <w:p w:rsidR="006F3F08" w:rsidRDefault="006F3F08">
            <w:pPr>
              <w:pStyle w:val="TableText"/>
              <w:jc w:val="center"/>
              <w:rPr>
                <w:bCs/>
                <w:szCs w:val="20"/>
              </w:rPr>
            </w:pPr>
          </w:p>
        </w:tc>
        <w:tc>
          <w:tcPr>
            <w:tcW w:w="383" w:type="dxa"/>
            <w:tcMar>
              <w:top w:w="15" w:type="dxa"/>
              <w:left w:w="15" w:type="dxa"/>
              <w:bottom w:w="0" w:type="dxa"/>
              <w:right w:w="15" w:type="dxa"/>
            </w:tcMar>
            <w:vAlign w:val="bottom"/>
          </w:tcPr>
          <w:p w:rsidR="006F3F08" w:rsidRDefault="006F3F08">
            <w:pPr>
              <w:pStyle w:val="TableText"/>
              <w:jc w:val="center"/>
              <w:rPr>
                <w:bCs/>
                <w:szCs w:val="20"/>
              </w:rPr>
            </w:pPr>
          </w:p>
        </w:tc>
        <w:tc>
          <w:tcPr>
            <w:tcW w:w="290" w:type="dxa"/>
            <w:tcMar>
              <w:top w:w="15" w:type="dxa"/>
              <w:left w:w="15" w:type="dxa"/>
              <w:bottom w:w="0" w:type="dxa"/>
              <w:right w:w="15" w:type="dxa"/>
            </w:tcMar>
            <w:vAlign w:val="bottom"/>
          </w:tcPr>
          <w:p w:rsidR="006F3F08" w:rsidRDefault="006F3F08">
            <w:pPr>
              <w:pStyle w:val="TableText"/>
              <w:jc w:val="center"/>
              <w:rPr>
                <w:bCs/>
                <w:szCs w:val="20"/>
              </w:rPr>
            </w:pPr>
          </w:p>
        </w:tc>
        <w:tc>
          <w:tcPr>
            <w:tcW w:w="290" w:type="dxa"/>
            <w:tcMar>
              <w:top w:w="15" w:type="dxa"/>
              <w:left w:w="15" w:type="dxa"/>
              <w:bottom w:w="0" w:type="dxa"/>
              <w:right w:w="15" w:type="dxa"/>
            </w:tcMar>
            <w:vAlign w:val="bottom"/>
          </w:tcPr>
          <w:p w:rsidR="006F3F08" w:rsidRDefault="006F3F08">
            <w:pPr>
              <w:pStyle w:val="TableText"/>
              <w:jc w:val="center"/>
              <w:rPr>
                <w:bCs/>
                <w:szCs w:val="20"/>
              </w:rPr>
            </w:pPr>
          </w:p>
        </w:tc>
        <w:tc>
          <w:tcPr>
            <w:tcW w:w="383" w:type="dxa"/>
            <w:tcMar>
              <w:top w:w="15" w:type="dxa"/>
              <w:left w:w="15" w:type="dxa"/>
              <w:bottom w:w="0" w:type="dxa"/>
              <w:right w:w="15" w:type="dxa"/>
            </w:tcMar>
            <w:vAlign w:val="bottom"/>
          </w:tcPr>
          <w:p w:rsidR="006F3F08" w:rsidRDefault="006F3F08">
            <w:pPr>
              <w:pStyle w:val="TableText"/>
              <w:jc w:val="center"/>
              <w:rPr>
                <w:bCs/>
                <w:szCs w:val="20"/>
              </w:rPr>
            </w:pPr>
          </w:p>
        </w:tc>
        <w:tc>
          <w:tcPr>
            <w:tcW w:w="383" w:type="dxa"/>
            <w:tcMar>
              <w:top w:w="15" w:type="dxa"/>
              <w:left w:w="15" w:type="dxa"/>
              <w:bottom w:w="0" w:type="dxa"/>
              <w:right w:w="15" w:type="dxa"/>
            </w:tcMar>
            <w:vAlign w:val="bottom"/>
          </w:tcPr>
          <w:p w:rsidR="006F3F08" w:rsidRDefault="006F3F08">
            <w:pPr>
              <w:pStyle w:val="TableText"/>
              <w:jc w:val="center"/>
              <w:rPr>
                <w:bCs/>
                <w:szCs w:val="20"/>
              </w:rPr>
            </w:pPr>
          </w:p>
        </w:tc>
        <w:tc>
          <w:tcPr>
            <w:tcW w:w="390" w:type="dxa"/>
            <w:noWrap/>
            <w:tcMar>
              <w:top w:w="15" w:type="dxa"/>
              <w:left w:w="15" w:type="dxa"/>
              <w:bottom w:w="0" w:type="dxa"/>
              <w:right w:w="15" w:type="dxa"/>
            </w:tcMar>
            <w:vAlign w:val="bottom"/>
          </w:tcPr>
          <w:p w:rsidR="006F3F08" w:rsidRDefault="006F3F08">
            <w:pPr>
              <w:pStyle w:val="TableText"/>
              <w:jc w:val="center"/>
              <w:rPr>
                <w:bCs/>
                <w:szCs w:val="20"/>
              </w:rPr>
            </w:pPr>
          </w:p>
        </w:tc>
        <w:tc>
          <w:tcPr>
            <w:tcW w:w="290" w:type="dxa"/>
            <w:tcMar>
              <w:top w:w="15" w:type="dxa"/>
              <w:left w:w="15" w:type="dxa"/>
              <w:bottom w:w="0" w:type="dxa"/>
              <w:right w:w="15" w:type="dxa"/>
            </w:tcMar>
            <w:vAlign w:val="bottom"/>
          </w:tcPr>
          <w:p w:rsidR="006F3F08" w:rsidRDefault="006F3F08">
            <w:pPr>
              <w:pStyle w:val="TableText"/>
              <w:jc w:val="center"/>
              <w:rPr>
                <w:bCs/>
                <w:szCs w:val="20"/>
              </w:rPr>
            </w:pPr>
          </w:p>
        </w:tc>
        <w:tc>
          <w:tcPr>
            <w:tcW w:w="290" w:type="dxa"/>
            <w:tcMar>
              <w:top w:w="15" w:type="dxa"/>
              <w:left w:w="15" w:type="dxa"/>
              <w:bottom w:w="0" w:type="dxa"/>
              <w:right w:w="15" w:type="dxa"/>
            </w:tcMar>
            <w:vAlign w:val="bottom"/>
          </w:tcPr>
          <w:p w:rsidR="006F3F08" w:rsidRDefault="006F3F08">
            <w:pPr>
              <w:pStyle w:val="TableText"/>
              <w:jc w:val="center"/>
              <w:rPr>
                <w:bCs/>
                <w:szCs w:val="20"/>
              </w:rPr>
            </w:pPr>
          </w:p>
        </w:tc>
        <w:tc>
          <w:tcPr>
            <w:tcW w:w="298" w:type="dxa"/>
            <w:noWrap/>
            <w:tcMar>
              <w:top w:w="15" w:type="dxa"/>
              <w:left w:w="15" w:type="dxa"/>
              <w:bottom w:w="0" w:type="dxa"/>
              <w:right w:w="15" w:type="dxa"/>
            </w:tcMar>
            <w:vAlign w:val="bottom"/>
          </w:tcPr>
          <w:p w:rsidR="006F3F08" w:rsidRDefault="006F3F08">
            <w:pPr>
              <w:pStyle w:val="TableText"/>
              <w:jc w:val="center"/>
              <w:rPr>
                <w:bCs/>
                <w:szCs w:val="20"/>
              </w:rPr>
            </w:pPr>
          </w:p>
        </w:tc>
        <w:tc>
          <w:tcPr>
            <w:tcW w:w="298" w:type="dxa"/>
            <w:noWrap/>
            <w:tcMar>
              <w:top w:w="15" w:type="dxa"/>
              <w:left w:w="15" w:type="dxa"/>
              <w:bottom w:w="0" w:type="dxa"/>
              <w:right w:w="15" w:type="dxa"/>
            </w:tcMar>
            <w:vAlign w:val="bottom"/>
          </w:tcPr>
          <w:p w:rsidR="006F3F08" w:rsidRDefault="006F3F08">
            <w:pPr>
              <w:pStyle w:val="TableText"/>
              <w:jc w:val="center"/>
              <w:rPr>
                <w:bCs/>
                <w:szCs w:val="20"/>
              </w:rPr>
            </w:pPr>
          </w:p>
        </w:tc>
        <w:tc>
          <w:tcPr>
            <w:tcW w:w="290" w:type="dxa"/>
            <w:tcMar>
              <w:top w:w="15" w:type="dxa"/>
              <w:left w:w="15" w:type="dxa"/>
              <w:bottom w:w="0" w:type="dxa"/>
              <w:right w:w="15" w:type="dxa"/>
            </w:tcMar>
            <w:vAlign w:val="bottom"/>
          </w:tcPr>
          <w:p w:rsidR="006F3F08" w:rsidRDefault="006F3F08">
            <w:pPr>
              <w:pStyle w:val="TableText"/>
              <w:jc w:val="center"/>
              <w:rPr>
                <w:bCs/>
                <w:szCs w:val="20"/>
              </w:rPr>
            </w:pPr>
          </w:p>
        </w:tc>
        <w:tc>
          <w:tcPr>
            <w:tcW w:w="298" w:type="dxa"/>
            <w:noWrap/>
            <w:tcMar>
              <w:top w:w="15" w:type="dxa"/>
              <w:left w:w="15" w:type="dxa"/>
              <w:bottom w:w="0" w:type="dxa"/>
              <w:right w:w="15" w:type="dxa"/>
            </w:tcMar>
            <w:vAlign w:val="bottom"/>
          </w:tcPr>
          <w:p w:rsidR="006F3F08" w:rsidRDefault="006F3F08">
            <w:pPr>
              <w:pStyle w:val="TableText"/>
              <w:jc w:val="center"/>
              <w:rPr>
                <w:bCs/>
                <w:szCs w:val="20"/>
              </w:rPr>
            </w:pPr>
          </w:p>
        </w:tc>
        <w:tc>
          <w:tcPr>
            <w:tcW w:w="298" w:type="dxa"/>
            <w:noWrap/>
            <w:tcMar>
              <w:top w:w="15" w:type="dxa"/>
              <w:left w:w="15" w:type="dxa"/>
              <w:bottom w:w="0" w:type="dxa"/>
              <w:right w:w="15" w:type="dxa"/>
            </w:tcMar>
            <w:vAlign w:val="bottom"/>
          </w:tcPr>
          <w:p w:rsidR="006F3F08" w:rsidRDefault="006F3F08">
            <w:pPr>
              <w:pStyle w:val="TableText"/>
              <w:jc w:val="center"/>
              <w:rPr>
                <w:bCs/>
                <w:szCs w:val="20"/>
              </w:rPr>
            </w:pPr>
          </w:p>
        </w:tc>
        <w:tc>
          <w:tcPr>
            <w:tcW w:w="298" w:type="dxa"/>
            <w:noWrap/>
            <w:tcMar>
              <w:top w:w="15" w:type="dxa"/>
              <w:left w:w="15" w:type="dxa"/>
              <w:bottom w:w="0" w:type="dxa"/>
              <w:right w:w="15" w:type="dxa"/>
            </w:tcMar>
            <w:vAlign w:val="bottom"/>
          </w:tcPr>
          <w:p w:rsidR="006F3F08" w:rsidRDefault="006F3F08">
            <w:pPr>
              <w:pStyle w:val="TableText"/>
              <w:jc w:val="center"/>
              <w:rPr>
                <w:bCs/>
                <w:szCs w:val="20"/>
              </w:rPr>
            </w:pPr>
          </w:p>
        </w:tc>
        <w:tc>
          <w:tcPr>
            <w:tcW w:w="298" w:type="dxa"/>
            <w:noWrap/>
            <w:tcMar>
              <w:top w:w="15" w:type="dxa"/>
              <w:left w:w="15" w:type="dxa"/>
              <w:bottom w:w="0" w:type="dxa"/>
              <w:right w:w="15" w:type="dxa"/>
            </w:tcMar>
            <w:vAlign w:val="bottom"/>
          </w:tcPr>
          <w:p w:rsidR="006F3F08" w:rsidRDefault="006F3F08">
            <w:pPr>
              <w:pStyle w:val="TableText"/>
              <w:jc w:val="center"/>
              <w:rPr>
                <w:bC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Rh mismatch selection necessary</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lastRenderedPageBreak/>
              <w:t>Ruptured during thaw</w:t>
            </w:r>
          </w:p>
        </w:tc>
        <w:tc>
          <w:tcPr>
            <w:tcW w:w="288" w:type="dxa"/>
            <w:gridSpan w:val="2"/>
            <w:tcMar>
              <w:top w:w="15" w:type="dxa"/>
              <w:left w:w="15" w:type="dxa"/>
              <w:bottom w:w="0" w:type="dxa"/>
              <w:right w:w="15" w:type="dxa"/>
            </w:tcMar>
            <w:vAlign w:val="bottom"/>
          </w:tcPr>
          <w:p w:rsidR="003D06B5" w:rsidRDefault="003D06B5">
            <w:pPr>
              <w:pStyle w:val="TableText"/>
              <w:jc w:val="center"/>
              <w:rPr>
                <w:bCs/>
                <w:szCs w:val="20"/>
              </w:rPr>
            </w:pPr>
          </w:p>
        </w:tc>
        <w:tc>
          <w:tcPr>
            <w:tcW w:w="297" w:type="dxa"/>
            <w:gridSpan w:val="3"/>
          </w:tcPr>
          <w:p w:rsidR="003D06B5" w:rsidRDefault="003D06B5">
            <w:pPr>
              <w:pStyle w:val="TableText"/>
              <w:jc w:val="center"/>
              <w:rPr>
                <w:rFonts w:eastAsia="Symbol"/>
                <w:bC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89" w:type="dxa"/>
            <w:tcMar>
              <w:top w:w="15" w:type="dxa"/>
              <w:left w:w="15" w:type="dxa"/>
              <w:bottom w:w="0" w:type="dxa"/>
              <w:right w:w="15" w:type="dxa"/>
            </w:tcMar>
            <w:vAlign w:val="bottom"/>
          </w:tcPr>
          <w:p w:rsidR="003D06B5" w:rsidRDefault="003D06B5">
            <w:pPr>
              <w:pStyle w:val="TableText"/>
              <w:jc w:val="center"/>
              <w:rPr>
                <w:bC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89" w:type="dxa"/>
            <w:tcMar>
              <w:top w:w="15" w:type="dxa"/>
              <w:left w:w="15" w:type="dxa"/>
              <w:bottom w:w="0" w:type="dxa"/>
              <w:right w:w="15" w:type="dxa"/>
            </w:tcMar>
            <w:vAlign w:val="bottom"/>
          </w:tcPr>
          <w:p w:rsidR="003D06B5" w:rsidRDefault="003D06B5">
            <w:pPr>
              <w:pStyle w:val="TableText"/>
              <w:jc w:val="center"/>
              <w:rPr>
                <w:bCs/>
                <w:szCs w:val="20"/>
              </w:rPr>
            </w:pPr>
            <w:r>
              <w:rPr>
                <w:bCs/>
                <w:szCs w:val="20"/>
              </w:rPr>
              <w:t>X</w:t>
            </w: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383" w:type="dxa"/>
            <w:tcMar>
              <w:top w:w="15" w:type="dxa"/>
              <w:left w:w="15" w:type="dxa"/>
              <w:bottom w:w="0" w:type="dxa"/>
              <w:right w:w="15" w:type="dxa"/>
            </w:tcMar>
            <w:vAlign w:val="bottom"/>
          </w:tcPr>
          <w:p w:rsidR="003D06B5" w:rsidRDefault="003D06B5">
            <w:pPr>
              <w:pStyle w:val="TableText"/>
              <w:jc w:val="center"/>
              <w:rPr>
                <w:bCs/>
                <w:szCs w:val="20"/>
              </w:rPr>
            </w:pPr>
          </w:p>
        </w:tc>
        <w:tc>
          <w:tcPr>
            <w:tcW w:w="383" w:type="dxa"/>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383" w:type="dxa"/>
            <w:tcMar>
              <w:top w:w="15" w:type="dxa"/>
              <w:left w:w="15" w:type="dxa"/>
              <w:bottom w:w="0" w:type="dxa"/>
              <w:right w:w="15" w:type="dxa"/>
            </w:tcMar>
            <w:vAlign w:val="bottom"/>
          </w:tcPr>
          <w:p w:rsidR="003D06B5" w:rsidRDefault="003D06B5">
            <w:pPr>
              <w:pStyle w:val="TableText"/>
              <w:jc w:val="center"/>
              <w:rPr>
                <w:bCs/>
                <w:szCs w:val="20"/>
              </w:rPr>
            </w:pPr>
          </w:p>
        </w:tc>
        <w:tc>
          <w:tcPr>
            <w:tcW w:w="383" w:type="dxa"/>
            <w:tcMar>
              <w:top w:w="15" w:type="dxa"/>
              <w:left w:w="15" w:type="dxa"/>
              <w:bottom w:w="0" w:type="dxa"/>
              <w:right w:w="15" w:type="dxa"/>
            </w:tcMar>
            <w:vAlign w:val="bottom"/>
          </w:tcPr>
          <w:p w:rsidR="003D06B5" w:rsidRDefault="003D06B5">
            <w:pPr>
              <w:pStyle w:val="TableText"/>
              <w:jc w:val="center"/>
              <w:rPr>
                <w:bC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r>
              <w:rPr>
                <w:bCs/>
                <w:szCs w:val="20"/>
              </w:rPr>
              <w:t>X</w:t>
            </w:r>
          </w:p>
        </w:tc>
        <w:tc>
          <w:tcPr>
            <w:tcW w:w="290" w:type="dxa"/>
            <w:tcMar>
              <w:top w:w="15" w:type="dxa"/>
              <w:left w:w="15" w:type="dxa"/>
              <w:bottom w:w="0" w:type="dxa"/>
              <w:right w:w="15" w:type="dxa"/>
            </w:tcMar>
            <w:vAlign w:val="bottom"/>
          </w:tcPr>
          <w:p w:rsidR="003D06B5" w:rsidRDefault="003D06B5">
            <w:pPr>
              <w:pStyle w:val="TableText"/>
              <w:jc w:val="center"/>
              <w:rPr>
                <w:rFonts w:eastAsia="Symbol"/>
                <w:bCs/>
                <w:szCs w:val="20"/>
              </w:rPr>
            </w:pPr>
            <w:r>
              <w:rPr>
                <w:rFonts w:eastAsia="Symbol"/>
                <w:bC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Specimen and paperwork do not match</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Specimen expired</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Specimen hemolyzed</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Specimen misplaced</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vAlign w:val="bottom"/>
          </w:tcPr>
          <w:p w:rsidR="003D06B5" w:rsidRDefault="003D06B5">
            <w:pPr>
              <w:pStyle w:val="TableText"/>
              <w:jc w:val="center"/>
              <w:rPr>
                <w:rFonts w:eastAsia="Symbol"/>
                <w:bCs/>
                <w:caps/>
                <w:szCs w:val="20"/>
              </w:rPr>
            </w:pPr>
          </w:p>
        </w:tc>
        <w:tc>
          <w:tcPr>
            <w:tcW w:w="298" w:type="dxa"/>
            <w:noWrap/>
            <w:vAlign w:val="bottom"/>
          </w:tcPr>
          <w:p w:rsidR="003D06B5" w:rsidRDefault="003D06B5">
            <w:pPr>
              <w:pStyle w:val="TableText"/>
              <w:jc w:val="center"/>
              <w:rPr>
                <w:rFonts w:eastAsia="Symbol"/>
                <w:bCs/>
                <w:caps/>
                <w:szCs w:val="20"/>
              </w:rPr>
            </w:pPr>
          </w:p>
        </w:tc>
        <w:tc>
          <w:tcPr>
            <w:tcW w:w="298" w:type="dxa"/>
            <w:noWrap/>
            <w:vAlign w:val="bottom"/>
          </w:tcPr>
          <w:p w:rsidR="003D06B5" w:rsidRDefault="003D06B5">
            <w:pPr>
              <w:pStyle w:val="TableText"/>
              <w:jc w:val="center"/>
              <w:rPr>
                <w:rFonts w:eastAsia="Symbol"/>
                <w:bCs/>
                <w:caps/>
                <w:szCs w:val="20"/>
              </w:rPr>
            </w:pPr>
          </w:p>
        </w:tc>
        <w:tc>
          <w:tcPr>
            <w:tcW w:w="298" w:type="dxa"/>
            <w:noWrap/>
            <w:vAlign w:val="bottom"/>
          </w:tcPr>
          <w:p w:rsidR="003D06B5" w:rsidRDefault="003D06B5">
            <w:pPr>
              <w:pStyle w:val="TableText"/>
              <w:jc w:val="center"/>
              <w:rPr>
                <w:rFonts w:eastAsia="Symbol"/>
                <w:bCs/>
                <w:caps/>
                <w:szCs w:val="20"/>
              </w:rPr>
            </w:pPr>
          </w:p>
        </w:tc>
        <w:tc>
          <w:tcPr>
            <w:tcW w:w="298" w:type="dxa"/>
            <w:noWrap/>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Specimen not received</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Specimen recollected</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Specimen ruined during test process</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Spiked or damaged</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r>
              <w:rPr>
                <w:rFonts w:eastAsia="Symbol"/>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Spilled</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Split units for transfusion today</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lastRenderedPageBreak/>
              <w:t>Surgery rescheduled</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r>
              <w:rPr>
                <w:rFonts w:eastAsia="Symbol"/>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Test cancelled</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Test complete, results inconclusive</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Test compromised</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Testing inconclusive</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Testing interrupted</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Transfusion reaction</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Trauma</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r>
              <w:rPr>
                <w:rFonts w:eastAsia="Symbol"/>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Typographical error</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Unit expired</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Unit returned unused</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Unit test cancelled</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lastRenderedPageBreak/>
              <w:t>Unsatisfactory, return to supplier</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r>
              <w:rPr>
                <w:rFonts w:eastAsia="Symbol"/>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Updated inventory</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Verbal order</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r w:rsidR="003D06B5" w:rsidTr="003D06B5">
        <w:tblPrEx>
          <w:shd w:val="clear" w:color="auto" w:fill="auto"/>
        </w:tblPrEx>
        <w:trPr>
          <w:cantSplit/>
          <w:trHeight w:val="138"/>
        </w:trPr>
        <w:tc>
          <w:tcPr>
            <w:tcW w:w="1299" w:type="dxa"/>
            <w:tcMar>
              <w:top w:w="15" w:type="dxa"/>
              <w:left w:w="15" w:type="dxa"/>
              <w:bottom w:w="0" w:type="dxa"/>
              <w:right w:w="15" w:type="dxa"/>
            </w:tcMar>
            <w:vAlign w:val="bottom"/>
          </w:tcPr>
          <w:p w:rsidR="003D06B5" w:rsidRDefault="003D06B5">
            <w:pPr>
              <w:pStyle w:val="TableText"/>
            </w:pPr>
            <w:r>
              <w:t>Visual inspection unsatisfactory</w:t>
            </w:r>
          </w:p>
        </w:tc>
        <w:tc>
          <w:tcPr>
            <w:tcW w:w="288" w:type="dxa"/>
            <w:gridSpan w:val="2"/>
            <w:tcMar>
              <w:top w:w="15" w:type="dxa"/>
              <w:left w:w="15" w:type="dxa"/>
              <w:bottom w:w="0" w:type="dxa"/>
              <w:right w:w="15" w:type="dxa"/>
            </w:tcMar>
            <w:vAlign w:val="bottom"/>
          </w:tcPr>
          <w:p w:rsidR="003D06B5" w:rsidRDefault="003D06B5">
            <w:pPr>
              <w:pStyle w:val="TableText"/>
              <w:jc w:val="center"/>
              <w:rPr>
                <w:bCs/>
                <w:szCs w:val="20"/>
              </w:rPr>
            </w:pPr>
          </w:p>
        </w:tc>
        <w:tc>
          <w:tcPr>
            <w:tcW w:w="297" w:type="dxa"/>
            <w:gridSpan w:val="3"/>
          </w:tcPr>
          <w:p w:rsidR="003D06B5" w:rsidRDefault="003D06B5">
            <w:pPr>
              <w:pStyle w:val="TableText"/>
              <w:jc w:val="center"/>
              <w:rPr>
                <w:bC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r>
              <w:rPr>
                <w:bCs/>
                <w:szCs w:val="20"/>
              </w:rPr>
              <w:t>X</w:t>
            </w:r>
          </w:p>
        </w:tc>
        <w:tc>
          <w:tcPr>
            <w:tcW w:w="297" w:type="dxa"/>
            <w:noWrap/>
            <w:tcMar>
              <w:top w:w="15" w:type="dxa"/>
              <w:left w:w="15" w:type="dxa"/>
              <w:bottom w:w="0" w:type="dxa"/>
              <w:right w:w="15" w:type="dxa"/>
            </w:tcMar>
            <w:vAlign w:val="bottom"/>
          </w:tcPr>
          <w:p w:rsidR="003D06B5" w:rsidRDefault="003D06B5">
            <w:pPr>
              <w:pStyle w:val="TableText"/>
              <w:jc w:val="center"/>
              <w:rPr>
                <w:bC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szCs w:val="20"/>
              </w:rPr>
            </w:pPr>
          </w:p>
        </w:tc>
        <w:tc>
          <w:tcPr>
            <w:tcW w:w="297" w:type="dxa"/>
            <w:noWrap/>
            <w:tcMar>
              <w:top w:w="15" w:type="dxa"/>
              <w:left w:w="15" w:type="dxa"/>
              <w:bottom w:w="0" w:type="dxa"/>
              <w:right w:w="15" w:type="dxa"/>
            </w:tcMar>
            <w:vAlign w:val="bottom"/>
          </w:tcPr>
          <w:p w:rsidR="003D06B5" w:rsidRDefault="003D06B5">
            <w:pPr>
              <w:pStyle w:val="TableText"/>
              <w:jc w:val="center"/>
              <w:rPr>
                <w:bCs/>
                <w:szCs w:val="20"/>
              </w:rPr>
            </w:pPr>
          </w:p>
        </w:tc>
        <w:tc>
          <w:tcPr>
            <w:tcW w:w="297" w:type="dxa"/>
            <w:noWrap/>
            <w:tcMar>
              <w:top w:w="15" w:type="dxa"/>
              <w:left w:w="15" w:type="dxa"/>
              <w:bottom w:w="0" w:type="dxa"/>
              <w:right w:w="15" w:type="dxa"/>
            </w:tcMar>
            <w:vAlign w:val="bottom"/>
          </w:tcPr>
          <w:p w:rsidR="003D06B5" w:rsidRDefault="003D06B5">
            <w:pPr>
              <w:pStyle w:val="TableText"/>
              <w:jc w:val="center"/>
              <w:rPr>
                <w:bCs/>
                <w:szCs w:val="20"/>
              </w:rPr>
            </w:pPr>
          </w:p>
        </w:tc>
        <w:tc>
          <w:tcPr>
            <w:tcW w:w="289" w:type="dxa"/>
            <w:tcMar>
              <w:top w:w="15" w:type="dxa"/>
              <w:left w:w="15" w:type="dxa"/>
              <w:bottom w:w="0" w:type="dxa"/>
              <w:right w:w="15" w:type="dxa"/>
            </w:tcMar>
            <w:vAlign w:val="bottom"/>
          </w:tcPr>
          <w:p w:rsidR="003D06B5" w:rsidRDefault="003D06B5">
            <w:pPr>
              <w:pStyle w:val="TableText"/>
              <w:jc w:val="center"/>
              <w:rPr>
                <w:bCs/>
                <w:szCs w:val="20"/>
              </w:rPr>
            </w:pPr>
          </w:p>
        </w:tc>
        <w:tc>
          <w:tcPr>
            <w:tcW w:w="297" w:type="dxa"/>
            <w:noWrap/>
            <w:tcMar>
              <w:top w:w="15" w:type="dxa"/>
              <w:left w:w="15" w:type="dxa"/>
              <w:bottom w:w="0" w:type="dxa"/>
              <w:right w:w="15" w:type="dxa"/>
            </w:tcMar>
            <w:vAlign w:val="bottom"/>
          </w:tcPr>
          <w:p w:rsidR="003D06B5" w:rsidRDefault="003D06B5">
            <w:pPr>
              <w:pStyle w:val="TableText"/>
              <w:jc w:val="center"/>
              <w:rPr>
                <w:bCs/>
                <w:szCs w:val="20"/>
              </w:rPr>
            </w:pPr>
          </w:p>
        </w:tc>
        <w:tc>
          <w:tcPr>
            <w:tcW w:w="289" w:type="dxa"/>
            <w:tcMar>
              <w:top w:w="15" w:type="dxa"/>
              <w:left w:w="15" w:type="dxa"/>
              <w:bottom w:w="0" w:type="dxa"/>
              <w:right w:w="15" w:type="dxa"/>
            </w:tcMar>
            <w:vAlign w:val="bottom"/>
          </w:tcPr>
          <w:p w:rsidR="003D06B5" w:rsidRDefault="003D06B5">
            <w:pPr>
              <w:pStyle w:val="TableText"/>
              <w:jc w:val="center"/>
              <w:rPr>
                <w:bCs/>
                <w:szCs w:val="20"/>
              </w:rPr>
            </w:pPr>
            <w:r>
              <w:rPr>
                <w:bCs/>
                <w:szCs w:val="20"/>
              </w:rPr>
              <w:t>X</w:t>
            </w: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383" w:type="dxa"/>
            <w:tcMar>
              <w:top w:w="15" w:type="dxa"/>
              <w:left w:w="15" w:type="dxa"/>
              <w:bottom w:w="0" w:type="dxa"/>
              <w:right w:w="15" w:type="dxa"/>
            </w:tcMar>
            <w:vAlign w:val="bottom"/>
          </w:tcPr>
          <w:p w:rsidR="003D06B5" w:rsidRDefault="003D06B5">
            <w:pPr>
              <w:pStyle w:val="TableText"/>
              <w:jc w:val="center"/>
              <w:rPr>
                <w:bCs/>
                <w:szCs w:val="20"/>
              </w:rPr>
            </w:pPr>
          </w:p>
        </w:tc>
        <w:tc>
          <w:tcPr>
            <w:tcW w:w="383" w:type="dxa"/>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383" w:type="dxa"/>
            <w:tcMar>
              <w:top w:w="15" w:type="dxa"/>
              <w:left w:w="15" w:type="dxa"/>
              <w:bottom w:w="0" w:type="dxa"/>
              <w:right w:w="15" w:type="dxa"/>
            </w:tcMar>
            <w:vAlign w:val="bottom"/>
          </w:tcPr>
          <w:p w:rsidR="003D06B5" w:rsidRDefault="003D06B5">
            <w:pPr>
              <w:pStyle w:val="TableText"/>
              <w:jc w:val="center"/>
              <w:rPr>
                <w:bCs/>
                <w:szCs w:val="20"/>
              </w:rPr>
            </w:pPr>
          </w:p>
        </w:tc>
        <w:tc>
          <w:tcPr>
            <w:tcW w:w="383" w:type="dxa"/>
            <w:tcMar>
              <w:top w:w="15" w:type="dxa"/>
              <w:left w:w="15" w:type="dxa"/>
              <w:bottom w:w="0" w:type="dxa"/>
              <w:right w:w="15" w:type="dxa"/>
            </w:tcMar>
            <w:vAlign w:val="bottom"/>
          </w:tcPr>
          <w:p w:rsidR="003D06B5" w:rsidRDefault="003D06B5">
            <w:pPr>
              <w:pStyle w:val="TableText"/>
              <w:jc w:val="center"/>
              <w:rPr>
                <w:bCs/>
                <w:szCs w:val="20"/>
              </w:rPr>
            </w:pPr>
          </w:p>
        </w:tc>
        <w:tc>
          <w:tcPr>
            <w:tcW w:w="390" w:type="dxa"/>
            <w:noWrap/>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r>
              <w:rPr>
                <w:bC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0" w:type="dxa"/>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pPr>
            <w:r>
              <w:t>Volume reduce platelet pools over 300 mL</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bCs/>
                <w:caps/>
                <w:szCs w:val="20"/>
              </w:rPr>
            </w:pPr>
          </w:p>
        </w:tc>
      </w:tr>
      <w:tr w:rsidR="003D06B5" w:rsidTr="003D06B5">
        <w:tblPrEx>
          <w:shd w:val="clear" w:color="auto" w:fill="auto"/>
        </w:tblPrEx>
        <w:trPr>
          <w:cantSplit/>
          <w:trHeight w:val="255"/>
        </w:trPr>
        <w:tc>
          <w:tcPr>
            <w:tcW w:w="1299" w:type="dxa"/>
            <w:tcMar>
              <w:top w:w="15" w:type="dxa"/>
              <w:left w:w="15" w:type="dxa"/>
              <w:bottom w:w="0" w:type="dxa"/>
              <w:right w:w="15" w:type="dxa"/>
            </w:tcMar>
            <w:vAlign w:val="bottom"/>
          </w:tcPr>
          <w:p w:rsidR="003D06B5" w:rsidRDefault="003D06B5">
            <w:pPr>
              <w:pStyle w:val="TableText"/>
              <w:rPr>
                <w:rFonts w:eastAsia="Symbol"/>
              </w:rPr>
            </w:pPr>
            <w:r>
              <w:t>Wrong specimen type collected</w:t>
            </w:r>
          </w:p>
        </w:tc>
        <w:tc>
          <w:tcPr>
            <w:tcW w:w="288" w:type="dxa"/>
            <w:gridSpan w:val="2"/>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gridSpan w:val="3"/>
          </w:tcPr>
          <w:p w:rsidR="003D06B5" w:rsidRDefault="003D06B5">
            <w:pPr>
              <w:pStyle w:val="TableText"/>
              <w:jc w:val="center"/>
              <w:rPr>
                <w:rFonts w:eastAsia="Symbol"/>
                <w:bCs/>
                <w:caps/>
                <w:szCs w:val="20"/>
              </w:rPr>
            </w:pPr>
          </w:p>
        </w:tc>
        <w:tc>
          <w:tcPr>
            <w:tcW w:w="308" w:type="dxa"/>
            <w:gridSpan w:val="2"/>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tcMar>
              <w:top w:w="15" w:type="dxa"/>
              <w:left w:w="15" w:type="dxa"/>
              <w:bottom w:w="0" w:type="dxa"/>
              <w:right w:w="15" w:type="dxa"/>
            </w:tcMar>
            <w:vAlign w:val="bottom"/>
          </w:tcPr>
          <w:p w:rsidR="003D06B5" w:rsidRPr="006A5D0F" w:rsidRDefault="003D06B5" w:rsidP="006A5D0F">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7"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89"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r>
              <w:rPr>
                <w:bCs/>
                <w:caps/>
                <w:szCs w:val="20"/>
              </w:rPr>
              <w:t>x</w:t>
            </w: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83" w:type="dxa"/>
            <w:tcMar>
              <w:top w:w="15" w:type="dxa"/>
              <w:left w:w="15" w:type="dxa"/>
              <w:bottom w:w="0" w:type="dxa"/>
              <w:right w:w="15" w:type="dxa"/>
            </w:tcMar>
            <w:vAlign w:val="bottom"/>
          </w:tcPr>
          <w:p w:rsidR="003D06B5" w:rsidRDefault="003D06B5">
            <w:pPr>
              <w:pStyle w:val="TableText"/>
              <w:jc w:val="center"/>
              <w:rPr>
                <w:bCs/>
                <w:caps/>
                <w:szCs w:val="20"/>
              </w:rPr>
            </w:pPr>
          </w:p>
        </w:tc>
        <w:tc>
          <w:tcPr>
            <w:tcW w:w="390"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0" w:type="dxa"/>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c>
          <w:tcPr>
            <w:tcW w:w="298" w:type="dxa"/>
            <w:noWrap/>
            <w:tcMar>
              <w:top w:w="15" w:type="dxa"/>
              <w:left w:w="15" w:type="dxa"/>
              <w:bottom w:w="0" w:type="dxa"/>
              <w:right w:w="15" w:type="dxa"/>
            </w:tcMar>
            <w:vAlign w:val="bottom"/>
          </w:tcPr>
          <w:p w:rsidR="003D06B5" w:rsidRDefault="003D06B5">
            <w:pPr>
              <w:pStyle w:val="TableText"/>
              <w:jc w:val="center"/>
              <w:rPr>
                <w:rFonts w:eastAsia="Symbol"/>
                <w:bCs/>
                <w:caps/>
                <w:szCs w:val="20"/>
              </w:rPr>
            </w:pPr>
          </w:p>
        </w:tc>
      </w:tr>
    </w:tbl>
    <w:p w:rsidR="002A21AE" w:rsidRDefault="002A21AE">
      <w:pPr>
        <w:pStyle w:val="Heading3"/>
        <w:sectPr w:rsidR="002A21AE" w:rsidSect="00EE771C">
          <w:footerReference w:type="default" r:id="rId237"/>
          <w:pgSz w:w="15840" w:h="12240" w:orient="landscape" w:code="1"/>
          <w:pgMar w:top="1440" w:right="1440" w:bottom="1440" w:left="1440" w:header="720" w:footer="720" w:gutter="0"/>
          <w:cols w:space="720"/>
          <w:docGrid w:linePitch="360"/>
        </w:sectPr>
      </w:pPr>
    </w:p>
    <w:p w:rsidR="002A21AE" w:rsidRDefault="002548EA">
      <w:pPr>
        <w:pStyle w:val="Heading3"/>
      </w:pPr>
      <w:bookmarkStart w:id="627" w:name="_Toc91323799"/>
      <w:r>
        <w:rPr>
          <w:rFonts w:ascii="Geneva" w:hAnsi="Geneva"/>
          <w:vanish/>
        </w:rPr>
        <w:lastRenderedPageBreak/>
        <w:t>PT_1</w:t>
      </w:r>
      <w:r w:rsidR="002A21AE">
        <w:rPr>
          <w:rFonts w:ascii="Geneva" w:hAnsi="Geneva"/>
          <w:vanish/>
        </w:rPr>
        <w:t>.0</w:t>
      </w:r>
      <w:r>
        <w:rPr>
          <w:rFonts w:ascii="Geneva" w:hAnsi="Geneva"/>
          <w:vanish/>
        </w:rPr>
        <w:t>6</w:t>
      </w:r>
      <w:r w:rsidR="002A21AE">
        <w:rPr>
          <w:rFonts w:ascii="Geneva" w:hAnsi="Geneva"/>
          <w:vanish/>
        </w:rPr>
        <w:t xml:space="preserve"> </w:t>
      </w:r>
      <w:bookmarkStart w:id="628" w:name="_Toc459900199"/>
      <w:r w:rsidR="002A21AE">
        <w:t>CPRS Orderable Blood Components (Component Classes) Mapped to ICCBBA Component Classes</w:t>
      </w:r>
      <w:bookmarkEnd w:id="627"/>
      <w:bookmarkEnd w:id="628"/>
      <w:r w:rsidR="002A21AE">
        <w:fldChar w:fldCharType="begin"/>
      </w:r>
      <w:r w:rsidR="002A21AE">
        <w:instrText xml:space="preserve"> XE </w:instrText>
      </w:r>
      <w:r w:rsidR="00FA7E65">
        <w:instrText>“</w:instrText>
      </w:r>
      <w:r w:rsidR="002A21AE">
        <w:instrText>Tables:CPRS Orderable Blood Components (Component Classes) Mapped to ICCBBA Component Classes</w:instrText>
      </w:r>
      <w:r w:rsidR="00FA7E65">
        <w:instrText>”</w:instrText>
      </w:r>
      <w:r w:rsidR="002A21AE">
        <w:instrText xml:space="preserve"> </w:instrText>
      </w:r>
      <w:r w:rsidR="002A21AE">
        <w:fldChar w:fldCharType="end"/>
      </w:r>
    </w:p>
    <w:p w:rsidR="002A21AE" w:rsidRDefault="0068383A" w:rsidP="00FA7E65">
      <w:pPr>
        <w:pStyle w:val="BodyText"/>
      </w:pPr>
      <w:r>
        <w:fldChar w:fldCharType="begin"/>
      </w:r>
      <w:r>
        <w:instrText xml:space="preserve"> REF _Ref126732179 \h </w:instrText>
      </w:r>
      <w:r>
        <w:fldChar w:fldCharType="separate"/>
      </w:r>
      <w:r w:rsidR="005F38BC" w:rsidRPr="00575E6D">
        <w:t xml:space="preserve">Table </w:t>
      </w:r>
      <w:r w:rsidR="005F38BC">
        <w:rPr>
          <w:noProof/>
        </w:rPr>
        <w:t>18</w:t>
      </w:r>
      <w:r>
        <w:fldChar w:fldCharType="end"/>
      </w:r>
      <w:r w:rsidR="002A21AE">
        <w:t xml:space="preserve"> is used to map the CPRS/</w:t>
      </w:r>
      <w:r w:rsidR="00CA6E27" w:rsidRPr="00CA6E27">
        <w:rPr>
          <w:bCs/>
        </w:rPr>
        <w:t>VistA</w:t>
      </w:r>
      <w:r w:rsidR="002A21AE">
        <w:t xml:space="preserve"> orderables available to clinicians to the ICCBBA component classes.</w:t>
      </w:r>
      <w:r w:rsidR="00F04185">
        <w:t xml:space="preserve"> </w:t>
      </w:r>
      <w:r w:rsidR="00F04185" w:rsidRPr="00F04185">
        <w:rPr>
          <w:vanish/>
        </w:rPr>
        <w:t>DR 4481</w:t>
      </w:r>
    </w:p>
    <w:p w:rsidR="002A21AE" w:rsidRDefault="002A21AE">
      <w:pPr>
        <w:pStyle w:val="Caption"/>
        <w:rPr>
          <w:rFonts w:ascii="Arial" w:hAnsi="Arial"/>
          <w:sz w:val="16"/>
        </w:rPr>
      </w:pPr>
      <w:bookmarkStart w:id="629" w:name="_Toc97523635"/>
      <w:bookmarkStart w:id="630" w:name="_Toc97527605"/>
      <w:bookmarkStart w:id="631" w:name="_Ref126484394"/>
      <w:bookmarkStart w:id="632" w:name="_Ref126732179"/>
      <w:r w:rsidRPr="00575E6D">
        <w:t xml:space="preserve">Table </w:t>
      </w:r>
      <w:r w:rsidRPr="00575E6D">
        <w:fldChar w:fldCharType="begin"/>
      </w:r>
      <w:r w:rsidRPr="00575E6D">
        <w:instrText xml:space="preserve"> SEQ Table \* ARABIC </w:instrText>
      </w:r>
      <w:r w:rsidRPr="00575E6D">
        <w:fldChar w:fldCharType="separate"/>
      </w:r>
      <w:r w:rsidR="005F38BC">
        <w:rPr>
          <w:noProof/>
        </w:rPr>
        <w:t>18</w:t>
      </w:r>
      <w:r w:rsidRPr="00575E6D">
        <w:fldChar w:fldCharType="end"/>
      </w:r>
      <w:bookmarkEnd w:id="632"/>
      <w:r w:rsidRPr="00575E6D">
        <w:t xml:space="preserve">: </w:t>
      </w:r>
      <w:r w:rsidRPr="00575E6D">
        <w:rPr>
          <w:vanish/>
        </w:rPr>
        <w:t>PT_</w:t>
      </w:r>
      <w:r w:rsidR="002548EA" w:rsidRPr="00575E6D">
        <w:rPr>
          <w:vanish/>
        </w:rPr>
        <w:t>1</w:t>
      </w:r>
      <w:r w:rsidRPr="00575E6D">
        <w:rPr>
          <w:vanish/>
        </w:rPr>
        <w:t>.0</w:t>
      </w:r>
      <w:r w:rsidR="002548EA" w:rsidRPr="00575E6D">
        <w:rPr>
          <w:vanish/>
        </w:rPr>
        <w:t>6</w:t>
      </w:r>
      <w:r w:rsidRPr="00575E6D">
        <w:rPr>
          <w:vanish/>
        </w:rPr>
        <w:t xml:space="preserve"> </w:t>
      </w:r>
      <w:r w:rsidRPr="00575E6D">
        <w:t>CPRS Orderable Blood Components (Component Classes) Mapped to ICCBBA Component Classes</w:t>
      </w:r>
      <w:bookmarkEnd w:id="629"/>
      <w:bookmarkEnd w:id="630"/>
      <w:bookmarkEnd w:id="631"/>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160"/>
        <w:gridCol w:w="720"/>
        <w:gridCol w:w="2160"/>
        <w:gridCol w:w="4320"/>
      </w:tblGrid>
      <w:tr w:rsidR="00887834" w:rsidRPr="00887834">
        <w:trPr>
          <w:cantSplit/>
          <w:tblHeader/>
        </w:trPr>
        <w:tc>
          <w:tcPr>
            <w:tcW w:w="2160" w:type="dxa"/>
            <w:tcBorders>
              <w:bottom w:val="single" w:sz="4" w:space="0" w:color="auto"/>
            </w:tcBorders>
            <w:shd w:val="clear" w:color="auto" w:fill="C0C0C0"/>
            <w:vAlign w:val="bottom"/>
          </w:tcPr>
          <w:p w:rsidR="002548EA" w:rsidRPr="00887834" w:rsidRDefault="002548EA" w:rsidP="002548EA">
            <w:pPr>
              <w:pStyle w:val="TableText"/>
              <w:rPr>
                <w:b/>
              </w:rPr>
            </w:pPr>
            <w:r w:rsidRPr="00887834">
              <w:rPr>
                <w:b/>
              </w:rPr>
              <w:t xml:space="preserve">VBECS </w:t>
            </w:r>
          </w:p>
          <w:p w:rsidR="002548EA" w:rsidRPr="00887834" w:rsidRDefault="002548EA" w:rsidP="002548EA">
            <w:pPr>
              <w:pStyle w:val="TableText"/>
              <w:rPr>
                <w:b/>
              </w:rPr>
            </w:pPr>
            <w:r w:rsidRPr="00887834">
              <w:rPr>
                <w:b/>
              </w:rPr>
              <w:t>Component Class</w:t>
            </w:r>
          </w:p>
        </w:tc>
        <w:tc>
          <w:tcPr>
            <w:tcW w:w="720" w:type="dxa"/>
            <w:tcBorders>
              <w:bottom w:val="single" w:sz="4" w:space="0" w:color="auto"/>
            </w:tcBorders>
            <w:shd w:val="clear" w:color="auto" w:fill="C0C0C0"/>
            <w:vAlign w:val="bottom"/>
          </w:tcPr>
          <w:p w:rsidR="002548EA" w:rsidRPr="00887834" w:rsidRDefault="002548EA" w:rsidP="002548EA">
            <w:pPr>
              <w:pStyle w:val="TableText"/>
              <w:rPr>
                <w:b/>
              </w:rPr>
            </w:pPr>
            <w:r w:rsidRPr="00887834">
              <w:rPr>
                <w:b/>
              </w:rPr>
              <w:t>Code</w:t>
            </w:r>
          </w:p>
        </w:tc>
        <w:tc>
          <w:tcPr>
            <w:tcW w:w="2160" w:type="dxa"/>
            <w:tcBorders>
              <w:bottom w:val="single" w:sz="4" w:space="0" w:color="auto"/>
            </w:tcBorders>
            <w:shd w:val="clear" w:color="auto" w:fill="C0C0C0"/>
            <w:vAlign w:val="bottom"/>
          </w:tcPr>
          <w:p w:rsidR="002548EA" w:rsidRPr="00887834" w:rsidRDefault="002548EA" w:rsidP="002548EA">
            <w:pPr>
              <w:pStyle w:val="TableText"/>
              <w:rPr>
                <w:b/>
              </w:rPr>
            </w:pPr>
            <w:r w:rsidRPr="00887834">
              <w:rPr>
                <w:b/>
              </w:rPr>
              <w:t>Short Name</w:t>
            </w:r>
          </w:p>
        </w:tc>
        <w:tc>
          <w:tcPr>
            <w:tcW w:w="4320" w:type="dxa"/>
            <w:tcBorders>
              <w:bottom w:val="single" w:sz="4" w:space="0" w:color="auto"/>
            </w:tcBorders>
            <w:shd w:val="clear" w:color="auto" w:fill="C0C0C0"/>
            <w:vAlign w:val="bottom"/>
          </w:tcPr>
          <w:p w:rsidR="002548EA" w:rsidRPr="00887834" w:rsidRDefault="002548EA" w:rsidP="002548EA">
            <w:pPr>
              <w:pStyle w:val="TableText"/>
              <w:rPr>
                <w:b/>
              </w:rPr>
            </w:pPr>
            <w:r w:rsidRPr="00887834">
              <w:rPr>
                <w:b/>
              </w:rPr>
              <w:t>Product Type Name (ICCBBA Component Class)</w:t>
            </w:r>
          </w:p>
        </w:tc>
      </w:tr>
      <w:tr w:rsidR="00887834" w:rsidRPr="00887834">
        <w:trPr>
          <w:cantSplit/>
        </w:trPr>
        <w:tc>
          <w:tcPr>
            <w:tcW w:w="2160" w:type="dxa"/>
            <w:vMerge w:val="restart"/>
            <w:shd w:val="clear" w:color="auto" w:fill="auto"/>
            <w:vAlign w:val="center"/>
          </w:tcPr>
          <w:p w:rsidR="002548EA" w:rsidRPr="00E71E58" w:rsidRDefault="002548EA" w:rsidP="002548EA">
            <w:pPr>
              <w:pStyle w:val="TableText"/>
            </w:pPr>
            <w:r>
              <w:t>RED BLOOD CELLS</w:t>
            </w:r>
          </w:p>
        </w:tc>
        <w:tc>
          <w:tcPr>
            <w:tcW w:w="720" w:type="dxa"/>
            <w:shd w:val="clear" w:color="auto" w:fill="auto"/>
            <w:vAlign w:val="bottom"/>
          </w:tcPr>
          <w:p w:rsidR="002548EA" w:rsidRPr="00887834" w:rsidRDefault="002548EA" w:rsidP="002548EA">
            <w:pPr>
              <w:pStyle w:val="TableText"/>
              <w:rPr>
                <w:rFonts w:ascii="Arial Unicode MS" w:eastAsia="Arial Unicode MS" w:hAnsi="Arial Unicode MS"/>
              </w:rPr>
            </w:pPr>
            <w:r>
              <w:t>E002</w:t>
            </w:r>
          </w:p>
        </w:tc>
        <w:tc>
          <w:tcPr>
            <w:tcW w:w="2160" w:type="dxa"/>
            <w:shd w:val="clear" w:color="auto" w:fill="auto"/>
            <w:vAlign w:val="bottom"/>
          </w:tcPr>
          <w:p w:rsidR="002548EA" w:rsidRPr="00887834" w:rsidRDefault="002548EA" w:rsidP="002548EA">
            <w:pPr>
              <w:pStyle w:val="TableText"/>
              <w:rPr>
                <w:rFonts w:ascii="Arial Unicode MS" w:eastAsia="Arial Unicode MS" w:hAnsi="Arial Unicode MS"/>
              </w:rPr>
            </w:pPr>
            <w:r>
              <w:t>RBC</w:t>
            </w:r>
          </w:p>
        </w:tc>
        <w:tc>
          <w:tcPr>
            <w:tcW w:w="4320" w:type="dxa"/>
            <w:shd w:val="clear" w:color="auto" w:fill="auto"/>
            <w:vAlign w:val="bottom"/>
          </w:tcPr>
          <w:p w:rsidR="002548EA" w:rsidRPr="00887834" w:rsidRDefault="002548EA" w:rsidP="002548EA">
            <w:pPr>
              <w:pStyle w:val="TableText"/>
              <w:rPr>
                <w:rFonts w:ascii="Arial Unicode MS" w:eastAsia="Arial Unicode MS" w:hAnsi="Arial Unicode MS"/>
              </w:rPr>
            </w:pPr>
            <w:r>
              <w:t>RED BLOOD CELLS</w:t>
            </w:r>
          </w:p>
        </w:tc>
      </w:tr>
      <w:tr w:rsidR="00887834" w:rsidRPr="00887834">
        <w:trPr>
          <w:cantSplit/>
        </w:trPr>
        <w:tc>
          <w:tcPr>
            <w:tcW w:w="2160" w:type="dxa"/>
            <w:vMerge/>
            <w:shd w:val="clear" w:color="auto" w:fill="auto"/>
            <w:vAlign w:val="center"/>
          </w:tcPr>
          <w:p w:rsidR="002548EA" w:rsidRPr="00E71E58" w:rsidRDefault="002548EA" w:rsidP="002548EA">
            <w:pPr>
              <w:pStyle w:val="TableText"/>
            </w:pPr>
          </w:p>
        </w:tc>
        <w:tc>
          <w:tcPr>
            <w:tcW w:w="720" w:type="dxa"/>
            <w:shd w:val="clear" w:color="auto" w:fill="auto"/>
            <w:vAlign w:val="bottom"/>
          </w:tcPr>
          <w:p w:rsidR="002548EA" w:rsidRPr="00887834" w:rsidRDefault="002548EA" w:rsidP="002548EA">
            <w:pPr>
              <w:pStyle w:val="TableText"/>
              <w:rPr>
                <w:rFonts w:ascii="Arial Unicode MS" w:eastAsia="Arial Unicode MS" w:hAnsi="Arial Unicode MS"/>
              </w:rPr>
            </w:pPr>
            <w:r>
              <w:t>E003</w:t>
            </w:r>
          </w:p>
        </w:tc>
        <w:tc>
          <w:tcPr>
            <w:tcW w:w="2160" w:type="dxa"/>
            <w:shd w:val="clear" w:color="auto" w:fill="auto"/>
            <w:vAlign w:val="bottom"/>
          </w:tcPr>
          <w:p w:rsidR="002548EA" w:rsidRPr="00887834" w:rsidRDefault="002548EA" w:rsidP="002548EA">
            <w:pPr>
              <w:pStyle w:val="TableText"/>
              <w:rPr>
                <w:rFonts w:ascii="Arial Unicode MS" w:eastAsia="Arial Unicode MS" w:hAnsi="Arial Unicode MS"/>
              </w:rPr>
            </w:pPr>
            <w:r>
              <w:t>RBC_Wash</w:t>
            </w:r>
          </w:p>
        </w:tc>
        <w:tc>
          <w:tcPr>
            <w:tcW w:w="4320" w:type="dxa"/>
            <w:shd w:val="clear" w:color="auto" w:fill="auto"/>
            <w:vAlign w:val="bottom"/>
          </w:tcPr>
          <w:p w:rsidR="002548EA" w:rsidRPr="00887834" w:rsidRDefault="002548EA" w:rsidP="002548EA">
            <w:pPr>
              <w:pStyle w:val="TableText"/>
              <w:rPr>
                <w:rFonts w:ascii="Arial Unicode MS" w:eastAsia="Arial Unicode MS" w:hAnsi="Arial Unicode MS"/>
              </w:rPr>
            </w:pPr>
            <w:r>
              <w:t>Washed RED BLOOD CELLS</w:t>
            </w:r>
          </w:p>
        </w:tc>
      </w:tr>
      <w:tr w:rsidR="00887834" w:rsidRPr="00887834">
        <w:trPr>
          <w:cantSplit/>
        </w:trPr>
        <w:tc>
          <w:tcPr>
            <w:tcW w:w="2160" w:type="dxa"/>
            <w:vMerge/>
            <w:shd w:val="clear" w:color="auto" w:fill="auto"/>
            <w:vAlign w:val="center"/>
          </w:tcPr>
          <w:p w:rsidR="002548EA" w:rsidRPr="00E71E58" w:rsidRDefault="002548EA" w:rsidP="002548EA">
            <w:pPr>
              <w:pStyle w:val="TableText"/>
            </w:pPr>
          </w:p>
        </w:tc>
        <w:tc>
          <w:tcPr>
            <w:tcW w:w="720" w:type="dxa"/>
            <w:shd w:val="clear" w:color="auto" w:fill="auto"/>
            <w:vAlign w:val="bottom"/>
          </w:tcPr>
          <w:p w:rsidR="002548EA" w:rsidRPr="00887834" w:rsidRDefault="002548EA" w:rsidP="002548EA">
            <w:pPr>
              <w:pStyle w:val="TableText"/>
              <w:rPr>
                <w:rFonts w:ascii="Arial Unicode MS" w:eastAsia="Arial Unicode MS" w:hAnsi="Arial Unicode MS"/>
              </w:rPr>
            </w:pPr>
            <w:r>
              <w:t>E004</w:t>
            </w:r>
          </w:p>
        </w:tc>
        <w:tc>
          <w:tcPr>
            <w:tcW w:w="2160" w:type="dxa"/>
            <w:shd w:val="clear" w:color="auto" w:fill="auto"/>
            <w:vAlign w:val="bottom"/>
          </w:tcPr>
          <w:p w:rsidR="002548EA" w:rsidRPr="00887834" w:rsidRDefault="002548EA" w:rsidP="002548EA">
            <w:pPr>
              <w:pStyle w:val="TableText"/>
              <w:rPr>
                <w:rFonts w:ascii="Arial Unicode MS" w:eastAsia="Arial Unicode MS" w:hAnsi="Arial Unicode MS"/>
              </w:rPr>
            </w:pPr>
            <w:r>
              <w:t>RBC_Froz</w:t>
            </w:r>
          </w:p>
        </w:tc>
        <w:tc>
          <w:tcPr>
            <w:tcW w:w="4320" w:type="dxa"/>
            <w:shd w:val="clear" w:color="auto" w:fill="auto"/>
            <w:vAlign w:val="bottom"/>
          </w:tcPr>
          <w:p w:rsidR="002548EA" w:rsidRPr="00887834" w:rsidRDefault="002548EA" w:rsidP="002548EA">
            <w:pPr>
              <w:pStyle w:val="TableText"/>
              <w:rPr>
                <w:rFonts w:ascii="Arial Unicode MS" w:eastAsia="Arial Unicode MS" w:hAnsi="Arial Unicode MS"/>
              </w:rPr>
            </w:pPr>
            <w:r>
              <w:t>Frozen RED BLOOD CELLS</w:t>
            </w:r>
          </w:p>
        </w:tc>
      </w:tr>
      <w:tr w:rsidR="00887834" w:rsidRPr="00887834">
        <w:trPr>
          <w:cantSplit/>
        </w:trPr>
        <w:tc>
          <w:tcPr>
            <w:tcW w:w="2160" w:type="dxa"/>
            <w:vMerge/>
            <w:shd w:val="clear" w:color="auto" w:fill="auto"/>
            <w:vAlign w:val="center"/>
          </w:tcPr>
          <w:p w:rsidR="002548EA" w:rsidRPr="00E71E58" w:rsidRDefault="002548EA" w:rsidP="002548EA">
            <w:pPr>
              <w:pStyle w:val="TableText"/>
            </w:pPr>
          </w:p>
        </w:tc>
        <w:tc>
          <w:tcPr>
            <w:tcW w:w="720" w:type="dxa"/>
            <w:shd w:val="clear" w:color="auto" w:fill="auto"/>
            <w:vAlign w:val="bottom"/>
          </w:tcPr>
          <w:p w:rsidR="002548EA" w:rsidRPr="00887834" w:rsidRDefault="002548EA" w:rsidP="002548EA">
            <w:pPr>
              <w:pStyle w:val="TableText"/>
              <w:rPr>
                <w:rFonts w:ascii="Arial Unicode MS" w:eastAsia="Arial Unicode MS" w:hAnsi="Arial Unicode MS"/>
              </w:rPr>
            </w:pPr>
            <w:r>
              <w:t>E005</w:t>
            </w:r>
          </w:p>
        </w:tc>
        <w:tc>
          <w:tcPr>
            <w:tcW w:w="2160" w:type="dxa"/>
            <w:shd w:val="clear" w:color="auto" w:fill="auto"/>
            <w:vAlign w:val="bottom"/>
          </w:tcPr>
          <w:p w:rsidR="002548EA" w:rsidRPr="00887834" w:rsidRDefault="002548EA" w:rsidP="002548EA">
            <w:pPr>
              <w:pStyle w:val="TableText"/>
              <w:rPr>
                <w:rFonts w:ascii="Arial Unicode MS" w:eastAsia="Arial Unicode MS" w:hAnsi="Arial Unicode MS"/>
              </w:rPr>
            </w:pPr>
            <w:r>
              <w:t>RBC_Froz_Rej</w:t>
            </w:r>
          </w:p>
        </w:tc>
        <w:tc>
          <w:tcPr>
            <w:tcW w:w="4320" w:type="dxa"/>
            <w:shd w:val="clear" w:color="auto" w:fill="auto"/>
            <w:vAlign w:val="bottom"/>
          </w:tcPr>
          <w:p w:rsidR="002548EA" w:rsidRPr="00887834" w:rsidRDefault="002548EA" w:rsidP="002548EA">
            <w:pPr>
              <w:pStyle w:val="TableText"/>
              <w:rPr>
                <w:rFonts w:ascii="Arial Unicode MS" w:eastAsia="Arial Unicode MS" w:hAnsi="Arial Unicode MS"/>
              </w:rPr>
            </w:pPr>
            <w:r>
              <w:t>Frozen Rejuvenated RED BLOOD CELLS</w:t>
            </w:r>
          </w:p>
        </w:tc>
      </w:tr>
      <w:tr w:rsidR="00887834" w:rsidRPr="00887834">
        <w:trPr>
          <w:cantSplit/>
        </w:trPr>
        <w:tc>
          <w:tcPr>
            <w:tcW w:w="2160" w:type="dxa"/>
            <w:vMerge/>
            <w:shd w:val="clear" w:color="auto" w:fill="auto"/>
            <w:vAlign w:val="center"/>
          </w:tcPr>
          <w:p w:rsidR="002548EA" w:rsidRPr="00E71E58" w:rsidRDefault="002548EA" w:rsidP="002548EA">
            <w:pPr>
              <w:pStyle w:val="TableText"/>
            </w:pPr>
          </w:p>
        </w:tc>
        <w:tc>
          <w:tcPr>
            <w:tcW w:w="720" w:type="dxa"/>
            <w:shd w:val="clear" w:color="auto" w:fill="auto"/>
            <w:vAlign w:val="bottom"/>
          </w:tcPr>
          <w:p w:rsidR="002548EA" w:rsidRPr="00887834" w:rsidRDefault="002548EA" w:rsidP="002548EA">
            <w:pPr>
              <w:pStyle w:val="TableText"/>
              <w:rPr>
                <w:rFonts w:ascii="Arial Unicode MS" w:eastAsia="Arial Unicode MS" w:hAnsi="Arial Unicode MS"/>
              </w:rPr>
            </w:pPr>
            <w:r>
              <w:t>E006</w:t>
            </w:r>
          </w:p>
        </w:tc>
        <w:tc>
          <w:tcPr>
            <w:tcW w:w="2160" w:type="dxa"/>
            <w:shd w:val="clear" w:color="auto" w:fill="auto"/>
            <w:vAlign w:val="bottom"/>
          </w:tcPr>
          <w:p w:rsidR="002548EA" w:rsidRPr="00887834" w:rsidRDefault="002548EA" w:rsidP="002548EA">
            <w:pPr>
              <w:pStyle w:val="TableText"/>
              <w:rPr>
                <w:rFonts w:ascii="Arial Unicode MS" w:eastAsia="Arial Unicode MS" w:hAnsi="Arial Unicode MS"/>
              </w:rPr>
            </w:pPr>
            <w:r>
              <w:t>RBC_Deg</w:t>
            </w:r>
          </w:p>
        </w:tc>
        <w:tc>
          <w:tcPr>
            <w:tcW w:w="4320" w:type="dxa"/>
            <w:shd w:val="clear" w:color="auto" w:fill="auto"/>
            <w:vAlign w:val="bottom"/>
          </w:tcPr>
          <w:p w:rsidR="002548EA" w:rsidRPr="00887834" w:rsidRDefault="002548EA" w:rsidP="002548EA">
            <w:pPr>
              <w:pStyle w:val="TableText"/>
              <w:rPr>
                <w:rFonts w:ascii="Arial Unicode MS" w:eastAsia="Arial Unicode MS" w:hAnsi="Arial Unicode MS"/>
              </w:rPr>
            </w:pPr>
            <w:r>
              <w:t>Deglycerolized RED BLOOD CELLS</w:t>
            </w:r>
          </w:p>
        </w:tc>
      </w:tr>
      <w:tr w:rsidR="00887834" w:rsidRPr="00887834">
        <w:trPr>
          <w:cantSplit/>
        </w:trPr>
        <w:tc>
          <w:tcPr>
            <w:tcW w:w="2160" w:type="dxa"/>
            <w:vMerge/>
            <w:shd w:val="clear" w:color="auto" w:fill="auto"/>
            <w:vAlign w:val="center"/>
          </w:tcPr>
          <w:p w:rsidR="002548EA" w:rsidRPr="00E71E58" w:rsidRDefault="002548EA" w:rsidP="002548EA">
            <w:pPr>
              <w:pStyle w:val="TableText"/>
            </w:pPr>
          </w:p>
        </w:tc>
        <w:tc>
          <w:tcPr>
            <w:tcW w:w="720" w:type="dxa"/>
            <w:shd w:val="clear" w:color="auto" w:fill="auto"/>
            <w:vAlign w:val="bottom"/>
          </w:tcPr>
          <w:p w:rsidR="002548EA" w:rsidRPr="00887834" w:rsidRDefault="002548EA" w:rsidP="002548EA">
            <w:pPr>
              <w:pStyle w:val="TableText"/>
              <w:rPr>
                <w:rFonts w:ascii="Arial Unicode MS" w:eastAsia="Arial Unicode MS" w:hAnsi="Arial Unicode MS"/>
              </w:rPr>
            </w:pPr>
            <w:r>
              <w:t>E007</w:t>
            </w:r>
          </w:p>
        </w:tc>
        <w:tc>
          <w:tcPr>
            <w:tcW w:w="2160" w:type="dxa"/>
            <w:shd w:val="clear" w:color="auto" w:fill="auto"/>
            <w:vAlign w:val="bottom"/>
          </w:tcPr>
          <w:p w:rsidR="002548EA" w:rsidRPr="00887834" w:rsidRDefault="002548EA" w:rsidP="002548EA">
            <w:pPr>
              <w:pStyle w:val="TableText"/>
              <w:rPr>
                <w:rFonts w:ascii="Arial Unicode MS" w:eastAsia="Arial Unicode MS" w:hAnsi="Arial Unicode MS"/>
              </w:rPr>
            </w:pPr>
            <w:r>
              <w:t>RBC_Deg_Rej</w:t>
            </w:r>
          </w:p>
        </w:tc>
        <w:tc>
          <w:tcPr>
            <w:tcW w:w="4320" w:type="dxa"/>
            <w:shd w:val="clear" w:color="auto" w:fill="auto"/>
            <w:vAlign w:val="bottom"/>
          </w:tcPr>
          <w:p w:rsidR="002548EA" w:rsidRPr="00887834" w:rsidRDefault="002548EA" w:rsidP="002548EA">
            <w:pPr>
              <w:pStyle w:val="TableText"/>
              <w:rPr>
                <w:rFonts w:ascii="Arial Unicode MS" w:eastAsia="Arial Unicode MS" w:hAnsi="Arial Unicode MS"/>
              </w:rPr>
            </w:pPr>
            <w:r>
              <w:t>Deglycerolized Rejuvenated RED BLOOD CELLS</w:t>
            </w:r>
          </w:p>
        </w:tc>
      </w:tr>
      <w:tr w:rsidR="00887834" w:rsidRPr="00887834">
        <w:trPr>
          <w:cantSplit/>
        </w:trPr>
        <w:tc>
          <w:tcPr>
            <w:tcW w:w="2160" w:type="dxa"/>
            <w:vMerge/>
            <w:shd w:val="clear" w:color="auto" w:fill="auto"/>
            <w:vAlign w:val="center"/>
          </w:tcPr>
          <w:p w:rsidR="002548EA" w:rsidRPr="00E71E58" w:rsidRDefault="002548EA" w:rsidP="002548EA">
            <w:pPr>
              <w:pStyle w:val="TableText"/>
            </w:pPr>
          </w:p>
        </w:tc>
        <w:tc>
          <w:tcPr>
            <w:tcW w:w="720" w:type="dxa"/>
            <w:shd w:val="clear" w:color="auto" w:fill="auto"/>
            <w:vAlign w:val="bottom"/>
          </w:tcPr>
          <w:p w:rsidR="002548EA" w:rsidRPr="00887834" w:rsidRDefault="002548EA" w:rsidP="002548EA">
            <w:pPr>
              <w:pStyle w:val="TableText"/>
              <w:rPr>
                <w:rFonts w:ascii="Arial Unicode MS" w:eastAsia="Arial Unicode MS" w:hAnsi="Arial Unicode MS"/>
              </w:rPr>
            </w:pPr>
            <w:r>
              <w:t>E008</w:t>
            </w:r>
          </w:p>
        </w:tc>
        <w:tc>
          <w:tcPr>
            <w:tcW w:w="2160" w:type="dxa"/>
            <w:shd w:val="clear" w:color="auto" w:fill="auto"/>
            <w:vAlign w:val="bottom"/>
          </w:tcPr>
          <w:p w:rsidR="002548EA" w:rsidRPr="00887834" w:rsidRDefault="002548EA" w:rsidP="002548EA">
            <w:pPr>
              <w:pStyle w:val="TableText"/>
              <w:rPr>
                <w:rFonts w:ascii="Arial Unicode MS" w:eastAsia="Arial Unicode MS" w:hAnsi="Arial Unicode MS"/>
              </w:rPr>
            </w:pPr>
            <w:r>
              <w:t>RBC_Rej</w:t>
            </w:r>
          </w:p>
        </w:tc>
        <w:tc>
          <w:tcPr>
            <w:tcW w:w="4320" w:type="dxa"/>
            <w:shd w:val="clear" w:color="auto" w:fill="auto"/>
            <w:vAlign w:val="bottom"/>
          </w:tcPr>
          <w:p w:rsidR="002548EA" w:rsidRPr="00887834" w:rsidRDefault="002548EA" w:rsidP="002548EA">
            <w:pPr>
              <w:pStyle w:val="TableText"/>
              <w:rPr>
                <w:rFonts w:ascii="Arial Unicode MS" w:eastAsia="Arial Unicode MS" w:hAnsi="Arial Unicode MS"/>
              </w:rPr>
            </w:pPr>
            <w:r>
              <w:t>Rejuvenated RED BLOOD CELLS</w:t>
            </w:r>
          </w:p>
        </w:tc>
      </w:tr>
      <w:tr w:rsidR="002548EA" w:rsidRPr="00887834">
        <w:trPr>
          <w:cantSplit/>
        </w:trPr>
        <w:tc>
          <w:tcPr>
            <w:tcW w:w="2160" w:type="dxa"/>
            <w:vMerge/>
            <w:shd w:val="clear" w:color="auto" w:fill="auto"/>
            <w:vAlign w:val="center"/>
          </w:tcPr>
          <w:p w:rsidR="002548EA" w:rsidRPr="00E71E58" w:rsidRDefault="002548EA" w:rsidP="002548EA">
            <w:pPr>
              <w:pStyle w:val="TableText"/>
            </w:pPr>
          </w:p>
        </w:tc>
        <w:tc>
          <w:tcPr>
            <w:tcW w:w="720" w:type="dxa"/>
            <w:shd w:val="clear" w:color="auto" w:fill="auto"/>
            <w:vAlign w:val="bottom"/>
          </w:tcPr>
          <w:p w:rsidR="002548EA" w:rsidRPr="00887834" w:rsidRDefault="002548EA" w:rsidP="002548EA">
            <w:pPr>
              <w:pStyle w:val="TableText"/>
              <w:rPr>
                <w:rFonts w:eastAsia="Arial Unicode MS"/>
              </w:rPr>
            </w:pPr>
            <w:r w:rsidRPr="00A3667A">
              <w:t>E009</w:t>
            </w:r>
          </w:p>
        </w:tc>
        <w:tc>
          <w:tcPr>
            <w:tcW w:w="2160" w:type="dxa"/>
            <w:shd w:val="clear" w:color="auto" w:fill="auto"/>
            <w:vAlign w:val="bottom"/>
          </w:tcPr>
          <w:p w:rsidR="002548EA" w:rsidRPr="00887834" w:rsidRDefault="002548EA" w:rsidP="002548EA">
            <w:pPr>
              <w:pStyle w:val="TableText"/>
              <w:rPr>
                <w:rFonts w:eastAsia="Arial Unicode MS"/>
              </w:rPr>
            </w:pPr>
            <w:r w:rsidRPr="00A3667A">
              <w:t>RBC_</w:t>
            </w:r>
            <w:r>
              <w:t>AFR</w:t>
            </w:r>
          </w:p>
        </w:tc>
        <w:tc>
          <w:tcPr>
            <w:tcW w:w="4320" w:type="dxa"/>
            <w:shd w:val="clear" w:color="auto" w:fill="auto"/>
            <w:vAlign w:val="bottom"/>
          </w:tcPr>
          <w:p w:rsidR="002548EA" w:rsidRPr="00887834" w:rsidRDefault="002548EA" w:rsidP="002548EA">
            <w:pPr>
              <w:pStyle w:val="TableText"/>
              <w:rPr>
                <w:rFonts w:eastAsia="Arial Unicode MS"/>
              </w:rPr>
            </w:pPr>
            <w:r>
              <w:t>Apheresis</w:t>
            </w:r>
            <w:r w:rsidRPr="00A3667A">
              <w:t xml:space="preserve"> RED BLOOD CELLS</w:t>
            </w:r>
          </w:p>
        </w:tc>
      </w:tr>
      <w:tr w:rsidR="00887834" w:rsidRPr="00887834">
        <w:trPr>
          <w:cantSplit/>
        </w:trPr>
        <w:tc>
          <w:tcPr>
            <w:tcW w:w="2160" w:type="dxa"/>
            <w:vMerge/>
            <w:shd w:val="clear" w:color="auto" w:fill="auto"/>
            <w:vAlign w:val="center"/>
          </w:tcPr>
          <w:p w:rsidR="002548EA" w:rsidRPr="00E71E58" w:rsidRDefault="002548EA" w:rsidP="002548EA">
            <w:pPr>
              <w:pStyle w:val="TableText"/>
            </w:pPr>
          </w:p>
        </w:tc>
        <w:tc>
          <w:tcPr>
            <w:tcW w:w="720" w:type="dxa"/>
            <w:shd w:val="clear" w:color="auto" w:fill="auto"/>
            <w:vAlign w:val="bottom"/>
          </w:tcPr>
          <w:p w:rsidR="002548EA" w:rsidRPr="00887834" w:rsidRDefault="002548EA" w:rsidP="002548EA">
            <w:pPr>
              <w:pStyle w:val="TableText"/>
              <w:rPr>
                <w:rFonts w:ascii="Arial Unicode MS" w:eastAsia="Arial Unicode MS" w:hAnsi="Arial Unicode MS"/>
              </w:rPr>
            </w:pPr>
            <w:r>
              <w:t>E049</w:t>
            </w:r>
          </w:p>
        </w:tc>
        <w:tc>
          <w:tcPr>
            <w:tcW w:w="2160" w:type="dxa"/>
            <w:shd w:val="clear" w:color="auto" w:fill="auto"/>
            <w:vAlign w:val="bottom"/>
          </w:tcPr>
          <w:p w:rsidR="002548EA" w:rsidRPr="00887834" w:rsidRDefault="002548EA" w:rsidP="002548EA">
            <w:pPr>
              <w:pStyle w:val="TableText"/>
              <w:rPr>
                <w:rFonts w:ascii="Arial Unicode MS" w:eastAsia="Arial Unicode MS" w:hAnsi="Arial Unicode MS"/>
              </w:rPr>
            </w:pPr>
            <w:r>
              <w:t>RBC_AFR_Wash</w:t>
            </w:r>
          </w:p>
        </w:tc>
        <w:tc>
          <w:tcPr>
            <w:tcW w:w="4320" w:type="dxa"/>
            <w:shd w:val="clear" w:color="auto" w:fill="auto"/>
            <w:vAlign w:val="bottom"/>
          </w:tcPr>
          <w:p w:rsidR="002548EA" w:rsidRPr="00887834" w:rsidRDefault="002548EA" w:rsidP="002548EA">
            <w:pPr>
              <w:pStyle w:val="TableText"/>
              <w:rPr>
                <w:rFonts w:ascii="Arial Unicode MS" w:eastAsia="Arial Unicode MS" w:hAnsi="Arial Unicode MS"/>
              </w:rPr>
            </w:pPr>
            <w:r>
              <w:t>Washed Apheresis RED BLOOD CELLS</w:t>
            </w:r>
          </w:p>
        </w:tc>
      </w:tr>
      <w:tr w:rsidR="00887834" w:rsidRPr="00887834">
        <w:trPr>
          <w:cantSplit/>
        </w:trPr>
        <w:tc>
          <w:tcPr>
            <w:tcW w:w="2160" w:type="dxa"/>
            <w:vMerge/>
            <w:shd w:val="clear" w:color="auto" w:fill="auto"/>
            <w:vAlign w:val="center"/>
          </w:tcPr>
          <w:p w:rsidR="002548EA" w:rsidRPr="00E71E58" w:rsidRDefault="002548EA" w:rsidP="002548EA">
            <w:pPr>
              <w:pStyle w:val="TableText"/>
            </w:pPr>
          </w:p>
        </w:tc>
        <w:tc>
          <w:tcPr>
            <w:tcW w:w="720" w:type="dxa"/>
            <w:shd w:val="clear" w:color="auto" w:fill="auto"/>
            <w:vAlign w:val="bottom"/>
          </w:tcPr>
          <w:p w:rsidR="002548EA" w:rsidRPr="00887834" w:rsidRDefault="002548EA" w:rsidP="002548EA">
            <w:pPr>
              <w:pStyle w:val="TableText"/>
              <w:rPr>
                <w:rFonts w:ascii="Arial Unicode MS" w:eastAsia="Arial Unicode MS" w:hAnsi="Arial Unicode MS"/>
              </w:rPr>
            </w:pPr>
            <w:r>
              <w:t>E050</w:t>
            </w:r>
          </w:p>
        </w:tc>
        <w:tc>
          <w:tcPr>
            <w:tcW w:w="2160" w:type="dxa"/>
            <w:shd w:val="clear" w:color="auto" w:fill="auto"/>
            <w:vAlign w:val="bottom"/>
          </w:tcPr>
          <w:p w:rsidR="002548EA" w:rsidRPr="00887834" w:rsidRDefault="002548EA" w:rsidP="002548EA">
            <w:pPr>
              <w:pStyle w:val="TableText"/>
              <w:rPr>
                <w:rFonts w:ascii="Arial Unicode MS" w:eastAsia="Arial Unicode MS" w:hAnsi="Arial Unicode MS"/>
              </w:rPr>
            </w:pPr>
            <w:r>
              <w:t>RBC_AFR_Froz</w:t>
            </w:r>
          </w:p>
        </w:tc>
        <w:tc>
          <w:tcPr>
            <w:tcW w:w="4320" w:type="dxa"/>
            <w:shd w:val="clear" w:color="auto" w:fill="auto"/>
            <w:vAlign w:val="bottom"/>
          </w:tcPr>
          <w:p w:rsidR="002548EA" w:rsidRPr="00887834" w:rsidRDefault="002548EA" w:rsidP="002548EA">
            <w:pPr>
              <w:pStyle w:val="TableText"/>
              <w:rPr>
                <w:rFonts w:ascii="Arial Unicode MS" w:eastAsia="Arial Unicode MS" w:hAnsi="Arial Unicode MS"/>
              </w:rPr>
            </w:pPr>
            <w:r>
              <w:t>Frozen Apheresis RED BLOOD CELLS</w:t>
            </w:r>
          </w:p>
        </w:tc>
      </w:tr>
      <w:tr w:rsidR="002548EA" w:rsidRPr="00887834">
        <w:trPr>
          <w:cantSplit/>
        </w:trPr>
        <w:tc>
          <w:tcPr>
            <w:tcW w:w="2160" w:type="dxa"/>
            <w:vMerge/>
            <w:shd w:val="clear" w:color="auto" w:fill="auto"/>
            <w:vAlign w:val="center"/>
          </w:tcPr>
          <w:p w:rsidR="002548EA" w:rsidRPr="00E71E58" w:rsidRDefault="002548EA" w:rsidP="002548EA">
            <w:pPr>
              <w:pStyle w:val="TableText"/>
            </w:pPr>
          </w:p>
        </w:tc>
        <w:tc>
          <w:tcPr>
            <w:tcW w:w="720" w:type="dxa"/>
            <w:shd w:val="clear" w:color="auto" w:fill="auto"/>
            <w:vAlign w:val="bottom"/>
          </w:tcPr>
          <w:p w:rsidR="002548EA" w:rsidRPr="00887834" w:rsidRDefault="002548EA" w:rsidP="002548EA">
            <w:pPr>
              <w:pStyle w:val="TableText"/>
              <w:rPr>
                <w:rFonts w:eastAsia="Arial Unicode MS"/>
              </w:rPr>
            </w:pPr>
            <w:r w:rsidRPr="00DF14C5">
              <w:t>E051</w:t>
            </w:r>
          </w:p>
        </w:tc>
        <w:tc>
          <w:tcPr>
            <w:tcW w:w="2160" w:type="dxa"/>
            <w:shd w:val="clear" w:color="auto" w:fill="auto"/>
            <w:vAlign w:val="bottom"/>
          </w:tcPr>
          <w:p w:rsidR="002548EA" w:rsidRPr="00887834" w:rsidRDefault="002548EA" w:rsidP="002548EA">
            <w:pPr>
              <w:pStyle w:val="TableText"/>
              <w:rPr>
                <w:rFonts w:eastAsia="Arial Unicode MS"/>
              </w:rPr>
            </w:pPr>
            <w:r w:rsidRPr="00DF14C5">
              <w:t>RBC_</w:t>
            </w:r>
            <w:r>
              <w:t>AFR</w:t>
            </w:r>
            <w:r w:rsidRPr="00DF14C5">
              <w:t>_Deg</w:t>
            </w:r>
          </w:p>
        </w:tc>
        <w:tc>
          <w:tcPr>
            <w:tcW w:w="4320" w:type="dxa"/>
            <w:shd w:val="clear" w:color="auto" w:fill="auto"/>
            <w:vAlign w:val="bottom"/>
          </w:tcPr>
          <w:p w:rsidR="002548EA" w:rsidRPr="00887834" w:rsidRDefault="002548EA" w:rsidP="002548EA">
            <w:pPr>
              <w:pStyle w:val="TableText"/>
              <w:rPr>
                <w:rFonts w:eastAsia="Arial Unicode MS"/>
              </w:rPr>
            </w:pPr>
            <w:r w:rsidRPr="00DF14C5">
              <w:t xml:space="preserve">Deglycerolized </w:t>
            </w:r>
            <w:r>
              <w:t>Apheresis</w:t>
            </w:r>
            <w:r w:rsidRPr="00DF14C5">
              <w:t xml:space="preserve"> RED BLOOD CELLS</w:t>
            </w:r>
          </w:p>
        </w:tc>
      </w:tr>
      <w:tr w:rsidR="002548EA" w:rsidRPr="00DF14C5">
        <w:trPr>
          <w:cantSplit/>
        </w:trPr>
        <w:tc>
          <w:tcPr>
            <w:tcW w:w="2160" w:type="dxa"/>
            <w:vMerge/>
            <w:shd w:val="clear" w:color="auto" w:fill="auto"/>
            <w:vAlign w:val="center"/>
          </w:tcPr>
          <w:p w:rsidR="002548EA" w:rsidRPr="00E71E58" w:rsidRDefault="002548EA" w:rsidP="002548EA">
            <w:pPr>
              <w:pStyle w:val="TableText"/>
            </w:pPr>
          </w:p>
        </w:tc>
        <w:tc>
          <w:tcPr>
            <w:tcW w:w="720" w:type="dxa"/>
            <w:shd w:val="clear" w:color="auto" w:fill="auto"/>
            <w:vAlign w:val="bottom"/>
          </w:tcPr>
          <w:p w:rsidR="002548EA" w:rsidRPr="00DF14C5" w:rsidRDefault="002548EA" w:rsidP="002548EA">
            <w:pPr>
              <w:pStyle w:val="TableText"/>
            </w:pPr>
            <w:r w:rsidRPr="00DF14C5">
              <w:t>E052</w:t>
            </w:r>
          </w:p>
        </w:tc>
        <w:tc>
          <w:tcPr>
            <w:tcW w:w="2160" w:type="dxa"/>
            <w:shd w:val="clear" w:color="auto" w:fill="auto"/>
            <w:vAlign w:val="bottom"/>
          </w:tcPr>
          <w:p w:rsidR="002548EA" w:rsidRPr="00DF14C5" w:rsidRDefault="002548EA" w:rsidP="002548EA">
            <w:pPr>
              <w:pStyle w:val="TableText"/>
            </w:pPr>
            <w:r w:rsidRPr="00DF14C5">
              <w:t>RBC_</w:t>
            </w:r>
            <w:r>
              <w:t>AFR</w:t>
            </w:r>
            <w:r w:rsidRPr="00DF14C5">
              <w:t>_Rej</w:t>
            </w:r>
          </w:p>
        </w:tc>
        <w:tc>
          <w:tcPr>
            <w:tcW w:w="4320" w:type="dxa"/>
            <w:shd w:val="clear" w:color="auto" w:fill="auto"/>
            <w:vAlign w:val="bottom"/>
          </w:tcPr>
          <w:p w:rsidR="002548EA" w:rsidRPr="00DF14C5" w:rsidRDefault="002548EA" w:rsidP="002548EA">
            <w:pPr>
              <w:pStyle w:val="TableText"/>
            </w:pPr>
            <w:r w:rsidRPr="00DF14C5">
              <w:t>Rejuvenated Apheresis RED BLOOD CELLS</w:t>
            </w:r>
          </w:p>
        </w:tc>
      </w:tr>
      <w:tr w:rsidR="002548EA" w:rsidRPr="00DF14C5">
        <w:trPr>
          <w:cantSplit/>
        </w:trPr>
        <w:tc>
          <w:tcPr>
            <w:tcW w:w="2160" w:type="dxa"/>
            <w:vMerge/>
            <w:shd w:val="clear" w:color="auto" w:fill="auto"/>
            <w:vAlign w:val="center"/>
          </w:tcPr>
          <w:p w:rsidR="002548EA" w:rsidRPr="00E71E58" w:rsidRDefault="002548EA" w:rsidP="002548EA">
            <w:pPr>
              <w:pStyle w:val="TableText"/>
            </w:pPr>
          </w:p>
        </w:tc>
        <w:tc>
          <w:tcPr>
            <w:tcW w:w="720" w:type="dxa"/>
            <w:shd w:val="clear" w:color="auto" w:fill="auto"/>
            <w:vAlign w:val="bottom"/>
          </w:tcPr>
          <w:p w:rsidR="002548EA" w:rsidRPr="00DF14C5" w:rsidRDefault="002548EA" w:rsidP="002548EA">
            <w:pPr>
              <w:pStyle w:val="TableText"/>
            </w:pPr>
            <w:r w:rsidRPr="00DF14C5">
              <w:t>E053</w:t>
            </w:r>
          </w:p>
        </w:tc>
        <w:tc>
          <w:tcPr>
            <w:tcW w:w="2160" w:type="dxa"/>
            <w:shd w:val="clear" w:color="auto" w:fill="auto"/>
            <w:vAlign w:val="bottom"/>
          </w:tcPr>
          <w:p w:rsidR="002548EA" w:rsidRPr="00DF14C5" w:rsidRDefault="002548EA" w:rsidP="002548EA">
            <w:pPr>
              <w:pStyle w:val="TableText"/>
            </w:pPr>
            <w:r w:rsidRPr="00DF14C5">
              <w:t>RBC_</w:t>
            </w:r>
            <w:r>
              <w:t>AFR</w:t>
            </w:r>
            <w:r w:rsidRPr="00DF14C5">
              <w:t>_Froz_Rej</w:t>
            </w:r>
          </w:p>
        </w:tc>
        <w:tc>
          <w:tcPr>
            <w:tcW w:w="4320" w:type="dxa"/>
            <w:shd w:val="clear" w:color="auto" w:fill="auto"/>
            <w:vAlign w:val="bottom"/>
          </w:tcPr>
          <w:p w:rsidR="002548EA" w:rsidRPr="00DF14C5" w:rsidRDefault="002548EA" w:rsidP="002548EA">
            <w:pPr>
              <w:pStyle w:val="TableText"/>
            </w:pPr>
            <w:r w:rsidRPr="00DF14C5">
              <w:t>Frozen Rejuvenated Apheresis RED BLOOD CELLS</w:t>
            </w:r>
          </w:p>
        </w:tc>
      </w:tr>
      <w:tr w:rsidR="002548EA" w:rsidRPr="00887834">
        <w:trPr>
          <w:cantSplit/>
        </w:trPr>
        <w:tc>
          <w:tcPr>
            <w:tcW w:w="2160" w:type="dxa"/>
            <w:vMerge/>
            <w:shd w:val="clear" w:color="auto" w:fill="auto"/>
            <w:vAlign w:val="center"/>
          </w:tcPr>
          <w:p w:rsidR="002548EA" w:rsidRPr="00E71E58" w:rsidRDefault="002548EA" w:rsidP="002548EA">
            <w:pPr>
              <w:pStyle w:val="TableText"/>
            </w:pPr>
          </w:p>
        </w:tc>
        <w:tc>
          <w:tcPr>
            <w:tcW w:w="720" w:type="dxa"/>
            <w:shd w:val="clear" w:color="auto" w:fill="auto"/>
            <w:vAlign w:val="bottom"/>
          </w:tcPr>
          <w:p w:rsidR="002548EA" w:rsidRPr="00887834" w:rsidRDefault="002548EA" w:rsidP="002548EA">
            <w:pPr>
              <w:pStyle w:val="TableText"/>
              <w:rPr>
                <w:rFonts w:eastAsia="Arial Unicode MS"/>
              </w:rPr>
            </w:pPr>
            <w:r w:rsidRPr="00887834">
              <w:rPr>
                <w:rFonts w:eastAsia="Arial Unicode MS"/>
              </w:rPr>
              <w:t>E054</w:t>
            </w:r>
          </w:p>
        </w:tc>
        <w:tc>
          <w:tcPr>
            <w:tcW w:w="2160" w:type="dxa"/>
            <w:shd w:val="clear" w:color="auto" w:fill="auto"/>
            <w:vAlign w:val="bottom"/>
          </w:tcPr>
          <w:p w:rsidR="002548EA" w:rsidRPr="00887834" w:rsidRDefault="002548EA" w:rsidP="002548EA">
            <w:pPr>
              <w:pStyle w:val="TableText"/>
              <w:rPr>
                <w:rFonts w:eastAsia="Arial Unicode MS"/>
              </w:rPr>
            </w:pPr>
            <w:r w:rsidRPr="00DF14C5">
              <w:t>RBC_</w:t>
            </w:r>
            <w:r>
              <w:t>AFR</w:t>
            </w:r>
            <w:r w:rsidRPr="00DF14C5">
              <w:t>_Deg_Rej</w:t>
            </w:r>
          </w:p>
        </w:tc>
        <w:tc>
          <w:tcPr>
            <w:tcW w:w="4320" w:type="dxa"/>
            <w:shd w:val="clear" w:color="auto" w:fill="auto"/>
            <w:vAlign w:val="bottom"/>
          </w:tcPr>
          <w:p w:rsidR="002548EA" w:rsidRPr="00887834" w:rsidRDefault="002548EA" w:rsidP="002548EA">
            <w:pPr>
              <w:pStyle w:val="TableText"/>
              <w:rPr>
                <w:rFonts w:eastAsia="Arial Unicode MS"/>
              </w:rPr>
            </w:pPr>
            <w:r w:rsidRPr="00887834">
              <w:rPr>
                <w:rFonts w:eastAsia="Arial Unicode MS"/>
              </w:rPr>
              <w:t>Deglycerolized Rejuvenated Apheresis RED BLOOD CELLS</w:t>
            </w:r>
          </w:p>
        </w:tc>
      </w:tr>
      <w:tr w:rsidR="00887834" w:rsidRPr="00887834">
        <w:trPr>
          <w:cantSplit/>
        </w:trPr>
        <w:tc>
          <w:tcPr>
            <w:tcW w:w="2160" w:type="dxa"/>
            <w:shd w:val="clear" w:color="auto" w:fill="auto"/>
            <w:vAlign w:val="center"/>
          </w:tcPr>
          <w:p w:rsidR="002548EA" w:rsidRPr="00E71E58" w:rsidRDefault="002548EA" w:rsidP="002548EA">
            <w:pPr>
              <w:pStyle w:val="TableText"/>
            </w:pPr>
            <w:r>
              <w:t>WHOLE BLOOD</w:t>
            </w:r>
          </w:p>
        </w:tc>
        <w:tc>
          <w:tcPr>
            <w:tcW w:w="720" w:type="dxa"/>
            <w:shd w:val="clear" w:color="auto" w:fill="auto"/>
            <w:vAlign w:val="bottom"/>
          </w:tcPr>
          <w:p w:rsidR="002548EA" w:rsidRPr="00887834" w:rsidRDefault="002548EA" w:rsidP="002548EA">
            <w:pPr>
              <w:pStyle w:val="TableText"/>
              <w:rPr>
                <w:rFonts w:ascii="Arial Unicode MS" w:eastAsia="Arial Unicode MS" w:hAnsi="Arial Unicode MS"/>
              </w:rPr>
            </w:pPr>
            <w:r>
              <w:t>E001</w:t>
            </w:r>
          </w:p>
        </w:tc>
        <w:tc>
          <w:tcPr>
            <w:tcW w:w="2160" w:type="dxa"/>
            <w:shd w:val="clear" w:color="auto" w:fill="auto"/>
            <w:vAlign w:val="bottom"/>
          </w:tcPr>
          <w:p w:rsidR="002548EA" w:rsidRPr="00887834" w:rsidRDefault="002548EA" w:rsidP="002548EA">
            <w:pPr>
              <w:pStyle w:val="TableText"/>
              <w:rPr>
                <w:rFonts w:ascii="Arial Unicode MS" w:eastAsia="Arial Unicode MS" w:hAnsi="Arial Unicode MS"/>
              </w:rPr>
            </w:pPr>
            <w:r>
              <w:t>WB</w:t>
            </w:r>
          </w:p>
        </w:tc>
        <w:tc>
          <w:tcPr>
            <w:tcW w:w="4320" w:type="dxa"/>
            <w:shd w:val="clear" w:color="auto" w:fill="auto"/>
            <w:vAlign w:val="bottom"/>
          </w:tcPr>
          <w:p w:rsidR="002548EA" w:rsidRPr="00887834" w:rsidRDefault="002548EA" w:rsidP="002548EA">
            <w:pPr>
              <w:pStyle w:val="TableText"/>
              <w:rPr>
                <w:rFonts w:ascii="Arial Unicode MS" w:eastAsia="Arial Unicode MS" w:hAnsi="Arial Unicode MS"/>
              </w:rPr>
            </w:pPr>
            <w:r>
              <w:t>WHOLE BLOOD</w:t>
            </w:r>
          </w:p>
        </w:tc>
      </w:tr>
      <w:tr w:rsidR="004F09C6" w:rsidRPr="00887834">
        <w:trPr>
          <w:cantSplit/>
        </w:trPr>
        <w:tc>
          <w:tcPr>
            <w:tcW w:w="2160" w:type="dxa"/>
            <w:vMerge w:val="restart"/>
            <w:shd w:val="clear" w:color="auto" w:fill="auto"/>
            <w:vAlign w:val="center"/>
          </w:tcPr>
          <w:p w:rsidR="004F09C6" w:rsidRPr="00E71E58" w:rsidRDefault="004F09C6" w:rsidP="002548EA">
            <w:pPr>
              <w:pStyle w:val="TableText"/>
            </w:pPr>
            <w:r>
              <w:t>PLATELETS</w:t>
            </w:r>
          </w:p>
        </w:tc>
        <w:tc>
          <w:tcPr>
            <w:tcW w:w="720" w:type="dxa"/>
            <w:shd w:val="clear" w:color="auto" w:fill="auto"/>
            <w:vAlign w:val="bottom"/>
          </w:tcPr>
          <w:p w:rsidR="004F09C6" w:rsidRPr="00887834" w:rsidRDefault="004F09C6" w:rsidP="002548EA">
            <w:pPr>
              <w:pStyle w:val="TableText"/>
              <w:rPr>
                <w:rFonts w:ascii="Arial Unicode MS" w:eastAsia="Arial Unicode MS" w:hAnsi="Arial Unicode MS"/>
              </w:rPr>
            </w:pPr>
            <w:r>
              <w:t>E020</w:t>
            </w:r>
          </w:p>
        </w:tc>
        <w:tc>
          <w:tcPr>
            <w:tcW w:w="2160" w:type="dxa"/>
            <w:shd w:val="clear" w:color="auto" w:fill="auto"/>
            <w:vAlign w:val="bottom"/>
          </w:tcPr>
          <w:p w:rsidR="004F09C6" w:rsidRPr="00887834" w:rsidRDefault="004F09C6" w:rsidP="002548EA">
            <w:pPr>
              <w:pStyle w:val="TableText"/>
              <w:rPr>
                <w:rFonts w:ascii="Arial Unicode MS" w:eastAsia="Arial Unicode MS" w:hAnsi="Arial Unicode MS"/>
              </w:rPr>
            </w:pPr>
            <w:r>
              <w:t>PLT</w:t>
            </w:r>
          </w:p>
        </w:tc>
        <w:tc>
          <w:tcPr>
            <w:tcW w:w="4320" w:type="dxa"/>
            <w:shd w:val="clear" w:color="auto" w:fill="auto"/>
            <w:vAlign w:val="bottom"/>
          </w:tcPr>
          <w:p w:rsidR="004F09C6" w:rsidRPr="00887834" w:rsidRDefault="004F09C6" w:rsidP="002548EA">
            <w:pPr>
              <w:pStyle w:val="TableText"/>
              <w:rPr>
                <w:rFonts w:ascii="Arial Unicode MS" w:eastAsia="Arial Unicode MS" w:hAnsi="Arial Unicode MS"/>
              </w:rPr>
            </w:pPr>
            <w:r>
              <w:t>PLATELETS</w:t>
            </w:r>
          </w:p>
        </w:tc>
      </w:tr>
      <w:tr w:rsidR="004F09C6" w:rsidRPr="00887834">
        <w:trPr>
          <w:cantSplit/>
        </w:trPr>
        <w:tc>
          <w:tcPr>
            <w:tcW w:w="2160" w:type="dxa"/>
            <w:vMerge/>
            <w:shd w:val="clear" w:color="auto" w:fill="auto"/>
            <w:vAlign w:val="center"/>
          </w:tcPr>
          <w:p w:rsidR="004F09C6" w:rsidRPr="00E71E58" w:rsidRDefault="004F09C6" w:rsidP="002548EA">
            <w:pPr>
              <w:pStyle w:val="TableText"/>
            </w:pPr>
          </w:p>
        </w:tc>
        <w:tc>
          <w:tcPr>
            <w:tcW w:w="720" w:type="dxa"/>
            <w:shd w:val="clear" w:color="auto" w:fill="auto"/>
            <w:vAlign w:val="bottom"/>
          </w:tcPr>
          <w:p w:rsidR="004F09C6" w:rsidRPr="00887834" w:rsidRDefault="004F09C6" w:rsidP="002548EA">
            <w:pPr>
              <w:pStyle w:val="TableText"/>
              <w:rPr>
                <w:rFonts w:ascii="Arial Unicode MS" w:eastAsia="Arial Unicode MS" w:hAnsi="Arial Unicode MS"/>
              </w:rPr>
            </w:pPr>
            <w:r>
              <w:t>E021</w:t>
            </w:r>
          </w:p>
        </w:tc>
        <w:tc>
          <w:tcPr>
            <w:tcW w:w="2160" w:type="dxa"/>
            <w:shd w:val="clear" w:color="auto" w:fill="auto"/>
            <w:vAlign w:val="bottom"/>
          </w:tcPr>
          <w:p w:rsidR="004F09C6" w:rsidRPr="00887834" w:rsidRDefault="004F09C6" w:rsidP="002548EA">
            <w:pPr>
              <w:pStyle w:val="TableText"/>
              <w:rPr>
                <w:rFonts w:ascii="Arial Unicode MS" w:eastAsia="Arial Unicode MS" w:hAnsi="Arial Unicode MS"/>
              </w:rPr>
            </w:pPr>
            <w:r>
              <w:t>PLT_Wash</w:t>
            </w:r>
          </w:p>
        </w:tc>
        <w:tc>
          <w:tcPr>
            <w:tcW w:w="4320" w:type="dxa"/>
            <w:shd w:val="clear" w:color="auto" w:fill="auto"/>
            <w:vAlign w:val="bottom"/>
          </w:tcPr>
          <w:p w:rsidR="004F09C6" w:rsidRPr="00887834" w:rsidRDefault="004F09C6" w:rsidP="002548EA">
            <w:pPr>
              <w:pStyle w:val="TableText"/>
              <w:rPr>
                <w:rFonts w:ascii="Arial Unicode MS" w:eastAsia="Arial Unicode MS" w:hAnsi="Arial Unicode MS"/>
              </w:rPr>
            </w:pPr>
            <w:r>
              <w:t>Washed PLATELETS</w:t>
            </w:r>
          </w:p>
        </w:tc>
      </w:tr>
      <w:tr w:rsidR="004F09C6" w:rsidRPr="00887834">
        <w:trPr>
          <w:cantSplit/>
        </w:trPr>
        <w:tc>
          <w:tcPr>
            <w:tcW w:w="2160" w:type="dxa"/>
            <w:vMerge/>
            <w:shd w:val="clear" w:color="auto" w:fill="auto"/>
            <w:vAlign w:val="center"/>
          </w:tcPr>
          <w:p w:rsidR="004F09C6" w:rsidRPr="00E71E58" w:rsidRDefault="004F09C6" w:rsidP="002548EA">
            <w:pPr>
              <w:pStyle w:val="TableText"/>
            </w:pPr>
          </w:p>
        </w:tc>
        <w:tc>
          <w:tcPr>
            <w:tcW w:w="720" w:type="dxa"/>
            <w:shd w:val="clear" w:color="auto" w:fill="auto"/>
            <w:vAlign w:val="bottom"/>
          </w:tcPr>
          <w:p w:rsidR="004F09C6" w:rsidRPr="00887834" w:rsidRDefault="004F09C6" w:rsidP="002548EA">
            <w:pPr>
              <w:pStyle w:val="TableText"/>
              <w:rPr>
                <w:rFonts w:ascii="Arial Unicode MS" w:eastAsia="Arial Unicode MS" w:hAnsi="Arial Unicode MS"/>
              </w:rPr>
            </w:pPr>
            <w:r>
              <w:t>E022</w:t>
            </w:r>
          </w:p>
        </w:tc>
        <w:tc>
          <w:tcPr>
            <w:tcW w:w="2160" w:type="dxa"/>
            <w:shd w:val="clear" w:color="auto" w:fill="auto"/>
            <w:vAlign w:val="bottom"/>
          </w:tcPr>
          <w:p w:rsidR="004F09C6" w:rsidRPr="00887834" w:rsidRDefault="004F09C6" w:rsidP="002548EA">
            <w:pPr>
              <w:pStyle w:val="TableText"/>
              <w:rPr>
                <w:rFonts w:ascii="Arial Unicode MS" w:eastAsia="Arial Unicode MS" w:hAnsi="Arial Unicode MS"/>
              </w:rPr>
            </w:pPr>
            <w:r>
              <w:t>PLT_Pool</w:t>
            </w:r>
          </w:p>
        </w:tc>
        <w:tc>
          <w:tcPr>
            <w:tcW w:w="4320" w:type="dxa"/>
            <w:shd w:val="clear" w:color="auto" w:fill="auto"/>
            <w:vAlign w:val="bottom"/>
          </w:tcPr>
          <w:p w:rsidR="004F09C6" w:rsidRPr="00887834" w:rsidRDefault="004F09C6" w:rsidP="002548EA">
            <w:pPr>
              <w:pStyle w:val="TableText"/>
              <w:rPr>
                <w:rFonts w:ascii="Arial Unicode MS" w:eastAsia="Arial Unicode MS" w:hAnsi="Arial Unicode MS"/>
              </w:rPr>
            </w:pPr>
            <w:r>
              <w:t>POOLED PLATELETS</w:t>
            </w:r>
          </w:p>
        </w:tc>
      </w:tr>
      <w:tr w:rsidR="004F09C6" w:rsidRPr="00887834">
        <w:trPr>
          <w:cantSplit/>
        </w:trPr>
        <w:tc>
          <w:tcPr>
            <w:tcW w:w="2160" w:type="dxa"/>
            <w:vMerge/>
            <w:shd w:val="clear" w:color="auto" w:fill="auto"/>
            <w:vAlign w:val="center"/>
          </w:tcPr>
          <w:p w:rsidR="004F09C6" w:rsidRPr="00E71E58" w:rsidRDefault="004F09C6" w:rsidP="002548EA">
            <w:pPr>
              <w:pStyle w:val="TableText"/>
            </w:pPr>
          </w:p>
        </w:tc>
        <w:tc>
          <w:tcPr>
            <w:tcW w:w="720" w:type="dxa"/>
            <w:shd w:val="clear" w:color="auto" w:fill="auto"/>
            <w:vAlign w:val="bottom"/>
          </w:tcPr>
          <w:p w:rsidR="004F09C6" w:rsidRPr="00887834" w:rsidRDefault="004F09C6" w:rsidP="002548EA">
            <w:pPr>
              <w:pStyle w:val="TableText"/>
              <w:rPr>
                <w:rFonts w:ascii="Arial Unicode MS" w:eastAsia="Arial Unicode MS" w:hAnsi="Arial Unicode MS"/>
              </w:rPr>
            </w:pPr>
            <w:r>
              <w:t>E023</w:t>
            </w:r>
          </w:p>
        </w:tc>
        <w:tc>
          <w:tcPr>
            <w:tcW w:w="2160" w:type="dxa"/>
            <w:shd w:val="clear" w:color="auto" w:fill="auto"/>
            <w:vAlign w:val="bottom"/>
          </w:tcPr>
          <w:p w:rsidR="004F09C6" w:rsidRPr="00887834" w:rsidRDefault="004F09C6" w:rsidP="002548EA">
            <w:pPr>
              <w:pStyle w:val="TableText"/>
              <w:rPr>
                <w:rFonts w:ascii="Arial Unicode MS" w:eastAsia="Arial Unicode MS" w:hAnsi="Arial Unicode MS"/>
              </w:rPr>
            </w:pPr>
            <w:r>
              <w:t>PLT_Pool_Wash</w:t>
            </w:r>
          </w:p>
        </w:tc>
        <w:tc>
          <w:tcPr>
            <w:tcW w:w="4320" w:type="dxa"/>
            <w:shd w:val="clear" w:color="auto" w:fill="auto"/>
            <w:vAlign w:val="bottom"/>
          </w:tcPr>
          <w:p w:rsidR="004F09C6" w:rsidRPr="00887834" w:rsidRDefault="004F09C6" w:rsidP="002548EA">
            <w:pPr>
              <w:pStyle w:val="TableText"/>
              <w:rPr>
                <w:rFonts w:ascii="Arial Unicode MS" w:eastAsia="Arial Unicode MS" w:hAnsi="Arial Unicode MS"/>
              </w:rPr>
            </w:pPr>
            <w:r>
              <w:t>Washed POOLED PLATELETS</w:t>
            </w:r>
          </w:p>
        </w:tc>
      </w:tr>
      <w:tr w:rsidR="004F09C6" w:rsidRPr="00887834">
        <w:trPr>
          <w:cantSplit/>
        </w:trPr>
        <w:tc>
          <w:tcPr>
            <w:tcW w:w="2160" w:type="dxa"/>
            <w:vMerge/>
            <w:shd w:val="clear" w:color="auto" w:fill="auto"/>
            <w:vAlign w:val="center"/>
          </w:tcPr>
          <w:p w:rsidR="004F09C6" w:rsidRPr="00E71E58" w:rsidRDefault="004F09C6" w:rsidP="002548EA">
            <w:pPr>
              <w:pStyle w:val="TableText"/>
            </w:pPr>
          </w:p>
        </w:tc>
        <w:tc>
          <w:tcPr>
            <w:tcW w:w="720" w:type="dxa"/>
            <w:shd w:val="clear" w:color="auto" w:fill="auto"/>
            <w:vAlign w:val="bottom"/>
          </w:tcPr>
          <w:p w:rsidR="004F09C6" w:rsidRPr="00887834" w:rsidRDefault="004F09C6" w:rsidP="002548EA">
            <w:pPr>
              <w:pStyle w:val="TableText"/>
              <w:rPr>
                <w:rFonts w:ascii="Arial Unicode MS" w:eastAsia="Arial Unicode MS" w:hAnsi="Arial Unicode MS"/>
              </w:rPr>
            </w:pPr>
            <w:r>
              <w:t>E024</w:t>
            </w:r>
          </w:p>
        </w:tc>
        <w:tc>
          <w:tcPr>
            <w:tcW w:w="2160" w:type="dxa"/>
            <w:shd w:val="clear" w:color="auto" w:fill="auto"/>
            <w:vAlign w:val="bottom"/>
          </w:tcPr>
          <w:p w:rsidR="004F09C6" w:rsidRPr="00887834" w:rsidRDefault="004F09C6" w:rsidP="002548EA">
            <w:pPr>
              <w:pStyle w:val="TableText"/>
              <w:rPr>
                <w:rFonts w:ascii="Arial Unicode MS" w:eastAsia="Arial Unicode MS" w:hAnsi="Arial Unicode MS"/>
              </w:rPr>
            </w:pPr>
            <w:r>
              <w:t>PLT_AFR</w:t>
            </w:r>
          </w:p>
        </w:tc>
        <w:tc>
          <w:tcPr>
            <w:tcW w:w="4320" w:type="dxa"/>
            <w:shd w:val="clear" w:color="auto" w:fill="auto"/>
            <w:vAlign w:val="bottom"/>
          </w:tcPr>
          <w:p w:rsidR="004F09C6" w:rsidRPr="00887834" w:rsidRDefault="004F09C6" w:rsidP="002548EA">
            <w:pPr>
              <w:pStyle w:val="TableText"/>
              <w:rPr>
                <w:rFonts w:ascii="Arial Unicode MS" w:eastAsia="Arial Unicode MS" w:hAnsi="Arial Unicode MS"/>
              </w:rPr>
            </w:pPr>
            <w:r>
              <w:t>Apheresis PLATELETS</w:t>
            </w:r>
          </w:p>
        </w:tc>
      </w:tr>
      <w:tr w:rsidR="004F09C6" w:rsidRPr="00887834">
        <w:trPr>
          <w:cantSplit/>
        </w:trPr>
        <w:tc>
          <w:tcPr>
            <w:tcW w:w="2160" w:type="dxa"/>
            <w:vMerge/>
            <w:shd w:val="clear" w:color="auto" w:fill="auto"/>
            <w:vAlign w:val="center"/>
          </w:tcPr>
          <w:p w:rsidR="004F09C6" w:rsidRPr="00E71E58" w:rsidRDefault="004F09C6" w:rsidP="002548EA">
            <w:pPr>
              <w:pStyle w:val="TableText"/>
            </w:pPr>
          </w:p>
        </w:tc>
        <w:tc>
          <w:tcPr>
            <w:tcW w:w="720" w:type="dxa"/>
            <w:shd w:val="clear" w:color="auto" w:fill="auto"/>
            <w:vAlign w:val="bottom"/>
          </w:tcPr>
          <w:p w:rsidR="004F09C6" w:rsidRPr="00887834" w:rsidRDefault="004F09C6" w:rsidP="002548EA">
            <w:pPr>
              <w:pStyle w:val="TableText"/>
              <w:rPr>
                <w:rFonts w:ascii="Arial Unicode MS" w:eastAsia="Arial Unicode MS" w:hAnsi="Arial Unicode MS"/>
              </w:rPr>
            </w:pPr>
            <w:r>
              <w:t>E025</w:t>
            </w:r>
          </w:p>
        </w:tc>
        <w:tc>
          <w:tcPr>
            <w:tcW w:w="2160" w:type="dxa"/>
            <w:shd w:val="clear" w:color="auto" w:fill="auto"/>
            <w:vAlign w:val="bottom"/>
          </w:tcPr>
          <w:p w:rsidR="004F09C6" w:rsidRPr="00887834" w:rsidRDefault="004F09C6" w:rsidP="002548EA">
            <w:pPr>
              <w:pStyle w:val="TableText"/>
              <w:rPr>
                <w:rFonts w:ascii="Arial Unicode MS" w:eastAsia="Arial Unicode MS" w:hAnsi="Arial Unicode MS"/>
              </w:rPr>
            </w:pPr>
            <w:r>
              <w:t>PLT_AFR_Froz</w:t>
            </w:r>
          </w:p>
        </w:tc>
        <w:tc>
          <w:tcPr>
            <w:tcW w:w="4320" w:type="dxa"/>
            <w:shd w:val="clear" w:color="auto" w:fill="auto"/>
            <w:vAlign w:val="bottom"/>
          </w:tcPr>
          <w:p w:rsidR="004F09C6" w:rsidRPr="00887834" w:rsidRDefault="004F09C6" w:rsidP="002548EA">
            <w:pPr>
              <w:pStyle w:val="TableText"/>
              <w:rPr>
                <w:rFonts w:ascii="Arial Unicode MS" w:eastAsia="Arial Unicode MS" w:hAnsi="Arial Unicode MS"/>
              </w:rPr>
            </w:pPr>
            <w:r>
              <w:t>Frozen Apheresis PLATELETS</w:t>
            </w:r>
          </w:p>
        </w:tc>
      </w:tr>
      <w:tr w:rsidR="004F09C6" w:rsidRPr="00887834">
        <w:trPr>
          <w:cantSplit/>
        </w:trPr>
        <w:tc>
          <w:tcPr>
            <w:tcW w:w="2160" w:type="dxa"/>
            <w:vMerge/>
            <w:shd w:val="clear" w:color="auto" w:fill="auto"/>
            <w:vAlign w:val="center"/>
          </w:tcPr>
          <w:p w:rsidR="004F09C6" w:rsidRPr="00E71E58" w:rsidRDefault="004F09C6" w:rsidP="002548EA">
            <w:pPr>
              <w:pStyle w:val="TableText"/>
            </w:pPr>
          </w:p>
        </w:tc>
        <w:tc>
          <w:tcPr>
            <w:tcW w:w="720" w:type="dxa"/>
            <w:shd w:val="clear" w:color="auto" w:fill="auto"/>
            <w:vAlign w:val="bottom"/>
          </w:tcPr>
          <w:p w:rsidR="004F09C6" w:rsidRPr="00887834" w:rsidRDefault="004F09C6" w:rsidP="002548EA">
            <w:pPr>
              <w:pStyle w:val="TableText"/>
              <w:rPr>
                <w:rFonts w:ascii="Arial Unicode MS" w:eastAsia="Arial Unicode MS" w:hAnsi="Arial Unicode MS"/>
              </w:rPr>
            </w:pPr>
            <w:r>
              <w:t>E026</w:t>
            </w:r>
          </w:p>
        </w:tc>
        <w:tc>
          <w:tcPr>
            <w:tcW w:w="2160" w:type="dxa"/>
            <w:shd w:val="clear" w:color="auto" w:fill="auto"/>
            <w:vAlign w:val="bottom"/>
          </w:tcPr>
          <w:p w:rsidR="004F09C6" w:rsidRPr="00887834" w:rsidRDefault="004F09C6" w:rsidP="002548EA">
            <w:pPr>
              <w:pStyle w:val="TableText"/>
              <w:rPr>
                <w:rFonts w:ascii="Arial Unicode MS" w:eastAsia="Arial Unicode MS" w:hAnsi="Arial Unicode MS"/>
              </w:rPr>
            </w:pPr>
            <w:r>
              <w:t>PLT_AFR_Thaw</w:t>
            </w:r>
          </w:p>
        </w:tc>
        <w:tc>
          <w:tcPr>
            <w:tcW w:w="4320" w:type="dxa"/>
            <w:shd w:val="clear" w:color="auto" w:fill="auto"/>
            <w:vAlign w:val="bottom"/>
          </w:tcPr>
          <w:p w:rsidR="004F09C6" w:rsidRPr="00887834" w:rsidRDefault="004F09C6" w:rsidP="002548EA">
            <w:pPr>
              <w:pStyle w:val="TableText"/>
              <w:rPr>
                <w:rFonts w:ascii="Arial Unicode MS" w:eastAsia="Arial Unicode MS" w:hAnsi="Arial Unicode MS"/>
              </w:rPr>
            </w:pPr>
            <w:r>
              <w:t>Thawed Apheresis PLATELETS</w:t>
            </w:r>
          </w:p>
        </w:tc>
      </w:tr>
      <w:tr w:rsidR="004F09C6" w:rsidRPr="00887834">
        <w:trPr>
          <w:cantSplit/>
        </w:trPr>
        <w:tc>
          <w:tcPr>
            <w:tcW w:w="2160" w:type="dxa"/>
            <w:vMerge/>
            <w:shd w:val="clear" w:color="auto" w:fill="auto"/>
            <w:vAlign w:val="center"/>
          </w:tcPr>
          <w:p w:rsidR="004F09C6" w:rsidRPr="00E71E58" w:rsidRDefault="004F09C6" w:rsidP="002548EA">
            <w:pPr>
              <w:pStyle w:val="TableText"/>
            </w:pPr>
          </w:p>
        </w:tc>
        <w:tc>
          <w:tcPr>
            <w:tcW w:w="720" w:type="dxa"/>
            <w:shd w:val="clear" w:color="auto" w:fill="auto"/>
            <w:vAlign w:val="bottom"/>
          </w:tcPr>
          <w:p w:rsidR="004F09C6" w:rsidRPr="00887834" w:rsidRDefault="004F09C6" w:rsidP="002548EA">
            <w:pPr>
              <w:pStyle w:val="TableText"/>
              <w:rPr>
                <w:rFonts w:ascii="Arial Unicode MS" w:eastAsia="Arial Unicode MS" w:hAnsi="Arial Unicode MS"/>
              </w:rPr>
            </w:pPr>
            <w:r>
              <w:t>E027</w:t>
            </w:r>
          </w:p>
        </w:tc>
        <w:tc>
          <w:tcPr>
            <w:tcW w:w="2160" w:type="dxa"/>
            <w:shd w:val="clear" w:color="auto" w:fill="auto"/>
            <w:vAlign w:val="bottom"/>
          </w:tcPr>
          <w:p w:rsidR="004F09C6" w:rsidRPr="00887834" w:rsidRDefault="004F09C6" w:rsidP="002548EA">
            <w:pPr>
              <w:pStyle w:val="TableText"/>
              <w:rPr>
                <w:rFonts w:ascii="Arial Unicode MS" w:eastAsia="Arial Unicode MS" w:hAnsi="Arial Unicode MS"/>
              </w:rPr>
            </w:pPr>
            <w:r>
              <w:t>PLT_AFR_Wash</w:t>
            </w:r>
          </w:p>
        </w:tc>
        <w:tc>
          <w:tcPr>
            <w:tcW w:w="4320" w:type="dxa"/>
            <w:shd w:val="clear" w:color="auto" w:fill="auto"/>
            <w:vAlign w:val="bottom"/>
          </w:tcPr>
          <w:p w:rsidR="004F09C6" w:rsidRPr="00887834" w:rsidRDefault="004F09C6" w:rsidP="002548EA">
            <w:pPr>
              <w:pStyle w:val="TableText"/>
              <w:rPr>
                <w:rFonts w:ascii="Arial Unicode MS" w:eastAsia="Arial Unicode MS" w:hAnsi="Arial Unicode MS"/>
              </w:rPr>
            </w:pPr>
            <w:r>
              <w:t>Washed Apheresis PLATELETS</w:t>
            </w:r>
          </w:p>
        </w:tc>
      </w:tr>
      <w:tr w:rsidR="003246B1" w:rsidRPr="00887834">
        <w:trPr>
          <w:cantSplit/>
        </w:trPr>
        <w:tc>
          <w:tcPr>
            <w:tcW w:w="2160" w:type="dxa"/>
            <w:vMerge/>
            <w:shd w:val="clear" w:color="auto" w:fill="auto"/>
            <w:vAlign w:val="center"/>
          </w:tcPr>
          <w:p w:rsidR="003246B1" w:rsidRPr="00E71E58" w:rsidRDefault="003246B1" w:rsidP="002548EA">
            <w:pPr>
              <w:pStyle w:val="TableText"/>
            </w:pPr>
          </w:p>
        </w:tc>
        <w:tc>
          <w:tcPr>
            <w:tcW w:w="720" w:type="dxa"/>
            <w:shd w:val="clear" w:color="auto" w:fill="auto"/>
            <w:vAlign w:val="bottom"/>
          </w:tcPr>
          <w:p w:rsidR="003246B1" w:rsidRDefault="003246B1" w:rsidP="002548EA">
            <w:pPr>
              <w:pStyle w:val="TableText"/>
            </w:pPr>
            <w:r>
              <w:t>E060</w:t>
            </w:r>
          </w:p>
        </w:tc>
        <w:tc>
          <w:tcPr>
            <w:tcW w:w="2160" w:type="dxa"/>
            <w:shd w:val="clear" w:color="auto" w:fill="auto"/>
            <w:vAlign w:val="bottom"/>
          </w:tcPr>
          <w:p w:rsidR="003246B1" w:rsidRDefault="003246B1" w:rsidP="002548EA">
            <w:pPr>
              <w:pStyle w:val="TableText"/>
            </w:pPr>
            <w:r>
              <w:t>PLT_Pool_Froz</w:t>
            </w:r>
          </w:p>
        </w:tc>
        <w:tc>
          <w:tcPr>
            <w:tcW w:w="4320" w:type="dxa"/>
            <w:shd w:val="clear" w:color="auto" w:fill="auto"/>
            <w:vAlign w:val="bottom"/>
          </w:tcPr>
          <w:p w:rsidR="003246B1" w:rsidRDefault="003246B1" w:rsidP="003246B1">
            <w:pPr>
              <w:pStyle w:val="TableText"/>
            </w:pPr>
            <w:r>
              <w:t>Frozen POOLED PLATELETS</w:t>
            </w:r>
          </w:p>
        </w:tc>
      </w:tr>
      <w:tr w:rsidR="003246B1" w:rsidRPr="00887834">
        <w:trPr>
          <w:cantSplit/>
        </w:trPr>
        <w:tc>
          <w:tcPr>
            <w:tcW w:w="2160" w:type="dxa"/>
            <w:vMerge/>
            <w:shd w:val="clear" w:color="auto" w:fill="auto"/>
            <w:vAlign w:val="center"/>
          </w:tcPr>
          <w:p w:rsidR="003246B1" w:rsidRPr="00E71E58" w:rsidRDefault="003246B1" w:rsidP="002548EA">
            <w:pPr>
              <w:pStyle w:val="TableText"/>
            </w:pPr>
          </w:p>
        </w:tc>
        <w:tc>
          <w:tcPr>
            <w:tcW w:w="720" w:type="dxa"/>
            <w:shd w:val="clear" w:color="auto" w:fill="auto"/>
            <w:vAlign w:val="bottom"/>
          </w:tcPr>
          <w:p w:rsidR="003246B1" w:rsidRDefault="003246B1" w:rsidP="002548EA">
            <w:pPr>
              <w:pStyle w:val="TableText"/>
            </w:pPr>
            <w:r>
              <w:t>E061</w:t>
            </w:r>
          </w:p>
        </w:tc>
        <w:tc>
          <w:tcPr>
            <w:tcW w:w="2160" w:type="dxa"/>
            <w:shd w:val="clear" w:color="auto" w:fill="auto"/>
            <w:vAlign w:val="bottom"/>
          </w:tcPr>
          <w:p w:rsidR="003246B1" w:rsidRDefault="003246B1" w:rsidP="002548EA">
            <w:pPr>
              <w:pStyle w:val="TableText"/>
            </w:pPr>
            <w:r>
              <w:t>Plt_Pool_Thaw</w:t>
            </w:r>
          </w:p>
        </w:tc>
        <w:tc>
          <w:tcPr>
            <w:tcW w:w="4320" w:type="dxa"/>
            <w:shd w:val="clear" w:color="auto" w:fill="auto"/>
            <w:vAlign w:val="bottom"/>
          </w:tcPr>
          <w:p w:rsidR="003246B1" w:rsidRDefault="003246B1" w:rsidP="003246B1">
            <w:pPr>
              <w:pStyle w:val="TableText"/>
            </w:pPr>
            <w:r>
              <w:t>Thawed POOLED PLATELETS</w:t>
            </w:r>
          </w:p>
        </w:tc>
      </w:tr>
      <w:tr w:rsidR="003246B1" w:rsidRPr="00887834">
        <w:trPr>
          <w:cantSplit/>
        </w:trPr>
        <w:tc>
          <w:tcPr>
            <w:tcW w:w="2160" w:type="dxa"/>
            <w:vMerge/>
            <w:shd w:val="clear" w:color="auto" w:fill="auto"/>
            <w:vAlign w:val="center"/>
          </w:tcPr>
          <w:p w:rsidR="003246B1" w:rsidRPr="00E71E58" w:rsidRDefault="003246B1" w:rsidP="002548EA">
            <w:pPr>
              <w:pStyle w:val="TableText"/>
            </w:pPr>
          </w:p>
        </w:tc>
        <w:tc>
          <w:tcPr>
            <w:tcW w:w="720" w:type="dxa"/>
            <w:shd w:val="clear" w:color="auto" w:fill="auto"/>
            <w:vAlign w:val="bottom"/>
          </w:tcPr>
          <w:p w:rsidR="003246B1" w:rsidRDefault="003246B1" w:rsidP="00342FD6">
            <w:pPr>
              <w:pStyle w:val="TableText"/>
            </w:pPr>
            <w:r>
              <w:t>E064</w:t>
            </w:r>
          </w:p>
        </w:tc>
        <w:tc>
          <w:tcPr>
            <w:tcW w:w="2160" w:type="dxa"/>
            <w:shd w:val="clear" w:color="auto" w:fill="auto"/>
            <w:vAlign w:val="bottom"/>
          </w:tcPr>
          <w:p w:rsidR="003246B1" w:rsidRDefault="003246B1" w:rsidP="00342FD6">
            <w:pPr>
              <w:pStyle w:val="TableText"/>
            </w:pPr>
            <w:r>
              <w:t>PLT_Pool_Thaw_Wash</w:t>
            </w:r>
          </w:p>
        </w:tc>
        <w:tc>
          <w:tcPr>
            <w:tcW w:w="4320" w:type="dxa"/>
            <w:shd w:val="clear" w:color="auto" w:fill="auto"/>
            <w:vAlign w:val="bottom"/>
          </w:tcPr>
          <w:p w:rsidR="003246B1" w:rsidRDefault="003246B1" w:rsidP="00342FD6">
            <w:pPr>
              <w:pStyle w:val="TableText"/>
            </w:pPr>
            <w:r>
              <w:t>Washed Thawed POOLED PLATELETS</w:t>
            </w:r>
          </w:p>
        </w:tc>
      </w:tr>
      <w:tr w:rsidR="003246B1" w:rsidRPr="00887834">
        <w:trPr>
          <w:cantSplit/>
        </w:trPr>
        <w:tc>
          <w:tcPr>
            <w:tcW w:w="2160" w:type="dxa"/>
            <w:vMerge/>
            <w:shd w:val="clear" w:color="auto" w:fill="auto"/>
            <w:vAlign w:val="center"/>
          </w:tcPr>
          <w:p w:rsidR="003246B1" w:rsidRPr="00E71E58" w:rsidRDefault="003246B1" w:rsidP="002548EA">
            <w:pPr>
              <w:pStyle w:val="TableText"/>
            </w:pPr>
          </w:p>
        </w:tc>
        <w:tc>
          <w:tcPr>
            <w:tcW w:w="720" w:type="dxa"/>
            <w:shd w:val="clear" w:color="auto" w:fill="auto"/>
            <w:vAlign w:val="bottom"/>
          </w:tcPr>
          <w:p w:rsidR="003246B1" w:rsidRDefault="003246B1" w:rsidP="00342FD6">
            <w:pPr>
              <w:pStyle w:val="TableText"/>
            </w:pPr>
            <w:r>
              <w:t>E065</w:t>
            </w:r>
          </w:p>
        </w:tc>
        <w:tc>
          <w:tcPr>
            <w:tcW w:w="2160" w:type="dxa"/>
            <w:shd w:val="clear" w:color="auto" w:fill="auto"/>
            <w:vAlign w:val="bottom"/>
          </w:tcPr>
          <w:p w:rsidR="003246B1" w:rsidRDefault="003246B1" w:rsidP="00342FD6">
            <w:pPr>
              <w:pStyle w:val="TableText"/>
            </w:pPr>
            <w:r>
              <w:t>PLT_AFR_Thaw_Wash</w:t>
            </w:r>
          </w:p>
        </w:tc>
        <w:tc>
          <w:tcPr>
            <w:tcW w:w="4320" w:type="dxa"/>
            <w:shd w:val="clear" w:color="auto" w:fill="auto"/>
            <w:vAlign w:val="bottom"/>
          </w:tcPr>
          <w:p w:rsidR="003246B1" w:rsidRDefault="003246B1" w:rsidP="00342FD6">
            <w:pPr>
              <w:pStyle w:val="TableText"/>
            </w:pPr>
            <w:r>
              <w:t>Washed Thawed Apheresis PLATELETS</w:t>
            </w:r>
          </w:p>
        </w:tc>
      </w:tr>
      <w:tr w:rsidR="004F09C6" w:rsidRPr="00887834">
        <w:trPr>
          <w:cantSplit/>
        </w:trPr>
        <w:tc>
          <w:tcPr>
            <w:tcW w:w="2160" w:type="dxa"/>
            <w:vMerge/>
            <w:shd w:val="clear" w:color="auto" w:fill="auto"/>
            <w:vAlign w:val="center"/>
          </w:tcPr>
          <w:p w:rsidR="004F09C6" w:rsidRPr="00E71E58" w:rsidRDefault="004F09C6" w:rsidP="002548EA">
            <w:pPr>
              <w:pStyle w:val="TableText"/>
            </w:pPr>
          </w:p>
        </w:tc>
        <w:tc>
          <w:tcPr>
            <w:tcW w:w="720" w:type="dxa"/>
            <w:shd w:val="clear" w:color="auto" w:fill="auto"/>
            <w:vAlign w:val="bottom"/>
          </w:tcPr>
          <w:p w:rsidR="004F09C6" w:rsidRDefault="003246B1" w:rsidP="002548EA">
            <w:pPr>
              <w:pStyle w:val="TableText"/>
            </w:pPr>
            <w:r>
              <w:t>E068</w:t>
            </w:r>
          </w:p>
        </w:tc>
        <w:tc>
          <w:tcPr>
            <w:tcW w:w="2160" w:type="dxa"/>
            <w:shd w:val="clear" w:color="auto" w:fill="auto"/>
            <w:vAlign w:val="bottom"/>
          </w:tcPr>
          <w:p w:rsidR="004F09C6" w:rsidRDefault="003246B1" w:rsidP="002548EA">
            <w:pPr>
              <w:pStyle w:val="TableText"/>
            </w:pPr>
            <w:r>
              <w:t>PLT_AFR_</w:t>
            </w:r>
            <w:r w:rsidR="00350AFF">
              <w:t>Pool_Wash</w:t>
            </w:r>
          </w:p>
        </w:tc>
        <w:tc>
          <w:tcPr>
            <w:tcW w:w="4320" w:type="dxa"/>
            <w:shd w:val="clear" w:color="auto" w:fill="auto"/>
            <w:vAlign w:val="bottom"/>
          </w:tcPr>
          <w:p w:rsidR="004F09C6" w:rsidRDefault="003246B1" w:rsidP="003246B1">
            <w:pPr>
              <w:pStyle w:val="TableText"/>
            </w:pPr>
            <w:r>
              <w:t>Washed Apheresis POOLED PLATELETS</w:t>
            </w:r>
          </w:p>
        </w:tc>
      </w:tr>
      <w:tr w:rsidR="004F09C6" w:rsidRPr="00887834">
        <w:trPr>
          <w:cantSplit/>
        </w:trPr>
        <w:tc>
          <w:tcPr>
            <w:tcW w:w="2160" w:type="dxa"/>
            <w:vMerge/>
            <w:shd w:val="clear" w:color="auto" w:fill="auto"/>
            <w:vAlign w:val="center"/>
          </w:tcPr>
          <w:p w:rsidR="004F09C6" w:rsidRPr="00E71E58" w:rsidRDefault="004F09C6" w:rsidP="002548EA">
            <w:pPr>
              <w:pStyle w:val="TableText"/>
            </w:pPr>
          </w:p>
        </w:tc>
        <w:tc>
          <w:tcPr>
            <w:tcW w:w="720" w:type="dxa"/>
            <w:shd w:val="clear" w:color="auto" w:fill="auto"/>
            <w:vAlign w:val="bottom"/>
          </w:tcPr>
          <w:p w:rsidR="004F09C6" w:rsidRDefault="003246B1" w:rsidP="002548EA">
            <w:pPr>
              <w:pStyle w:val="TableText"/>
            </w:pPr>
            <w:r>
              <w:t>E069</w:t>
            </w:r>
          </w:p>
        </w:tc>
        <w:tc>
          <w:tcPr>
            <w:tcW w:w="2160" w:type="dxa"/>
            <w:shd w:val="clear" w:color="auto" w:fill="auto"/>
            <w:vAlign w:val="bottom"/>
          </w:tcPr>
          <w:p w:rsidR="004F09C6" w:rsidRDefault="0062036F" w:rsidP="002548EA">
            <w:pPr>
              <w:pStyle w:val="TableText"/>
            </w:pPr>
            <w:r>
              <w:t>PLT_Froz</w:t>
            </w:r>
          </w:p>
        </w:tc>
        <w:tc>
          <w:tcPr>
            <w:tcW w:w="4320" w:type="dxa"/>
            <w:shd w:val="clear" w:color="auto" w:fill="auto"/>
            <w:vAlign w:val="bottom"/>
          </w:tcPr>
          <w:p w:rsidR="004F09C6" w:rsidRDefault="003246B1" w:rsidP="004F09C6">
            <w:pPr>
              <w:pStyle w:val="TableText"/>
            </w:pPr>
            <w:r>
              <w:t>Frozen PLATELETS</w:t>
            </w:r>
          </w:p>
        </w:tc>
      </w:tr>
      <w:tr w:rsidR="004F09C6" w:rsidRPr="00887834">
        <w:trPr>
          <w:cantSplit/>
        </w:trPr>
        <w:tc>
          <w:tcPr>
            <w:tcW w:w="2160" w:type="dxa"/>
            <w:vMerge w:val="restart"/>
            <w:shd w:val="clear" w:color="auto" w:fill="auto"/>
            <w:vAlign w:val="center"/>
          </w:tcPr>
          <w:p w:rsidR="004F09C6" w:rsidRPr="00887834" w:rsidRDefault="004F09C6" w:rsidP="002548EA">
            <w:pPr>
              <w:pStyle w:val="TableText"/>
              <w:rPr>
                <w:rFonts w:ascii="Arial Unicode MS" w:eastAsia="Arial Unicode MS" w:hAnsi="Arial Unicode MS"/>
              </w:rPr>
            </w:pPr>
            <w:r>
              <w:t>FRESH FROZEN PLASMA</w:t>
            </w:r>
          </w:p>
        </w:tc>
        <w:tc>
          <w:tcPr>
            <w:tcW w:w="720" w:type="dxa"/>
            <w:shd w:val="clear" w:color="auto" w:fill="auto"/>
            <w:vAlign w:val="bottom"/>
          </w:tcPr>
          <w:p w:rsidR="004F09C6" w:rsidRPr="00887834" w:rsidRDefault="004F09C6" w:rsidP="002548EA">
            <w:pPr>
              <w:pStyle w:val="TableText"/>
              <w:rPr>
                <w:rFonts w:ascii="Arial Unicode MS" w:eastAsia="Arial Unicode MS" w:hAnsi="Arial Unicode MS"/>
              </w:rPr>
            </w:pPr>
            <w:r>
              <w:t>E010</w:t>
            </w:r>
          </w:p>
        </w:tc>
        <w:tc>
          <w:tcPr>
            <w:tcW w:w="2160" w:type="dxa"/>
            <w:shd w:val="clear" w:color="auto" w:fill="auto"/>
            <w:vAlign w:val="bottom"/>
          </w:tcPr>
          <w:p w:rsidR="004F09C6" w:rsidRPr="00887834" w:rsidRDefault="004F09C6" w:rsidP="002548EA">
            <w:pPr>
              <w:pStyle w:val="TableText"/>
              <w:rPr>
                <w:rFonts w:ascii="Arial Unicode MS" w:eastAsia="Arial Unicode MS" w:hAnsi="Arial Unicode MS"/>
              </w:rPr>
            </w:pPr>
            <w:r>
              <w:t>FFP</w:t>
            </w:r>
          </w:p>
        </w:tc>
        <w:tc>
          <w:tcPr>
            <w:tcW w:w="4320" w:type="dxa"/>
            <w:shd w:val="clear" w:color="auto" w:fill="auto"/>
            <w:vAlign w:val="bottom"/>
          </w:tcPr>
          <w:p w:rsidR="004F09C6" w:rsidRPr="00887834" w:rsidRDefault="004F09C6" w:rsidP="002548EA">
            <w:pPr>
              <w:pStyle w:val="TableText"/>
              <w:rPr>
                <w:rFonts w:ascii="Arial Unicode MS" w:eastAsia="Arial Unicode MS" w:hAnsi="Arial Unicode MS"/>
              </w:rPr>
            </w:pPr>
            <w:r>
              <w:t>FRESH FROZEN PLASMA</w:t>
            </w:r>
          </w:p>
        </w:tc>
      </w:tr>
      <w:tr w:rsidR="004F09C6" w:rsidRPr="00887834">
        <w:trPr>
          <w:cantSplit/>
        </w:trPr>
        <w:tc>
          <w:tcPr>
            <w:tcW w:w="2160" w:type="dxa"/>
            <w:vMerge/>
            <w:shd w:val="clear" w:color="auto" w:fill="auto"/>
            <w:vAlign w:val="center"/>
          </w:tcPr>
          <w:p w:rsidR="004F09C6" w:rsidRPr="00E71E58" w:rsidRDefault="004F09C6" w:rsidP="002548EA">
            <w:pPr>
              <w:pStyle w:val="TableText"/>
            </w:pPr>
          </w:p>
        </w:tc>
        <w:tc>
          <w:tcPr>
            <w:tcW w:w="720" w:type="dxa"/>
            <w:shd w:val="clear" w:color="auto" w:fill="auto"/>
            <w:vAlign w:val="bottom"/>
          </w:tcPr>
          <w:p w:rsidR="004F09C6" w:rsidRPr="00887834" w:rsidRDefault="004F09C6" w:rsidP="002548EA">
            <w:pPr>
              <w:pStyle w:val="TableText"/>
              <w:rPr>
                <w:rFonts w:ascii="Arial Unicode MS" w:eastAsia="Arial Unicode MS" w:hAnsi="Arial Unicode MS"/>
              </w:rPr>
            </w:pPr>
            <w:r>
              <w:t>E011</w:t>
            </w:r>
          </w:p>
        </w:tc>
        <w:tc>
          <w:tcPr>
            <w:tcW w:w="2160" w:type="dxa"/>
            <w:shd w:val="clear" w:color="auto" w:fill="auto"/>
            <w:vAlign w:val="bottom"/>
          </w:tcPr>
          <w:p w:rsidR="004F09C6" w:rsidRPr="00887834" w:rsidRDefault="004F09C6" w:rsidP="002548EA">
            <w:pPr>
              <w:pStyle w:val="TableText"/>
              <w:rPr>
                <w:rFonts w:ascii="Arial Unicode MS" w:eastAsia="Arial Unicode MS" w:hAnsi="Arial Unicode MS"/>
              </w:rPr>
            </w:pPr>
            <w:r>
              <w:t>FFP_Thaw</w:t>
            </w:r>
          </w:p>
        </w:tc>
        <w:tc>
          <w:tcPr>
            <w:tcW w:w="4320" w:type="dxa"/>
            <w:shd w:val="clear" w:color="auto" w:fill="auto"/>
            <w:vAlign w:val="bottom"/>
          </w:tcPr>
          <w:p w:rsidR="004F09C6" w:rsidRPr="00887834" w:rsidRDefault="004F09C6" w:rsidP="002548EA">
            <w:pPr>
              <w:pStyle w:val="TableText"/>
              <w:rPr>
                <w:rFonts w:ascii="Arial Unicode MS" w:eastAsia="Arial Unicode MS" w:hAnsi="Arial Unicode MS"/>
              </w:rPr>
            </w:pPr>
            <w:r>
              <w:t>Thawed FRESH FROZEN PLASMA</w:t>
            </w:r>
          </w:p>
        </w:tc>
      </w:tr>
      <w:tr w:rsidR="004F09C6" w:rsidRPr="00887834">
        <w:trPr>
          <w:cantSplit/>
        </w:trPr>
        <w:tc>
          <w:tcPr>
            <w:tcW w:w="2160" w:type="dxa"/>
            <w:vMerge/>
            <w:shd w:val="clear" w:color="auto" w:fill="auto"/>
            <w:vAlign w:val="center"/>
          </w:tcPr>
          <w:p w:rsidR="004F09C6" w:rsidRPr="00E71E58" w:rsidRDefault="004F09C6" w:rsidP="002548EA">
            <w:pPr>
              <w:pStyle w:val="TableText"/>
            </w:pPr>
          </w:p>
        </w:tc>
        <w:tc>
          <w:tcPr>
            <w:tcW w:w="720" w:type="dxa"/>
            <w:shd w:val="clear" w:color="auto" w:fill="auto"/>
            <w:vAlign w:val="bottom"/>
          </w:tcPr>
          <w:p w:rsidR="004F09C6" w:rsidRPr="00887834" w:rsidRDefault="004F09C6" w:rsidP="002548EA">
            <w:pPr>
              <w:pStyle w:val="TableText"/>
              <w:rPr>
                <w:rFonts w:ascii="Arial Unicode MS" w:eastAsia="Arial Unicode MS" w:hAnsi="Arial Unicode MS"/>
              </w:rPr>
            </w:pPr>
            <w:r>
              <w:t>E012</w:t>
            </w:r>
          </w:p>
        </w:tc>
        <w:tc>
          <w:tcPr>
            <w:tcW w:w="2160" w:type="dxa"/>
            <w:shd w:val="clear" w:color="auto" w:fill="auto"/>
            <w:vAlign w:val="bottom"/>
          </w:tcPr>
          <w:p w:rsidR="004F09C6" w:rsidRPr="00887834" w:rsidRDefault="004F09C6" w:rsidP="002548EA">
            <w:pPr>
              <w:pStyle w:val="TableText"/>
              <w:rPr>
                <w:rFonts w:ascii="Arial Unicode MS" w:eastAsia="Arial Unicode MS" w:hAnsi="Arial Unicode MS"/>
              </w:rPr>
            </w:pPr>
            <w:r>
              <w:t>FFP_AFR</w:t>
            </w:r>
          </w:p>
        </w:tc>
        <w:tc>
          <w:tcPr>
            <w:tcW w:w="4320" w:type="dxa"/>
            <w:shd w:val="clear" w:color="auto" w:fill="auto"/>
            <w:vAlign w:val="bottom"/>
          </w:tcPr>
          <w:p w:rsidR="004F09C6" w:rsidRPr="00887834" w:rsidRDefault="004F09C6" w:rsidP="002548EA">
            <w:pPr>
              <w:pStyle w:val="TableText"/>
              <w:rPr>
                <w:rFonts w:ascii="Arial Unicode MS" w:eastAsia="Arial Unicode MS" w:hAnsi="Arial Unicode MS"/>
              </w:rPr>
            </w:pPr>
            <w:r>
              <w:t>Apheresis FRESH FROZEN PLASMA</w:t>
            </w:r>
          </w:p>
        </w:tc>
      </w:tr>
      <w:tr w:rsidR="004F09C6" w:rsidRPr="00887834">
        <w:trPr>
          <w:cantSplit/>
        </w:trPr>
        <w:tc>
          <w:tcPr>
            <w:tcW w:w="2160" w:type="dxa"/>
            <w:vMerge/>
            <w:shd w:val="clear" w:color="auto" w:fill="auto"/>
            <w:vAlign w:val="center"/>
          </w:tcPr>
          <w:p w:rsidR="004F09C6" w:rsidRPr="00E71E58" w:rsidRDefault="004F09C6" w:rsidP="002548EA">
            <w:pPr>
              <w:pStyle w:val="TableText"/>
            </w:pPr>
          </w:p>
        </w:tc>
        <w:tc>
          <w:tcPr>
            <w:tcW w:w="720" w:type="dxa"/>
            <w:shd w:val="clear" w:color="auto" w:fill="auto"/>
            <w:vAlign w:val="bottom"/>
          </w:tcPr>
          <w:p w:rsidR="004F09C6" w:rsidRPr="00887834" w:rsidRDefault="004F09C6" w:rsidP="002548EA">
            <w:pPr>
              <w:pStyle w:val="TableText"/>
              <w:rPr>
                <w:rFonts w:ascii="Arial Unicode MS" w:eastAsia="Arial Unicode MS" w:hAnsi="Arial Unicode MS"/>
              </w:rPr>
            </w:pPr>
            <w:r>
              <w:t>E013</w:t>
            </w:r>
          </w:p>
        </w:tc>
        <w:tc>
          <w:tcPr>
            <w:tcW w:w="2160" w:type="dxa"/>
            <w:shd w:val="clear" w:color="auto" w:fill="auto"/>
            <w:vAlign w:val="bottom"/>
          </w:tcPr>
          <w:p w:rsidR="004F09C6" w:rsidRPr="00887834" w:rsidRDefault="004F09C6" w:rsidP="002548EA">
            <w:pPr>
              <w:pStyle w:val="TableText"/>
              <w:rPr>
                <w:rFonts w:ascii="Arial Unicode MS" w:eastAsia="Arial Unicode MS" w:hAnsi="Arial Unicode MS"/>
              </w:rPr>
            </w:pPr>
            <w:r>
              <w:t>FFP_AFR_Thaw</w:t>
            </w:r>
          </w:p>
        </w:tc>
        <w:tc>
          <w:tcPr>
            <w:tcW w:w="4320" w:type="dxa"/>
            <w:shd w:val="clear" w:color="auto" w:fill="auto"/>
            <w:vAlign w:val="bottom"/>
          </w:tcPr>
          <w:p w:rsidR="004F09C6" w:rsidRPr="00887834" w:rsidRDefault="004F09C6" w:rsidP="002548EA">
            <w:pPr>
              <w:pStyle w:val="TableText"/>
              <w:rPr>
                <w:rFonts w:ascii="Arial Unicode MS" w:eastAsia="Arial Unicode MS" w:hAnsi="Arial Unicode MS"/>
              </w:rPr>
            </w:pPr>
            <w:r>
              <w:t>Thawed Apheresis FRESH FROZEN PLASMA</w:t>
            </w:r>
          </w:p>
        </w:tc>
      </w:tr>
      <w:tr w:rsidR="004F09C6">
        <w:trPr>
          <w:cantSplit/>
        </w:trPr>
        <w:tc>
          <w:tcPr>
            <w:tcW w:w="2160" w:type="dxa"/>
            <w:vMerge/>
            <w:shd w:val="clear" w:color="auto" w:fill="auto"/>
            <w:vAlign w:val="center"/>
          </w:tcPr>
          <w:p w:rsidR="004F09C6" w:rsidRPr="00E71E58" w:rsidRDefault="004F09C6" w:rsidP="002548EA">
            <w:pPr>
              <w:pStyle w:val="TableText"/>
            </w:pPr>
          </w:p>
        </w:tc>
        <w:tc>
          <w:tcPr>
            <w:tcW w:w="720" w:type="dxa"/>
            <w:shd w:val="clear" w:color="auto" w:fill="auto"/>
            <w:vAlign w:val="bottom"/>
          </w:tcPr>
          <w:p w:rsidR="004F09C6" w:rsidRDefault="004F09C6" w:rsidP="002548EA">
            <w:pPr>
              <w:pStyle w:val="TableText"/>
            </w:pPr>
            <w:r>
              <w:t>E014</w:t>
            </w:r>
          </w:p>
        </w:tc>
        <w:tc>
          <w:tcPr>
            <w:tcW w:w="2160" w:type="dxa"/>
            <w:shd w:val="clear" w:color="auto" w:fill="auto"/>
            <w:vAlign w:val="bottom"/>
          </w:tcPr>
          <w:p w:rsidR="004F09C6" w:rsidRDefault="004F09C6" w:rsidP="002548EA">
            <w:pPr>
              <w:pStyle w:val="TableText"/>
            </w:pPr>
            <w:r>
              <w:t>PLASMA_AFR</w:t>
            </w:r>
          </w:p>
        </w:tc>
        <w:tc>
          <w:tcPr>
            <w:tcW w:w="4320" w:type="dxa"/>
            <w:shd w:val="clear" w:color="auto" w:fill="auto"/>
            <w:vAlign w:val="bottom"/>
          </w:tcPr>
          <w:p w:rsidR="004F09C6" w:rsidRDefault="004F09C6" w:rsidP="002548EA">
            <w:pPr>
              <w:pStyle w:val="TableText"/>
            </w:pPr>
            <w:r>
              <w:t>Apheresis PLASMA</w:t>
            </w:r>
          </w:p>
        </w:tc>
      </w:tr>
      <w:tr w:rsidR="004F09C6">
        <w:trPr>
          <w:cantSplit/>
        </w:trPr>
        <w:tc>
          <w:tcPr>
            <w:tcW w:w="2160" w:type="dxa"/>
            <w:vMerge/>
            <w:shd w:val="clear" w:color="auto" w:fill="auto"/>
            <w:vAlign w:val="center"/>
          </w:tcPr>
          <w:p w:rsidR="004F09C6" w:rsidRPr="00E71E58" w:rsidRDefault="004F09C6" w:rsidP="002548EA">
            <w:pPr>
              <w:pStyle w:val="TableText"/>
            </w:pPr>
          </w:p>
        </w:tc>
        <w:tc>
          <w:tcPr>
            <w:tcW w:w="720" w:type="dxa"/>
            <w:shd w:val="clear" w:color="auto" w:fill="auto"/>
            <w:vAlign w:val="bottom"/>
          </w:tcPr>
          <w:p w:rsidR="004F09C6" w:rsidRDefault="004F09C6" w:rsidP="002548EA">
            <w:pPr>
              <w:pStyle w:val="TableText"/>
            </w:pPr>
            <w:r>
              <w:t>E015</w:t>
            </w:r>
          </w:p>
        </w:tc>
        <w:tc>
          <w:tcPr>
            <w:tcW w:w="2160" w:type="dxa"/>
            <w:shd w:val="clear" w:color="auto" w:fill="auto"/>
            <w:vAlign w:val="bottom"/>
          </w:tcPr>
          <w:p w:rsidR="004F09C6" w:rsidRDefault="004F09C6" w:rsidP="002548EA">
            <w:pPr>
              <w:pStyle w:val="TableText"/>
            </w:pPr>
            <w:r>
              <w:t>PLASMA_AFR_Thaw</w:t>
            </w:r>
          </w:p>
        </w:tc>
        <w:tc>
          <w:tcPr>
            <w:tcW w:w="4320" w:type="dxa"/>
            <w:shd w:val="clear" w:color="auto" w:fill="auto"/>
            <w:vAlign w:val="bottom"/>
          </w:tcPr>
          <w:p w:rsidR="004F09C6" w:rsidRDefault="004F09C6" w:rsidP="002548EA">
            <w:pPr>
              <w:pStyle w:val="TableText"/>
            </w:pPr>
            <w:r>
              <w:t>Thawed Apheresis PLASMA</w:t>
            </w:r>
          </w:p>
        </w:tc>
      </w:tr>
      <w:tr w:rsidR="004F09C6">
        <w:trPr>
          <w:cantSplit/>
        </w:trPr>
        <w:tc>
          <w:tcPr>
            <w:tcW w:w="2160" w:type="dxa"/>
            <w:vMerge/>
            <w:shd w:val="clear" w:color="auto" w:fill="auto"/>
            <w:vAlign w:val="center"/>
          </w:tcPr>
          <w:p w:rsidR="004F09C6" w:rsidRPr="00E71E58" w:rsidRDefault="004F09C6" w:rsidP="002548EA">
            <w:pPr>
              <w:pStyle w:val="TableText"/>
            </w:pPr>
          </w:p>
        </w:tc>
        <w:tc>
          <w:tcPr>
            <w:tcW w:w="720" w:type="dxa"/>
            <w:shd w:val="clear" w:color="auto" w:fill="auto"/>
            <w:vAlign w:val="bottom"/>
          </w:tcPr>
          <w:p w:rsidR="004F09C6" w:rsidRDefault="004F09C6" w:rsidP="002548EA">
            <w:pPr>
              <w:pStyle w:val="TableText"/>
            </w:pPr>
            <w:r>
              <w:t>E016</w:t>
            </w:r>
          </w:p>
        </w:tc>
        <w:tc>
          <w:tcPr>
            <w:tcW w:w="2160" w:type="dxa"/>
            <w:shd w:val="clear" w:color="auto" w:fill="auto"/>
            <w:vAlign w:val="bottom"/>
          </w:tcPr>
          <w:p w:rsidR="004F09C6" w:rsidRDefault="004F09C6" w:rsidP="002548EA">
            <w:pPr>
              <w:pStyle w:val="TableText"/>
            </w:pPr>
            <w:r>
              <w:t>PLASMA_Liq</w:t>
            </w:r>
          </w:p>
        </w:tc>
        <w:tc>
          <w:tcPr>
            <w:tcW w:w="4320" w:type="dxa"/>
            <w:shd w:val="clear" w:color="auto" w:fill="auto"/>
            <w:vAlign w:val="bottom"/>
          </w:tcPr>
          <w:p w:rsidR="004F09C6" w:rsidRDefault="004F09C6" w:rsidP="002548EA">
            <w:pPr>
              <w:pStyle w:val="TableText"/>
            </w:pPr>
            <w:r>
              <w:t>Liquid PLASMA</w:t>
            </w:r>
          </w:p>
        </w:tc>
      </w:tr>
      <w:tr w:rsidR="004F09C6">
        <w:trPr>
          <w:cantSplit/>
        </w:trPr>
        <w:tc>
          <w:tcPr>
            <w:tcW w:w="2160" w:type="dxa"/>
            <w:vMerge/>
            <w:shd w:val="clear" w:color="auto" w:fill="auto"/>
            <w:vAlign w:val="center"/>
          </w:tcPr>
          <w:p w:rsidR="004F09C6" w:rsidRPr="00E71E58" w:rsidRDefault="004F09C6" w:rsidP="002548EA">
            <w:pPr>
              <w:pStyle w:val="TableText"/>
            </w:pPr>
          </w:p>
        </w:tc>
        <w:tc>
          <w:tcPr>
            <w:tcW w:w="720" w:type="dxa"/>
            <w:shd w:val="clear" w:color="auto" w:fill="auto"/>
            <w:vAlign w:val="bottom"/>
          </w:tcPr>
          <w:p w:rsidR="004F09C6" w:rsidRDefault="004F09C6" w:rsidP="002548EA">
            <w:pPr>
              <w:pStyle w:val="TableText"/>
            </w:pPr>
            <w:r>
              <w:t>E017</w:t>
            </w:r>
          </w:p>
        </w:tc>
        <w:tc>
          <w:tcPr>
            <w:tcW w:w="2160" w:type="dxa"/>
            <w:shd w:val="clear" w:color="auto" w:fill="auto"/>
            <w:vAlign w:val="bottom"/>
          </w:tcPr>
          <w:p w:rsidR="004F09C6" w:rsidRDefault="004F09C6" w:rsidP="002548EA">
            <w:pPr>
              <w:pStyle w:val="TableText"/>
            </w:pPr>
            <w:r>
              <w:t>PLASMA</w:t>
            </w:r>
          </w:p>
        </w:tc>
        <w:tc>
          <w:tcPr>
            <w:tcW w:w="4320" w:type="dxa"/>
            <w:shd w:val="clear" w:color="auto" w:fill="auto"/>
            <w:vAlign w:val="bottom"/>
          </w:tcPr>
          <w:p w:rsidR="004F09C6" w:rsidRDefault="004F09C6" w:rsidP="002548EA">
            <w:pPr>
              <w:pStyle w:val="TableText"/>
            </w:pPr>
            <w:r>
              <w:t>PLASMA</w:t>
            </w:r>
          </w:p>
        </w:tc>
      </w:tr>
      <w:tr w:rsidR="004F09C6">
        <w:trPr>
          <w:cantSplit/>
        </w:trPr>
        <w:tc>
          <w:tcPr>
            <w:tcW w:w="2160" w:type="dxa"/>
            <w:vMerge/>
            <w:shd w:val="clear" w:color="auto" w:fill="auto"/>
            <w:vAlign w:val="center"/>
          </w:tcPr>
          <w:p w:rsidR="004F09C6" w:rsidRPr="00E71E58" w:rsidRDefault="004F09C6" w:rsidP="002548EA">
            <w:pPr>
              <w:pStyle w:val="TableText"/>
            </w:pPr>
          </w:p>
        </w:tc>
        <w:tc>
          <w:tcPr>
            <w:tcW w:w="720" w:type="dxa"/>
            <w:shd w:val="clear" w:color="auto" w:fill="auto"/>
            <w:vAlign w:val="bottom"/>
          </w:tcPr>
          <w:p w:rsidR="004F09C6" w:rsidRDefault="004F09C6" w:rsidP="002548EA">
            <w:pPr>
              <w:pStyle w:val="TableText"/>
            </w:pPr>
            <w:r>
              <w:t>E018</w:t>
            </w:r>
          </w:p>
        </w:tc>
        <w:tc>
          <w:tcPr>
            <w:tcW w:w="2160" w:type="dxa"/>
            <w:shd w:val="clear" w:color="auto" w:fill="auto"/>
            <w:vAlign w:val="bottom"/>
          </w:tcPr>
          <w:p w:rsidR="004F09C6" w:rsidRDefault="004F09C6" w:rsidP="002548EA">
            <w:pPr>
              <w:pStyle w:val="TableText"/>
            </w:pPr>
            <w:r>
              <w:t>PLASMA_Thaw</w:t>
            </w:r>
          </w:p>
        </w:tc>
        <w:tc>
          <w:tcPr>
            <w:tcW w:w="4320" w:type="dxa"/>
            <w:shd w:val="clear" w:color="auto" w:fill="auto"/>
            <w:vAlign w:val="bottom"/>
          </w:tcPr>
          <w:p w:rsidR="004F09C6" w:rsidRDefault="004F09C6" w:rsidP="002548EA">
            <w:pPr>
              <w:pStyle w:val="TableText"/>
            </w:pPr>
            <w:r>
              <w:t>Thawed PLASMA</w:t>
            </w:r>
          </w:p>
        </w:tc>
      </w:tr>
      <w:tr w:rsidR="004F09C6">
        <w:trPr>
          <w:cantSplit/>
        </w:trPr>
        <w:tc>
          <w:tcPr>
            <w:tcW w:w="2160" w:type="dxa"/>
            <w:vMerge/>
            <w:shd w:val="clear" w:color="auto" w:fill="auto"/>
            <w:vAlign w:val="center"/>
          </w:tcPr>
          <w:p w:rsidR="004F09C6" w:rsidRPr="00E71E58" w:rsidRDefault="004F09C6" w:rsidP="002548EA">
            <w:pPr>
              <w:pStyle w:val="TableText"/>
            </w:pPr>
          </w:p>
        </w:tc>
        <w:tc>
          <w:tcPr>
            <w:tcW w:w="720" w:type="dxa"/>
            <w:shd w:val="clear" w:color="auto" w:fill="auto"/>
            <w:vAlign w:val="bottom"/>
          </w:tcPr>
          <w:p w:rsidR="004F09C6" w:rsidRDefault="004F09C6" w:rsidP="002548EA">
            <w:pPr>
              <w:pStyle w:val="TableText"/>
            </w:pPr>
            <w:r>
              <w:t>E041</w:t>
            </w:r>
          </w:p>
        </w:tc>
        <w:tc>
          <w:tcPr>
            <w:tcW w:w="2160" w:type="dxa"/>
            <w:shd w:val="clear" w:color="auto" w:fill="auto"/>
            <w:vAlign w:val="bottom"/>
          </w:tcPr>
          <w:p w:rsidR="004F09C6" w:rsidRDefault="004F09C6" w:rsidP="002548EA">
            <w:pPr>
              <w:pStyle w:val="TableText"/>
            </w:pPr>
            <w:r>
              <w:t>PLASMA_AFR_Liq</w:t>
            </w:r>
          </w:p>
        </w:tc>
        <w:tc>
          <w:tcPr>
            <w:tcW w:w="4320" w:type="dxa"/>
            <w:shd w:val="clear" w:color="auto" w:fill="auto"/>
            <w:vAlign w:val="bottom"/>
          </w:tcPr>
          <w:p w:rsidR="004F09C6" w:rsidRDefault="004F09C6" w:rsidP="002548EA">
            <w:pPr>
              <w:pStyle w:val="TableText"/>
            </w:pPr>
            <w:r>
              <w:t>Liquid Apheresis PLASMA</w:t>
            </w:r>
          </w:p>
        </w:tc>
      </w:tr>
      <w:tr w:rsidR="00B77280">
        <w:trPr>
          <w:cantSplit/>
        </w:trPr>
        <w:tc>
          <w:tcPr>
            <w:tcW w:w="2160" w:type="dxa"/>
            <w:vMerge/>
            <w:shd w:val="clear" w:color="auto" w:fill="auto"/>
            <w:vAlign w:val="center"/>
          </w:tcPr>
          <w:p w:rsidR="00B77280" w:rsidRPr="00E71E58" w:rsidRDefault="00B77280" w:rsidP="002548EA">
            <w:pPr>
              <w:pStyle w:val="TableText"/>
            </w:pPr>
          </w:p>
        </w:tc>
        <w:tc>
          <w:tcPr>
            <w:tcW w:w="720" w:type="dxa"/>
            <w:shd w:val="clear" w:color="auto" w:fill="auto"/>
            <w:vAlign w:val="bottom"/>
          </w:tcPr>
          <w:p w:rsidR="00B77280" w:rsidRDefault="00B77280" w:rsidP="002548EA">
            <w:pPr>
              <w:pStyle w:val="TableText"/>
            </w:pPr>
            <w:r>
              <w:t>E055</w:t>
            </w:r>
          </w:p>
        </w:tc>
        <w:tc>
          <w:tcPr>
            <w:tcW w:w="2160" w:type="dxa"/>
            <w:shd w:val="clear" w:color="auto" w:fill="auto"/>
            <w:vAlign w:val="bottom"/>
          </w:tcPr>
          <w:p w:rsidR="00B77280" w:rsidRDefault="00B77280" w:rsidP="002548EA">
            <w:pPr>
              <w:pStyle w:val="TableText"/>
            </w:pPr>
            <w:r>
              <w:t>PLASMA_Pool_Thaw</w:t>
            </w:r>
          </w:p>
        </w:tc>
        <w:tc>
          <w:tcPr>
            <w:tcW w:w="4320" w:type="dxa"/>
            <w:shd w:val="clear" w:color="auto" w:fill="auto"/>
            <w:vAlign w:val="bottom"/>
          </w:tcPr>
          <w:p w:rsidR="00B77280" w:rsidRDefault="00B77280" w:rsidP="002548EA">
            <w:pPr>
              <w:pStyle w:val="TableText"/>
            </w:pPr>
            <w:r>
              <w:t>Thawed Pooled Plasma</w:t>
            </w:r>
          </w:p>
        </w:tc>
      </w:tr>
      <w:tr w:rsidR="00B77280">
        <w:trPr>
          <w:cantSplit/>
        </w:trPr>
        <w:tc>
          <w:tcPr>
            <w:tcW w:w="2160" w:type="dxa"/>
            <w:vMerge/>
            <w:shd w:val="clear" w:color="auto" w:fill="auto"/>
            <w:vAlign w:val="center"/>
          </w:tcPr>
          <w:p w:rsidR="00B77280" w:rsidRPr="00E71E58" w:rsidRDefault="00B77280" w:rsidP="002548EA">
            <w:pPr>
              <w:pStyle w:val="TableText"/>
            </w:pPr>
          </w:p>
        </w:tc>
        <w:tc>
          <w:tcPr>
            <w:tcW w:w="720" w:type="dxa"/>
            <w:shd w:val="clear" w:color="auto" w:fill="auto"/>
            <w:vAlign w:val="bottom"/>
          </w:tcPr>
          <w:p w:rsidR="00B77280" w:rsidRDefault="00B77280" w:rsidP="002548EA">
            <w:pPr>
              <w:pStyle w:val="TableText"/>
            </w:pPr>
            <w:r>
              <w:t>E056</w:t>
            </w:r>
          </w:p>
        </w:tc>
        <w:tc>
          <w:tcPr>
            <w:tcW w:w="2160" w:type="dxa"/>
            <w:shd w:val="clear" w:color="auto" w:fill="auto"/>
            <w:vAlign w:val="bottom"/>
          </w:tcPr>
          <w:p w:rsidR="00B77280" w:rsidRDefault="00B77280" w:rsidP="002548EA">
            <w:pPr>
              <w:pStyle w:val="TableText"/>
            </w:pPr>
            <w:r>
              <w:t>FFP_Pool_Thaw</w:t>
            </w:r>
          </w:p>
        </w:tc>
        <w:tc>
          <w:tcPr>
            <w:tcW w:w="4320" w:type="dxa"/>
            <w:shd w:val="clear" w:color="auto" w:fill="auto"/>
            <w:vAlign w:val="bottom"/>
          </w:tcPr>
          <w:p w:rsidR="00B77280" w:rsidRDefault="00B77280" w:rsidP="002548EA">
            <w:pPr>
              <w:pStyle w:val="TableText"/>
            </w:pPr>
            <w:r>
              <w:t>Thawed POOLED FRESH FROZEN PLASMA</w:t>
            </w:r>
          </w:p>
        </w:tc>
      </w:tr>
      <w:tr w:rsidR="003B7FE5">
        <w:trPr>
          <w:cantSplit/>
        </w:trPr>
        <w:tc>
          <w:tcPr>
            <w:tcW w:w="2160" w:type="dxa"/>
            <w:vMerge/>
            <w:shd w:val="clear" w:color="auto" w:fill="auto"/>
            <w:vAlign w:val="center"/>
          </w:tcPr>
          <w:p w:rsidR="003B7FE5" w:rsidRPr="00E71E58" w:rsidRDefault="003B7FE5" w:rsidP="002548EA">
            <w:pPr>
              <w:pStyle w:val="TableText"/>
            </w:pPr>
          </w:p>
        </w:tc>
        <w:tc>
          <w:tcPr>
            <w:tcW w:w="720" w:type="dxa"/>
            <w:shd w:val="clear" w:color="auto" w:fill="auto"/>
            <w:vAlign w:val="bottom"/>
          </w:tcPr>
          <w:p w:rsidR="003B7FE5" w:rsidRDefault="003B7FE5" w:rsidP="002548EA">
            <w:pPr>
              <w:pStyle w:val="TableText"/>
            </w:pPr>
            <w:r>
              <w:t>E058</w:t>
            </w:r>
          </w:p>
        </w:tc>
        <w:tc>
          <w:tcPr>
            <w:tcW w:w="2160" w:type="dxa"/>
            <w:shd w:val="clear" w:color="auto" w:fill="auto"/>
            <w:vAlign w:val="bottom"/>
          </w:tcPr>
          <w:p w:rsidR="003B7FE5" w:rsidRDefault="003B7FE5" w:rsidP="002548EA">
            <w:pPr>
              <w:pStyle w:val="TableText"/>
            </w:pPr>
            <w:r>
              <w:t>PLASMA_Liq_Pool</w:t>
            </w:r>
          </w:p>
        </w:tc>
        <w:tc>
          <w:tcPr>
            <w:tcW w:w="4320" w:type="dxa"/>
            <w:shd w:val="clear" w:color="auto" w:fill="auto"/>
            <w:vAlign w:val="bottom"/>
          </w:tcPr>
          <w:p w:rsidR="003B7FE5" w:rsidRDefault="003B7FE5" w:rsidP="002548EA">
            <w:pPr>
              <w:pStyle w:val="TableText"/>
            </w:pPr>
            <w:r>
              <w:t>Liquid POOLED PLASMA</w:t>
            </w:r>
          </w:p>
        </w:tc>
      </w:tr>
      <w:tr w:rsidR="003B7FE5">
        <w:trPr>
          <w:cantSplit/>
        </w:trPr>
        <w:tc>
          <w:tcPr>
            <w:tcW w:w="2160" w:type="dxa"/>
            <w:vMerge/>
            <w:shd w:val="clear" w:color="auto" w:fill="auto"/>
            <w:vAlign w:val="center"/>
          </w:tcPr>
          <w:p w:rsidR="003B7FE5" w:rsidRPr="00E71E58" w:rsidRDefault="003B7FE5" w:rsidP="002548EA">
            <w:pPr>
              <w:pStyle w:val="TableText"/>
            </w:pPr>
          </w:p>
        </w:tc>
        <w:tc>
          <w:tcPr>
            <w:tcW w:w="720" w:type="dxa"/>
            <w:shd w:val="clear" w:color="auto" w:fill="auto"/>
            <w:vAlign w:val="bottom"/>
          </w:tcPr>
          <w:p w:rsidR="003B7FE5" w:rsidRDefault="003B7FE5" w:rsidP="002548EA">
            <w:pPr>
              <w:pStyle w:val="TableText"/>
            </w:pPr>
            <w:r>
              <w:t>E059</w:t>
            </w:r>
          </w:p>
        </w:tc>
        <w:tc>
          <w:tcPr>
            <w:tcW w:w="2160" w:type="dxa"/>
            <w:shd w:val="clear" w:color="auto" w:fill="auto"/>
            <w:vAlign w:val="bottom"/>
          </w:tcPr>
          <w:p w:rsidR="003B7FE5" w:rsidRDefault="003B7FE5" w:rsidP="002548EA">
            <w:pPr>
              <w:pStyle w:val="TableText"/>
            </w:pPr>
            <w:r>
              <w:t>FFP_Pool</w:t>
            </w:r>
          </w:p>
        </w:tc>
        <w:tc>
          <w:tcPr>
            <w:tcW w:w="4320" w:type="dxa"/>
            <w:shd w:val="clear" w:color="auto" w:fill="auto"/>
            <w:vAlign w:val="bottom"/>
          </w:tcPr>
          <w:p w:rsidR="003B7FE5" w:rsidRDefault="003B7FE5" w:rsidP="002548EA">
            <w:pPr>
              <w:pStyle w:val="TableText"/>
            </w:pPr>
            <w:r>
              <w:t>POOLED FRESH FROZEN PLASMA</w:t>
            </w:r>
          </w:p>
        </w:tc>
      </w:tr>
      <w:tr w:rsidR="003B7FE5">
        <w:trPr>
          <w:cantSplit/>
        </w:trPr>
        <w:tc>
          <w:tcPr>
            <w:tcW w:w="2160" w:type="dxa"/>
            <w:vMerge/>
            <w:shd w:val="clear" w:color="auto" w:fill="auto"/>
            <w:vAlign w:val="center"/>
          </w:tcPr>
          <w:p w:rsidR="003B7FE5" w:rsidRPr="00E71E58" w:rsidRDefault="003B7FE5" w:rsidP="002548EA">
            <w:pPr>
              <w:pStyle w:val="TableText"/>
            </w:pPr>
          </w:p>
        </w:tc>
        <w:tc>
          <w:tcPr>
            <w:tcW w:w="720" w:type="dxa"/>
            <w:shd w:val="clear" w:color="auto" w:fill="auto"/>
            <w:vAlign w:val="bottom"/>
          </w:tcPr>
          <w:p w:rsidR="003B7FE5" w:rsidRDefault="003B7FE5" w:rsidP="002548EA">
            <w:pPr>
              <w:pStyle w:val="TableText"/>
            </w:pPr>
            <w:r>
              <w:t>E062</w:t>
            </w:r>
          </w:p>
        </w:tc>
        <w:tc>
          <w:tcPr>
            <w:tcW w:w="2160" w:type="dxa"/>
            <w:shd w:val="clear" w:color="auto" w:fill="auto"/>
            <w:vAlign w:val="bottom"/>
          </w:tcPr>
          <w:p w:rsidR="003B7FE5" w:rsidRDefault="003B7FE5" w:rsidP="002548EA">
            <w:pPr>
              <w:pStyle w:val="TableText"/>
            </w:pPr>
            <w:r>
              <w:t>FFP_Afr_Pool_Thaw</w:t>
            </w:r>
          </w:p>
        </w:tc>
        <w:tc>
          <w:tcPr>
            <w:tcW w:w="4320" w:type="dxa"/>
            <w:shd w:val="clear" w:color="auto" w:fill="auto"/>
            <w:vAlign w:val="bottom"/>
          </w:tcPr>
          <w:p w:rsidR="003B7FE5" w:rsidRDefault="003B7FE5" w:rsidP="002548EA">
            <w:pPr>
              <w:pStyle w:val="TableText"/>
            </w:pPr>
            <w:r>
              <w:t>Thawed Apheresis POOLED FRESH FROZEN PLASMA</w:t>
            </w:r>
          </w:p>
        </w:tc>
      </w:tr>
      <w:tr w:rsidR="003B7FE5">
        <w:trPr>
          <w:cantSplit/>
        </w:trPr>
        <w:tc>
          <w:tcPr>
            <w:tcW w:w="2160" w:type="dxa"/>
            <w:vMerge/>
            <w:shd w:val="clear" w:color="auto" w:fill="auto"/>
            <w:vAlign w:val="center"/>
          </w:tcPr>
          <w:p w:rsidR="003B7FE5" w:rsidRPr="00E71E58" w:rsidRDefault="003B7FE5" w:rsidP="002548EA">
            <w:pPr>
              <w:pStyle w:val="TableText"/>
            </w:pPr>
          </w:p>
        </w:tc>
        <w:tc>
          <w:tcPr>
            <w:tcW w:w="720" w:type="dxa"/>
            <w:shd w:val="clear" w:color="auto" w:fill="auto"/>
            <w:vAlign w:val="bottom"/>
          </w:tcPr>
          <w:p w:rsidR="003B7FE5" w:rsidRDefault="003B7FE5" w:rsidP="002548EA">
            <w:pPr>
              <w:pStyle w:val="TableText"/>
            </w:pPr>
            <w:r>
              <w:t>E063</w:t>
            </w:r>
          </w:p>
        </w:tc>
        <w:tc>
          <w:tcPr>
            <w:tcW w:w="2160" w:type="dxa"/>
            <w:shd w:val="clear" w:color="auto" w:fill="auto"/>
            <w:vAlign w:val="bottom"/>
          </w:tcPr>
          <w:p w:rsidR="003B7FE5" w:rsidRDefault="003B7FE5" w:rsidP="002548EA">
            <w:pPr>
              <w:pStyle w:val="TableText"/>
            </w:pPr>
            <w:r>
              <w:t>Plasma_Afr_Pool_Thaw</w:t>
            </w:r>
          </w:p>
        </w:tc>
        <w:tc>
          <w:tcPr>
            <w:tcW w:w="4320" w:type="dxa"/>
            <w:shd w:val="clear" w:color="auto" w:fill="auto"/>
            <w:vAlign w:val="bottom"/>
          </w:tcPr>
          <w:p w:rsidR="003B7FE5" w:rsidRDefault="003B7FE5" w:rsidP="002548EA">
            <w:pPr>
              <w:pStyle w:val="TableText"/>
            </w:pPr>
            <w:r>
              <w:t>Thawed Apheresis POOLED PLASMA</w:t>
            </w:r>
          </w:p>
        </w:tc>
      </w:tr>
      <w:tr w:rsidR="004F09C6">
        <w:trPr>
          <w:cantSplit/>
        </w:trPr>
        <w:tc>
          <w:tcPr>
            <w:tcW w:w="2160" w:type="dxa"/>
            <w:vMerge/>
            <w:shd w:val="clear" w:color="auto" w:fill="auto"/>
            <w:vAlign w:val="center"/>
          </w:tcPr>
          <w:p w:rsidR="004F09C6" w:rsidRPr="00E71E58" w:rsidRDefault="004F09C6" w:rsidP="002548EA">
            <w:pPr>
              <w:pStyle w:val="TableText"/>
            </w:pPr>
          </w:p>
        </w:tc>
        <w:tc>
          <w:tcPr>
            <w:tcW w:w="720" w:type="dxa"/>
            <w:shd w:val="clear" w:color="auto" w:fill="auto"/>
            <w:vAlign w:val="bottom"/>
          </w:tcPr>
          <w:p w:rsidR="004F09C6" w:rsidRDefault="004F09C6" w:rsidP="002548EA">
            <w:pPr>
              <w:pStyle w:val="TableText"/>
            </w:pPr>
            <w:r>
              <w:t>E066</w:t>
            </w:r>
          </w:p>
        </w:tc>
        <w:tc>
          <w:tcPr>
            <w:tcW w:w="2160" w:type="dxa"/>
            <w:shd w:val="clear" w:color="auto" w:fill="auto"/>
            <w:vAlign w:val="bottom"/>
          </w:tcPr>
          <w:p w:rsidR="004F09C6" w:rsidRDefault="004F09C6" w:rsidP="002548EA">
            <w:pPr>
              <w:pStyle w:val="TableText"/>
            </w:pPr>
            <w:r>
              <w:t>FFP_Lyfo</w:t>
            </w:r>
          </w:p>
        </w:tc>
        <w:tc>
          <w:tcPr>
            <w:tcW w:w="4320" w:type="dxa"/>
            <w:shd w:val="clear" w:color="auto" w:fill="auto"/>
            <w:vAlign w:val="bottom"/>
          </w:tcPr>
          <w:p w:rsidR="004F09C6" w:rsidRDefault="004F09C6" w:rsidP="002548EA">
            <w:pPr>
              <w:pStyle w:val="TableText"/>
            </w:pPr>
            <w:r>
              <w:t>Lyophilized FRESH FROZEN PLASMA</w:t>
            </w:r>
          </w:p>
        </w:tc>
      </w:tr>
      <w:tr w:rsidR="004F09C6">
        <w:trPr>
          <w:cantSplit/>
        </w:trPr>
        <w:tc>
          <w:tcPr>
            <w:tcW w:w="2160" w:type="dxa"/>
            <w:vMerge/>
            <w:shd w:val="clear" w:color="auto" w:fill="auto"/>
            <w:vAlign w:val="center"/>
          </w:tcPr>
          <w:p w:rsidR="004F09C6" w:rsidRPr="00E71E58" w:rsidRDefault="004F09C6" w:rsidP="002548EA">
            <w:pPr>
              <w:pStyle w:val="TableText"/>
            </w:pPr>
          </w:p>
        </w:tc>
        <w:tc>
          <w:tcPr>
            <w:tcW w:w="720" w:type="dxa"/>
            <w:shd w:val="clear" w:color="auto" w:fill="auto"/>
            <w:vAlign w:val="bottom"/>
          </w:tcPr>
          <w:p w:rsidR="004F09C6" w:rsidRDefault="004F09C6" w:rsidP="002548EA">
            <w:pPr>
              <w:pStyle w:val="TableText"/>
            </w:pPr>
            <w:r>
              <w:t>E067</w:t>
            </w:r>
          </w:p>
        </w:tc>
        <w:tc>
          <w:tcPr>
            <w:tcW w:w="2160" w:type="dxa"/>
            <w:shd w:val="clear" w:color="auto" w:fill="auto"/>
            <w:vAlign w:val="bottom"/>
          </w:tcPr>
          <w:p w:rsidR="004F09C6" w:rsidRDefault="004F09C6" w:rsidP="002548EA">
            <w:pPr>
              <w:pStyle w:val="TableText"/>
            </w:pPr>
            <w:r>
              <w:t>FFP_Recon</w:t>
            </w:r>
          </w:p>
        </w:tc>
        <w:tc>
          <w:tcPr>
            <w:tcW w:w="4320" w:type="dxa"/>
            <w:shd w:val="clear" w:color="auto" w:fill="auto"/>
            <w:vAlign w:val="bottom"/>
          </w:tcPr>
          <w:p w:rsidR="004F09C6" w:rsidRDefault="004F09C6" w:rsidP="002548EA">
            <w:pPr>
              <w:pStyle w:val="TableText"/>
            </w:pPr>
            <w:r>
              <w:t>Reconstituted FRESH FROZEN PLASMA</w:t>
            </w:r>
          </w:p>
        </w:tc>
      </w:tr>
      <w:tr w:rsidR="00887834" w:rsidRPr="00887834">
        <w:trPr>
          <w:cantSplit/>
        </w:trPr>
        <w:tc>
          <w:tcPr>
            <w:tcW w:w="2160" w:type="dxa"/>
            <w:vMerge w:val="restart"/>
            <w:shd w:val="clear" w:color="auto" w:fill="auto"/>
            <w:vAlign w:val="center"/>
          </w:tcPr>
          <w:p w:rsidR="002548EA" w:rsidRPr="00887834" w:rsidRDefault="002548EA" w:rsidP="002548EA">
            <w:pPr>
              <w:pStyle w:val="TableText"/>
              <w:rPr>
                <w:rFonts w:ascii="Arial Unicode MS" w:eastAsia="Arial Unicode MS" w:hAnsi="Arial Unicode MS"/>
              </w:rPr>
            </w:pPr>
            <w:r>
              <w:t>CRYOPRECIPITATE</w:t>
            </w:r>
          </w:p>
        </w:tc>
        <w:tc>
          <w:tcPr>
            <w:tcW w:w="720" w:type="dxa"/>
            <w:shd w:val="clear" w:color="auto" w:fill="auto"/>
            <w:vAlign w:val="bottom"/>
          </w:tcPr>
          <w:p w:rsidR="002548EA" w:rsidRPr="00887834" w:rsidRDefault="002548EA" w:rsidP="002548EA">
            <w:pPr>
              <w:pStyle w:val="TableText"/>
              <w:rPr>
                <w:rFonts w:ascii="Arial Unicode MS" w:eastAsia="Arial Unicode MS" w:hAnsi="Arial Unicode MS"/>
              </w:rPr>
            </w:pPr>
            <w:r>
              <w:t>E028</w:t>
            </w:r>
          </w:p>
        </w:tc>
        <w:tc>
          <w:tcPr>
            <w:tcW w:w="2160" w:type="dxa"/>
            <w:shd w:val="clear" w:color="auto" w:fill="auto"/>
            <w:vAlign w:val="bottom"/>
          </w:tcPr>
          <w:p w:rsidR="002548EA" w:rsidRPr="00887834" w:rsidRDefault="002548EA" w:rsidP="002548EA">
            <w:pPr>
              <w:pStyle w:val="TableText"/>
              <w:rPr>
                <w:rFonts w:ascii="Arial Unicode MS" w:eastAsia="Arial Unicode MS" w:hAnsi="Arial Unicode MS"/>
              </w:rPr>
            </w:pPr>
            <w:r>
              <w:t>CRYO</w:t>
            </w:r>
          </w:p>
        </w:tc>
        <w:tc>
          <w:tcPr>
            <w:tcW w:w="4320" w:type="dxa"/>
            <w:shd w:val="clear" w:color="auto" w:fill="auto"/>
            <w:vAlign w:val="bottom"/>
          </w:tcPr>
          <w:p w:rsidR="002548EA" w:rsidRPr="00887834" w:rsidRDefault="002548EA" w:rsidP="002548EA">
            <w:pPr>
              <w:pStyle w:val="TableText"/>
              <w:rPr>
                <w:rFonts w:ascii="Arial Unicode MS" w:eastAsia="Arial Unicode MS" w:hAnsi="Arial Unicode MS"/>
              </w:rPr>
            </w:pPr>
            <w:r>
              <w:t>CRYOPRECIPITATE</w:t>
            </w:r>
          </w:p>
        </w:tc>
      </w:tr>
      <w:tr w:rsidR="00887834" w:rsidRPr="00887834">
        <w:trPr>
          <w:cantSplit/>
        </w:trPr>
        <w:tc>
          <w:tcPr>
            <w:tcW w:w="2160" w:type="dxa"/>
            <w:vMerge/>
            <w:shd w:val="clear" w:color="auto" w:fill="auto"/>
            <w:vAlign w:val="center"/>
          </w:tcPr>
          <w:p w:rsidR="002548EA" w:rsidRPr="00E71E58" w:rsidRDefault="002548EA" w:rsidP="002548EA">
            <w:pPr>
              <w:pStyle w:val="TableText"/>
            </w:pPr>
          </w:p>
        </w:tc>
        <w:tc>
          <w:tcPr>
            <w:tcW w:w="720" w:type="dxa"/>
            <w:shd w:val="clear" w:color="auto" w:fill="auto"/>
            <w:vAlign w:val="bottom"/>
          </w:tcPr>
          <w:p w:rsidR="002548EA" w:rsidRPr="00887834" w:rsidRDefault="002548EA" w:rsidP="002548EA">
            <w:pPr>
              <w:pStyle w:val="TableText"/>
              <w:rPr>
                <w:rFonts w:ascii="Arial Unicode MS" w:eastAsia="Arial Unicode MS" w:hAnsi="Arial Unicode MS"/>
              </w:rPr>
            </w:pPr>
            <w:r>
              <w:t>E029</w:t>
            </w:r>
          </w:p>
        </w:tc>
        <w:tc>
          <w:tcPr>
            <w:tcW w:w="2160" w:type="dxa"/>
            <w:shd w:val="clear" w:color="auto" w:fill="auto"/>
            <w:vAlign w:val="bottom"/>
          </w:tcPr>
          <w:p w:rsidR="002548EA" w:rsidRPr="00887834" w:rsidRDefault="002548EA" w:rsidP="002548EA">
            <w:pPr>
              <w:pStyle w:val="TableText"/>
              <w:rPr>
                <w:rFonts w:ascii="Arial Unicode MS" w:eastAsia="Arial Unicode MS" w:hAnsi="Arial Unicode MS"/>
              </w:rPr>
            </w:pPr>
            <w:r>
              <w:t>CRYO_Thaw</w:t>
            </w:r>
          </w:p>
        </w:tc>
        <w:tc>
          <w:tcPr>
            <w:tcW w:w="4320" w:type="dxa"/>
            <w:shd w:val="clear" w:color="auto" w:fill="auto"/>
            <w:vAlign w:val="bottom"/>
          </w:tcPr>
          <w:p w:rsidR="002548EA" w:rsidRPr="00887834" w:rsidRDefault="002548EA" w:rsidP="002548EA">
            <w:pPr>
              <w:pStyle w:val="TableText"/>
              <w:rPr>
                <w:rFonts w:ascii="Arial Unicode MS" w:eastAsia="Arial Unicode MS" w:hAnsi="Arial Unicode MS"/>
              </w:rPr>
            </w:pPr>
            <w:r>
              <w:t>Thawed CRYOPRECIPITATE</w:t>
            </w:r>
          </w:p>
        </w:tc>
      </w:tr>
      <w:tr w:rsidR="00887834" w:rsidRPr="00887834">
        <w:trPr>
          <w:cantSplit/>
        </w:trPr>
        <w:tc>
          <w:tcPr>
            <w:tcW w:w="2160" w:type="dxa"/>
            <w:vMerge/>
            <w:shd w:val="clear" w:color="auto" w:fill="auto"/>
            <w:vAlign w:val="center"/>
          </w:tcPr>
          <w:p w:rsidR="002548EA" w:rsidRPr="00E71E58" w:rsidRDefault="002548EA" w:rsidP="002548EA">
            <w:pPr>
              <w:pStyle w:val="TableText"/>
            </w:pPr>
          </w:p>
        </w:tc>
        <w:tc>
          <w:tcPr>
            <w:tcW w:w="720" w:type="dxa"/>
            <w:shd w:val="clear" w:color="auto" w:fill="auto"/>
            <w:vAlign w:val="bottom"/>
          </w:tcPr>
          <w:p w:rsidR="002548EA" w:rsidRPr="00887834" w:rsidRDefault="002548EA" w:rsidP="002548EA">
            <w:pPr>
              <w:pStyle w:val="TableText"/>
              <w:rPr>
                <w:rFonts w:ascii="Arial Unicode MS" w:eastAsia="Arial Unicode MS" w:hAnsi="Arial Unicode MS"/>
              </w:rPr>
            </w:pPr>
            <w:r>
              <w:t>E030</w:t>
            </w:r>
          </w:p>
        </w:tc>
        <w:tc>
          <w:tcPr>
            <w:tcW w:w="2160" w:type="dxa"/>
            <w:shd w:val="clear" w:color="auto" w:fill="auto"/>
            <w:vAlign w:val="bottom"/>
          </w:tcPr>
          <w:p w:rsidR="002548EA" w:rsidRPr="00887834" w:rsidRDefault="002548EA" w:rsidP="002548EA">
            <w:pPr>
              <w:pStyle w:val="TableText"/>
              <w:rPr>
                <w:rFonts w:ascii="Arial Unicode MS" w:eastAsia="Arial Unicode MS" w:hAnsi="Arial Unicode MS"/>
              </w:rPr>
            </w:pPr>
            <w:r>
              <w:t>CRYO_Pool</w:t>
            </w:r>
          </w:p>
        </w:tc>
        <w:tc>
          <w:tcPr>
            <w:tcW w:w="4320" w:type="dxa"/>
            <w:shd w:val="clear" w:color="auto" w:fill="auto"/>
            <w:vAlign w:val="bottom"/>
          </w:tcPr>
          <w:p w:rsidR="002548EA" w:rsidRPr="00887834" w:rsidRDefault="002548EA" w:rsidP="002548EA">
            <w:pPr>
              <w:pStyle w:val="TableText"/>
              <w:rPr>
                <w:rFonts w:ascii="Arial Unicode MS" w:eastAsia="Arial Unicode MS" w:hAnsi="Arial Unicode MS"/>
              </w:rPr>
            </w:pPr>
            <w:r>
              <w:t>POOLED CRYOPRECIPITATE</w:t>
            </w:r>
          </w:p>
        </w:tc>
      </w:tr>
      <w:tr w:rsidR="00887834" w:rsidRPr="00887834">
        <w:trPr>
          <w:cantSplit/>
        </w:trPr>
        <w:tc>
          <w:tcPr>
            <w:tcW w:w="2160" w:type="dxa"/>
            <w:vMerge/>
            <w:shd w:val="clear" w:color="auto" w:fill="auto"/>
            <w:vAlign w:val="center"/>
          </w:tcPr>
          <w:p w:rsidR="002548EA" w:rsidRPr="00E71E58" w:rsidRDefault="002548EA" w:rsidP="002548EA">
            <w:pPr>
              <w:pStyle w:val="TableText"/>
            </w:pPr>
          </w:p>
        </w:tc>
        <w:tc>
          <w:tcPr>
            <w:tcW w:w="720" w:type="dxa"/>
            <w:shd w:val="clear" w:color="auto" w:fill="auto"/>
            <w:vAlign w:val="bottom"/>
          </w:tcPr>
          <w:p w:rsidR="002548EA" w:rsidRPr="00887834" w:rsidRDefault="002548EA" w:rsidP="002548EA">
            <w:pPr>
              <w:pStyle w:val="TableText"/>
              <w:rPr>
                <w:rFonts w:ascii="Arial Unicode MS" w:eastAsia="Arial Unicode MS" w:hAnsi="Arial Unicode MS"/>
              </w:rPr>
            </w:pPr>
            <w:r>
              <w:t>E031</w:t>
            </w:r>
          </w:p>
        </w:tc>
        <w:tc>
          <w:tcPr>
            <w:tcW w:w="2160" w:type="dxa"/>
            <w:shd w:val="clear" w:color="auto" w:fill="auto"/>
            <w:vAlign w:val="bottom"/>
          </w:tcPr>
          <w:p w:rsidR="002548EA" w:rsidRPr="00887834" w:rsidRDefault="002548EA" w:rsidP="002548EA">
            <w:pPr>
              <w:pStyle w:val="TableText"/>
              <w:rPr>
                <w:rFonts w:ascii="Arial Unicode MS" w:eastAsia="Arial Unicode MS" w:hAnsi="Arial Unicode MS"/>
              </w:rPr>
            </w:pPr>
            <w:r>
              <w:t>CRYO_Pool_Thaw</w:t>
            </w:r>
          </w:p>
        </w:tc>
        <w:tc>
          <w:tcPr>
            <w:tcW w:w="4320" w:type="dxa"/>
            <w:shd w:val="clear" w:color="auto" w:fill="auto"/>
            <w:vAlign w:val="bottom"/>
          </w:tcPr>
          <w:p w:rsidR="002548EA" w:rsidRPr="00887834" w:rsidRDefault="002548EA" w:rsidP="002548EA">
            <w:pPr>
              <w:pStyle w:val="TableText"/>
              <w:rPr>
                <w:rFonts w:ascii="Arial Unicode MS" w:eastAsia="Arial Unicode MS" w:hAnsi="Arial Unicode MS"/>
              </w:rPr>
            </w:pPr>
            <w:r>
              <w:t>Thawed POOLED CRYOPRECIPITATE</w:t>
            </w:r>
          </w:p>
        </w:tc>
      </w:tr>
      <w:tr w:rsidR="00887834" w:rsidRPr="00887834">
        <w:trPr>
          <w:cantSplit/>
        </w:trPr>
        <w:tc>
          <w:tcPr>
            <w:tcW w:w="2160" w:type="dxa"/>
            <w:vMerge/>
            <w:shd w:val="clear" w:color="auto" w:fill="auto"/>
            <w:vAlign w:val="center"/>
          </w:tcPr>
          <w:p w:rsidR="002548EA" w:rsidRPr="00E71E58" w:rsidRDefault="002548EA" w:rsidP="002548EA">
            <w:pPr>
              <w:pStyle w:val="TableText"/>
            </w:pPr>
          </w:p>
        </w:tc>
        <w:tc>
          <w:tcPr>
            <w:tcW w:w="720" w:type="dxa"/>
            <w:shd w:val="clear" w:color="auto" w:fill="auto"/>
            <w:vAlign w:val="bottom"/>
          </w:tcPr>
          <w:p w:rsidR="002548EA" w:rsidRPr="00887834" w:rsidRDefault="002548EA" w:rsidP="002548EA">
            <w:pPr>
              <w:pStyle w:val="TableText"/>
              <w:rPr>
                <w:rFonts w:ascii="Arial Unicode MS" w:eastAsia="Arial Unicode MS" w:hAnsi="Arial Unicode MS"/>
              </w:rPr>
            </w:pPr>
            <w:r>
              <w:t>E032</w:t>
            </w:r>
          </w:p>
        </w:tc>
        <w:tc>
          <w:tcPr>
            <w:tcW w:w="2160" w:type="dxa"/>
            <w:shd w:val="clear" w:color="auto" w:fill="auto"/>
            <w:vAlign w:val="bottom"/>
          </w:tcPr>
          <w:p w:rsidR="002548EA" w:rsidRPr="00887834" w:rsidRDefault="002548EA" w:rsidP="002548EA">
            <w:pPr>
              <w:pStyle w:val="TableText"/>
              <w:rPr>
                <w:rFonts w:ascii="Arial Unicode MS" w:eastAsia="Arial Unicode MS" w:hAnsi="Arial Unicode MS"/>
              </w:rPr>
            </w:pPr>
            <w:r>
              <w:t>CRYO_AFR</w:t>
            </w:r>
          </w:p>
        </w:tc>
        <w:tc>
          <w:tcPr>
            <w:tcW w:w="4320" w:type="dxa"/>
            <w:shd w:val="clear" w:color="auto" w:fill="auto"/>
            <w:vAlign w:val="bottom"/>
          </w:tcPr>
          <w:p w:rsidR="002548EA" w:rsidRPr="00887834" w:rsidRDefault="002548EA" w:rsidP="002548EA">
            <w:pPr>
              <w:pStyle w:val="TableText"/>
              <w:rPr>
                <w:rFonts w:ascii="Arial Unicode MS" w:eastAsia="Arial Unicode MS" w:hAnsi="Arial Unicode MS"/>
              </w:rPr>
            </w:pPr>
            <w:r>
              <w:t>Apheresis CRYOPRECIPITATE</w:t>
            </w:r>
          </w:p>
        </w:tc>
      </w:tr>
      <w:tr w:rsidR="00887834" w:rsidRPr="00887834">
        <w:trPr>
          <w:cantSplit/>
        </w:trPr>
        <w:tc>
          <w:tcPr>
            <w:tcW w:w="2160" w:type="dxa"/>
            <w:vMerge/>
            <w:shd w:val="clear" w:color="auto" w:fill="auto"/>
            <w:vAlign w:val="center"/>
          </w:tcPr>
          <w:p w:rsidR="002548EA" w:rsidRPr="00E71E58" w:rsidRDefault="002548EA" w:rsidP="002548EA">
            <w:pPr>
              <w:pStyle w:val="TableText"/>
            </w:pPr>
          </w:p>
        </w:tc>
        <w:tc>
          <w:tcPr>
            <w:tcW w:w="720" w:type="dxa"/>
            <w:shd w:val="clear" w:color="auto" w:fill="auto"/>
            <w:vAlign w:val="bottom"/>
          </w:tcPr>
          <w:p w:rsidR="002548EA" w:rsidRPr="00887834" w:rsidRDefault="002548EA" w:rsidP="002548EA">
            <w:pPr>
              <w:pStyle w:val="TableText"/>
              <w:rPr>
                <w:rFonts w:ascii="Arial Unicode MS" w:eastAsia="Arial Unicode MS" w:hAnsi="Arial Unicode MS"/>
              </w:rPr>
            </w:pPr>
            <w:r>
              <w:t>E033</w:t>
            </w:r>
          </w:p>
        </w:tc>
        <w:tc>
          <w:tcPr>
            <w:tcW w:w="2160" w:type="dxa"/>
            <w:shd w:val="clear" w:color="auto" w:fill="auto"/>
            <w:vAlign w:val="bottom"/>
          </w:tcPr>
          <w:p w:rsidR="002548EA" w:rsidRPr="00887834" w:rsidRDefault="002548EA" w:rsidP="002548EA">
            <w:pPr>
              <w:pStyle w:val="TableText"/>
              <w:rPr>
                <w:rFonts w:ascii="Arial Unicode MS" w:eastAsia="Arial Unicode MS" w:hAnsi="Arial Unicode MS"/>
              </w:rPr>
            </w:pPr>
            <w:r>
              <w:t>CRYO_AFR_Thaw</w:t>
            </w:r>
          </w:p>
        </w:tc>
        <w:tc>
          <w:tcPr>
            <w:tcW w:w="4320" w:type="dxa"/>
            <w:shd w:val="clear" w:color="auto" w:fill="auto"/>
            <w:vAlign w:val="bottom"/>
          </w:tcPr>
          <w:p w:rsidR="002548EA" w:rsidRPr="00887834" w:rsidRDefault="002548EA" w:rsidP="002548EA">
            <w:pPr>
              <w:pStyle w:val="TableText"/>
              <w:rPr>
                <w:rFonts w:ascii="Arial Unicode MS" w:eastAsia="Arial Unicode MS" w:hAnsi="Arial Unicode MS"/>
              </w:rPr>
            </w:pPr>
            <w:r>
              <w:t>Thawed Apheresis CRYOPRECIPITATE</w:t>
            </w:r>
          </w:p>
        </w:tc>
      </w:tr>
      <w:tr w:rsidR="00B77280" w:rsidRPr="00887834">
        <w:trPr>
          <w:cantSplit/>
        </w:trPr>
        <w:tc>
          <w:tcPr>
            <w:tcW w:w="2160" w:type="dxa"/>
            <w:vMerge w:val="restart"/>
            <w:shd w:val="clear" w:color="auto" w:fill="auto"/>
            <w:vAlign w:val="center"/>
          </w:tcPr>
          <w:p w:rsidR="00B77280" w:rsidRPr="00156A4C" w:rsidRDefault="00B77280" w:rsidP="002548EA">
            <w:pPr>
              <w:pStyle w:val="TableText"/>
            </w:pPr>
            <w:r>
              <w:t>OTHER</w:t>
            </w:r>
          </w:p>
        </w:tc>
        <w:tc>
          <w:tcPr>
            <w:tcW w:w="720" w:type="dxa"/>
            <w:shd w:val="clear" w:color="auto" w:fill="auto"/>
            <w:vAlign w:val="bottom"/>
          </w:tcPr>
          <w:p w:rsidR="00B77280" w:rsidRPr="00887834" w:rsidRDefault="00B77280" w:rsidP="002548EA">
            <w:pPr>
              <w:pStyle w:val="TableText"/>
              <w:rPr>
                <w:rFonts w:ascii="Arial Unicode MS" w:eastAsia="Arial Unicode MS" w:hAnsi="Arial Unicode MS"/>
              </w:rPr>
            </w:pPr>
            <w:r>
              <w:t>E019</w:t>
            </w:r>
          </w:p>
        </w:tc>
        <w:tc>
          <w:tcPr>
            <w:tcW w:w="2160" w:type="dxa"/>
            <w:shd w:val="clear" w:color="auto" w:fill="auto"/>
            <w:vAlign w:val="bottom"/>
          </w:tcPr>
          <w:p w:rsidR="00B77280" w:rsidRPr="00887834" w:rsidRDefault="00B77280" w:rsidP="002548EA">
            <w:pPr>
              <w:pStyle w:val="TableText"/>
              <w:rPr>
                <w:rFonts w:ascii="Arial Unicode MS" w:eastAsia="Arial Unicode MS" w:hAnsi="Arial Unicode MS"/>
              </w:rPr>
            </w:pPr>
            <w:r>
              <w:t>PLASMA_PltRch</w:t>
            </w:r>
          </w:p>
        </w:tc>
        <w:tc>
          <w:tcPr>
            <w:tcW w:w="4320" w:type="dxa"/>
            <w:shd w:val="clear" w:color="auto" w:fill="auto"/>
            <w:vAlign w:val="bottom"/>
          </w:tcPr>
          <w:p w:rsidR="00B77280" w:rsidRPr="00887834" w:rsidRDefault="00B77280" w:rsidP="002548EA">
            <w:pPr>
              <w:pStyle w:val="TableText"/>
              <w:rPr>
                <w:rFonts w:ascii="Arial Unicode MS" w:eastAsia="Arial Unicode MS" w:hAnsi="Arial Unicode MS"/>
              </w:rPr>
            </w:pPr>
            <w:r>
              <w:t>PLATELET RICH PLASMA</w:t>
            </w:r>
          </w:p>
        </w:tc>
      </w:tr>
      <w:tr w:rsidR="00B77280" w:rsidRPr="00887834">
        <w:trPr>
          <w:cantSplit/>
        </w:trPr>
        <w:tc>
          <w:tcPr>
            <w:tcW w:w="2160" w:type="dxa"/>
            <w:vMerge/>
            <w:shd w:val="clear" w:color="auto" w:fill="auto"/>
            <w:vAlign w:val="center"/>
          </w:tcPr>
          <w:p w:rsidR="00B77280" w:rsidRPr="00156A4C" w:rsidRDefault="00B77280" w:rsidP="002548EA">
            <w:pPr>
              <w:pStyle w:val="TableText"/>
            </w:pPr>
          </w:p>
        </w:tc>
        <w:tc>
          <w:tcPr>
            <w:tcW w:w="720" w:type="dxa"/>
            <w:shd w:val="clear" w:color="auto" w:fill="auto"/>
            <w:vAlign w:val="bottom"/>
          </w:tcPr>
          <w:p w:rsidR="00B77280" w:rsidRPr="00887834" w:rsidRDefault="00B77280" w:rsidP="002548EA">
            <w:pPr>
              <w:pStyle w:val="TableText"/>
              <w:rPr>
                <w:rFonts w:ascii="Arial Unicode MS" w:eastAsia="Arial Unicode MS" w:hAnsi="Arial Unicode MS"/>
              </w:rPr>
            </w:pPr>
            <w:r>
              <w:t>E034</w:t>
            </w:r>
          </w:p>
        </w:tc>
        <w:tc>
          <w:tcPr>
            <w:tcW w:w="2160" w:type="dxa"/>
            <w:shd w:val="clear" w:color="auto" w:fill="auto"/>
            <w:vAlign w:val="bottom"/>
          </w:tcPr>
          <w:p w:rsidR="00B77280" w:rsidRPr="00887834" w:rsidRDefault="00B77280" w:rsidP="002548EA">
            <w:pPr>
              <w:pStyle w:val="TableText"/>
              <w:rPr>
                <w:rFonts w:ascii="Arial Unicode MS" w:eastAsia="Arial Unicode MS" w:hAnsi="Arial Unicode MS"/>
              </w:rPr>
            </w:pPr>
            <w:r>
              <w:t>GRAN</w:t>
            </w:r>
          </w:p>
        </w:tc>
        <w:tc>
          <w:tcPr>
            <w:tcW w:w="4320" w:type="dxa"/>
            <w:shd w:val="clear" w:color="auto" w:fill="auto"/>
            <w:vAlign w:val="bottom"/>
          </w:tcPr>
          <w:p w:rsidR="00B77280" w:rsidRPr="00887834" w:rsidRDefault="00B77280" w:rsidP="002548EA">
            <w:pPr>
              <w:pStyle w:val="TableText"/>
              <w:rPr>
                <w:rFonts w:ascii="Arial Unicode MS" w:eastAsia="Arial Unicode MS" w:hAnsi="Arial Unicode MS"/>
              </w:rPr>
            </w:pPr>
            <w:r>
              <w:t>GRANULOCYTES</w:t>
            </w:r>
          </w:p>
        </w:tc>
      </w:tr>
      <w:tr w:rsidR="00B77280" w:rsidRPr="00887834">
        <w:trPr>
          <w:cantSplit/>
        </w:trPr>
        <w:tc>
          <w:tcPr>
            <w:tcW w:w="2160" w:type="dxa"/>
            <w:vMerge/>
            <w:shd w:val="clear" w:color="auto" w:fill="auto"/>
            <w:vAlign w:val="center"/>
          </w:tcPr>
          <w:p w:rsidR="00B77280" w:rsidRPr="00156A4C" w:rsidRDefault="00B77280" w:rsidP="002548EA">
            <w:pPr>
              <w:pStyle w:val="TableText"/>
            </w:pPr>
          </w:p>
        </w:tc>
        <w:tc>
          <w:tcPr>
            <w:tcW w:w="720" w:type="dxa"/>
            <w:shd w:val="clear" w:color="auto" w:fill="auto"/>
            <w:vAlign w:val="bottom"/>
          </w:tcPr>
          <w:p w:rsidR="00B77280" w:rsidRPr="00887834" w:rsidRDefault="00B77280" w:rsidP="002548EA">
            <w:pPr>
              <w:pStyle w:val="TableText"/>
              <w:rPr>
                <w:rFonts w:ascii="Arial Unicode MS" w:eastAsia="Arial Unicode MS" w:hAnsi="Arial Unicode MS"/>
              </w:rPr>
            </w:pPr>
            <w:r>
              <w:t>E035</w:t>
            </w:r>
          </w:p>
        </w:tc>
        <w:tc>
          <w:tcPr>
            <w:tcW w:w="2160" w:type="dxa"/>
            <w:shd w:val="clear" w:color="auto" w:fill="auto"/>
            <w:vAlign w:val="bottom"/>
          </w:tcPr>
          <w:p w:rsidR="00B77280" w:rsidRPr="00887834" w:rsidRDefault="00B77280" w:rsidP="002548EA">
            <w:pPr>
              <w:pStyle w:val="TableText"/>
              <w:rPr>
                <w:rFonts w:ascii="Arial Unicode MS" w:eastAsia="Arial Unicode MS" w:hAnsi="Arial Unicode MS"/>
              </w:rPr>
            </w:pPr>
            <w:r>
              <w:t>GRAN_AFR</w:t>
            </w:r>
          </w:p>
        </w:tc>
        <w:tc>
          <w:tcPr>
            <w:tcW w:w="4320" w:type="dxa"/>
            <w:shd w:val="clear" w:color="auto" w:fill="auto"/>
            <w:vAlign w:val="bottom"/>
          </w:tcPr>
          <w:p w:rsidR="00B77280" w:rsidRPr="00887834" w:rsidRDefault="00B77280" w:rsidP="002548EA">
            <w:pPr>
              <w:pStyle w:val="TableText"/>
              <w:rPr>
                <w:rFonts w:ascii="Arial Unicode MS" w:eastAsia="Arial Unicode MS" w:hAnsi="Arial Unicode MS"/>
              </w:rPr>
            </w:pPr>
            <w:r>
              <w:t>Apheresis GRANULOCYTES</w:t>
            </w:r>
          </w:p>
        </w:tc>
      </w:tr>
      <w:tr w:rsidR="00B77280" w:rsidRPr="00887834">
        <w:trPr>
          <w:cantSplit/>
        </w:trPr>
        <w:tc>
          <w:tcPr>
            <w:tcW w:w="2160" w:type="dxa"/>
            <w:vMerge/>
            <w:shd w:val="clear" w:color="auto" w:fill="auto"/>
            <w:vAlign w:val="center"/>
          </w:tcPr>
          <w:p w:rsidR="00B77280" w:rsidRPr="00156A4C" w:rsidRDefault="00B77280" w:rsidP="002548EA">
            <w:pPr>
              <w:pStyle w:val="TableText"/>
            </w:pPr>
          </w:p>
        </w:tc>
        <w:tc>
          <w:tcPr>
            <w:tcW w:w="720" w:type="dxa"/>
            <w:shd w:val="clear" w:color="auto" w:fill="auto"/>
            <w:vAlign w:val="bottom"/>
          </w:tcPr>
          <w:p w:rsidR="00B77280" w:rsidRPr="00887834" w:rsidRDefault="00B77280" w:rsidP="002548EA">
            <w:pPr>
              <w:pStyle w:val="TableText"/>
              <w:rPr>
                <w:rFonts w:ascii="Arial Unicode MS" w:eastAsia="Arial Unicode MS" w:hAnsi="Arial Unicode MS"/>
              </w:rPr>
            </w:pPr>
            <w:r>
              <w:t>E036</w:t>
            </w:r>
          </w:p>
        </w:tc>
        <w:tc>
          <w:tcPr>
            <w:tcW w:w="2160" w:type="dxa"/>
            <w:shd w:val="clear" w:color="auto" w:fill="auto"/>
            <w:vAlign w:val="bottom"/>
          </w:tcPr>
          <w:p w:rsidR="00B77280" w:rsidRPr="00887834" w:rsidRDefault="00B77280" w:rsidP="002548EA">
            <w:pPr>
              <w:pStyle w:val="TableText"/>
              <w:rPr>
                <w:rFonts w:ascii="Arial Unicode MS" w:eastAsia="Arial Unicode MS" w:hAnsi="Arial Unicode MS"/>
              </w:rPr>
            </w:pPr>
            <w:r>
              <w:t>GRAN_Pool</w:t>
            </w:r>
          </w:p>
        </w:tc>
        <w:tc>
          <w:tcPr>
            <w:tcW w:w="4320" w:type="dxa"/>
            <w:shd w:val="clear" w:color="auto" w:fill="auto"/>
            <w:vAlign w:val="bottom"/>
          </w:tcPr>
          <w:p w:rsidR="00B77280" w:rsidRPr="00887834" w:rsidRDefault="00B77280" w:rsidP="002548EA">
            <w:pPr>
              <w:pStyle w:val="TableText"/>
              <w:rPr>
                <w:rFonts w:ascii="Arial Unicode MS" w:eastAsia="Arial Unicode MS" w:hAnsi="Arial Unicode MS"/>
              </w:rPr>
            </w:pPr>
            <w:r>
              <w:t>POOLED GRANULOCYTES</w:t>
            </w:r>
          </w:p>
        </w:tc>
      </w:tr>
      <w:tr w:rsidR="00B77280" w:rsidRPr="00887834">
        <w:trPr>
          <w:cantSplit/>
        </w:trPr>
        <w:tc>
          <w:tcPr>
            <w:tcW w:w="2160" w:type="dxa"/>
            <w:vMerge/>
            <w:shd w:val="clear" w:color="auto" w:fill="auto"/>
            <w:vAlign w:val="center"/>
          </w:tcPr>
          <w:p w:rsidR="00B77280" w:rsidRPr="00156A4C" w:rsidRDefault="00B77280" w:rsidP="002548EA">
            <w:pPr>
              <w:pStyle w:val="TableText"/>
            </w:pPr>
          </w:p>
        </w:tc>
        <w:tc>
          <w:tcPr>
            <w:tcW w:w="720" w:type="dxa"/>
            <w:shd w:val="clear" w:color="auto" w:fill="auto"/>
            <w:vAlign w:val="bottom"/>
          </w:tcPr>
          <w:p w:rsidR="00B77280" w:rsidRPr="00887834" w:rsidRDefault="00B77280" w:rsidP="002548EA">
            <w:pPr>
              <w:pStyle w:val="TableText"/>
              <w:rPr>
                <w:rFonts w:ascii="Arial Unicode MS" w:eastAsia="Arial Unicode MS" w:hAnsi="Arial Unicode MS"/>
              </w:rPr>
            </w:pPr>
            <w:r>
              <w:t>E037</w:t>
            </w:r>
          </w:p>
        </w:tc>
        <w:tc>
          <w:tcPr>
            <w:tcW w:w="2160" w:type="dxa"/>
            <w:shd w:val="clear" w:color="auto" w:fill="auto"/>
            <w:vAlign w:val="bottom"/>
          </w:tcPr>
          <w:p w:rsidR="00B77280" w:rsidRPr="00887834" w:rsidRDefault="00B77280" w:rsidP="002548EA">
            <w:pPr>
              <w:pStyle w:val="TableText"/>
              <w:rPr>
                <w:rFonts w:ascii="Arial Unicode MS" w:eastAsia="Arial Unicode MS" w:hAnsi="Arial Unicode MS"/>
              </w:rPr>
            </w:pPr>
            <w:r>
              <w:t>GRAN-PLT_AFR</w:t>
            </w:r>
          </w:p>
        </w:tc>
        <w:tc>
          <w:tcPr>
            <w:tcW w:w="4320" w:type="dxa"/>
            <w:shd w:val="clear" w:color="auto" w:fill="auto"/>
            <w:vAlign w:val="bottom"/>
          </w:tcPr>
          <w:p w:rsidR="00B77280" w:rsidRPr="00887834" w:rsidRDefault="00B77280" w:rsidP="002548EA">
            <w:pPr>
              <w:pStyle w:val="TableText"/>
              <w:rPr>
                <w:rFonts w:ascii="Arial Unicode MS" w:eastAsia="Arial Unicode MS" w:hAnsi="Arial Unicode MS"/>
              </w:rPr>
            </w:pPr>
            <w:r>
              <w:t>Apheresis GRANULOCYTES-PLATELETS</w:t>
            </w:r>
          </w:p>
        </w:tc>
      </w:tr>
      <w:tr w:rsidR="00B77280" w:rsidRPr="00887834">
        <w:trPr>
          <w:cantSplit/>
        </w:trPr>
        <w:tc>
          <w:tcPr>
            <w:tcW w:w="2160" w:type="dxa"/>
            <w:vMerge/>
            <w:shd w:val="clear" w:color="auto" w:fill="auto"/>
            <w:vAlign w:val="center"/>
          </w:tcPr>
          <w:p w:rsidR="00B77280" w:rsidRPr="00156A4C" w:rsidRDefault="00B77280" w:rsidP="002548EA">
            <w:pPr>
              <w:pStyle w:val="TableText"/>
            </w:pPr>
          </w:p>
        </w:tc>
        <w:tc>
          <w:tcPr>
            <w:tcW w:w="720" w:type="dxa"/>
            <w:shd w:val="clear" w:color="auto" w:fill="auto"/>
            <w:vAlign w:val="bottom"/>
          </w:tcPr>
          <w:p w:rsidR="00B77280" w:rsidRPr="00887834" w:rsidRDefault="00B77280" w:rsidP="002548EA">
            <w:pPr>
              <w:pStyle w:val="TableText"/>
              <w:rPr>
                <w:rFonts w:ascii="Arial Unicode MS" w:eastAsia="Arial Unicode MS" w:hAnsi="Arial Unicode MS"/>
              </w:rPr>
            </w:pPr>
            <w:r>
              <w:t>E038</w:t>
            </w:r>
          </w:p>
        </w:tc>
        <w:tc>
          <w:tcPr>
            <w:tcW w:w="2160" w:type="dxa"/>
            <w:shd w:val="clear" w:color="auto" w:fill="auto"/>
            <w:vAlign w:val="bottom"/>
          </w:tcPr>
          <w:p w:rsidR="00B77280" w:rsidRPr="00887834" w:rsidRDefault="00B77280" w:rsidP="002548EA">
            <w:pPr>
              <w:pStyle w:val="TableText"/>
              <w:rPr>
                <w:rFonts w:ascii="Arial Unicode MS" w:eastAsia="Arial Unicode MS" w:hAnsi="Arial Unicode MS"/>
              </w:rPr>
            </w:pPr>
            <w:r>
              <w:t>LEUK</w:t>
            </w:r>
          </w:p>
        </w:tc>
        <w:tc>
          <w:tcPr>
            <w:tcW w:w="4320" w:type="dxa"/>
            <w:shd w:val="clear" w:color="auto" w:fill="auto"/>
            <w:vAlign w:val="bottom"/>
          </w:tcPr>
          <w:p w:rsidR="00B77280" w:rsidRPr="00887834" w:rsidRDefault="00B77280" w:rsidP="002548EA">
            <w:pPr>
              <w:pStyle w:val="TableText"/>
              <w:rPr>
                <w:rFonts w:ascii="Arial Unicode MS" w:eastAsia="Arial Unicode MS" w:hAnsi="Arial Unicode MS"/>
              </w:rPr>
            </w:pPr>
            <w:r>
              <w:t>LEUKOCYTES</w:t>
            </w:r>
          </w:p>
        </w:tc>
      </w:tr>
      <w:tr w:rsidR="00B77280" w:rsidRPr="00887834">
        <w:trPr>
          <w:cantSplit/>
        </w:trPr>
        <w:tc>
          <w:tcPr>
            <w:tcW w:w="2160" w:type="dxa"/>
            <w:vMerge/>
            <w:shd w:val="clear" w:color="auto" w:fill="auto"/>
            <w:vAlign w:val="center"/>
          </w:tcPr>
          <w:p w:rsidR="00B77280" w:rsidRPr="00156A4C" w:rsidRDefault="00B77280" w:rsidP="002548EA">
            <w:pPr>
              <w:pStyle w:val="TableText"/>
            </w:pPr>
          </w:p>
        </w:tc>
        <w:tc>
          <w:tcPr>
            <w:tcW w:w="720" w:type="dxa"/>
            <w:shd w:val="clear" w:color="auto" w:fill="auto"/>
            <w:vAlign w:val="bottom"/>
          </w:tcPr>
          <w:p w:rsidR="00B77280" w:rsidRPr="00887834" w:rsidRDefault="00B77280" w:rsidP="002548EA">
            <w:pPr>
              <w:pStyle w:val="TableText"/>
              <w:rPr>
                <w:rFonts w:ascii="Arial Unicode MS" w:eastAsia="Arial Unicode MS" w:hAnsi="Arial Unicode MS"/>
              </w:rPr>
            </w:pPr>
            <w:r>
              <w:t>E039</w:t>
            </w:r>
          </w:p>
        </w:tc>
        <w:tc>
          <w:tcPr>
            <w:tcW w:w="2160" w:type="dxa"/>
            <w:shd w:val="clear" w:color="auto" w:fill="auto"/>
            <w:vAlign w:val="bottom"/>
          </w:tcPr>
          <w:p w:rsidR="00B77280" w:rsidRPr="00887834" w:rsidRDefault="00B77280" w:rsidP="002548EA">
            <w:pPr>
              <w:pStyle w:val="TableText"/>
              <w:rPr>
                <w:rFonts w:ascii="Arial Unicode MS" w:eastAsia="Arial Unicode MS" w:hAnsi="Arial Unicode MS"/>
              </w:rPr>
            </w:pPr>
            <w:r>
              <w:t>LEUK_AFR</w:t>
            </w:r>
          </w:p>
        </w:tc>
        <w:tc>
          <w:tcPr>
            <w:tcW w:w="4320" w:type="dxa"/>
            <w:shd w:val="clear" w:color="auto" w:fill="auto"/>
            <w:vAlign w:val="bottom"/>
          </w:tcPr>
          <w:p w:rsidR="00B77280" w:rsidRPr="00887834" w:rsidRDefault="00B77280" w:rsidP="002548EA">
            <w:pPr>
              <w:pStyle w:val="TableText"/>
              <w:rPr>
                <w:rFonts w:ascii="Arial Unicode MS" w:eastAsia="Arial Unicode MS" w:hAnsi="Arial Unicode MS"/>
              </w:rPr>
            </w:pPr>
            <w:r>
              <w:t>Apheresis LEUKOCYTES</w:t>
            </w:r>
          </w:p>
        </w:tc>
      </w:tr>
      <w:tr w:rsidR="00B77280">
        <w:trPr>
          <w:cantSplit/>
        </w:trPr>
        <w:tc>
          <w:tcPr>
            <w:tcW w:w="2160" w:type="dxa"/>
            <w:vMerge/>
            <w:shd w:val="clear" w:color="auto" w:fill="auto"/>
            <w:vAlign w:val="center"/>
          </w:tcPr>
          <w:p w:rsidR="00B77280" w:rsidRPr="00156A4C" w:rsidRDefault="00B77280" w:rsidP="002548EA">
            <w:pPr>
              <w:pStyle w:val="TableText"/>
            </w:pPr>
          </w:p>
        </w:tc>
        <w:tc>
          <w:tcPr>
            <w:tcW w:w="720" w:type="dxa"/>
            <w:shd w:val="clear" w:color="auto" w:fill="auto"/>
            <w:vAlign w:val="bottom"/>
          </w:tcPr>
          <w:p w:rsidR="00B77280" w:rsidRDefault="00B77280" w:rsidP="002548EA">
            <w:pPr>
              <w:pStyle w:val="TableText"/>
            </w:pPr>
            <w:r>
              <w:t>E040</w:t>
            </w:r>
          </w:p>
        </w:tc>
        <w:tc>
          <w:tcPr>
            <w:tcW w:w="2160" w:type="dxa"/>
            <w:shd w:val="clear" w:color="auto" w:fill="auto"/>
            <w:vAlign w:val="bottom"/>
          </w:tcPr>
          <w:p w:rsidR="00B77280" w:rsidRDefault="00B77280" w:rsidP="002548EA">
            <w:pPr>
              <w:pStyle w:val="TableText"/>
            </w:pPr>
            <w:r>
              <w:t>PLASMA_Pool</w:t>
            </w:r>
          </w:p>
        </w:tc>
        <w:tc>
          <w:tcPr>
            <w:tcW w:w="4320" w:type="dxa"/>
            <w:shd w:val="clear" w:color="auto" w:fill="auto"/>
            <w:vAlign w:val="bottom"/>
          </w:tcPr>
          <w:p w:rsidR="00B77280" w:rsidRDefault="00B77280" w:rsidP="002548EA">
            <w:pPr>
              <w:pStyle w:val="TableText"/>
            </w:pPr>
            <w:r>
              <w:t>POOLED PLASMA</w:t>
            </w:r>
          </w:p>
        </w:tc>
      </w:tr>
      <w:tr w:rsidR="00B77280" w:rsidRPr="00887834">
        <w:trPr>
          <w:cantSplit/>
        </w:trPr>
        <w:tc>
          <w:tcPr>
            <w:tcW w:w="2160" w:type="dxa"/>
            <w:vMerge/>
            <w:shd w:val="clear" w:color="auto" w:fill="auto"/>
            <w:vAlign w:val="center"/>
          </w:tcPr>
          <w:p w:rsidR="00B77280" w:rsidRPr="00156A4C" w:rsidRDefault="00B77280" w:rsidP="002548EA">
            <w:pPr>
              <w:pStyle w:val="TableText"/>
            </w:pPr>
          </w:p>
        </w:tc>
        <w:tc>
          <w:tcPr>
            <w:tcW w:w="720" w:type="dxa"/>
            <w:shd w:val="clear" w:color="auto" w:fill="auto"/>
            <w:vAlign w:val="bottom"/>
          </w:tcPr>
          <w:p w:rsidR="00B77280" w:rsidRPr="00887834" w:rsidRDefault="00B77280" w:rsidP="002548EA">
            <w:pPr>
              <w:pStyle w:val="TableText"/>
              <w:rPr>
                <w:rFonts w:ascii="Arial Unicode MS" w:eastAsia="Arial Unicode MS" w:hAnsi="Arial Unicode MS"/>
              </w:rPr>
            </w:pPr>
            <w:r>
              <w:t>E042</w:t>
            </w:r>
          </w:p>
        </w:tc>
        <w:tc>
          <w:tcPr>
            <w:tcW w:w="2160" w:type="dxa"/>
            <w:shd w:val="clear" w:color="auto" w:fill="auto"/>
            <w:vAlign w:val="bottom"/>
          </w:tcPr>
          <w:p w:rsidR="00B77280" w:rsidRPr="00887834" w:rsidRDefault="00B77280" w:rsidP="002548EA">
            <w:pPr>
              <w:pStyle w:val="TableText"/>
              <w:rPr>
                <w:rFonts w:ascii="Arial Unicode MS" w:eastAsia="Arial Unicode MS" w:hAnsi="Arial Unicode MS"/>
              </w:rPr>
            </w:pPr>
            <w:r>
              <w:t>BUFFY_PltRch</w:t>
            </w:r>
          </w:p>
        </w:tc>
        <w:tc>
          <w:tcPr>
            <w:tcW w:w="4320" w:type="dxa"/>
            <w:shd w:val="clear" w:color="auto" w:fill="auto"/>
            <w:vAlign w:val="bottom"/>
          </w:tcPr>
          <w:p w:rsidR="00B77280" w:rsidRPr="00887834" w:rsidRDefault="00B77280" w:rsidP="002548EA">
            <w:pPr>
              <w:pStyle w:val="TableText"/>
              <w:rPr>
                <w:rFonts w:ascii="Arial Unicode MS" w:eastAsia="Arial Unicode MS" w:hAnsi="Arial Unicode MS"/>
              </w:rPr>
            </w:pPr>
            <w:r>
              <w:t>PLATELET RICH BUFFY COAT</w:t>
            </w:r>
          </w:p>
        </w:tc>
      </w:tr>
      <w:tr w:rsidR="00B77280" w:rsidRPr="00887834">
        <w:trPr>
          <w:cantSplit/>
        </w:trPr>
        <w:tc>
          <w:tcPr>
            <w:tcW w:w="2160" w:type="dxa"/>
            <w:vMerge/>
            <w:shd w:val="clear" w:color="auto" w:fill="auto"/>
            <w:vAlign w:val="center"/>
          </w:tcPr>
          <w:p w:rsidR="00B77280" w:rsidRPr="00156A4C" w:rsidRDefault="00B77280" w:rsidP="002548EA">
            <w:pPr>
              <w:pStyle w:val="TableText"/>
            </w:pPr>
          </w:p>
        </w:tc>
        <w:tc>
          <w:tcPr>
            <w:tcW w:w="720" w:type="dxa"/>
            <w:shd w:val="clear" w:color="auto" w:fill="auto"/>
            <w:vAlign w:val="bottom"/>
          </w:tcPr>
          <w:p w:rsidR="00B77280" w:rsidRPr="00887834" w:rsidRDefault="00B77280" w:rsidP="002548EA">
            <w:pPr>
              <w:pStyle w:val="TableText"/>
              <w:rPr>
                <w:rFonts w:ascii="Arial Unicode MS" w:eastAsia="Arial Unicode MS" w:hAnsi="Arial Unicode MS"/>
              </w:rPr>
            </w:pPr>
            <w:r>
              <w:t>E043</w:t>
            </w:r>
          </w:p>
        </w:tc>
        <w:tc>
          <w:tcPr>
            <w:tcW w:w="2160" w:type="dxa"/>
            <w:shd w:val="clear" w:color="auto" w:fill="auto"/>
            <w:vAlign w:val="bottom"/>
          </w:tcPr>
          <w:p w:rsidR="00B77280" w:rsidRPr="00887834" w:rsidRDefault="00B77280" w:rsidP="002548EA">
            <w:pPr>
              <w:pStyle w:val="TableText"/>
              <w:rPr>
                <w:rFonts w:ascii="Arial Unicode MS" w:eastAsia="Arial Unicode MS" w:hAnsi="Arial Unicode MS"/>
              </w:rPr>
            </w:pPr>
            <w:r>
              <w:t>BUFFY_PltRch_Pool</w:t>
            </w:r>
          </w:p>
        </w:tc>
        <w:tc>
          <w:tcPr>
            <w:tcW w:w="4320" w:type="dxa"/>
            <w:shd w:val="clear" w:color="auto" w:fill="auto"/>
            <w:vAlign w:val="bottom"/>
          </w:tcPr>
          <w:p w:rsidR="00B77280" w:rsidRPr="00887834" w:rsidRDefault="00B77280" w:rsidP="002548EA">
            <w:pPr>
              <w:pStyle w:val="TableText"/>
              <w:rPr>
                <w:rFonts w:ascii="Arial Unicode MS" w:eastAsia="Arial Unicode MS" w:hAnsi="Arial Unicode MS"/>
              </w:rPr>
            </w:pPr>
            <w:r>
              <w:t>POOLED PLATELET RICH BUFFY COAT</w:t>
            </w:r>
          </w:p>
        </w:tc>
      </w:tr>
      <w:tr w:rsidR="00B77280" w:rsidRPr="00887834">
        <w:trPr>
          <w:cantSplit/>
        </w:trPr>
        <w:tc>
          <w:tcPr>
            <w:tcW w:w="2160" w:type="dxa"/>
            <w:vMerge/>
            <w:shd w:val="clear" w:color="auto" w:fill="auto"/>
            <w:vAlign w:val="center"/>
          </w:tcPr>
          <w:p w:rsidR="00B77280" w:rsidRPr="00156A4C" w:rsidRDefault="00B77280" w:rsidP="002548EA">
            <w:pPr>
              <w:pStyle w:val="TableText"/>
            </w:pPr>
          </w:p>
        </w:tc>
        <w:tc>
          <w:tcPr>
            <w:tcW w:w="720" w:type="dxa"/>
            <w:shd w:val="clear" w:color="auto" w:fill="auto"/>
            <w:vAlign w:val="bottom"/>
          </w:tcPr>
          <w:p w:rsidR="00B77280" w:rsidRPr="00887834" w:rsidRDefault="00B77280" w:rsidP="002548EA">
            <w:pPr>
              <w:pStyle w:val="TableText"/>
              <w:rPr>
                <w:rFonts w:ascii="Arial Unicode MS" w:eastAsia="Arial Unicode MS" w:hAnsi="Arial Unicode MS"/>
              </w:rPr>
            </w:pPr>
            <w:r>
              <w:t>E044</w:t>
            </w:r>
          </w:p>
        </w:tc>
        <w:tc>
          <w:tcPr>
            <w:tcW w:w="2160" w:type="dxa"/>
            <w:shd w:val="clear" w:color="auto" w:fill="auto"/>
            <w:vAlign w:val="bottom"/>
          </w:tcPr>
          <w:p w:rsidR="00B77280" w:rsidRPr="00887834" w:rsidRDefault="00B77280" w:rsidP="002548EA">
            <w:pPr>
              <w:pStyle w:val="TableText"/>
              <w:rPr>
                <w:rFonts w:ascii="Arial Unicode MS" w:eastAsia="Arial Unicode MS" w:hAnsi="Arial Unicode MS"/>
              </w:rPr>
            </w:pPr>
            <w:r>
              <w:t>LYMPH_AFR</w:t>
            </w:r>
          </w:p>
        </w:tc>
        <w:tc>
          <w:tcPr>
            <w:tcW w:w="4320" w:type="dxa"/>
            <w:shd w:val="clear" w:color="auto" w:fill="auto"/>
            <w:vAlign w:val="bottom"/>
          </w:tcPr>
          <w:p w:rsidR="00B77280" w:rsidRPr="00887834" w:rsidRDefault="00B77280" w:rsidP="002548EA">
            <w:pPr>
              <w:pStyle w:val="TableText"/>
              <w:rPr>
                <w:rFonts w:ascii="Arial Unicode MS" w:eastAsia="Arial Unicode MS" w:hAnsi="Arial Unicode MS"/>
              </w:rPr>
            </w:pPr>
            <w:r>
              <w:t>Apheresis LYMPHOCYTES</w:t>
            </w:r>
          </w:p>
        </w:tc>
      </w:tr>
      <w:tr w:rsidR="00B77280" w:rsidRPr="00887834">
        <w:trPr>
          <w:cantSplit/>
        </w:trPr>
        <w:tc>
          <w:tcPr>
            <w:tcW w:w="2160" w:type="dxa"/>
            <w:vMerge/>
            <w:shd w:val="clear" w:color="auto" w:fill="auto"/>
            <w:vAlign w:val="center"/>
          </w:tcPr>
          <w:p w:rsidR="00B77280" w:rsidRPr="00156A4C" w:rsidRDefault="00B77280" w:rsidP="002548EA">
            <w:pPr>
              <w:pStyle w:val="TableText"/>
            </w:pPr>
          </w:p>
        </w:tc>
        <w:tc>
          <w:tcPr>
            <w:tcW w:w="720" w:type="dxa"/>
            <w:shd w:val="clear" w:color="auto" w:fill="auto"/>
            <w:vAlign w:val="bottom"/>
          </w:tcPr>
          <w:p w:rsidR="00B77280" w:rsidRPr="00887834" w:rsidRDefault="00B77280" w:rsidP="002548EA">
            <w:pPr>
              <w:pStyle w:val="TableText"/>
              <w:rPr>
                <w:rFonts w:ascii="Arial Unicode MS" w:eastAsia="Arial Unicode MS" w:hAnsi="Arial Unicode MS"/>
              </w:rPr>
            </w:pPr>
            <w:r>
              <w:t>E045*</w:t>
            </w:r>
          </w:p>
        </w:tc>
        <w:tc>
          <w:tcPr>
            <w:tcW w:w="2160" w:type="dxa"/>
            <w:shd w:val="clear" w:color="auto" w:fill="auto"/>
            <w:vAlign w:val="bottom"/>
          </w:tcPr>
          <w:p w:rsidR="00B77280" w:rsidRPr="00887834" w:rsidRDefault="00B77280" w:rsidP="002548EA">
            <w:pPr>
              <w:pStyle w:val="TableText"/>
              <w:rPr>
                <w:rFonts w:ascii="Arial Unicode MS" w:eastAsia="Arial Unicode MS" w:hAnsi="Arial Unicode MS"/>
              </w:rPr>
            </w:pPr>
            <w:r>
              <w:t>MONO_AFR</w:t>
            </w:r>
          </w:p>
        </w:tc>
        <w:tc>
          <w:tcPr>
            <w:tcW w:w="4320" w:type="dxa"/>
            <w:shd w:val="clear" w:color="auto" w:fill="auto"/>
            <w:vAlign w:val="bottom"/>
          </w:tcPr>
          <w:p w:rsidR="00B77280" w:rsidRPr="00887834" w:rsidRDefault="00B77280" w:rsidP="002548EA">
            <w:pPr>
              <w:pStyle w:val="TableText"/>
              <w:rPr>
                <w:rFonts w:ascii="Arial Unicode MS" w:eastAsia="Arial Unicode MS" w:hAnsi="Arial Unicode MS"/>
              </w:rPr>
            </w:pPr>
            <w:r>
              <w:t>Apheresis MONOCYTES</w:t>
            </w:r>
          </w:p>
        </w:tc>
      </w:tr>
      <w:tr w:rsidR="00B77280" w:rsidRPr="00887834">
        <w:trPr>
          <w:cantSplit/>
        </w:trPr>
        <w:tc>
          <w:tcPr>
            <w:tcW w:w="2160" w:type="dxa"/>
            <w:vMerge/>
            <w:shd w:val="clear" w:color="auto" w:fill="auto"/>
            <w:vAlign w:val="center"/>
          </w:tcPr>
          <w:p w:rsidR="00B77280" w:rsidRPr="00156A4C" w:rsidRDefault="00B77280" w:rsidP="002548EA">
            <w:pPr>
              <w:pStyle w:val="TableText"/>
            </w:pPr>
          </w:p>
        </w:tc>
        <w:tc>
          <w:tcPr>
            <w:tcW w:w="720" w:type="dxa"/>
            <w:shd w:val="clear" w:color="auto" w:fill="auto"/>
            <w:vAlign w:val="bottom"/>
          </w:tcPr>
          <w:p w:rsidR="00B77280" w:rsidRPr="00887834" w:rsidRDefault="00B77280" w:rsidP="002548EA">
            <w:pPr>
              <w:pStyle w:val="TableText"/>
              <w:rPr>
                <w:rFonts w:ascii="Arial Unicode MS" w:eastAsia="Arial Unicode MS" w:hAnsi="Arial Unicode MS"/>
              </w:rPr>
            </w:pPr>
            <w:r>
              <w:t>E046</w:t>
            </w:r>
          </w:p>
        </w:tc>
        <w:tc>
          <w:tcPr>
            <w:tcW w:w="2160" w:type="dxa"/>
            <w:shd w:val="clear" w:color="auto" w:fill="auto"/>
            <w:vAlign w:val="bottom"/>
          </w:tcPr>
          <w:p w:rsidR="00B77280" w:rsidRPr="00887834" w:rsidRDefault="00B77280" w:rsidP="002548EA">
            <w:pPr>
              <w:pStyle w:val="TableText"/>
              <w:rPr>
                <w:rFonts w:ascii="Arial Unicode MS" w:eastAsia="Arial Unicode MS" w:hAnsi="Arial Unicode MS"/>
              </w:rPr>
            </w:pPr>
            <w:r>
              <w:t>SERUM</w:t>
            </w:r>
          </w:p>
        </w:tc>
        <w:tc>
          <w:tcPr>
            <w:tcW w:w="4320" w:type="dxa"/>
            <w:shd w:val="clear" w:color="auto" w:fill="auto"/>
            <w:vAlign w:val="bottom"/>
          </w:tcPr>
          <w:p w:rsidR="00B77280" w:rsidRPr="00887834" w:rsidRDefault="00B77280" w:rsidP="002548EA">
            <w:pPr>
              <w:pStyle w:val="TableText"/>
              <w:rPr>
                <w:rFonts w:ascii="Arial Unicode MS" w:eastAsia="Arial Unicode MS" w:hAnsi="Arial Unicode MS"/>
              </w:rPr>
            </w:pPr>
            <w:r>
              <w:t>SERUM</w:t>
            </w:r>
          </w:p>
        </w:tc>
      </w:tr>
      <w:tr w:rsidR="00B77280" w:rsidRPr="00887834">
        <w:trPr>
          <w:cantSplit/>
        </w:trPr>
        <w:tc>
          <w:tcPr>
            <w:tcW w:w="2160" w:type="dxa"/>
            <w:vMerge/>
            <w:shd w:val="clear" w:color="auto" w:fill="auto"/>
            <w:vAlign w:val="center"/>
          </w:tcPr>
          <w:p w:rsidR="00B77280" w:rsidRPr="00156A4C" w:rsidRDefault="00B77280" w:rsidP="002548EA">
            <w:pPr>
              <w:pStyle w:val="TableText"/>
            </w:pPr>
          </w:p>
        </w:tc>
        <w:tc>
          <w:tcPr>
            <w:tcW w:w="720" w:type="dxa"/>
            <w:shd w:val="clear" w:color="auto" w:fill="auto"/>
            <w:vAlign w:val="bottom"/>
          </w:tcPr>
          <w:p w:rsidR="00B77280" w:rsidRPr="00887834" w:rsidRDefault="00B77280" w:rsidP="002548EA">
            <w:pPr>
              <w:pStyle w:val="TableText"/>
              <w:rPr>
                <w:rFonts w:ascii="Arial Unicode MS" w:eastAsia="Arial Unicode MS" w:hAnsi="Arial Unicode MS"/>
              </w:rPr>
            </w:pPr>
            <w:r>
              <w:t>E047*</w:t>
            </w:r>
          </w:p>
        </w:tc>
        <w:tc>
          <w:tcPr>
            <w:tcW w:w="2160" w:type="dxa"/>
            <w:shd w:val="clear" w:color="auto" w:fill="auto"/>
            <w:vAlign w:val="bottom"/>
          </w:tcPr>
          <w:p w:rsidR="00B77280" w:rsidRPr="00887834" w:rsidRDefault="00B77280" w:rsidP="002548EA">
            <w:pPr>
              <w:pStyle w:val="TableText"/>
              <w:rPr>
                <w:rFonts w:ascii="Arial Unicode MS" w:eastAsia="Arial Unicode MS" w:hAnsi="Arial Unicode MS"/>
              </w:rPr>
            </w:pPr>
            <w:r>
              <w:t>SERUM_Pool</w:t>
            </w:r>
          </w:p>
        </w:tc>
        <w:tc>
          <w:tcPr>
            <w:tcW w:w="4320" w:type="dxa"/>
            <w:shd w:val="clear" w:color="auto" w:fill="auto"/>
            <w:vAlign w:val="bottom"/>
          </w:tcPr>
          <w:p w:rsidR="00B77280" w:rsidRPr="00887834" w:rsidRDefault="00B77280" w:rsidP="002548EA">
            <w:pPr>
              <w:pStyle w:val="TableText"/>
              <w:rPr>
                <w:rFonts w:ascii="Arial Unicode MS" w:eastAsia="Arial Unicode MS" w:hAnsi="Arial Unicode MS"/>
              </w:rPr>
            </w:pPr>
            <w:r>
              <w:t>POOLED SERUM</w:t>
            </w:r>
          </w:p>
        </w:tc>
      </w:tr>
      <w:tr w:rsidR="00B77280" w:rsidRPr="00887834">
        <w:trPr>
          <w:cantSplit/>
        </w:trPr>
        <w:tc>
          <w:tcPr>
            <w:tcW w:w="2160" w:type="dxa"/>
            <w:vMerge/>
            <w:shd w:val="clear" w:color="auto" w:fill="auto"/>
            <w:vAlign w:val="center"/>
          </w:tcPr>
          <w:p w:rsidR="00B77280" w:rsidRPr="00156A4C" w:rsidRDefault="00B77280" w:rsidP="002548EA">
            <w:pPr>
              <w:pStyle w:val="TableText"/>
            </w:pPr>
          </w:p>
        </w:tc>
        <w:tc>
          <w:tcPr>
            <w:tcW w:w="720" w:type="dxa"/>
            <w:shd w:val="clear" w:color="auto" w:fill="auto"/>
            <w:vAlign w:val="bottom"/>
          </w:tcPr>
          <w:p w:rsidR="00B77280" w:rsidRPr="00887834" w:rsidRDefault="00B77280" w:rsidP="002548EA">
            <w:pPr>
              <w:pStyle w:val="TableText"/>
              <w:rPr>
                <w:rFonts w:ascii="Arial Unicode MS" w:eastAsia="Arial Unicode MS" w:hAnsi="Arial Unicode MS"/>
              </w:rPr>
            </w:pPr>
            <w:r>
              <w:t>E048</w:t>
            </w:r>
          </w:p>
        </w:tc>
        <w:tc>
          <w:tcPr>
            <w:tcW w:w="2160" w:type="dxa"/>
            <w:shd w:val="clear" w:color="auto" w:fill="auto"/>
            <w:vAlign w:val="bottom"/>
          </w:tcPr>
          <w:p w:rsidR="00B77280" w:rsidRPr="00887834" w:rsidRDefault="00B77280" w:rsidP="002548EA">
            <w:pPr>
              <w:pStyle w:val="TableText"/>
              <w:rPr>
                <w:rFonts w:ascii="Arial Unicode MS" w:eastAsia="Arial Unicode MS" w:hAnsi="Arial Unicode MS"/>
              </w:rPr>
            </w:pPr>
            <w:r>
              <w:t>SERUM_Pool_Froz</w:t>
            </w:r>
          </w:p>
        </w:tc>
        <w:tc>
          <w:tcPr>
            <w:tcW w:w="4320" w:type="dxa"/>
            <w:shd w:val="clear" w:color="auto" w:fill="auto"/>
            <w:vAlign w:val="bottom"/>
          </w:tcPr>
          <w:p w:rsidR="00B77280" w:rsidRPr="00887834" w:rsidRDefault="00B77280" w:rsidP="002548EA">
            <w:pPr>
              <w:pStyle w:val="TableText"/>
              <w:rPr>
                <w:rFonts w:ascii="Arial Unicode MS" w:eastAsia="Arial Unicode MS" w:hAnsi="Arial Unicode MS"/>
              </w:rPr>
            </w:pPr>
            <w:r>
              <w:t>Frozen POOLED SERUM</w:t>
            </w:r>
          </w:p>
        </w:tc>
      </w:tr>
      <w:tr w:rsidR="00B77280" w:rsidRPr="00887834">
        <w:trPr>
          <w:cantSplit/>
        </w:trPr>
        <w:tc>
          <w:tcPr>
            <w:tcW w:w="2160" w:type="dxa"/>
            <w:vMerge/>
            <w:shd w:val="clear" w:color="auto" w:fill="auto"/>
            <w:vAlign w:val="center"/>
          </w:tcPr>
          <w:p w:rsidR="00B77280" w:rsidRPr="00156A4C" w:rsidRDefault="00B77280" w:rsidP="002548EA">
            <w:pPr>
              <w:pStyle w:val="TableText"/>
            </w:pPr>
          </w:p>
        </w:tc>
        <w:tc>
          <w:tcPr>
            <w:tcW w:w="720" w:type="dxa"/>
            <w:shd w:val="clear" w:color="auto" w:fill="auto"/>
            <w:vAlign w:val="bottom"/>
          </w:tcPr>
          <w:p w:rsidR="00B77280" w:rsidRDefault="00B77280" w:rsidP="002548EA">
            <w:pPr>
              <w:pStyle w:val="TableText"/>
            </w:pPr>
            <w:r>
              <w:t>E057</w:t>
            </w:r>
          </w:p>
        </w:tc>
        <w:tc>
          <w:tcPr>
            <w:tcW w:w="2160" w:type="dxa"/>
            <w:shd w:val="clear" w:color="auto" w:fill="auto"/>
            <w:vAlign w:val="bottom"/>
          </w:tcPr>
          <w:p w:rsidR="00B77280" w:rsidRDefault="00B77280" w:rsidP="002548EA">
            <w:pPr>
              <w:pStyle w:val="TableText"/>
            </w:pPr>
            <w:r>
              <w:t>GRAN_Wash</w:t>
            </w:r>
          </w:p>
        </w:tc>
        <w:tc>
          <w:tcPr>
            <w:tcW w:w="4320" w:type="dxa"/>
            <w:shd w:val="clear" w:color="auto" w:fill="auto"/>
            <w:vAlign w:val="bottom"/>
          </w:tcPr>
          <w:p w:rsidR="00B77280" w:rsidRDefault="00B77280" w:rsidP="002548EA">
            <w:pPr>
              <w:pStyle w:val="TableText"/>
            </w:pPr>
            <w:r>
              <w:t>Washed GRANULOCYTES</w:t>
            </w:r>
          </w:p>
        </w:tc>
      </w:tr>
    </w:tbl>
    <w:p w:rsidR="00134DFF" w:rsidRPr="00134DFF" w:rsidRDefault="00134DFF" w:rsidP="00134DFF">
      <w:pPr>
        <w:pStyle w:val="BodyText"/>
      </w:pPr>
      <w:r>
        <w:t>*This product type currently has no ICCB</w:t>
      </w:r>
      <w:r w:rsidR="0045199A">
        <w:t>B</w:t>
      </w:r>
      <w:r>
        <w:t>A assigned product codes.</w:t>
      </w:r>
    </w:p>
    <w:p w:rsidR="002A21AE" w:rsidRDefault="002A21AE">
      <w:pPr>
        <w:pStyle w:val="Heading3"/>
      </w:pPr>
      <w:r w:rsidRPr="00691DFF">
        <w:rPr>
          <w:rFonts w:ascii="Geneva" w:hAnsi="Geneva"/>
          <w:vanish/>
        </w:rPr>
        <w:t xml:space="preserve">TT_77.01 </w:t>
      </w:r>
      <w:bookmarkStart w:id="633" w:name="_Toc459900200"/>
      <w:r w:rsidRPr="00691DFF">
        <w:t>Details in Audit Trail Report</w:t>
      </w:r>
      <w:bookmarkEnd w:id="633"/>
      <w:r w:rsidRPr="00691DFF">
        <w:fldChar w:fldCharType="begin"/>
      </w:r>
      <w:r w:rsidRPr="00691DFF">
        <w:instrText xml:space="preserve"> XE </w:instrText>
      </w:r>
      <w:r w:rsidR="00FA7E65" w:rsidRPr="00691DFF">
        <w:instrText>“</w:instrText>
      </w:r>
      <w:r w:rsidRPr="00691DFF">
        <w:instrText>Tables:Details in Audit Trail Report</w:instrText>
      </w:r>
      <w:r w:rsidR="00FA7E65" w:rsidRPr="00691DFF">
        <w:instrText>”</w:instrText>
      </w:r>
      <w:r w:rsidRPr="00691DFF">
        <w:instrText xml:space="preserve"> </w:instrText>
      </w:r>
      <w:r w:rsidRPr="00691DFF">
        <w:fldChar w:fldCharType="end"/>
      </w:r>
    </w:p>
    <w:p w:rsidR="00264588" w:rsidRPr="00264588" w:rsidRDefault="00264588" w:rsidP="00264588">
      <w:pPr>
        <w:pStyle w:val="BodyText"/>
      </w:pPr>
      <w:r>
        <w:t>Changes include the date and time of the change, ID of the user who made the change, and required comments.</w:t>
      </w:r>
    </w:p>
    <w:p w:rsidR="002A21AE" w:rsidRDefault="002A21AE">
      <w:pPr>
        <w:pStyle w:val="Caption"/>
      </w:pPr>
      <w:bookmarkStart w:id="634" w:name="_Toc97523637"/>
      <w:bookmarkStart w:id="635" w:name="_Toc97527607"/>
      <w:bookmarkStart w:id="636" w:name="_Ref126504486"/>
      <w:bookmarkStart w:id="637" w:name="_Ref126504618"/>
      <w:bookmarkStart w:id="638" w:name="_Ref126732219"/>
      <w:r>
        <w:t xml:space="preserve">Table </w:t>
      </w:r>
      <w:r>
        <w:fldChar w:fldCharType="begin"/>
      </w:r>
      <w:r>
        <w:instrText xml:space="preserve"> SEQ Table \* ARABIC </w:instrText>
      </w:r>
      <w:r>
        <w:fldChar w:fldCharType="separate"/>
      </w:r>
      <w:r w:rsidR="005F38BC">
        <w:rPr>
          <w:noProof/>
        </w:rPr>
        <w:t>19</w:t>
      </w:r>
      <w:r>
        <w:fldChar w:fldCharType="end"/>
      </w:r>
      <w:bookmarkEnd w:id="638"/>
      <w:r>
        <w:t xml:space="preserve">: </w:t>
      </w:r>
      <w:r>
        <w:rPr>
          <w:vanish/>
        </w:rPr>
        <w:t xml:space="preserve">TT_77.01 </w:t>
      </w:r>
      <w:r>
        <w:t>Details in Audit Trail Report</w:t>
      </w:r>
      <w:bookmarkEnd w:id="634"/>
      <w:bookmarkEnd w:id="635"/>
      <w:bookmarkEnd w:id="636"/>
      <w:bookmarkEnd w:id="637"/>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3"/>
        <w:gridCol w:w="1979"/>
        <w:gridCol w:w="3470"/>
        <w:gridCol w:w="1243"/>
        <w:gridCol w:w="1295"/>
      </w:tblGrid>
      <w:tr w:rsidR="002A21AE">
        <w:tblPrEx>
          <w:tblCellMar>
            <w:top w:w="0" w:type="dxa"/>
            <w:bottom w:w="0" w:type="dxa"/>
          </w:tblCellMar>
        </w:tblPrEx>
        <w:trPr>
          <w:tblHeader/>
        </w:trPr>
        <w:tc>
          <w:tcPr>
            <w:tcW w:w="1373" w:type="dxa"/>
            <w:vMerge w:val="restart"/>
            <w:shd w:val="clear" w:color="auto" w:fill="B3B3B3"/>
            <w:vAlign w:val="bottom"/>
          </w:tcPr>
          <w:p w:rsidR="002A21AE" w:rsidRDefault="002A21AE" w:rsidP="00CD34EB">
            <w:pPr>
              <w:pStyle w:val="TableText"/>
              <w:rPr>
                <w:b/>
                <w:bCs/>
              </w:rPr>
            </w:pPr>
            <w:r>
              <w:rPr>
                <w:b/>
                <w:bCs/>
              </w:rPr>
              <w:t>Report Section</w:t>
            </w:r>
          </w:p>
        </w:tc>
        <w:tc>
          <w:tcPr>
            <w:tcW w:w="1979" w:type="dxa"/>
            <w:vMerge w:val="restart"/>
            <w:shd w:val="clear" w:color="auto" w:fill="B3B3B3"/>
            <w:vAlign w:val="bottom"/>
          </w:tcPr>
          <w:p w:rsidR="002A21AE" w:rsidRDefault="002A21AE">
            <w:pPr>
              <w:pStyle w:val="TableText"/>
              <w:rPr>
                <w:b/>
                <w:bCs/>
              </w:rPr>
            </w:pPr>
            <w:r>
              <w:rPr>
                <w:b/>
                <w:bCs/>
              </w:rPr>
              <w:t>Generating Options</w:t>
            </w:r>
          </w:p>
        </w:tc>
        <w:tc>
          <w:tcPr>
            <w:tcW w:w="3470" w:type="dxa"/>
            <w:vMerge w:val="restart"/>
            <w:shd w:val="clear" w:color="auto" w:fill="B3B3B3"/>
            <w:vAlign w:val="bottom"/>
          </w:tcPr>
          <w:p w:rsidR="002A21AE" w:rsidRDefault="002A21AE">
            <w:pPr>
              <w:pStyle w:val="TableText"/>
              <w:rPr>
                <w:b/>
                <w:bCs/>
              </w:rPr>
            </w:pPr>
            <w:r>
              <w:rPr>
                <w:b/>
                <w:bCs/>
              </w:rPr>
              <w:t>GUI Fields Monitored</w:t>
            </w:r>
          </w:p>
        </w:tc>
        <w:tc>
          <w:tcPr>
            <w:tcW w:w="2538" w:type="dxa"/>
            <w:gridSpan w:val="2"/>
            <w:tcBorders>
              <w:bottom w:val="single" w:sz="4" w:space="0" w:color="auto"/>
            </w:tcBorders>
            <w:shd w:val="clear" w:color="auto" w:fill="B3B3B3"/>
            <w:vAlign w:val="bottom"/>
          </w:tcPr>
          <w:p w:rsidR="002A21AE" w:rsidRDefault="002A21AE" w:rsidP="0058499D">
            <w:pPr>
              <w:pStyle w:val="TableText"/>
              <w:jc w:val="center"/>
              <w:rPr>
                <w:rFonts w:eastAsia="Symbol"/>
                <w:b/>
                <w:bCs/>
              </w:rPr>
            </w:pPr>
            <w:r>
              <w:rPr>
                <w:rFonts w:eastAsia="Symbol"/>
                <w:b/>
                <w:bCs/>
              </w:rPr>
              <w:t>Accessible in:</w:t>
            </w:r>
          </w:p>
        </w:tc>
      </w:tr>
      <w:tr w:rsidR="002A21AE">
        <w:tblPrEx>
          <w:tblCellMar>
            <w:top w:w="0" w:type="dxa"/>
            <w:bottom w:w="0" w:type="dxa"/>
          </w:tblCellMar>
        </w:tblPrEx>
        <w:trPr>
          <w:tblHeader/>
        </w:trPr>
        <w:tc>
          <w:tcPr>
            <w:tcW w:w="1373" w:type="dxa"/>
            <w:vMerge/>
            <w:tcBorders>
              <w:bottom w:val="single" w:sz="4" w:space="0" w:color="auto"/>
            </w:tcBorders>
            <w:shd w:val="clear" w:color="auto" w:fill="B3B3B3"/>
            <w:vAlign w:val="bottom"/>
          </w:tcPr>
          <w:p w:rsidR="002A21AE" w:rsidRDefault="002A21AE" w:rsidP="00CD34EB">
            <w:pPr>
              <w:pStyle w:val="TableText"/>
              <w:rPr>
                <w:b/>
                <w:bCs/>
              </w:rPr>
            </w:pPr>
          </w:p>
        </w:tc>
        <w:tc>
          <w:tcPr>
            <w:tcW w:w="1979" w:type="dxa"/>
            <w:vMerge/>
            <w:tcBorders>
              <w:bottom w:val="single" w:sz="4" w:space="0" w:color="auto"/>
            </w:tcBorders>
            <w:shd w:val="clear" w:color="auto" w:fill="B3B3B3"/>
            <w:vAlign w:val="bottom"/>
          </w:tcPr>
          <w:p w:rsidR="002A21AE" w:rsidRDefault="002A21AE">
            <w:pPr>
              <w:pStyle w:val="TableText"/>
              <w:rPr>
                <w:b/>
                <w:bCs/>
              </w:rPr>
            </w:pPr>
          </w:p>
        </w:tc>
        <w:tc>
          <w:tcPr>
            <w:tcW w:w="3470" w:type="dxa"/>
            <w:vMerge/>
            <w:tcBorders>
              <w:bottom w:val="single" w:sz="4" w:space="0" w:color="auto"/>
            </w:tcBorders>
            <w:shd w:val="clear" w:color="auto" w:fill="B3B3B3"/>
            <w:vAlign w:val="bottom"/>
          </w:tcPr>
          <w:p w:rsidR="002A21AE" w:rsidRDefault="002A21AE">
            <w:pPr>
              <w:pStyle w:val="TableText"/>
              <w:rPr>
                <w:b/>
                <w:bCs/>
              </w:rPr>
            </w:pPr>
          </w:p>
        </w:tc>
        <w:tc>
          <w:tcPr>
            <w:tcW w:w="1243" w:type="dxa"/>
            <w:tcBorders>
              <w:bottom w:val="single" w:sz="4" w:space="0" w:color="auto"/>
            </w:tcBorders>
            <w:shd w:val="clear" w:color="auto" w:fill="B3B3B3"/>
            <w:vAlign w:val="bottom"/>
          </w:tcPr>
          <w:p w:rsidR="002A21AE" w:rsidRDefault="002A21AE">
            <w:pPr>
              <w:pStyle w:val="TableText"/>
              <w:rPr>
                <w:rFonts w:eastAsia="Symbol"/>
                <w:b/>
                <w:bCs/>
              </w:rPr>
            </w:pPr>
            <w:r>
              <w:rPr>
                <w:rFonts w:eastAsia="Symbol"/>
                <w:b/>
                <w:bCs/>
              </w:rPr>
              <w:t>Unit History Report?</w:t>
            </w:r>
          </w:p>
        </w:tc>
        <w:tc>
          <w:tcPr>
            <w:tcW w:w="1295" w:type="dxa"/>
            <w:tcBorders>
              <w:bottom w:val="single" w:sz="4" w:space="0" w:color="auto"/>
            </w:tcBorders>
            <w:shd w:val="clear" w:color="auto" w:fill="B3B3B3"/>
            <w:vAlign w:val="bottom"/>
          </w:tcPr>
          <w:p w:rsidR="002A21AE" w:rsidRDefault="002A21AE">
            <w:pPr>
              <w:pStyle w:val="TableText"/>
              <w:rPr>
                <w:rFonts w:eastAsia="Symbol"/>
                <w:b/>
                <w:bCs/>
              </w:rPr>
            </w:pPr>
            <w:r>
              <w:rPr>
                <w:rFonts w:eastAsia="Symbol"/>
                <w:b/>
                <w:bCs/>
              </w:rPr>
              <w:t>Patient History Report?</w:t>
            </w:r>
          </w:p>
        </w:tc>
      </w:tr>
      <w:tr w:rsidR="002A21AE">
        <w:tblPrEx>
          <w:tblCellMar>
            <w:top w:w="0" w:type="dxa"/>
            <w:bottom w:w="0" w:type="dxa"/>
          </w:tblCellMar>
        </w:tblPrEx>
        <w:tc>
          <w:tcPr>
            <w:tcW w:w="1373" w:type="dxa"/>
            <w:vMerge w:val="restart"/>
          </w:tcPr>
          <w:p w:rsidR="002A21AE" w:rsidRDefault="002A21AE" w:rsidP="00CD34EB">
            <w:pPr>
              <w:pStyle w:val="TableText"/>
            </w:pPr>
            <w:r>
              <w:t>Blood Unit Changes</w:t>
            </w:r>
          </w:p>
        </w:tc>
        <w:tc>
          <w:tcPr>
            <w:tcW w:w="1979" w:type="dxa"/>
          </w:tcPr>
          <w:p w:rsidR="002A21AE" w:rsidRDefault="002A21AE">
            <w:pPr>
              <w:pStyle w:val="TableText"/>
            </w:pPr>
            <w:r>
              <w:t>Modify Units: Pool Units</w:t>
            </w:r>
            <w:r w:rsidR="0030405B">
              <w:t xml:space="preserve"> (when a previously pooled unit is edited)</w:t>
            </w:r>
          </w:p>
        </w:tc>
        <w:tc>
          <w:tcPr>
            <w:tcW w:w="3470" w:type="dxa"/>
          </w:tcPr>
          <w:p w:rsidR="00EC2271" w:rsidRDefault="00EC2271" w:rsidP="00EC2271">
            <w:pPr>
              <w:pStyle w:val="TableText"/>
            </w:pPr>
            <w:r>
              <w:t>For each pooled unit edited (unit ID, long name, product code):</w:t>
            </w:r>
          </w:p>
          <w:p w:rsidR="002A21AE" w:rsidRDefault="002A21AE">
            <w:pPr>
              <w:pStyle w:val="TableTextBullet"/>
            </w:pPr>
            <w:r>
              <w:t xml:space="preserve">Added </w:t>
            </w:r>
            <w:r w:rsidR="00BD6C59">
              <w:t xml:space="preserve">or Removed </w:t>
            </w:r>
            <w:r>
              <w:t>Unit IDs and Product Codes</w:t>
            </w:r>
          </w:p>
          <w:p w:rsidR="002A21AE" w:rsidRDefault="002A21AE">
            <w:pPr>
              <w:pStyle w:val="TableTextBullet"/>
            </w:pPr>
            <w:r>
              <w:t>Comment</w:t>
            </w:r>
          </w:p>
        </w:tc>
        <w:tc>
          <w:tcPr>
            <w:tcW w:w="1243" w:type="dxa"/>
          </w:tcPr>
          <w:p w:rsidR="002A21AE" w:rsidRDefault="002A21AE">
            <w:pPr>
              <w:pStyle w:val="TableText"/>
            </w:pPr>
            <w:r>
              <w:rPr>
                <w:rFonts w:eastAsia="Symbol"/>
              </w:rPr>
              <w:t>Yes</w:t>
            </w:r>
          </w:p>
        </w:tc>
        <w:tc>
          <w:tcPr>
            <w:tcW w:w="1295" w:type="dxa"/>
          </w:tcPr>
          <w:p w:rsidR="002A21AE" w:rsidRDefault="002A21AE">
            <w:pPr>
              <w:pStyle w:val="TableText"/>
            </w:pPr>
            <w:r>
              <w:t>No</w:t>
            </w:r>
          </w:p>
        </w:tc>
      </w:tr>
      <w:tr w:rsidR="002A21AE">
        <w:tblPrEx>
          <w:tblCellMar>
            <w:top w:w="0" w:type="dxa"/>
            <w:bottom w:w="0" w:type="dxa"/>
          </w:tblCellMar>
        </w:tblPrEx>
        <w:tc>
          <w:tcPr>
            <w:tcW w:w="1373" w:type="dxa"/>
            <w:vMerge/>
          </w:tcPr>
          <w:p w:rsidR="002A21AE" w:rsidRDefault="002A21AE" w:rsidP="00CD34EB">
            <w:pPr>
              <w:pStyle w:val="TableText"/>
            </w:pPr>
          </w:p>
        </w:tc>
        <w:tc>
          <w:tcPr>
            <w:tcW w:w="1979" w:type="dxa"/>
          </w:tcPr>
          <w:p w:rsidR="002A21AE" w:rsidRDefault="002A21AE">
            <w:pPr>
              <w:pStyle w:val="TableText"/>
            </w:pPr>
            <w:r>
              <w:t>Editing A Unit</w:t>
            </w:r>
          </w:p>
        </w:tc>
        <w:tc>
          <w:tcPr>
            <w:tcW w:w="3470" w:type="dxa"/>
          </w:tcPr>
          <w:p w:rsidR="00EC2271" w:rsidRDefault="00EC2271" w:rsidP="00EC2271">
            <w:pPr>
              <w:pStyle w:val="TableText"/>
            </w:pPr>
            <w:r>
              <w:t>For each unit edited (unit ID, long name, product code):</w:t>
            </w:r>
          </w:p>
          <w:p w:rsidR="002A21AE" w:rsidRDefault="002A21AE">
            <w:pPr>
              <w:pStyle w:val="TableTextBullet"/>
            </w:pPr>
            <w:r>
              <w:t xml:space="preserve">Unit </w:t>
            </w:r>
            <w:r w:rsidR="0083176A">
              <w:t xml:space="preserve">Antigen </w:t>
            </w:r>
            <w:r>
              <w:t>Information</w:t>
            </w:r>
          </w:p>
          <w:p w:rsidR="0083176A" w:rsidRDefault="0083176A">
            <w:pPr>
              <w:pStyle w:val="TableTextBullet"/>
            </w:pPr>
            <w:r>
              <w:t>Special Testing Information</w:t>
            </w:r>
          </w:p>
          <w:p w:rsidR="0083176A" w:rsidRDefault="0083176A">
            <w:pPr>
              <w:pStyle w:val="TableTextBullet"/>
            </w:pPr>
            <w:r>
              <w:t>Discarded Plasma Volume</w:t>
            </w:r>
          </w:p>
          <w:p w:rsidR="0083176A" w:rsidRDefault="0083176A">
            <w:pPr>
              <w:pStyle w:val="TableTextBullet"/>
            </w:pPr>
            <w:r>
              <w:t>Unit Volume</w:t>
            </w:r>
          </w:p>
          <w:p w:rsidR="0083176A" w:rsidRDefault="0083176A">
            <w:pPr>
              <w:pStyle w:val="TableTextBullet"/>
            </w:pPr>
            <w:r>
              <w:lastRenderedPageBreak/>
              <w:t>Biohazardous Indicator</w:t>
            </w:r>
          </w:p>
          <w:p w:rsidR="002A21AE" w:rsidRDefault="002A21AE">
            <w:pPr>
              <w:pStyle w:val="TableTextBullet"/>
            </w:pPr>
            <w:r>
              <w:t>Unit ABO/Rh Confirmation Test</w:t>
            </w:r>
            <w:r w:rsidR="00A047A4">
              <w:t xml:space="preserve">, </w:t>
            </w:r>
            <w:r w:rsidR="0083176A">
              <w:t>Invalidation Indicator</w:t>
            </w:r>
          </w:p>
          <w:p w:rsidR="002A21AE" w:rsidRDefault="002A21AE">
            <w:pPr>
              <w:pStyle w:val="TableTextBullet"/>
            </w:pPr>
            <w:r>
              <w:t>Unit Antigen Typing Test</w:t>
            </w:r>
            <w:r w:rsidR="00A047A4">
              <w:t xml:space="preserve">, </w:t>
            </w:r>
            <w:r w:rsidR="0083176A">
              <w:t>Invalidation Indicator</w:t>
            </w:r>
          </w:p>
          <w:p w:rsidR="002A21AE" w:rsidRDefault="002A21AE">
            <w:pPr>
              <w:pStyle w:val="TableTextBullet"/>
            </w:pPr>
            <w:r>
              <w:t>Unit Record Inactivation Indicator</w:t>
            </w:r>
          </w:p>
          <w:p w:rsidR="0083176A" w:rsidRDefault="002F766E">
            <w:pPr>
              <w:pStyle w:val="TableTextBullet"/>
            </w:pPr>
            <w:r>
              <w:t>Restricted For</w:t>
            </w:r>
            <w:r w:rsidR="0083176A">
              <w:t xml:space="preserve"> Patient Name and Patient ID</w:t>
            </w:r>
          </w:p>
          <w:p w:rsidR="002A21AE" w:rsidRDefault="002A21AE">
            <w:pPr>
              <w:pStyle w:val="TableTextBullet"/>
            </w:pPr>
            <w:r>
              <w:t>Comment</w:t>
            </w:r>
          </w:p>
        </w:tc>
        <w:tc>
          <w:tcPr>
            <w:tcW w:w="1243" w:type="dxa"/>
          </w:tcPr>
          <w:p w:rsidR="002A21AE" w:rsidRDefault="002A21AE">
            <w:pPr>
              <w:pStyle w:val="TableText"/>
            </w:pPr>
            <w:r>
              <w:rPr>
                <w:rFonts w:eastAsia="Symbol"/>
              </w:rPr>
              <w:lastRenderedPageBreak/>
              <w:t>Yes</w:t>
            </w:r>
          </w:p>
        </w:tc>
        <w:tc>
          <w:tcPr>
            <w:tcW w:w="1295" w:type="dxa"/>
          </w:tcPr>
          <w:p w:rsidR="002A21AE" w:rsidRDefault="002A21AE">
            <w:pPr>
              <w:pStyle w:val="TableText"/>
            </w:pPr>
            <w:r>
              <w:t>No</w:t>
            </w:r>
          </w:p>
        </w:tc>
      </w:tr>
      <w:tr w:rsidR="002A21AE">
        <w:tblPrEx>
          <w:tblCellMar>
            <w:top w:w="0" w:type="dxa"/>
            <w:bottom w:w="0" w:type="dxa"/>
          </w:tblCellMar>
        </w:tblPrEx>
        <w:tc>
          <w:tcPr>
            <w:tcW w:w="1373" w:type="dxa"/>
          </w:tcPr>
          <w:p w:rsidR="002A21AE" w:rsidRDefault="002A21AE" w:rsidP="00CD34EB">
            <w:pPr>
              <w:pStyle w:val="TableText"/>
            </w:pPr>
            <w:r>
              <w:lastRenderedPageBreak/>
              <w:t>Blood Unit Financial Changes</w:t>
            </w:r>
          </w:p>
        </w:tc>
        <w:tc>
          <w:tcPr>
            <w:tcW w:w="1979" w:type="dxa"/>
          </w:tcPr>
          <w:p w:rsidR="002A21AE" w:rsidRDefault="002A21AE">
            <w:pPr>
              <w:pStyle w:val="TableText"/>
            </w:pPr>
            <w:r>
              <w:t>Edit Financial Data</w:t>
            </w:r>
          </w:p>
        </w:tc>
        <w:tc>
          <w:tcPr>
            <w:tcW w:w="3470" w:type="dxa"/>
          </w:tcPr>
          <w:p w:rsidR="00F0285D" w:rsidRDefault="00F0285D" w:rsidP="00F0285D">
            <w:pPr>
              <w:pStyle w:val="TableText"/>
            </w:pPr>
            <w:r>
              <w:t>For each unit edited (unit ID, long name, product code):</w:t>
            </w:r>
          </w:p>
          <w:p w:rsidR="002A21AE" w:rsidRDefault="002A21AE">
            <w:pPr>
              <w:pStyle w:val="TableTextBullet"/>
            </w:pPr>
            <w:r>
              <w:t xml:space="preserve">Unit Base Cost </w:t>
            </w:r>
          </w:p>
          <w:p w:rsidR="002A21AE" w:rsidRDefault="002A21AE">
            <w:pPr>
              <w:pStyle w:val="TableTextBullet"/>
            </w:pPr>
            <w:r>
              <w:t>Special Test Cost</w:t>
            </w:r>
          </w:p>
          <w:p w:rsidR="002A21AE" w:rsidRDefault="002A21AE">
            <w:pPr>
              <w:pStyle w:val="TableTextBullet"/>
            </w:pPr>
            <w:r>
              <w:t>Return Credit</w:t>
            </w:r>
          </w:p>
        </w:tc>
        <w:tc>
          <w:tcPr>
            <w:tcW w:w="1243" w:type="dxa"/>
          </w:tcPr>
          <w:p w:rsidR="002A21AE" w:rsidRDefault="002A21AE">
            <w:pPr>
              <w:pStyle w:val="TableText"/>
            </w:pPr>
            <w:r>
              <w:rPr>
                <w:rFonts w:eastAsia="Symbol"/>
              </w:rPr>
              <w:t>Yes</w:t>
            </w:r>
          </w:p>
        </w:tc>
        <w:tc>
          <w:tcPr>
            <w:tcW w:w="1295" w:type="dxa"/>
          </w:tcPr>
          <w:p w:rsidR="002A21AE" w:rsidRDefault="002A21AE">
            <w:pPr>
              <w:pStyle w:val="TableText"/>
            </w:pPr>
            <w:r>
              <w:t>No</w:t>
            </w:r>
          </w:p>
        </w:tc>
      </w:tr>
      <w:tr w:rsidR="002A21AE">
        <w:tblPrEx>
          <w:tblCellMar>
            <w:top w:w="0" w:type="dxa"/>
            <w:bottom w:w="0" w:type="dxa"/>
          </w:tblCellMar>
        </w:tblPrEx>
        <w:tc>
          <w:tcPr>
            <w:tcW w:w="1373" w:type="dxa"/>
            <w:vMerge w:val="restart"/>
          </w:tcPr>
          <w:p w:rsidR="002A21AE" w:rsidRDefault="002A21AE" w:rsidP="00CD34EB">
            <w:pPr>
              <w:pStyle w:val="TableText"/>
            </w:pPr>
            <w:r>
              <w:t>Patient Testing Changes</w:t>
            </w:r>
          </w:p>
        </w:tc>
        <w:tc>
          <w:tcPr>
            <w:tcW w:w="1979" w:type="dxa"/>
          </w:tcPr>
          <w:p w:rsidR="002A21AE" w:rsidRDefault="002A21AE">
            <w:pPr>
              <w:pStyle w:val="TableText"/>
            </w:pPr>
            <w:r>
              <w:t>Invalidate Test Results</w:t>
            </w:r>
          </w:p>
        </w:tc>
        <w:tc>
          <w:tcPr>
            <w:tcW w:w="3470" w:type="dxa"/>
          </w:tcPr>
          <w:p w:rsidR="004F2A5E" w:rsidRDefault="004F2A5E" w:rsidP="004F2A5E">
            <w:pPr>
              <w:pStyle w:val="TableText"/>
            </w:pPr>
            <w:r>
              <w:t>For each patient (name, ID):</w:t>
            </w:r>
          </w:p>
          <w:p w:rsidR="002A21AE" w:rsidRDefault="002A21AE" w:rsidP="00691DFF">
            <w:pPr>
              <w:pStyle w:val="TableTextBullet"/>
            </w:pPr>
            <w:r>
              <w:t>Ordered Test Original Results</w:t>
            </w:r>
            <w:r w:rsidR="00A047A4">
              <w:t xml:space="preserve">, </w:t>
            </w:r>
            <w:r w:rsidR="004F2A5E">
              <w:t>Invalidation Indicator</w:t>
            </w:r>
          </w:p>
          <w:p w:rsidR="002A21AE" w:rsidRDefault="002A21AE">
            <w:pPr>
              <w:pStyle w:val="TableTextBullet"/>
            </w:pPr>
            <w:r>
              <w:t>Comment</w:t>
            </w:r>
          </w:p>
        </w:tc>
        <w:tc>
          <w:tcPr>
            <w:tcW w:w="1243" w:type="dxa"/>
          </w:tcPr>
          <w:p w:rsidR="002A21AE" w:rsidRDefault="002A21AE">
            <w:pPr>
              <w:pStyle w:val="TableText"/>
            </w:pPr>
            <w:r>
              <w:t>No</w:t>
            </w:r>
          </w:p>
        </w:tc>
        <w:tc>
          <w:tcPr>
            <w:tcW w:w="1295" w:type="dxa"/>
          </w:tcPr>
          <w:p w:rsidR="002A21AE" w:rsidRDefault="002A21AE">
            <w:pPr>
              <w:pStyle w:val="TableText"/>
            </w:pPr>
            <w:r>
              <w:rPr>
                <w:rFonts w:eastAsia="Symbol"/>
              </w:rPr>
              <w:t>Yes</w:t>
            </w:r>
          </w:p>
        </w:tc>
      </w:tr>
      <w:tr w:rsidR="002A21AE">
        <w:tblPrEx>
          <w:tblCellMar>
            <w:top w:w="0" w:type="dxa"/>
            <w:bottom w:w="0" w:type="dxa"/>
          </w:tblCellMar>
        </w:tblPrEx>
        <w:tc>
          <w:tcPr>
            <w:tcW w:w="1373" w:type="dxa"/>
            <w:vMerge/>
          </w:tcPr>
          <w:p w:rsidR="002A21AE" w:rsidRDefault="002A21AE" w:rsidP="00CD34EB">
            <w:pPr>
              <w:pStyle w:val="TableText"/>
            </w:pPr>
          </w:p>
        </w:tc>
        <w:tc>
          <w:tcPr>
            <w:tcW w:w="1979" w:type="dxa"/>
          </w:tcPr>
          <w:p w:rsidR="002A21AE" w:rsidRDefault="002A21AE">
            <w:pPr>
              <w:pStyle w:val="TableText"/>
            </w:pPr>
            <w:r>
              <w:t>Justify ABO/Rh Change</w:t>
            </w:r>
          </w:p>
        </w:tc>
        <w:tc>
          <w:tcPr>
            <w:tcW w:w="3470" w:type="dxa"/>
          </w:tcPr>
          <w:p w:rsidR="00C46FA2" w:rsidRDefault="00C46FA2" w:rsidP="00C46FA2">
            <w:pPr>
              <w:pStyle w:val="TableText"/>
            </w:pPr>
            <w:r>
              <w:t>For each patient (name, ID):</w:t>
            </w:r>
          </w:p>
          <w:p w:rsidR="002A21AE" w:rsidRDefault="002A21AE">
            <w:pPr>
              <w:pStyle w:val="TableTextBullet"/>
            </w:pPr>
            <w:r>
              <w:t>Patient ABO/Rh</w:t>
            </w:r>
          </w:p>
          <w:p w:rsidR="002A21AE" w:rsidRDefault="002A21AE">
            <w:pPr>
              <w:pStyle w:val="TableTextBullet"/>
            </w:pPr>
            <w:r>
              <w:t>Comment</w:t>
            </w:r>
          </w:p>
        </w:tc>
        <w:tc>
          <w:tcPr>
            <w:tcW w:w="1243" w:type="dxa"/>
          </w:tcPr>
          <w:p w:rsidR="002A21AE" w:rsidRDefault="002A21AE">
            <w:pPr>
              <w:pStyle w:val="TableText"/>
            </w:pPr>
            <w:r>
              <w:t>No</w:t>
            </w:r>
          </w:p>
        </w:tc>
        <w:tc>
          <w:tcPr>
            <w:tcW w:w="1295" w:type="dxa"/>
          </w:tcPr>
          <w:p w:rsidR="002A21AE" w:rsidRDefault="002A21AE">
            <w:pPr>
              <w:pStyle w:val="TableText"/>
            </w:pPr>
            <w:r>
              <w:rPr>
                <w:rFonts w:eastAsia="Symbol"/>
              </w:rPr>
              <w:t>Yes</w:t>
            </w:r>
          </w:p>
        </w:tc>
      </w:tr>
      <w:tr w:rsidR="002A21AE">
        <w:tblPrEx>
          <w:tblCellMar>
            <w:top w:w="0" w:type="dxa"/>
            <w:bottom w:w="0" w:type="dxa"/>
          </w:tblCellMar>
        </w:tblPrEx>
        <w:tc>
          <w:tcPr>
            <w:tcW w:w="1373" w:type="dxa"/>
          </w:tcPr>
          <w:p w:rsidR="002A21AE" w:rsidRDefault="002A21AE" w:rsidP="00CD34EB">
            <w:pPr>
              <w:pStyle w:val="TableText"/>
            </w:pPr>
            <w:r>
              <w:t>Patient Transfusion Requirements</w:t>
            </w:r>
          </w:p>
        </w:tc>
        <w:tc>
          <w:tcPr>
            <w:tcW w:w="1979" w:type="dxa"/>
          </w:tcPr>
          <w:p w:rsidR="0030405B" w:rsidRDefault="002A21AE">
            <w:pPr>
              <w:pStyle w:val="TableText"/>
            </w:pPr>
            <w:r>
              <w:t xml:space="preserve">Special Instructions &amp; Transfusion Requirements: </w:t>
            </w:r>
            <w:r w:rsidR="00526D93">
              <w:t>Enter a Transfusion Requirement</w:t>
            </w:r>
          </w:p>
          <w:p w:rsidR="0030405B" w:rsidRDefault="0030405B">
            <w:pPr>
              <w:pStyle w:val="TableText"/>
            </w:pPr>
            <w:r>
              <w:t>Patient Testing: Record Patient Test Results (new TR created from ABID data entry)</w:t>
            </w:r>
          </w:p>
        </w:tc>
        <w:tc>
          <w:tcPr>
            <w:tcW w:w="3470" w:type="dxa"/>
          </w:tcPr>
          <w:p w:rsidR="0030405B" w:rsidRDefault="0030405B" w:rsidP="0030405B">
            <w:pPr>
              <w:pStyle w:val="TableText"/>
            </w:pPr>
            <w:r>
              <w:t>For each Transfusion Requirement category or Special Instruction:</w:t>
            </w:r>
          </w:p>
          <w:p w:rsidR="002A21AE" w:rsidRDefault="0030405B">
            <w:pPr>
              <w:pStyle w:val="TableTextBullet"/>
            </w:pPr>
            <w:r>
              <w:t>Status</w:t>
            </w:r>
            <w:r w:rsidR="002A21AE">
              <w:t xml:space="preserve"> Indicator</w:t>
            </w:r>
          </w:p>
          <w:p w:rsidR="002A21AE" w:rsidRDefault="002A21AE">
            <w:pPr>
              <w:pStyle w:val="TableTextBullet"/>
            </w:pPr>
            <w:r>
              <w:t>Comment</w:t>
            </w:r>
          </w:p>
        </w:tc>
        <w:tc>
          <w:tcPr>
            <w:tcW w:w="1243" w:type="dxa"/>
          </w:tcPr>
          <w:p w:rsidR="002A21AE" w:rsidRDefault="002A21AE">
            <w:pPr>
              <w:pStyle w:val="TableText"/>
            </w:pPr>
            <w:r>
              <w:t>No</w:t>
            </w:r>
          </w:p>
        </w:tc>
        <w:tc>
          <w:tcPr>
            <w:tcW w:w="1295" w:type="dxa"/>
          </w:tcPr>
          <w:p w:rsidR="002A21AE" w:rsidRDefault="002A21AE">
            <w:pPr>
              <w:pStyle w:val="TableText"/>
            </w:pPr>
            <w:r>
              <w:rPr>
                <w:rFonts w:eastAsia="Symbol"/>
              </w:rPr>
              <w:t>Yes</w:t>
            </w:r>
          </w:p>
        </w:tc>
      </w:tr>
      <w:tr w:rsidR="002A21AE">
        <w:tblPrEx>
          <w:tblCellMar>
            <w:top w:w="0" w:type="dxa"/>
            <w:bottom w:w="0" w:type="dxa"/>
          </w:tblCellMar>
        </w:tblPrEx>
        <w:tc>
          <w:tcPr>
            <w:tcW w:w="1373" w:type="dxa"/>
          </w:tcPr>
          <w:p w:rsidR="002A21AE" w:rsidRDefault="002A21AE" w:rsidP="00CD34EB">
            <w:pPr>
              <w:pStyle w:val="TableText"/>
            </w:pPr>
            <w:r>
              <w:t>Maintenance: Local Facilities</w:t>
            </w:r>
          </w:p>
        </w:tc>
        <w:tc>
          <w:tcPr>
            <w:tcW w:w="1979" w:type="dxa"/>
          </w:tcPr>
          <w:p w:rsidR="002A21AE" w:rsidRDefault="002A21AE" w:rsidP="0030405B">
            <w:pPr>
              <w:pStyle w:val="TableText"/>
            </w:pPr>
            <w:r>
              <w:t>Local Facilities</w:t>
            </w:r>
          </w:p>
        </w:tc>
        <w:tc>
          <w:tcPr>
            <w:tcW w:w="3470" w:type="dxa"/>
          </w:tcPr>
          <w:p w:rsidR="0030405B" w:rsidRDefault="0030405B" w:rsidP="0030405B">
            <w:pPr>
              <w:pStyle w:val="TableText"/>
            </w:pPr>
            <w:r>
              <w:t xml:space="preserve">For each </w:t>
            </w:r>
            <w:r w:rsidR="00B059A9">
              <w:t>f</w:t>
            </w:r>
            <w:r>
              <w:t xml:space="preserve">acility </w:t>
            </w:r>
            <w:r w:rsidR="00B059A9">
              <w:t>n</w:t>
            </w:r>
            <w:r>
              <w:t>ame and FDA Registration Number:</w:t>
            </w:r>
          </w:p>
          <w:p w:rsidR="002A21AE" w:rsidRDefault="002A21AE">
            <w:pPr>
              <w:pStyle w:val="TableTextBullet"/>
            </w:pPr>
            <w:r>
              <w:t>Eye-readable prefix</w:t>
            </w:r>
          </w:p>
          <w:p w:rsidR="0030405B" w:rsidRDefault="0030405B">
            <w:pPr>
              <w:pStyle w:val="TableTextBullet"/>
            </w:pPr>
            <w:r>
              <w:t>ICCBBA Registration Number</w:t>
            </w:r>
          </w:p>
          <w:p w:rsidR="002A21AE" w:rsidRDefault="002A21AE">
            <w:pPr>
              <w:pStyle w:val="TableTextBullet"/>
            </w:pPr>
            <w:r>
              <w:t xml:space="preserve">Alpha </w:t>
            </w:r>
            <w:r w:rsidR="00765991">
              <w:t>C</w:t>
            </w:r>
            <w:r>
              <w:t>haracters</w:t>
            </w:r>
            <w:r w:rsidR="0030405B">
              <w:t xml:space="preserve"> Indicator</w:t>
            </w:r>
          </w:p>
          <w:p w:rsidR="002A21AE" w:rsidRDefault="002A21AE">
            <w:pPr>
              <w:pStyle w:val="TableTextBullet"/>
            </w:pPr>
            <w:r>
              <w:t>Active</w:t>
            </w:r>
            <w:r w:rsidR="0030405B">
              <w:t xml:space="preserve"> Facility</w:t>
            </w:r>
            <w:r>
              <w:t xml:space="preserve"> Indicator</w:t>
            </w:r>
          </w:p>
          <w:p w:rsidR="002A21AE" w:rsidRDefault="002A21AE">
            <w:pPr>
              <w:pStyle w:val="TableTextBullet"/>
            </w:pPr>
            <w:r>
              <w:t xml:space="preserve">Collection Facility Indicator </w:t>
            </w:r>
          </w:p>
          <w:p w:rsidR="002A21AE" w:rsidRDefault="002A21AE">
            <w:pPr>
              <w:pStyle w:val="TableTextBullet"/>
            </w:pPr>
            <w:r>
              <w:t xml:space="preserve">Testing Facility Indicator </w:t>
            </w:r>
          </w:p>
          <w:p w:rsidR="002B6A72" w:rsidRDefault="002A21AE">
            <w:pPr>
              <w:pStyle w:val="TableTextBullet"/>
            </w:pPr>
            <w:r>
              <w:t>Address Line</w:t>
            </w:r>
            <w:r w:rsidR="002B6A72">
              <w:t xml:space="preserve"> 1</w:t>
            </w:r>
          </w:p>
          <w:p w:rsidR="002B6A72" w:rsidRDefault="002B6A72">
            <w:pPr>
              <w:pStyle w:val="TableTextBullet"/>
            </w:pPr>
            <w:r>
              <w:t>Address Line2</w:t>
            </w:r>
          </w:p>
          <w:p w:rsidR="002A21AE" w:rsidRDefault="002B6A72">
            <w:pPr>
              <w:pStyle w:val="TableTextBullet"/>
            </w:pPr>
            <w:r>
              <w:t>Address Line 3</w:t>
            </w:r>
          </w:p>
          <w:p w:rsidR="002A21AE" w:rsidRDefault="002A21AE">
            <w:pPr>
              <w:pStyle w:val="TableTextBullet"/>
            </w:pPr>
            <w:r>
              <w:t>City</w:t>
            </w:r>
          </w:p>
          <w:p w:rsidR="002A21AE" w:rsidRDefault="002A21AE">
            <w:pPr>
              <w:pStyle w:val="TableTextBullet"/>
            </w:pPr>
            <w:r>
              <w:t>State</w:t>
            </w:r>
          </w:p>
          <w:p w:rsidR="002A21AE" w:rsidRDefault="002A21AE">
            <w:pPr>
              <w:pStyle w:val="TableTextBullet"/>
            </w:pPr>
            <w:r>
              <w:t>Zip</w:t>
            </w:r>
          </w:p>
          <w:p w:rsidR="0030405B" w:rsidRDefault="0030405B">
            <w:pPr>
              <w:pStyle w:val="TableTextBullet"/>
            </w:pPr>
            <w:r>
              <w:t>Phone</w:t>
            </w:r>
          </w:p>
          <w:p w:rsidR="0030405B" w:rsidRDefault="0030405B">
            <w:pPr>
              <w:pStyle w:val="TableTextBullet"/>
            </w:pPr>
            <w:r>
              <w:t>Fax</w:t>
            </w:r>
          </w:p>
        </w:tc>
        <w:tc>
          <w:tcPr>
            <w:tcW w:w="1243" w:type="dxa"/>
          </w:tcPr>
          <w:p w:rsidR="002A21AE" w:rsidRDefault="002A21AE">
            <w:pPr>
              <w:pStyle w:val="TableText"/>
            </w:pPr>
            <w:r>
              <w:t>No</w:t>
            </w:r>
          </w:p>
        </w:tc>
        <w:tc>
          <w:tcPr>
            <w:tcW w:w="1295" w:type="dxa"/>
          </w:tcPr>
          <w:p w:rsidR="002A21AE" w:rsidRDefault="002A21AE">
            <w:pPr>
              <w:pStyle w:val="TableText"/>
            </w:pPr>
            <w:r>
              <w:t>No</w:t>
            </w:r>
          </w:p>
        </w:tc>
      </w:tr>
      <w:tr w:rsidR="002A21AE">
        <w:tblPrEx>
          <w:tblCellMar>
            <w:top w:w="0" w:type="dxa"/>
            <w:bottom w:w="0" w:type="dxa"/>
          </w:tblCellMar>
        </w:tblPrEx>
        <w:tc>
          <w:tcPr>
            <w:tcW w:w="1373" w:type="dxa"/>
          </w:tcPr>
          <w:p w:rsidR="002A21AE" w:rsidRDefault="002A21AE" w:rsidP="00CD34EB">
            <w:pPr>
              <w:pStyle w:val="TableText"/>
            </w:pPr>
            <w:r>
              <w:t>Maintenance: Blood Product</w:t>
            </w:r>
          </w:p>
        </w:tc>
        <w:tc>
          <w:tcPr>
            <w:tcW w:w="1979" w:type="dxa"/>
          </w:tcPr>
          <w:p w:rsidR="002A21AE" w:rsidRDefault="002A21AE">
            <w:pPr>
              <w:pStyle w:val="TableText"/>
            </w:pPr>
            <w:r>
              <w:t>Blood Products</w:t>
            </w:r>
          </w:p>
        </w:tc>
        <w:tc>
          <w:tcPr>
            <w:tcW w:w="3470" w:type="dxa"/>
          </w:tcPr>
          <w:p w:rsidR="007F2C58" w:rsidRDefault="007F2C58" w:rsidP="007F2C58">
            <w:pPr>
              <w:pStyle w:val="TableText"/>
            </w:pPr>
            <w:r>
              <w:t xml:space="preserve">For each </w:t>
            </w:r>
            <w:r w:rsidR="00B059A9">
              <w:t>blood p</w:t>
            </w:r>
            <w:r>
              <w:t>roduct (name, code):</w:t>
            </w:r>
          </w:p>
          <w:p w:rsidR="007F2C58" w:rsidRDefault="007F2C58" w:rsidP="007F2C58">
            <w:pPr>
              <w:pStyle w:val="TableTextBullet"/>
            </w:pPr>
            <w:r>
              <w:t>HCPCS Code and Text</w:t>
            </w:r>
          </w:p>
          <w:p w:rsidR="007F2C58" w:rsidRDefault="007F2C58" w:rsidP="007F2C58">
            <w:pPr>
              <w:pStyle w:val="TableText"/>
            </w:pPr>
            <w:r>
              <w:t>For each shipper of this product code (name, ID):</w:t>
            </w:r>
          </w:p>
          <w:p w:rsidR="002A21AE" w:rsidRDefault="007F2C58">
            <w:pPr>
              <w:pStyle w:val="TableTextBullet"/>
            </w:pPr>
            <w:r>
              <w:lastRenderedPageBreak/>
              <w:t>Cost</w:t>
            </w:r>
          </w:p>
          <w:p w:rsidR="002A21AE" w:rsidRDefault="002A21AE">
            <w:pPr>
              <w:pStyle w:val="TableTextBullet"/>
            </w:pPr>
            <w:r>
              <w:t xml:space="preserve">Return Credit </w:t>
            </w:r>
            <w:r w:rsidR="007F2C58">
              <w:t>Percentage</w:t>
            </w:r>
          </w:p>
          <w:p w:rsidR="007F2C58" w:rsidRDefault="007F2C58">
            <w:pPr>
              <w:pStyle w:val="TableTextBullet"/>
            </w:pPr>
            <w:r>
              <w:t>Status Indicator</w:t>
            </w:r>
          </w:p>
        </w:tc>
        <w:tc>
          <w:tcPr>
            <w:tcW w:w="1243" w:type="dxa"/>
          </w:tcPr>
          <w:p w:rsidR="002A21AE" w:rsidRDefault="002A21AE">
            <w:pPr>
              <w:pStyle w:val="TableText"/>
            </w:pPr>
            <w:r>
              <w:lastRenderedPageBreak/>
              <w:t>No</w:t>
            </w:r>
          </w:p>
        </w:tc>
        <w:tc>
          <w:tcPr>
            <w:tcW w:w="1295" w:type="dxa"/>
          </w:tcPr>
          <w:p w:rsidR="002A21AE" w:rsidRDefault="002A21AE">
            <w:pPr>
              <w:pStyle w:val="TableText"/>
            </w:pPr>
            <w:r>
              <w:t>No</w:t>
            </w:r>
          </w:p>
        </w:tc>
      </w:tr>
      <w:tr w:rsidR="002A21AE">
        <w:tblPrEx>
          <w:tblCellMar>
            <w:top w:w="0" w:type="dxa"/>
            <w:bottom w:w="0" w:type="dxa"/>
          </w:tblCellMar>
        </w:tblPrEx>
        <w:tc>
          <w:tcPr>
            <w:tcW w:w="1373" w:type="dxa"/>
          </w:tcPr>
          <w:p w:rsidR="002A21AE" w:rsidRDefault="002A21AE" w:rsidP="00CD34EB">
            <w:pPr>
              <w:pStyle w:val="TableText"/>
            </w:pPr>
            <w:r>
              <w:lastRenderedPageBreak/>
              <w:t>Maintenance: Division Configuration</w:t>
            </w:r>
          </w:p>
        </w:tc>
        <w:tc>
          <w:tcPr>
            <w:tcW w:w="1979" w:type="dxa"/>
          </w:tcPr>
          <w:p w:rsidR="002A21AE" w:rsidRDefault="00D567C9">
            <w:pPr>
              <w:pStyle w:val="TableText"/>
            </w:pPr>
            <w:r>
              <w:t>Configure Division</w:t>
            </w:r>
          </w:p>
        </w:tc>
        <w:tc>
          <w:tcPr>
            <w:tcW w:w="3470" w:type="dxa"/>
          </w:tcPr>
          <w:p w:rsidR="005773E9" w:rsidRDefault="005773E9" w:rsidP="005773E9">
            <w:pPr>
              <w:pStyle w:val="TableText"/>
            </w:pPr>
            <w:r>
              <w:t>For each Division (Name and Code):</w:t>
            </w:r>
          </w:p>
          <w:p w:rsidR="005773E9" w:rsidRDefault="005773E9" w:rsidP="002F6D7B">
            <w:pPr>
              <w:pStyle w:val="TableText"/>
              <w:numPr>
                <w:ilvl w:val="0"/>
                <w:numId w:val="35"/>
              </w:numPr>
            </w:pPr>
            <w:r>
              <w:t>Full Service, Transfusion Only Indicator</w:t>
            </w:r>
          </w:p>
          <w:p w:rsidR="005773E9" w:rsidRDefault="005773E9" w:rsidP="002F6D7B">
            <w:pPr>
              <w:pStyle w:val="TableText"/>
              <w:numPr>
                <w:ilvl w:val="0"/>
                <w:numId w:val="35"/>
              </w:numPr>
            </w:pPr>
            <w:r>
              <w:t>Facility Name</w:t>
            </w:r>
          </w:p>
          <w:p w:rsidR="005773E9" w:rsidRDefault="005773E9" w:rsidP="002F6D7B">
            <w:pPr>
              <w:pStyle w:val="TableText"/>
              <w:numPr>
                <w:ilvl w:val="0"/>
                <w:numId w:val="35"/>
              </w:numPr>
            </w:pPr>
            <w:r>
              <w:t xml:space="preserve">Active Status </w:t>
            </w:r>
          </w:p>
          <w:p w:rsidR="005773E9" w:rsidRDefault="00691DFF" w:rsidP="002F6D7B">
            <w:pPr>
              <w:pStyle w:val="TableText"/>
              <w:numPr>
                <w:ilvl w:val="0"/>
                <w:numId w:val="35"/>
              </w:numPr>
            </w:pPr>
            <w:r>
              <w:t>Full-Face-</w:t>
            </w:r>
            <w:r w:rsidR="005773E9">
              <w:t>Label Printer Status</w:t>
            </w:r>
          </w:p>
          <w:p w:rsidR="005773E9" w:rsidRDefault="00691DFF" w:rsidP="002F6D7B">
            <w:pPr>
              <w:pStyle w:val="TableText"/>
              <w:numPr>
                <w:ilvl w:val="0"/>
                <w:numId w:val="35"/>
              </w:numPr>
            </w:pPr>
            <w:r>
              <w:t>Full-Face-</w:t>
            </w:r>
            <w:r w:rsidR="005773E9">
              <w:t>Label Printer Port Number</w:t>
            </w:r>
          </w:p>
          <w:p w:rsidR="005773E9" w:rsidRDefault="00691DFF" w:rsidP="002F6D7B">
            <w:pPr>
              <w:pStyle w:val="TableText"/>
              <w:numPr>
                <w:ilvl w:val="0"/>
                <w:numId w:val="35"/>
              </w:numPr>
            </w:pPr>
            <w:r>
              <w:t>Full-Face-</w:t>
            </w:r>
            <w:r w:rsidR="005773E9">
              <w:t>Label Printer IP address</w:t>
            </w:r>
          </w:p>
          <w:p w:rsidR="005773E9" w:rsidRDefault="00691DFF" w:rsidP="002F6D7B">
            <w:pPr>
              <w:pStyle w:val="TableText"/>
              <w:numPr>
                <w:ilvl w:val="0"/>
                <w:numId w:val="35"/>
              </w:numPr>
            </w:pPr>
            <w:r>
              <w:t>Full-Face-</w:t>
            </w:r>
            <w:r w:rsidR="005773E9">
              <w:t xml:space="preserve">Label Printer COM </w:t>
            </w:r>
          </w:p>
          <w:p w:rsidR="005773E9" w:rsidRDefault="005773E9" w:rsidP="002F6D7B">
            <w:pPr>
              <w:pStyle w:val="TableText"/>
              <w:numPr>
                <w:ilvl w:val="0"/>
                <w:numId w:val="35"/>
              </w:numPr>
            </w:pPr>
            <w:r>
              <w:t>Report Printer Name</w:t>
            </w:r>
            <w:r w:rsidR="006D54AE">
              <w:t xml:space="preserve"> </w:t>
            </w:r>
            <w:r w:rsidR="00892C58" w:rsidRPr="00892C58">
              <w:rPr>
                <w:vanish/>
              </w:rPr>
              <w:t>DR 2,882</w:t>
            </w:r>
          </w:p>
          <w:p w:rsidR="005773E9" w:rsidRDefault="005773E9" w:rsidP="002F6D7B">
            <w:pPr>
              <w:pStyle w:val="TableText"/>
              <w:numPr>
                <w:ilvl w:val="0"/>
                <w:numId w:val="35"/>
              </w:numPr>
            </w:pPr>
            <w:r>
              <w:t>Accession Area Name</w:t>
            </w:r>
          </w:p>
          <w:p w:rsidR="005773E9" w:rsidRDefault="005773E9" w:rsidP="002F6D7B">
            <w:pPr>
              <w:pStyle w:val="TableText"/>
              <w:numPr>
                <w:ilvl w:val="0"/>
                <w:numId w:val="36"/>
              </w:numPr>
              <w:ind w:left="0" w:firstLine="0"/>
            </w:pPr>
            <w:r>
              <w:t>Lock Inactivity Timeout Setting</w:t>
            </w:r>
          </w:p>
          <w:p w:rsidR="005773E9" w:rsidRDefault="005773E9" w:rsidP="002F6D7B">
            <w:pPr>
              <w:pStyle w:val="TableText"/>
              <w:numPr>
                <w:ilvl w:val="0"/>
                <w:numId w:val="36"/>
              </w:numPr>
              <w:ind w:left="0" w:firstLine="0"/>
            </w:pPr>
            <w:r>
              <w:t>Time Zone Setting</w:t>
            </w:r>
          </w:p>
          <w:p w:rsidR="005773E9" w:rsidRDefault="005773E9" w:rsidP="002F6D7B">
            <w:pPr>
              <w:pStyle w:val="TableText"/>
              <w:numPr>
                <w:ilvl w:val="0"/>
                <w:numId w:val="37"/>
              </w:numPr>
            </w:pPr>
            <w:r>
              <w:t>Daylight savings time Setting</w:t>
            </w:r>
          </w:p>
          <w:p w:rsidR="005773E9" w:rsidRPr="00756ABF" w:rsidRDefault="005773E9" w:rsidP="002F6D7B">
            <w:pPr>
              <w:pStyle w:val="TableText"/>
              <w:numPr>
                <w:ilvl w:val="0"/>
                <w:numId w:val="37"/>
              </w:numPr>
              <w:rPr>
                <w:rFonts w:cs="Arial"/>
              </w:rPr>
            </w:pPr>
            <w:r w:rsidRPr="00756ABF">
              <w:rPr>
                <w:rFonts w:cs="Arial"/>
              </w:rPr>
              <w:t>Daylight savings time start date</w:t>
            </w:r>
          </w:p>
          <w:p w:rsidR="005773E9" w:rsidRPr="00756ABF" w:rsidRDefault="005773E9" w:rsidP="002F6D7B">
            <w:pPr>
              <w:pStyle w:val="TableText"/>
              <w:numPr>
                <w:ilvl w:val="0"/>
                <w:numId w:val="37"/>
              </w:numPr>
              <w:rPr>
                <w:rFonts w:cs="Arial"/>
              </w:rPr>
            </w:pPr>
            <w:r w:rsidRPr="00756ABF">
              <w:rPr>
                <w:rFonts w:cs="Arial"/>
              </w:rPr>
              <w:t>Daylight savings time end date</w:t>
            </w:r>
          </w:p>
          <w:p w:rsidR="005773E9" w:rsidRPr="00756ABF" w:rsidRDefault="005773E9" w:rsidP="005773E9">
            <w:pPr>
              <w:rPr>
                <w:rFonts w:ascii="Arial" w:hAnsi="Arial" w:cs="Arial"/>
                <w:sz w:val="18"/>
                <w:szCs w:val="18"/>
              </w:rPr>
            </w:pPr>
            <w:r w:rsidRPr="00756ABF">
              <w:rPr>
                <w:rFonts w:ascii="Arial" w:hAnsi="Arial" w:cs="Arial"/>
                <w:sz w:val="18"/>
                <w:szCs w:val="18"/>
              </w:rPr>
              <w:t>For each Associated Institution (Division Code)</w:t>
            </w:r>
          </w:p>
          <w:p w:rsidR="005773E9" w:rsidRDefault="005773E9" w:rsidP="002F6D7B">
            <w:pPr>
              <w:pStyle w:val="TableText"/>
              <w:numPr>
                <w:ilvl w:val="0"/>
                <w:numId w:val="35"/>
              </w:numPr>
            </w:pPr>
            <w:r w:rsidRPr="00892C58">
              <w:t>Status indicator</w:t>
            </w:r>
            <w:r w:rsidR="006D54AE">
              <w:t xml:space="preserve"> </w:t>
            </w:r>
            <w:r w:rsidR="006D54AE" w:rsidRPr="006D54AE">
              <w:rPr>
                <w:vanish/>
              </w:rPr>
              <w:t>DR 2,723</w:t>
            </w:r>
          </w:p>
        </w:tc>
        <w:tc>
          <w:tcPr>
            <w:tcW w:w="1243" w:type="dxa"/>
          </w:tcPr>
          <w:p w:rsidR="002A21AE" w:rsidRDefault="002A21AE">
            <w:pPr>
              <w:pStyle w:val="TableText"/>
            </w:pPr>
            <w:r>
              <w:t>No</w:t>
            </w:r>
          </w:p>
        </w:tc>
        <w:tc>
          <w:tcPr>
            <w:tcW w:w="1295" w:type="dxa"/>
          </w:tcPr>
          <w:p w:rsidR="002A21AE" w:rsidRDefault="002A21AE">
            <w:pPr>
              <w:pStyle w:val="TableText"/>
            </w:pPr>
            <w:r>
              <w:t>No</w:t>
            </w:r>
          </w:p>
        </w:tc>
      </w:tr>
      <w:tr w:rsidR="007F2C58">
        <w:tblPrEx>
          <w:tblCellMar>
            <w:top w:w="0" w:type="dxa"/>
            <w:bottom w:w="0" w:type="dxa"/>
          </w:tblCellMar>
        </w:tblPrEx>
        <w:tc>
          <w:tcPr>
            <w:tcW w:w="1373" w:type="dxa"/>
          </w:tcPr>
          <w:p w:rsidR="007F2C58" w:rsidRDefault="007F2C58" w:rsidP="00CD34EB">
            <w:pPr>
              <w:pStyle w:val="TableText"/>
            </w:pPr>
            <w:r>
              <w:t>Maintenance: Division Configuration</w:t>
            </w:r>
          </w:p>
        </w:tc>
        <w:tc>
          <w:tcPr>
            <w:tcW w:w="1979" w:type="dxa"/>
          </w:tcPr>
          <w:p w:rsidR="007F2C58" w:rsidRDefault="007F2C58">
            <w:pPr>
              <w:pStyle w:val="TableText"/>
            </w:pPr>
            <w:r>
              <w:t>Configure Division</w:t>
            </w:r>
          </w:p>
        </w:tc>
        <w:tc>
          <w:tcPr>
            <w:tcW w:w="3470" w:type="dxa"/>
          </w:tcPr>
          <w:p w:rsidR="007F2C58" w:rsidRDefault="007F2C58" w:rsidP="007F2C58">
            <w:pPr>
              <w:pStyle w:val="TableText"/>
            </w:pPr>
            <w:r>
              <w:t xml:space="preserve">For each </w:t>
            </w:r>
            <w:r w:rsidR="00067C65">
              <w:t>d</w:t>
            </w:r>
            <w:r>
              <w:t>ivision (name, code):</w:t>
            </w:r>
          </w:p>
          <w:p w:rsidR="007F2C58" w:rsidRDefault="007F2C58" w:rsidP="007F2C58">
            <w:pPr>
              <w:pStyle w:val="TableTextBullet"/>
            </w:pPr>
            <w:r>
              <w:t>Electronic Crossmatch Enabled Indicator</w:t>
            </w:r>
          </w:p>
          <w:p w:rsidR="007F2C58" w:rsidRDefault="007F2C58" w:rsidP="007F2C58">
            <w:pPr>
              <w:pStyle w:val="TableTextBullet"/>
            </w:pPr>
            <w:r>
              <w:t>ICCBBA Registration Number</w:t>
            </w:r>
          </w:p>
          <w:p w:rsidR="007F2C58" w:rsidRDefault="007F2C58" w:rsidP="007F2C58">
            <w:pPr>
              <w:pStyle w:val="TableTextBullet"/>
            </w:pPr>
            <w:r>
              <w:t>Maximum Specimen Expiration Days</w:t>
            </w:r>
          </w:p>
          <w:p w:rsidR="007F2C58" w:rsidRDefault="007F2C58" w:rsidP="009C0ACB">
            <w:pPr>
              <w:pStyle w:val="TableTextBullet"/>
            </w:pPr>
            <w:r>
              <w:t>Blood Bank MD</w:t>
            </w:r>
          </w:p>
        </w:tc>
        <w:tc>
          <w:tcPr>
            <w:tcW w:w="1243" w:type="dxa"/>
          </w:tcPr>
          <w:p w:rsidR="007F2C58" w:rsidRDefault="007F2C58">
            <w:pPr>
              <w:pStyle w:val="TableText"/>
            </w:pPr>
            <w:r>
              <w:t>No</w:t>
            </w:r>
          </w:p>
        </w:tc>
        <w:tc>
          <w:tcPr>
            <w:tcW w:w="1295" w:type="dxa"/>
          </w:tcPr>
          <w:p w:rsidR="007F2C58" w:rsidRDefault="007F2C58">
            <w:pPr>
              <w:pStyle w:val="TableText"/>
            </w:pPr>
            <w:r>
              <w:t>No</w:t>
            </w:r>
          </w:p>
        </w:tc>
      </w:tr>
      <w:tr w:rsidR="00C64288">
        <w:tblPrEx>
          <w:tblCellMar>
            <w:top w:w="0" w:type="dxa"/>
            <w:bottom w:w="0" w:type="dxa"/>
          </w:tblCellMar>
        </w:tblPrEx>
        <w:tc>
          <w:tcPr>
            <w:tcW w:w="1373" w:type="dxa"/>
          </w:tcPr>
          <w:p w:rsidR="00C64288" w:rsidRDefault="00C64288" w:rsidP="00CD34EB">
            <w:pPr>
              <w:pStyle w:val="TableText"/>
            </w:pPr>
            <w:r>
              <w:t>Maintenance: Division Configuration</w:t>
            </w:r>
          </w:p>
        </w:tc>
        <w:tc>
          <w:tcPr>
            <w:tcW w:w="1979" w:type="dxa"/>
          </w:tcPr>
          <w:p w:rsidR="00C64288" w:rsidRDefault="00C64288" w:rsidP="000B284D">
            <w:pPr>
              <w:pStyle w:val="TableText"/>
            </w:pPr>
            <w:r>
              <w:t>Edit Invoice Text</w:t>
            </w:r>
          </w:p>
        </w:tc>
        <w:tc>
          <w:tcPr>
            <w:tcW w:w="3470" w:type="dxa"/>
          </w:tcPr>
          <w:p w:rsidR="00C64288" w:rsidRDefault="00C64288" w:rsidP="000B284D">
            <w:pPr>
              <w:pStyle w:val="TableText"/>
            </w:pPr>
            <w:r>
              <w:t xml:space="preserve">For each </w:t>
            </w:r>
            <w:r w:rsidR="002713C2">
              <w:t>d</w:t>
            </w:r>
            <w:r>
              <w:t>ivision (name, code):</w:t>
            </w:r>
          </w:p>
          <w:p w:rsidR="00C64288" w:rsidRDefault="00C64288" w:rsidP="000B284D">
            <w:pPr>
              <w:pStyle w:val="TableTextBullet"/>
            </w:pPr>
            <w:r>
              <w:t>Invoice Text</w:t>
            </w:r>
          </w:p>
        </w:tc>
        <w:tc>
          <w:tcPr>
            <w:tcW w:w="1243" w:type="dxa"/>
          </w:tcPr>
          <w:p w:rsidR="00C64288" w:rsidRDefault="00C64288" w:rsidP="000B284D">
            <w:pPr>
              <w:pStyle w:val="TableText"/>
            </w:pPr>
            <w:r>
              <w:t>No</w:t>
            </w:r>
          </w:p>
        </w:tc>
        <w:tc>
          <w:tcPr>
            <w:tcW w:w="1295" w:type="dxa"/>
          </w:tcPr>
          <w:p w:rsidR="00C64288" w:rsidRDefault="00C64288" w:rsidP="000B284D">
            <w:pPr>
              <w:pStyle w:val="TableText"/>
            </w:pPr>
            <w:r>
              <w:t>No</w:t>
            </w:r>
          </w:p>
        </w:tc>
      </w:tr>
      <w:tr w:rsidR="009C0ACB">
        <w:tblPrEx>
          <w:tblCellMar>
            <w:top w:w="0" w:type="dxa"/>
            <w:bottom w:w="0" w:type="dxa"/>
          </w:tblCellMar>
        </w:tblPrEx>
        <w:tc>
          <w:tcPr>
            <w:tcW w:w="1373" w:type="dxa"/>
          </w:tcPr>
          <w:p w:rsidR="009C0ACB" w:rsidRDefault="009C0ACB" w:rsidP="005C03DD">
            <w:pPr>
              <w:pStyle w:val="TableText"/>
            </w:pPr>
            <w:r>
              <w:t>Maintenance: Division Configuration</w:t>
            </w:r>
          </w:p>
        </w:tc>
        <w:tc>
          <w:tcPr>
            <w:tcW w:w="1979" w:type="dxa"/>
          </w:tcPr>
          <w:p w:rsidR="009C0ACB" w:rsidRDefault="009C0ACB" w:rsidP="005C03DD">
            <w:pPr>
              <w:pStyle w:val="TableText"/>
            </w:pPr>
            <w:r>
              <w:t>Configure Testing</w:t>
            </w:r>
          </w:p>
        </w:tc>
        <w:tc>
          <w:tcPr>
            <w:tcW w:w="3470" w:type="dxa"/>
          </w:tcPr>
          <w:p w:rsidR="009C0ACB" w:rsidRDefault="009C0ACB" w:rsidP="005C03DD">
            <w:pPr>
              <w:pStyle w:val="TableText"/>
            </w:pPr>
            <w:r>
              <w:t>For each division (name, code):</w:t>
            </w:r>
          </w:p>
          <w:p w:rsidR="009C0ACB" w:rsidRDefault="009C0ACB" w:rsidP="005C03DD">
            <w:pPr>
              <w:pStyle w:val="TableTextBullet"/>
            </w:pPr>
            <w:r>
              <w:t>Antibody Screen Indicator</w:t>
            </w:r>
          </w:p>
          <w:p w:rsidR="006F4516" w:rsidRDefault="006F4516" w:rsidP="005C03DD">
            <w:pPr>
              <w:pStyle w:val="TableTextBullet"/>
            </w:pPr>
            <w:r>
              <w:t>ABS and XM Testing Phases</w:t>
            </w:r>
          </w:p>
        </w:tc>
        <w:tc>
          <w:tcPr>
            <w:tcW w:w="1243" w:type="dxa"/>
          </w:tcPr>
          <w:p w:rsidR="009C0ACB" w:rsidRDefault="009C0ACB" w:rsidP="005C03DD">
            <w:pPr>
              <w:pStyle w:val="TableText"/>
            </w:pPr>
            <w:r>
              <w:t>No</w:t>
            </w:r>
          </w:p>
        </w:tc>
        <w:tc>
          <w:tcPr>
            <w:tcW w:w="1295" w:type="dxa"/>
          </w:tcPr>
          <w:p w:rsidR="009C0ACB" w:rsidRDefault="009C0ACB" w:rsidP="005C03DD">
            <w:pPr>
              <w:pStyle w:val="TableText"/>
            </w:pPr>
            <w:r>
              <w:t>No</w:t>
            </w:r>
          </w:p>
        </w:tc>
      </w:tr>
      <w:tr w:rsidR="00EE6F41">
        <w:tblPrEx>
          <w:tblCellMar>
            <w:top w:w="0" w:type="dxa"/>
            <w:bottom w:w="0" w:type="dxa"/>
          </w:tblCellMar>
        </w:tblPrEx>
        <w:tc>
          <w:tcPr>
            <w:tcW w:w="1373" w:type="dxa"/>
          </w:tcPr>
          <w:p w:rsidR="00EE6F41" w:rsidRDefault="00EE6F41" w:rsidP="00CD34EB">
            <w:pPr>
              <w:pStyle w:val="TableText"/>
            </w:pPr>
            <w:r>
              <w:t>Maintenance: Division Configuration</w:t>
            </w:r>
          </w:p>
        </w:tc>
        <w:tc>
          <w:tcPr>
            <w:tcW w:w="1979" w:type="dxa"/>
          </w:tcPr>
          <w:p w:rsidR="00EE6F41" w:rsidRDefault="009C0ACB" w:rsidP="00EE6F41">
            <w:pPr>
              <w:pStyle w:val="TableText"/>
            </w:pPr>
            <w:r>
              <w:t>Order Alerts</w:t>
            </w:r>
          </w:p>
        </w:tc>
        <w:tc>
          <w:tcPr>
            <w:tcW w:w="3470" w:type="dxa"/>
          </w:tcPr>
          <w:p w:rsidR="00EE6F41" w:rsidRDefault="00EE6F41" w:rsidP="00EE6F41">
            <w:pPr>
              <w:pStyle w:val="TableText"/>
            </w:pPr>
            <w:r>
              <w:t xml:space="preserve">For each </w:t>
            </w:r>
            <w:r w:rsidR="002713C2">
              <w:t>d</w:t>
            </w:r>
            <w:r>
              <w:t>ivision (name, code):</w:t>
            </w:r>
          </w:p>
          <w:p w:rsidR="00EE6F41" w:rsidRDefault="009C0ACB" w:rsidP="00EE6F41">
            <w:pPr>
              <w:pStyle w:val="TableTextBullet"/>
            </w:pPr>
            <w:r>
              <w:t>Login Message</w:t>
            </w:r>
          </w:p>
        </w:tc>
        <w:tc>
          <w:tcPr>
            <w:tcW w:w="1243" w:type="dxa"/>
          </w:tcPr>
          <w:p w:rsidR="00EE6F41" w:rsidRDefault="00EE6F41" w:rsidP="00EE6F41">
            <w:pPr>
              <w:pStyle w:val="TableText"/>
            </w:pPr>
            <w:r>
              <w:t>No</w:t>
            </w:r>
          </w:p>
        </w:tc>
        <w:tc>
          <w:tcPr>
            <w:tcW w:w="1295" w:type="dxa"/>
          </w:tcPr>
          <w:p w:rsidR="00EE6F41" w:rsidRDefault="00EE6F41" w:rsidP="00EE6F41">
            <w:pPr>
              <w:pStyle w:val="TableText"/>
            </w:pPr>
            <w:r>
              <w:t>No</w:t>
            </w:r>
          </w:p>
        </w:tc>
      </w:tr>
      <w:tr w:rsidR="002A21AE">
        <w:tblPrEx>
          <w:tblCellMar>
            <w:top w:w="0" w:type="dxa"/>
            <w:bottom w:w="0" w:type="dxa"/>
          </w:tblCellMar>
        </w:tblPrEx>
        <w:tc>
          <w:tcPr>
            <w:tcW w:w="1373" w:type="dxa"/>
          </w:tcPr>
          <w:p w:rsidR="002A21AE" w:rsidRDefault="002A21AE" w:rsidP="00CD34EB">
            <w:pPr>
              <w:pStyle w:val="TableText"/>
            </w:pPr>
            <w:r>
              <w:t>Maintenance: Modifications Configuration</w:t>
            </w:r>
          </w:p>
        </w:tc>
        <w:tc>
          <w:tcPr>
            <w:tcW w:w="1979" w:type="dxa"/>
          </w:tcPr>
          <w:p w:rsidR="002A21AE" w:rsidRDefault="00046402">
            <w:pPr>
              <w:pStyle w:val="TableText"/>
            </w:pPr>
            <w:r>
              <w:t>Product Modifications</w:t>
            </w:r>
          </w:p>
        </w:tc>
        <w:tc>
          <w:tcPr>
            <w:tcW w:w="3470" w:type="dxa"/>
          </w:tcPr>
          <w:p w:rsidR="00563120" w:rsidRDefault="00563120" w:rsidP="00563120">
            <w:pPr>
              <w:pStyle w:val="TableText"/>
            </w:pPr>
            <w:r>
              <w:t>For each modification type:</w:t>
            </w:r>
          </w:p>
          <w:p w:rsidR="002A21AE" w:rsidRDefault="002A21AE">
            <w:pPr>
              <w:pStyle w:val="TableTextBullet"/>
            </w:pPr>
            <w:r>
              <w:t>Enabled</w:t>
            </w:r>
            <w:r w:rsidR="00A047A4">
              <w:t xml:space="preserve"> or </w:t>
            </w:r>
            <w:r>
              <w:t>Disabled Indicator</w:t>
            </w:r>
          </w:p>
          <w:p w:rsidR="002A21AE" w:rsidRDefault="00563120">
            <w:pPr>
              <w:pStyle w:val="TableTextBullet"/>
            </w:pPr>
            <w:r>
              <w:t>Cost</w:t>
            </w:r>
          </w:p>
        </w:tc>
        <w:tc>
          <w:tcPr>
            <w:tcW w:w="1243" w:type="dxa"/>
          </w:tcPr>
          <w:p w:rsidR="002A21AE" w:rsidRDefault="002A21AE">
            <w:pPr>
              <w:pStyle w:val="TableText"/>
            </w:pPr>
            <w:r>
              <w:t>No</w:t>
            </w:r>
          </w:p>
        </w:tc>
        <w:tc>
          <w:tcPr>
            <w:tcW w:w="1295" w:type="dxa"/>
          </w:tcPr>
          <w:p w:rsidR="002A21AE" w:rsidRDefault="002A21AE">
            <w:pPr>
              <w:pStyle w:val="TableText"/>
            </w:pPr>
            <w:r>
              <w:t>No</w:t>
            </w:r>
          </w:p>
        </w:tc>
      </w:tr>
      <w:tr w:rsidR="002A21AE">
        <w:tblPrEx>
          <w:tblCellMar>
            <w:top w:w="0" w:type="dxa"/>
            <w:bottom w:w="0" w:type="dxa"/>
          </w:tblCellMar>
        </w:tblPrEx>
        <w:tc>
          <w:tcPr>
            <w:tcW w:w="1373" w:type="dxa"/>
            <w:tcBorders>
              <w:bottom w:val="single" w:sz="4" w:space="0" w:color="auto"/>
            </w:tcBorders>
          </w:tcPr>
          <w:p w:rsidR="002A21AE" w:rsidRDefault="002A21AE" w:rsidP="00CD34EB">
            <w:pPr>
              <w:pStyle w:val="TableText"/>
            </w:pPr>
            <w:r>
              <w:t>Maintenance: User Role Changes</w:t>
            </w:r>
          </w:p>
        </w:tc>
        <w:tc>
          <w:tcPr>
            <w:tcW w:w="1979" w:type="dxa"/>
            <w:tcBorders>
              <w:bottom w:val="single" w:sz="4" w:space="0" w:color="auto"/>
            </w:tcBorders>
          </w:tcPr>
          <w:p w:rsidR="002A21AE" w:rsidRDefault="002A21AE">
            <w:pPr>
              <w:pStyle w:val="TableText"/>
            </w:pPr>
            <w:r>
              <w:t>Update User Roles</w:t>
            </w:r>
          </w:p>
        </w:tc>
        <w:tc>
          <w:tcPr>
            <w:tcW w:w="3470" w:type="dxa"/>
            <w:tcBorders>
              <w:bottom w:val="single" w:sz="4" w:space="0" w:color="auto"/>
            </w:tcBorders>
          </w:tcPr>
          <w:p w:rsidR="00563120" w:rsidRDefault="00563120" w:rsidP="00563120">
            <w:pPr>
              <w:pStyle w:val="TableText"/>
            </w:pPr>
            <w:r>
              <w:t>For each user:</w:t>
            </w:r>
          </w:p>
          <w:p w:rsidR="002A21AE" w:rsidRDefault="002A21AE">
            <w:pPr>
              <w:pStyle w:val="TableTextBullet"/>
            </w:pPr>
            <w:r>
              <w:t xml:space="preserve">User Role Security Setting </w:t>
            </w:r>
          </w:p>
        </w:tc>
        <w:tc>
          <w:tcPr>
            <w:tcW w:w="1243" w:type="dxa"/>
            <w:tcBorders>
              <w:bottom w:val="single" w:sz="4" w:space="0" w:color="auto"/>
            </w:tcBorders>
          </w:tcPr>
          <w:p w:rsidR="002A21AE" w:rsidRDefault="002A21AE">
            <w:pPr>
              <w:pStyle w:val="TableText"/>
            </w:pPr>
            <w:r>
              <w:t>No</w:t>
            </w:r>
          </w:p>
        </w:tc>
        <w:tc>
          <w:tcPr>
            <w:tcW w:w="1295" w:type="dxa"/>
            <w:tcBorders>
              <w:bottom w:val="single" w:sz="4" w:space="0" w:color="auto"/>
            </w:tcBorders>
          </w:tcPr>
          <w:p w:rsidR="002A21AE" w:rsidRDefault="002A21AE">
            <w:pPr>
              <w:pStyle w:val="TableText"/>
            </w:pPr>
            <w:r>
              <w:t>No</w:t>
            </w:r>
          </w:p>
        </w:tc>
      </w:tr>
      <w:tr w:rsidR="00C644E6">
        <w:tblPrEx>
          <w:tblCellMar>
            <w:top w:w="0" w:type="dxa"/>
            <w:bottom w:w="0" w:type="dxa"/>
          </w:tblCellMar>
        </w:tblPrEx>
        <w:tc>
          <w:tcPr>
            <w:tcW w:w="1373" w:type="dxa"/>
          </w:tcPr>
          <w:p w:rsidR="00C644E6" w:rsidRDefault="00C644E6" w:rsidP="00CD34EB">
            <w:pPr>
              <w:pStyle w:val="TableText"/>
            </w:pPr>
            <w:r>
              <w:t>Maintenance: User Role Changes</w:t>
            </w:r>
          </w:p>
        </w:tc>
        <w:tc>
          <w:tcPr>
            <w:tcW w:w="1979" w:type="dxa"/>
          </w:tcPr>
          <w:p w:rsidR="00C644E6" w:rsidRDefault="00DE4FF7" w:rsidP="000B284D">
            <w:pPr>
              <w:pStyle w:val="TableText"/>
            </w:pPr>
            <w:r>
              <w:t>Configure</w:t>
            </w:r>
            <w:r w:rsidR="00C644E6">
              <w:t xml:space="preserve"> Users</w:t>
            </w:r>
            <w:r w:rsidRPr="00DE4FF7">
              <w:rPr>
                <w:vanish/>
                <w:szCs w:val="18"/>
              </w:rPr>
              <w:t xml:space="preserve"> MUC_03</w:t>
            </w:r>
          </w:p>
        </w:tc>
        <w:tc>
          <w:tcPr>
            <w:tcW w:w="3470" w:type="dxa"/>
          </w:tcPr>
          <w:p w:rsidR="00C644E6" w:rsidRDefault="00C644E6" w:rsidP="00C644E6">
            <w:pPr>
              <w:pStyle w:val="TableText"/>
            </w:pPr>
            <w:r>
              <w:t>For each NT user (name, ID):</w:t>
            </w:r>
          </w:p>
          <w:p w:rsidR="00C644E6" w:rsidRDefault="00C644E6" w:rsidP="000B284D">
            <w:pPr>
              <w:pStyle w:val="TableTextBullet"/>
            </w:pPr>
            <w:r>
              <w:t>VistA DUZ</w:t>
            </w:r>
          </w:p>
          <w:p w:rsidR="00C644E6" w:rsidRDefault="00C644E6" w:rsidP="000B284D">
            <w:pPr>
              <w:pStyle w:val="TableTextBullet"/>
            </w:pPr>
            <w:r>
              <w:t>VistA User Name</w:t>
            </w:r>
          </w:p>
          <w:p w:rsidR="00C644E6" w:rsidRDefault="00C644E6" w:rsidP="000B284D">
            <w:pPr>
              <w:pStyle w:val="TableTextBullet"/>
            </w:pPr>
            <w:r>
              <w:t>Email Address</w:t>
            </w:r>
          </w:p>
          <w:p w:rsidR="00C644E6" w:rsidRDefault="00C644E6" w:rsidP="000B284D">
            <w:pPr>
              <w:pStyle w:val="TableTextBullet"/>
            </w:pPr>
            <w:r>
              <w:t>User Initials</w:t>
            </w:r>
          </w:p>
          <w:p w:rsidR="00C644E6" w:rsidRDefault="00C644E6" w:rsidP="000B284D">
            <w:pPr>
              <w:pStyle w:val="TableTextBullet"/>
            </w:pPr>
            <w:r>
              <w:t>Active VBECS User Indicator</w:t>
            </w:r>
          </w:p>
          <w:p w:rsidR="00C644E6" w:rsidRDefault="00342C0E" w:rsidP="000B284D">
            <w:pPr>
              <w:pStyle w:val="TableTextBullet"/>
            </w:pPr>
            <w:r>
              <w:lastRenderedPageBreak/>
              <w:t>Active Division Indicator</w:t>
            </w:r>
          </w:p>
        </w:tc>
        <w:tc>
          <w:tcPr>
            <w:tcW w:w="1243" w:type="dxa"/>
          </w:tcPr>
          <w:p w:rsidR="00C644E6" w:rsidRDefault="00C644E6" w:rsidP="000B284D">
            <w:pPr>
              <w:pStyle w:val="TableText"/>
            </w:pPr>
            <w:r>
              <w:lastRenderedPageBreak/>
              <w:t>No</w:t>
            </w:r>
          </w:p>
        </w:tc>
        <w:tc>
          <w:tcPr>
            <w:tcW w:w="1295" w:type="dxa"/>
          </w:tcPr>
          <w:p w:rsidR="00C644E6" w:rsidRDefault="00C644E6" w:rsidP="000B284D">
            <w:pPr>
              <w:pStyle w:val="TableText"/>
            </w:pPr>
            <w:r>
              <w:t>No</w:t>
            </w:r>
          </w:p>
        </w:tc>
      </w:tr>
      <w:tr w:rsidR="002A21AE">
        <w:tblPrEx>
          <w:tblCellMar>
            <w:top w:w="0" w:type="dxa"/>
            <w:bottom w:w="0" w:type="dxa"/>
          </w:tblCellMar>
        </w:tblPrEx>
        <w:tc>
          <w:tcPr>
            <w:tcW w:w="1373" w:type="dxa"/>
          </w:tcPr>
          <w:p w:rsidR="002A21AE" w:rsidRDefault="002A21AE" w:rsidP="00CD34EB">
            <w:pPr>
              <w:pStyle w:val="TableText"/>
            </w:pPr>
            <w:r>
              <w:lastRenderedPageBreak/>
              <w:t>Maintenance: Antibody Configuration</w:t>
            </w:r>
          </w:p>
        </w:tc>
        <w:tc>
          <w:tcPr>
            <w:tcW w:w="1979" w:type="dxa"/>
          </w:tcPr>
          <w:p w:rsidR="002A21AE" w:rsidRDefault="002A21AE">
            <w:pPr>
              <w:pStyle w:val="TableText"/>
            </w:pPr>
            <w:r>
              <w:t>Antibodies</w:t>
            </w:r>
          </w:p>
        </w:tc>
        <w:tc>
          <w:tcPr>
            <w:tcW w:w="3470" w:type="dxa"/>
          </w:tcPr>
          <w:p w:rsidR="00A71D77" w:rsidRDefault="00A71D77" w:rsidP="00A71D77">
            <w:pPr>
              <w:pStyle w:val="TableText"/>
            </w:pPr>
            <w:r>
              <w:t>For each antibody specificity:</w:t>
            </w:r>
          </w:p>
          <w:p w:rsidR="002A21AE" w:rsidRDefault="002A21AE">
            <w:pPr>
              <w:pStyle w:val="TableTextBullet"/>
            </w:pPr>
            <w:r>
              <w:t>Compatibility Percentage</w:t>
            </w:r>
          </w:p>
          <w:p w:rsidR="002A21AE" w:rsidRDefault="00A71D77">
            <w:pPr>
              <w:pStyle w:val="TableTextBullet"/>
            </w:pPr>
            <w:r>
              <w:t>Higher Level Override Required Indicator</w:t>
            </w:r>
          </w:p>
        </w:tc>
        <w:tc>
          <w:tcPr>
            <w:tcW w:w="1243" w:type="dxa"/>
          </w:tcPr>
          <w:p w:rsidR="002A21AE" w:rsidRDefault="002A21AE">
            <w:pPr>
              <w:pStyle w:val="TableText"/>
            </w:pPr>
            <w:r>
              <w:t>No</w:t>
            </w:r>
          </w:p>
        </w:tc>
        <w:tc>
          <w:tcPr>
            <w:tcW w:w="1295" w:type="dxa"/>
          </w:tcPr>
          <w:p w:rsidR="002A21AE" w:rsidRDefault="002A21AE">
            <w:pPr>
              <w:pStyle w:val="TableText"/>
            </w:pPr>
            <w:r>
              <w:t>No</w:t>
            </w:r>
          </w:p>
        </w:tc>
      </w:tr>
      <w:tr w:rsidR="002A21AE">
        <w:tblPrEx>
          <w:tblCellMar>
            <w:top w:w="0" w:type="dxa"/>
            <w:bottom w:w="0" w:type="dxa"/>
          </w:tblCellMar>
        </w:tblPrEx>
        <w:tc>
          <w:tcPr>
            <w:tcW w:w="1373" w:type="dxa"/>
          </w:tcPr>
          <w:p w:rsidR="002A21AE" w:rsidRDefault="002A21AE" w:rsidP="00CD34EB">
            <w:pPr>
              <w:pStyle w:val="TableText"/>
            </w:pPr>
            <w:r>
              <w:t>Maintenance: Workload Configuration</w:t>
            </w:r>
          </w:p>
        </w:tc>
        <w:tc>
          <w:tcPr>
            <w:tcW w:w="1979" w:type="dxa"/>
          </w:tcPr>
          <w:p w:rsidR="002A21AE" w:rsidRDefault="002A21AE">
            <w:pPr>
              <w:pStyle w:val="TableText"/>
            </w:pPr>
            <w:r>
              <w:t>Workload Codes</w:t>
            </w:r>
          </w:p>
        </w:tc>
        <w:tc>
          <w:tcPr>
            <w:tcW w:w="3470" w:type="dxa"/>
          </w:tcPr>
          <w:p w:rsidR="00B320F4" w:rsidRDefault="00B320F4" w:rsidP="00B320F4">
            <w:pPr>
              <w:pStyle w:val="TableText"/>
            </w:pPr>
            <w:r>
              <w:t>For each workload process and for each LMIP procedure and LMIP/NLT code:</w:t>
            </w:r>
          </w:p>
          <w:p w:rsidR="00B320F4" w:rsidRDefault="00B320F4" w:rsidP="00B320F4">
            <w:pPr>
              <w:pStyle w:val="TableTextBullet"/>
            </w:pPr>
            <w:r>
              <w:t>Start Date</w:t>
            </w:r>
          </w:p>
          <w:p w:rsidR="00B320F4" w:rsidRDefault="00B320F4" w:rsidP="00B320F4">
            <w:pPr>
              <w:pStyle w:val="TableTextBullet"/>
            </w:pPr>
            <w:r>
              <w:t>Stop Date</w:t>
            </w:r>
          </w:p>
          <w:p w:rsidR="0098047D" w:rsidRDefault="00B320F4" w:rsidP="00B320F4">
            <w:pPr>
              <w:pStyle w:val="TableTextBullet"/>
            </w:pPr>
            <w:r>
              <w:t>Status Indicator</w:t>
            </w:r>
          </w:p>
        </w:tc>
        <w:tc>
          <w:tcPr>
            <w:tcW w:w="1243" w:type="dxa"/>
          </w:tcPr>
          <w:p w:rsidR="002A21AE" w:rsidRDefault="002A21AE">
            <w:pPr>
              <w:pStyle w:val="TableText"/>
            </w:pPr>
            <w:r>
              <w:t>No</w:t>
            </w:r>
          </w:p>
        </w:tc>
        <w:tc>
          <w:tcPr>
            <w:tcW w:w="1295" w:type="dxa"/>
          </w:tcPr>
          <w:p w:rsidR="002A21AE" w:rsidRDefault="002A21AE">
            <w:pPr>
              <w:pStyle w:val="TableText"/>
            </w:pPr>
            <w:r>
              <w:t>No</w:t>
            </w:r>
          </w:p>
        </w:tc>
      </w:tr>
      <w:tr w:rsidR="002A21AE">
        <w:tblPrEx>
          <w:tblCellMar>
            <w:top w:w="0" w:type="dxa"/>
            <w:bottom w:w="0" w:type="dxa"/>
          </w:tblCellMar>
        </w:tblPrEx>
        <w:tc>
          <w:tcPr>
            <w:tcW w:w="1373" w:type="dxa"/>
          </w:tcPr>
          <w:p w:rsidR="002A21AE" w:rsidRDefault="002A21AE" w:rsidP="00CD34EB">
            <w:pPr>
              <w:pStyle w:val="TableText"/>
            </w:pPr>
            <w:r>
              <w:t>Maintenance: MSBOS Configuration</w:t>
            </w:r>
          </w:p>
        </w:tc>
        <w:tc>
          <w:tcPr>
            <w:tcW w:w="1979" w:type="dxa"/>
          </w:tcPr>
          <w:p w:rsidR="002A21AE" w:rsidRDefault="002A21AE">
            <w:pPr>
              <w:pStyle w:val="TableText"/>
            </w:pPr>
            <w:r>
              <w:t>MSBOS</w:t>
            </w:r>
          </w:p>
        </w:tc>
        <w:tc>
          <w:tcPr>
            <w:tcW w:w="3470" w:type="dxa"/>
          </w:tcPr>
          <w:p w:rsidR="002A21AE" w:rsidRDefault="00F06D63" w:rsidP="00F06D63">
            <w:pPr>
              <w:pStyle w:val="TableText"/>
            </w:pPr>
            <w:r>
              <w:t xml:space="preserve">For each </w:t>
            </w:r>
            <w:r w:rsidR="00B63E26">
              <w:t>s</w:t>
            </w:r>
            <w:r w:rsidR="002A21AE">
              <w:t xml:space="preserve">urgery </w:t>
            </w:r>
            <w:r w:rsidR="00B63E26">
              <w:t>n</w:t>
            </w:r>
            <w:r>
              <w:t xml:space="preserve">ame: </w:t>
            </w:r>
          </w:p>
          <w:p w:rsidR="002A21AE" w:rsidRDefault="00F06D63">
            <w:pPr>
              <w:pStyle w:val="TableTextBullet"/>
            </w:pPr>
            <w:r>
              <w:t xml:space="preserve">Surgery Status </w:t>
            </w:r>
            <w:r w:rsidR="002A21AE">
              <w:t>Indicator</w:t>
            </w:r>
          </w:p>
          <w:p w:rsidR="00F06D63" w:rsidRDefault="00F06D63" w:rsidP="00F06D63">
            <w:pPr>
              <w:pStyle w:val="TableText"/>
            </w:pPr>
            <w:r>
              <w:t xml:space="preserve">For each </w:t>
            </w:r>
            <w:r w:rsidR="002A21AE">
              <w:t xml:space="preserve">MSBOS </w:t>
            </w:r>
            <w:r w:rsidR="00B63E26">
              <w:t>r</w:t>
            </w:r>
            <w:r w:rsidR="002A21AE">
              <w:t>ecommendation</w:t>
            </w:r>
            <w:r>
              <w:t>:</w:t>
            </w:r>
          </w:p>
          <w:p w:rsidR="002A21AE" w:rsidRDefault="002A21AE" w:rsidP="00F06D63">
            <w:pPr>
              <w:pStyle w:val="TableTextBullet"/>
            </w:pPr>
            <w:r>
              <w:t xml:space="preserve">TAS </w:t>
            </w:r>
            <w:r w:rsidR="00F06D63">
              <w:t>Indicator</w:t>
            </w:r>
          </w:p>
          <w:p w:rsidR="00F06D63" w:rsidRDefault="00F06D63" w:rsidP="00F06D63">
            <w:pPr>
              <w:pStyle w:val="TableTextBullet"/>
            </w:pPr>
            <w:r>
              <w:t>No Blood Required Indicator</w:t>
            </w:r>
          </w:p>
          <w:p w:rsidR="00F06D63" w:rsidRDefault="00F06D63" w:rsidP="00F06D63">
            <w:pPr>
              <w:pStyle w:val="TableText"/>
            </w:pPr>
            <w:r>
              <w:t>For each selected component class:</w:t>
            </w:r>
          </w:p>
          <w:p w:rsidR="00F06D63" w:rsidRDefault="00F06D63" w:rsidP="00F06D63">
            <w:pPr>
              <w:pStyle w:val="TableTextBullet"/>
            </w:pPr>
            <w:r>
              <w:t>Number of Units</w:t>
            </w:r>
          </w:p>
          <w:p w:rsidR="00F06D63" w:rsidRDefault="00F06D63" w:rsidP="00F06D63">
            <w:pPr>
              <w:pStyle w:val="TableTextBullet"/>
            </w:pPr>
            <w:r>
              <w:t>Recommendation Status Indicator</w:t>
            </w:r>
          </w:p>
        </w:tc>
        <w:tc>
          <w:tcPr>
            <w:tcW w:w="1243" w:type="dxa"/>
          </w:tcPr>
          <w:p w:rsidR="002A21AE" w:rsidRDefault="002A21AE">
            <w:pPr>
              <w:pStyle w:val="TableText"/>
            </w:pPr>
            <w:r>
              <w:t>No</w:t>
            </w:r>
          </w:p>
        </w:tc>
        <w:tc>
          <w:tcPr>
            <w:tcW w:w="1295" w:type="dxa"/>
          </w:tcPr>
          <w:p w:rsidR="002A21AE" w:rsidRDefault="002A21AE">
            <w:pPr>
              <w:pStyle w:val="TableText"/>
            </w:pPr>
            <w:r>
              <w:t>No</w:t>
            </w:r>
          </w:p>
        </w:tc>
      </w:tr>
      <w:tr w:rsidR="002A21AE">
        <w:tblPrEx>
          <w:tblCellMar>
            <w:top w:w="0" w:type="dxa"/>
            <w:bottom w:w="0" w:type="dxa"/>
          </w:tblCellMar>
        </w:tblPrEx>
        <w:tc>
          <w:tcPr>
            <w:tcW w:w="1373" w:type="dxa"/>
          </w:tcPr>
          <w:p w:rsidR="002A21AE" w:rsidRDefault="002A21AE" w:rsidP="00CD34EB">
            <w:pPr>
              <w:pStyle w:val="TableText"/>
            </w:pPr>
            <w:r>
              <w:t>Maintenance: Transfusion Effectiveness Changes</w:t>
            </w:r>
          </w:p>
        </w:tc>
        <w:tc>
          <w:tcPr>
            <w:tcW w:w="1979" w:type="dxa"/>
          </w:tcPr>
          <w:p w:rsidR="002A21AE" w:rsidRDefault="002A21AE">
            <w:pPr>
              <w:pStyle w:val="TableText"/>
            </w:pPr>
            <w:r>
              <w:t>Transfusion Effectiveness</w:t>
            </w:r>
          </w:p>
        </w:tc>
        <w:tc>
          <w:tcPr>
            <w:tcW w:w="3470" w:type="dxa"/>
          </w:tcPr>
          <w:p w:rsidR="004E501B" w:rsidRDefault="008945EE" w:rsidP="004E501B">
            <w:pPr>
              <w:pStyle w:val="TableText"/>
            </w:pPr>
            <w:r>
              <w:t>For each Laboratory t</w:t>
            </w:r>
            <w:r w:rsidR="004E501B">
              <w:t xml:space="preserve">est </w:t>
            </w:r>
            <w:r>
              <w:t>n</w:t>
            </w:r>
            <w:r w:rsidR="004E501B">
              <w:t xml:space="preserve">ame, for each VistA Laboratory </w:t>
            </w:r>
            <w:r>
              <w:t>t</w:t>
            </w:r>
            <w:r w:rsidR="004E501B">
              <w:t xml:space="preserve">est Internal Entry Number (IEN), and for each </w:t>
            </w:r>
            <w:r>
              <w:t>s</w:t>
            </w:r>
            <w:r w:rsidR="004E501B">
              <w:t xml:space="preserve">pecimen </w:t>
            </w:r>
            <w:r>
              <w:t>t</w:t>
            </w:r>
            <w:r w:rsidR="004E501B">
              <w:t xml:space="preserve">ype: </w:t>
            </w:r>
          </w:p>
          <w:p w:rsidR="002A21AE" w:rsidRDefault="004E501B">
            <w:pPr>
              <w:pStyle w:val="TableTextBullet"/>
            </w:pPr>
            <w:r>
              <w:t>Status Indicator</w:t>
            </w:r>
          </w:p>
        </w:tc>
        <w:tc>
          <w:tcPr>
            <w:tcW w:w="1243" w:type="dxa"/>
          </w:tcPr>
          <w:p w:rsidR="002A21AE" w:rsidRDefault="002A21AE">
            <w:pPr>
              <w:pStyle w:val="TableText"/>
            </w:pPr>
            <w:r>
              <w:t>No</w:t>
            </w:r>
          </w:p>
        </w:tc>
        <w:tc>
          <w:tcPr>
            <w:tcW w:w="1295" w:type="dxa"/>
          </w:tcPr>
          <w:p w:rsidR="002A21AE" w:rsidRDefault="002A21AE">
            <w:pPr>
              <w:pStyle w:val="TableText"/>
            </w:pPr>
            <w:r>
              <w:t>No</w:t>
            </w:r>
          </w:p>
        </w:tc>
      </w:tr>
      <w:tr w:rsidR="002A21AE">
        <w:tblPrEx>
          <w:tblCellMar>
            <w:top w:w="0" w:type="dxa"/>
            <w:bottom w:w="0" w:type="dxa"/>
          </w:tblCellMar>
        </w:tblPrEx>
        <w:tc>
          <w:tcPr>
            <w:tcW w:w="1373" w:type="dxa"/>
          </w:tcPr>
          <w:p w:rsidR="002A21AE" w:rsidRDefault="002A21AE" w:rsidP="00CD34EB">
            <w:pPr>
              <w:pStyle w:val="TableText"/>
            </w:pPr>
            <w:r>
              <w:t>Maintenance: Transfusion Complications Changes</w:t>
            </w:r>
          </w:p>
        </w:tc>
        <w:tc>
          <w:tcPr>
            <w:tcW w:w="1979" w:type="dxa"/>
          </w:tcPr>
          <w:p w:rsidR="002A21AE" w:rsidRDefault="002A21AE">
            <w:pPr>
              <w:pStyle w:val="TableText"/>
            </w:pPr>
            <w:r>
              <w:t>Transfusion Complications</w:t>
            </w:r>
          </w:p>
        </w:tc>
        <w:tc>
          <w:tcPr>
            <w:tcW w:w="3470" w:type="dxa"/>
          </w:tcPr>
          <w:p w:rsidR="004E501B" w:rsidRDefault="004E501B" w:rsidP="004E501B">
            <w:pPr>
              <w:pStyle w:val="TableText"/>
            </w:pPr>
            <w:r>
              <w:t xml:space="preserve">For each Laboratory </w:t>
            </w:r>
            <w:r w:rsidR="008945EE">
              <w:t>te</w:t>
            </w:r>
            <w:r>
              <w:t xml:space="preserve">st </w:t>
            </w:r>
            <w:r w:rsidR="008945EE">
              <w:t>n</w:t>
            </w:r>
            <w:r>
              <w:t xml:space="preserve">ame, for each VistA Laboratory </w:t>
            </w:r>
            <w:r w:rsidR="008945EE">
              <w:t>t</w:t>
            </w:r>
            <w:r>
              <w:t xml:space="preserve">est IEN, and for each </w:t>
            </w:r>
            <w:r w:rsidR="008945EE">
              <w:t>s</w:t>
            </w:r>
            <w:r>
              <w:t xml:space="preserve">pecimen </w:t>
            </w:r>
            <w:r w:rsidR="008945EE">
              <w:t>t</w:t>
            </w:r>
            <w:r>
              <w:t xml:space="preserve">ype: </w:t>
            </w:r>
          </w:p>
          <w:p w:rsidR="004E501B" w:rsidRDefault="004E501B" w:rsidP="004E501B">
            <w:pPr>
              <w:pStyle w:val="TableTextBullet"/>
            </w:pPr>
            <w:r>
              <w:t>Threshold Result</w:t>
            </w:r>
          </w:p>
          <w:p w:rsidR="004E501B" w:rsidRDefault="004E501B" w:rsidP="004E501B">
            <w:pPr>
              <w:pStyle w:val="TableTextBullet"/>
            </w:pPr>
            <w:r>
              <w:t>Threshold Setting Status</w:t>
            </w:r>
          </w:p>
          <w:p w:rsidR="002A21AE" w:rsidRDefault="004E501B" w:rsidP="004E501B">
            <w:pPr>
              <w:pStyle w:val="TableTextBullet"/>
            </w:pPr>
            <w:r>
              <w:t>Status indicator</w:t>
            </w:r>
            <w:r w:rsidDel="003933CD">
              <w:t xml:space="preserve"> </w:t>
            </w:r>
          </w:p>
        </w:tc>
        <w:tc>
          <w:tcPr>
            <w:tcW w:w="1243" w:type="dxa"/>
          </w:tcPr>
          <w:p w:rsidR="002A21AE" w:rsidRDefault="002A21AE">
            <w:pPr>
              <w:pStyle w:val="TableText"/>
            </w:pPr>
            <w:r>
              <w:t>No</w:t>
            </w:r>
          </w:p>
        </w:tc>
        <w:tc>
          <w:tcPr>
            <w:tcW w:w="1295" w:type="dxa"/>
          </w:tcPr>
          <w:p w:rsidR="002A21AE" w:rsidRDefault="002A21AE">
            <w:pPr>
              <w:pStyle w:val="TableText"/>
            </w:pPr>
            <w:r>
              <w:t>No</w:t>
            </w:r>
          </w:p>
        </w:tc>
      </w:tr>
      <w:tr w:rsidR="002A21AE">
        <w:tblPrEx>
          <w:tblCellMar>
            <w:top w:w="0" w:type="dxa"/>
            <w:bottom w:w="0" w:type="dxa"/>
          </w:tblCellMar>
        </w:tblPrEx>
        <w:tc>
          <w:tcPr>
            <w:tcW w:w="1373" w:type="dxa"/>
          </w:tcPr>
          <w:p w:rsidR="002A21AE" w:rsidRDefault="002A21AE" w:rsidP="00CD34EB">
            <w:pPr>
              <w:pStyle w:val="TableText"/>
            </w:pPr>
            <w:r>
              <w:t>Maintenance: Component Class</w:t>
            </w:r>
          </w:p>
        </w:tc>
        <w:tc>
          <w:tcPr>
            <w:tcW w:w="1979" w:type="dxa"/>
          </w:tcPr>
          <w:p w:rsidR="002A21AE" w:rsidRDefault="002A21AE">
            <w:pPr>
              <w:pStyle w:val="TableText"/>
            </w:pPr>
            <w:r>
              <w:t xml:space="preserve">Component Classes </w:t>
            </w:r>
          </w:p>
        </w:tc>
        <w:tc>
          <w:tcPr>
            <w:tcW w:w="3470" w:type="dxa"/>
          </w:tcPr>
          <w:p w:rsidR="002A21AE" w:rsidRDefault="002A21AE">
            <w:pPr>
              <w:pStyle w:val="TableText"/>
            </w:pPr>
            <w:r>
              <w:t>For each component class configured:</w:t>
            </w:r>
          </w:p>
          <w:p w:rsidR="002A21AE" w:rsidRDefault="0072124A">
            <w:pPr>
              <w:pStyle w:val="TableTextBullet"/>
            </w:pPr>
            <w:r>
              <w:t>Current ABO/Rh Specimen Results Required Indicator</w:t>
            </w:r>
          </w:p>
          <w:p w:rsidR="0072124A" w:rsidRDefault="0072124A">
            <w:pPr>
              <w:pStyle w:val="TableTextBullet"/>
            </w:pPr>
            <w:r>
              <w:t>M</w:t>
            </w:r>
            <w:r w:rsidR="002A21AE">
              <w:t xml:space="preserve">aximum </w:t>
            </w:r>
            <w:r>
              <w:t>T</w:t>
            </w:r>
            <w:r w:rsidR="002A21AE">
              <w:t xml:space="preserve">ransfusion </w:t>
            </w:r>
            <w:r>
              <w:t>T</w:t>
            </w:r>
            <w:r w:rsidR="002A21AE">
              <w:t>ime</w:t>
            </w:r>
          </w:p>
          <w:p w:rsidR="0072124A" w:rsidRDefault="002B6A72">
            <w:pPr>
              <w:pStyle w:val="TableTextBullet"/>
            </w:pPr>
            <w:r>
              <w:t>For each Laboratory Test Name, for each VistA Laboratory Test Internal Entry Number (IEN), and for each Specimen Type:</w:t>
            </w:r>
            <w:r w:rsidR="00B63E26">
              <w:t xml:space="preserve"> </w:t>
            </w:r>
            <w:r w:rsidR="0072124A">
              <w:t>Lab Test Status</w:t>
            </w:r>
          </w:p>
          <w:p w:rsidR="0072124A" w:rsidRDefault="0072124A">
            <w:pPr>
              <w:pStyle w:val="TableTextBullet"/>
            </w:pPr>
            <w:r>
              <w:t>Threshold Result</w:t>
            </w:r>
          </w:p>
        </w:tc>
        <w:tc>
          <w:tcPr>
            <w:tcW w:w="1243" w:type="dxa"/>
          </w:tcPr>
          <w:p w:rsidR="002A21AE" w:rsidRDefault="002A21AE">
            <w:pPr>
              <w:pStyle w:val="TableText"/>
            </w:pPr>
            <w:r>
              <w:t>No</w:t>
            </w:r>
          </w:p>
        </w:tc>
        <w:tc>
          <w:tcPr>
            <w:tcW w:w="1295" w:type="dxa"/>
          </w:tcPr>
          <w:p w:rsidR="002A21AE" w:rsidRDefault="002A21AE">
            <w:pPr>
              <w:pStyle w:val="TableText"/>
            </w:pPr>
            <w:r>
              <w:t>No</w:t>
            </w:r>
          </w:p>
        </w:tc>
      </w:tr>
      <w:tr w:rsidR="002A21AE">
        <w:tblPrEx>
          <w:tblCellMar>
            <w:top w:w="0" w:type="dxa"/>
            <w:bottom w:w="0" w:type="dxa"/>
          </w:tblCellMar>
        </w:tblPrEx>
        <w:tc>
          <w:tcPr>
            <w:tcW w:w="1373" w:type="dxa"/>
          </w:tcPr>
          <w:p w:rsidR="002A21AE" w:rsidRDefault="002A21AE" w:rsidP="00CD34EB">
            <w:pPr>
              <w:pStyle w:val="TableText"/>
            </w:pPr>
            <w:r>
              <w:t>Maintenance: Daily QC Configuration</w:t>
            </w:r>
          </w:p>
        </w:tc>
        <w:tc>
          <w:tcPr>
            <w:tcW w:w="1979" w:type="dxa"/>
          </w:tcPr>
          <w:p w:rsidR="002A21AE" w:rsidRDefault="002A21AE">
            <w:pPr>
              <w:pStyle w:val="TableText"/>
            </w:pPr>
            <w:r>
              <w:t>Configure Daily QC</w:t>
            </w:r>
          </w:p>
        </w:tc>
        <w:tc>
          <w:tcPr>
            <w:tcW w:w="3470" w:type="dxa"/>
          </w:tcPr>
          <w:p w:rsidR="002B6A72" w:rsidRDefault="002838D6" w:rsidP="002B6A72">
            <w:pPr>
              <w:pStyle w:val="TableText"/>
            </w:pPr>
            <w:r>
              <w:t>For each d</w:t>
            </w:r>
            <w:r w:rsidR="002B6A72">
              <w:t xml:space="preserve">aily QC </w:t>
            </w:r>
            <w:r w:rsidR="00B63E26">
              <w:t>s</w:t>
            </w:r>
            <w:r w:rsidR="002B6A72">
              <w:t xml:space="preserve">etup </w:t>
            </w:r>
            <w:r w:rsidR="00B63E26">
              <w:t>c</w:t>
            </w:r>
            <w:r w:rsidR="002B6A72">
              <w:t>hanged:</w:t>
            </w:r>
          </w:p>
          <w:p w:rsidR="002A21AE" w:rsidRPr="00584AF9" w:rsidRDefault="002A21AE">
            <w:pPr>
              <w:pStyle w:val="TableTextBullet"/>
              <w:rPr>
                <w:lang w:val="fr-FR"/>
              </w:rPr>
            </w:pPr>
            <w:r w:rsidRPr="00584AF9">
              <w:rPr>
                <w:lang w:val="fr-FR"/>
              </w:rPr>
              <w:t>Commercial or Non-Commercial QC Indicator</w:t>
            </w:r>
          </w:p>
          <w:p w:rsidR="002A21AE" w:rsidRDefault="002A21AE">
            <w:pPr>
              <w:pStyle w:val="TableTextBullet"/>
            </w:pPr>
            <w:r>
              <w:t>Rack Nam</w:t>
            </w:r>
            <w:r w:rsidR="00155120">
              <w:t>e</w:t>
            </w:r>
            <w:r>
              <w:t xml:space="preserve"> Indicator</w:t>
            </w:r>
            <w:r w:rsidR="00155120">
              <w:t xml:space="preserve"> (</w:t>
            </w:r>
            <w:r>
              <w:t>A through Z or 1 through 26</w:t>
            </w:r>
            <w:r w:rsidR="00155120">
              <w:t>)</w:t>
            </w:r>
          </w:p>
          <w:p w:rsidR="00155120" w:rsidRDefault="00155120">
            <w:pPr>
              <w:pStyle w:val="TableTextBullet"/>
            </w:pPr>
            <w:r>
              <w:t>Number of Racks to Test</w:t>
            </w:r>
          </w:p>
          <w:p w:rsidR="00155120" w:rsidRDefault="00155120">
            <w:pPr>
              <w:pStyle w:val="TableTextBullet"/>
            </w:pPr>
            <w:r>
              <w:t>Daily Alert Time</w:t>
            </w:r>
          </w:p>
          <w:p w:rsidR="00155120" w:rsidRDefault="00155120">
            <w:pPr>
              <w:pStyle w:val="TableTextBullet"/>
            </w:pPr>
            <w:r>
              <w:t>Primary Enhancement Media</w:t>
            </w:r>
          </w:p>
          <w:p w:rsidR="00155120" w:rsidRDefault="00155120">
            <w:pPr>
              <w:pStyle w:val="TableTextBullet"/>
            </w:pPr>
            <w:r>
              <w:t>Secondary Enhancement Media</w:t>
            </w:r>
          </w:p>
          <w:p w:rsidR="00155120" w:rsidRDefault="00155120">
            <w:pPr>
              <w:pStyle w:val="TableTextBullet"/>
            </w:pPr>
            <w:r>
              <w:t>Comment</w:t>
            </w:r>
          </w:p>
          <w:p w:rsidR="00155120" w:rsidRDefault="00155120" w:rsidP="00155120">
            <w:pPr>
              <w:pStyle w:val="TableText"/>
            </w:pPr>
            <w:r>
              <w:t xml:space="preserve">For each </w:t>
            </w:r>
            <w:r w:rsidR="00B63E26">
              <w:t>reagent t</w:t>
            </w:r>
            <w:r>
              <w:t xml:space="preserve">ype and </w:t>
            </w:r>
            <w:r w:rsidR="00B63E26">
              <w:t>t</w:t>
            </w:r>
            <w:r>
              <w:t xml:space="preserve">est </w:t>
            </w:r>
            <w:r w:rsidR="00B63E26">
              <w:t>w</w:t>
            </w:r>
            <w:r>
              <w:t>ith combination:</w:t>
            </w:r>
          </w:p>
          <w:p w:rsidR="002A21AE" w:rsidRDefault="00155120">
            <w:pPr>
              <w:pStyle w:val="TableTextBullet"/>
            </w:pPr>
            <w:r>
              <w:t>Sta</w:t>
            </w:r>
            <w:r w:rsidR="00B63E26">
              <w:t>t</w:t>
            </w:r>
            <w:r>
              <w:t>us Indicator</w:t>
            </w:r>
          </w:p>
          <w:p w:rsidR="00155120" w:rsidRDefault="00155120">
            <w:pPr>
              <w:pStyle w:val="TableTextBullet"/>
            </w:pPr>
            <w:r>
              <w:lastRenderedPageBreak/>
              <w:t>Minimum Reaction Entry</w:t>
            </w:r>
          </w:p>
        </w:tc>
        <w:tc>
          <w:tcPr>
            <w:tcW w:w="1243" w:type="dxa"/>
          </w:tcPr>
          <w:p w:rsidR="002A21AE" w:rsidRDefault="002A21AE">
            <w:pPr>
              <w:pStyle w:val="TableText"/>
            </w:pPr>
            <w:r>
              <w:lastRenderedPageBreak/>
              <w:t>No</w:t>
            </w:r>
          </w:p>
        </w:tc>
        <w:tc>
          <w:tcPr>
            <w:tcW w:w="1295" w:type="dxa"/>
          </w:tcPr>
          <w:p w:rsidR="002A21AE" w:rsidRDefault="002A21AE">
            <w:pPr>
              <w:pStyle w:val="TableText"/>
            </w:pPr>
            <w:r>
              <w:t>No</w:t>
            </w:r>
          </w:p>
        </w:tc>
      </w:tr>
      <w:tr w:rsidR="002A21AE">
        <w:tblPrEx>
          <w:tblCellMar>
            <w:top w:w="0" w:type="dxa"/>
            <w:bottom w:w="0" w:type="dxa"/>
          </w:tblCellMar>
        </w:tblPrEx>
        <w:tc>
          <w:tcPr>
            <w:tcW w:w="1373" w:type="dxa"/>
          </w:tcPr>
          <w:p w:rsidR="002A21AE" w:rsidRDefault="002A21AE" w:rsidP="00CD34EB">
            <w:pPr>
              <w:pStyle w:val="TableText"/>
            </w:pPr>
            <w:r>
              <w:lastRenderedPageBreak/>
              <w:t>Maintenance: Minimum Reagent Inventory Levels</w:t>
            </w:r>
          </w:p>
        </w:tc>
        <w:tc>
          <w:tcPr>
            <w:tcW w:w="1979" w:type="dxa"/>
          </w:tcPr>
          <w:p w:rsidR="002A21AE" w:rsidRDefault="002A21AE">
            <w:pPr>
              <w:pStyle w:val="TableText"/>
            </w:pPr>
            <w:r>
              <w:t>Maintain Minimum Levels</w:t>
            </w:r>
          </w:p>
        </w:tc>
        <w:tc>
          <w:tcPr>
            <w:tcW w:w="3470" w:type="dxa"/>
          </w:tcPr>
          <w:p w:rsidR="002A21AE" w:rsidRDefault="00BE1AC3">
            <w:pPr>
              <w:pStyle w:val="TableText"/>
            </w:pPr>
            <w:r>
              <w:t>For each reagent type:</w:t>
            </w:r>
          </w:p>
          <w:p w:rsidR="00BE1AC3" w:rsidRDefault="00BE1AC3" w:rsidP="00BE1AC3">
            <w:pPr>
              <w:pStyle w:val="TableTextBullet"/>
            </w:pPr>
            <w:r>
              <w:t>Minimum Inventory Level</w:t>
            </w:r>
          </w:p>
        </w:tc>
        <w:tc>
          <w:tcPr>
            <w:tcW w:w="1243" w:type="dxa"/>
          </w:tcPr>
          <w:p w:rsidR="002A21AE" w:rsidRDefault="002A21AE">
            <w:pPr>
              <w:pStyle w:val="TableText"/>
            </w:pPr>
            <w:r>
              <w:t>No</w:t>
            </w:r>
          </w:p>
        </w:tc>
        <w:tc>
          <w:tcPr>
            <w:tcW w:w="1295" w:type="dxa"/>
          </w:tcPr>
          <w:p w:rsidR="002A21AE" w:rsidRDefault="002A21AE">
            <w:pPr>
              <w:pStyle w:val="TableText"/>
            </w:pPr>
            <w:r>
              <w:t>No</w:t>
            </w:r>
          </w:p>
        </w:tc>
      </w:tr>
      <w:tr w:rsidR="002A21AE">
        <w:tblPrEx>
          <w:tblCellMar>
            <w:top w:w="0" w:type="dxa"/>
            <w:bottom w:w="0" w:type="dxa"/>
          </w:tblCellMar>
        </w:tblPrEx>
        <w:tc>
          <w:tcPr>
            <w:tcW w:w="1373" w:type="dxa"/>
          </w:tcPr>
          <w:p w:rsidR="002A21AE" w:rsidRDefault="002A21AE" w:rsidP="00CD34EB">
            <w:pPr>
              <w:pStyle w:val="TableText"/>
            </w:pPr>
            <w:r>
              <w:t>Maintenance: User Alert Configuration</w:t>
            </w:r>
          </w:p>
        </w:tc>
        <w:tc>
          <w:tcPr>
            <w:tcW w:w="1979" w:type="dxa"/>
          </w:tcPr>
          <w:p w:rsidR="002A21AE" w:rsidRDefault="006068DE">
            <w:pPr>
              <w:pStyle w:val="TableText"/>
            </w:pPr>
            <w:r>
              <w:t>Order Alerts</w:t>
            </w:r>
          </w:p>
        </w:tc>
        <w:tc>
          <w:tcPr>
            <w:tcW w:w="3470" w:type="dxa"/>
          </w:tcPr>
          <w:p w:rsidR="00BE1AC3" w:rsidRDefault="00BE1AC3" w:rsidP="00BE1AC3">
            <w:pPr>
              <w:pStyle w:val="TableText"/>
            </w:pPr>
            <w:r>
              <w:t xml:space="preserve">For each </w:t>
            </w:r>
            <w:r w:rsidR="00B63E26">
              <w:t>d</w:t>
            </w:r>
            <w:r>
              <w:t>ivision (name, code):</w:t>
            </w:r>
          </w:p>
          <w:p w:rsidR="00AC7D2D" w:rsidRDefault="00AC7D2D" w:rsidP="00AC7D2D">
            <w:pPr>
              <w:pStyle w:val="TableTextBullet"/>
            </w:pPr>
            <w:r>
              <w:t>Printer Alerts On</w:t>
            </w:r>
          </w:p>
          <w:p w:rsidR="00AC7D2D" w:rsidRDefault="00AC7D2D" w:rsidP="00AC7D2D">
            <w:pPr>
              <w:pStyle w:val="TableTextBullet"/>
            </w:pPr>
            <w:r>
              <w:t>Printer Name</w:t>
            </w:r>
          </w:p>
          <w:p w:rsidR="00AC7D2D" w:rsidRDefault="00AC7D2D" w:rsidP="00AC7D2D">
            <w:pPr>
              <w:pStyle w:val="TableTextBullet"/>
            </w:pPr>
            <w:r>
              <w:t xml:space="preserve">(Printer) Order Alert Type </w:t>
            </w:r>
          </w:p>
          <w:p w:rsidR="00AC7D2D" w:rsidRDefault="00AC7D2D" w:rsidP="00AC7D2D">
            <w:pPr>
              <w:pStyle w:val="TableTextBullet"/>
            </w:pPr>
            <w:r>
              <w:t>(Printer) Orders Needed In</w:t>
            </w:r>
          </w:p>
          <w:p w:rsidR="00AC7D2D" w:rsidRDefault="00AC7D2D" w:rsidP="00AC7D2D">
            <w:pPr>
              <w:pStyle w:val="TableTextBullet"/>
            </w:pPr>
            <w:r>
              <w:t>Icon Alerts On</w:t>
            </w:r>
          </w:p>
          <w:p w:rsidR="00AC7D2D" w:rsidRDefault="00AC7D2D" w:rsidP="00AC7D2D">
            <w:pPr>
              <w:pStyle w:val="TableTextBullet"/>
            </w:pPr>
            <w:r>
              <w:t>Refresh Rate</w:t>
            </w:r>
          </w:p>
          <w:p w:rsidR="00AC7D2D" w:rsidRDefault="00AC7D2D" w:rsidP="00AC7D2D">
            <w:pPr>
              <w:pStyle w:val="TableTextBullet"/>
            </w:pPr>
            <w:r>
              <w:t xml:space="preserve">(Icon) Order Alert Type </w:t>
            </w:r>
          </w:p>
          <w:p w:rsidR="002A21AE" w:rsidRDefault="00AC7D2D" w:rsidP="00AC7D2D">
            <w:pPr>
              <w:pStyle w:val="TableTextBullet"/>
            </w:pPr>
            <w:r>
              <w:t>(Icon) Orders Needed In</w:t>
            </w:r>
          </w:p>
        </w:tc>
        <w:tc>
          <w:tcPr>
            <w:tcW w:w="1243" w:type="dxa"/>
          </w:tcPr>
          <w:p w:rsidR="002A21AE" w:rsidRDefault="002A21AE">
            <w:pPr>
              <w:pStyle w:val="TableText"/>
            </w:pPr>
            <w:r>
              <w:t>No</w:t>
            </w:r>
          </w:p>
        </w:tc>
        <w:tc>
          <w:tcPr>
            <w:tcW w:w="1295" w:type="dxa"/>
          </w:tcPr>
          <w:p w:rsidR="002A21AE" w:rsidRDefault="002A21AE">
            <w:pPr>
              <w:pStyle w:val="TableText"/>
            </w:pPr>
            <w:r>
              <w:t>No</w:t>
            </w:r>
          </w:p>
        </w:tc>
      </w:tr>
      <w:tr w:rsidR="002A21AE">
        <w:tblPrEx>
          <w:tblCellMar>
            <w:top w:w="0" w:type="dxa"/>
            <w:bottom w:w="0" w:type="dxa"/>
          </w:tblCellMar>
        </w:tblPrEx>
        <w:tc>
          <w:tcPr>
            <w:tcW w:w="1373" w:type="dxa"/>
          </w:tcPr>
          <w:p w:rsidR="002A21AE" w:rsidRDefault="002A21AE" w:rsidP="00CD34EB">
            <w:pPr>
              <w:pStyle w:val="TableText"/>
            </w:pPr>
            <w:r>
              <w:t>Maintenance: Interface Control</w:t>
            </w:r>
          </w:p>
        </w:tc>
        <w:tc>
          <w:tcPr>
            <w:tcW w:w="1979" w:type="dxa"/>
          </w:tcPr>
          <w:p w:rsidR="002A21AE" w:rsidRDefault="00706DB3">
            <w:pPr>
              <w:pStyle w:val="TableText"/>
            </w:pPr>
            <w:r>
              <w:t>Configure Interfaces</w:t>
            </w:r>
            <w:r w:rsidRPr="00706DB3">
              <w:rPr>
                <w:vanish/>
                <w:szCs w:val="18"/>
              </w:rPr>
              <w:t xml:space="preserve"> MUC_01</w:t>
            </w:r>
          </w:p>
        </w:tc>
        <w:tc>
          <w:tcPr>
            <w:tcW w:w="3470" w:type="dxa"/>
          </w:tcPr>
          <w:p w:rsidR="002A21AE" w:rsidRDefault="00BE1AC3">
            <w:pPr>
              <w:pStyle w:val="TableTextBullet"/>
            </w:pPr>
            <w:r>
              <w:t xml:space="preserve">VistA </w:t>
            </w:r>
            <w:r w:rsidR="002A21AE">
              <w:t>TCP/IP Address</w:t>
            </w:r>
          </w:p>
          <w:p w:rsidR="002A21AE" w:rsidRDefault="00BE1AC3">
            <w:pPr>
              <w:pStyle w:val="TableTextBullet"/>
            </w:pPr>
            <w:r>
              <w:t xml:space="preserve">VistA </w:t>
            </w:r>
            <w:r w:rsidR="002A21AE">
              <w:t>TCP Port Number</w:t>
            </w:r>
          </w:p>
          <w:p w:rsidR="005773E9" w:rsidRDefault="005773E9">
            <w:pPr>
              <w:pStyle w:val="TableTextBullet"/>
            </w:pPr>
            <w:r>
              <w:t>VistA Domain</w:t>
            </w:r>
            <w:r w:rsidR="00E363D5" w:rsidRPr="00E363D5">
              <w:rPr>
                <w:vanish/>
              </w:rPr>
              <w:t xml:space="preserve"> DR 2,790</w:t>
            </w:r>
          </w:p>
        </w:tc>
        <w:tc>
          <w:tcPr>
            <w:tcW w:w="1243" w:type="dxa"/>
          </w:tcPr>
          <w:p w:rsidR="002A21AE" w:rsidRDefault="002A21AE">
            <w:pPr>
              <w:pStyle w:val="TableText"/>
            </w:pPr>
            <w:r>
              <w:t>No</w:t>
            </w:r>
          </w:p>
        </w:tc>
        <w:tc>
          <w:tcPr>
            <w:tcW w:w="1295" w:type="dxa"/>
          </w:tcPr>
          <w:p w:rsidR="002A21AE" w:rsidRDefault="002A21AE">
            <w:pPr>
              <w:pStyle w:val="TableText"/>
            </w:pPr>
            <w:r>
              <w:t>No</w:t>
            </w:r>
          </w:p>
        </w:tc>
      </w:tr>
      <w:tr w:rsidR="002A21AE">
        <w:tblPrEx>
          <w:tblCellMar>
            <w:top w:w="0" w:type="dxa"/>
            <w:bottom w:w="0" w:type="dxa"/>
          </w:tblCellMar>
        </w:tblPrEx>
        <w:tc>
          <w:tcPr>
            <w:tcW w:w="1373" w:type="dxa"/>
          </w:tcPr>
          <w:p w:rsidR="002A21AE" w:rsidRDefault="002A21AE" w:rsidP="00CD34EB">
            <w:pPr>
              <w:pStyle w:val="TableText"/>
            </w:pPr>
            <w:r>
              <w:t>Maintenance: Interface Control</w:t>
            </w:r>
          </w:p>
        </w:tc>
        <w:tc>
          <w:tcPr>
            <w:tcW w:w="1979" w:type="dxa"/>
          </w:tcPr>
          <w:p w:rsidR="002A21AE" w:rsidRDefault="00DE4FF7">
            <w:pPr>
              <w:pStyle w:val="TableText"/>
            </w:pPr>
            <w:r w:rsidRPr="00DE4FF7">
              <w:rPr>
                <w:szCs w:val="18"/>
              </w:rPr>
              <w:t>Configure Interfaces</w:t>
            </w:r>
            <w:r>
              <w:rPr>
                <w:vanish/>
                <w:szCs w:val="18"/>
              </w:rPr>
              <w:t xml:space="preserve"> </w:t>
            </w:r>
            <w:r w:rsidR="002A21AE" w:rsidRPr="00DE4FF7">
              <w:rPr>
                <w:vanish/>
                <w:szCs w:val="18"/>
              </w:rPr>
              <w:t>Define Interface Control Parameters</w:t>
            </w:r>
            <w:r w:rsidRPr="00DE4FF7">
              <w:rPr>
                <w:vanish/>
                <w:szCs w:val="18"/>
              </w:rPr>
              <w:t xml:space="preserve"> MUC_04</w:t>
            </w:r>
          </w:p>
        </w:tc>
        <w:tc>
          <w:tcPr>
            <w:tcW w:w="3470" w:type="dxa"/>
          </w:tcPr>
          <w:p w:rsidR="00BE1AC3" w:rsidRPr="00BE1AC3" w:rsidRDefault="00BE1AC3" w:rsidP="00BE1AC3">
            <w:pPr>
              <w:pStyle w:val="TableText"/>
            </w:pPr>
            <w:r>
              <w:t>For each interface defined:</w:t>
            </w:r>
          </w:p>
          <w:p w:rsidR="002A21AE" w:rsidRDefault="00BE1AC3">
            <w:pPr>
              <w:pStyle w:val="TableTextBullet"/>
            </w:pPr>
            <w:r>
              <w:rPr>
                <w:bCs/>
              </w:rPr>
              <w:t>Interface</w:t>
            </w:r>
            <w:r>
              <w:t xml:space="preserve"> </w:t>
            </w:r>
            <w:r w:rsidR="002A21AE">
              <w:t>IP Address</w:t>
            </w:r>
          </w:p>
          <w:p w:rsidR="005773E9" w:rsidRDefault="005773E9">
            <w:pPr>
              <w:pStyle w:val="TableTextBullet"/>
            </w:pPr>
            <w:r>
              <w:t>Interface Domain</w:t>
            </w:r>
            <w:r w:rsidR="00E363D5" w:rsidRPr="00E363D5">
              <w:rPr>
                <w:vanish/>
              </w:rPr>
              <w:t xml:space="preserve"> DR 2,790</w:t>
            </w:r>
          </w:p>
          <w:p w:rsidR="002A21AE" w:rsidRDefault="00BE1AC3">
            <w:pPr>
              <w:pStyle w:val="TableTextBullet"/>
            </w:pPr>
            <w:r>
              <w:rPr>
                <w:bCs/>
              </w:rPr>
              <w:t>Interface</w:t>
            </w:r>
            <w:r>
              <w:t xml:space="preserve"> </w:t>
            </w:r>
            <w:r w:rsidR="002A21AE">
              <w:t>Port Number</w:t>
            </w:r>
          </w:p>
          <w:p w:rsidR="00BE1AC3" w:rsidRDefault="00BE1AC3">
            <w:pPr>
              <w:pStyle w:val="TableTextBullet"/>
            </w:pPr>
            <w:r>
              <w:t>Interface Facility ID</w:t>
            </w:r>
          </w:p>
          <w:p w:rsidR="00BE1AC3" w:rsidRDefault="00BE1AC3">
            <w:pPr>
              <w:pStyle w:val="TableTextBullet"/>
            </w:pPr>
            <w:r>
              <w:t>VBECS IP Address</w:t>
            </w:r>
          </w:p>
          <w:p w:rsidR="00BE1AC3" w:rsidRDefault="00BE1AC3">
            <w:pPr>
              <w:pStyle w:val="TableTextBullet"/>
            </w:pPr>
            <w:r>
              <w:t>VBECS Port Number</w:t>
            </w:r>
          </w:p>
          <w:p w:rsidR="00BE1AC3" w:rsidRDefault="00BE1AC3">
            <w:pPr>
              <w:pStyle w:val="TableTextBullet"/>
            </w:pPr>
            <w:r>
              <w:t>VBECS Facility ID</w:t>
            </w:r>
          </w:p>
          <w:p w:rsidR="00BE1AC3" w:rsidRDefault="00BE1AC3">
            <w:pPr>
              <w:pStyle w:val="TableTextBullet"/>
            </w:pPr>
            <w:r>
              <w:t>Completed Messages</w:t>
            </w:r>
          </w:p>
          <w:p w:rsidR="00BE1AC3" w:rsidRDefault="00BE1AC3">
            <w:pPr>
              <w:pStyle w:val="TableTextBullet"/>
            </w:pPr>
            <w:r>
              <w:t>Messages in Error</w:t>
            </w:r>
          </w:p>
          <w:p w:rsidR="00BE1AC3" w:rsidRDefault="00BE1AC3" w:rsidP="00B85891">
            <w:pPr>
              <w:pStyle w:val="TableTextBullet"/>
            </w:pPr>
            <w:r>
              <w:t>Log Events and HL7 Messages to Event</w:t>
            </w:r>
            <w:r w:rsidR="00B85891">
              <w:t xml:space="preserve"> Log Indicator</w:t>
            </w:r>
          </w:p>
          <w:p w:rsidR="002A21AE" w:rsidRDefault="002A21AE">
            <w:pPr>
              <w:pStyle w:val="TableTextBullet"/>
            </w:pPr>
            <w:r>
              <w:t>Ack Timeout</w:t>
            </w:r>
          </w:p>
          <w:p w:rsidR="002A21AE" w:rsidRDefault="002A21AE">
            <w:pPr>
              <w:pStyle w:val="TableTextBullet"/>
            </w:pPr>
            <w:r>
              <w:t xml:space="preserve">Retransmit Attempts </w:t>
            </w:r>
          </w:p>
          <w:p w:rsidR="002A21AE" w:rsidRDefault="002A21AE">
            <w:pPr>
              <w:pStyle w:val="TableTextBullet"/>
            </w:pPr>
            <w:r>
              <w:t>Interface Administrator Email</w:t>
            </w:r>
          </w:p>
          <w:p w:rsidR="00ED67B4" w:rsidRDefault="00ED67B4">
            <w:pPr>
              <w:pStyle w:val="TableTextBullet"/>
            </w:pPr>
            <w:r>
              <w:t>Interface Status</w:t>
            </w:r>
          </w:p>
        </w:tc>
        <w:tc>
          <w:tcPr>
            <w:tcW w:w="1243" w:type="dxa"/>
          </w:tcPr>
          <w:p w:rsidR="002A21AE" w:rsidRDefault="002A21AE">
            <w:pPr>
              <w:pStyle w:val="TableText"/>
            </w:pPr>
            <w:r>
              <w:t>No</w:t>
            </w:r>
          </w:p>
        </w:tc>
        <w:tc>
          <w:tcPr>
            <w:tcW w:w="1295" w:type="dxa"/>
          </w:tcPr>
          <w:p w:rsidR="002A21AE" w:rsidRDefault="002A21AE">
            <w:pPr>
              <w:pStyle w:val="TableText"/>
            </w:pPr>
            <w:r>
              <w:t>No</w:t>
            </w:r>
          </w:p>
        </w:tc>
      </w:tr>
    </w:tbl>
    <w:p w:rsidR="002A21AE" w:rsidRDefault="002A21AE">
      <w:pPr>
        <w:pStyle w:val="Heading3"/>
        <w:sectPr w:rsidR="002A21AE" w:rsidSect="00EE771C">
          <w:footerReference w:type="default" r:id="rId238"/>
          <w:pgSz w:w="12240" w:h="15840" w:code="1"/>
          <w:pgMar w:top="1440" w:right="1440" w:bottom="1440" w:left="1440" w:header="720" w:footer="720" w:gutter="0"/>
          <w:cols w:space="720"/>
          <w:docGrid w:linePitch="360"/>
        </w:sectPr>
      </w:pPr>
    </w:p>
    <w:p w:rsidR="002A21AE" w:rsidRDefault="002A21AE">
      <w:pPr>
        <w:pStyle w:val="Heading3"/>
      </w:pPr>
      <w:r>
        <w:rPr>
          <w:rFonts w:ascii="Geneva" w:hAnsi="Geneva"/>
          <w:vanish/>
        </w:rPr>
        <w:lastRenderedPageBreak/>
        <w:t xml:space="preserve">TT_82.01 </w:t>
      </w:r>
      <w:bookmarkStart w:id="639" w:name="_Toc459900201"/>
      <w:r>
        <w:t>Details in Exception Report</w:t>
      </w:r>
      <w:bookmarkEnd w:id="639"/>
      <w:r>
        <w:fldChar w:fldCharType="begin"/>
      </w:r>
      <w:r>
        <w:instrText xml:space="preserve"> XE </w:instrText>
      </w:r>
      <w:r w:rsidR="00FA7E65">
        <w:instrText>“</w:instrText>
      </w:r>
      <w:r>
        <w:instrText>Tables:Details in Exception Report</w:instrText>
      </w:r>
      <w:r w:rsidR="00FA7E65">
        <w:instrText>”</w:instrText>
      </w:r>
      <w:r>
        <w:instrText xml:space="preserve"> </w:instrText>
      </w:r>
      <w:r>
        <w:fldChar w:fldCharType="end"/>
      </w:r>
    </w:p>
    <w:p w:rsidR="002A21AE" w:rsidRDefault="003C5356" w:rsidP="00FA7E65">
      <w:pPr>
        <w:pStyle w:val="BodyText"/>
      </w:pPr>
      <w:r>
        <w:fldChar w:fldCharType="begin"/>
      </w:r>
      <w:r>
        <w:instrText xml:space="preserve"> REF _Ref126732272 \h </w:instrText>
      </w:r>
      <w:r>
        <w:fldChar w:fldCharType="separate"/>
      </w:r>
      <w:r w:rsidR="005F38BC">
        <w:t xml:space="preserve">Table </w:t>
      </w:r>
      <w:r w:rsidR="005F38BC">
        <w:rPr>
          <w:noProof/>
        </w:rPr>
        <w:t>20</w:t>
      </w:r>
      <w:r>
        <w:fldChar w:fldCharType="end"/>
      </w:r>
      <w:r w:rsidR="002A21AE">
        <w:t xml:space="preserve"> </w:t>
      </w:r>
      <w:r w:rsidR="008D0E7B">
        <w:t>lists exception types and the reports in which they appear.</w:t>
      </w:r>
    </w:p>
    <w:p w:rsidR="002A21AE" w:rsidRDefault="002A21AE">
      <w:pPr>
        <w:pStyle w:val="Caption"/>
      </w:pPr>
      <w:bookmarkStart w:id="640" w:name="_Toc97523638"/>
      <w:bookmarkStart w:id="641" w:name="_Toc97527608"/>
      <w:bookmarkStart w:id="642" w:name="_Ref126504543"/>
      <w:bookmarkStart w:id="643" w:name="_Ref126504629"/>
      <w:bookmarkStart w:id="644" w:name="_Ref126732272"/>
      <w:r>
        <w:t xml:space="preserve">Table </w:t>
      </w:r>
      <w:r>
        <w:fldChar w:fldCharType="begin"/>
      </w:r>
      <w:r>
        <w:instrText xml:space="preserve"> SEQ Table \* ARABIC </w:instrText>
      </w:r>
      <w:r>
        <w:fldChar w:fldCharType="separate"/>
      </w:r>
      <w:r w:rsidR="005F38BC">
        <w:rPr>
          <w:noProof/>
        </w:rPr>
        <w:t>20</w:t>
      </w:r>
      <w:r>
        <w:fldChar w:fldCharType="end"/>
      </w:r>
      <w:bookmarkEnd w:id="644"/>
      <w:r>
        <w:t xml:space="preserve">: </w:t>
      </w:r>
      <w:r>
        <w:rPr>
          <w:vanish/>
        </w:rPr>
        <w:t xml:space="preserve">TT_82.01 </w:t>
      </w:r>
      <w:r>
        <w:t>Details in Exception Report</w:t>
      </w:r>
      <w:bookmarkEnd w:id="640"/>
      <w:bookmarkEnd w:id="641"/>
      <w:bookmarkEnd w:id="642"/>
      <w:bookmarkEnd w:id="643"/>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1620"/>
        <w:gridCol w:w="2520"/>
        <w:gridCol w:w="1080"/>
        <w:gridCol w:w="1152"/>
      </w:tblGrid>
      <w:tr w:rsidR="00C045C1">
        <w:tblPrEx>
          <w:tblCellMar>
            <w:top w:w="0" w:type="dxa"/>
            <w:bottom w:w="0" w:type="dxa"/>
          </w:tblCellMar>
        </w:tblPrEx>
        <w:trPr>
          <w:cantSplit/>
          <w:tblHeader/>
        </w:trPr>
        <w:tc>
          <w:tcPr>
            <w:tcW w:w="2988" w:type="dxa"/>
            <w:vMerge w:val="restart"/>
            <w:shd w:val="clear" w:color="auto" w:fill="B3B3B3"/>
            <w:vAlign w:val="bottom"/>
          </w:tcPr>
          <w:p w:rsidR="00C045C1" w:rsidRDefault="00C045C1" w:rsidP="00C045C1">
            <w:pPr>
              <w:pStyle w:val="TableText"/>
              <w:rPr>
                <w:rFonts w:ascii="Symbol" w:eastAsia="Symbol" w:hAnsi="Symbol"/>
                <w:b/>
              </w:rPr>
            </w:pPr>
            <w:r>
              <w:rPr>
                <w:b/>
              </w:rPr>
              <w:t>Exception Type</w:t>
            </w:r>
          </w:p>
        </w:tc>
        <w:tc>
          <w:tcPr>
            <w:tcW w:w="1620" w:type="dxa"/>
            <w:vMerge w:val="restart"/>
            <w:shd w:val="clear" w:color="auto" w:fill="B3B3B3"/>
            <w:vAlign w:val="bottom"/>
          </w:tcPr>
          <w:p w:rsidR="00C045C1" w:rsidRPr="0095633D" w:rsidRDefault="00C045C1" w:rsidP="00C045C1">
            <w:pPr>
              <w:pStyle w:val="TableText"/>
              <w:rPr>
                <w:rFonts w:eastAsia="Symbol" w:cs="Arial"/>
                <w:b/>
              </w:rPr>
            </w:pPr>
            <w:r>
              <w:rPr>
                <w:rFonts w:eastAsia="Symbol" w:cs="Arial"/>
                <w:b/>
              </w:rPr>
              <w:t>Available to Role</w:t>
            </w:r>
          </w:p>
        </w:tc>
        <w:tc>
          <w:tcPr>
            <w:tcW w:w="2520" w:type="dxa"/>
            <w:vMerge w:val="restart"/>
            <w:shd w:val="clear" w:color="auto" w:fill="B3B3B3"/>
            <w:vAlign w:val="bottom"/>
          </w:tcPr>
          <w:p w:rsidR="00C045C1" w:rsidRPr="00A7231C" w:rsidRDefault="00C045C1" w:rsidP="00C045C1">
            <w:pPr>
              <w:pStyle w:val="TableText"/>
              <w:rPr>
                <w:rFonts w:eastAsia="Symbol" w:cs="Arial"/>
                <w:b/>
              </w:rPr>
            </w:pPr>
            <w:r>
              <w:rPr>
                <w:rFonts w:eastAsia="Symbol" w:cs="Arial"/>
                <w:b/>
              </w:rPr>
              <w:t>Available in Option</w:t>
            </w:r>
          </w:p>
        </w:tc>
        <w:tc>
          <w:tcPr>
            <w:tcW w:w="2232" w:type="dxa"/>
            <w:gridSpan w:val="2"/>
            <w:shd w:val="clear" w:color="auto" w:fill="B3B3B3"/>
          </w:tcPr>
          <w:p w:rsidR="00C045C1" w:rsidRDefault="00C045C1" w:rsidP="0058499D">
            <w:pPr>
              <w:pStyle w:val="TableText"/>
              <w:jc w:val="center"/>
              <w:rPr>
                <w:rFonts w:eastAsia="Symbol"/>
                <w:b/>
                <w:bCs/>
              </w:rPr>
            </w:pPr>
            <w:r>
              <w:rPr>
                <w:rFonts w:eastAsia="Symbol"/>
                <w:b/>
                <w:bCs/>
              </w:rPr>
              <w:t>Accessible in:</w:t>
            </w:r>
          </w:p>
        </w:tc>
      </w:tr>
      <w:tr w:rsidR="00C045C1">
        <w:tblPrEx>
          <w:tblCellMar>
            <w:top w:w="0" w:type="dxa"/>
            <w:bottom w:w="0" w:type="dxa"/>
          </w:tblCellMar>
        </w:tblPrEx>
        <w:trPr>
          <w:cantSplit/>
          <w:tblHeader/>
        </w:trPr>
        <w:tc>
          <w:tcPr>
            <w:tcW w:w="2988" w:type="dxa"/>
            <w:vMerge/>
            <w:shd w:val="clear" w:color="auto" w:fill="C0C0C0"/>
          </w:tcPr>
          <w:p w:rsidR="00C045C1" w:rsidRDefault="00C045C1" w:rsidP="00C045C1">
            <w:pPr>
              <w:pStyle w:val="TableText"/>
              <w:rPr>
                <w:b/>
              </w:rPr>
            </w:pPr>
          </w:p>
        </w:tc>
        <w:tc>
          <w:tcPr>
            <w:tcW w:w="1620" w:type="dxa"/>
            <w:vMerge/>
            <w:shd w:val="clear" w:color="auto" w:fill="C0C0C0"/>
          </w:tcPr>
          <w:p w:rsidR="00C045C1" w:rsidRDefault="00C045C1" w:rsidP="00C045C1">
            <w:pPr>
              <w:pStyle w:val="TableText"/>
              <w:rPr>
                <w:b/>
              </w:rPr>
            </w:pPr>
          </w:p>
        </w:tc>
        <w:tc>
          <w:tcPr>
            <w:tcW w:w="2520" w:type="dxa"/>
            <w:vMerge/>
            <w:shd w:val="clear" w:color="auto" w:fill="C0C0C0"/>
          </w:tcPr>
          <w:p w:rsidR="00C045C1" w:rsidRDefault="00C045C1" w:rsidP="00C045C1">
            <w:pPr>
              <w:pStyle w:val="TableText"/>
              <w:rPr>
                <w:b/>
              </w:rPr>
            </w:pPr>
          </w:p>
        </w:tc>
        <w:tc>
          <w:tcPr>
            <w:tcW w:w="1080" w:type="dxa"/>
            <w:shd w:val="clear" w:color="auto" w:fill="B3B3B3"/>
          </w:tcPr>
          <w:p w:rsidR="00C045C1" w:rsidRDefault="00C045C1" w:rsidP="00C045C1">
            <w:pPr>
              <w:pStyle w:val="TableText"/>
              <w:rPr>
                <w:rFonts w:eastAsia="Symbol"/>
                <w:b/>
                <w:bCs/>
              </w:rPr>
            </w:pPr>
            <w:r>
              <w:rPr>
                <w:rFonts w:eastAsia="Symbol"/>
                <w:b/>
                <w:bCs/>
              </w:rPr>
              <w:t>Unit History Report?</w:t>
            </w:r>
          </w:p>
        </w:tc>
        <w:tc>
          <w:tcPr>
            <w:tcW w:w="1152" w:type="dxa"/>
            <w:shd w:val="clear" w:color="auto" w:fill="B3B3B3"/>
          </w:tcPr>
          <w:p w:rsidR="00C045C1" w:rsidRDefault="00C045C1" w:rsidP="00C045C1">
            <w:pPr>
              <w:pStyle w:val="TableText"/>
              <w:rPr>
                <w:rFonts w:eastAsia="Symbol"/>
                <w:b/>
                <w:bCs/>
              </w:rPr>
            </w:pPr>
            <w:r>
              <w:rPr>
                <w:rFonts w:eastAsia="Symbol"/>
                <w:b/>
                <w:bCs/>
              </w:rPr>
              <w:t>Patient History Report?</w:t>
            </w:r>
          </w:p>
        </w:tc>
      </w:tr>
      <w:tr w:rsidR="00C045C1">
        <w:tblPrEx>
          <w:tblCellMar>
            <w:top w:w="0" w:type="dxa"/>
            <w:bottom w:w="0" w:type="dxa"/>
          </w:tblCellMar>
        </w:tblPrEx>
        <w:trPr>
          <w:cantSplit/>
        </w:trPr>
        <w:tc>
          <w:tcPr>
            <w:tcW w:w="2988" w:type="dxa"/>
          </w:tcPr>
          <w:p w:rsidR="00C045C1" w:rsidRDefault="00C045C1" w:rsidP="00C045C1">
            <w:pPr>
              <w:pStyle w:val="TableText"/>
            </w:pPr>
            <w:r>
              <w:t>ABO discrepant unit issue</w:t>
            </w:r>
          </w:p>
        </w:tc>
        <w:tc>
          <w:tcPr>
            <w:tcW w:w="1620" w:type="dxa"/>
          </w:tcPr>
          <w:p w:rsidR="00C045C1" w:rsidRDefault="00C045C1" w:rsidP="00C045C1">
            <w:pPr>
              <w:pStyle w:val="TableText"/>
            </w:pPr>
            <w:r>
              <w:t>All</w:t>
            </w:r>
          </w:p>
        </w:tc>
        <w:tc>
          <w:tcPr>
            <w:tcW w:w="2520" w:type="dxa"/>
          </w:tcPr>
          <w:p w:rsidR="00C045C1" w:rsidRDefault="00C045C1" w:rsidP="00C045C1">
            <w:pPr>
              <w:pStyle w:val="TableText"/>
            </w:pPr>
            <w:r>
              <w:t>Issue Unit</w:t>
            </w:r>
          </w:p>
        </w:tc>
        <w:tc>
          <w:tcPr>
            <w:tcW w:w="1080" w:type="dxa"/>
          </w:tcPr>
          <w:p w:rsidR="00C045C1" w:rsidRDefault="00C045C1" w:rsidP="00C045C1">
            <w:pPr>
              <w:pStyle w:val="TableText"/>
            </w:pPr>
            <w:r>
              <w:t>No</w:t>
            </w:r>
          </w:p>
        </w:tc>
        <w:tc>
          <w:tcPr>
            <w:tcW w:w="1152" w:type="dxa"/>
          </w:tcPr>
          <w:p w:rsidR="00C045C1" w:rsidRDefault="00C045C1" w:rsidP="00C045C1">
            <w:pPr>
              <w:pStyle w:val="TableText"/>
            </w:pPr>
            <w:r>
              <w:rPr>
                <w:rFonts w:eastAsia="Symbol"/>
              </w:rPr>
              <w:t>Yes</w:t>
            </w:r>
          </w:p>
        </w:tc>
      </w:tr>
      <w:tr w:rsidR="00C045C1">
        <w:tblPrEx>
          <w:tblCellMar>
            <w:top w:w="0" w:type="dxa"/>
            <w:bottom w:w="0" w:type="dxa"/>
          </w:tblCellMar>
        </w:tblPrEx>
        <w:trPr>
          <w:cantSplit/>
        </w:trPr>
        <w:tc>
          <w:tcPr>
            <w:tcW w:w="2988" w:type="dxa"/>
          </w:tcPr>
          <w:p w:rsidR="00C045C1" w:rsidRDefault="00C045C1" w:rsidP="00C045C1">
            <w:pPr>
              <w:pStyle w:val="TableText"/>
              <w:rPr>
                <w:rFonts w:eastAsia="Symbol"/>
              </w:rPr>
            </w:pPr>
            <w:r>
              <w:t>ABO incompatible unit selected</w:t>
            </w:r>
          </w:p>
        </w:tc>
        <w:tc>
          <w:tcPr>
            <w:tcW w:w="1620" w:type="dxa"/>
          </w:tcPr>
          <w:p w:rsidR="00C045C1" w:rsidRDefault="00C045C1" w:rsidP="00C045C1">
            <w:pPr>
              <w:pStyle w:val="TableText"/>
              <w:rPr>
                <w:rFonts w:eastAsia="Symbol"/>
              </w:rPr>
            </w:pPr>
            <w:r>
              <w:rPr>
                <w:rFonts w:eastAsia="Symbol"/>
              </w:rPr>
              <w:t>None</w:t>
            </w:r>
          </w:p>
        </w:tc>
        <w:tc>
          <w:tcPr>
            <w:tcW w:w="2520" w:type="dxa"/>
          </w:tcPr>
          <w:p w:rsidR="00C045C1" w:rsidRDefault="00C045C1" w:rsidP="00C045C1">
            <w:pPr>
              <w:pStyle w:val="TableText"/>
              <w:rPr>
                <w:rFonts w:eastAsia="Symbol"/>
              </w:rPr>
            </w:pPr>
            <w:r>
              <w:rPr>
                <w:rFonts w:eastAsia="Symbol"/>
              </w:rPr>
              <w:t>Select Unit</w:t>
            </w:r>
          </w:p>
        </w:tc>
        <w:tc>
          <w:tcPr>
            <w:tcW w:w="1080" w:type="dxa"/>
          </w:tcPr>
          <w:p w:rsidR="00C045C1" w:rsidRDefault="00C045C1" w:rsidP="00C045C1">
            <w:pPr>
              <w:pStyle w:val="TableText"/>
              <w:rPr>
                <w:rFonts w:eastAsia="Symbol"/>
              </w:rPr>
            </w:pPr>
            <w:r>
              <w:t>No</w:t>
            </w:r>
          </w:p>
        </w:tc>
        <w:tc>
          <w:tcPr>
            <w:tcW w:w="1152" w:type="dxa"/>
          </w:tcPr>
          <w:p w:rsidR="00C045C1" w:rsidRDefault="00C045C1" w:rsidP="00C045C1">
            <w:pPr>
              <w:pStyle w:val="TableText"/>
              <w:rPr>
                <w:rFonts w:eastAsia="Symbol"/>
              </w:rPr>
            </w:pPr>
            <w:r>
              <w:t>Yes</w:t>
            </w:r>
          </w:p>
        </w:tc>
      </w:tr>
      <w:tr w:rsidR="00C045C1">
        <w:tblPrEx>
          <w:tblCellMar>
            <w:top w:w="0" w:type="dxa"/>
            <w:bottom w:w="0" w:type="dxa"/>
          </w:tblCellMar>
        </w:tblPrEx>
        <w:trPr>
          <w:cantSplit/>
        </w:trPr>
        <w:tc>
          <w:tcPr>
            <w:tcW w:w="2988" w:type="dxa"/>
          </w:tcPr>
          <w:p w:rsidR="00C045C1" w:rsidRDefault="00C045C1" w:rsidP="00C045C1">
            <w:pPr>
              <w:pStyle w:val="TableText"/>
            </w:pPr>
            <w:r>
              <w:t>ABO Incompatible Unit Transfused</w:t>
            </w:r>
          </w:p>
        </w:tc>
        <w:tc>
          <w:tcPr>
            <w:tcW w:w="1620" w:type="dxa"/>
          </w:tcPr>
          <w:p w:rsidR="00C045C1" w:rsidRPr="0095633D" w:rsidRDefault="00C045C1" w:rsidP="00C045C1">
            <w:pPr>
              <w:pStyle w:val="TableText"/>
            </w:pPr>
            <w:r>
              <w:rPr>
                <w:u w:val="single"/>
              </w:rPr>
              <w:t>&gt;</w:t>
            </w:r>
            <w:r>
              <w:t xml:space="preserve"> Traditional Supervisor</w:t>
            </w:r>
          </w:p>
        </w:tc>
        <w:tc>
          <w:tcPr>
            <w:tcW w:w="2520" w:type="dxa"/>
          </w:tcPr>
          <w:p w:rsidR="00C045C1" w:rsidRDefault="00C045C1" w:rsidP="00C045C1">
            <w:pPr>
              <w:pStyle w:val="TableText"/>
            </w:pPr>
            <w:r>
              <w:t>Document ABO Incompatible Transfusion</w:t>
            </w:r>
          </w:p>
        </w:tc>
        <w:tc>
          <w:tcPr>
            <w:tcW w:w="1080" w:type="dxa"/>
          </w:tcPr>
          <w:p w:rsidR="00C045C1" w:rsidRDefault="00C045C1" w:rsidP="00C045C1">
            <w:pPr>
              <w:pStyle w:val="TableText"/>
            </w:pPr>
            <w:r>
              <w:t>No</w:t>
            </w:r>
          </w:p>
        </w:tc>
        <w:tc>
          <w:tcPr>
            <w:tcW w:w="1152" w:type="dxa"/>
          </w:tcPr>
          <w:p w:rsidR="00C045C1" w:rsidRDefault="00C045C1" w:rsidP="00C045C1">
            <w:pPr>
              <w:pStyle w:val="TableText"/>
            </w:pPr>
            <w:r>
              <w:rPr>
                <w:rFonts w:eastAsia="Symbol"/>
              </w:rPr>
              <w:t>Yes</w:t>
            </w:r>
          </w:p>
        </w:tc>
      </w:tr>
      <w:tr w:rsidR="00C045C1">
        <w:tblPrEx>
          <w:tblCellMar>
            <w:top w:w="0" w:type="dxa"/>
            <w:bottom w:w="0" w:type="dxa"/>
          </w:tblCellMar>
        </w:tblPrEx>
        <w:trPr>
          <w:cantSplit/>
        </w:trPr>
        <w:tc>
          <w:tcPr>
            <w:tcW w:w="2988" w:type="dxa"/>
          </w:tcPr>
          <w:p w:rsidR="00C045C1" w:rsidRDefault="00C045C1" w:rsidP="00C045C1">
            <w:pPr>
              <w:pStyle w:val="TableText"/>
              <w:rPr>
                <w:rFonts w:eastAsia="Symbol"/>
              </w:rPr>
            </w:pPr>
            <w:r>
              <w:t>Antigen positive unit crossmatched</w:t>
            </w:r>
          </w:p>
        </w:tc>
        <w:tc>
          <w:tcPr>
            <w:tcW w:w="1620" w:type="dxa"/>
          </w:tcPr>
          <w:p w:rsidR="00C045C1" w:rsidRPr="0095633D" w:rsidRDefault="00C045C1" w:rsidP="00C045C1">
            <w:pPr>
              <w:pStyle w:val="TableText"/>
              <w:rPr>
                <w:rFonts w:eastAsia="Symbol"/>
              </w:rPr>
            </w:pPr>
            <w:r>
              <w:rPr>
                <w:u w:val="single"/>
              </w:rPr>
              <w:t>&gt;</w:t>
            </w:r>
            <w:r>
              <w:t xml:space="preserve"> Lead Tech</w:t>
            </w:r>
          </w:p>
        </w:tc>
        <w:tc>
          <w:tcPr>
            <w:tcW w:w="2520" w:type="dxa"/>
          </w:tcPr>
          <w:p w:rsidR="00C045C1" w:rsidRDefault="00C045C1" w:rsidP="00C045C1">
            <w:pPr>
              <w:pStyle w:val="TableText"/>
              <w:rPr>
                <w:rFonts w:eastAsia="Symbol"/>
              </w:rPr>
            </w:pPr>
            <w:r>
              <w:rPr>
                <w:rFonts w:eastAsia="Symbol"/>
              </w:rPr>
              <w:t>Select Unit (when crossmatched)</w:t>
            </w:r>
          </w:p>
        </w:tc>
        <w:tc>
          <w:tcPr>
            <w:tcW w:w="1080" w:type="dxa"/>
          </w:tcPr>
          <w:p w:rsidR="00C045C1" w:rsidRDefault="00C045C1" w:rsidP="00C045C1">
            <w:pPr>
              <w:pStyle w:val="TableText"/>
              <w:rPr>
                <w:rFonts w:eastAsia="Symbol"/>
              </w:rPr>
            </w:pPr>
            <w:r>
              <w:t>No</w:t>
            </w:r>
          </w:p>
        </w:tc>
        <w:tc>
          <w:tcPr>
            <w:tcW w:w="1152" w:type="dxa"/>
          </w:tcPr>
          <w:p w:rsidR="00C045C1" w:rsidRDefault="00C045C1" w:rsidP="00C045C1">
            <w:pPr>
              <w:pStyle w:val="TableText"/>
              <w:rPr>
                <w:rFonts w:eastAsia="Symbol"/>
              </w:rPr>
            </w:pPr>
            <w:r>
              <w:rPr>
                <w:rFonts w:eastAsia="Symbol"/>
              </w:rPr>
              <w:t>Yes</w:t>
            </w:r>
          </w:p>
        </w:tc>
      </w:tr>
      <w:tr w:rsidR="00C045C1">
        <w:tblPrEx>
          <w:tblCellMar>
            <w:top w:w="0" w:type="dxa"/>
            <w:bottom w:w="0" w:type="dxa"/>
          </w:tblCellMar>
        </w:tblPrEx>
        <w:trPr>
          <w:cantSplit/>
        </w:trPr>
        <w:tc>
          <w:tcPr>
            <w:tcW w:w="2988" w:type="dxa"/>
          </w:tcPr>
          <w:p w:rsidR="00C045C1" w:rsidRDefault="00C045C1" w:rsidP="00C045C1">
            <w:pPr>
              <w:pStyle w:val="TableText"/>
              <w:rPr>
                <w:rFonts w:eastAsia="Symbol"/>
              </w:rPr>
            </w:pPr>
            <w:r>
              <w:t>Antigen positive unit selected</w:t>
            </w:r>
          </w:p>
        </w:tc>
        <w:tc>
          <w:tcPr>
            <w:tcW w:w="1620" w:type="dxa"/>
          </w:tcPr>
          <w:p w:rsidR="00C045C1" w:rsidRDefault="00C045C1" w:rsidP="00C045C1">
            <w:pPr>
              <w:pStyle w:val="TableText"/>
              <w:rPr>
                <w:rFonts w:eastAsia="Symbol"/>
              </w:rPr>
            </w:pPr>
            <w:r>
              <w:rPr>
                <w:u w:val="single"/>
              </w:rPr>
              <w:t>&gt;</w:t>
            </w:r>
            <w:r>
              <w:t xml:space="preserve"> Lead Tech</w:t>
            </w:r>
          </w:p>
        </w:tc>
        <w:tc>
          <w:tcPr>
            <w:tcW w:w="2520" w:type="dxa"/>
          </w:tcPr>
          <w:p w:rsidR="00C045C1" w:rsidRDefault="00C045C1" w:rsidP="00C045C1">
            <w:pPr>
              <w:pStyle w:val="TableText"/>
              <w:rPr>
                <w:rFonts w:eastAsia="Symbol"/>
              </w:rPr>
            </w:pPr>
            <w:r>
              <w:rPr>
                <w:rFonts w:eastAsia="Symbol"/>
              </w:rPr>
              <w:t>Select Unit</w:t>
            </w:r>
          </w:p>
        </w:tc>
        <w:tc>
          <w:tcPr>
            <w:tcW w:w="1080" w:type="dxa"/>
          </w:tcPr>
          <w:p w:rsidR="00C045C1" w:rsidRDefault="00C045C1" w:rsidP="00C045C1">
            <w:pPr>
              <w:pStyle w:val="TableText"/>
              <w:rPr>
                <w:rFonts w:eastAsia="Symbol"/>
              </w:rPr>
            </w:pPr>
            <w:r>
              <w:t>No</w:t>
            </w:r>
          </w:p>
        </w:tc>
        <w:tc>
          <w:tcPr>
            <w:tcW w:w="1152" w:type="dxa"/>
          </w:tcPr>
          <w:p w:rsidR="00C045C1" w:rsidRDefault="00C045C1" w:rsidP="00C045C1">
            <w:pPr>
              <w:pStyle w:val="TableText"/>
              <w:rPr>
                <w:rFonts w:eastAsia="Symbol"/>
              </w:rPr>
            </w:pPr>
            <w:r>
              <w:t>Yes</w:t>
            </w:r>
          </w:p>
        </w:tc>
      </w:tr>
      <w:tr w:rsidR="00C045C1">
        <w:tblPrEx>
          <w:tblCellMar>
            <w:top w:w="0" w:type="dxa"/>
            <w:bottom w:w="0" w:type="dxa"/>
          </w:tblCellMar>
        </w:tblPrEx>
        <w:trPr>
          <w:cantSplit/>
        </w:trPr>
        <w:tc>
          <w:tcPr>
            <w:tcW w:w="2988" w:type="dxa"/>
          </w:tcPr>
          <w:p w:rsidR="00C045C1" w:rsidRDefault="00C045C1" w:rsidP="00C045C1">
            <w:pPr>
              <w:pStyle w:val="TableText"/>
            </w:pPr>
            <w:r>
              <w:t>Antigen testing phase change</w:t>
            </w:r>
          </w:p>
        </w:tc>
        <w:tc>
          <w:tcPr>
            <w:tcW w:w="1620" w:type="dxa"/>
          </w:tcPr>
          <w:p w:rsidR="00C045C1" w:rsidRDefault="00C045C1" w:rsidP="00C045C1">
            <w:pPr>
              <w:pStyle w:val="TableText"/>
            </w:pPr>
            <w:r>
              <w:t>All</w:t>
            </w:r>
          </w:p>
        </w:tc>
        <w:tc>
          <w:tcPr>
            <w:tcW w:w="2520" w:type="dxa"/>
          </w:tcPr>
          <w:p w:rsidR="00C045C1" w:rsidRDefault="00C045C1" w:rsidP="00C045C1">
            <w:pPr>
              <w:pStyle w:val="TableText"/>
            </w:pPr>
            <w:r>
              <w:t xml:space="preserve">Unit or Patient Antigen typing </w:t>
            </w:r>
          </w:p>
        </w:tc>
        <w:tc>
          <w:tcPr>
            <w:tcW w:w="1080" w:type="dxa"/>
          </w:tcPr>
          <w:p w:rsidR="00C045C1" w:rsidRDefault="00C045C1" w:rsidP="00C045C1">
            <w:pPr>
              <w:pStyle w:val="TableText"/>
              <w:rPr>
                <w:rFonts w:eastAsia="Symbol"/>
              </w:rPr>
            </w:pPr>
            <w:r>
              <w:rPr>
                <w:rFonts w:eastAsia="Symbol"/>
              </w:rPr>
              <w:t>Yes (Antigen Typing)</w:t>
            </w:r>
          </w:p>
        </w:tc>
        <w:tc>
          <w:tcPr>
            <w:tcW w:w="1152" w:type="dxa"/>
          </w:tcPr>
          <w:p w:rsidR="00C045C1" w:rsidRDefault="00C045C1" w:rsidP="00C045C1">
            <w:pPr>
              <w:pStyle w:val="TableText"/>
              <w:rPr>
                <w:rFonts w:eastAsia="Symbol"/>
              </w:rPr>
            </w:pPr>
            <w:r>
              <w:rPr>
                <w:rFonts w:eastAsia="Symbol"/>
              </w:rPr>
              <w:t>Yes (Patient Testing: Record a Patient Antigen Typing)</w:t>
            </w:r>
          </w:p>
        </w:tc>
      </w:tr>
      <w:tr w:rsidR="00C045C1">
        <w:tblPrEx>
          <w:tblCellMar>
            <w:top w:w="0" w:type="dxa"/>
            <w:bottom w:w="0" w:type="dxa"/>
          </w:tblCellMar>
        </w:tblPrEx>
        <w:trPr>
          <w:cantSplit/>
        </w:trPr>
        <w:tc>
          <w:tcPr>
            <w:tcW w:w="2988" w:type="dxa"/>
          </w:tcPr>
          <w:p w:rsidR="00C045C1" w:rsidRDefault="00C045C1" w:rsidP="00C045C1">
            <w:pPr>
              <w:pStyle w:val="TableText"/>
            </w:pPr>
            <w:r>
              <w:t>Antigen-positive/untested units issued</w:t>
            </w:r>
          </w:p>
        </w:tc>
        <w:tc>
          <w:tcPr>
            <w:tcW w:w="1620" w:type="dxa"/>
          </w:tcPr>
          <w:p w:rsidR="00C045C1" w:rsidRDefault="00C045C1" w:rsidP="00C045C1">
            <w:pPr>
              <w:pStyle w:val="TableText"/>
            </w:pPr>
            <w:r>
              <w:rPr>
                <w:u w:val="single"/>
              </w:rPr>
              <w:t>&gt;</w:t>
            </w:r>
            <w:r>
              <w:t xml:space="preserve"> Lead Tech</w:t>
            </w:r>
          </w:p>
        </w:tc>
        <w:tc>
          <w:tcPr>
            <w:tcW w:w="2520" w:type="dxa"/>
          </w:tcPr>
          <w:p w:rsidR="00C045C1" w:rsidRDefault="00C045C1" w:rsidP="00C045C1">
            <w:pPr>
              <w:pStyle w:val="TableText"/>
            </w:pPr>
            <w:r>
              <w:t>Issue Blood</w:t>
            </w:r>
          </w:p>
        </w:tc>
        <w:tc>
          <w:tcPr>
            <w:tcW w:w="1080" w:type="dxa"/>
          </w:tcPr>
          <w:p w:rsidR="00C045C1" w:rsidRDefault="00C045C1" w:rsidP="00C045C1">
            <w:pPr>
              <w:pStyle w:val="TableText"/>
            </w:pPr>
            <w:r>
              <w:t>No</w:t>
            </w:r>
          </w:p>
        </w:tc>
        <w:tc>
          <w:tcPr>
            <w:tcW w:w="1152" w:type="dxa"/>
          </w:tcPr>
          <w:p w:rsidR="00C045C1" w:rsidRDefault="00C045C1" w:rsidP="00C045C1">
            <w:pPr>
              <w:pStyle w:val="TableText"/>
            </w:pPr>
            <w:r>
              <w:rPr>
                <w:rFonts w:eastAsia="Symbol"/>
              </w:rPr>
              <w:t>Yes</w:t>
            </w:r>
          </w:p>
        </w:tc>
      </w:tr>
      <w:tr w:rsidR="00C045C1">
        <w:tblPrEx>
          <w:tblCellMar>
            <w:top w:w="0" w:type="dxa"/>
            <w:bottom w:w="0" w:type="dxa"/>
          </w:tblCellMar>
        </w:tblPrEx>
        <w:trPr>
          <w:cantSplit/>
        </w:trPr>
        <w:tc>
          <w:tcPr>
            <w:tcW w:w="2988" w:type="dxa"/>
          </w:tcPr>
          <w:p w:rsidR="00C045C1" w:rsidRDefault="00C045C1" w:rsidP="00C045C1">
            <w:pPr>
              <w:pStyle w:val="TableText"/>
            </w:pPr>
            <w:r>
              <w:t>Biohazardous unit issued</w:t>
            </w:r>
          </w:p>
        </w:tc>
        <w:tc>
          <w:tcPr>
            <w:tcW w:w="1620" w:type="dxa"/>
          </w:tcPr>
          <w:p w:rsidR="00C045C1" w:rsidRDefault="00C045C1" w:rsidP="00C045C1">
            <w:pPr>
              <w:pStyle w:val="TableText"/>
            </w:pPr>
            <w:r>
              <w:t>All</w:t>
            </w:r>
          </w:p>
        </w:tc>
        <w:tc>
          <w:tcPr>
            <w:tcW w:w="2520" w:type="dxa"/>
          </w:tcPr>
          <w:p w:rsidR="00C045C1" w:rsidRDefault="00C045C1" w:rsidP="00C045C1">
            <w:pPr>
              <w:pStyle w:val="TableText"/>
            </w:pPr>
            <w:r>
              <w:t>Issue Blood</w:t>
            </w:r>
          </w:p>
        </w:tc>
        <w:tc>
          <w:tcPr>
            <w:tcW w:w="1080" w:type="dxa"/>
          </w:tcPr>
          <w:p w:rsidR="00C045C1" w:rsidRDefault="00C045C1" w:rsidP="00C045C1">
            <w:pPr>
              <w:pStyle w:val="TableText"/>
            </w:pPr>
            <w:r>
              <w:t>No</w:t>
            </w:r>
          </w:p>
        </w:tc>
        <w:tc>
          <w:tcPr>
            <w:tcW w:w="1152" w:type="dxa"/>
          </w:tcPr>
          <w:p w:rsidR="00C045C1" w:rsidRDefault="00C045C1" w:rsidP="00C045C1">
            <w:pPr>
              <w:pStyle w:val="TableText"/>
            </w:pPr>
            <w:r>
              <w:rPr>
                <w:rFonts w:eastAsia="Symbol"/>
              </w:rPr>
              <w:t>Yes</w:t>
            </w:r>
          </w:p>
        </w:tc>
      </w:tr>
      <w:tr w:rsidR="00C045C1">
        <w:tblPrEx>
          <w:tblCellMar>
            <w:top w:w="0" w:type="dxa"/>
            <w:bottom w:w="0" w:type="dxa"/>
          </w:tblCellMar>
        </w:tblPrEx>
        <w:trPr>
          <w:cantSplit/>
        </w:trPr>
        <w:tc>
          <w:tcPr>
            <w:tcW w:w="2988" w:type="dxa"/>
          </w:tcPr>
          <w:p w:rsidR="00C045C1" w:rsidRDefault="00C045C1" w:rsidP="00C045C1">
            <w:pPr>
              <w:pStyle w:val="TableText"/>
              <w:rPr>
                <w:rFonts w:eastAsia="Symbol"/>
              </w:rPr>
            </w:pPr>
            <w:r>
              <w:t>Biohazardous unit modified</w:t>
            </w:r>
          </w:p>
        </w:tc>
        <w:tc>
          <w:tcPr>
            <w:tcW w:w="1620" w:type="dxa"/>
          </w:tcPr>
          <w:p w:rsidR="00C045C1" w:rsidRDefault="00C045C1" w:rsidP="00C045C1">
            <w:pPr>
              <w:pStyle w:val="TableText"/>
              <w:rPr>
                <w:rFonts w:eastAsia="Symbol"/>
              </w:rPr>
            </w:pPr>
            <w:r>
              <w:t>All</w:t>
            </w:r>
          </w:p>
        </w:tc>
        <w:tc>
          <w:tcPr>
            <w:tcW w:w="2520" w:type="dxa"/>
          </w:tcPr>
          <w:p w:rsidR="00C045C1" w:rsidRDefault="00C045C1" w:rsidP="00C045C1">
            <w:pPr>
              <w:pStyle w:val="TableText"/>
              <w:rPr>
                <w:rFonts w:eastAsia="Symbol"/>
              </w:rPr>
            </w:pPr>
            <w:r>
              <w:rPr>
                <w:rFonts w:eastAsia="Symbol"/>
              </w:rPr>
              <w:t>Modification</w:t>
            </w:r>
          </w:p>
        </w:tc>
        <w:tc>
          <w:tcPr>
            <w:tcW w:w="1080" w:type="dxa"/>
          </w:tcPr>
          <w:p w:rsidR="00C045C1" w:rsidRDefault="00C045C1" w:rsidP="00C045C1">
            <w:pPr>
              <w:pStyle w:val="TableText"/>
              <w:rPr>
                <w:rFonts w:eastAsia="Symbol"/>
              </w:rPr>
            </w:pPr>
            <w:r>
              <w:t>Yes</w:t>
            </w:r>
          </w:p>
        </w:tc>
        <w:tc>
          <w:tcPr>
            <w:tcW w:w="1152" w:type="dxa"/>
          </w:tcPr>
          <w:p w:rsidR="00C045C1" w:rsidRDefault="00C045C1" w:rsidP="00C045C1">
            <w:pPr>
              <w:pStyle w:val="TableText"/>
              <w:rPr>
                <w:rFonts w:eastAsia="Symbol"/>
              </w:rPr>
            </w:pPr>
            <w:r>
              <w:t>No</w:t>
            </w:r>
          </w:p>
        </w:tc>
      </w:tr>
      <w:tr w:rsidR="00C045C1">
        <w:tblPrEx>
          <w:tblCellMar>
            <w:top w:w="0" w:type="dxa"/>
            <w:bottom w:w="0" w:type="dxa"/>
          </w:tblCellMar>
        </w:tblPrEx>
        <w:trPr>
          <w:cantSplit/>
        </w:trPr>
        <w:tc>
          <w:tcPr>
            <w:tcW w:w="2988" w:type="dxa"/>
          </w:tcPr>
          <w:p w:rsidR="00C045C1" w:rsidRDefault="00C045C1" w:rsidP="00C045C1">
            <w:pPr>
              <w:pStyle w:val="TableText"/>
              <w:rPr>
                <w:rFonts w:eastAsia="Symbol"/>
              </w:rPr>
            </w:pPr>
            <w:r>
              <w:t>Biohazardous unit selected</w:t>
            </w:r>
          </w:p>
        </w:tc>
        <w:tc>
          <w:tcPr>
            <w:tcW w:w="1620" w:type="dxa"/>
          </w:tcPr>
          <w:p w:rsidR="00C045C1" w:rsidRDefault="00C045C1" w:rsidP="00C045C1">
            <w:pPr>
              <w:pStyle w:val="TableText"/>
              <w:rPr>
                <w:rFonts w:eastAsia="Symbol"/>
              </w:rPr>
            </w:pPr>
            <w:r>
              <w:t>All</w:t>
            </w:r>
          </w:p>
        </w:tc>
        <w:tc>
          <w:tcPr>
            <w:tcW w:w="2520" w:type="dxa"/>
          </w:tcPr>
          <w:p w:rsidR="00C045C1" w:rsidRDefault="00C045C1" w:rsidP="00C045C1">
            <w:pPr>
              <w:pStyle w:val="TableText"/>
              <w:rPr>
                <w:rFonts w:eastAsia="Symbol"/>
              </w:rPr>
            </w:pPr>
            <w:r>
              <w:rPr>
                <w:rFonts w:eastAsia="Symbol"/>
              </w:rPr>
              <w:t>Select Unit</w:t>
            </w:r>
          </w:p>
        </w:tc>
        <w:tc>
          <w:tcPr>
            <w:tcW w:w="1080" w:type="dxa"/>
          </w:tcPr>
          <w:p w:rsidR="00C045C1" w:rsidRDefault="00C045C1" w:rsidP="00C045C1">
            <w:pPr>
              <w:pStyle w:val="TableText"/>
              <w:rPr>
                <w:rFonts w:eastAsia="Symbol"/>
              </w:rPr>
            </w:pPr>
            <w:r>
              <w:t>No</w:t>
            </w:r>
          </w:p>
        </w:tc>
        <w:tc>
          <w:tcPr>
            <w:tcW w:w="1152" w:type="dxa"/>
          </w:tcPr>
          <w:p w:rsidR="00C045C1" w:rsidRDefault="00C045C1" w:rsidP="00C045C1">
            <w:pPr>
              <w:pStyle w:val="TableText"/>
              <w:rPr>
                <w:rFonts w:eastAsia="Symbol"/>
              </w:rPr>
            </w:pPr>
            <w:r>
              <w:rPr>
                <w:rFonts w:eastAsia="Symbol"/>
              </w:rPr>
              <w:t>Yes</w:t>
            </w:r>
          </w:p>
        </w:tc>
      </w:tr>
      <w:tr w:rsidR="00C045C1">
        <w:tblPrEx>
          <w:tblCellMar>
            <w:top w:w="0" w:type="dxa"/>
            <w:bottom w:w="0" w:type="dxa"/>
          </w:tblCellMar>
        </w:tblPrEx>
        <w:trPr>
          <w:cantSplit/>
        </w:trPr>
        <w:tc>
          <w:tcPr>
            <w:tcW w:w="2988" w:type="dxa"/>
          </w:tcPr>
          <w:p w:rsidR="00C045C1" w:rsidRDefault="00C045C1" w:rsidP="00C045C1">
            <w:pPr>
              <w:pStyle w:val="TableText"/>
            </w:pPr>
            <w:r>
              <w:t>Caution Tag or Blood Transfusion Record Form printed for antigen positive or untested unit</w:t>
            </w:r>
          </w:p>
        </w:tc>
        <w:tc>
          <w:tcPr>
            <w:tcW w:w="1620" w:type="dxa"/>
          </w:tcPr>
          <w:p w:rsidR="00C045C1" w:rsidRDefault="00C045C1" w:rsidP="00C045C1">
            <w:pPr>
              <w:pStyle w:val="TableText"/>
            </w:pPr>
            <w:r>
              <w:rPr>
                <w:u w:val="single"/>
              </w:rPr>
              <w:t>&gt;</w:t>
            </w:r>
            <w:r>
              <w:t xml:space="preserve"> Lead Tech</w:t>
            </w:r>
          </w:p>
        </w:tc>
        <w:tc>
          <w:tcPr>
            <w:tcW w:w="2520" w:type="dxa"/>
          </w:tcPr>
          <w:p w:rsidR="00C045C1" w:rsidRDefault="00C045C1" w:rsidP="00C045C1">
            <w:pPr>
              <w:pStyle w:val="TableText"/>
            </w:pPr>
          </w:p>
        </w:tc>
        <w:tc>
          <w:tcPr>
            <w:tcW w:w="1080" w:type="dxa"/>
          </w:tcPr>
          <w:p w:rsidR="00C045C1" w:rsidRDefault="00C045C1" w:rsidP="00C045C1">
            <w:pPr>
              <w:pStyle w:val="TableText"/>
              <w:rPr>
                <w:rFonts w:eastAsia="Symbol"/>
              </w:rPr>
            </w:pPr>
            <w:r>
              <w:t>No</w:t>
            </w:r>
          </w:p>
        </w:tc>
        <w:tc>
          <w:tcPr>
            <w:tcW w:w="1152" w:type="dxa"/>
          </w:tcPr>
          <w:p w:rsidR="00C045C1" w:rsidRDefault="00C045C1" w:rsidP="00C045C1">
            <w:pPr>
              <w:pStyle w:val="TableText"/>
              <w:rPr>
                <w:rFonts w:eastAsia="Symbol"/>
              </w:rPr>
            </w:pPr>
            <w:r>
              <w:rPr>
                <w:rFonts w:eastAsia="Symbol"/>
              </w:rPr>
              <w:t>Yes</w:t>
            </w:r>
          </w:p>
        </w:tc>
      </w:tr>
      <w:tr w:rsidR="00C045C1">
        <w:tblPrEx>
          <w:tblCellMar>
            <w:top w:w="0" w:type="dxa"/>
            <w:bottom w:w="0" w:type="dxa"/>
          </w:tblCellMar>
        </w:tblPrEx>
        <w:trPr>
          <w:cantSplit/>
        </w:trPr>
        <w:tc>
          <w:tcPr>
            <w:tcW w:w="2988" w:type="dxa"/>
          </w:tcPr>
          <w:p w:rsidR="00C045C1" w:rsidRDefault="00C045C1" w:rsidP="00C045C1">
            <w:pPr>
              <w:pStyle w:val="TableText"/>
            </w:pPr>
            <w:r>
              <w:t>Caution Tag or Blood Transfusion Record Form printed on expired specimen</w:t>
            </w:r>
          </w:p>
        </w:tc>
        <w:tc>
          <w:tcPr>
            <w:tcW w:w="1620" w:type="dxa"/>
          </w:tcPr>
          <w:p w:rsidR="00C045C1" w:rsidRDefault="00C045C1" w:rsidP="00C045C1">
            <w:pPr>
              <w:pStyle w:val="TableText"/>
            </w:pPr>
            <w:r>
              <w:rPr>
                <w:u w:val="single"/>
              </w:rPr>
              <w:t>&gt;</w:t>
            </w:r>
            <w:r>
              <w:t xml:space="preserve"> Enhanced Tech</w:t>
            </w:r>
          </w:p>
        </w:tc>
        <w:tc>
          <w:tcPr>
            <w:tcW w:w="2520" w:type="dxa"/>
          </w:tcPr>
          <w:p w:rsidR="00C045C1" w:rsidRDefault="00C045C1" w:rsidP="00C045C1">
            <w:pPr>
              <w:pStyle w:val="TableText"/>
            </w:pPr>
          </w:p>
        </w:tc>
        <w:tc>
          <w:tcPr>
            <w:tcW w:w="1080" w:type="dxa"/>
          </w:tcPr>
          <w:p w:rsidR="00C045C1" w:rsidRDefault="00C045C1" w:rsidP="00C045C1">
            <w:pPr>
              <w:pStyle w:val="TableText"/>
              <w:rPr>
                <w:rFonts w:eastAsia="Symbol"/>
              </w:rPr>
            </w:pPr>
            <w:r>
              <w:t>No</w:t>
            </w:r>
          </w:p>
        </w:tc>
        <w:tc>
          <w:tcPr>
            <w:tcW w:w="1152" w:type="dxa"/>
          </w:tcPr>
          <w:p w:rsidR="00C045C1" w:rsidRDefault="00C045C1" w:rsidP="00C045C1">
            <w:pPr>
              <w:pStyle w:val="TableText"/>
              <w:rPr>
                <w:rFonts w:eastAsia="Symbol"/>
              </w:rPr>
            </w:pPr>
            <w:r>
              <w:rPr>
                <w:rFonts w:eastAsia="Symbol"/>
              </w:rPr>
              <w:t>Yes</w:t>
            </w:r>
          </w:p>
        </w:tc>
      </w:tr>
      <w:tr w:rsidR="00C045C1">
        <w:tblPrEx>
          <w:tblCellMar>
            <w:top w:w="0" w:type="dxa"/>
            <w:bottom w:w="0" w:type="dxa"/>
          </w:tblCellMar>
        </w:tblPrEx>
        <w:trPr>
          <w:cantSplit/>
        </w:trPr>
        <w:tc>
          <w:tcPr>
            <w:tcW w:w="2988" w:type="dxa"/>
          </w:tcPr>
          <w:p w:rsidR="00C045C1" w:rsidRDefault="00C045C1" w:rsidP="00C045C1">
            <w:pPr>
              <w:pStyle w:val="TableText"/>
            </w:pPr>
            <w:r>
              <w:t>Caution Tag or Blood Transfusion Record Form printed on expired unit</w:t>
            </w:r>
          </w:p>
        </w:tc>
        <w:tc>
          <w:tcPr>
            <w:tcW w:w="1620" w:type="dxa"/>
          </w:tcPr>
          <w:p w:rsidR="00C045C1" w:rsidRDefault="00C045C1" w:rsidP="00C045C1">
            <w:pPr>
              <w:pStyle w:val="TableText"/>
            </w:pPr>
            <w:r>
              <w:rPr>
                <w:u w:val="single"/>
              </w:rPr>
              <w:t>&gt;</w:t>
            </w:r>
            <w:r>
              <w:t xml:space="preserve"> Enhanced Tech</w:t>
            </w:r>
          </w:p>
        </w:tc>
        <w:tc>
          <w:tcPr>
            <w:tcW w:w="2520" w:type="dxa"/>
          </w:tcPr>
          <w:p w:rsidR="00C045C1" w:rsidRDefault="00C045C1" w:rsidP="00C045C1">
            <w:pPr>
              <w:pStyle w:val="TableText"/>
            </w:pPr>
          </w:p>
        </w:tc>
        <w:tc>
          <w:tcPr>
            <w:tcW w:w="1080" w:type="dxa"/>
          </w:tcPr>
          <w:p w:rsidR="00C045C1" w:rsidRDefault="00C045C1" w:rsidP="00C045C1">
            <w:pPr>
              <w:pStyle w:val="TableText"/>
              <w:rPr>
                <w:rFonts w:eastAsia="Symbol"/>
              </w:rPr>
            </w:pPr>
            <w:r>
              <w:t>No</w:t>
            </w:r>
          </w:p>
        </w:tc>
        <w:tc>
          <w:tcPr>
            <w:tcW w:w="1152" w:type="dxa"/>
          </w:tcPr>
          <w:p w:rsidR="00C045C1" w:rsidRDefault="00C045C1" w:rsidP="00C045C1">
            <w:pPr>
              <w:pStyle w:val="TableText"/>
              <w:rPr>
                <w:rFonts w:eastAsia="Symbol"/>
              </w:rPr>
            </w:pPr>
            <w:r>
              <w:rPr>
                <w:rFonts w:eastAsia="Symbol"/>
              </w:rPr>
              <w:t>Yes</w:t>
            </w:r>
          </w:p>
        </w:tc>
      </w:tr>
      <w:tr w:rsidR="00C045C1">
        <w:tblPrEx>
          <w:tblCellMar>
            <w:top w:w="0" w:type="dxa"/>
            <w:bottom w:w="0" w:type="dxa"/>
          </w:tblCellMar>
        </w:tblPrEx>
        <w:trPr>
          <w:cantSplit/>
        </w:trPr>
        <w:tc>
          <w:tcPr>
            <w:tcW w:w="2988" w:type="dxa"/>
          </w:tcPr>
          <w:p w:rsidR="00C045C1" w:rsidRDefault="00C045C1" w:rsidP="00C045C1">
            <w:pPr>
              <w:pStyle w:val="TableText"/>
            </w:pPr>
            <w:r>
              <w:t>Caution Tag or Blood Transfusion Record Form printed with unsatisfied Transfusion Requirement</w:t>
            </w:r>
          </w:p>
        </w:tc>
        <w:tc>
          <w:tcPr>
            <w:tcW w:w="1620" w:type="dxa"/>
          </w:tcPr>
          <w:p w:rsidR="00C045C1" w:rsidRDefault="00C045C1" w:rsidP="00C045C1">
            <w:pPr>
              <w:pStyle w:val="TableText"/>
            </w:pPr>
            <w:r>
              <w:rPr>
                <w:u w:val="single"/>
              </w:rPr>
              <w:t>&gt;</w:t>
            </w:r>
            <w:r>
              <w:t xml:space="preserve"> Lead Tech</w:t>
            </w:r>
          </w:p>
        </w:tc>
        <w:tc>
          <w:tcPr>
            <w:tcW w:w="2520" w:type="dxa"/>
          </w:tcPr>
          <w:p w:rsidR="00C045C1" w:rsidRDefault="00C045C1" w:rsidP="00C045C1">
            <w:pPr>
              <w:pStyle w:val="TableText"/>
            </w:pPr>
          </w:p>
        </w:tc>
        <w:tc>
          <w:tcPr>
            <w:tcW w:w="1080" w:type="dxa"/>
          </w:tcPr>
          <w:p w:rsidR="00C045C1" w:rsidRDefault="00C045C1" w:rsidP="00C045C1">
            <w:pPr>
              <w:pStyle w:val="TableText"/>
              <w:rPr>
                <w:rFonts w:eastAsia="Symbol"/>
              </w:rPr>
            </w:pPr>
            <w:r>
              <w:t>No</w:t>
            </w:r>
          </w:p>
        </w:tc>
        <w:tc>
          <w:tcPr>
            <w:tcW w:w="1152" w:type="dxa"/>
          </w:tcPr>
          <w:p w:rsidR="00C045C1" w:rsidRDefault="00C045C1" w:rsidP="00C045C1">
            <w:pPr>
              <w:pStyle w:val="TableText"/>
              <w:rPr>
                <w:rFonts w:eastAsia="Symbol"/>
              </w:rPr>
            </w:pPr>
            <w:r>
              <w:rPr>
                <w:rFonts w:eastAsia="Symbol"/>
              </w:rPr>
              <w:t>Yes</w:t>
            </w:r>
          </w:p>
        </w:tc>
      </w:tr>
      <w:tr w:rsidR="00C045C1">
        <w:tblPrEx>
          <w:tblCellMar>
            <w:top w:w="0" w:type="dxa"/>
            <w:bottom w:w="0" w:type="dxa"/>
          </w:tblCellMar>
        </w:tblPrEx>
        <w:trPr>
          <w:cantSplit/>
        </w:trPr>
        <w:tc>
          <w:tcPr>
            <w:tcW w:w="2988" w:type="dxa"/>
          </w:tcPr>
          <w:p w:rsidR="00C045C1" w:rsidRDefault="00C045C1" w:rsidP="00C045C1">
            <w:pPr>
              <w:pStyle w:val="TableText"/>
              <w:rPr>
                <w:rFonts w:eastAsia="Symbol"/>
              </w:rPr>
            </w:pPr>
            <w:r>
              <w:t>Crossmatch incompatible: Give only with MD approval</w:t>
            </w:r>
          </w:p>
        </w:tc>
        <w:tc>
          <w:tcPr>
            <w:tcW w:w="1620" w:type="dxa"/>
          </w:tcPr>
          <w:p w:rsidR="00C045C1" w:rsidRDefault="00C045C1" w:rsidP="00C045C1">
            <w:pPr>
              <w:pStyle w:val="TableText"/>
              <w:rPr>
                <w:rFonts w:eastAsia="Symbol"/>
              </w:rPr>
            </w:pPr>
            <w:r>
              <w:t>All</w:t>
            </w:r>
          </w:p>
        </w:tc>
        <w:tc>
          <w:tcPr>
            <w:tcW w:w="2520" w:type="dxa"/>
          </w:tcPr>
          <w:p w:rsidR="00C045C1" w:rsidRDefault="00C045C1" w:rsidP="00C045C1">
            <w:pPr>
              <w:pStyle w:val="TableText"/>
              <w:rPr>
                <w:rFonts w:eastAsia="Symbol"/>
              </w:rPr>
            </w:pPr>
          </w:p>
        </w:tc>
        <w:tc>
          <w:tcPr>
            <w:tcW w:w="1080" w:type="dxa"/>
          </w:tcPr>
          <w:p w:rsidR="00C045C1" w:rsidRDefault="00C045C1" w:rsidP="00C045C1">
            <w:pPr>
              <w:pStyle w:val="TableText"/>
              <w:rPr>
                <w:rFonts w:eastAsia="Symbol"/>
              </w:rPr>
            </w:pPr>
            <w:r>
              <w:t>No</w:t>
            </w:r>
          </w:p>
        </w:tc>
        <w:tc>
          <w:tcPr>
            <w:tcW w:w="1152" w:type="dxa"/>
          </w:tcPr>
          <w:p w:rsidR="00C045C1" w:rsidRDefault="00C045C1" w:rsidP="00C045C1">
            <w:pPr>
              <w:pStyle w:val="TableText"/>
              <w:rPr>
                <w:rFonts w:eastAsia="Symbol"/>
              </w:rPr>
            </w:pPr>
            <w:r>
              <w:rPr>
                <w:rFonts w:eastAsia="Symbol"/>
              </w:rPr>
              <w:t>Yes</w:t>
            </w:r>
          </w:p>
        </w:tc>
      </w:tr>
      <w:tr w:rsidR="00C045C1">
        <w:tblPrEx>
          <w:tblCellMar>
            <w:top w:w="0" w:type="dxa"/>
            <w:bottom w:w="0" w:type="dxa"/>
          </w:tblCellMar>
        </w:tblPrEx>
        <w:trPr>
          <w:cantSplit/>
        </w:trPr>
        <w:tc>
          <w:tcPr>
            <w:tcW w:w="2988" w:type="dxa"/>
          </w:tcPr>
          <w:p w:rsidR="00C045C1" w:rsidRDefault="00C045C1" w:rsidP="00C045C1">
            <w:pPr>
              <w:pStyle w:val="TableText"/>
            </w:pPr>
            <w:r>
              <w:t>Deletion of partially completed QC</w:t>
            </w:r>
          </w:p>
        </w:tc>
        <w:tc>
          <w:tcPr>
            <w:tcW w:w="1620" w:type="dxa"/>
          </w:tcPr>
          <w:p w:rsidR="00C045C1" w:rsidRDefault="00C045C1" w:rsidP="00C045C1">
            <w:pPr>
              <w:pStyle w:val="TableText"/>
            </w:pPr>
            <w:r>
              <w:t>All</w:t>
            </w:r>
          </w:p>
        </w:tc>
        <w:tc>
          <w:tcPr>
            <w:tcW w:w="2520" w:type="dxa"/>
          </w:tcPr>
          <w:p w:rsidR="00C045C1" w:rsidRDefault="00C045C1" w:rsidP="00C045C1">
            <w:pPr>
              <w:pStyle w:val="TableText"/>
            </w:pPr>
            <w:r>
              <w:t>Enter Daily QC</w:t>
            </w:r>
          </w:p>
        </w:tc>
        <w:tc>
          <w:tcPr>
            <w:tcW w:w="1080" w:type="dxa"/>
          </w:tcPr>
          <w:p w:rsidR="00C045C1" w:rsidRDefault="00C045C1" w:rsidP="00C045C1">
            <w:pPr>
              <w:pStyle w:val="TableText"/>
            </w:pPr>
            <w:r>
              <w:t>No</w:t>
            </w:r>
          </w:p>
        </w:tc>
        <w:tc>
          <w:tcPr>
            <w:tcW w:w="1152" w:type="dxa"/>
          </w:tcPr>
          <w:p w:rsidR="00C045C1" w:rsidRDefault="00C045C1" w:rsidP="00C045C1">
            <w:pPr>
              <w:pStyle w:val="TableText"/>
            </w:pPr>
            <w:r>
              <w:t>No</w:t>
            </w:r>
          </w:p>
        </w:tc>
      </w:tr>
      <w:tr w:rsidR="00C045C1">
        <w:tblPrEx>
          <w:tblCellMar>
            <w:top w:w="0" w:type="dxa"/>
            <w:bottom w:w="0" w:type="dxa"/>
          </w:tblCellMar>
        </w:tblPrEx>
        <w:trPr>
          <w:cantSplit/>
        </w:trPr>
        <w:tc>
          <w:tcPr>
            <w:tcW w:w="2988" w:type="dxa"/>
          </w:tcPr>
          <w:p w:rsidR="00C045C1" w:rsidRDefault="00C045C1" w:rsidP="00C045C1">
            <w:pPr>
              <w:pStyle w:val="TableText"/>
              <w:rPr>
                <w:rFonts w:eastAsia="Symbol"/>
              </w:rPr>
            </w:pPr>
            <w:r>
              <w:t>Discrepant ABO/Rh override</w:t>
            </w:r>
          </w:p>
        </w:tc>
        <w:tc>
          <w:tcPr>
            <w:tcW w:w="1620" w:type="dxa"/>
          </w:tcPr>
          <w:p w:rsidR="00C045C1" w:rsidRDefault="00C045C1" w:rsidP="00C045C1">
            <w:pPr>
              <w:pStyle w:val="TableText"/>
              <w:rPr>
                <w:rFonts w:eastAsia="Symbol"/>
              </w:rPr>
            </w:pPr>
            <w:r>
              <w:rPr>
                <w:u w:val="single"/>
              </w:rPr>
              <w:t>&gt;</w:t>
            </w:r>
            <w:r>
              <w:t xml:space="preserve"> Enhanced Tech</w:t>
            </w:r>
          </w:p>
        </w:tc>
        <w:tc>
          <w:tcPr>
            <w:tcW w:w="2520" w:type="dxa"/>
          </w:tcPr>
          <w:p w:rsidR="00C045C1" w:rsidRDefault="00C045C1" w:rsidP="00C045C1">
            <w:pPr>
              <w:pStyle w:val="TableText"/>
              <w:rPr>
                <w:rFonts w:eastAsia="Symbol"/>
              </w:rPr>
            </w:pPr>
            <w:r>
              <w:rPr>
                <w:rFonts w:eastAsia="Symbol"/>
              </w:rPr>
              <w:t>Patient Testing</w:t>
            </w:r>
          </w:p>
        </w:tc>
        <w:tc>
          <w:tcPr>
            <w:tcW w:w="1080" w:type="dxa"/>
          </w:tcPr>
          <w:p w:rsidR="00C045C1" w:rsidRDefault="00C045C1" w:rsidP="00C045C1">
            <w:pPr>
              <w:pStyle w:val="TableText"/>
              <w:rPr>
                <w:rFonts w:eastAsia="Symbol"/>
              </w:rPr>
            </w:pPr>
            <w:r>
              <w:t>No</w:t>
            </w:r>
          </w:p>
        </w:tc>
        <w:tc>
          <w:tcPr>
            <w:tcW w:w="1152" w:type="dxa"/>
          </w:tcPr>
          <w:p w:rsidR="00C045C1" w:rsidRDefault="00C045C1" w:rsidP="00C045C1">
            <w:pPr>
              <w:pStyle w:val="TableText"/>
              <w:rPr>
                <w:rFonts w:eastAsia="Symbol"/>
              </w:rPr>
            </w:pPr>
            <w:r>
              <w:rPr>
                <w:rFonts w:eastAsia="Symbol"/>
              </w:rPr>
              <w:t>Yes</w:t>
            </w:r>
          </w:p>
        </w:tc>
      </w:tr>
      <w:tr w:rsidR="00C045C1">
        <w:tblPrEx>
          <w:tblCellMar>
            <w:top w:w="0" w:type="dxa"/>
            <w:bottom w:w="0" w:type="dxa"/>
          </w:tblCellMar>
        </w:tblPrEx>
        <w:trPr>
          <w:cantSplit/>
        </w:trPr>
        <w:tc>
          <w:tcPr>
            <w:tcW w:w="2988" w:type="dxa"/>
          </w:tcPr>
          <w:p w:rsidR="00C045C1" w:rsidRDefault="00C045C1" w:rsidP="00C045C1">
            <w:pPr>
              <w:pStyle w:val="TableText"/>
              <w:rPr>
                <w:rFonts w:eastAsia="Symbol"/>
              </w:rPr>
            </w:pPr>
            <w:r>
              <w:t>Discrepant patient antigen typing</w:t>
            </w:r>
          </w:p>
        </w:tc>
        <w:tc>
          <w:tcPr>
            <w:tcW w:w="1620" w:type="dxa"/>
          </w:tcPr>
          <w:p w:rsidR="00C045C1" w:rsidRDefault="00C045C1" w:rsidP="00C045C1">
            <w:pPr>
              <w:pStyle w:val="TableText"/>
              <w:rPr>
                <w:rFonts w:eastAsia="Symbol"/>
              </w:rPr>
            </w:pPr>
            <w:r>
              <w:t>All</w:t>
            </w:r>
          </w:p>
        </w:tc>
        <w:tc>
          <w:tcPr>
            <w:tcW w:w="2520" w:type="dxa"/>
          </w:tcPr>
          <w:p w:rsidR="00C045C1" w:rsidRDefault="00C045C1" w:rsidP="00C045C1">
            <w:pPr>
              <w:pStyle w:val="TableText"/>
              <w:rPr>
                <w:rFonts w:eastAsia="Symbol"/>
              </w:rPr>
            </w:pPr>
            <w:r>
              <w:rPr>
                <w:rFonts w:eastAsia="Symbol"/>
              </w:rPr>
              <w:t>Patient Testing</w:t>
            </w:r>
          </w:p>
        </w:tc>
        <w:tc>
          <w:tcPr>
            <w:tcW w:w="1080" w:type="dxa"/>
          </w:tcPr>
          <w:p w:rsidR="00C045C1" w:rsidRDefault="00C045C1" w:rsidP="00C045C1">
            <w:pPr>
              <w:pStyle w:val="TableText"/>
              <w:rPr>
                <w:rFonts w:eastAsia="Symbol"/>
              </w:rPr>
            </w:pPr>
            <w:r>
              <w:t>No</w:t>
            </w:r>
          </w:p>
        </w:tc>
        <w:tc>
          <w:tcPr>
            <w:tcW w:w="1152" w:type="dxa"/>
          </w:tcPr>
          <w:p w:rsidR="00C045C1" w:rsidRDefault="00C045C1" w:rsidP="00C045C1">
            <w:pPr>
              <w:pStyle w:val="TableText"/>
              <w:rPr>
                <w:rFonts w:eastAsia="Symbol"/>
              </w:rPr>
            </w:pPr>
            <w:r>
              <w:rPr>
                <w:rFonts w:eastAsia="Symbol"/>
              </w:rPr>
              <w:t>Yes</w:t>
            </w:r>
          </w:p>
        </w:tc>
      </w:tr>
      <w:tr w:rsidR="008A701E">
        <w:tblPrEx>
          <w:tblCellMar>
            <w:top w:w="0" w:type="dxa"/>
            <w:bottom w:w="0" w:type="dxa"/>
          </w:tblCellMar>
        </w:tblPrEx>
        <w:trPr>
          <w:cantSplit/>
        </w:trPr>
        <w:tc>
          <w:tcPr>
            <w:tcW w:w="2988" w:type="dxa"/>
          </w:tcPr>
          <w:p w:rsidR="008A701E" w:rsidRDefault="008A701E" w:rsidP="00C045C1">
            <w:pPr>
              <w:pStyle w:val="TableText"/>
            </w:pPr>
            <w:r>
              <w:t>Electronic Transfusion Record Update</w:t>
            </w:r>
          </w:p>
        </w:tc>
        <w:tc>
          <w:tcPr>
            <w:tcW w:w="1620" w:type="dxa"/>
          </w:tcPr>
          <w:p w:rsidR="008A701E" w:rsidRDefault="008A701E" w:rsidP="00C045C1">
            <w:pPr>
              <w:pStyle w:val="TableText"/>
            </w:pPr>
            <w:r>
              <w:t>BCE COTS system</w:t>
            </w:r>
          </w:p>
        </w:tc>
        <w:tc>
          <w:tcPr>
            <w:tcW w:w="2520" w:type="dxa"/>
          </w:tcPr>
          <w:p w:rsidR="008A701E" w:rsidRDefault="008A701E" w:rsidP="00C045C1">
            <w:pPr>
              <w:pStyle w:val="TableText"/>
            </w:pPr>
            <w:r>
              <w:t>Post –Transfusion Information</w:t>
            </w:r>
          </w:p>
        </w:tc>
        <w:tc>
          <w:tcPr>
            <w:tcW w:w="1080" w:type="dxa"/>
          </w:tcPr>
          <w:p w:rsidR="008A701E" w:rsidRDefault="008A701E" w:rsidP="00C045C1">
            <w:pPr>
              <w:pStyle w:val="TableText"/>
            </w:pPr>
            <w:r>
              <w:t>No</w:t>
            </w:r>
          </w:p>
        </w:tc>
        <w:tc>
          <w:tcPr>
            <w:tcW w:w="1152" w:type="dxa"/>
          </w:tcPr>
          <w:p w:rsidR="008A701E" w:rsidRDefault="008A701E" w:rsidP="00C045C1">
            <w:pPr>
              <w:pStyle w:val="TableText"/>
              <w:rPr>
                <w:rFonts w:eastAsia="Symbol"/>
              </w:rPr>
            </w:pPr>
            <w:r>
              <w:rPr>
                <w:rFonts w:eastAsia="Symbol"/>
              </w:rPr>
              <w:t>No</w:t>
            </w:r>
          </w:p>
        </w:tc>
      </w:tr>
      <w:tr w:rsidR="00C045C1">
        <w:tblPrEx>
          <w:tblCellMar>
            <w:top w:w="0" w:type="dxa"/>
            <w:bottom w:w="0" w:type="dxa"/>
          </w:tblCellMar>
        </w:tblPrEx>
        <w:trPr>
          <w:cantSplit/>
        </w:trPr>
        <w:tc>
          <w:tcPr>
            <w:tcW w:w="2988" w:type="dxa"/>
          </w:tcPr>
          <w:p w:rsidR="00C045C1" w:rsidRDefault="00C045C1" w:rsidP="00C045C1">
            <w:pPr>
              <w:pStyle w:val="TableText"/>
            </w:pPr>
            <w:r>
              <w:t>Emergency issue request (no specimen)</w:t>
            </w:r>
          </w:p>
        </w:tc>
        <w:tc>
          <w:tcPr>
            <w:tcW w:w="1620" w:type="dxa"/>
          </w:tcPr>
          <w:p w:rsidR="00C045C1" w:rsidRDefault="00C045C1" w:rsidP="00C045C1">
            <w:pPr>
              <w:pStyle w:val="TableText"/>
            </w:pPr>
            <w:r>
              <w:t>All</w:t>
            </w:r>
          </w:p>
        </w:tc>
        <w:tc>
          <w:tcPr>
            <w:tcW w:w="2520" w:type="dxa"/>
          </w:tcPr>
          <w:p w:rsidR="00C045C1" w:rsidRDefault="00C045C1" w:rsidP="00C045C1">
            <w:pPr>
              <w:pStyle w:val="TableText"/>
            </w:pPr>
            <w:r>
              <w:t>Accept Order</w:t>
            </w:r>
          </w:p>
        </w:tc>
        <w:tc>
          <w:tcPr>
            <w:tcW w:w="1080" w:type="dxa"/>
          </w:tcPr>
          <w:p w:rsidR="00C045C1" w:rsidRDefault="00C045C1" w:rsidP="00C045C1">
            <w:pPr>
              <w:pStyle w:val="TableText"/>
              <w:rPr>
                <w:rFonts w:eastAsia="Symbol"/>
              </w:rPr>
            </w:pPr>
            <w:r>
              <w:t>No</w:t>
            </w:r>
          </w:p>
        </w:tc>
        <w:tc>
          <w:tcPr>
            <w:tcW w:w="1152" w:type="dxa"/>
          </w:tcPr>
          <w:p w:rsidR="00C045C1" w:rsidRDefault="00C045C1" w:rsidP="00C045C1">
            <w:pPr>
              <w:pStyle w:val="TableText"/>
              <w:rPr>
                <w:rFonts w:eastAsia="Symbol"/>
              </w:rPr>
            </w:pPr>
            <w:r>
              <w:rPr>
                <w:rFonts w:eastAsia="Symbol"/>
              </w:rPr>
              <w:t>Yes</w:t>
            </w:r>
          </w:p>
        </w:tc>
      </w:tr>
      <w:tr w:rsidR="00C045C1">
        <w:tblPrEx>
          <w:tblCellMar>
            <w:top w:w="0" w:type="dxa"/>
            <w:bottom w:w="0" w:type="dxa"/>
          </w:tblCellMar>
        </w:tblPrEx>
        <w:trPr>
          <w:cantSplit/>
        </w:trPr>
        <w:tc>
          <w:tcPr>
            <w:tcW w:w="2988" w:type="dxa"/>
          </w:tcPr>
          <w:p w:rsidR="00C045C1" w:rsidRDefault="00C045C1" w:rsidP="00C045C1">
            <w:pPr>
              <w:pStyle w:val="TableText"/>
            </w:pPr>
            <w:r>
              <w:t>Emergency issue, require testing incomplete</w:t>
            </w:r>
          </w:p>
        </w:tc>
        <w:tc>
          <w:tcPr>
            <w:tcW w:w="1620" w:type="dxa"/>
          </w:tcPr>
          <w:p w:rsidR="00C045C1" w:rsidRDefault="00C045C1" w:rsidP="00C045C1">
            <w:pPr>
              <w:pStyle w:val="TableText"/>
            </w:pPr>
            <w:r>
              <w:t>All</w:t>
            </w:r>
          </w:p>
        </w:tc>
        <w:tc>
          <w:tcPr>
            <w:tcW w:w="2520" w:type="dxa"/>
          </w:tcPr>
          <w:p w:rsidR="00C045C1" w:rsidRDefault="00C045C1" w:rsidP="00C045C1">
            <w:pPr>
              <w:pStyle w:val="TableText"/>
            </w:pPr>
            <w:r>
              <w:t>Patient Testing</w:t>
            </w:r>
          </w:p>
        </w:tc>
        <w:tc>
          <w:tcPr>
            <w:tcW w:w="1080" w:type="dxa"/>
          </w:tcPr>
          <w:p w:rsidR="00C045C1" w:rsidRDefault="00C045C1" w:rsidP="00C045C1">
            <w:pPr>
              <w:pStyle w:val="TableText"/>
            </w:pPr>
            <w:r>
              <w:t>No</w:t>
            </w:r>
          </w:p>
        </w:tc>
        <w:tc>
          <w:tcPr>
            <w:tcW w:w="1152" w:type="dxa"/>
          </w:tcPr>
          <w:p w:rsidR="00C045C1" w:rsidRDefault="00C045C1" w:rsidP="00C045C1">
            <w:pPr>
              <w:pStyle w:val="TableText"/>
            </w:pPr>
            <w:r>
              <w:rPr>
                <w:rFonts w:eastAsia="Symbol"/>
              </w:rPr>
              <w:t>Yes</w:t>
            </w:r>
          </w:p>
        </w:tc>
      </w:tr>
      <w:tr w:rsidR="00C045C1">
        <w:tblPrEx>
          <w:tblCellMar>
            <w:top w:w="0" w:type="dxa"/>
            <w:bottom w:w="0" w:type="dxa"/>
          </w:tblCellMar>
        </w:tblPrEx>
        <w:trPr>
          <w:cantSplit/>
        </w:trPr>
        <w:tc>
          <w:tcPr>
            <w:tcW w:w="2988" w:type="dxa"/>
          </w:tcPr>
          <w:p w:rsidR="00C045C1" w:rsidRDefault="00C045C1" w:rsidP="00C045C1">
            <w:pPr>
              <w:pStyle w:val="TableText"/>
              <w:rPr>
                <w:rFonts w:eastAsia="Symbol"/>
              </w:rPr>
            </w:pPr>
            <w:r>
              <w:lastRenderedPageBreak/>
              <w:t>Expired antisera used</w:t>
            </w:r>
          </w:p>
        </w:tc>
        <w:tc>
          <w:tcPr>
            <w:tcW w:w="1620" w:type="dxa"/>
          </w:tcPr>
          <w:p w:rsidR="00C045C1" w:rsidRDefault="00C045C1" w:rsidP="00C045C1">
            <w:pPr>
              <w:pStyle w:val="TableText"/>
              <w:rPr>
                <w:rFonts w:eastAsia="Symbol"/>
              </w:rPr>
            </w:pPr>
            <w:r>
              <w:t>All</w:t>
            </w:r>
          </w:p>
        </w:tc>
        <w:tc>
          <w:tcPr>
            <w:tcW w:w="2520" w:type="dxa"/>
          </w:tcPr>
          <w:p w:rsidR="00C045C1" w:rsidRDefault="00C045C1" w:rsidP="00C045C1">
            <w:pPr>
              <w:pStyle w:val="TableText"/>
              <w:rPr>
                <w:rFonts w:eastAsia="Symbol"/>
              </w:rPr>
            </w:pPr>
            <w:r>
              <w:rPr>
                <w:rFonts w:eastAsia="Symbol"/>
              </w:rPr>
              <w:t>Enter Rack QC, Patient and Unit Antigen typing</w:t>
            </w:r>
          </w:p>
        </w:tc>
        <w:tc>
          <w:tcPr>
            <w:tcW w:w="1080" w:type="dxa"/>
          </w:tcPr>
          <w:p w:rsidR="00C045C1" w:rsidRDefault="00C045C1" w:rsidP="00C045C1">
            <w:pPr>
              <w:pStyle w:val="TableText"/>
              <w:rPr>
                <w:rFonts w:eastAsia="Symbol"/>
              </w:rPr>
            </w:pPr>
            <w:r>
              <w:rPr>
                <w:rFonts w:eastAsia="Symbol"/>
              </w:rPr>
              <w:t>Yes (Antigen Typing)</w:t>
            </w:r>
          </w:p>
        </w:tc>
        <w:tc>
          <w:tcPr>
            <w:tcW w:w="1152" w:type="dxa"/>
          </w:tcPr>
          <w:p w:rsidR="00C045C1" w:rsidRDefault="00C045C1" w:rsidP="00C045C1">
            <w:pPr>
              <w:pStyle w:val="TableText"/>
              <w:rPr>
                <w:rFonts w:eastAsia="Symbol"/>
              </w:rPr>
            </w:pPr>
            <w:r>
              <w:rPr>
                <w:rFonts w:eastAsia="Symbol"/>
              </w:rPr>
              <w:t>Yes (Patient Testing: Record a Patient Antigen Typing)</w:t>
            </w:r>
          </w:p>
        </w:tc>
      </w:tr>
      <w:tr w:rsidR="00C045C1">
        <w:tblPrEx>
          <w:tblCellMar>
            <w:top w:w="0" w:type="dxa"/>
            <w:bottom w:w="0" w:type="dxa"/>
          </w:tblCellMar>
        </w:tblPrEx>
        <w:trPr>
          <w:cantSplit/>
        </w:trPr>
        <w:tc>
          <w:tcPr>
            <w:tcW w:w="2988" w:type="dxa"/>
          </w:tcPr>
          <w:p w:rsidR="00C045C1" w:rsidRDefault="00C045C1" w:rsidP="00C045C1">
            <w:pPr>
              <w:pStyle w:val="TableText"/>
              <w:rPr>
                <w:rFonts w:eastAsia="Symbol"/>
              </w:rPr>
            </w:pPr>
            <w:r>
              <w:t>Expired reagent QC’d</w:t>
            </w:r>
          </w:p>
        </w:tc>
        <w:tc>
          <w:tcPr>
            <w:tcW w:w="1620" w:type="dxa"/>
          </w:tcPr>
          <w:p w:rsidR="00C045C1" w:rsidRDefault="00C045C1" w:rsidP="00C045C1">
            <w:pPr>
              <w:pStyle w:val="TableText"/>
              <w:rPr>
                <w:rFonts w:eastAsia="Symbol"/>
              </w:rPr>
            </w:pPr>
            <w:r>
              <w:t>All</w:t>
            </w:r>
          </w:p>
        </w:tc>
        <w:tc>
          <w:tcPr>
            <w:tcW w:w="2520" w:type="dxa"/>
          </w:tcPr>
          <w:p w:rsidR="00C045C1" w:rsidRDefault="00C045C1" w:rsidP="00C045C1">
            <w:pPr>
              <w:pStyle w:val="TableText"/>
              <w:rPr>
                <w:rFonts w:eastAsia="Symbol"/>
              </w:rPr>
            </w:pPr>
            <w:r>
              <w:rPr>
                <w:rFonts w:eastAsia="Symbol"/>
              </w:rPr>
              <w:t>Enter Daily QC</w:t>
            </w:r>
          </w:p>
        </w:tc>
        <w:tc>
          <w:tcPr>
            <w:tcW w:w="1080" w:type="dxa"/>
          </w:tcPr>
          <w:p w:rsidR="00C045C1" w:rsidRDefault="00C045C1" w:rsidP="00C045C1">
            <w:pPr>
              <w:pStyle w:val="TableText"/>
              <w:rPr>
                <w:rFonts w:eastAsia="Symbol"/>
              </w:rPr>
            </w:pPr>
            <w:r>
              <w:t>No</w:t>
            </w:r>
          </w:p>
        </w:tc>
        <w:tc>
          <w:tcPr>
            <w:tcW w:w="1152" w:type="dxa"/>
          </w:tcPr>
          <w:p w:rsidR="00C045C1" w:rsidRDefault="00C045C1" w:rsidP="00C045C1">
            <w:pPr>
              <w:pStyle w:val="TableText"/>
              <w:rPr>
                <w:rFonts w:eastAsia="Symbol"/>
              </w:rPr>
            </w:pPr>
            <w:r>
              <w:t>No</w:t>
            </w:r>
          </w:p>
        </w:tc>
      </w:tr>
      <w:tr w:rsidR="00C045C1">
        <w:tblPrEx>
          <w:tblCellMar>
            <w:top w:w="0" w:type="dxa"/>
            <w:bottom w:w="0" w:type="dxa"/>
          </w:tblCellMar>
        </w:tblPrEx>
        <w:trPr>
          <w:cantSplit/>
        </w:trPr>
        <w:tc>
          <w:tcPr>
            <w:tcW w:w="2988" w:type="dxa"/>
          </w:tcPr>
          <w:p w:rsidR="00C045C1" w:rsidRDefault="00C045C1" w:rsidP="00C045C1">
            <w:pPr>
              <w:pStyle w:val="TableText"/>
            </w:pPr>
            <w:r>
              <w:t>Expired supply used in modification</w:t>
            </w:r>
          </w:p>
        </w:tc>
        <w:tc>
          <w:tcPr>
            <w:tcW w:w="1620" w:type="dxa"/>
          </w:tcPr>
          <w:p w:rsidR="00C045C1" w:rsidRDefault="00C045C1" w:rsidP="00C045C1">
            <w:pPr>
              <w:pStyle w:val="TableText"/>
            </w:pPr>
            <w:r>
              <w:t>All</w:t>
            </w:r>
          </w:p>
        </w:tc>
        <w:tc>
          <w:tcPr>
            <w:tcW w:w="2520" w:type="dxa"/>
          </w:tcPr>
          <w:p w:rsidR="00C045C1" w:rsidRDefault="00C045C1" w:rsidP="00C045C1">
            <w:pPr>
              <w:pStyle w:val="TableText"/>
            </w:pPr>
            <w:r>
              <w:t>Modify Units</w:t>
            </w:r>
          </w:p>
        </w:tc>
        <w:tc>
          <w:tcPr>
            <w:tcW w:w="1080" w:type="dxa"/>
          </w:tcPr>
          <w:p w:rsidR="00C045C1" w:rsidRDefault="00C045C1" w:rsidP="00C045C1">
            <w:pPr>
              <w:pStyle w:val="TableText"/>
            </w:pPr>
            <w:r>
              <w:t>No</w:t>
            </w:r>
          </w:p>
        </w:tc>
        <w:tc>
          <w:tcPr>
            <w:tcW w:w="1152" w:type="dxa"/>
          </w:tcPr>
          <w:p w:rsidR="00C045C1" w:rsidRDefault="00C045C1" w:rsidP="00C045C1">
            <w:pPr>
              <w:pStyle w:val="TableText"/>
              <w:rPr>
                <w:rFonts w:eastAsia="Symbol"/>
              </w:rPr>
            </w:pPr>
            <w:r>
              <w:t>No</w:t>
            </w:r>
          </w:p>
        </w:tc>
      </w:tr>
      <w:tr w:rsidR="00C045C1">
        <w:tblPrEx>
          <w:tblCellMar>
            <w:top w:w="0" w:type="dxa"/>
            <w:bottom w:w="0" w:type="dxa"/>
          </w:tblCellMar>
        </w:tblPrEx>
        <w:trPr>
          <w:cantSplit/>
        </w:trPr>
        <w:tc>
          <w:tcPr>
            <w:tcW w:w="2988" w:type="dxa"/>
          </w:tcPr>
          <w:p w:rsidR="00C045C1" w:rsidRDefault="00C045C1" w:rsidP="00C045C1">
            <w:pPr>
              <w:pStyle w:val="TableText"/>
            </w:pPr>
            <w:r>
              <w:t xml:space="preserve">Expired task processed </w:t>
            </w:r>
          </w:p>
        </w:tc>
        <w:tc>
          <w:tcPr>
            <w:tcW w:w="1620" w:type="dxa"/>
          </w:tcPr>
          <w:p w:rsidR="00C045C1" w:rsidRDefault="000075A9" w:rsidP="00C045C1">
            <w:pPr>
              <w:pStyle w:val="TableText"/>
            </w:pPr>
            <w:r>
              <w:t>All</w:t>
            </w:r>
          </w:p>
        </w:tc>
        <w:tc>
          <w:tcPr>
            <w:tcW w:w="2520" w:type="dxa"/>
          </w:tcPr>
          <w:p w:rsidR="00C045C1" w:rsidRDefault="000075A9" w:rsidP="00C045C1">
            <w:pPr>
              <w:pStyle w:val="TableText"/>
            </w:pPr>
            <w:r>
              <w:t>Pending Task List</w:t>
            </w:r>
          </w:p>
        </w:tc>
        <w:tc>
          <w:tcPr>
            <w:tcW w:w="1080" w:type="dxa"/>
          </w:tcPr>
          <w:p w:rsidR="00C045C1" w:rsidRDefault="00C045C1" w:rsidP="00C045C1">
            <w:pPr>
              <w:pStyle w:val="TableText"/>
            </w:pPr>
            <w:r>
              <w:t>No</w:t>
            </w:r>
          </w:p>
        </w:tc>
        <w:tc>
          <w:tcPr>
            <w:tcW w:w="1152" w:type="dxa"/>
          </w:tcPr>
          <w:p w:rsidR="00C045C1" w:rsidRDefault="00C045C1" w:rsidP="00C045C1">
            <w:pPr>
              <w:pStyle w:val="TableText"/>
            </w:pPr>
            <w:r>
              <w:rPr>
                <w:rFonts w:eastAsia="Symbol"/>
              </w:rPr>
              <w:t>Yes</w:t>
            </w:r>
          </w:p>
        </w:tc>
      </w:tr>
      <w:tr w:rsidR="00C045C1">
        <w:tblPrEx>
          <w:tblCellMar>
            <w:top w:w="0" w:type="dxa"/>
            <w:bottom w:w="0" w:type="dxa"/>
          </w:tblCellMar>
        </w:tblPrEx>
        <w:trPr>
          <w:cantSplit/>
        </w:trPr>
        <w:tc>
          <w:tcPr>
            <w:tcW w:w="2988" w:type="dxa"/>
          </w:tcPr>
          <w:p w:rsidR="00C045C1" w:rsidRDefault="00C045C1" w:rsidP="00C045C1">
            <w:pPr>
              <w:pStyle w:val="TableText"/>
              <w:rPr>
                <w:rFonts w:eastAsia="Symbol"/>
              </w:rPr>
            </w:pPr>
            <w:r>
              <w:t>Expired unit modified</w:t>
            </w:r>
          </w:p>
        </w:tc>
        <w:tc>
          <w:tcPr>
            <w:tcW w:w="1620" w:type="dxa"/>
          </w:tcPr>
          <w:p w:rsidR="00C045C1" w:rsidRDefault="00C045C1" w:rsidP="00C045C1">
            <w:pPr>
              <w:pStyle w:val="TableText"/>
              <w:rPr>
                <w:rFonts w:eastAsia="Symbol"/>
              </w:rPr>
            </w:pPr>
            <w:r>
              <w:rPr>
                <w:u w:val="single"/>
              </w:rPr>
              <w:t>&gt;</w:t>
            </w:r>
            <w:r>
              <w:t xml:space="preserve"> Enhanced Tech</w:t>
            </w:r>
          </w:p>
        </w:tc>
        <w:tc>
          <w:tcPr>
            <w:tcW w:w="2520" w:type="dxa"/>
          </w:tcPr>
          <w:p w:rsidR="00C045C1" w:rsidRDefault="00C045C1" w:rsidP="00C045C1">
            <w:pPr>
              <w:pStyle w:val="TableText"/>
              <w:rPr>
                <w:rFonts w:eastAsia="Symbol"/>
              </w:rPr>
            </w:pPr>
            <w:r>
              <w:rPr>
                <w:rFonts w:eastAsia="Symbol"/>
              </w:rPr>
              <w:t>Modify Units</w:t>
            </w:r>
          </w:p>
        </w:tc>
        <w:tc>
          <w:tcPr>
            <w:tcW w:w="1080" w:type="dxa"/>
          </w:tcPr>
          <w:p w:rsidR="00C045C1" w:rsidRDefault="00C045C1" w:rsidP="00C045C1">
            <w:pPr>
              <w:pStyle w:val="TableText"/>
              <w:rPr>
                <w:rFonts w:eastAsia="Symbol"/>
              </w:rPr>
            </w:pPr>
            <w:r>
              <w:t>Yes</w:t>
            </w:r>
          </w:p>
        </w:tc>
        <w:tc>
          <w:tcPr>
            <w:tcW w:w="1152" w:type="dxa"/>
          </w:tcPr>
          <w:p w:rsidR="00C045C1" w:rsidRDefault="00C045C1" w:rsidP="00C045C1">
            <w:pPr>
              <w:pStyle w:val="TableText"/>
              <w:rPr>
                <w:rFonts w:eastAsia="Symbol"/>
              </w:rPr>
            </w:pPr>
            <w:r>
              <w:t>No</w:t>
            </w:r>
          </w:p>
        </w:tc>
      </w:tr>
      <w:tr w:rsidR="00C045C1">
        <w:tblPrEx>
          <w:tblCellMar>
            <w:top w:w="0" w:type="dxa"/>
            <w:bottom w:w="0" w:type="dxa"/>
          </w:tblCellMar>
        </w:tblPrEx>
        <w:trPr>
          <w:cantSplit/>
        </w:trPr>
        <w:tc>
          <w:tcPr>
            <w:tcW w:w="2988" w:type="dxa"/>
          </w:tcPr>
          <w:p w:rsidR="00C045C1" w:rsidRDefault="00C045C1" w:rsidP="00C045C1">
            <w:pPr>
              <w:pStyle w:val="TableText"/>
            </w:pPr>
            <w:r>
              <w:t>Expired unit received</w:t>
            </w:r>
          </w:p>
        </w:tc>
        <w:tc>
          <w:tcPr>
            <w:tcW w:w="1620" w:type="dxa"/>
          </w:tcPr>
          <w:p w:rsidR="00C045C1" w:rsidRDefault="00C045C1" w:rsidP="00C045C1">
            <w:pPr>
              <w:pStyle w:val="TableText"/>
            </w:pPr>
            <w:r>
              <w:t>All</w:t>
            </w:r>
          </w:p>
        </w:tc>
        <w:tc>
          <w:tcPr>
            <w:tcW w:w="2520" w:type="dxa"/>
          </w:tcPr>
          <w:p w:rsidR="00C045C1" w:rsidRDefault="00C045C1" w:rsidP="00C045C1">
            <w:pPr>
              <w:pStyle w:val="TableText"/>
            </w:pPr>
            <w:r>
              <w:t>Incoming Shipment</w:t>
            </w:r>
          </w:p>
        </w:tc>
        <w:tc>
          <w:tcPr>
            <w:tcW w:w="1080" w:type="dxa"/>
          </w:tcPr>
          <w:p w:rsidR="00C045C1" w:rsidRDefault="00C045C1" w:rsidP="00C045C1">
            <w:pPr>
              <w:pStyle w:val="TableText"/>
            </w:pPr>
            <w:r>
              <w:t>Yes</w:t>
            </w:r>
          </w:p>
        </w:tc>
        <w:tc>
          <w:tcPr>
            <w:tcW w:w="1152" w:type="dxa"/>
          </w:tcPr>
          <w:p w:rsidR="00C045C1" w:rsidRDefault="00C045C1" w:rsidP="00C045C1">
            <w:pPr>
              <w:pStyle w:val="TableText"/>
            </w:pPr>
            <w:r>
              <w:t>No</w:t>
            </w:r>
          </w:p>
        </w:tc>
      </w:tr>
      <w:tr w:rsidR="00C045C1">
        <w:tblPrEx>
          <w:tblCellMar>
            <w:top w:w="0" w:type="dxa"/>
            <w:bottom w:w="0" w:type="dxa"/>
          </w:tblCellMar>
        </w:tblPrEx>
        <w:trPr>
          <w:cantSplit/>
        </w:trPr>
        <w:tc>
          <w:tcPr>
            <w:tcW w:w="2988" w:type="dxa"/>
          </w:tcPr>
          <w:p w:rsidR="00C045C1" w:rsidRDefault="00C045C1" w:rsidP="00C045C1">
            <w:pPr>
              <w:pStyle w:val="TableText"/>
              <w:rPr>
                <w:rFonts w:eastAsia="Symbol"/>
              </w:rPr>
            </w:pPr>
            <w:r>
              <w:t>Expired unit released from quarantine</w:t>
            </w:r>
          </w:p>
        </w:tc>
        <w:tc>
          <w:tcPr>
            <w:tcW w:w="1620" w:type="dxa"/>
          </w:tcPr>
          <w:p w:rsidR="00C045C1" w:rsidRDefault="00C045C1" w:rsidP="00C045C1">
            <w:pPr>
              <w:pStyle w:val="TableText"/>
              <w:rPr>
                <w:rFonts w:eastAsia="Symbol"/>
              </w:rPr>
            </w:pPr>
            <w:r>
              <w:rPr>
                <w:u w:val="single"/>
              </w:rPr>
              <w:t>&gt;</w:t>
            </w:r>
            <w:r>
              <w:t xml:space="preserve"> Enhanced Tech</w:t>
            </w:r>
          </w:p>
        </w:tc>
        <w:tc>
          <w:tcPr>
            <w:tcW w:w="2520" w:type="dxa"/>
          </w:tcPr>
          <w:p w:rsidR="00C045C1" w:rsidRDefault="00C045C1" w:rsidP="00C045C1">
            <w:pPr>
              <w:pStyle w:val="TableText"/>
              <w:rPr>
                <w:rFonts w:eastAsia="Symbol"/>
              </w:rPr>
            </w:pPr>
            <w:r>
              <w:rPr>
                <w:rFonts w:eastAsia="Symbol"/>
              </w:rPr>
              <w:t>Release from Quarantine</w:t>
            </w:r>
          </w:p>
        </w:tc>
        <w:tc>
          <w:tcPr>
            <w:tcW w:w="1080" w:type="dxa"/>
          </w:tcPr>
          <w:p w:rsidR="00C045C1" w:rsidRDefault="00C045C1" w:rsidP="00C045C1">
            <w:pPr>
              <w:pStyle w:val="TableText"/>
              <w:rPr>
                <w:rFonts w:eastAsia="Symbol"/>
              </w:rPr>
            </w:pPr>
            <w:r>
              <w:t>Yes</w:t>
            </w:r>
          </w:p>
        </w:tc>
        <w:tc>
          <w:tcPr>
            <w:tcW w:w="1152" w:type="dxa"/>
          </w:tcPr>
          <w:p w:rsidR="00C045C1" w:rsidRDefault="00C045C1" w:rsidP="00C045C1">
            <w:pPr>
              <w:pStyle w:val="TableText"/>
              <w:rPr>
                <w:rFonts w:eastAsia="Symbol"/>
              </w:rPr>
            </w:pPr>
            <w:r>
              <w:t>No</w:t>
            </w:r>
          </w:p>
        </w:tc>
      </w:tr>
      <w:tr w:rsidR="00C045C1">
        <w:tblPrEx>
          <w:tblCellMar>
            <w:top w:w="0" w:type="dxa"/>
            <w:bottom w:w="0" w:type="dxa"/>
          </w:tblCellMar>
        </w:tblPrEx>
        <w:trPr>
          <w:cantSplit/>
        </w:trPr>
        <w:tc>
          <w:tcPr>
            <w:tcW w:w="2988" w:type="dxa"/>
          </w:tcPr>
          <w:p w:rsidR="00C045C1" w:rsidRDefault="00C045C1" w:rsidP="00C045C1">
            <w:pPr>
              <w:pStyle w:val="TableText"/>
            </w:pPr>
            <w:r>
              <w:t>Expired unit selected</w:t>
            </w:r>
          </w:p>
        </w:tc>
        <w:tc>
          <w:tcPr>
            <w:tcW w:w="1620" w:type="dxa"/>
          </w:tcPr>
          <w:p w:rsidR="00C045C1" w:rsidRDefault="00C045C1" w:rsidP="00C045C1">
            <w:pPr>
              <w:pStyle w:val="TableText"/>
            </w:pPr>
            <w:r>
              <w:rPr>
                <w:u w:val="single"/>
              </w:rPr>
              <w:t>&gt;</w:t>
            </w:r>
            <w:r>
              <w:t xml:space="preserve"> Enhanced Tech</w:t>
            </w:r>
          </w:p>
        </w:tc>
        <w:tc>
          <w:tcPr>
            <w:tcW w:w="2520" w:type="dxa"/>
          </w:tcPr>
          <w:p w:rsidR="00C045C1" w:rsidRDefault="00C045C1" w:rsidP="00C045C1">
            <w:pPr>
              <w:pStyle w:val="TableText"/>
            </w:pPr>
            <w:r>
              <w:t>Select Unit</w:t>
            </w:r>
          </w:p>
        </w:tc>
        <w:tc>
          <w:tcPr>
            <w:tcW w:w="1080" w:type="dxa"/>
          </w:tcPr>
          <w:p w:rsidR="00C045C1" w:rsidRDefault="00C045C1" w:rsidP="00C045C1">
            <w:pPr>
              <w:pStyle w:val="TableText"/>
            </w:pPr>
            <w:r>
              <w:t>No</w:t>
            </w:r>
          </w:p>
        </w:tc>
        <w:tc>
          <w:tcPr>
            <w:tcW w:w="1152" w:type="dxa"/>
          </w:tcPr>
          <w:p w:rsidR="00C045C1" w:rsidRDefault="00C045C1" w:rsidP="00C045C1">
            <w:pPr>
              <w:pStyle w:val="TableText"/>
              <w:rPr>
                <w:rFonts w:eastAsia="Symbol"/>
              </w:rPr>
            </w:pPr>
            <w:r>
              <w:rPr>
                <w:rFonts w:eastAsia="Symbol"/>
              </w:rPr>
              <w:t>Yes</w:t>
            </w:r>
          </w:p>
        </w:tc>
      </w:tr>
      <w:tr w:rsidR="00C045C1">
        <w:tblPrEx>
          <w:tblCellMar>
            <w:top w:w="0" w:type="dxa"/>
            <w:bottom w:w="0" w:type="dxa"/>
          </w:tblCellMar>
        </w:tblPrEx>
        <w:trPr>
          <w:cantSplit/>
        </w:trPr>
        <w:tc>
          <w:tcPr>
            <w:tcW w:w="2988" w:type="dxa"/>
          </w:tcPr>
          <w:p w:rsidR="00C045C1" w:rsidRDefault="00C045C1" w:rsidP="00C045C1">
            <w:pPr>
              <w:pStyle w:val="TableText"/>
            </w:pPr>
            <w:r>
              <w:t>Final unit status or modification removed</w:t>
            </w:r>
          </w:p>
        </w:tc>
        <w:tc>
          <w:tcPr>
            <w:tcW w:w="1620" w:type="dxa"/>
          </w:tcPr>
          <w:p w:rsidR="00C045C1" w:rsidRDefault="00C045C1" w:rsidP="00C045C1">
            <w:pPr>
              <w:pStyle w:val="TableText"/>
            </w:pPr>
            <w:r>
              <w:rPr>
                <w:u w:val="single"/>
              </w:rPr>
              <w:t>&gt;</w:t>
            </w:r>
            <w:r>
              <w:t xml:space="preserve"> Traditional Supervisor</w:t>
            </w:r>
          </w:p>
        </w:tc>
        <w:tc>
          <w:tcPr>
            <w:tcW w:w="2520" w:type="dxa"/>
          </w:tcPr>
          <w:p w:rsidR="00C045C1" w:rsidRDefault="00C045C1" w:rsidP="00C045C1">
            <w:pPr>
              <w:pStyle w:val="TableText"/>
            </w:pPr>
            <w:r>
              <w:t>Remove Final Status</w:t>
            </w:r>
          </w:p>
        </w:tc>
        <w:tc>
          <w:tcPr>
            <w:tcW w:w="1080" w:type="dxa"/>
          </w:tcPr>
          <w:p w:rsidR="00C045C1" w:rsidRDefault="00C045C1" w:rsidP="00C045C1">
            <w:pPr>
              <w:pStyle w:val="TableText"/>
            </w:pPr>
            <w:r>
              <w:t>Yes</w:t>
            </w:r>
          </w:p>
        </w:tc>
        <w:tc>
          <w:tcPr>
            <w:tcW w:w="1152" w:type="dxa"/>
          </w:tcPr>
          <w:p w:rsidR="00C045C1" w:rsidRDefault="00C045C1" w:rsidP="00C045C1">
            <w:pPr>
              <w:pStyle w:val="TableText"/>
              <w:rPr>
                <w:rFonts w:eastAsia="Symbol"/>
              </w:rPr>
            </w:pPr>
            <w:r>
              <w:rPr>
                <w:rFonts w:eastAsia="Symbol"/>
              </w:rPr>
              <w:t>No</w:t>
            </w:r>
          </w:p>
        </w:tc>
      </w:tr>
      <w:tr w:rsidR="00C045C1">
        <w:tblPrEx>
          <w:tblCellMar>
            <w:top w:w="0" w:type="dxa"/>
            <w:bottom w:w="0" w:type="dxa"/>
          </w:tblCellMar>
        </w:tblPrEx>
        <w:trPr>
          <w:cantSplit/>
        </w:trPr>
        <w:tc>
          <w:tcPr>
            <w:tcW w:w="2988" w:type="dxa"/>
          </w:tcPr>
          <w:p w:rsidR="00C045C1" w:rsidRPr="002C66CF" w:rsidRDefault="00C045C1" w:rsidP="00C045C1">
            <w:pPr>
              <w:pStyle w:val="TableText"/>
            </w:pPr>
            <w:r w:rsidRPr="002C66CF">
              <w:t xml:space="preserve">Inconclusive </w:t>
            </w:r>
            <w:r>
              <w:t>c</w:t>
            </w:r>
            <w:r w:rsidRPr="002C66CF">
              <w:t>rossmatch</w:t>
            </w:r>
          </w:p>
        </w:tc>
        <w:tc>
          <w:tcPr>
            <w:tcW w:w="1620" w:type="dxa"/>
          </w:tcPr>
          <w:p w:rsidR="00C045C1" w:rsidRPr="002C66CF" w:rsidRDefault="00C045C1" w:rsidP="00C045C1">
            <w:pPr>
              <w:pStyle w:val="TableText"/>
            </w:pPr>
            <w:r>
              <w:t>All</w:t>
            </w:r>
          </w:p>
        </w:tc>
        <w:tc>
          <w:tcPr>
            <w:tcW w:w="2520" w:type="dxa"/>
          </w:tcPr>
          <w:p w:rsidR="00C045C1" w:rsidRPr="002C66CF" w:rsidRDefault="00C045C1" w:rsidP="00C045C1">
            <w:pPr>
              <w:pStyle w:val="TableText"/>
            </w:pPr>
            <w:r>
              <w:t>Patient Testing, serologic crossmatch grid</w:t>
            </w:r>
          </w:p>
        </w:tc>
        <w:tc>
          <w:tcPr>
            <w:tcW w:w="1080" w:type="dxa"/>
          </w:tcPr>
          <w:p w:rsidR="00C045C1" w:rsidRDefault="00C045C1" w:rsidP="00C045C1">
            <w:pPr>
              <w:pStyle w:val="TableText"/>
            </w:pPr>
            <w:r>
              <w:t>No</w:t>
            </w:r>
          </w:p>
        </w:tc>
        <w:tc>
          <w:tcPr>
            <w:tcW w:w="1152" w:type="dxa"/>
          </w:tcPr>
          <w:p w:rsidR="00C045C1" w:rsidRDefault="00C045C1" w:rsidP="00C045C1">
            <w:pPr>
              <w:pStyle w:val="TableText"/>
            </w:pPr>
            <w:r>
              <w:rPr>
                <w:rFonts w:eastAsia="Symbol"/>
              </w:rPr>
              <w:t>Yes</w:t>
            </w:r>
          </w:p>
        </w:tc>
      </w:tr>
      <w:tr w:rsidR="00C045C1">
        <w:tblPrEx>
          <w:tblCellMar>
            <w:top w:w="0" w:type="dxa"/>
            <w:bottom w:w="0" w:type="dxa"/>
          </w:tblCellMar>
        </w:tblPrEx>
        <w:trPr>
          <w:cantSplit/>
        </w:trPr>
        <w:tc>
          <w:tcPr>
            <w:tcW w:w="2988" w:type="dxa"/>
          </w:tcPr>
          <w:p w:rsidR="00C045C1" w:rsidRDefault="00C045C1" w:rsidP="00C045C1">
            <w:pPr>
              <w:pStyle w:val="TableText"/>
            </w:pPr>
            <w:r>
              <w:t>Issued expired unit</w:t>
            </w:r>
          </w:p>
        </w:tc>
        <w:tc>
          <w:tcPr>
            <w:tcW w:w="1620" w:type="dxa"/>
          </w:tcPr>
          <w:p w:rsidR="00C045C1" w:rsidRDefault="00C045C1" w:rsidP="00C045C1">
            <w:pPr>
              <w:pStyle w:val="TableText"/>
            </w:pPr>
            <w:r>
              <w:rPr>
                <w:u w:val="single"/>
              </w:rPr>
              <w:t>&gt;</w:t>
            </w:r>
            <w:r>
              <w:t xml:space="preserve"> Enhanced Tech</w:t>
            </w:r>
          </w:p>
        </w:tc>
        <w:tc>
          <w:tcPr>
            <w:tcW w:w="2520" w:type="dxa"/>
          </w:tcPr>
          <w:p w:rsidR="00C045C1" w:rsidRDefault="00C045C1" w:rsidP="00C045C1">
            <w:pPr>
              <w:pStyle w:val="TableText"/>
            </w:pPr>
            <w:r>
              <w:t>Issue Blood</w:t>
            </w:r>
          </w:p>
        </w:tc>
        <w:tc>
          <w:tcPr>
            <w:tcW w:w="1080" w:type="dxa"/>
          </w:tcPr>
          <w:p w:rsidR="00C045C1" w:rsidRDefault="00C045C1" w:rsidP="00C045C1">
            <w:pPr>
              <w:pStyle w:val="TableText"/>
            </w:pPr>
            <w:r>
              <w:t>No</w:t>
            </w:r>
          </w:p>
        </w:tc>
        <w:tc>
          <w:tcPr>
            <w:tcW w:w="1152" w:type="dxa"/>
          </w:tcPr>
          <w:p w:rsidR="00C045C1" w:rsidRDefault="00C045C1" w:rsidP="00C045C1">
            <w:pPr>
              <w:pStyle w:val="TableText"/>
            </w:pPr>
            <w:r>
              <w:rPr>
                <w:rFonts w:eastAsia="Symbol"/>
              </w:rPr>
              <w:t>Yes</w:t>
            </w:r>
          </w:p>
        </w:tc>
      </w:tr>
      <w:tr w:rsidR="00C045C1">
        <w:tblPrEx>
          <w:tblCellMar>
            <w:top w:w="0" w:type="dxa"/>
            <w:bottom w:w="0" w:type="dxa"/>
          </w:tblCellMar>
        </w:tblPrEx>
        <w:trPr>
          <w:cantSplit/>
        </w:trPr>
        <w:tc>
          <w:tcPr>
            <w:tcW w:w="2988" w:type="dxa"/>
          </w:tcPr>
          <w:p w:rsidR="00C045C1" w:rsidRDefault="00C045C1" w:rsidP="00C045C1">
            <w:pPr>
              <w:pStyle w:val="TableText"/>
            </w:pPr>
            <w:r>
              <w:t>Less restrictive unit issued</w:t>
            </w:r>
          </w:p>
        </w:tc>
        <w:tc>
          <w:tcPr>
            <w:tcW w:w="1620" w:type="dxa"/>
          </w:tcPr>
          <w:p w:rsidR="00C045C1" w:rsidRDefault="00C045C1" w:rsidP="00C045C1">
            <w:pPr>
              <w:pStyle w:val="TableText"/>
            </w:pPr>
            <w:r>
              <w:t>All</w:t>
            </w:r>
          </w:p>
        </w:tc>
        <w:tc>
          <w:tcPr>
            <w:tcW w:w="2520" w:type="dxa"/>
          </w:tcPr>
          <w:p w:rsidR="00C045C1" w:rsidRDefault="00C045C1" w:rsidP="00C045C1">
            <w:pPr>
              <w:pStyle w:val="TableText"/>
            </w:pPr>
            <w:r>
              <w:t>Issue Blood</w:t>
            </w:r>
          </w:p>
        </w:tc>
        <w:tc>
          <w:tcPr>
            <w:tcW w:w="1080" w:type="dxa"/>
          </w:tcPr>
          <w:p w:rsidR="00C045C1" w:rsidRDefault="00C045C1" w:rsidP="00C045C1">
            <w:pPr>
              <w:pStyle w:val="TableText"/>
            </w:pPr>
            <w:r>
              <w:t>No</w:t>
            </w:r>
          </w:p>
        </w:tc>
        <w:tc>
          <w:tcPr>
            <w:tcW w:w="1152" w:type="dxa"/>
          </w:tcPr>
          <w:p w:rsidR="00C045C1" w:rsidRDefault="00C045C1" w:rsidP="00C045C1">
            <w:pPr>
              <w:pStyle w:val="TableText"/>
            </w:pPr>
            <w:r>
              <w:rPr>
                <w:rFonts w:eastAsia="Symbol"/>
              </w:rPr>
              <w:t>Yes</w:t>
            </w:r>
          </w:p>
        </w:tc>
      </w:tr>
      <w:tr w:rsidR="00C045C1">
        <w:tblPrEx>
          <w:tblCellMar>
            <w:top w:w="0" w:type="dxa"/>
            <w:bottom w:w="0" w:type="dxa"/>
          </w:tblCellMar>
        </w:tblPrEx>
        <w:trPr>
          <w:cantSplit/>
        </w:trPr>
        <w:tc>
          <w:tcPr>
            <w:tcW w:w="2988" w:type="dxa"/>
          </w:tcPr>
          <w:p w:rsidR="00C045C1" w:rsidRDefault="00C045C1" w:rsidP="00C045C1">
            <w:pPr>
              <w:pStyle w:val="TableText"/>
            </w:pPr>
            <w:r>
              <w:t>Less restrictive unit selected</w:t>
            </w:r>
          </w:p>
        </w:tc>
        <w:tc>
          <w:tcPr>
            <w:tcW w:w="1620" w:type="dxa"/>
          </w:tcPr>
          <w:p w:rsidR="00C045C1" w:rsidRDefault="00C045C1" w:rsidP="00C045C1">
            <w:pPr>
              <w:pStyle w:val="TableText"/>
            </w:pPr>
            <w:r>
              <w:t>All</w:t>
            </w:r>
          </w:p>
        </w:tc>
        <w:tc>
          <w:tcPr>
            <w:tcW w:w="2520" w:type="dxa"/>
          </w:tcPr>
          <w:p w:rsidR="00C045C1" w:rsidRDefault="00C045C1" w:rsidP="00C045C1">
            <w:pPr>
              <w:pStyle w:val="TableText"/>
            </w:pPr>
            <w:r>
              <w:t>Select Unit</w:t>
            </w:r>
          </w:p>
        </w:tc>
        <w:tc>
          <w:tcPr>
            <w:tcW w:w="1080" w:type="dxa"/>
          </w:tcPr>
          <w:p w:rsidR="00C045C1" w:rsidRDefault="00C045C1" w:rsidP="00C045C1">
            <w:pPr>
              <w:pStyle w:val="TableText"/>
            </w:pPr>
            <w:r>
              <w:t>No</w:t>
            </w:r>
          </w:p>
        </w:tc>
        <w:tc>
          <w:tcPr>
            <w:tcW w:w="1152" w:type="dxa"/>
          </w:tcPr>
          <w:p w:rsidR="00C045C1" w:rsidRDefault="00C045C1" w:rsidP="00C045C1">
            <w:pPr>
              <w:pStyle w:val="TableText"/>
            </w:pPr>
            <w:r>
              <w:rPr>
                <w:rFonts w:eastAsia="Symbol"/>
              </w:rPr>
              <w:t>Yes</w:t>
            </w:r>
          </w:p>
        </w:tc>
      </w:tr>
      <w:tr w:rsidR="00C045C1">
        <w:tblPrEx>
          <w:tblCellMar>
            <w:top w:w="0" w:type="dxa"/>
            <w:bottom w:w="0" w:type="dxa"/>
          </w:tblCellMar>
        </w:tblPrEx>
        <w:trPr>
          <w:cantSplit/>
        </w:trPr>
        <w:tc>
          <w:tcPr>
            <w:tcW w:w="2988" w:type="dxa"/>
          </w:tcPr>
          <w:p w:rsidR="00C045C1" w:rsidRDefault="00C045C1" w:rsidP="00C045C1">
            <w:pPr>
              <w:pStyle w:val="TableText"/>
              <w:rPr>
                <w:rFonts w:eastAsia="Symbol"/>
              </w:rPr>
            </w:pPr>
            <w:r>
              <w:t>Non-standard test procedure</w:t>
            </w:r>
          </w:p>
        </w:tc>
        <w:tc>
          <w:tcPr>
            <w:tcW w:w="1620" w:type="dxa"/>
          </w:tcPr>
          <w:p w:rsidR="00C045C1" w:rsidRDefault="00C045C1" w:rsidP="00C045C1">
            <w:pPr>
              <w:pStyle w:val="TableText"/>
              <w:rPr>
                <w:rFonts w:eastAsia="Symbol"/>
              </w:rPr>
            </w:pPr>
            <w:r>
              <w:rPr>
                <w:rFonts w:eastAsia="Symbol"/>
              </w:rPr>
              <w:t>All</w:t>
            </w:r>
          </w:p>
        </w:tc>
        <w:tc>
          <w:tcPr>
            <w:tcW w:w="2520" w:type="dxa"/>
          </w:tcPr>
          <w:p w:rsidR="00C045C1" w:rsidRDefault="00C045C1" w:rsidP="00C045C1">
            <w:pPr>
              <w:pStyle w:val="TableText"/>
              <w:rPr>
                <w:rFonts w:eastAsia="Symbol"/>
              </w:rPr>
            </w:pPr>
            <w:r>
              <w:rPr>
                <w:rFonts w:eastAsia="Symbol"/>
              </w:rPr>
              <w:t>Patient Testing, Antibody screen, serologic crossmatch</w:t>
            </w:r>
          </w:p>
        </w:tc>
        <w:tc>
          <w:tcPr>
            <w:tcW w:w="1080" w:type="dxa"/>
          </w:tcPr>
          <w:p w:rsidR="00C045C1" w:rsidRDefault="00C045C1" w:rsidP="00C045C1">
            <w:pPr>
              <w:pStyle w:val="TableText"/>
              <w:rPr>
                <w:rFonts w:eastAsia="Symbol"/>
              </w:rPr>
            </w:pPr>
            <w:r>
              <w:t>No</w:t>
            </w:r>
          </w:p>
        </w:tc>
        <w:tc>
          <w:tcPr>
            <w:tcW w:w="1152" w:type="dxa"/>
          </w:tcPr>
          <w:p w:rsidR="00C045C1" w:rsidRDefault="00C045C1" w:rsidP="00C045C1">
            <w:pPr>
              <w:pStyle w:val="TableText"/>
              <w:rPr>
                <w:rFonts w:eastAsia="Symbol"/>
              </w:rPr>
            </w:pPr>
            <w:r>
              <w:rPr>
                <w:rFonts w:eastAsia="Symbol"/>
              </w:rPr>
              <w:t>Yes</w:t>
            </w:r>
          </w:p>
        </w:tc>
      </w:tr>
      <w:tr w:rsidR="00C045C1">
        <w:tblPrEx>
          <w:tblCellMar>
            <w:top w:w="0" w:type="dxa"/>
            <w:bottom w:w="0" w:type="dxa"/>
          </w:tblCellMar>
        </w:tblPrEx>
        <w:trPr>
          <w:cantSplit/>
        </w:trPr>
        <w:tc>
          <w:tcPr>
            <w:tcW w:w="2988" w:type="dxa"/>
          </w:tcPr>
          <w:p w:rsidR="00C045C1" w:rsidRDefault="00C045C1" w:rsidP="00C045C1">
            <w:pPr>
              <w:pStyle w:val="TableText"/>
              <w:rPr>
                <w:rFonts w:eastAsia="Symbol"/>
              </w:rPr>
            </w:pPr>
            <w:r>
              <w:t>(Patient) ABO/Rh discrepancy</w:t>
            </w:r>
          </w:p>
        </w:tc>
        <w:tc>
          <w:tcPr>
            <w:tcW w:w="1620" w:type="dxa"/>
          </w:tcPr>
          <w:p w:rsidR="00C045C1" w:rsidRDefault="00C045C1" w:rsidP="00C045C1">
            <w:pPr>
              <w:pStyle w:val="TableText"/>
              <w:rPr>
                <w:rFonts w:eastAsia="Symbol"/>
              </w:rPr>
            </w:pPr>
            <w:r>
              <w:rPr>
                <w:rFonts w:eastAsia="Symbol"/>
              </w:rPr>
              <w:t>All</w:t>
            </w:r>
          </w:p>
        </w:tc>
        <w:tc>
          <w:tcPr>
            <w:tcW w:w="2520" w:type="dxa"/>
          </w:tcPr>
          <w:p w:rsidR="00C045C1" w:rsidRDefault="00C045C1" w:rsidP="00C045C1">
            <w:pPr>
              <w:pStyle w:val="TableText"/>
              <w:rPr>
                <w:rFonts w:eastAsia="Symbol"/>
              </w:rPr>
            </w:pPr>
            <w:r>
              <w:rPr>
                <w:rFonts w:eastAsia="Symbol"/>
              </w:rPr>
              <w:t>Patient testing, ABO/Rh test</w:t>
            </w:r>
          </w:p>
        </w:tc>
        <w:tc>
          <w:tcPr>
            <w:tcW w:w="1080" w:type="dxa"/>
          </w:tcPr>
          <w:p w:rsidR="00C045C1" w:rsidRDefault="00C045C1" w:rsidP="00C045C1">
            <w:pPr>
              <w:pStyle w:val="TableText"/>
              <w:rPr>
                <w:rFonts w:eastAsia="Symbol"/>
              </w:rPr>
            </w:pPr>
            <w:r>
              <w:t>No</w:t>
            </w:r>
          </w:p>
        </w:tc>
        <w:tc>
          <w:tcPr>
            <w:tcW w:w="1152" w:type="dxa"/>
          </w:tcPr>
          <w:p w:rsidR="00C045C1" w:rsidRDefault="00C045C1" w:rsidP="00C045C1">
            <w:pPr>
              <w:pStyle w:val="TableText"/>
              <w:rPr>
                <w:rFonts w:eastAsia="Symbol"/>
              </w:rPr>
            </w:pPr>
            <w:r>
              <w:rPr>
                <w:rFonts w:eastAsia="Symbol"/>
              </w:rPr>
              <w:t>Yes</w:t>
            </w:r>
          </w:p>
        </w:tc>
      </w:tr>
      <w:tr w:rsidR="00C045C1">
        <w:tblPrEx>
          <w:tblCellMar>
            <w:top w:w="0" w:type="dxa"/>
            <w:bottom w:w="0" w:type="dxa"/>
          </w:tblCellMar>
        </w:tblPrEx>
        <w:trPr>
          <w:cantSplit/>
        </w:trPr>
        <w:tc>
          <w:tcPr>
            <w:tcW w:w="2988" w:type="dxa"/>
          </w:tcPr>
          <w:p w:rsidR="00C045C1" w:rsidRDefault="00C045C1" w:rsidP="00C045C1">
            <w:pPr>
              <w:pStyle w:val="TableText"/>
              <w:rPr>
                <w:rFonts w:eastAsia="Symbol"/>
              </w:rPr>
            </w:pPr>
            <w:r>
              <w:t>Previously recorded results inactivated</w:t>
            </w:r>
          </w:p>
        </w:tc>
        <w:tc>
          <w:tcPr>
            <w:tcW w:w="1620" w:type="dxa"/>
          </w:tcPr>
          <w:p w:rsidR="00C045C1" w:rsidRPr="0095633D" w:rsidRDefault="00C045C1" w:rsidP="00C045C1">
            <w:pPr>
              <w:rPr>
                <w:rFonts w:ascii="Arial" w:hAnsi="Arial" w:cs="Arial"/>
                <w:sz w:val="18"/>
                <w:szCs w:val="18"/>
              </w:rPr>
            </w:pPr>
            <w:r w:rsidRPr="0095633D">
              <w:rPr>
                <w:rFonts w:ascii="Arial" w:eastAsia="Symbol" w:hAnsi="Arial" w:cs="Arial"/>
                <w:sz w:val="18"/>
                <w:szCs w:val="18"/>
              </w:rPr>
              <w:t>All</w:t>
            </w:r>
          </w:p>
        </w:tc>
        <w:tc>
          <w:tcPr>
            <w:tcW w:w="2520" w:type="dxa"/>
          </w:tcPr>
          <w:p w:rsidR="00C045C1" w:rsidRDefault="00C045C1" w:rsidP="00C045C1">
            <w:pPr>
              <w:pStyle w:val="TableText"/>
              <w:rPr>
                <w:rFonts w:eastAsia="Symbol"/>
              </w:rPr>
            </w:pPr>
            <w:r>
              <w:rPr>
                <w:rFonts w:eastAsia="Symbol"/>
              </w:rPr>
              <w:t>All testing grids where the red x is used to clear a grid.</w:t>
            </w:r>
          </w:p>
        </w:tc>
        <w:tc>
          <w:tcPr>
            <w:tcW w:w="1080" w:type="dxa"/>
          </w:tcPr>
          <w:p w:rsidR="00C045C1" w:rsidRDefault="00C045C1" w:rsidP="00C045C1">
            <w:pPr>
              <w:pStyle w:val="TableText"/>
              <w:rPr>
                <w:rFonts w:eastAsia="Symbol"/>
              </w:rPr>
            </w:pPr>
            <w:r>
              <w:t>No</w:t>
            </w:r>
          </w:p>
        </w:tc>
        <w:tc>
          <w:tcPr>
            <w:tcW w:w="1152" w:type="dxa"/>
          </w:tcPr>
          <w:p w:rsidR="00C045C1" w:rsidRDefault="00C045C1" w:rsidP="00C045C1">
            <w:pPr>
              <w:pStyle w:val="TableText"/>
              <w:rPr>
                <w:rFonts w:eastAsia="Symbol"/>
              </w:rPr>
            </w:pPr>
            <w:r>
              <w:rPr>
                <w:rFonts w:eastAsia="Symbol"/>
              </w:rPr>
              <w:t>Yes</w:t>
            </w:r>
          </w:p>
        </w:tc>
      </w:tr>
      <w:tr w:rsidR="00C045C1">
        <w:tblPrEx>
          <w:tblCellMar>
            <w:top w:w="0" w:type="dxa"/>
            <w:bottom w:w="0" w:type="dxa"/>
          </w:tblCellMar>
        </w:tblPrEx>
        <w:trPr>
          <w:cantSplit/>
        </w:trPr>
        <w:tc>
          <w:tcPr>
            <w:tcW w:w="2988" w:type="dxa"/>
          </w:tcPr>
          <w:p w:rsidR="00C045C1" w:rsidRDefault="00C045C1" w:rsidP="00C045C1">
            <w:pPr>
              <w:pStyle w:val="TableText"/>
            </w:pPr>
            <w:r>
              <w:t>Previously recorded results invalidated</w:t>
            </w:r>
          </w:p>
        </w:tc>
        <w:tc>
          <w:tcPr>
            <w:tcW w:w="1620" w:type="dxa"/>
          </w:tcPr>
          <w:p w:rsidR="00C045C1" w:rsidRPr="0095633D" w:rsidRDefault="00C045C1" w:rsidP="00C045C1">
            <w:pPr>
              <w:rPr>
                <w:rFonts w:ascii="Arial" w:hAnsi="Arial" w:cs="Arial"/>
                <w:sz w:val="18"/>
                <w:szCs w:val="18"/>
              </w:rPr>
            </w:pPr>
            <w:r w:rsidRPr="0095633D">
              <w:rPr>
                <w:rFonts w:ascii="Arial" w:eastAsia="Symbol" w:hAnsi="Arial" w:cs="Arial"/>
                <w:sz w:val="18"/>
                <w:szCs w:val="18"/>
              </w:rPr>
              <w:t>All</w:t>
            </w:r>
          </w:p>
        </w:tc>
        <w:tc>
          <w:tcPr>
            <w:tcW w:w="2520" w:type="dxa"/>
          </w:tcPr>
          <w:p w:rsidR="00C045C1" w:rsidRDefault="00C045C1" w:rsidP="00C045C1">
            <w:pPr>
              <w:pStyle w:val="TableText"/>
            </w:pPr>
            <w:r>
              <w:rPr>
                <w:rFonts w:eastAsia="Symbol"/>
              </w:rPr>
              <w:t>Invalidate Patient Testing</w:t>
            </w:r>
          </w:p>
        </w:tc>
        <w:tc>
          <w:tcPr>
            <w:tcW w:w="1080" w:type="dxa"/>
          </w:tcPr>
          <w:p w:rsidR="00C045C1" w:rsidRDefault="00C045C1" w:rsidP="00C045C1">
            <w:pPr>
              <w:pStyle w:val="TableText"/>
              <w:rPr>
                <w:rFonts w:eastAsia="Symbol"/>
              </w:rPr>
            </w:pPr>
            <w:r>
              <w:rPr>
                <w:rFonts w:eastAsia="Symbol"/>
              </w:rPr>
              <w:t xml:space="preserve">Yes </w:t>
            </w:r>
          </w:p>
        </w:tc>
        <w:tc>
          <w:tcPr>
            <w:tcW w:w="1152" w:type="dxa"/>
          </w:tcPr>
          <w:p w:rsidR="00C045C1" w:rsidRDefault="00C045C1" w:rsidP="00C045C1">
            <w:pPr>
              <w:pStyle w:val="TableText"/>
              <w:rPr>
                <w:rFonts w:eastAsia="Symbol"/>
              </w:rPr>
            </w:pPr>
            <w:r>
              <w:t>No</w:t>
            </w:r>
          </w:p>
        </w:tc>
      </w:tr>
      <w:tr w:rsidR="00C045C1">
        <w:tblPrEx>
          <w:tblCellMar>
            <w:top w:w="0" w:type="dxa"/>
            <w:bottom w:w="0" w:type="dxa"/>
          </w:tblCellMar>
        </w:tblPrEx>
        <w:trPr>
          <w:cantSplit/>
        </w:trPr>
        <w:tc>
          <w:tcPr>
            <w:tcW w:w="2988" w:type="dxa"/>
          </w:tcPr>
          <w:p w:rsidR="00C045C1" w:rsidRDefault="00C045C1" w:rsidP="00C045C1">
            <w:pPr>
              <w:pStyle w:val="TableText"/>
              <w:rPr>
                <w:rFonts w:eastAsia="Symbol"/>
              </w:rPr>
            </w:pPr>
            <w:r>
              <w:t xml:space="preserve">QC decrease reagent reactivity </w:t>
            </w:r>
            <w:r w:rsidRPr="004D0684">
              <w:rPr>
                <w:rStyle w:val="Char"/>
                <w:sz w:val="18"/>
                <w:szCs w:val="18"/>
              </w:rPr>
              <w:t>≥2</w:t>
            </w:r>
          </w:p>
        </w:tc>
        <w:tc>
          <w:tcPr>
            <w:tcW w:w="1620" w:type="dxa"/>
          </w:tcPr>
          <w:p w:rsidR="00C045C1" w:rsidRDefault="00C045C1" w:rsidP="00C045C1">
            <w:pPr>
              <w:pStyle w:val="TableText"/>
              <w:rPr>
                <w:rFonts w:eastAsia="Symbol"/>
              </w:rPr>
            </w:pPr>
            <w:r>
              <w:rPr>
                <w:rFonts w:eastAsia="Symbol"/>
              </w:rPr>
              <w:t>All</w:t>
            </w:r>
          </w:p>
        </w:tc>
        <w:tc>
          <w:tcPr>
            <w:tcW w:w="2520" w:type="dxa"/>
          </w:tcPr>
          <w:p w:rsidR="00C045C1" w:rsidRDefault="00C045C1" w:rsidP="00C045C1">
            <w:pPr>
              <w:pStyle w:val="TableText"/>
              <w:rPr>
                <w:rFonts w:eastAsia="Symbol"/>
              </w:rPr>
            </w:pPr>
            <w:r>
              <w:rPr>
                <w:rFonts w:eastAsia="Symbol"/>
              </w:rPr>
              <w:t>All testing where Rack is selected</w:t>
            </w:r>
          </w:p>
        </w:tc>
        <w:tc>
          <w:tcPr>
            <w:tcW w:w="1080" w:type="dxa"/>
          </w:tcPr>
          <w:p w:rsidR="00C045C1" w:rsidRDefault="00C045C1" w:rsidP="00C045C1">
            <w:pPr>
              <w:pStyle w:val="TableText"/>
              <w:rPr>
                <w:rFonts w:eastAsia="Symbol"/>
              </w:rPr>
            </w:pPr>
            <w:r>
              <w:t>No</w:t>
            </w:r>
          </w:p>
        </w:tc>
        <w:tc>
          <w:tcPr>
            <w:tcW w:w="1152" w:type="dxa"/>
          </w:tcPr>
          <w:p w:rsidR="00C045C1" w:rsidRDefault="00C045C1" w:rsidP="00C045C1">
            <w:pPr>
              <w:pStyle w:val="TableText"/>
              <w:rPr>
                <w:rFonts w:eastAsia="Symbol"/>
              </w:rPr>
            </w:pPr>
            <w:r>
              <w:t>No</w:t>
            </w:r>
          </w:p>
        </w:tc>
      </w:tr>
      <w:tr w:rsidR="00C045C1">
        <w:tblPrEx>
          <w:tblCellMar>
            <w:top w:w="0" w:type="dxa"/>
            <w:bottom w:w="0" w:type="dxa"/>
          </w:tblCellMar>
        </w:tblPrEx>
        <w:trPr>
          <w:cantSplit/>
        </w:trPr>
        <w:tc>
          <w:tcPr>
            <w:tcW w:w="2988" w:type="dxa"/>
          </w:tcPr>
          <w:p w:rsidR="00C045C1" w:rsidRDefault="00C045C1" w:rsidP="00C045C1">
            <w:pPr>
              <w:pStyle w:val="TableText"/>
              <w:rPr>
                <w:rFonts w:eastAsia="Symbol"/>
              </w:rPr>
            </w:pPr>
            <w:r>
              <w:t>QC not performed on rack used for testing</w:t>
            </w:r>
          </w:p>
        </w:tc>
        <w:tc>
          <w:tcPr>
            <w:tcW w:w="1620" w:type="dxa"/>
          </w:tcPr>
          <w:p w:rsidR="00C045C1" w:rsidRDefault="00C045C1" w:rsidP="00C045C1">
            <w:pPr>
              <w:pStyle w:val="TableText"/>
              <w:rPr>
                <w:rFonts w:eastAsia="Symbol"/>
              </w:rPr>
            </w:pPr>
            <w:r>
              <w:rPr>
                <w:rFonts w:eastAsia="Symbol"/>
              </w:rPr>
              <w:t>All</w:t>
            </w:r>
          </w:p>
        </w:tc>
        <w:tc>
          <w:tcPr>
            <w:tcW w:w="2520" w:type="dxa"/>
          </w:tcPr>
          <w:p w:rsidR="00C045C1" w:rsidRDefault="00C045C1" w:rsidP="00C045C1">
            <w:pPr>
              <w:pStyle w:val="TableText"/>
              <w:rPr>
                <w:rFonts w:eastAsia="Symbol"/>
              </w:rPr>
            </w:pPr>
            <w:r>
              <w:rPr>
                <w:rFonts w:eastAsia="Symbol"/>
              </w:rPr>
              <w:t>All testing where Rack is selected</w:t>
            </w:r>
          </w:p>
        </w:tc>
        <w:tc>
          <w:tcPr>
            <w:tcW w:w="1080" w:type="dxa"/>
          </w:tcPr>
          <w:p w:rsidR="00C045C1" w:rsidRDefault="00C045C1" w:rsidP="00C045C1">
            <w:pPr>
              <w:pStyle w:val="TableText"/>
              <w:rPr>
                <w:rFonts w:eastAsia="Symbol"/>
              </w:rPr>
            </w:pPr>
            <w:r>
              <w:t>No</w:t>
            </w:r>
          </w:p>
        </w:tc>
        <w:tc>
          <w:tcPr>
            <w:tcW w:w="1152" w:type="dxa"/>
          </w:tcPr>
          <w:p w:rsidR="00C045C1" w:rsidRDefault="00C045C1" w:rsidP="00C045C1">
            <w:pPr>
              <w:pStyle w:val="TableText"/>
              <w:rPr>
                <w:rFonts w:eastAsia="Symbol"/>
              </w:rPr>
            </w:pPr>
            <w:r>
              <w:rPr>
                <w:rFonts w:eastAsia="Symbol"/>
              </w:rPr>
              <w:t>Yes</w:t>
            </w:r>
          </w:p>
        </w:tc>
      </w:tr>
      <w:tr w:rsidR="00C045C1">
        <w:tblPrEx>
          <w:tblCellMar>
            <w:top w:w="0" w:type="dxa"/>
            <w:bottom w:w="0" w:type="dxa"/>
          </w:tblCellMar>
        </w:tblPrEx>
        <w:trPr>
          <w:cantSplit/>
        </w:trPr>
        <w:tc>
          <w:tcPr>
            <w:tcW w:w="2988" w:type="dxa"/>
          </w:tcPr>
          <w:p w:rsidR="00C045C1" w:rsidRDefault="00C045C1" w:rsidP="00C045C1">
            <w:pPr>
              <w:pStyle w:val="TableText"/>
              <w:rPr>
                <w:rFonts w:eastAsia="Symbol"/>
              </w:rPr>
            </w:pPr>
            <w:r>
              <w:t>Reflex test ordered on expired specimen</w:t>
            </w:r>
          </w:p>
        </w:tc>
        <w:tc>
          <w:tcPr>
            <w:tcW w:w="1620" w:type="dxa"/>
          </w:tcPr>
          <w:p w:rsidR="00C045C1" w:rsidRDefault="00C045C1" w:rsidP="00C045C1">
            <w:pPr>
              <w:pStyle w:val="TableText"/>
              <w:rPr>
                <w:rFonts w:eastAsia="Symbol"/>
              </w:rPr>
            </w:pPr>
            <w:r>
              <w:rPr>
                <w:rFonts w:eastAsia="Symbol"/>
              </w:rPr>
              <w:t>All</w:t>
            </w:r>
          </w:p>
        </w:tc>
        <w:tc>
          <w:tcPr>
            <w:tcW w:w="2520" w:type="dxa"/>
          </w:tcPr>
          <w:p w:rsidR="00C045C1" w:rsidRDefault="00C045C1" w:rsidP="00C045C1">
            <w:pPr>
              <w:pStyle w:val="TableText"/>
              <w:rPr>
                <w:rFonts w:eastAsia="Symbol"/>
              </w:rPr>
            </w:pPr>
            <w:r>
              <w:rPr>
                <w:rFonts w:eastAsia="Symbol"/>
              </w:rPr>
              <w:t>Order Reflex Test</w:t>
            </w:r>
          </w:p>
        </w:tc>
        <w:tc>
          <w:tcPr>
            <w:tcW w:w="1080" w:type="dxa"/>
          </w:tcPr>
          <w:p w:rsidR="00C045C1" w:rsidRDefault="00C045C1" w:rsidP="00C045C1">
            <w:pPr>
              <w:pStyle w:val="TableText"/>
              <w:rPr>
                <w:rFonts w:eastAsia="Symbol"/>
              </w:rPr>
            </w:pPr>
            <w:r>
              <w:t>No</w:t>
            </w:r>
          </w:p>
        </w:tc>
        <w:tc>
          <w:tcPr>
            <w:tcW w:w="1152" w:type="dxa"/>
          </w:tcPr>
          <w:p w:rsidR="00C045C1" w:rsidRDefault="00C045C1" w:rsidP="00C045C1">
            <w:pPr>
              <w:pStyle w:val="TableText"/>
              <w:rPr>
                <w:rFonts w:eastAsia="Symbol"/>
              </w:rPr>
            </w:pPr>
            <w:r>
              <w:rPr>
                <w:rFonts w:eastAsia="Symbol"/>
              </w:rPr>
              <w:t>Yes</w:t>
            </w:r>
          </w:p>
        </w:tc>
      </w:tr>
      <w:tr w:rsidR="00C045C1">
        <w:tblPrEx>
          <w:tblCellMar>
            <w:top w:w="0" w:type="dxa"/>
            <w:bottom w:w="0" w:type="dxa"/>
          </w:tblCellMar>
        </w:tblPrEx>
        <w:trPr>
          <w:cantSplit/>
        </w:trPr>
        <w:tc>
          <w:tcPr>
            <w:tcW w:w="2988" w:type="dxa"/>
          </w:tcPr>
          <w:p w:rsidR="00C045C1" w:rsidRDefault="00C045C1" w:rsidP="00C045C1">
            <w:pPr>
              <w:pStyle w:val="TableText"/>
            </w:pPr>
            <w:r>
              <w:t>Released patient restriction</w:t>
            </w:r>
          </w:p>
        </w:tc>
        <w:tc>
          <w:tcPr>
            <w:tcW w:w="1620" w:type="dxa"/>
          </w:tcPr>
          <w:p w:rsidR="00C045C1" w:rsidRDefault="00C045C1" w:rsidP="00C045C1">
            <w:pPr>
              <w:pStyle w:val="TableText"/>
            </w:pPr>
            <w:r>
              <w:rPr>
                <w:u w:val="single"/>
              </w:rPr>
              <w:t>&gt;</w:t>
            </w:r>
            <w:r>
              <w:t xml:space="preserve"> Enhanced Tech</w:t>
            </w:r>
          </w:p>
        </w:tc>
        <w:tc>
          <w:tcPr>
            <w:tcW w:w="2520" w:type="dxa"/>
          </w:tcPr>
          <w:p w:rsidR="00C045C1" w:rsidRDefault="00C045C1" w:rsidP="00C045C1">
            <w:pPr>
              <w:pStyle w:val="TableText"/>
            </w:pPr>
            <w:r>
              <w:t>Free Directed Donor</w:t>
            </w:r>
          </w:p>
        </w:tc>
        <w:tc>
          <w:tcPr>
            <w:tcW w:w="1080" w:type="dxa"/>
          </w:tcPr>
          <w:p w:rsidR="00C045C1" w:rsidRDefault="00C045C1" w:rsidP="00C045C1">
            <w:pPr>
              <w:pStyle w:val="TableText"/>
            </w:pPr>
            <w:r>
              <w:t>No</w:t>
            </w:r>
          </w:p>
        </w:tc>
        <w:tc>
          <w:tcPr>
            <w:tcW w:w="1152" w:type="dxa"/>
          </w:tcPr>
          <w:p w:rsidR="00C045C1" w:rsidRDefault="00C045C1" w:rsidP="00C045C1">
            <w:pPr>
              <w:pStyle w:val="TableText"/>
            </w:pPr>
            <w:r>
              <w:rPr>
                <w:rFonts w:eastAsia="Symbol"/>
              </w:rPr>
              <w:t>Yes</w:t>
            </w:r>
          </w:p>
        </w:tc>
      </w:tr>
      <w:tr w:rsidR="00C045C1">
        <w:tblPrEx>
          <w:tblCellMar>
            <w:top w:w="0" w:type="dxa"/>
            <w:bottom w:w="0" w:type="dxa"/>
          </w:tblCellMar>
        </w:tblPrEx>
        <w:trPr>
          <w:cantSplit/>
        </w:trPr>
        <w:tc>
          <w:tcPr>
            <w:tcW w:w="2988" w:type="dxa"/>
          </w:tcPr>
          <w:p w:rsidR="00C045C1" w:rsidRDefault="00C045C1" w:rsidP="00C045C1">
            <w:pPr>
              <w:pStyle w:val="TableText"/>
              <w:rPr>
                <w:rFonts w:eastAsia="Symbol"/>
              </w:rPr>
            </w:pPr>
            <w:r>
              <w:t>Retrospective update prior to last record update</w:t>
            </w:r>
          </w:p>
        </w:tc>
        <w:tc>
          <w:tcPr>
            <w:tcW w:w="1620" w:type="dxa"/>
          </w:tcPr>
          <w:p w:rsidR="00C045C1" w:rsidRDefault="00C045C1" w:rsidP="00C045C1">
            <w:pPr>
              <w:pStyle w:val="TableText"/>
              <w:rPr>
                <w:rFonts w:eastAsia="Symbol"/>
              </w:rPr>
            </w:pPr>
            <w:r>
              <w:rPr>
                <w:u w:val="single"/>
              </w:rPr>
              <w:t>&gt;</w:t>
            </w:r>
            <w:r>
              <w:t xml:space="preserve"> Lead Tech</w:t>
            </w:r>
          </w:p>
        </w:tc>
        <w:tc>
          <w:tcPr>
            <w:tcW w:w="2520" w:type="dxa"/>
          </w:tcPr>
          <w:p w:rsidR="00C045C1" w:rsidRDefault="00C045C1" w:rsidP="00C045C1">
            <w:pPr>
              <w:pStyle w:val="TableText"/>
              <w:rPr>
                <w:rFonts w:eastAsia="Symbol"/>
              </w:rPr>
            </w:pPr>
            <w:r>
              <w:rPr>
                <w:rFonts w:eastAsia="Symbol"/>
              </w:rPr>
              <w:t>Discard/Quarantine</w:t>
            </w:r>
          </w:p>
        </w:tc>
        <w:tc>
          <w:tcPr>
            <w:tcW w:w="1080" w:type="dxa"/>
          </w:tcPr>
          <w:p w:rsidR="00C045C1" w:rsidRDefault="00C045C1" w:rsidP="00C045C1">
            <w:pPr>
              <w:pStyle w:val="TableText"/>
              <w:rPr>
                <w:rFonts w:eastAsia="Symbol"/>
              </w:rPr>
            </w:pPr>
            <w:r>
              <w:rPr>
                <w:rFonts w:eastAsia="Symbol"/>
              </w:rPr>
              <w:t>Yes</w:t>
            </w:r>
          </w:p>
        </w:tc>
        <w:tc>
          <w:tcPr>
            <w:tcW w:w="1152" w:type="dxa"/>
          </w:tcPr>
          <w:p w:rsidR="00C045C1" w:rsidRDefault="00C045C1" w:rsidP="00C045C1">
            <w:pPr>
              <w:pStyle w:val="TableText"/>
              <w:rPr>
                <w:rFonts w:eastAsia="Symbol"/>
              </w:rPr>
            </w:pPr>
            <w:r>
              <w:t>No</w:t>
            </w:r>
          </w:p>
        </w:tc>
      </w:tr>
      <w:tr w:rsidR="00C045C1">
        <w:tblPrEx>
          <w:tblCellMar>
            <w:top w:w="0" w:type="dxa"/>
            <w:bottom w:w="0" w:type="dxa"/>
          </w:tblCellMar>
        </w:tblPrEx>
        <w:trPr>
          <w:cantSplit/>
        </w:trPr>
        <w:tc>
          <w:tcPr>
            <w:tcW w:w="2988" w:type="dxa"/>
          </w:tcPr>
          <w:p w:rsidR="00C045C1" w:rsidRDefault="00C045C1" w:rsidP="00C045C1">
            <w:pPr>
              <w:pStyle w:val="TableText"/>
            </w:pPr>
            <w:r>
              <w:t xml:space="preserve">Rh positive units selected </w:t>
            </w:r>
          </w:p>
        </w:tc>
        <w:tc>
          <w:tcPr>
            <w:tcW w:w="1620" w:type="dxa"/>
          </w:tcPr>
          <w:p w:rsidR="00C045C1" w:rsidRDefault="00C045C1" w:rsidP="00C045C1">
            <w:pPr>
              <w:pStyle w:val="TableText"/>
            </w:pPr>
            <w:r>
              <w:rPr>
                <w:rFonts w:eastAsia="Symbol"/>
              </w:rPr>
              <w:t>All</w:t>
            </w:r>
          </w:p>
        </w:tc>
        <w:tc>
          <w:tcPr>
            <w:tcW w:w="2520" w:type="dxa"/>
          </w:tcPr>
          <w:p w:rsidR="00C045C1" w:rsidRDefault="00C045C1" w:rsidP="00C045C1">
            <w:pPr>
              <w:pStyle w:val="TableText"/>
            </w:pPr>
            <w:r>
              <w:t>Select Units</w:t>
            </w:r>
          </w:p>
        </w:tc>
        <w:tc>
          <w:tcPr>
            <w:tcW w:w="1080" w:type="dxa"/>
          </w:tcPr>
          <w:p w:rsidR="00C045C1" w:rsidRDefault="00C045C1" w:rsidP="00C045C1">
            <w:pPr>
              <w:pStyle w:val="TableText"/>
            </w:pPr>
            <w:r>
              <w:t>No</w:t>
            </w:r>
          </w:p>
        </w:tc>
        <w:tc>
          <w:tcPr>
            <w:tcW w:w="1152" w:type="dxa"/>
          </w:tcPr>
          <w:p w:rsidR="00C045C1" w:rsidRDefault="00C045C1" w:rsidP="00C045C1">
            <w:pPr>
              <w:pStyle w:val="TableText"/>
            </w:pPr>
            <w:r>
              <w:rPr>
                <w:rFonts w:eastAsia="Symbol"/>
              </w:rPr>
              <w:t>Yes</w:t>
            </w:r>
          </w:p>
        </w:tc>
      </w:tr>
      <w:tr w:rsidR="00C045C1">
        <w:tblPrEx>
          <w:tblCellMar>
            <w:top w:w="0" w:type="dxa"/>
            <w:bottom w:w="0" w:type="dxa"/>
          </w:tblCellMar>
        </w:tblPrEx>
        <w:trPr>
          <w:cantSplit/>
        </w:trPr>
        <w:tc>
          <w:tcPr>
            <w:tcW w:w="2988" w:type="dxa"/>
          </w:tcPr>
          <w:p w:rsidR="00C045C1" w:rsidRDefault="00C045C1" w:rsidP="00C045C1">
            <w:pPr>
              <w:pStyle w:val="TableText"/>
              <w:rPr>
                <w:rFonts w:eastAsia="Symbol"/>
              </w:rPr>
            </w:pPr>
            <w:r>
              <w:t>Specimen expiration date extended</w:t>
            </w:r>
          </w:p>
        </w:tc>
        <w:tc>
          <w:tcPr>
            <w:tcW w:w="1620" w:type="dxa"/>
          </w:tcPr>
          <w:p w:rsidR="00C045C1" w:rsidRDefault="00C045C1" w:rsidP="00C045C1">
            <w:pPr>
              <w:pStyle w:val="TableText"/>
              <w:rPr>
                <w:rFonts w:eastAsia="Symbol"/>
              </w:rPr>
            </w:pPr>
            <w:r>
              <w:rPr>
                <w:rFonts w:eastAsia="Symbol"/>
              </w:rPr>
              <w:t>All</w:t>
            </w:r>
          </w:p>
        </w:tc>
        <w:tc>
          <w:tcPr>
            <w:tcW w:w="2520" w:type="dxa"/>
          </w:tcPr>
          <w:p w:rsidR="00C045C1" w:rsidRDefault="00C045C1" w:rsidP="00C045C1">
            <w:pPr>
              <w:pStyle w:val="TableText"/>
              <w:rPr>
                <w:rFonts w:eastAsia="Symbol"/>
              </w:rPr>
            </w:pPr>
            <w:r>
              <w:rPr>
                <w:rFonts w:eastAsia="Symbol"/>
              </w:rPr>
              <w:t>Maintain Specimen</w:t>
            </w:r>
          </w:p>
        </w:tc>
        <w:tc>
          <w:tcPr>
            <w:tcW w:w="1080" w:type="dxa"/>
          </w:tcPr>
          <w:p w:rsidR="00C045C1" w:rsidRDefault="00C045C1" w:rsidP="00C045C1">
            <w:pPr>
              <w:pStyle w:val="TableText"/>
              <w:rPr>
                <w:rFonts w:eastAsia="Symbol"/>
              </w:rPr>
            </w:pPr>
            <w:r>
              <w:t>No</w:t>
            </w:r>
          </w:p>
        </w:tc>
        <w:tc>
          <w:tcPr>
            <w:tcW w:w="1152" w:type="dxa"/>
          </w:tcPr>
          <w:p w:rsidR="00C045C1" w:rsidRDefault="00C045C1" w:rsidP="00C045C1">
            <w:pPr>
              <w:pStyle w:val="TableText"/>
              <w:rPr>
                <w:rFonts w:eastAsia="Symbol"/>
              </w:rPr>
            </w:pPr>
            <w:r>
              <w:rPr>
                <w:rFonts w:eastAsia="Symbol"/>
              </w:rPr>
              <w:t>Yes</w:t>
            </w:r>
          </w:p>
        </w:tc>
      </w:tr>
      <w:tr w:rsidR="00C045C1">
        <w:tblPrEx>
          <w:tblCellMar>
            <w:top w:w="0" w:type="dxa"/>
            <w:bottom w:w="0" w:type="dxa"/>
          </w:tblCellMar>
        </w:tblPrEx>
        <w:trPr>
          <w:cantSplit/>
        </w:trPr>
        <w:tc>
          <w:tcPr>
            <w:tcW w:w="2988" w:type="dxa"/>
          </w:tcPr>
          <w:p w:rsidR="00C045C1" w:rsidRDefault="00C045C1" w:rsidP="00C045C1">
            <w:pPr>
              <w:pStyle w:val="TableText"/>
              <w:rPr>
                <w:rFonts w:eastAsia="Symbol"/>
              </w:rPr>
            </w:pPr>
            <w:r>
              <w:t>Target product label failed checks</w:t>
            </w:r>
          </w:p>
        </w:tc>
        <w:tc>
          <w:tcPr>
            <w:tcW w:w="1620" w:type="dxa"/>
          </w:tcPr>
          <w:p w:rsidR="00C045C1" w:rsidRDefault="00C045C1" w:rsidP="00C045C1">
            <w:pPr>
              <w:pStyle w:val="TableText"/>
              <w:rPr>
                <w:rFonts w:eastAsia="Symbol"/>
              </w:rPr>
            </w:pPr>
            <w:r>
              <w:rPr>
                <w:rFonts w:eastAsia="Symbol"/>
              </w:rPr>
              <w:t>All</w:t>
            </w:r>
          </w:p>
        </w:tc>
        <w:tc>
          <w:tcPr>
            <w:tcW w:w="2520" w:type="dxa"/>
          </w:tcPr>
          <w:p w:rsidR="00C045C1" w:rsidRDefault="00C045C1" w:rsidP="00C045C1">
            <w:pPr>
              <w:pStyle w:val="TableText"/>
              <w:rPr>
                <w:rFonts w:eastAsia="Symbol"/>
              </w:rPr>
            </w:pPr>
            <w:r>
              <w:rPr>
                <w:rFonts w:eastAsia="Symbol"/>
              </w:rPr>
              <w:t>All modification processes</w:t>
            </w:r>
          </w:p>
        </w:tc>
        <w:tc>
          <w:tcPr>
            <w:tcW w:w="1080" w:type="dxa"/>
          </w:tcPr>
          <w:p w:rsidR="00C045C1" w:rsidRDefault="00C045C1" w:rsidP="00C045C1">
            <w:pPr>
              <w:pStyle w:val="TableText"/>
              <w:rPr>
                <w:rFonts w:eastAsia="Symbol"/>
              </w:rPr>
            </w:pPr>
            <w:r>
              <w:t>Yes</w:t>
            </w:r>
          </w:p>
        </w:tc>
        <w:tc>
          <w:tcPr>
            <w:tcW w:w="1152" w:type="dxa"/>
          </w:tcPr>
          <w:p w:rsidR="00C045C1" w:rsidRDefault="00C045C1" w:rsidP="00C045C1">
            <w:pPr>
              <w:pStyle w:val="TableText"/>
              <w:rPr>
                <w:rFonts w:eastAsia="Symbol"/>
              </w:rPr>
            </w:pPr>
            <w:r>
              <w:t>No</w:t>
            </w:r>
          </w:p>
        </w:tc>
      </w:tr>
      <w:tr w:rsidR="00C045C1">
        <w:tblPrEx>
          <w:tblCellMar>
            <w:top w:w="0" w:type="dxa"/>
            <w:bottom w:w="0" w:type="dxa"/>
          </w:tblCellMar>
        </w:tblPrEx>
        <w:trPr>
          <w:cantSplit/>
        </w:trPr>
        <w:tc>
          <w:tcPr>
            <w:tcW w:w="2988" w:type="dxa"/>
          </w:tcPr>
          <w:p w:rsidR="00C045C1" w:rsidRDefault="00C045C1" w:rsidP="00C045C1">
            <w:pPr>
              <w:pStyle w:val="TableText"/>
              <w:rPr>
                <w:rFonts w:eastAsia="Symbol"/>
              </w:rPr>
            </w:pPr>
            <w:r>
              <w:t>Target product outdate extended</w:t>
            </w:r>
          </w:p>
        </w:tc>
        <w:tc>
          <w:tcPr>
            <w:tcW w:w="1620" w:type="dxa"/>
          </w:tcPr>
          <w:p w:rsidR="00C045C1" w:rsidRDefault="00C045C1" w:rsidP="00C045C1">
            <w:pPr>
              <w:pStyle w:val="TableText"/>
              <w:rPr>
                <w:rFonts w:eastAsia="Symbol"/>
              </w:rPr>
            </w:pPr>
            <w:r>
              <w:rPr>
                <w:u w:val="single"/>
              </w:rPr>
              <w:t>&gt;</w:t>
            </w:r>
            <w:r>
              <w:t xml:space="preserve"> Enhanced Tech</w:t>
            </w:r>
          </w:p>
        </w:tc>
        <w:tc>
          <w:tcPr>
            <w:tcW w:w="2520" w:type="dxa"/>
          </w:tcPr>
          <w:p w:rsidR="00C045C1" w:rsidRDefault="00C045C1" w:rsidP="00C045C1">
            <w:pPr>
              <w:pStyle w:val="TableText"/>
              <w:rPr>
                <w:rFonts w:eastAsia="Symbol"/>
              </w:rPr>
            </w:pPr>
            <w:r>
              <w:rPr>
                <w:rFonts w:eastAsia="Symbol"/>
              </w:rPr>
              <w:t>All modification processes</w:t>
            </w:r>
          </w:p>
        </w:tc>
        <w:tc>
          <w:tcPr>
            <w:tcW w:w="1080" w:type="dxa"/>
          </w:tcPr>
          <w:p w:rsidR="00C045C1" w:rsidRDefault="00C045C1" w:rsidP="00C045C1">
            <w:pPr>
              <w:pStyle w:val="TableText"/>
              <w:rPr>
                <w:rFonts w:eastAsia="Symbol"/>
              </w:rPr>
            </w:pPr>
            <w:r>
              <w:t>Yes</w:t>
            </w:r>
          </w:p>
        </w:tc>
        <w:tc>
          <w:tcPr>
            <w:tcW w:w="1152" w:type="dxa"/>
          </w:tcPr>
          <w:p w:rsidR="00C045C1" w:rsidRDefault="00C045C1" w:rsidP="00C045C1">
            <w:pPr>
              <w:pStyle w:val="TableText"/>
              <w:rPr>
                <w:rFonts w:eastAsia="Symbol"/>
              </w:rPr>
            </w:pPr>
            <w:r>
              <w:t>No</w:t>
            </w:r>
          </w:p>
        </w:tc>
      </w:tr>
      <w:tr w:rsidR="00C045C1">
        <w:tblPrEx>
          <w:tblCellMar>
            <w:top w:w="0" w:type="dxa"/>
            <w:bottom w:w="0" w:type="dxa"/>
          </w:tblCellMar>
        </w:tblPrEx>
        <w:trPr>
          <w:cantSplit/>
        </w:trPr>
        <w:tc>
          <w:tcPr>
            <w:tcW w:w="2988" w:type="dxa"/>
          </w:tcPr>
          <w:p w:rsidR="00C045C1" w:rsidRDefault="00C045C1" w:rsidP="00C045C1">
            <w:pPr>
              <w:pStyle w:val="TableText"/>
            </w:pPr>
            <w:r>
              <w:t>Transfusion Reaction Workup</w:t>
            </w:r>
          </w:p>
        </w:tc>
        <w:tc>
          <w:tcPr>
            <w:tcW w:w="1620" w:type="dxa"/>
          </w:tcPr>
          <w:p w:rsidR="00C045C1" w:rsidRDefault="00C045C1" w:rsidP="00C045C1">
            <w:pPr>
              <w:pStyle w:val="TableText"/>
            </w:pPr>
            <w:r>
              <w:rPr>
                <w:rFonts w:eastAsia="Symbol"/>
              </w:rPr>
              <w:t>All</w:t>
            </w:r>
          </w:p>
        </w:tc>
        <w:tc>
          <w:tcPr>
            <w:tcW w:w="2520" w:type="dxa"/>
          </w:tcPr>
          <w:p w:rsidR="00C045C1" w:rsidRDefault="00C045C1" w:rsidP="00C045C1">
            <w:pPr>
              <w:pStyle w:val="TableText"/>
            </w:pPr>
            <w:r>
              <w:t>Transfusion Reaction Workup</w:t>
            </w:r>
          </w:p>
        </w:tc>
        <w:tc>
          <w:tcPr>
            <w:tcW w:w="1080" w:type="dxa"/>
          </w:tcPr>
          <w:p w:rsidR="00C045C1" w:rsidRDefault="00C045C1" w:rsidP="00C045C1">
            <w:pPr>
              <w:pStyle w:val="TableText"/>
              <w:rPr>
                <w:rFonts w:eastAsia="Symbol"/>
              </w:rPr>
            </w:pPr>
            <w:r>
              <w:t>No</w:t>
            </w:r>
          </w:p>
        </w:tc>
        <w:tc>
          <w:tcPr>
            <w:tcW w:w="1152" w:type="dxa"/>
          </w:tcPr>
          <w:p w:rsidR="00C045C1" w:rsidRDefault="00C045C1" w:rsidP="00C045C1">
            <w:pPr>
              <w:pStyle w:val="TableText"/>
              <w:rPr>
                <w:rFonts w:eastAsia="Symbol"/>
              </w:rPr>
            </w:pPr>
            <w:r>
              <w:rPr>
                <w:rFonts w:eastAsia="Symbol"/>
              </w:rPr>
              <w:t>Yes</w:t>
            </w:r>
          </w:p>
        </w:tc>
      </w:tr>
      <w:tr w:rsidR="00C045C1">
        <w:tblPrEx>
          <w:tblCellMar>
            <w:top w:w="0" w:type="dxa"/>
            <w:bottom w:w="0" w:type="dxa"/>
          </w:tblCellMar>
        </w:tblPrEx>
        <w:trPr>
          <w:cantSplit/>
        </w:trPr>
        <w:tc>
          <w:tcPr>
            <w:tcW w:w="2988" w:type="dxa"/>
          </w:tcPr>
          <w:p w:rsidR="00C045C1" w:rsidRDefault="00C045C1" w:rsidP="00C045C1">
            <w:pPr>
              <w:pStyle w:val="TableText"/>
              <w:rPr>
                <w:rFonts w:eastAsia="Symbol"/>
              </w:rPr>
            </w:pPr>
            <w:r>
              <w:t>Transfusion Requirement incompatible unit selected</w:t>
            </w:r>
          </w:p>
        </w:tc>
        <w:tc>
          <w:tcPr>
            <w:tcW w:w="1620" w:type="dxa"/>
          </w:tcPr>
          <w:p w:rsidR="00C045C1" w:rsidRDefault="00C045C1" w:rsidP="00C045C1">
            <w:pPr>
              <w:pStyle w:val="TableText"/>
              <w:rPr>
                <w:rFonts w:eastAsia="Symbol"/>
              </w:rPr>
            </w:pPr>
            <w:r>
              <w:rPr>
                <w:u w:val="single"/>
              </w:rPr>
              <w:t>&gt;</w:t>
            </w:r>
            <w:r>
              <w:t xml:space="preserve"> Lead Tech</w:t>
            </w:r>
          </w:p>
        </w:tc>
        <w:tc>
          <w:tcPr>
            <w:tcW w:w="2520" w:type="dxa"/>
          </w:tcPr>
          <w:p w:rsidR="00C045C1" w:rsidRDefault="00C045C1" w:rsidP="00C045C1">
            <w:pPr>
              <w:pStyle w:val="TableText"/>
              <w:rPr>
                <w:rFonts w:eastAsia="Symbol"/>
              </w:rPr>
            </w:pPr>
            <w:r>
              <w:rPr>
                <w:rFonts w:eastAsia="Symbol"/>
              </w:rPr>
              <w:t>Select Unit</w:t>
            </w:r>
          </w:p>
        </w:tc>
        <w:tc>
          <w:tcPr>
            <w:tcW w:w="1080" w:type="dxa"/>
          </w:tcPr>
          <w:p w:rsidR="00C045C1" w:rsidRDefault="00C045C1" w:rsidP="00C045C1">
            <w:pPr>
              <w:pStyle w:val="TableText"/>
              <w:rPr>
                <w:rFonts w:eastAsia="Symbol"/>
              </w:rPr>
            </w:pPr>
            <w:r>
              <w:t>No</w:t>
            </w:r>
          </w:p>
        </w:tc>
        <w:tc>
          <w:tcPr>
            <w:tcW w:w="1152" w:type="dxa"/>
          </w:tcPr>
          <w:p w:rsidR="00C045C1" w:rsidRDefault="00C045C1" w:rsidP="00C045C1">
            <w:pPr>
              <w:pStyle w:val="TableText"/>
              <w:rPr>
                <w:rFonts w:eastAsia="Symbol"/>
              </w:rPr>
            </w:pPr>
            <w:r>
              <w:rPr>
                <w:rFonts w:eastAsia="Symbol"/>
              </w:rPr>
              <w:t>Yes</w:t>
            </w:r>
          </w:p>
        </w:tc>
      </w:tr>
      <w:tr w:rsidR="00C045C1">
        <w:tblPrEx>
          <w:tblCellMar>
            <w:top w:w="0" w:type="dxa"/>
            <w:bottom w:w="0" w:type="dxa"/>
          </w:tblCellMar>
        </w:tblPrEx>
        <w:trPr>
          <w:cantSplit/>
        </w:trPr>
        <w:tc>
          <w:tcPr>
            <w:tcW w:w="2988" w:type="dxa"/>
          </w:tcPr>
          <w:p w:rsidR="00C045C1" w:rsidRDefault="00C045C1" w:rsidP="00C045C1">
            <w:pPr>
              <w:pStyle w:val="TableText"/>
              <w:rPr>
                <w:rFonts w:eastAsia="Symbol"/>
              </w:rPr>
            </w:pPr>
            <w:r>
              <w:lastRenderedPageBreak/>
              <w:t>Unacceptable/expired specimen used</w:t>
            </w:r>
          </w:p>
        </w:tc>
        <w:tc>
          <w:tcPr>
            <w:tcW w:w="1620" w:type="dxa"/>
          </w:tcPr>
          <w:p w:rsidR="00C045C1" w:rsidRDefault="00C045C1" w:rsidP="00C045C1">
            <w:pPr>
              <w:pStyle w:val="TableText"/>
              <w:rPr>
                <w:rFonts w:eastAsia="Symbol"/>
              </w:rPr>
            </w:pPr>
            <w:r>
              <w:rPr>
                <w:rFonts w:eastAsia="Symbol"/>
              </w:rPr>
              <w:t>All</w:t>
            </w:r>
          </w:p>
        </w:tc>
        <w:tc>
          <w:tcPr>
            <w:tcW w:w="2520" w:type="dxa"/>
          </w:tcPr>
          <w:p w:rsidR="00C045C1" w:rsidRDefault="00C045C1" w:rsidP="00C045C1">
            <w:pPr>
              <w:pStyle w:val="TableText"/>
              <w:rPr>
                <w:rFonts w:eastAsia="Symbol"/>
              </w:rPr>
            </w:pPr>
            <w:r>
              <w:rPr>
                <w:rFonts w:eastAsia="Symbol"/>
              </w:rPr>
              <w:t>Patient Testing</w:t>
            </w:r>
          </w:p>
        </w:tc>
        <w:tc>
          <w:tcPr>
            <w:tcW w:w="1080" w:type="dxa"/>
          </w:tcPr>
          <w:p w:rsidR="00C045C1" w:rsidRDefault="00C045C1" w:rsidP="00C045C1">
            <w:pPr>
              <w:pStyle w:val="TableText"/>
              <w:rPr>
                <w:rFonts w:eastAsia="Symbol"/>
              </w:rPr>
            </w:pPr>
            <w:r>
              <w:t>No</w:t>
            </w:r>
          </w:p>
        </w:tc>
        <w:tc>
          <w:tcPr>
            <w:tcW w:w="1152" w:type="dxa"/>
          </w:tcPr>
          <w:p w:rsidR="00C045C1" w:rsidRDefault="00C045C1" w:rsidP="00C045C1">
            <w:pPr>
              <w:pStyle w:val="TableText"/>
              <w:rPr>
                <w:rFonts w:eastAsia="Symbol"/>
              </w:rPr>
            </w:pPr>
            <w:r>
              <w:rPr>
                <w:rFonts w:eastAsia="Symbol"/>
              </w:rPr>
              <w:t>Yes</w:t>
            </w:r>
          </w:p>
        </w:tc>
      </w:tr>
      <w:tr w:rsidR="00C045C1">
        <w:tblPrEx>
          <w:tblCellMar>
            <w:top w:w="0" w:type="dxa"/>
            <w:bottom w:w="0" w:type="dxa"/>
          </w:tblCellMar>
        </w:tblPrEx>
        <w:trPr>
          <w:cantSplit/>
        </w:trPr>
        <w:tc>
          <w:tcPr>
            <w:tcW w:w="2988" w:type="dxa"/>
          </w:tcPr>
          <w:p w:rsidR="00C045C1" w:rsidRDefault="00C045C1" w:rsidP="00C045C1">
            <w:pPr>
              <w:pStyle w:val="TableText"/>
              <w:rPr>
                <w:rFonts w:eastAsia="Symbol"/>
              </w:rPr>
            </w:pPr>
            <w:r>
              <w:t>Unit ABO/Rh confirmation inconclusive, unit quarantined</w:t>
            </w:r>
          </w:p>
        </w:tc>
        <w:tc>
          <w:tcPr>
            <w:tcW w:w="1620" w:type="dxa"/>
          </w:tcPr>
          <w:p w:rsidR="00C045C1" w:rsidRDefault="00C045C1" w:rsidP="00C045C1">
            <w:pPr>
              <w:pStyle w:val="TableText"/>
              <w:rPr>
                <w:rFonts w:eastAsia="Symbol"/>
              </w:rPr>
            </w:pPr>
            <w:r>
              <w:rPr>
                <w:rFonts w:eastAsia="Symbol"/>
              </w:rPr>
              <w:t>All</w:t>
            </w:r>
          </w:p>
        </w:tc>
        <w:tc>
          <w:tcPr>
            <w:tcW w:w="2520" w:type="dxa"/>
          </w:tcPr>
          <w:p w:rsidR="00C045C1" w:rsidRDefault="00C045C1" w:rsidP="00C045C1">
            <w:pPr>
              <w:pStyle w:val="TableText"/>
              <w:rPr>
                <w:rFonts w:eastAsia="Symbol"/>
              </w:rPr>
            </w:pPr>
            <w:r>
              <w:rPr>
                <w:rFonts w:eastAsia="Symbol"/>
              </w:rPr>
              <w:t>ABO/Rh Confirmation</w:t>
            </w:r>
          </w:p>
        </w:tc>
        <w:tc>
          <w:tcPr>
            <w:tcW w:w="1080" w:type="dxa"/>
          </w:tcPr>
          <w:p w:rsidR="00C045C1" w:rsidRDefault="00C045C1" w:rsidP="00C045C1">
            <w:pPr>
              <w:pStyle w:val="TableText"/>
              <w:rPr>
                <w:rFonts w:eastAsia="Symbol"/>
              </w:rPr>
            </w:pPr>
            <w:r>
              <w:t>Yes</w:t>
            </w:r>
          </w:p>
        </w:tc>
        <w:tc>
          <w:tcPr>
            <w:tcW w:w="1152" w:type="dxa"/>
          </w:tcPr>
          <w:p w:rsidR="00C045C1" w:rsidRDefault="00C045C1" w:rsidP="00C045C1">
            <w:pPr>
              <w:pStyle w:val="TableText"/>
              <w:rPr>
                <w:rFonts w:eastAsia="Symbol"/>
              </w:rPr>
            </w:pPr>
            <w:r>
              <w:t>No</w:t>
            </w:r>
          </w:p>
        </w:tc>
      </w:tr>
      <w:tr w:rsidR="00C045C1">
        <w:tblPrEx>
          <w:tblCellMar>
            <w:top w:w="0" w:type="dxa"/>
            <w:bottom w:w="0" w:type="dxa"/>
          </w:tblCellMar>
        </w:tblPrEx>
        <w:trPr>
          <w:cantSplit/>
        </w:trPr>
        <w:tc>
          <w:tcPr>
            <w:tcW w:w="2988" w:type="dxa"/>
          </w:tcPr>
          <w:p w:rsidR="00C045C1" w:rsidRDefault="00C045C1" w:rsidP="00C045C1">
            <w:pPr>
              <w:pStyle w:val="TableText"/>
              <w:rPr>
                <w:rFonts w:eastAsia="Symbol"/>
              </w:rPr>
            </w:pPr>
            <w:r>
              <w:t>Unit ABO/Rh log-in vs. confirmation do not match, unit quarantined</w:t>
            </w:r>
          </w:p>
        </w:tc>
        <w:tc>
          <w:tcPr>
            <w:tcW w:w="1620" w:type="dxa"/>
          </w:tcPr>
          <w:p w:rsidR="00C045C1" w:rsidRDefault="00C045C1" w:rsidP="00C045C1">
            <w:pPr>
              <w:pStyle w:val="TableText"/>
              <w:rPr>
                <w:rFonts w:eastAsia="Symbol"/>
              </w:rPr>
            </w:pPr>
            <w:r>
              <w:rPr>
                <w:rFonts w:eastAsia="Symbol"/>
              </w:rPr>
              <w:t>All</w:t>
            </w:r>
          </w:p>
        </w:tc>
        <w:tc>
          <w:tcPr>
            <w:tcW w:w="2520" w:type="dxa"/>
          </w:tcPr>
          <w:p w:rsidR="00C045C1" w:rsidRDefault="00C045C1" w:rsidP="00C045C1">
            <w:pPr>
              <w:pStyle w:val="TableText"/>
              <w:rPr>
                <w:rFonts w:eastAsia="Symbol"/>
              </w:rPr>
            </w:pPr>
            <w:r>
              <w:rPr>
                <w:rFonts w:eastAsia="Symbol"/>
              </w:rPr>
              <w:t>ABO/Rh Confirmation</w:t>
            </w:r>
          </w:p>
        </w:tc>
        <w:tc>
          <w:tcPr>
            <w:tcW w:w="1080" w:type="dxa"/>
          </w:tcPr>
          <w:p w:rsidR="00C045C1" w:rsidRDefault="00C045C1" w:rsidP="00C045C1">
            <w:pPr>
              <w:pStyle w:val="TableText"/>
              <w:rPr>
                <w:rFonts w:eastAsia="Symbol"/>
              </w:rPr>
            </w:pPr>
            <w:r>
              <w:t>Yes</w:t>
            </w:r>
          </w:p>
        </w:tc>
        <w:tc>
          <w:tcPr>
            <w:tcW w:w="1152" w:type="dxa"/>
          </w:tcPr>
          <w:p w:rsidR="00C045C1" w:rsidRDefault="00C045C1" w:rsidP="00C045C1">
            <w:pPr>
              <w:pStyle w:val="TableText"/>
              <w:rPr>
                <w:rFonts w:eastAsia="Symbol"/>
              </w:rPr>
            </w:pPr>
            <w:r>
              <w:t>No</w:t>
            </w:r>
          </w:p>
        </w:tc>
      </w:tr>
      <w:tr w:rsidR="00C045C1">
        <w:tblPrEx>
          <w:tblCellMar>
            <w:top w:w="0" w:type="dxa"/>
            <w:bottom w:w="0" w:type="dxa"/>
          </w:tblCellMar>
        </w:tblPrEx>
        <w:trPr>
          <w:cantSplit/>
        </w:trPr>
        <w:tc>
          <w:tcPr>
            <w:tcW w:w="2988" w:type="dxa"/>
          </w:tcPr>
          <w:p w:rsidR="00C045C1" w:rsidRDefault="00C045C1" w:rsidP="00C045C1">
            <w:pPr>
              <w:pStyle w:val="TableText"/>
              <w:rPr>
                <w:rFonts w:eastAsia="Symbol"/>
              </w:rPr>
            </w:pPr>
            <w:r>
              <w:t>Unit discarded</w:t>
            </w:r>
          </w:p>
        </w:tc>
        <w:tc>
          <w:tcPr>
            <w:tcW w:w="1620" w:type="dxa"/>
          </w:tcPr>
          <w:p w:rsidR="00C045C1" w:rsidRDefault="00C045C1" w:rsidP="00C045C1">
            <w:pPr>
              <w:pStyle w:val="TableText"/>
              <w:rPr>
                <w:rFonts w:eastAsia="Symbol"/>
              </w:rPr>
            </w:pPr>
            <w:r>
              <w:rPr>
                <w:rFonts w:eastAsia="Symbol"/>
              </w:rPr>
              <w:t>All</w:t>
            </w:r>
          </w:p>
        </w:tc>
        <w:tc>
          <w:tcPr>
            <w:tcW w:w="2520" w:type="dxa"/>
          </w:tcPr>
          <w:p w:rsidR="00C045C1" w:rsidRDefault="00C045C1" w:rsidP="00C045C1">
            <w:pPr>
              <w:pStyle w:val="TableText"/>
              <w:rPr>
                <w:rFonts w:eastAsia="Symbol"/>
              </w:rPr>
            </w:pPr>
            <w:r>
              <w:rPr>
                <w:rFonts w:eastAsia="Symbol"/>
              </w:rPr>
              <w:t>Discard</w:t>
            </w:r>
          </w:p>
        </w:tc>
        <w:tc>
          <w:tcPr>
            <w:tcW w:w="1080" w:type="dxa"/>
          </w:tcPr>
          <w:p w:rsidR="00C045C1" w:rsidRDefault="00C045C1" w:rsidP="00C045C1">
            <w:pPr>
              <w:pStyle w:val="TableText"/>
              <w:rPr>
                <w:rFonts w:eastAsia="Symbol"/>
              </w:rPr>
            </w:pPr>
            <w:r>
              <w:t>Yes</w:t>
            </w:r>
          </w:p>
        </w:tc>
        <w:tc>
          <w:tcPr>
            <w:tcW w:w="1152" w:type="dxa"/>
          </w:tcPr>
          <w:p w:rsidR="00C045C1" w:rsidRDefault="00C045C1" w:rsidP="00C045C1">
            <w:pPr>
              <w:pStyle w:val="TableText"/>
              <w:rPr>
                <w:rFonts w:eastAsia="Symbol"/>
              </w:rPr>
            </w:pPr>
            <w:r>
              <w:t>No</w:t>
            </w:r>
          </w:p>
        </w:tc>
      </w:tr>
      <w:tr w:rsidR="00C045C1">
        <w:tblPrEx>
          <w:tblCellMar>
            <w:top w:w="0" w:type="dxa"/>
            <w:bottom w:w="0" w:type="dxa"/>
          </w:tblCellMar>
        </w:tblPrEx>
        <w:trPr>
          <w:cantSplit/>
        </w:trPr>
        <w:tc>
          <w:tcPr>
            <w:tcW w:w="2988" w:type="dxa"/>
          </w:tcPr>
          <w:p w:rsidR="00C045C1" w:rsidRDefault="00C045C1" w:rsidP="00C045C1">
            <w:pPr>
              <w:pStyle w:val="TableText"/>
            </w:pPr>
            <w:r>
              <w:t>Unit ER issued, testing problem</w:t>
            </w:r>
          </w:p>
        </w:tc>
        <w:tc>
          <w:tcPr>
            <w:tcW w:w="1620" w:type="dxa"/>
          </w:tcPr>
          <w:p w:rsidR="00C045C1" w:rsidRDefault="00C045C1" w:rsidP="00C045C1">
            <w:pPr>
              <w:pStyle w:val="TableText"/>
            </w:pPr>
            <w:r>
              <w:rPr>
                <w:rFonts w:eastAsia="Symbol"/>
              </w:rPr>
              <w:t>All</w:t>
            </w:r>
          </w:p>
        </w:tc>
        <w:tc>
          <w:tcPr>
            <w:tcW w:w="2520" w:type="dxa"/>
          </w:tcPr>
          <w:p w:rsidR="00C045C1" w:rsidRDefault="00C045C1" w:rsidP="00C045C1">
            <w:pPr>
              <w:pStyle w:val="TableText"/>
            </w:pPr>
            <w:r>
              <w:t>Patient testing, unit antigen typing</w:t>
            </w:r>
          </w:p>
        </w:tc>
        <w:tc>
          <w:tcPr>
            <w:tcW w:w="1080" w:type="dxa"/>
          </w:tcPr>
          <w:p w:rsidR="00C045C1" w:rsidRDefault="00C045C1" w:rsidP="00C045C1">
            <w:pPr>
              <w:pStyle w:val="TableText"/>
              <w:rPr>
                <w:rFonts w:eastAsia="Symbol"/>
              </w:rPr>
            </w:pPr>
            <w:r>
              <w:t>No</w:t>
            </w:r>
          </w:p>
        </w:tc>
        <w:tc>
          <w:tcPr>
            <w:tcW w:w="1152" w:type="dxa"/>
          </w:tcPr>
          <w:p w:rsidR="00C045C1" w:rsidRDefault="00C045C1" w:rsidP="00C045C1">
            <w:pPr>
              <w:pStyle w:val="TableText"/>
              <w:rPr>
                <w:rFonts w:eastAsia="Symbol"/>
              </w:rPr>
            </w:pPr>
            <w:r>
              <w:rPr>
                <w:rFonts w:eastAsia="Symbol"/>
              </w:rPr>
              <w:t>Yes</w:t>
            </w:r>
          </w:p>
        </w:tc>
      </w:tr>
      <w:tr w:rsidR="00C045C1">
        <w:tblPrEx>
          <w:tblCellMar>
            <w:top w:w="0" w:type="dxa"/>
            <w:bottom w:w="0" w:type="dxa"/>
          </w:tblCellMar>
        </w:tblPrEx>
        <w:trPr>
          <w:cantSplit/>
        </w:trPr>
        <w:tc>
          <w:tcPr>
            <w:tcW w:w="2988" w:type="dxa"/>
          </w:tcPr>
          <w:p w:rsidR="00C045C1" w:rsidRDefault="00C045C1" w:rsidP="00C045C1">
            <w:pPr>
              <w:pStyle w:val="TableText"/>
            </w:pPr>
            <w:r>
              <w:t>Unit issued on expired specimen</w:t>
            </w:r>
          </w:p>
        </w:tc>
        <w:tc>
          <w:tcPr>
            <w:tcW w:w="1620" w:type="dxa"/>
          </w:tcPr>
          <w:p w:rsidR="00C045C1" w:rsidRDefault="00C045C1" w:rsidP="00C045C1">
            <w:pPr>
              <w:pStyle w:val="TableText"/>
            </w:pPr>
            <w:r>
              <w:rPr>
                <w:u w:val="single"/>
              </w:rPr>
              <w:t>&gt;</w:t>
            </w:r>
            <w:r>
              <w:t xml:space="preserve"> Enhanced Tech</w:t>
            </w:r>
          </w:p>
        </w:tc>
        <w:tc>
          <w:tcPr>
            <w:tcW w:w="2520" w:type="dxa"/>
          </w:tcPr>
          <w:p w:rsidR="00C045C1" w:rsidRDefault="00C045C1" w:rsidP="00C045C1">
            <w:pPr>
              <w:pStyle w:val="TableText"/>
            </w:pPr>
            <w:r>
              <w:t>Issue Unit</w:t>
            </w:r>
          </w:p>
        </w:tc>
        <w:tc>
          <w:tcPr>
            <w:tcW w:w="1080" w:type="dxa"/>
          </w:tcPr>
          <w:p w:rsidR="00C045C1" w:rsidRDefault="00C045C1" w:rsidP="00C045C1">
            <w:pPr>
              <w:pStyle w:val="TableText"/>
            </w:pPr>
            <w:r>
              <w:t>No</w:t>
            </w:r>
          </w:p>
        </w:tc>
        <w:tc>
          <w:tcPr>
            <w:tcW w:w="1152" w:type="dxa"/>
          </w:tcPr>
          <w:p w:rsidR="00C045C1" w:rsidRDefault="00C045C1" w:rsidP="00C045C1">
            <w:pPr>
              <w:pStyle w:val="TableText"/>
            </w:pPr>
            <w:r>
              <w:rPr>
                <w:rFonts w:eastAsia="Symbol"/>
              </w:rPr>
              <w:t>Yes</w:t>
            </w:r>
          </w:p>
        </w:tc>
      </w:tr>
      <w:tr w:rsidR="00C045C1">
        <w:tblPrEx>
          <w:tblCellMar>
            <w:top w:w="0" w:type="dxa"/>
            <w:bottom w:w="0" w:type="dxa"/>
          </w:tblCellMar>
        </w:tblPrEx>
        <w:trPr>
          <w:cantSplit/>
        </w:trPr>
        <w:tc>
          <w:tcPr>
            <w:tcW w:w="2988" w:type="dxa"/>
          </w:tcPr>
          <w:p w:rsidR="00C045C1" w:rsidRDefault="00C045C1" w:rsidP="00C045C1">
            <w:pPr>
              <w:pStyle w:val="TableText"/>
            </w:pPr>
            <w:r>
              <w:t>Unit issued with unsatisfied Transfusion Requirement</w:t>
            </w:r>
          </w:p>
        </w:tc>
        <w:tc>
          <w:tcPr>
            <w:tcW w:w="1620" w:type="dxa"/>
          </w:tcPr>
          <w:p w:rsidR="00C045C1" w:rsidRDefault="00C045C1" w:rsidP="00C045C1">
            <w:pPr>
              <w:pStyle w:val="TableText"/>
            </w:pPr>
            <w:r>
              <w:rPr>
                <w:u w:val="single"/>
              </w:rPr>
              <w:t>&gt;</w:t>
            </w:r>
            <w:r>
              <w:t xml:space="preserve"> Lead Tech</w:t>
            </w:r>
          </w:p>
        </w:tc>
        <w:tc>
          <w:tcPr>
            <w:tcW w:w="2520" w:type="dxa"/>
          </w:tcPr>
          <w:p w:rsidR="00C045C1" w:rsidRDefault="00C045C1" w:rsidP="00C045C1">
            <w:pPr>
              <w:pStyle w:val="TableText"/>
            </w:pPr>
            <w:r>
              <w:t>Issue Unit</w:t>
            </w:r>
          </w:p>
        </w:tc>
        <w:tc>
          <w:tcPr>
            <w:tcW w:w="1080" w:type="dxa"/>
          </w:tcPr>
          <w:p w:rsidR="00C045C1" w:rsidRDefault="00C045C1" w:rsidP="00C045C1">
            <w:pPr>
              <w:pStyle w:val="TableText"/>
            </w:pPr>
            <w:r>
              <w:t>No</w:t>
            </w:r>
          </w:p>
        </w:tc>
        <w:tc>
          <w:tcPr>
            <w:tcW w:w="1152" w:type="dxa"/>
          </w:tcPr>
          <w:p w:rsidR="00C045C1" w:rsidRDefault="00C045C1" w:rsidP="00C045C1">
            <w:pPr>
              <w:pStyle w:val="TableText"/>
            </w:pPr>
            <w:r>
              <w:rPr>
                <w:rFonts w:eastAsia="Symbol"/>
              </w:rPr>
              <w:t>Yes</w:t>
            </w:r>
          </w:p>
        </w:tc>
      </w:tr>
      <w:tr w:rsidR="00C045C1">
        <w:tblPrEx>
          <w:tblCellMar>
            <w:top w:w="0" w:type="dxa"/>
            <w:bottom w:w="0" w:type="dxa"/>
          </w:tblCellMar>
        </w:tblPrEx>
        <w:trPr>
          <w:cantSplit/>
        </w:trPr>
        <w:tc>
          <w:tcPr>
            <w:tcW w:w="2988" w:type="dxa"/>
          </w:tcPr>
          <w:p w:rsidR="00C045C1" w:rsidRDefault="00C045C1" w:rsidP="00C045C1">
            <w:pPr>
              <w:pStyle w:val="TableText"/>
              <w:rPr>
                <w:rFonts w:eastAsia="Symbol"/>
              </w:rPr>
            </w:pPr>
            <w:r>
              <w:t>Unit quarantined</w:t>
            </w:r>
          </w:p>
        </w:tc>
        <w:tc>
          <w:tcPr>
            <w:tcW w:w="1620" w:type="dxa"/>
          </w:tcPr>
          <w:p w:rsidR="00C045C1" w:rsidRDefault="00C045C1" w:rsidP="00C045C1">
            <w:pPr>
              <w:pStyle w:val="TableText"/>
              <w:rPr>
                <w:rFonts w:eastAsia="Symbol"/>
              </w:rPr>
            </w:pPr>
            <w:r>
              <w:rPr>
                <w:rFonts w:eastAsia="Symbol"/>
              </w:rPr>
              <w:t>All</w:t>
            </w:r>
          </w:p>
        </w:tc>
        <w:tc>
          <w:tcPr>
            <w:tcW w:w="2520" w:type="dxa"/>
          </w:tcPr>
          <w:p w:rsidR="00C045C1" w:rsidRDefault="00C045C1" w:rsidP="00C045C1">
            <w:pPr>
              <w:pStyle w:val="TableText"/>
              <w:rPr>
                <w:rFonts w:eastAsia="Symbol"/>
              </w:rPr>
            </w:pPr>
            <w:r>
              <w:rPr>
                <w:rFonts w:eastAsia="Symbol"/>
              </w:rPr>
              <w:t>Quarantine</w:t>
            </w:r>
          </w:p>
        </w:tc>
        <w:tc>
          <w:tcPr>
            <w:tcW w:w="1080" w:type="dxa"/>
          </w:tcPr>
          <w:p w:rsidR="00C045C1" w:rsidRDefault="00C045C1" w:rsidP="00C045C1">
            <w:pPr>
              <w:pStyle w:val="TableText"/>
              <w:rPr>
                <w:rFonts w:eastAsia="Symbol"/>
              </w:rPr>
            </w:pPr>
            <w:r>
              <w:t>Yes</w:t>
            </w:r>
          </w:p>
        </w:tc>
        <w:tc>
          <w:tcPr>
            <w:tcW w:w="1152" w:type="dxa"/>
          </w:tcPr>
          <w:p w:rsidR="00C045C1" w:rsidRDefault="00C045C1" w:rsidP="00C045C1">
            <w:pPr>
              <w:pStyle w:val="TableText"/>
              <w:rPr>
                <w:rFonts w:eastAsia="Symbol"/>
              </w:rPr>
            </w:pPr>
            <w:r>
              <w:t>No</w:t>
            </w:r>
          </w:p>
        </w:tc>
      </w:tr>
      <w:tr w:rsidR="00C045C1">
        <w:tblPrEx>
          <w:tblCellMar>
            <w:top w:w="0" w:type="dxa"/>
            <w:bottom w:w="0" w:type="dxa"/>
          </w:tblCellMar>
        </w:tblPrEx>
        <w:trPr>
          <w:cantSplit/>
        </w:trPr>
        <w:tc>
          <w:tcPr>
            <w:tcW w:w="2988" w:type="dxa"/>
          </w:tcPr>
          <w:p w:rsidR="00C045C1" w:rsidRDefault="00C045C1" w:rsidP="00C045C1">
            <w:pPr>
              <w:pStyle w:val="TableText"/>
              <w:rPr>
                <w:rFonts w:eastAsia="Symbol"/>
              </w:rPr>
            </w:pPr>
            <w:r>
              <w:t>Unit released from quarantine</w:t>
            </w:r>
          </w:p>
        </w:tc>
        <w:tc>
          <w:tcPr>
            <w:tcW w:w="1620" w:type="dxa"/>
          </w:tcPr>
          <w:p w:rsidR="00C045C1" w:rsidRDefault="00C045C1" w:rsidP="00C045C1">
            <w:pPr>
              <w:pStyle w:val="TableText"/>
              <w:rPr>
                <w:rFonts w:eastAsia="Symbol"/>
              </w:rPr>
            </w:pPr>
            <w:r>
              <w:rPr>
                <w:u w:val="single"/>
              </w:rPr>
              <w:t>&gt;</w:t>
            </w:r>
            <w:r>
              <w:t xml:space="preserve"> Enhanced Tech</w:t>
            </w:r>
          </w:p>
        </w:tc>
        <w:tc>
          <w:tcPr>
            <w:tcW w:w="2520" w:type="dxa"/>
          </w:tcPr>
          <w:p w:rsidR="00C045C1" w:rsidRDefault="00C045C1" w:rsidP="00C045C1">
            <w:pPr>
              <w:pStyle w:val="TableText"/>
              <w:rPr>
                <w:rFonts w:eastAsia="Symbol"/>
              </w:rPr>
            </w:pPr>
            <w:r>
              <w:rPr>
                <w:rFonts w:eastAsia="Symbol"/>
              </w:rPr>
              <w:t>Release Unit from Quarantine</w:t>
            </w:r>
          </w:p>
        </w:tc>
        <w:tc>
          <w:tcPr>
            <w:tcW w:w="1080" w:type="dxa"/>
          </w:tcPr>
          <w:p w:rsidR="00C045C1" w:rsidRDefault="00C045C1" w:rsidP="00C045C1">
            <w:pPr>
              <w:pStyle w:val="TableText"/>
              <w:rPr>
                <w:rFonts w:eastAsia="Symbol"/>
              </w:rPr>
            </w:pPr>
            <w:r>
              <w:t>Yes</w:t>
            </w:r>
          </w:p>
        </w:tc>
        <w:tc>
          <w:tcPr>
            <w:tcW w:w="1152" w:type="dxa"/>
          </w:tcPr>
          <w:p w:rsidR="00C045C1" w:rsidRDefault="00C045C1" w:rsidP="00C045C1">
            <w:pPr>
              <w:pStyle w:val="TableText"/>
              <w:rPr>
                <w:rFonts w:eastAsia="Symbol"/>
              </w:rPr>
            </w:pPr>
            <w:r>
              <w:t>No</w:t>
            </w:r>
          </w:p>
        </w:tc>
      </w:tr>
      <w:tr w:rsidR="00C045C1">
        <w:tblPrEx>
          <w:tblCellMar>
            <w:top w:w="0" w:type="dxa"/>
            <w:bottom w:w="0" w:type="dxa"/>
          </w:tblCellMar>
        </w:tblPrEx>
        <w:trPr>
          <w:cantSplit/>
        </w:trPr>
        <w:tc>
          <w:tcPr>
            <w:tcW w:w="2988" w:type="dxa"/>
            <w:vMerge w:val="restart"/>
          </w:tcPr>
          <w:p w:rsidR="00C045C1" w:rsidRDefault="00C045C1" w:rsidP="00C045C1">
            <w:pPr>
              <w:pStyle w:val="TableText"/>
            </w:pPr>
            <w:r>
              <w:t>Unit unsatisfactory upon return from issue</w:t>
            </w:r>
          </w:p>
        </w:tc>
        <w:tc>
          <w:tcPr>
            <w:tcW w:w="1620" w:type="dxa"/>
            <w:vMerge w:val="restart"/>
          </w:tcPr>
          <w:p w:rsidR="00C045C1" w:rsidRDefault="00C045C1" w:rsidP="00C045C1">
            <w:pPr>
              <w:pStyle w:val="TableText"/>
            </w:pPr>
            <w:r>
              <w:rPr>
                <w:rFonts w:eastAsia="Symbol"/>
              </w:rPr>
              <w:t>All</w:t>
            </w:r>
          </w:p>
        </w:tc>
        <w:tc>
          <w:tcPr>
            <w:tcW w:w="2520" w:type="dxa"/>
            <w:vMerge w:val="restart"/>
          </w:tcPr>
          <w:p w:rsidR="00C045C1" w:rsidRDefault="00C045C1" w:rsidP="00C045C1">
            <w:pPr>
              <w:pStyle w:val="TableText"/>
            </w:pPr>
            <w:r>
              <w:t>Return Issued Units to Blood Bank</w:t>
            </w:r>
          </w:p>
        </w:tc>
        <w:tc>
          <w:tcPr>
            <w:tcW w:w="1080" w:type="dxa"/>
          </w:tcPr>
          <w:p w:rsidR="00C045C1" w:rsidRDefault="00C045C1" w:rsidP="00C045C1">
            <w:pPr>
              <w:pStyle w:val="TableText"/>
            </w:pPr>
            <w:r>
              <w:rPr>
                <w:rFonts w:eastAsia="Symbol"/>
              </w:rPr>
              <w:t>Yes</w:t>
            </w:r>
            <w:r w:rsidR="00E31FC6">
              <w:rPr>
                <w:rFonts w:eastAsia="Symbol"/>
              </w:rPr>
              <w:t xml:space="preserve"> </w:t>
            </w:r>
            <w:r>
              <w:rPr>
                <w:rFonts w:eastAsia="Symbol"/>
                <w:vanish/>
                <w:szCs w:val="18"/>
              </w:rPr>
              <w:t xml:space="preserve"> BR_59.08 </w:t>
            </w:r>
            <w:r w:rsidRPr="00C4235F">
              <w:rPr>
                <w:rFonts w:eastAsia="Symbol"/>
                <w:szCs w:val="18"/>
              </w:rPr>
              <w:t>(quarantined)</w:t>
            </w:r>
          </w:p>
        </w:tc>
        <w:tc>
          <w:tcPr>
            <w:tcW w:w="1152" w:type="dxa"/>
          </w:tcPr>
          <w:p w:rsidR="00C045C1" w:rsidRDefault="00C045C1" w:rsidP="00C045C1">
            <w:pPr>
              <w:pStyle w:val="TableText"/>
            </w:pPr>
            <w:r>
              <w:t>No</w:t>
            </w:r>
          </w:p>
        </w:tc>
      </w:tr>
      <w:tr w:rsidR="00C045C1">
        <w:tblPrEx>
          <w:tblCellMar>
            <w:top w:w="0" w:type="dxa"/>
            <w:bottom w:w="0" w:type="dxa"/>
          </w:tblCellMar>
        </w:tblPrEx>
        <w:trPr>
          <w:cantSplit/>
        </w:trPr>
        <w:tc>
          <w:tcPr>
            <w:tcW w:w="2988" w:type="dxa"/>
            <w:vMerge/>
          </w:tcPr>
          <w:p w:rsidR="00C045C1" w:rsidRDefault="00C045C1" w:rsidP="00C045C1">
            <w:pPr>
              <w:pStyle w:val="TableText"/>
            </w:pPr>
          </w:p>
        </w:tc>
        <w:tc>
          <w:tcPr>
            <w:tcW w:w="1620" w:type="dxa"/>
            <w:vMerge/>
          </w:tcPr>
          <w:p w:rsidR="00C045C1" w:rsidRDefault="00C045C1" w:rsidP="00C045C1">
            <w:pPr>
              <w:pStyle w:val="TableText"/>
            </w:pPr>
          </w:p>
        </w:tc>
        <w:tc>
          <w:tcPr>
            <w:tcW w:w="2520" w:type="dxa"/>
            <w:vMerge/>
          </w:tcPr>
          <w:p w:rsidR="00C045C1" w:rsidRDefault="00C045C1" w:rsidP="00C045C1">
            <w:pPr>
              <w:pStyle w:val="TableText"/>
            </w:pPr>
          </w:p>
        </w:tc>
        <w:tc>
          <w:tcPr>
            <w:tcW w:w="1080" w:type="dxa"/>
          </w:tcPr>
          <w:p w:rsidR="00C045C1" w:rsidRDefault="00C045C1" w:rsidP="00C045C1">
            <w:pPr>
              <w:pStyle w:val="TableText"/>
              <w:rPr>
                <w:rFonts w:eastAsia="Symbol"/>
              </w:rPr>
            </w:pPr>
            <w:r>
              <w:rPr>
                <w:rFonts w:eastAsia="Symbol"/>
              </w:rPr>
              <w:t>Yes</w:t>
            </w:r>
            <w:r w:rsidR="00E31FC6">
              <w:rPr>
                <w:rFonts w:eastAsia="Symbol"/>
              </w:rPr>
              <w:t xml:space="preserve"> </w:t>
            </w:r>
            <w:r>
              <w:rPr>
                <w:rFonts w:eastAsia="Symbol"/>
                <w:vanish/>
                <w:szCs w:val="18"/>
              </w:rPr>
              <w:t xml:space="preserve"> BR_59.09 </w:t>
            </w:r>
            <w:r w:rsidRPr="00C4235F">
              <w:rPr>
                <w:rFonts w:eastAsia="Symbol"/>
                <w:szCs w:val="18"/>
              </w:rPr>
              <w:t>(quarantined with patient assignment)</w:t>
            </w:r>
          </w:p>
        </w:tc>
        <w:tc>
          <w:tcPr>
            <w:tcW w:w="1152" w:type="dxa"/>
          </w:tcPr>
          <w:p w:rsidR="00C045C1" w:rsidRDefault="00C045C1" w:rsidP="00C045C1">
            <w:pPr>
              <w:pStyle w:val="TableText"/>
            </w:pPr>
            <w:r>
              <w:rPr>
                <w:rFonts w:eastAsia="Symbol"/>
              </w:rPr>
              <w:t>Yes</w:t>
            </w:r>
          </w:p>
        </w:tc>
      </w:tr>
    </w:tbl>
    <w:p w:rsidR="002A21AE" w:rsidRDefault="002A21AE">
      <w:pPr>
        <w:pStyle w:val="Heading3"/>
      </w:pPr>
      <w:r>
        <w:rPr>
          <w:rFonts w:ascii="Geneva" w:hAnsi="Geneva"/>
          <w:vanish/>
        </w:rPr>
        <w:t xml:space="preserve">TT_3.07 </w:t>
      </w:r>
      <w:bookmarkStart w:id="645" w:name="_Toc459900202"/>
      <w:r>
        <w:t>Enable Crossmatch Option for OTHER Product Types</w:t>
      </w:r>
      <w:bookmarkEnd w:id="645"/>
      <w:r>
        <w:fldChar w:fldCharType="begin"/>
      </w:r>
      <w:r>
        <w:instrText xml:space="preserve"> XE </w:instrText>
      </w:r>
      <w:r w:rsidR="00FA7E65">
        <w:instrText>“</w:instrText>
      </w:r>
      <w:r>
        <w:instrText>Tables:Enable Crossmatch Option for OTHER Product Types</w:instrText>
      </w:r>
      <w:r w:rsidR="00FA7E65">
        <w:instrText>”</w:instrText>
      </w:r>
      <w:r>
        <w:instrText xml:space="preserve"> </w:instrText>
      </w:r>
      <w:r>
        <w:fldChar w:fldCharType="end"/>
      </w:r>
    </w:p>
    <w:p w:rsidR="002A21AE" w:rsidRDefault="002A21AE" w:rsidP="00FA7E65">
      <w:pPr>
        <w:pStyle w:val="BodyText"/>
      </w:pPr>
      <w:r>
        <w:t xml:space="preserve">During the execution of Select Units, the user has the option to request a crossmatch test for the OTHER component class. </w:t>
      </w:r>
      <w:r w:rsidR="003C5356">
        <w:fldChar w:fldCharType="begin"/>
      </w:r>
      <w:r w:rsidR="003C5356">
        <w:instrText xml:space="preserve"> REF _Ref126732313 \h </w:instrText>
      </w:r>
      <w:r w:rsidR="003C5356">
        <w:fldChar w:fldCharType="separate"/>
      </w:r>
      <w:r w:rsidR="005F38BC">
        <w:t xml:space="preserve">Table </w:t>
      </w:r>
      <w:r w:rsidR="005F38BC">
        <w:rPr>
          <w:noProof/>
        </w:rPr>
        <w:t>21</w:t>
      </w:r>
      <w:r w:rsidR="003C5356">
        <w:fldChar w:fldCharType="end"/>
      </w:r>
      <w:r>
        <w:t xml:space="preserve"> indicates which of the OTHER product types must have the crossmatch test enabled.</w:t>
      </w:r>
    </w:p>
    <w:p w:rsidR="002A21AE" w:rsidRDefault="002A21AE">
      <w:pPr>
        <w:pStyle w:val="Caption"/>
      </w:pPr>
      <w:bookmarkStart w:id="646" w:name="_Toc97523639"/>
      <w:bookmarkStart w:id="647" w:name="_Toc97527609"/>
      <w:bookmarkStart w:id="648" w:name="_Ref126486234"/>
      <w:bookmarkStart w:id="649" w:name="_Ref126732313"/>
      <w:r>
        <w:t xml:space="preserve">Table </w:t>
      </w:r>
      <w:r>
        <w:fldChar w:fldCharType="begin"/>
      </w:r>
      <w:r>
        <w:instrText xml:space="preserve"> SEQ Table \* ARABIC </w:instrText>
      </w:r>
      <w:r>
        <w:fldChar w:fldCharType="separate"/>
      </w:r>
      <w:r w:rsidR="005F38BC">
        <w:rPr>
          <w:noProof/>
        </w:rPr>
        <w:t>21</w:t>
      </w:r>
      <w:r>
        <w:fldChar w:fldCharType="end"/>
      </w:r>
      <w:bookmarkEnd w:id="649"/>
      <w:r>
        <w:t xml:space="preserve">: </w:t>
      </w:r>
      <w:r>
        <w:rPr>
          <w:vanish/>
        </w:rPr>
        <w:t xml:space="preserve">TT_3.07 </w:t>
      </w:r>
      <w:r>
        <w:t>Enable Crossmatch Option for OTHER Product Types</w:t>
      </w:r>
      <w:bookmarkEnd w:id="646"/>
      <w:bookmarkEnd w:id="647"/>
      <w:bookmarkEnd w:id="648"/>
    </w:p>
    <w:tbl>
      <w:tblPr>
        <w:tblW w:w="9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0"/>
        <w:gridCol w:w="5040"/>
        <w:gridCol w:w="2160"/>
      </w:tblGrid>
      <w:tr w:rsidR="009A0DEE" w:rsidRPr="00576CEA">
        <w:tblPrEx>
          <w:tblCellMar>
            <w:top w:w="0" w:type="dxa"/>
            <w:bottom w:w="0" w:type="dxa"/>
          </w:tblCellMar>
        </w:tblPrEx>
        <w:trPr>
          <w:tblHeader/>
        </w:trPr>
        <w:tc>
          <w:tcPr>
            <w:tcW w:w="2160" w:type="dxa"/>
            <w:tcBorders>
              <w:top w:val="single" w:sz="4" w:space="0" w:color="auto"/>
              <w:left w:val="single" w:sz="4" w:space="0" w:color="auto"/>
              <w:bottom w:val="single" w:sz="4" w:space="0" w:color="auto"/>
              <w:right w:val="single" w:sz="4" w:space="0" w:color="auto"/>
            </w:tcBorders>
            <w:shd w:val="clear" w:color="auto" w:fill="C0C0C0"/>
          </w:tcPr>
          <w:p w:rsidR="009A0DEE" w:rsidRPr="00576CEA" w:rsidRDefault="009A0DEE" w:rsidP="00576CEA">
            <w:pPr>
              <w:pStyle w:val="TableText"/>
              <w:rPr>
                <w:b/>
              </w:rPr>
            </w:pPr>
            <w:r w:rsidRPr="00576CEA">
              <w:rPr>
                <w:b/>
              </w:rPr>
              <w:t>Component Class</w:t>
            </w:r>
          </w:p>
        </w:tc>
        <w:tc>
          <w:tcPr>
            <w:tcW w:w="5040" w:type="dxa"/>
            <w:tcBorders>
              <w:top w:val="single" w:sz="4" w:space="0" w:color="auto"/>
              <w:left w:val="single" w:sz="4" w:space="0" w:color="auto"/>
              <w:bottom w:val="single" w:sz="4" w:space="0" w:color="auto"/>
              <w:right w:val="single" w:sz="4" w:space="0" w:color="auto"/>
            </w:tcBorders>
            <w:shd w:val="clear" w:color="auto" w:fill="C0C0C0"/>
          </w:tcPr>
          <w:p w:rsidR="009A0DEE" w:rsidRPr="00576CEA" w:rsidRDefault="009A0DEE" w:rsidP="00576CEA">
            <w:pPr>
              <w:pStyle w:val="TableText"/>
              <w:rPr>
                <w:b/>
              </w:rPr>
            </w:pPr>
            <w:r w:rsidRPr="00576CEA">
              <w:rPr>
                <w:b/>
              </w:rPr>
              <w:t>ICCBBA Component Class Allowed</w:t>
            </w:r>
          </w:p>
        </w:tc>
        <w:tc>
          <w:tcPr>
            <w:tcW w:w="2160" w:type="dxa"/>
            <w:tcBorders>
              <w:top w:val="single" w:sz="4" w:space="0" w:color="auto"/>
              <w:left w:val="single" w:sz="4" w:space="0" w:color="auto"/>
              <w:bottom w:val="single" w:sz="4" w:space="0" w:color="auto"/>
              <w:right w:val="single" w:sz="4" w:space="0" w:color="auto"/>
            </w:tcBorders>
            <w:shd w:val="clear" w:color="auto" w:fill="C0C0C0"/>
          </w:tcPr>
          <w:p w:rsidR="009A0DEE" w:rsidRPr="00576CEA" w:rsidRDefault="009A0DEE" w:rsidP="00576CEA">
            <w:pPr>
              <w:pStyle w:val="TableText"/>
              <w:rPr>
                <w:b/>
              </w:rPr>
            </w:pPr>
            <w:r w:rsidRPr="00576CEA">
              <w:rPr>
                <w:b/>
              </w:rPr>
              <w:t>Allow XM Order</w:t>
            </w:r>
            <w:r w:rsidRPr="00576CEA">
              <w:rPr>
                <w:rFonts w:ascii="Geneva" w:hAnsi="Geneva"/>
                <w:b/>
                <w:vanish/>
              </w:rPr>
              <w:t>, per BR_3.09</w:t>
            </w:r>
          </w:p>
        </w:tc>
      </w:tr>
      <w:tr w:rsidR="006439A2">
        <w:tblPrEx>
          <w:tblCellMar>
            <w:top w:w="0" w:type="dxa"/>
            <w:bottom w:w="0" w:type="dxa"/>
          </w:tblCellMar>
        </w:tblPrEx>
        <w:tc>
          <w:tcPr>
            <w:tcW w:w="2160" w:type="dxa"/>
            <w:tcBorders>
              <w:top w:val="single" w:sz="4" w:space="0" w:color="auto"/>
              <w:left w:val="single" w:sz="4" w:space="0" w:color="auto"/>
              <w:bottom w:val="single" w:sz="4" w:space="0" w:color="auto"/>
              <w:right w:val="single" w:sz="4" w:space="0" w:color="auto"/>
            </w:tcBorders>
          </w:tcPr>
          <w:p w:rsidR="006439A2" w:rsidRDefault="006439A2">
            <w:pPr>
              <w:pStyle w:val="TableText"/>
            </w:pPr>
            <w:r>
              <w:t>OTHER</w:t>
            </w:r>
          </w:p>
        </w:tc>
        <w:tc>
          <w:tcPr>
            <w:tcW w:w="5040" w:type="dxa"/>
            <w:tcBorders>
              <w:top w:val="single" w:sz="4" w:space="0" w:color="auto"/>
              <w:left w:val="single" w:sz="4" w:space="0" w:color="auto"/>
              <w:bottom w:val="single" w:sz="4" w:space="0" w:color="auto"/>
              <w:right w:val="single" w:sz="4" w:space="0" w:color="auto"/>
            </w:tcBorders>
          </w:tcPr>
          <w:p w:rsidR="006439A2" w:rsidRDefault="006439A2">
            <w:pPr>
              <w:pStyle w:val="TableText"/>
            </w:pPr>
            <w:r>
              <w:t>PLASMA</w:t>
            </w:r>
          </w:p>
        </w:tc>
        <w:tc>
          <w:tcPr>
            <w:tcW w:w="2160" w:type="dxa"/>
            <w:tcBorders>
              <w:top w:val="single" w:sz="4" w:space="0" w:color="auto"/>
              <w:left w:val="single" w:sz="4" w:space="0" w:color="auto"/>
              <w:bottom w:val="single" w:sz="4" w:space="0" w:color="auto"/>
              <w:right w:val="single" w:sz="4" w:space="0" w:color="auto"/>
            </w:tcBorders>
          </w:tcPr>
          <w:p w:rsidR="006439A2" w:rsidRDefault="006439A2">
            <w:pPr>
              <w:pStyle w:val="TableText"/>
            </w:pPr>
            <w:r>
              <w:t>No</w:t>
            </w:r>
          </w:p>
        </w:tc>
      </w:tr>
      <w:tr w:rsidR="006439A2">
        <w:tblPrEx>
          <w:tblCellMar>
            <w:top w:w="0" w:type="dxa"/>
            <w:bottom w:w="0" w:type="dxa"/>
          </w:tblCellMar>
        </w:tblPrEx>
        <w:tc>
          <w:tcPr>
            <w:tcW w:w="2160" w:type="dxa"/>
            <w:tcBorders>
              <w:top w:val="single" w:sz="4" w:space="0" w:color="auto"/>
              <w:left w:val="single" w:sz="4" w:space="0" w:color="auto"/>
              <w:bottom w:val="single" w:sz="4" w:space="0" w:color="auto"/>
              <w:right w:val="single" w:sz="4" w:space="0" w:color="auto"/>
            </w:tcBorders>
          </w:tcPr>
          <w:p w:rsidR="006439A2" w:rsidRDefault="006439A2">
            <w:pPr>
              <w:pStyle w:val="TableText"/>
            </w:pPr>
            <w:r>
              <w:t>OTHER</w:t>
            </w:r>
          </w:p>
        </w:tc>
        <w:tc>
          <w:tcPr>
            <w:tcW w:w="5040" w:type="dxa"/>
            <w:tcBorders>
              <w:top w:val="single" w:sz="4" w:space="0" w:color="auto"/>
              <w:left w:val="single" w:sz="4" w:space="0" w:color="auto"/>
              <w:bottom w:val="single" w:sz="4" w:space="0" w:color="auto"/>
              <w:right w:val="single" w:sz="4" w:space="0" w:color="auto"/>
            </w:tcBorders>
          </w:tcPr>
          <w:p w:rsidR="006439A2" w:rsidRDefault="006439A2">
            <w:pPr>
              <w:pStyle w:val="TableText"/>
            </w:pPr>
            <w:r>
              <w:t>APHERESIS PLASMA</w:t>
            </w:r>
          </w:p>
        </w:tc>
        <w:tc>
          <w:tcPr>
            <w:tcW w:w="2160" w:type="dxa"/>
            <w:tcBorders>
              <w:top w:val="single" w:sz="4" w:space="0" w:color="auto"/>
              <w:left w:val="single" w:sz="4" w:space="0" w:color="auto"/>
              <w:bottom w:val="single" w:sz="4" w:space="0" w:color="auto"/>
              <w:right w:val="single" w:sz="4" w:space="0" w:color="auto"/>
            </w:tcBorders>
          </w:tcPr>
          <w:p w:rsidR="006439A2" w:rsidRDefault="006439A2">
            <w:pPr>
              <w:pStyle w:val="TableText"/>
            </w:pPr>
            <w:r>
              <w:t>No</w:t>
            </w:r>
          </w:p>
        </w:tc>
      </w:tr>
      <w:tr w:rsidR="009A0DEE">
        <w:tblPrEx>
          <w:tblCellMar>
            <w:top w:w="0" w:type="dxa"/>
            <w:bottom w:w="0" w:type="dxa"/>
          </w:tblCellMar>
        </w:tblPrEx>
        <w:tc>
          <w:tcPr>
            <w:tcW w:w="2160" w:type="dxa"/>
            <w:tcBorders>
              <w:top w:val="single" w:sz="4" w:space="0" w:color="auto"/>
              <w:left w:val="single" w:sz="4" w:space="0" w:color="auto"/>
              <w:bottom w:val="single" w:sz="4" w:space="0" w:color="auto"/>
              <w:right w:val="single" w:sz="4" w:space="0" w:color="auto"/>
            </w:tcBorders>
          </w:tcPr>
          <w:p w:rsidR="009A0DEE" w:rsidRDefault="009A0DEE">
            <w:pPr>
              <w:pStyle w:val="TableText"/>
            </w:pPr>
            <w:r>
              <w:t>OTHER</w:t>
            </w:r>
          </w:p>
        </w:tc>
        <w:tc>
          <w:tcPr>
            <w:tcW w:w="5040" w:type="dxa"/>
            <w:tcBorders>
              <w:top w:val="single" w:sz="4" w:space="0" w:color="auto"/>
              <w:left w:val="single" w:sz="4" w:space="0" w:color="auto"/>
              <w:bottom w:val="single" w:sz="4" w:space="0" w:color="auto"/>
              <w:right w:val="single" w:sz="4" w:space="0" w:color="auto"/>
            </w:tcBorders>
          </w:tcPr>
          <w:p w:rsidR="009A0DEE" w:rsidRDefault="009A0DEE">
            <w:pPr>
              <w:pStyle w:val="TableText"/>
            </w:pPr>
            <w:r>
              <w:t>PLATELET-RICH PLASMA</w:t>
            </w:r>
          </w:p>
        </w:tc>
        <w:tc>
          <w:tcPr>
            <w:tcW w:w="2160" w:type="dxa"/>
            <w:tcBorders>
              <w:top w:val="single" w:sz="4" w:space="0" w:color="auto"/>
              <w:left w:val="single" w:sz="4" w:space="0" w:color="auto"/>
              <w:bottom w:val="single" w:sz="4" w:space="0" w:color="auto"/>
              <w:right w:val="single" w:sz="4" w:space="0" w:color="auto"/>
            </w:tcBorders>
          </w:tcPr>
          <w:p w:rsidR="009A0DEE" w:rsidRDefault="009A0DEE">
            <w:pPr>
              <w:pStyle w:val="TableText"/>
            </w:pPr>
            <w:r>
              <w:t>No</w:t>
            </w:r>
          </w:p>
        </w:tc>
      </w:tr>
      <w:tr w:rsidR="009A0DEE">
        <w:tblPrEx>
          <w:tblCellMar>
            <w:top w:w="0" w:type="dxa"/>
            <w:bottom w:w="0" w:type="dxa"/>
          </w:tblCellMar>
        </w:tblPrEx>
        <w:tc>
          <w:tcPr>
            <w:tcW w:w="2160" w:type="dxa"/>
            <w:tcBorders>
              <w:top w:val="single" w:sz="4" w:space="0" w:color="auto"/>
              <w:left w:val="single" w:sz="4" w:space="0" w:color="auto"/>
              <w:bottom w:val="single" w:sz="4" w:space="0" w:color="auto"/>
              <w:right w:val="single" w:sz="4" w:space="0" w:color="auto"/>
            </w:tcBorders>
          </w:tcPr>
          <w:p w:rsidR="009A0DEE" w:rsidRDefault="009A0DEE">
            <w:pPr>
              <w:pStyle w:val="TableText"/>
            </w:pPr>
            <w:r>
              <w:t>OTHER</w:t>
            </w:r>
          </w:p>
        </w:tc>
        <w:tc>
          <w:tcPr>
            <w:tcW w:w="5040" w:type="dxa"/>
            <w:tcBorders>
              <w:top w:val="single" w:sz="4" w:space="0" w:color="auto"/>
              <w:left w:val="single" w:sz="4" w:space="0" w:color="auto"/>
              <w:bottom w:val="single" w:sz="4" w:space="0" w:color="auto"/>
              <w:right w:val="single" w:sz="4" w:space="0" w:color="auto"/>
            </w:tcBorders>
          </w:tcPr>
          <w:p w:rsidR="009A0DEE" w:rsidRDefault="009A0DEE">
            <w:pPr>
              <w:pStyle w:val="TableText"/>
            </w:pPr>
            <w:r>
              <w:t>GRANULOCYTES</w:t>
            </w:r>
          </w:p>
        </w:tc>
        <w:tc>
          <w:tcPr>
            <w:tcW w:w="2160" w:type="dxa"/>
            <w:tcBorders>
              <w:top w:val="single" w:sz="4" w:space="0" w:color="auto"/>
              <w:left w:val="single" w:sz="4" w:space="0" w:color="auto"/>
              <w:bottom w:val="single" w:sz="4" w:space="0" w:color="auto"/>
              <w:right w:val="single" w:sz="4" w:space="0" w:color="auto"/>
            </w:tcBorders>
          </w:tcPr>
          <w:p w:rsidR="009A0DEE" w:rsidRDefault="009A0DEE">
            <w:pPr>
              <w:pStyle w:val="TableText"/>
            </w:pPr>
            <w:r>
              <w:t>Yes</w:t>
            </w:r>
          </w:p>
        </w:tc>
      </w:tr>
      <w:tr w:rsidR="009A0DEE">
        <w:tblPrEx>
          <w:tblCellMar>
            <w:top w:w="0" w:type="dxa"/>
            <w:bottom w:w="0" w:type="dxa"/>
          </w:tblCellMar>
        </w:tblPrEx>
        <w:tc>
          <w:tcPr>
            <w:tcW w:w="2160" w:type="dxa"/>
            <w:tcBorders>
              <w:top w:val="single" w:sz="4" w:space="0" w:color="auto"/>
              <w:left w:val="single" w:sz="4" w:space="0" w:color="auto"/>
              <w:bottom w:val="single" w:sz="4" w:space="0" w:color="auto"/>
              <w:right w:val="single" w:sz="4" w:space="0" w:color="auto"/>
            </w:tcBorders>
          </w:tcPr>
          <w:p w:rsidR="009A0DEE" w:rsidRDefault="009A0DEE">
            <w:pPr>
              <w:pStyle w:val="TableText"/>
            </w:pPr>
            <w:r>
              <w:t>OTHER</w:t>
            </w:r>
          </w:p>
        </w:tc>
        <w:tc>
          <w:tcPr>
            <w:tcW w:w="5040" w:type="dxa"/>
            <w:tcBorders>
              <w:top w:val="single" w:sz="4" w:space="0" w:color="auto"/>
              <w:left w:val="single" w:sz="4" w:space="0" w:color="auto"/>
              <w:bottom w:val="single" w:sz="4" w:space="0" w:color="auto"/>
              <w:right w:val="single" w:sz="4" w:space="0" w:color="auto"/>
            </w:tcBorders>
          </w:tcPr>
          <w:p w:rsidR="009A0DEE" w:rsidRDefault="009A0DEE">
            <w:pPr>
              <w:pStyle w:val="TableText"/>
            </w:pPr>
            <w:r>
              <w:t>APHERESIS GRANULOCYTES-PLATELETS</w:t>
            </w:r>
          </w:p>
        </w:tc>
        <w:tc>
          <w:tcPr>
            <w:tcW w:w="2160" w:type="dxa"/>
            <w:tcBorders>
              <w:top w:val="single" w:sz="4" w:space="0" w:color="auto"/>
              <w:left w:val="single" w:sz="4" w:space="0" w:color="auto"/>
              <w:bottom w:val="single" w:sz="4" w:space="0" w:color="auto"/>
              <w:right w:val="single" w:sz="4" w:space="0" w:color="auto"/>
            </w:tcBorders>
          </w:tcPr>
          <w:p w:rsidR="009A0DEE" w:rsidRDefault="009A0DEE">
            <w:pPr>
              <w:pStyle w:val="TableText"/>
            </w:pPr>
            <w:r>
              <w:t>Yes</w:t>
            </w:r>
          </w:p>
        </w:tc>
      </w:tr>
      <w:tr w:rsidR="009A0DEE">
        <w:tblPrEx>
          <w:tblCellMar>
            <w:top w:w="0" w:type="dxa"/>
            <w:bottom w:w="0" w:type="dxa"/>
          </w:tblCellMar>
        </w:tblPrEx>
        <w:tc>
          <w:tcPr>
            <w:tcW w:w="2160" w:type="dxa"/>
            <w:tcBorders>
              <w:top w:val="single" w:sz="4" w:space="0" w:color="auto"/>
              <w:left w:val="single" w:sz="4" w:space="0" w:color="auto"/>
              <w:bottom w:val="single" w:sz="4" w:space="0" w:color="auto"/>
              <w:right w:val="single" w:sz="4" w:space="0" w:color="auto"/>
            </w:tcBorders>
          </w:tcPr>
          <w:p w:rsidR="009A0DEE" w:rsidRDefault="009A0DEE">
            <w:pPr>
              <w:pStyle w:val="TableText"/>
            </w:pPr>
            <w:r>
              <w:t>OTHER</w:t>
            </w:r>
          </w:p>
        </w:tc>
        <w:tc>
          <w:tcPr>
            <w:tcW w:w="5040" w:type="dxa"/>
            <w:tcBorders>
              <w:top w:val="single" w:sz="4" w:space="0" w:color="auto"/>
              <w:left w:val="single" w:sz="4" w:space="0" w:color="auto"/>
              <w:bottom w:val="single" w:sz="4" w:space="0" w:color="auto"/>
              <w:right w:val="single" w:sz="4" w:space="0" w:color="auto"/>
            </w:tcBorders>
          </w:tcPr>
          <w:p w:rsidR="009A0DEE" w:rsidRDefault="009A0DEE">
            <w:pPr>
              <w:pStyle w:val="TableText"/>
            </w:pPr>
            <w:r>
              <w:t>LEUKOCYTES</w:t>
            </w:r>
          </w:p>
        </w:tc>
        <w:tc>
          <w:tcPr>
            <w:tcW w:w="2160" w:type="dxa"/>
            <w:tcBorders>
              <w:top w:val="single" w:sz="4" w:space="0" w:color="auto"/>
              <w:left w:val="single" w:sz="4" w:space="0" w:color="auto"/>
              <w:bottom w:val="single" w:sz="4" w:space="0" w:color="auto"/>
              <w:right w:val="single" w:sz="4" w:space="0" w:color="auto"/>
            </w:tcBorders>
          </w:tcPr>
          <w:p w:rsidR="009A0DEE" w:rsidRDefault="009A0DEE">
            <w:pPr>
              <w:pStyle w:val="TableText"/>
            </w:pPr>
            <w:r>
              <w:t>Yes</w:t>
            </w:r>
          </w:p>
        </w:tc>
      </w:tr>
      <w:tr w:rsidR="009A0DEE">
        <w:tblPrEx>
          <w:tblCellMar>
            <w:top w:w="0" w:type="dxa"/>
            <w:bottom w:w="0" w:type="dxa"/>
          </w:tblCellMar>
        </w:tblPrEx>
        <w:tc>
          <w:tcPr>
            <w:tcW w:w="2160" w:type="dxa"/>
            <w:tcBorders>
              <w:top w:val="single" w:sz="4" w:space="0" w:color="auto"/>
              <w:left w:val="single" w:sz="4" w:space="0" w:color="auto"/>
              <w:bottom w:val="single" w:sz="4" w:space="0" w:color="auto"/>
              <w:right w:val="single" w:sz="4" w:space="0" w:color="auto"/>
            </w:tcBorders>
          </w:tcPr>
          <w:p w:rsidR="009A0DEE" w:rsidRDefault="009A0DEE">
            <w:pPr>
              <w:pStyle w:val="TableText"/>
            </w:pPr>
            <w:r>
              <w:t>OTHER</w:t>
            </w:r>
          </w:p>
        </w:tc>
        <w:tc>
          <w:tcPr>
            <w:tcW w:w="5040" w:type="dxa"/>
            <w:tcBorders>
              <w:top w:val="single" w:sz="4" w:space="0" w:color="auto"/>
              <w:left w:val="single" w:sz="4" w:space="0" w:color="auto"/>
              <w:bottom w:val="single" w:sz="4" w:space="0" w:color="auto"/>
              <w:right w:val="single" w:sz="4" w:space="0" w:color="auto"/>
            </w:tcBorders>
          </w:tcPr>
          <w:p w:rsidR="009A0DEE" w:rsidRDefault="009A0DEE">
            <w:pPr>
              <w:pStyle w:val="TableText"/>
            </w:pPr>
            <w:r>
              <w:t>POOLED PLASMA</w:t>
            </w:r>
          </w:p>
        </w:tc>
        <w:tc>
          <w:tcPr>
            <w:tcW w:w="2160" w:type="dxa"/>
            <w:tcBorders>
              <w:top w:val="single" w:sz="4" w:space="0" w:color="auto"/>
              <w:left w:val="single" w:sz="4" w:space="0" w:color="auto"/>
              <w:bottom w:val="single" w:sz="4" w:space="0" w:color="auto"/>
              <w:right w:val="single" w:sz="4" w:space="0" w:color="auto"/>
            </w:tcBorders>
          </w:tcPr>
          <w:p w:rsidR="009A0DEE" w:rsidRDefault="009A0DEE">
            <w:pPr>
              <w:pStyle w:val="TableText"/>
              <w:rPr>
                <w:color w:val="808080"/>
              </w:rPr>
            </w:pPr>
            <w:r>
              <w:t>No</w:t>
            </w:r>
          </w:p>
        </w:tc>
      </w:tr>
      <w:tr w:rsidR="009A0DEE">
        <w:tblPrEx>
          <w:tblCellMar>
            <w:top w:w="0" w:type="dxa"/>
            <w:bottom w:w="0" w:type="dxa"/>
          </w:tblCellMar>
        </w:tblPrEx>
        <w:tc>
          <w:tcPr>
            <w:tcW w:w="2160" w:type="dxa"/>
            <w:tcBorders>
              <w:top w:val="single" w:sz="4" w:space="0" w:color="auto"/>
              <w:left w:val="single" w:sz="4" w:space="0" w:color="auto"/>
              <w:bottom w:val="single" w:sz="4" w:space="0" w:color="auto"/>
              <w:right w:val="single" w:sz="4" w:space="0" w:color="auto"/>
            </w:tcBorders>
          </w:tcPr>
          <w:p w:rsidR="009A0DEE" w:rsidRDefault="009A0DEE">
            <w:pPr>
              <w:pStyle w:val="TableText"/>
            </w:pPr>
            <w:r>
              <w:t>OTHER</w:t>
            </w:r>
          </w:p>
        </w:tc>
        <w:tc>
          <w:tcPr>
            <w:tcW w:w="5040" w:type="dxa"/>
            <w:tcBorders>
              <w:top w:val="single" w:sz="4" w:space="0" w:color="auto"/>
              <w:left w:val="single" w:sz="4" w:space="0" w:color="auto"/>
              <w:bottom w:val="single" w:sz="4" w:space="0" w:color="auto"/>
              <w:right w:val="single" w:sz="4" w:space="0" w:color="auto"/>
            </w:tcBorders>
          </w:tcPr>
          <w:p w:rsidR="009A0DEE" w:rsidRDefault="009A0DEE">
            <w:pPr>
              <w:pStyle w:val="TableText"/>
            </w:pPr>
            <w:r>
              <w:t>PLATELET-RICH BUFFY COAT</w:t>
            </w:r>
          </w:p>
        </w:tc>
        <w:tc>
          <w:tcPr>
            <w:tcW w:w="2160" w:type="dxa"/>
            <w:tcBorders>
              <w:top w:val="single" w:sz="4" w:space="0" w:color="auto"/>
              <w:left w:val="single" w:sz="4" w:space="0" w:color="auto"/>
              <w:bottom w:val="single" w:sz="4" w:space="0" w:color="auto"/>
              <w:right w:val="single" w:sz="4" w:space="0" w:color="auto"/>
            </w:tcBorders>
          </w:tcPr>
          <w:p w:rsidR="009A0DEE" w:rsidRDefault="009A0DEE">
            <w:pPr>
              <w:pStyle w:val="TableText"/>
            </w:pPr>
            <w:r>
              <w:t>Yes</w:t>
            </w:r>
          </w:p>
        </w:tc>
      </w:tr>
      <w:tr w:rsidR="009A0DEE">
        <w:tblPrEx>
          <w:tblCellMar>
            <w:top w:w="0" w:type="dxa"/>
            <w:bottom w:w="0" w:type="dxa"/>
          </w:tblCellMar>
        </w:tblPrEx>
        <w:tc>
          <w:tcPr>
            <w:tcW w:w="2160" w:type="dxa"/>
            <w:tcBorders>
              <w:top w:val="single" w:sz="4" w:space="0" w:color="auto"/>
              <w:left w:val="single" w:sz="4" w:space="0" w:color="auto"/>
              <w:bottom w:val="single" w:sz="4" w:space="0" w:color="auto"/>
              <w:right w:val="single" w:sz="4" w:space="0" w:color="auto"/>
            </w:tcBorders>
          </w:tcPr>
          <w:p w:rsidR="009A0DEE" w:rsidRDefault="009A0DEE">
            <w:pPr>
              <w:pStyle w:val="TableText"/>
            </w:pPr>
            <w:r>
              <w:t>OTHER</w:t>
            </w:r>
          </w:p>
        </w:tc>
        <w:tc>
          <w:tcPr>
            <w:tcW w:w="5040" w:type="dxa"/>
            <w:tcBorders>
              <w:top w:val="single" w:sz="4" w:space="0" w:color="auto"/>
              <w:left w:val="single" w:sz="4" w:space="0" w:color="auto"/>
              <w:bottom w:val="single" w:sz="4" w:space="0" w:color="auto"/>
              <w:right w:val="single" w:sz="4" w:space="0" w:color="auto"/>
            </w:tcBorders>
          </w:tcPr>
          <w:p w:rsidR="009A0DEE" w:rsidRDefault="009A0DEE">
            <w:pPr>
              <w:pStyle w:val="TableText"/>
            </w:pPr>
            <w:r>
              <w:t>APHERESIS LYMPHOCYTES</w:t>
            </w:r>
          </w:p>
        </w:tc>
        <w:tc>
          <w:tcPr>
            <w:tcW w:w="2160" w:type="dxa"/>
            <w:tcBorders>
              <w:top w:val="single" w:sz="4" w:space="0" w:color="auto"/>
              <w:left w:val="single" w:sz="4" w:space="0" w:color="auto"/>
              <w:bottom w:val="single" w:sz="4" w:space="0" w:color="auto"/>
              <w:right w:val="single" w:sz="4" w:space="0" w:color="auto"/>
            </w:tcBorders>
          </w:tcPr>
          <w:p w:rsidR="009A0DEE" w:rsidRDefault="009A0DEE">
            <w:pPr>
              <w:pStyle w:val="TableText"/>
            </w:pPr>
            <w:r>
              <w:t>Yes</w:t>
            </w:r>
          </w:p>
        </w:tc>
      </w:tr>
      <w:tr w:rsidR="009A0DEE">
        <w:tblPrEx>
          <w:tblCellMar>
            <w:top w:w="0" w:type="dxa"/>
            <w:bottom w:w="0" w:type="dxa"/>
          </w:tblCellMar>
        </w:tblPrEx>
        <w:tc>
          <w:tcPr>
            <w:tcW w:w="2160" w:type="dxa"/>
            <w:tcBorders>
              <w:top w:val="single" w:sz="4" w:space="0" w:color="auto"/>
              <w:left w:val="single" w:sz="4" w:space="0" w:color="auto"/>
              <w:bottom w:val="single" w:sz="4" w:space="0" w:color="auto"/>
              <w:right w:val="single" w:sz="4" w:space="0" w:color="auto"/>
            </w:tcBorders>
          </w:tcPr>
          <w:p w:rsidR="009A0DEE" w:rsidRDefault="009A0DEE">
            <w:pPr>
              <w:pStyle w:val="TableText"/>
            </w:pPr>
            <w:r>
              <w:t>OTHER</w:t>
            </w:r>
          </w:p>
        </w:tc>
        <w:tc>
          <w:tcPr>
            <w:tcW w:w="5040" w:type="dxa"/>
            <w:tcBorders>
              <w:top w:val="single" w:sz="4" w:space="0" w:color="auto"/>
              <w:left w:val="single" w:sz="4" w:space="0" w:color="auto"/>
              <w:bottom w:val="single" w:sz="4" w:space="0" w:color="auto"/>
              <w:right w:val="single" w:sz="4" w:space="0" w:color="auto"/>
            </w:tcBorders>
          </w:tcPr>
          <w:p w:rsidR="009A0DEE" w:rsidRDefault="009A0DEE">
            <w:pPr>
              <w:pStyle w:val="TableText"/>
            </w:pPr>
            <w:r>
              <w:t>APHERESIS MONOCYTES</w:t>
            </w:r>
          </w:p>
        </w:tc>
        <w:tc>
          <w:tcPr>
            <w:tcW w:w="2160" w:type="dxa"/>
            <w:tcBorders>
              <w:top w:val="single" w:sz="4" w:space="0" w:color="auto"/>
              <w:left w:val="single" w:sz="4" w:space="0" w:color="auto"/>
              <w:bottom w:val="single" w:sz="4" w:space="0" w:color="auto"/>
              <w:right w:val="single" w:sz="4" w:space="0" w:color="auto"/>
            </w:tcBorders>
          </w:tcPr>
          <w:p w:rsidR="009A0DEE" w:rsidRDefault="009A0DEE">
            <w:pPr>
              <w:pStyle w:val="TableText"/>
            </w:pPr>
            <w:r>
              <w:t>Yes</w:t>
            </w:r>
          </w:p>
        </w:tc>
      </w:tr>
    </w:tbl>
    <w:p w:rsidR="002A21AE" w:rsidRDefault="002A21AE">
      <w:pPr>
        <w:pStyle w:val="Heading3"/>
      </w:pPr>
      <w:r>
        <w:br w:type="page"/>
      </w:r>
      <w:r w:rsidR="00966400">
        <w:rPr>
          <w:rFonts w:ascii="Geneva" w:hAnsi="Geneva"/>
          <w:vanish/>
        </w:rPr>
        <w:lastRenderedPageBreak/>
        <w:t xml:space="preserve"> </w:t>
      </w:r>
      <w:r>
        <w:rPr>
          <w:rFonts w:ascii="Geneva" w:hAnsi="Geneva"/>
          <w:vanish/>
        </w:rPr>
        <w:t xml:space="preserve">TT_26.02A </w:t>
      </w:r>
      <w:bookmarkStart w:id="650" w:name="_Toc459900203"/>
      <w:r>
        <w:t>Allowable Product Modifications by Original Product Type</w:t>
      </w:r>
      <w:bookmarkEnd w:id="650"/>
      <w:r>
        <w:fldChar w:fldCharType="begin"/>
      </w:r>
      <w:r>
        <w:instrText xml:space="preserve"> XE </w:instrText>
      </w:r>
      <w:r w:rsidR="00FA7E65">
        <w:instrText>“</w:instrText>
      </w:r>
      <w:r>
        <w:instrText>Tables:Allowable Product Modifications by Original Product Type</w:instrText>
      </w:r>
      <w:r w:rsidR="00FA7E65">
        <w:instrText>”</w:instrText>
      </w:r>
      <w:r>
        <w:instrText xml:space="preserve"> </w:instrText>
      </w:r>
      <w:r>
        <w:fldChar w:fldCharType="end"/>
      </w:r>
    </w:p>
    <w:p w:rsidR="002A21AE" w:rsidRDefault="002A21AE" w:rsidP="00FA7E65">
      <w:pPr>
        <w:pStyle w:val="BodyText"/>
        <w:rPr>
          <w:color w:val="800080"/>
        </w:rPr>
      </w:pPr>
      <w:r>
        <w:t xml:space="preserve">ICCBBA provides a comprehensive database with every known blood product type that includes a five-digit product code, Product Type classification, and the Product Attribute for each blood product. The VBECS Blood Product Table combines this ICCBBA ISBT 128 blood product database and the known Codabar blood products. Each Codabar blood product was assigned a Product Type and the Product Attribute Form column populated with a core condition and some basic attributes. </w:t>
      </w:r>
    </w:p>
    <w:p w:rsidR="002A21AE" w:rsidRDefault="002A21AE">
      <w:pPr>
        <w:pStyle w:val="Heading4"/>
      </w:pPr>
      <w:r>
        <w:t>Calculation of the Expiration Date</w:t>
      </w:r>
    </w:p>
    <w:p w:rsidR="002A21AE" w:rsidRDefault="002A21AE" w:rsidP="00FA7E65">
      <w:pPr>
        <w:pStyle w:val="BodyText"/>
      </w:pPr>
      <w:r>
        <w:t xml:space="preserve">VBECS calculates the expiration date of the new unit based on system rules specific to the blood product and modification types, and on whether the system is open or closed. The user may accept or edit this expiration date. </w:t>
      </w:r>
    </w:p>
    <w:p w:rsidR="002A21AE" w:rsidRDefault="003C5356" w:rsidP="00FA7E65">
      <w:pPr>
        <w:pStyle w:val="BodyText"/>
        <w:rPr>
          <w:highlight w:val="cyan"/>
        </w:rPr>
      </w:pPr>
      <w:r>
        <w:fldChar w:fldCharType="begin"/>
      </w:r>
      <w:r>
        <w:instrText xml:space="preserve"> REF _Ref126732350 \h </w:instrText>
      </w:r>
      <w:r>
        <w:fldChar w:fldCharType="separate"/>
      </w:r>
      <w:r w:rsidR="005F38BC">
        <w:t xml:space="preserve">Table </w:t>
      </w:r>
      <w:r w:rsidR="005F38BC">
        <w:rPr>
          <w:noProof/>
        </w:rPr>
        <w:t>22</w:t>
      </w:r>
      <w:r>
        <w:fldChar w:fldCharType="end"/>
      </w:r>
      <w:r w:rsidR="002A21AE">
        <w:t xml:space="preserve"> shows which kind of modifications are allowed for a specific product type. The first column contains product types; the second set of columns contains allowable modifications. Blank cells indicate that a modification type cannot be performed on an original product type. Modifications are not allowed for product types not listed.</w:t>
      </w:r>
    </w:p>
    <w:p w:rsidR="002A21AE" w:rsidRDefault="002A21AE">
      <w:pPr>
        <w:pStyle w:val="Caption"/>
      </w:pPr>
      <w:bookmarkStart w:id="651" w:name="_Toc97523640"/>
      <w:bookmarkStart w:id="652" w:name="_Toc97527610"/>
      <w:bookmarkStart w:id="653" w:name="_Ref126485019"/>
      <w:bookmarkStart w:id="654" w:name="_Ref126485828"/>
      <w:bookmarkStart w:id="655" w:name="_Ref126485880"/>
      <w:bookmarkStart w:id="656" w:name="_Ref126732350"/>
      <w:r>
        <w:t xml:space="preserve">Table </w:t>
      </w:r>
      <w:r>
        <w:fldChar w:fldCharType="begin"/>
      </w:r>
      <w:r>
        <w:instrText xml:space="preserve"> SEQ Table \* ARABIC </w:instrText>
      </w:r>
      <w:r>
        <w:fldChar w:fldCharType="separate"/>
      </w:r>
      <w:r w:rsidR="005F38BC">
        <w:rPr>
          <w:noProof/>
        </w:rPr>
        <w:t>22</w:t>
      </w:r>
      <w:r>
        <w:fldChar w:fldCharType="end"/>
      </w:r>
      <w:bookmarkEnd w:id="656"/>
      <w:r>
        <w:t xml:space="preserve">: </w:t>
      </w:r>
      <w:r>
        <w:rPr>
          <w:vanish/>
        </w:rPr>
        <w:t xml:space="preserve">TT_26.02A </w:t>
      </w:r>
      <w:r>
        <w:t>Allowable Product Modifications by Original Product Type</w:t>
      </w:r>
      <w:bookmarkEnd w:id="651"/>
      <w:bookmarkEnd w:id="652"/>
      <w:bookmarkEnd w:id="653"/>
      <w:bookmarkEnd w:id="654"/>
      <w:bookmarkEnd w:id="655"/>
    </w:p>
    <w:tbl>
      <w:tblPr>
        <w:tblW w:w="9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45"/>
        <w:gridCol w:w="1243"/>
        <w:gridCol w:w="611"/>
        <w:gridCol w:w="522"/>
        <w:gridCol w:w="444"/>
        <w:gridCol w:w="577"/>
        <w:gridCol w:w="800"/>
        <w:gridCol w:w="666"/>
        <w:gridCol w:w="733"/>
        <w:gridCol w:w="544"/>
        <w:gridCol w:w="700"/>
        <w:gridCol w:w="810"/>
        <w:gridCol w:w="810"/>
      </w:tblGrid>
      <w:tr w:rsidR="0098344D" w:rsidRPr="0012237E" w:rsidTr="00F91DAB">
        <w:tblPrEx>
          <w:tblCellMar>
            <w:top w:w="0" w:type="dxa"/>
            <w:left w:w="0" w:type="dxa"/>
            <w:bottom w:w="0" w:type="dxa"/>
            <w:right w:w="0" w:type="dxa"/>
          </w:tblCellMar>
        </w:tblPrEx>
        <w:trPr>
          <w:cantSplit/>
          <w:trHeight w:val="432"/>
          <w:tblHeader/>
        </w:trPr>
        <w:tc>
          <w:tcPr>
            <w:tcW w:w="9905" w:type="dxa"/>
            <w:gridSpan w:val="13"/>
            <w:shd w:val="clear" w:color="auto" w:fill="808080"/>
            <w:vAlign w:val="bottom"/>
          </w:tcPr>
          <w:p w:rsidR="0098344D" w:rsidRPr="0012237E" w:rsidRDefault="0098344D" w:rsidP="0098344D">
            <w:pPr>
              <w:jc w:val="center"/>
              <w:rPr>
                <w:rFonts w:ascii="Arial" w:hAnsi="Arial" w:cs="Arial"/>
                <w:b/>
                <w:sz w:val="20"/>
                <w:szCs w:val="20"/>
              </w:rPr>
            </w:pPr>
            <w:r w:rsidRPr="0012237E">
              <w:rPr>
                <w:rFonts w:ascii="Arial" w:hAnsi="Arial" w:cs="Arial"/>
                <w:b/>
                <w:sz w:val="20"/>
                <w:szCs w:val="20"/>
              </w:rPr>
              <w:t>Allowable Product Modific</w:t>
            </w:r>
            <w:r>
              <w:rPr>
                <w:rFonts w:ascii="Arial" w:hAnsi="Arial" w:cs="Arial"/>
                <w:b/>
                <w:sz w:val="20"/>
                <w:szCs w:val="20"/>
              </w:rPr>
              <w:t xml:space="preserve">ations by Original </w:t>
            </w:r>
            <w:r w:rsidRPr="0012237E">
              <w:rPr>
                <w:rFonts w:ascii="Arial" w:hAnsi="Arial" w:cs="Arial"/>
                <w:b/>
                <w:sz w:val="20"/>
                <w:szCs w:val="20"/>
              </w:rPr>
              <w:t>Product Type</w:t>
            </w:r>
          </w:p>
        </w:tc>
      </w:tr>
      <w:tr w:rsidR="0098344D" w:rsidRPr="0012237E" w:rsidTr="00F91DAB">
        <w:tblPrEx>
          <w:tblCellMar>
            <w:top w:w="0" w:type="dxa"/>
            <w:left w:w="0" w:type="dxa"/>
            <w:bottom w:w="0" w:type="dxa"/>
            <w:right w:w="0" w:type="dxa"/>
          </w:tblCellMar>
        </w:tblPrEx>
        <w:trPr>
          <w:cantSplit/>
          <w:trHeight w:val="432"/>
          <w:tblHeader/>
        </w:trPr>
        <w:tc>
          <w:tcPr>
            <w:tcW w:w="9905" w:type="dxa"/>
            <w:gridSpan w:val="13"/>
            <w:shd w:val="clear" w:color="auto" w:fill="808080"/>
            <w:vAlign w:val="bottom"/>
          </w:tcPr>
          <w:p w:rsidR="0098344D" w:rsidRPr="0012237E" w:rsidRDefault="0098344D" w:rsidP="006F7FC5">
            <w:pPr>
              <w:rPr>
                <w:rFonts w:ascii="Arial" w:hAnsi="Arial" w:cs="Arial"/>
                <w:b/>
                <w:sz w:val="20"/>
                <w:szCs w:val="20"/>
              </w:rPr>
            </w:pPr>
          </w:p>
          <w:p w:rsidR="0098344D" w:rsidRPr="0012237E" w:rsidRDefault="0098344D" w:rsidP="006F7FC5">
            <w:pPr>
              <w:rPr>
                <w:rFonts w:ascii="Arial" w:hAnsi="Arial" w:cs="Arial"/>
                <w:b/>
                <w:sz w:val="20"/>
                <w:szCs w:val="20"/>
              </w:rPr>
            </w:pPr>
            <w:r w:rsidRPr="0012237E">
              <w:rPr>
                <w:rFonts w:ascii="Arial" w:hAnsi="Arial" w:cs="Arial"/>
                <w:b/>
                <w:sz w:val="20"/>
                <w:szCs w:val="20"/>
              </w:rPr>
              <w:t>This table defines the allowable Modification using the Original/Parent Unit’s ICCBBA Product Type*</w:t>
            </w:r>
          </w:p>
        </w:tc>
      </w:tr>
      <w:tr w:rsidR="0098344D" w:rsidRPr="0012237E" w:rsidTr="00F91DAB">
        <w:tblPrEx>
          <w:tblCellMar>
            <w:top w:w="0" w:type="dxa"/>
            <w:left w:w="0" w:type="dxa"/>
            <w:bottom w:w="0" w:type="dxa"/>
            <w:right w:w="0" w:type="dxa"/>
          </w:tblCellMar>
        </w:tblPrEx>
        <w:trPr>
          <w:cantSplit/>
          <w:trHeight w:val="432"/>
          <w:tblHeader/>
        </w:trPr>
        <w:tc>
          <w:tcPr>
            <w:tcW w:w="1445" w:type="dxa"/>
            <w:shd w:val="clear" w:color="auto" w:fill="808080"/>
            <w:vAlign w:val="bottom"/>
          </w:tcPr>
          <w:p w:rsidR="0098344D" w:rsidRPr="0012237E" w:rsidRDefault="0098344D" w:rsidP="006F7FC5">
            <w:pPr>
              <w:rPr>
                <w:rFonts w:ascii="Arial" w:hAnsi="Arial" w:cs="Arial"/>
                <w:b/>
                <w:sz w:val="20"/>
                <w:szCs w:val="20"/>
              </w:rPr>
            </w:pPr>
            <w:r w:rsidRPr="0012237E">
              <w:rPr>
                <w:rFonts w:ascii="Arial" w:hAnsi="Arial" w:cs="Arial"/>
                <w:b/>
                <w:sz w:val="20"/>
                <w:szCs w:val="20"/>
              </w:rPr>
              <w:t xml:space="preserve"> Product Type Name</w:t>
            </w:r>
          </w:p>
        </w:tc>
        <w:tc>
          <w:tcPr>
            <w:tcW w:w="1243" w:type="dxa"/>
            <w:shd w:val="clear" w:color="auto" w:fill="FFFFFF"/>
            <w:vAlign w:val="center"/>
          </w:tcPr>
          <w:p w:rsidR="0098344D" w:rsidRPr="0012237E" w:rsidRDefault="0098344D" w:rsidP="006F7FC5">
            <w:pPr>
              <w:jc w:val="center"/>
              <w:rPr>
                <w:rFonts w:ascii="Arial" w:hAnsi="Arial" w:cs="Arial"/>
                <w:b/>
                <w:sz w:val="20"/>
                <w:szCs w:val="20"/>
              </w:rPr>
            </w:pPr>
            <w:r w:rsidRPr="0012237E">
              <w:rPr>
                <w:rFonts w:ascii="Arial" w:hAnsi="Arial" w:cs="Arial"/>
                <w:b/>
                <w:sz w:val="20"/>
                <w:szCs w:val="20"/>
              </w:rPr>
              <w:t>ICCBBA  Product Type*</w:t>
            </w:r>
          </w:p>
        </w:tc>
        <w:tc>
          <w:tcPr>
            <w:tcW w:w="611" w:type="dxa"/>
            <w:shd w:val="clear" w:color="auto" w:fill="808080"/>
            <w:vAlign w:val="center"/>
          </w:tcPr>
          <w:p w:rsidR="0098344D" w:rsidRPr="0012237E" w:rsidRDefault="0098344D" w:rsidP="006F7FC5">
            <w:pPr>
              <w:jc w:val="center"/>
              <w:rPr>
                <w:rFonts w:ascii="Arial" w:hAnsi="Arial" w:cs="Arial"/>
                <w:b/>
                <w:sz w:val="20"/>
                <w:szCs w:val="20"/>
              </w:rPr>
            </w:pPr>
            <w:r w:rsidRPr="0012237E">
              <w:rPr>
                <w:rFonts w:ascii="Arial" w:hAnsi="Arial" w:cs="Arial"/>
                <w:b/>
                <w:sz w:val="20"/>
                <w:szCs w:val="20"/>
              </w:rPr>
              <w:t>Split/</w:t>
            </w:r>
          </w:p>
          <w:p w:rsidR="0098344D" w:rsidRPr="0012237E" w:rsidRDefault="0098344D" w:rsidP="006F7FC5">
            <w:pPr>
              <w:jc w:val="center"/>
              <w:rPr>
                <w:rFonts w:ascii="Arial" w:hAnsi="Arial" w:cs="Arial"/>
                <w:b/>
                <w:sz w:val="20"/>
                <w:szCs w:val="20"/>
              </w:rPr>
            </w:pPr>
            <w:r w:rsidRPr="0012237E">
              <w:rPr>
                <w:rFonts w:ascii="Arial" w:hAnsi="Arial" w:cs="Arial"/>
                <w:b/>
                <w:sz w:val="20"/>
                <w:szCs w:val="20"/>
              </w:rPr>
              <w:t>Divide</w:t>
            </w:r>
          </w:p>
        </w:tc>
        <w:tc>
          <w:tcPr>
            <w:tcW w:w="522" w:type="dxa"/>
            <w:tcBorders>
              <w:bottom w:val="single" w:sz="4" w:space="0" w:color="auto"/>
            </w:tcBorders>
            <w:shd w:val="clear" w:color="auto" w:fill="808080"/>
            <w:vAlign w:val="center"/>
          </w:tcPr>
          <w:p w:rsidR="0098344D" w:rsidRPr="0012237E" w:rsidRDefault="0098344D" w:rsidP="006F7FC5">
            <w:pPr>
              <w:jc w:val="center"/>
              <w:rPr>
                <w:rFonts w:ascii="Arial" w:hAnsi="Arial" w:cs="Arial"/>
                <w:b/>
                <w:sz w:val="20"/>
                <w:szCs w:val="20"/>
              </w:rPr>
            </w:pPr>
            <w:r w:rsidRPr="0012237E">
              <w:rPr>
                <w:rFonts w:ascii="Arial" w:hAnsi="Arial" w:cs="Arial"/>
                <w:b/>
                <w:sz w:val="20"/>
                <w:szCs w:val="20"/>
              </w:rPr>
              <w:t>Thaw</w:t>
            </w:r>
          </w:p>
        </w:tc>
        <w:tc>
          <w:tcPr>
            <w:tcW w:w="444" w:type="dxa"/>
            <w:tcBorders>
              <w:bottom w:val="single" w:sz="4" w:space="0" w:color="auto"/>
            </w:tcBorders>
            <w:shd w:val="clear" w:color="auto" w:fill="808080"/>
            <w:vAlign w:val="center"/>
          </w:tcPr>
          <w:p w:rsidR="0098344D" w:rsidRPr="0012237E" w:rsidRDefault="0098344D" w:rsidP="006F7FC5">
            <w:pPr>
              <w:jc w:val="center"/>
              <w:rPr>
                <w:rFonts w:ascii="Arial" w:hAnsi="Arial" w:cs="Arial"/>
                <w:b/>
                <w:sz w:val="20"/>
                <w:szCs w:val="20"/>
              </w:rPr>
            </w:pPr>
            <w:r w:rsidRPr="0012237E">
              <w:rPr>
                <w:rFonts w:ascii="Arial" w:hAnsi="Arial" w:cs="Arial"/>
                <w:b/>
                <w:sz w:val="20"/>
                <w:szCs w:val="20"/>
              </w:rPr>
              <w:t>Pool</w:t>
            </w:r>
          </w:p>
        </w:tc>
        <w:tc>
          <w:tcPr>
            <w:tcW w:w="577" w:type="dxa"/>
            <w:tcBorders>
              <w:bottom w:val="single" w:sz="4" w:space="0" w:color="auto"/>
            </w:tcBorders>
            <w:shd w:val="clear" w:color="auto" w:fill="808080"/>
            <w:vAlign w:val="center"/>
          </w:tcPr>
          <w:p w:rsidR="0098344D" w:rsidRPr="0012237E" w:rsidRDefault="0098344D" w:rsidP="006F7FC5">
            <w:pPr>
              <w:jc w:val="center"/>
              <w:rPr>
                <w:rFonts w:ascii="Arial" w:hAnsi="Arial" w:cs="Arial"/>
                <w:b/>
                <w:sz w:val="20"/>
                <w:szCs w:val="20"/>
              </w:rPr>
            </w:pPr>
            <w:r w:rsidRPr="0012237E">
              <w:rPr>
                <w:rFonts w:ascii="Arial" w:hAnsi="Arial" w:cs="Arial"/>
                <w:b/>
                <w:sz w:val="20"/>
                <w:szCs w:val="20"/>
              </w:rPr>
              <w:t>Thaw/</w:t>
            </w:r>
          </w:p>
          <w:p w:rsidR="0098344D" w:rsidRPr="0012237E" w:rsidRDefault="0098344D" w:rsidP="006F7FC5">
            <w:pPr>
              <w:jc w:val="center"/>
              <w:rPr>
                <w:rFonts w:ascii="Arial" w:hAnsi="Arial" w:cs="Arial"/>
                <w:b/>
                <w:sz w:val="20"/>
                <w:szCs w:val="20"/>
              </w:rPr>
            </w:pPr>
            <w:r w:rsidRPr="0012237E">
              <w:rPr>
                <w:rFonts w:ascii="Arial" w:hAnsi="Arial" w:cs="Arial"/>
                <w:b/>
                <w:sz w:val="20"/>
                <w:szCs w:val="20"/>
              </w:rPr>
              <w:t>Pool</w:t>
            </w:r>
          </w:p>
        </w:tc>
        <w:tc>
          <w:tcPr>
            <w:tcW w:w="800" w:type="dxa"/>
            <w:shd w:val="clear" w:color="auto" w:fill="808080"/>
            <w:vAlign w:val="center"/>
          </w:tcPr>
          <w:p w:rsidR="0098344D" w:rsidRPr="0012237E" w:rsidRDefault="0098344D" w:rsidP="006F7FC5">
            <w:pPr>
              <w:jc w:val="center"/>
              <w:rPr>
                <w:rFonts w:ascii="Arial" w:hAnsi="Arial" w:cs="Arial"/>
                <w:b/>
                <w:sz w:val="20"/>
                <w:szCs w:val="20"/>
              </w:rPr>
            </w:pPr>
            <w:r w:rsidRPr="0012237E">
              <w:rPr>
                <w:rFonts w:ascii="Arial" w:hAnsi="Arial" w:cs="Arial"/>
                <w:b/>
                <w:sz w:val="20"/>
                <w:szCs w:val="20"/>
              </w:rPr>
              <w:t>Irradiate</w:t>
            </w:r>
          </w:p>
        </w:tc>
        <w:tc>
          <w:tcPr>
            <w:tcW w:w="666" w:type="dxa"/>
            <w:shd w:val="clear" w:color="auto" w:fill="808080"/>
            <w:vAlign w:val="center"/>
          </w:tcPr>
          <w:p w:rsidR="0098344D" w:rsidRPr="0012237E" w:rsidRDefault="0098344D" w:rsidP="006F7FC5">
            <w:pPr>
              <w:jc w:val="center"/>
              <w:rPr>
                <w:rFonts w:ascii="Arial" w:hAnsi="Arial" w:cs="Arial"/>
                <w:b/>
                <w:sz w:val="20"/>
                <w:szCs w:val="20"/>
              </w:rPr>
            </w:pPr>
            <w:r w:rsidRPr="0012237E">
              <w:rPr>
                <w:rFonts w:ascii="Arial" w:hAnsi="Arial" w:cs="Arial"/>
                <w:b/>
                <w:sz w:val="20"/>
                <w:szCs w:val="20"/>
              </w:rPr>
              <w:t>Leuko-reduce</w:t>
            </w:r>
          </w:p>
        </w:tc>
        <w:tc>
          <w:tcPr>
            <w:tcW w:w="733" w:type="dxa"/>
            <w:shd w:val="clear" w:color="auto" w:fill="808080"/>
            <w:vAlign w:val="center"/>
          </w:tcPr>
          <w:p w:rsidR="0098344D" w:rsidRPr="0012237E" w:rsidRDefault="0098344D" w:rsidP="006F7FC5">
            <w:pPr>
              <w:jc w:val="center"/>
              <w:rPr>
                <w:rFonts w:ascii="Arial" w:hAnsi="Arial" w:cs="Arial"/>
                <w:b/>
                <w:sz w:val="20"/>
                <w:szCs w:val="20"/>
              </w:rPr>
            </w:pPr>
            <w:r w:rsidRPr="0012237E">
              <w:rPr>
                <w:rFonts w:ascii="Arial" w:hAnsi="Arial" w:cs="Arial"/>
                <w:b/>
                <w:sz w:val="20"/>
                <w:szCs w:val="20"/>
              </w:rPr>
              <w:t>Volume Reduce</w:t>
            </w:r>
          </w:p>
        </w:tc>
        <w:tc>
          <w:tcPr>
            <w:tcW w:w="544" w:type="dxa"/>
            <w:shd w:val="clear" w:color="auto" w:fill="808080"/>
            <w:vAlign w:val="center"/>
          </w:tcPr>
          <w:p w:rsidR="0098344D" w:rsidRPr="0012237E" w:rsidRDefault="0098344D" w:rsidP="006F7FC5">
            <w:pPr>
              <w:jc w:val="center"/>
              <w:rPr>
                <w:rFonts w:ascii="Arial" w:hAnsi="Arial" w:cs="Arial"/>
                <w:b/>
                <w:sz w:val="20"/>
                <w:szCs w:val="20"/>
              </w:rPr>
            </w:pPr>
            <w:r w:rsidRPr="0012237E">
              <w:rPr>
                <w:rFonts w:ascii="Arial" w:hAnsi="Arial" w:cs="Arial"/>
                <w:b/>
                <w:sz w:val="20"/>
                <w:szCs w:val="20"/>
              </w:rPr>
              <w:t>Wash</w:t>
            </w:r>
          </w:p>
        </w:tc>
        <w:tc>
          <w:tcPr>
            <w:tcW w:w="700" w:type="dxa"/>
            <w:tcBorders>
              <w:bottom w:val="single" w:sz="4" w:space="0" w:color="auto"/>
            </w:tcBorders>
            <w:shd w:val="clear" w:color="auto" w:fill="808080"/>
            <w:vAlign w:val="center"/>
          </w:tcPr>
          <w:p w:rsidR="0098344D" w:rsidRPr="0012237E" w:rsidRDefault="0098344D" w:rsidP="006F7FC5">
            <w:pPr>
              <w:jc w:val="center"/>
              <w:rPr>
                <w:rFonts w:ascii="Arial" w:hAnsi="Arial" w:cs="Arial"/>
                <w:b/>
                <w:sz w:val="20"/>
                <w:szCs w:val="20"/>
              </w:rPr>
            </w:pPr>
            <w:r w:rsidRPr="0012237E">
              <w:rPr>
                <w:rFonts w:ascii="Arial" w:hAnsi="Arial" w:cs="Arial"/>
                <w:b/>
                <w:sz w:val="20"/>
                <w:szCs w:val="20"/>
              </w:rPr>
              <w:t>Rejuvenate</w:t>
            </w:r>
          </w:p>
        </w:tc>
        <w:tc>
          <w:tcPr>
            <w:tcW w:w="810" w:type="dxa"/>
            <w:shd w:val="clear" w:color="auto" w:fill="808080"/>
            <w:vAlign w:val="center"/>
          </w:tcPr>
          <w:p w:rsidR="0098344D" w:rsidRPr="0012237E" w:rsidRDefault="0098344D" w:rsidP="006F7FC5">
            <w:pPr>
              <w:jc w:val="center"/>
              <w:rPr>
                <w:rFonts w:ascii="Arial" w:hAnsi="Arial" w:cs="Arial"/>
                <w:b/>
                <w:sz w:val="20"/>
                <w:szCs w:val="20"/>
              </w:rPr>
            </w:pPr>
            <w:r w:rsidRPr="0012237E">
              <w:rPr>
                <w:rFonts w:ascii="Arial" w:hAnsi="Arial" w:cs="Arial"/>
                <w:b/>
                <w:sz w:val="20"/>
                <w:szCs w:val="20"/>
              </w:rPr>
              <w:t>Freeze</w:t>
            </w:r>
          </w:p>
        </w:tc>
        <w:tc>
          <w:tcPr>
            <w:tcW w:w="810" w:type="dxa"/>
            <w:tcBorders>
              <w:bottom w:val="single" w:sz="4" w:space="0" w:color="auto"/>
            </w:tcBorders>
            <w:shd w:val="clear" w:color="auto" w:fill="808080"/>
            <w:vAlign w:val="center"/>
          </w:tcPr>
          <w:p w:rsidR="0098344D" w:rsidRPr="0012237E" w:rsidRDefault="0098344D" w:rsidP="006F7FC5">
            <w:pPr>
              <w:jc w:val="center"/>
              <w:rPr>
                <w:rFonts w:ascii="Arial" w:hAnsi="Arial" w:cs="Arial"/>
                <w:b/>
                <w:sz w:val="20"/>
                <w:szCs w:val="20"/>
              </w:rPr>
            </w:pPr>
            <w:r w:rsidRPr="0012237E">
              <w:rPr>
                <w:rFonts w:ascii="Arial" w:hAnsi="Arial" w:cs="Arial"/>
                <w:b/>
                <w:sz w:val="20"/>
                <w:szCs w:val="20"/>
              </w:rPr>
              <w:t>Deglycerolize</w:t>
            </w: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sz w:val="20"/>
                <w:szCs w:val="20"/>
              </w:rPr>
              <w:t>WHOLE BLOOD</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E001</w:t>
            </w:r>
          </w:p>
        </w:tc>
        <w:tc>
          <w:tcPr>
            <w:tcW w:w="611"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rsidR="0098344D" w:rsidRPr="004F2C12" w:rsidRDefault="0098344D" w:rsidP="006F7FC5">
            <w:pPr>
              <w:jc w:val="center"/>
              <w:rPr>
                <w:rFonts w:ascii="Arial" w:hAnsi="Arial" w:cs="Arial"/>
                <w:b/>
                <w:sz w:val="28"/>
                <w:szCs w:val="28"/>
              </w:rPr>
            </w:pPr>
          </w:p>
        </w:tc>
        <w:tc>
          <w:tcPr>
            <w:tcW w:w="444" w:type="dxa"/>
            <w:shd w:val="clear" w:color="auto" w:fill="C0C0C0"/>
            <w:vAlign w:val="center"/>
          </w:tcPr>
          <w:p w:rsidR="0098344D" w:rsidRPr="004F2C12" w:rsidRDefault="0098344D" w:rsidP="006F7FC5">
            <w:pPr>
              <w:jc w:val="center"/>
              <w:rPr>
                <w:rFonts w:ascii="Arial" w:hAnsi="Arial" w:cs="Arial"/>
                <w:b/>
                <w:sz w:val="28"/>
                <w:szCs w:val="28"/>
              </w:rPr>
            </w:pPr>
          </w:p>
        </w:tc>
        <w:tc>
          <w:tcPr>
            <w:tcW w:w="577" w:type="dxa"/>
            <w:shd w:val="clear" w:color="auto" w:fill="C0C0C0"/>
            <w:vAlign w:val="center"/>
          </w:tcPr>
          <w:p w:rsidR="0098344D" w:rsidRPr="004F2C12" w:rsidRDefault="0098344D" w:rsidP="006F7FC5">
            <w:pPr>
              <w:jc w:val="center"/>
              <w:rPr>
                <w:rFonts w:ascii="Arial" w:hAnsi="Arial" w:cs="Arial"/>
                <w:b/>
                <w:sz w:val="28"/>
                <w:szCs w:val="28"/>
              </w:rPr>
            </w:pPr>
          </w:p>
        </w:tc>
        <w:tc>
          <w:tcPr>
            <w:tcW w:w="800"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666"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733"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544"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700"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810"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sz w:val="20"/>
                <w:szCs w:val="20"/>
              </w:rPr>
              <w:t>RED BLOOD CELLS</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E002</w:t>
            </w:r>
          </w:p>
        </w:tc>
        <w:tc>
          <w:tcPr>
            <w:tcW w:w="611"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rsidR="0098344D" w:rsidRPr="004F2C12" w:rsidRDefault="0098344D" w:rsidP="006F7FC5">
            <w:pPr>
              <w:jc w:val="center"/>
              <w:rPr>
                <w:rFonts w:ascii="Arial" w:hAnsi="Arial" w:cs="Arial"/>
                <w:b/>
                <w:sz w:val="28"/>
                <w:szCs w:val="28"/>
              </w:rPr>
            </w:pPr>
          </w:p>
        </w:tc>
        <w:tc>
          <w:tcPr>
            <w:tcW w:w="444" w:type="dxa"/>
            <w:shd w:val="clear" w:color="auto" w:fill="C0C0C0"/>
            <w:vAlign w:val="center"/>
          </w:tcPr>
          <w:p w:rsidR="0098344D" w:rsidRPr="004F2C12" w:rsidRDefault="0098344D" w:rsidP="006F7FC5">
            <w:pPr>
              <w:jc w:val="center"/>
              <w:rPr>
                <w:rFonts w:ascii="Arial" w:hAnsi="Arial" w:cs="Arial"/>
                <w:b/>
                <w:sz w:val="28"/>
                <w:szCs w:val="28"/>
              </w:rPr>
            </w:pPr>
          </w:p>
        </w:tc>
        <w:tc>
          <w:tcPr>
            <w:tcW w:w="577" w:type="dxa"/>
            <w:shd w:val="clear" w:color="auto" w:fill="C0C0C0"/>
            <w:vAlign w:val="center"/>
          </w:tcPr>
          <w:p w:rsidR="0098344D" w:rsidRPr="004F2C12" w:rsidRDefault="0098344D" w:rsidP="006F7FC5">
            <w:pPr>
              <w:jc w:val="center"/>
              <w:rPr>
                <w:rFonts w:ascii="Arial" w:hAnsi="Arial" w:cs="Arial"/>
                <w:b/>
                <w:sz w:val="28"/>
                <w:szCs w:val="28"/>
              </w:rPr>
            </w:pPr>
          </w:p>
        </w:tc>
        <w:tc>
          <w:tcPr>
            <w:tcW w:w="800"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666"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733"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544"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700"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810"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sz w:val="20"/>
                <w:szCs w:val="20"/>
              </w:rPr>
              <w:t>Washed RED BLOOD CELLS</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E003</w:t>
            </w:r>
          </w:p>
        </w:tc>
        <w:tc>
          <w:tcPr>
            <w:tcW w:w="611"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rsidR="0098344D" w:rsidRPr="004F2C12" w:rsidRDefault="0098344D" w:rsidP="006F7FC5">
            <w:pPr>
              <w:jc w:val="center"/>
              <w:rPr>
                <w:rFonts w:ascii="Arial" w:hAnsi="Arial" w:cs="Arial"/>
                <w:b/>
                <w:sz w:val="28"/>
                <w:szCs w:val="28"/>
              </w:rPr>
            </w:pPr>
          </w:p>
        </w:tc>
        <w:tc>
          <w:tcPr>
            <w:tcW w:w="444" w:type="dxa"/>
            <w:shd w:val="clear" w:color="auto" w:fill="C0C0C0"/>
            <w:vAlign w:val="center"/>
          </w:tcPr>
          <w:p w:rsidR="0098344D" w:rsidRPr="004F2C12" w:rsidRDefault="0098344D" w:rsidP="006F7FC5">
            <w:pPr>
              <w:jc w:val="center"/>
              <w:rPr>
                <w:rFonts w:ascii="Arial" w:hAnsi="Arial" w:cs="Arial"/>
                <w:b/>
                <w:sz w:val="28"/>
                <w:szCs w:val="28"/>
              </w:rPr>
            </w:pPr>
          </w:p>
        </w:tc>
        <w:tc>
          <w:tcPr>
            <w:tcW w:w="577" w:type="dxa"/>
            <w:shd w:val="clear" w:color="auto" w:fill="C0C0C0"/>
            <w:vAlign w:val="center"/>
          </w:tcPr>
          <w:p w:rsidR="0098344D" w:rsidRPr="004F2C12" w:rsidRDefault="0098344D" w:rsidP="006F7FC5">
            <w:pPr>
              <w:jc w:val="center"/>
              <w:rPr>
                <w:rFonts w:ascii="Arial" w:hAnsi="Arial" w:cs="Arial"/>
                <w:b/>
                <w:sz w:val="28"/>
                <w:szCs w:val="28"/>
              </w:rPr>
            </w:pPr>
          </w:p>
        </w:tc>
        <w:tc>
          <w:tcPr>
            <w:tcW w:w="800"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666"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733"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544"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700"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810"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sz w:val="20"/>
                <w:szCs w:val="20"/>
              </w:rPr>
              <w:t>Frozen RED BLOOD CELLS</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E004</w:t>
            </w:r>
          </w:p>
        </w:tc>
        <w:tc>
          <w:tcPr>
            <w:tcW w:w="611" w:type="dxa"/>
            <w:shd w:val="clear" w:color="auto" w:fill="C0C0C0"/>
            <w:vAlign w:val="center"/>
          </w:tcPr>
          <w:p w:rsidR="0098344D" w:rsidRPr="004F2C12" w:rsidRDefault="0098344D" w:rsidP="006F7FC5">
            <w:pPr>
              <w:jc w:val="center"/>
              <w:rPr>
                <w:rFonts w:ascii="Arial" w:hAnsi="Arial" w:cs="Arial"/>
                <w:b/>
                <w:sz w:val="28"/>
                <w:szCs w:val="28"/>
              </w:rPr>
            </w:pPr>
          </w:p>
        </w:tc>
        <w:tc>
          <w:tcPr>
            <w:tcW w:w="522" w:type="dxa"/>
            <w:shd w:val="clear" w:color="auto" w:fill="C0C0C0"/>
            <w:vAlign w:val="center"/>
          </w:tcPr>
          <w:p w:rsidR="0098344D" w:rsidRPr="004F2C12" w:rsidRDefault="0098344D" w:rsidP="006F7FC5">
            <w:pPr>
              <w:jc w:val="center"/>
              <w:rPr>
                <w:rFonts w:ascii="Arial" w:hAnsi="Arial" w:cs="Arial"/>
                <w:b/>
                <w:sz w:val="28"/>
                <w:szCs w:val="28"/>
              </w:rPr>
            </w:pPr>
          </w:p>
        </w:tc>
        <w:tc>
          <w:tcPr>
            <w:tcW w:w="444" w:type="dxa"/>
            <w:shd w:val="clear" w:color="auto" w:fill="C0C0C0"/>
            <w:vAlign w:val="center"/>
          </w:tcPr>
          <w:p w:rsidR="0098344D" w:rsidRPr="004F2C12" w:rsidRDefault="0098344D" w:rsidP="006F7FC5">
            <w:pPr>
              <w:jc w:val="center"/>
              <w:rPr>
                <w:rFonts w:ascii="Arial" w:hAnsi="Arial" w:cs="Arial"/>
                <w:b/>
                <w:sz w:val="28"/>
                <w:szCs w:val="28"/>
              </w:rPr>
            </w:pPr>
          </w:p>
        </w:tc>
        <w:tc>
          <w:tcPr>
            <w:tcW w:w="577" w:type="dxa"/>
            <w:shd w:val="clear" w:color="auto" w:fill="C0C0C0"/>
            <w:vAlign w:val="center"/>
          </w:tcPr>
          <w:p w:rsidR="0098344D" w:rsidRPr="004F2C12" w:rsidRDefault="0098344D" w:rsidP="006F7FC5">
            <w:pPr>
              <w:jc w:val="center"/>
              <w:rPr>
                <w:rFonts w:ascii="Arial" w:hAnsi="Arial" w:cs="Arial"/>
                <w:b/>
                <w:sz w:val="28"/>
                <w:szCs w:val="28"/>
              </w:rPr>
            </w:pPr>
          </w:p>
        </w:tc>
        <w:tc>
          <w:tcPr>
            <w:tcW w:w="800" w:type="dxa"/>
            <w:shd w:val="clear" w:color="auto" w:fill="C0C0C0"/>
            <w:vAlign w:val="center"/>
          </w:tcPr>
          <w:p w:rsidR="0098344D" w:rsidRPr="004F2C12" w:rsidRDefault="0098344D" w:rsidP="006F7FC5">
            <w:pPr>
              <w:jc w:val="center"/>
              <w:rPr>
                <w:rFonts w:ascii="Arial" w:hAnsi="Arial" w:cs="Arial"/>
                <w:b/>
                <w:sz w:val="28"/>
                <w:szCs w:val="28"/>
              </w:rPr>
            </w:pPr>
          </w:p>
        </w:tc>
        <w:tc>
          <w:tcPr>
            <w:tcW w:w="666" w:type="dxa"/>
            <w:shd w:val="clear" w:color="auto" w:fill="C0C0C0"/>
            <w:vAlign w:val="center"/>
          </w:tcPr>
          <w:p w:rsidR="0098344D" w:rsidRPr="004F2C12" w:rsidRDefault="0098344D" w:rsidP="006F7FC5">
            <w:pPr>
              <w:jc w:val="center"/>
              <w:rPr>
                <w:rFonts w:ascii="Arial" w:hAnsi="Arial" w:cs="Arial"/>
                <w:b/>
                <w:sz w:val="28"/>
                <w:szCs w:val="28"/>
              </w:rPr>
            </w:pPr>
          </w:p>
        </w:tc>
        <w:tc>
          <w:tcPr>
            <w:tcW w:w="733" w:type="dxa"/>
            <w:shd w:val="clear" w:color="auto" w:fill="C0C0C0"/>
            <w:vAlign w:val="center"/>
          </w:tcPr>
          <w:p w:rsidR="0098344D" w:rsidRPr="004F2C12" w:rsidRDefault="0098344D" w:rsidP="006F7FC5">
            <w:pPr>
              <w:jc w:val="center"/>
              <w:rPr>
                <w:rFonts w:ascii="Arial" w:hAnsi="Arial" w:cs="Arial"/>
                <w:b/>
                <w:sz w:val="28"/>
                <w:szCs w:val="28"/>
              </w:rPr>
            </w:pPr>
          </w:p>
        </w:tc>
        <w:tc>
          <w:tcPr>
            <w:tcW w:w="544" w:type="dxa"/>
            <w:shd w:val="clear" w:color="auto" w:fill="C0C0C0"/>
            <w:vAlign w:val="center"/>
          </w:tcPr>
          <w:p w:rsidR="0098344D" w:rsidRPr="004F2C12" w:rsidRDefault="0098344D" w:rsidP="006F7FC5">
            <w:pPr>
              <w:jc w:val="center"/>
              <w:rPr>
                <w:rFonts w:ascii="Arial" w:hAnsi="Arial" w:cs="Arial"/>
                <w:b/>
                <w:sz w:val="28"/>
                <w:szCs w:val="28"/>
              </w:rPr>
            </w:pPr>
          </w:p>
        </w:tc>
        <w:tc>
          <w:tcPr>
            <w:tcW w:w="70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sz w:val="20"/>
                <w:szCs w:val="20"/>
              </w:rPr>
              <w:t>Frozen Rejuvenated RED BLOOD CELLS</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E005</w:t>
            </w:r>
          </w:p>
        </w:tc>
        <w:tc>
          <w:tcPr>
            <w:tcW w:w="611" w:type="dxa"/>
            <w:shd w:val="clear" w:color="auto" w:fill="C0C0C0"/>
            <w:vAlign w:val="center"/>
          </w:tcPr>
          <w:p w:rsidR="0098344D" w:rsidRPr="004F2C12" w:rsidRDefault="0098344D" w:rsidP="006F7FC5">
            <w:pPr>
              <w:jc w:val="center"/>
              <w:rPr>
                <w:rFonts w:ascii="Arial" w:hAnsi="Arial" w:cs="Arial"/>
                <w:b/>
                <w:sz w:val="28"/>
                <w:szCs w:val="28"/>
              </w:rPr>
            </w:pPr>
          </w:p>
        </w:tc>
        <w:tc>
          <w:tcPr>
            <w:tcW w:w="522" w:type="dxa"/>
            <w:shd w:val="clear" w:color="auto" w:fill="C0C0C0"/>
            <w:vAlign w:val="center"/>
          </w:tcPr>
          <w:p w:rsidR="0098344D" w:rsidRPr="004F2C12" w:rsidRDefault="0098344D" w:rsidP="006F7FC5">
            <w:pPr>
              <w:jc w:val="center"/>
              <w:rPr>
                <w:rFonts w:ascii="Arial" w:hAnsi="Arial" w:cs="Arial"/>
                <w:b/>
                <w:sz w:val="28"/>
                <w:szCs w:val="28"/>
              </w:rPr>
            </w:pPr>
          </w:p>
        </w:tc>
        <w:tc>
          <w:tcPr>
            <w:tcW w:w="444" w:type="dxa"/>
            <w:shd w:val="clear" w:color="auto" w:fill="C0C0C0"/>
            <w:vAlign w:val="center"/>
          </w:tcPr>
          <w:p w:rsidR="0098344D" w:rsidRPr="004F2C12" w:rsidRDefault="0098344D" w:rsidP="006F7FC5">
            <w:pPr>
              <w:jc w:val="center"/>
              <w:rPr>
                <w:rFonts w:ascii="Arial" w:hAnsi="Arial" w:cs="Arial"/>
                <w:b/>
                <w:sz w:val="28"/>
                <w:szCs w:val="28"/>
              </w:rPr>
            </w:pPr>
          </w:p>
        </w:tc>
        <w:tc>
          <w:tcPr>
            <w:tcW w:w="577" w:type="dxa"/>
            <w:shd w:val="clear" w:color="auto" w:fill="C0C0C0"/>
            <w:vAlign w:val="center"/>
          </w:tcPr>
          <w:p w:rsidR="0098344D" w:rsidRPr="004F2C12" w:rsidRDefault="0098344D" w:rsidP="006F7FC5">
            <w:pPr>
              <w:jc w:val="center"/>
              <w:rPr>
                <w:rFonts w:ascii="Arial" w:hAnsi="Arial" w:cs="Arial"/>
                <w:b/>
                <w:sz w:val="28"/>
                <w:szCs w:val="28"/>
              </w:rPr>
            </w:pPr>
          </w:p>
        </w:tc>
        <w:tc>
          <w:tcPr>
            <w:tcW w:w="800" w:type="dxa"/>
            <w:shd w:val="clear" w:color="auto" w:fill="C0C0C0"/>
            <w:vAlign w:val="center"/>
          </w:tcPr>
          <w:p w:rsidR="0098344D" w:rsidRPr="004F2C12" w:rsidRDefault="0098344D" w:rsidP="006F7FC5">
            <w:pPr>
              <w:jc w:val="center"/>
              <w:rPr>
                <w:rFonts w:ascii="Arial" w:hAnsi="Arial" w:cs="Arial"/>
                <w:b/>
                <w:sz w:val="28"/>
                <w:szCs w:val="28"/>
              </w:rPr>
            </w:pPr>
          </w:p>
        </w:tc>
        <w:tc>
          <w:tcPr>
            <w:tcW w:w="666" w:type="dxa"/>
            <w:shd w:val="clear" w:color="auto" w:fill="C0C0C0"/>
            <w:vAlign w:val="center"/>
          </w:tcPr>
          <w:p w:rsidR="0098344D" w:rsidRPr="004F2C12" w:rsidRDefault="0098344D" w:rsidP="006F7FC5">
            <w:pPr>
              <w:jc w:val="center"/>
              <w:rPr>
                <w:rFonts w:ascii="Arial" w:hAnsi="Arial" w:cs="Arial"/>
                <w:b/>
                <w:sz w:val="28"/>
                <w:szCs w:val="28"/>
              </w:rPr>
            </w:pPr>
          </w:p>
        </w:tc>
        <w:tc>
          <w:tcPr>
            <w:tcW w:w="733"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544"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700"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810"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sz w:val="20"/>
                <w:szCs w:val="20"/>
              </w:rPr>
              <w:t>Deglycerolized RED BLOOD CELLS</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E006</w:t>
            </w:r>
          </w:p>
        </w:tc>
        <w:tc>
          <w:tcPr>
            <w:tcW w:w="611"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rsidR="0098344D" w:rsidRPr="004F2C12" w:rsidRDefault="0098344D" w:rsidP="006F7FC5">
            <w:pPr>
              <w:jc w:val="center"/>
              <w:rPr>
                <w:rFonts w:ascii="Arial" w:hAnsi="Arial" w:cs="Arial"/>
                <w:b/>
                <w:sz w:val="28"/>
                <w:szCs w:val="28"/>
              </w:rPr>
            </w:pPr>
          </w:p>
        </w:tc>
        <w:tc>
          <w:tcPr>
            <w:tcW w:w="444" w:type="dxa"/>
            <w:shd w:val="clear" w:color="auto" w:fill="C0C0C0"/>
            <w:vAlign w:val="center"/>
          </w:tcPr>
          <w:p w:rsidR="0098344D" w:rsidRPr="004F2C12" w:rsidRDefault="0098344D" w:rsidP="006F7FC5">
            <w:pPr>
              <w:jc w:val="center"/>
              <w:rPr>
                <w:rFonts w:ascii="Arial" w:hAnsi="Arial" w:cs="Arial"/>
                <w:b/>
                <w:sz w:val="28"/>
                <w:szCs w:val="28"/>
              </w:rPr>
            </w:pPr>
          </w:p>
        </w:tc>
        <w:tc>
          <w:tcPr>
            <w:tcW w:w="577" w:type="dxa"/>
            <w:shd w:val="clear" w:color="auto" w:fill="C0C0C0"/>
            <w:vAlign w:val="center"/>
          </w:tcPr>
          <w:p w:rsidR="0098344D" w:rsidRPr="004F2C12" w:rsidRDefault="0098344D" w:rsidP="006F7FC5">
            <w:pPr>
              <w:jc w:val="center"/>
              <w:rPr>
                <w:rFonts w:ascii="Arial" w:hAnsi="Arial" w:cs="Arial"/>
                <w:b/>
                <w:sz w:val="28"/>
                <w:szCs w:val="28"/>
              </w:rPr>
            </w:pPr>
          </w:p>
        </w:tc>
        <w:tc>
          <w:tcPr>
            <w:tcW w:w="800"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666"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733" w:type="dxa"/>
            <w:shd w:val="pct25" w:color="auto" w:fill="auto"/>
            <w:vAlign w:val="center"/>
          </w:tcPr>
          <w:p w:rsidR="0098344D" w:rsidRPr="004F2C12" w:rsidRDefault="0098344D" w:rsidP="006F7FC5">
            <w:pPr>
              <w:jc w:val="center"/>
              <w:rPr>
                <w:rFonts w:ascii="Arial" w:hAnsi="Arial" w:cs="Arial"/>
                <w:b/>
                <w:sz w:val="28"/>
                <w:szCs w:val="28"/>
              </w:rPr>
            </w:pPr>
          </w:p>
        </w:tc>
        <w:tc>
          <w:tcPr>
            <w:tcW w:w="544" w:type="dxa"/>
            <w:shd w:val="clear" w:color="auto" w:fill="C0C0C0"/>
            <w:vAlign w:val="center"/>
          </w:tcPr>
          <w:p w:rsidR="0098344D" w:rsidRPr="004F2C12" w:rsidRDefault="0098344D" w:rsidP="006F7FC5">
            <w:pPr>
              <w:jc w:val="center"/>
              <w:rPr>
                <w:rFonts w:ascii="Arial" w:hAnsi="Arial" w:cs="Arial"/>
                <w:b/>
                <w:sz w:val="28"/>
                <w:szCs w:val="28"/>
              </w:rPr>
            </w:pPr>
          </w:p>
        </w:tc>
        <w:tc>
          <w:tcPr>
            <w:tcW w:w="70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sz w:val="20"/>
                <w:szCs w:val="20"/>
              </w:rPr>
              <w:t>Deglycerolized Rejuvenated RED BLOOD CELLS</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E007</w:t>
            </w:r>
          </w:p>
        </w:tc>
        <w:tc>
          <w:tcPr>
            <w:tcW w:w="611"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rsidR="0098344D" w:rsidRPr="004F2C12" w:rsidRDefault="0098344D" w:rsidP="006F7FC5">
            <w:pPr>
              <w:jc w:val="center"/>
              <w:rPr>
                <w:rFonts w:ascii="Arial" w:hAnsi="Arial" w:cs="Arial"/>
                <w:b/>
                <w:sz w:val="28"/>
                <w:szCs w:val="28"/>
              </w:rPr>
            </w:pPr>
          </w:p>
        </w:tc>
        <w:tc>
          <w:tcPr>
            <w:tcW w:w="444" w:type="dxa"/>
            <w:shd w:val="clear" w:color="auto" w:fill="C0C0C0"/>
            <w:vAlign w:val="center"/>
          </w:tcPr>
          <w:p w:rsidR="0098344D" w:rsidRPr="004F2C12" w:rsidRDefault="0098344D" w:rsidP="006F7FC5">
            <w:pPr>
              <w:jc w:val="center"/>
              <w:rPr>
                <w:rFonts w:ascii="Arial" w:hAnsi="Arial" w:cs="Arial"/>
                <w:b/>
                <w:sz w:val="28"/>
                <w:szCs w:val="28"/>
              </w:rPr>
            </w:pPr>
          </w:p>
        </w:tc>
        <w:tc>
          <w:tcPr>
            <w:tcW w:w="577" w:type="dxa"/>
            <w:shd w:val="clear" w:color="auto" w:fill="C0C0C0"/>
            <w:vAlign w:val="center"/>
          </w:tcPr>
          <w:p w:rsidR="0098344D" w:rsidRPr="004F2C12" w:rsidRDefault="0098344D" w:rsidP="006F7FC5">
            <w:pPr>
              <w:jc w:val="center"/>
              <w:rPr>
                <w:rFonts w:ascii="Arial" w:hAnsi="Arial" w:cs="Arial"/>
                <w:b/>
                <w:sz w:val="28"/>
                <w:szCs w:val="28"/>
              </w:rPr>
            </w:pPr>
          </w:p>
        </w:tc>
        <w:tc>
          <w:tcPr>
            <w:tcW w:w="800"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666"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733" w:type="dxa"/>
            <w:shd w:val="pct25" w:color="auto" w:fill="auto"/>
            <w:vAlign w:val="center"/>
          </w:tcPr>
          <w:p w:rsidR="0098344D" w:rsidRPr="004F2C12" w:rsidRDefault="0098344D" w:rsidP="006F7FC5">
            <w:pPr>
              <w:jc w:val="center"/>
              <w:rPr>
                <w:rFonts w:ascii="Arial" w:hAnsi="Arial" w:cs="Arial"/>
                <w:b/>
                <w:sz w:val="28"/>
                <w:szCs w:val="28"/>
              </w:rPr>
            </w:pPr>
          </w:p>
        </w:tc>
        <w:tc>
          <w:tcPr>
            <w:tcW w:w="544"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70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sz w:val="20"/>
                <w:szCs w:val="20"/>
              </w:rPr>
              <w:t>Rejuvenated RED BLOOD CELLS</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E008</w:t>
            </w:r>
          </w:p>
        </w:tc>
        <w:tc>
          <w:tcPr>
            <w:tcW w:w="611"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rsidR="0098344D" w:rsidRPr="004F2C12" w:rsidRDefault="0098344D" w:rsidP="006F7FC5">
            <w:pPr>
              <w:jc w:val="center"/>
              <w:rPr>
                <w:rFonts w:ascii="Arial" w:hAnsi="Arial" w:cs="Arial"/>
                <w:b/>
                <w:sz w:val="28"/>
                <w:szCs w:val="28"/>
              </w:rPr>
            </w:pPr>
          </w:p>
        </w:tc>
        <w:tc>
          <w:tcPr>
            <w:tcW w:w="444" w:type="dxa"/>
            <w:shd w:val="clear" w:color="auto" w:fill="C0C0C0"/>
            <w:vAlign w:val="center"/>
          </w:tcPr>
          <w:p w:rsidR="0098344D" w:rsidRPr="004F2C12" w:rsidRDefault="0098344D" w:rsidP="006F7FC5">
            <w:pPr>
              <w:jc w:val="center"/>
              <w:rPr>
                <w:rFonts w:ascii="Arial" w:hAnsi="Arial" w:cs="Arial"/>
                <w:b/>
                <w:sz w:val="28"/>
                <w:szCs w:val="28"/>
              </w:rPr>
            </w:pPr>
          </w:p>
        </w:tc>
        <w:tc>
          <w:tcPr>
            <w:tcW w:w="577" w:type="dxa"/>
            <w:shd w:val="clear" w:color="auto" w:fill="C0C0C0"/>
            <w:vAlign w:val="center"/>
          </w:tcPr>
          <w:p w:rsidR="0098344D" w:rsidRPr="004F2C12" w:rsidRDefault="0098344D" w:rsidP="006F7FC5">
            <w:pPr>
              <w:jc w:val="center"/>
              <w:rPr>
                <w:rFonts w:ascii="Arial" w:hAnsi="Arial" w:cs="Arial"/>
                <w:b/>
                <w:sz w:val="28"/>
                <w:szCs w:val="28"/>
              </w:rPr>
            </w:pPr>
          </w:p>
        </w:tc>
        <w:tc>
          <w:tcPr>
            <w:tcW w:w="800"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666"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733" w:type="dxa"/>
            <w:shd w:val="pct25" w:color="auto" w:fill="auto"/>
            <w:vAlign w:val="center"/>
          </w:tcPr>
          <w:p w:rsidR="0098344D" w:rsidRPr="004F2C12" w:rsidRDefault="0098344D" w:rsidP="006F7FC5">
            <w:pPr>
              <w:jc w:val="center"/>
              <w:rPr>
                <w:rFonts w:ascii="Arial" w:hAnsi="Arial" w:cs="Arial"/>
                <w:b/>
                <w:sz w:val="28"/>
                <w:szCs w:val="28"/>
              </w:rPr>
            </w:pPr>
          </w:p>
        </w:tc>
        <w:tc>
          <w:tcPr>
            <w:tcW w:w="544" w:type="dxa"/>
            <w:shd w:val="clear" w:color="auto" w:fill="C0C0C0"/>
            <w:vAlign w:val="center"/>
          </w:tcPr>
          <w:p w:rsidR="0098344D" w:rsidRPr="004F2C12" w:rsidRDefault="0098344D" w:rsidP="006F7FC5">
            <w:pPr>
              <w:jc w:val="center"/>
              <w:rPr>
                <w:rFonts w:ascii="Arial" w:hAnsi="Arial" w:cs="Arial"/>
                <w:b/>
                <w:sz w:val="28"/>
                <w:szCs w:val="28"/>
              </w:rPr>
            </w:pPr>
          </w:p>
        </w:tc>
        <w:tc>
          <w:tcPr>
            <w:tcW w:w="70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sz w:val="20"/>
                <w:szCs w:val="20"/>
              </w:rPr>
              <w:t>APHERESIS RED BLOOD CELLS</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E009</w:t>
            </w:r>
          </w:p>
        </w:tc>
        <w:tc>
          <w:tcPr>
            <w:tcW w:w="611"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rsidR="0098344D" w:rsidRPr="004F2C12" w:rsidRDefault="0098344D" w:rsidP="006F7FC5">
            <w:pPr>
              <w:jc w:val="center"/>
              <w:rPr>
                <w:rFonts w:ascii="Arial" w:hAnsi="Arial" w:cs="Arial"/>
                <w:b/>
                <w:sz w:val="28"/>
                <w:szCs w:val="28"/>
              </w:rPr>
            </w:pPr>
          </w:p>
        </w:tc>
        <w:tc>
          <w:tcPr>
            <w:tcW w:w="444"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800"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666"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733" w:type="dxa"/>
            <w:tcBorders>
              <w:bottom w:val="single" w:sz="4" w:space="0" w:color="auto"/>
            </w:tcBorders>
            <w:shd w:val="pct25" w:color="auto" w:fill="auto"/>
            <w:vAlign w:val="center"/>
          </w:tcPr>
          <w:p w:rsidR="0098344D" w:rsidRPr="004F2C12" w:rsidRDefault="0098344D" w:rsidP="006F7FC5">
            <w:pPr>
              <w:jc w:val="center"/>
              <w:rPr>
                <w:rFonts w:ascii="Arial" w:hAnsi="Arial" w:cs="Arial"/>
                <w:b/>
                <w:sz w:val="28"/>
                <w:szCs w:val="28"/>
              </w:rPr>
            </w:pPr>
          </w:p>
        </w:tc>
        <w:tc>
          <w:tcPr>
            <w:tcW w:w="544"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700" w:type="dxa"/>
            <w:tcBorders>
              <w:bottom w:val="single" w:sz="4" w:space="0" w:color="auto"/>
            </w:tcBorders>
            <w:vAlign w:val="center"/>
          </w:tcPr>
          <w:p w:rsidR="0098344D" w:rsidRPr="004F2C12" w:rsidRDefault="0098344D" w:rsidP="00F42A5B">
            <w:pPr>
              <w:jc w:val="center"/>
              <w:rPr>
                <w:rFonts w:ascii="Arial" w:hAnsi="Arial" w:cs="Arial"/>
                <w:b/>
                <w:sz w:val="28"/>
                <w:szCs w:val="28"/>
              </w:rPr>
            </w:pPr>
            <w:r w:rsidRPr="004F2C12">
              <w:rPr>
                <w:rFonts w:ascii="Arial" w:hAnsi="Arial" w:cs="Arial"/>
                <w:b/>
                <w:sz w:val="28"/>
                <w:szCs w:val="28"/>
              </w:rPr>
              <w:t>X</w:t>
            </w:r>
          </w:p>
        </w:tc>
        <w:tc>
          <w:tcPr>
            <w:tcW w:w="810"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810"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sz w:val="20"/>
                <w:szCs w:val="20"/>
              </w:rPr>
              <w:lastRenderedPageBreak/>
              <w:t>FRESH FROZEN PLASMA</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E010</w:t>
            </w:r>
          </w:p>
        </w:tc>
        <w:tc>
          <w:tcPr>
            <w:tcW w:w="611" w:type="dxa"/>
            <w:shd w:val="clear" w:color="auto" w:fill="C0C0C0"/>
            <w:vAlign w:val="center"/>
          </w:tcPr>
          <w:p w:rsidR="0098344D" w:rsidRPr="004F2C12" w:rsidRDefault="0098344D" w:rsidP="006F7FC5">
            <w:pPr>
              <w:jc w:val="center"/>
              <w:rPr>
                <w:rFonts w:ascii="Arial" w:hAnsi="Arial" w:cs="Arial"/>
                <w:b/>
                <w:sz w:val="28"/>
                <w:szCs w:val="28"/>
              </w:rPr>
            </w:pPr>
          </w:p>
        </w:tc>
        <w:tc>
          <w:tcPr>
            <w:tcW w:w="522"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444"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800" w:type="dxa"/>
            <w:shd w:val="clear" w:color="auto" w:fill="C0C0C0"/>
            <w:vAlign w:val="center"/>
          </w:tcPr>
          <w:p w:rsidR="0098344D" w:rsidRPr="004F2C12" w:rsidRDefault="0098344D" w:rsidP="006F7FC5">
            <w:pPr>
              <w:jc w:val="center"/>
              <w:rPr>
                <w:rFonts w:ascii="Arial" w:hAnsi="Arial" w:cs="Arial"/>
                <w:b/>
                <w:sz w:val="28"/>
                <w:szCs w:val="28"/>
              </w:rPr>
            </w:pPr>
          </w:p>
        </w:tc>
        <w:tc>
          <w:tcPr>
            <w:tcW w:w="666" w:type="dxa"/>
            <w:shd w:val="clear" w:color="auto" w:fill="C0C0C0"/>
            <w:vAlign w:val="center"/>
          </w:tcPr>
          <w:p w:rsidR="0098344D" w:rsidRPr="004F2C12" w:rsidRDefault="0098344D" w:rsidP="006F7FC5">
            <w:pPr>
              <w:jc w:val="center"/>
              <w:rPr>
                <w:rFonts w:ascii="Arial" w:hAnsi="Arial" w:cs="Arial"/>
                <w:b/>
                <w:sz w:val="28"/>
                <w:szCs w:val="28"/>
              </w:rPr>
            </w:pPr>
          </w:p>
        </w:tc>
        <w:tc>
          <w:tcPr>
            <w:tcW w:w="733"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544"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700"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lang w:val="de-DE"/>
              </w:rPr>
            </w:pPr>
            <w:r w:rsidRPr="0012237E">
              <w:rPr>
                <w:rFonts w:ascii="Arial" w:hAnsi="Arial" w:cs="Arial"/>
                <w:sz w:val="20"/>
                <w:szCs w:val="20"/>
                <w:lang w:val="de-DE"/>
              </w:rPr>
              <w:t>Thawed FRESH FROZEN PLASMA</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lang w:val="de-DE"/>
              </w:rPr>
              <w:t>E011</w:t>
            </w:r>
          </w:p>
        </w:tc>
        <w:tc>
          <w:tcPr>
            <w:tcW w:w="611"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rsidR="0098344D" w:rsidRPr="004F2C12" w:rsidRDefault="0098344D" w:rsidP="006F7FC5">
            <w:pPr>
              <w:jc w:val="center"/>
              <w:rPr>
                <w:rFonts w:ascii="Arial" w:hAnsi="Arial" w:cs="Arial"/>
                <w:b/>
                <w:sz w:val="28"/>
                <w:szCs w:val="28"/>
              </w:rPr>
            </w:pPr>
          </w:p>
        </w:tc>
        <w:tc>
          <w:tcPr>
            <w:tcW w:w="444"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800"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666"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733" w:type="dxa"/>
            <w:shd w:val="clear" w:color="auto" w:fill="C0C0C0"/>
            <w:vAlign w:val="center"/>
          </w:tcPr>
          <w:p w:rsidR="0098344D" w:rsidRPr="004F2C12" w:rsidRDefault="0098344D" w:rsidP="006F7FC5">
            <w:pPr>
              <w:jc w:val="center"/>
              <w:rPr>
                <w:rFonts w:ascii="Arial" w:hAnsi="Arial" w:cs="Arial"/>
                <w:b/>
                <w:sz w:val="28"/>
                <w:szCs w:val="28"/>
              </w:rPr>
            </w:pPr>
          </w:p>
        </w:tc>
        <w:tc>
          <w:tcPr>
            <w:tcW w:w="544" w:type="dxa"/>
            <w:shd w:val="clear" w:color="auto" w:fill="C0C0C0"/>
            <w:vAlign w:val="center"/>
          </w:tcPr>
          <w:p w:rsidR="0098344D" w:rsidRPr="004F2C12" w:rsidRDefault="0098344D" w:rsidP="006F7FC5">
            <w:pPr>
              <w:jc w:val="center"/>
              <w:rPr>
                <w:rFonts w:ascii="Arial" w:hAnsi="Arial" w:cs="Arial"/>
                <w:b/>
                <w:sz w:val="28"/>
                <w:szCs w:val="28"/>
              </w:rPr>
            </w:pPr>
          </w:p>
        </w:tc>
        <w:tc>
          <w:tcPr>
            <w:tcW w:w="70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lang w:val="de-DE"/>
              </w:rPr>
            </w:pPr>
            <w:r w:rsidRPr="0012237E">
              <w:rPr>
                <w:rFonts w:ascii="Arial" w:hAnsi="Arial" w:cs="Arial"/>
                <w:sz w:val="20"/>
                <w:szCs w:val="20"/>
                <w:lang w:val="de-DE"/>
              </w:rPr>
              <w:t>APHERESIS FRESH FROZEN PLASMA</w:t>
            </w:r>
          </w:p>
        </w:tc>
        <w:tc>
          <w:tcPr>
            <w:tcW w:w="1243" w:type="dxa"/>
            <w:shd w:val="clear" w:color="auto" w:fill="FFFFFF"/>
            <w:vAlign w:val="center"/>
          </w:tcPr>
          <w:p w:rsidR="0098344D" w:rsidRPr="0012237E" w:rsidRDefault="0098344D" w:rsidP="006F7FC5">
            <w:pPr>
              <w:jc w:val="center"/>
              <w:rPr>
                <w:rFonts w:ascii="Arial" w:hAnsi="Arial" w:cs="Arial"/>
                <w:sz w:val="20"/>
                <w:szCs w:val="20"/>
                <w:lang w:val="de-DE"/>
              </w:rPr>
            </w:pPr>
            <w:r w:rsidRPr="0012237E">
              <w:rPr>
                <w:rFonts w:ascii="Arial" w:hAnsi="Arial" w:cs="Arial"/>
                <w:sz w:val="20"/>
                <w:szCs w:val="20"/>
                <w:lang w:val="de-DE"/>
              </w:rPr>
              <w:t>E012</w:t>
            </w:r>
          </w:p>
        </w:tc>
        <w:tc>
          <w:tcPr>
            <w:tcW w:w="611" w:type="dxa"/>
            <w:shd w:val="clear" w:color="auto" w:fill="C0C0C0"/>
            <w:vAlign w:val="center"/>
          </w:tcPr>
          <w:p w:rsidR="0098344D" w:rsidRPr="004F2C12" w:rsidRDefault="0098344D" w:rsidP="006F7FC5">
            <w:pPr>
              <w:jc w:val="center"/>
              <w:rPr>
                <w:rFonts w:ascii="Arial" w:hAnsi="Arial" w:cs="Arial"/>
                <w:b/>
                <w:sz w:val="28"/>
                <w:szCs w:val="28"/>
                <w:lang w:val="de-DE"/>
              </w:rPr>
            </w:pPr>
          </w:p>
        </w:tc>
        <w:tc>
          <w:tcPr>
            <w:tcW w:w="522"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444"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577" w:type="dxa"/>
            <w:tcBorders>
              <w:bottom w:val="single" w:sz="4" w:space="0" w:color="auto"/>
            </w:tcBorders>
            <w:shd w:val="clear" w:color="auto" w:fill="auto"/>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800" w:type="dxa"/>
            <w:shd w:val="clear" w:color="auto" w:fill="C0C0C0"/>
            <w:vAlign w:val="center"/>
          </w:tcPr>
          <w:p w:rsidR="0098344D" w:rsidRPr="004F2C12" w:rsidRDefault="0098344D" w:rsidP="006F7FC5">
            <w:pPr>
              <w:jc w:val="center"/>
              <w:rPr>
                <w:rFonts w:ascii="Arial" w:hAnsi="Arial" w:cs="Arial"/>
                <w:b/>
                <w:sz w:val="28"/>
                <w:szCs w:val="28"/>
              </w:rPr>
            </w:pPr>
          </w:p>
        </w:tc>
        <w:tc>
          <w:tcPr>
            <w:tcW w:w="666" w:type="dxa"/>
            <w:shd w:val="clear" w:color="auto" w:fill="C0C0C0"/>
            <w:vAlign w:val="center"/>
          </w:tcPr>
          <w:p w:rsidR="0098344D" w:rsidRPr="004F2C12" w:rsidRDefault="0098344D" w:rsidP="006F7FC5">
            <w:pPr>
              <w:jc w:val="center"/>
              <w:rPr>
                <w:rFonts w:ascii="Arial" w:hAnsi="Arial" w:cs="Arial"/>
                <w:b/>
                <w:sz w:val="28"/>
                <w:szCs w:val="28"/>
              </w:rPr>
            </w:pPr>
          </w:p>
        </w:tc>
        <w:tc>
          <w:tcPr>
            <w:tcW w:w="733" w:type="dxa"/>
            <w:shd w:val="clear" w:color="auto" w:fill="C0C0C0"/>
            <w:vAlign w:val="center"/>
          </w:tcPr>
          <w:p w:rsidR="0098344D" w:rsidRPr="004F2C12" w:rsidRDefault="0098344D" w:rsidP="006F7FC5">
            <w:pPr>
              <w:jc w:val="center"/>
              <w:rPr>
                <w:rFonts w:ascii="Arial" w:hAnsi="Arial" w:cs="Arial"/>
                <w:b/>
                <w:sz w:val="28"/>
                <w:szCs w:val="28"/>
              </w:rPr>
            </w:pPr>
          </w:p>
        </w:tc>
        <w:tc>
          <w:tcPr>
            <w:tcW w:w="544" w:type="dxa"/>
            <w:shd w:val="clear" w:color="auto" w:fill="C0C0C0"/>
            <w:vAlign w:val="center"/>
          </w:tcPr>
          <w:p w:rsidR="0098344D" w:rsidRPr="004F2C12" w:rsidRDefault="0098344D" w:rsidP="006F7FC5">
            <w:pPr>
              <w:jc w:val="center"/>
              <w:rPr>
                <w:rFonts w:ascii="Arial" w:hAnsi="Arial" w:cs="Arial"/>
                <w:b/>
                <w:sz w:val="28"/>
                <w:szCs w:val="28"/>
              </w:rPr>
            </w:pPr>
          </w:p>
        </w:tc>
        <w:tc>
          <w:tcPr>
            <w:tcW w:w="70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rPr>
            </w:pPr>
            <w:r w:rsidRPr="006F7FC5">
              <w:rPr>
                <w:rFonts w:ascii="Arial" w:hAnsi="Arial" w:cs="Arial"/>
                <w:sz w:val="20"/>
                <w:szCs w:val="20"/>
              </w:rPr>
              <w:t>Thawed APHERESIS FRESH FROZEN PLASMA</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E013</w:t>
            </w:r>
          </w:p>
        </w:tc>
        <w:tc>
          <w:tcPr>
            <w:tcW w:w="611"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rsidR="0098344D" w:rsidRPr="004F2C12" w:rsidRDefault="0098344D" w:rsidP="006F7FC5">
            <w:pPr>
              <w:jc w:val="center"/>
              <w:rPr>
                <w:rFonts w:ascii="Arial" w:hAnsi="Arial" w:cs="Arial"/>
                <w:b/>
                <w:sz w:val="28"/>
                <w:szCs w:val="28"/>
              </w:rPr>
            </w:pPr>
          </w:p>
        </w:tc>
        <w:tc>
          <w:tcPr>
            <w:tcW w:w="444" w:type="dxa"/>
            <w:tcBorders>
              <w:bottom w:val="single" w:sz="4" w:space="0" w:color="auto"/>
            </w:tcBorders>
            <w:shd w:val="clear" w:color="auto" w:fill="auto"/>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577"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800"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666"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733" w:type="dxa"/>
            <w:shd w:val="clear" w:color="auto" w:fill="C0C0C0"/>
            <w:vAlign w:val="center"/>
          </w:tcPr>
          <w:p w:rsidR="0098344D" w:rsidRPr="004F2C12" w:rsidRDefault="0098344D" w:rsidP="006F7FC5">
            <w:pPr>
              <w:jc w:val="center"/>
              <w:rPr>
                <w:rFonts w:ascii="Arial" w:hAnsi="Arial" w:cs="Arial"/>
                <w:b/>
                <w:sz w:val="28"/>
                <w:szCs w:val="28"/>
              </w:rPr>
            </w:pPr>
          </w:p>
        </w:tc>
        <w:tc>
          <w:tcPr>
            <w:tcW w:w="544" w:type="dxa"/>
            <w:shd w:val="clear" w:color="auto" w:fill="C0C0C0"/>
            <w:vAlign w:val="center"/>
          </w:tcPr>
          <w:p w:rsidR="0098344D" w:rsidRPr="004F2C12" w:rsidRDefault="0098344D" w:rsidP="006F7FC5">
            <w:pPr>
              <w:jc w:val="center"/>
              <w:rPr>
                <w:rFonts w:ascii="Arial" w:hAnsi="Arial" w:cs="Arial"/>
                <w:b/>
                <w:sz w:val="28"/>
                <w:szCs w:val="28"/>
              </w:rPr>
            </w:pPr>
          </w:p>
        </w:tc>
        <w:tc>
          <w:tcPr>
            <w:tcW w:w="70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sz w:val="20"/>
                <w:szCs w:val="20"/>
              </w:rPr>
              <w:t>APHERESIS PLASMA</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E014</w:t>
            </w:r>
          </w:p>
        </w:tc>
        <w:tc>
          <w:tcPr>
            <w:tcW w:w="611" w:type="dxa"/>
            <w:shd w:val="clear" w:color="auto" w:fill="C0C0C0"/>
            <w:vAlign w:val="center"/>
          </w:tcPr>
          <w:p w:rsidR="0098344D" w:rsidRPr="004F2C12" w:rsidRDefault="0098344D" w:rsidP="006F7FC5">
            <w:pPr>
              <w:jc w:val="center"/>
              <w:rPr>
                <w:rFonts w:ascii="Arial" w:hAnsi="Arial" w:cs="Arial"/>
                <w:b/>
                <w:sz w:val="28"/>
                <w:szCs w:val="28"/>
              </w:rPr>
            </w:pPr>
          </w:p>
        </w:tc>
        <w:tc>
          <w:tcPr>
            <w:tcW w:w="522"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444"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577" w:type="dxa"/>
            <w:tcBorders>
              <w:bottom w:val="single" w:sz="4" w:space="0" w:color="auto"/>
            </w:tcBorders>
            <w:shd w:val="clear" w:color="auto" w:fill="auto"/>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800" w:type="dxa"/>
            <w:shd w:val="clear" w:color="auto" w:fill="C0C0C0"/>
            <w:vAlign w:val="center"/>
          </w:tcPr>
          <w:p w:rsidR="0098344D" w:rsidRPr="004F2C12" w:rsidRDefault="0098344D" w:rsidP="006F7FC5">
            <w:pPr>
              <w:jc w:val="center"/>
              <w:rPr>
                <w:rFonts w:ascii="Arial" w:hAnsi="Arial" w:cs="Arial"/>
                <w:b/>
                <w:sz w:val="28"/>
                <w:szCs w:val="28"/>
              </w:rPr>
            </w:pPr>
          </w:p>
        </w:tc>
        <w:tc>
          <w:tcPr>
            <w:tcW w:w="666" w:type="dxa"/>
            <w:shd w:val="clear" w:color="auto" w:fill="C0C0C0"/>
            <w:vAlign w:val="center"/>
          </w:tcPr>
          <w:p w:rsidR="0098344D" w:rsidRPr="004F2C12" w:rsidRDefault="0098344D" w:rsidP="006F7FC5">
            <w:pPr>
              <w:jc w:val="center"/>
              <w:rPr>
                <w:rFonts w:ascii="Arial" w:hAnsi="Arial" w:cs="Arial"/>
                <w:b/>
                <w:sz w:val="28"/>
                <w:szCs w:val="28"/>
              </w:rPr>
            </w:pPr>
          </w:p>
        </w:tc>
        <w:tc>
          <w:tcPr>
            <w:tcW w:w="733" w:type="dxa"/>
            <w:shd w:val="clear" w:color="auto" w:fill="C0C0C0"/>
            <w:vAlign w:val="center"/>
          </w:tcPr>
          <w:p w:rsidR="0098344D" w:rsidRPr="004F2C12" w:rsidRDefault="0098344D" w:rsidP="006F7FC5">
            <w:pPr>
              <w:jc w:val="center"/>
              <w:rPr>
                <w:rFonts w:ascii="Arial" w:hAnsi="Arial" w:cs="Arial"/>
                <w:b/>
                <w:sz w:val="28"/>
                <w:szCs w:val="28"/>
              </w:rPr>
            </w:pPr>
          </w:p>
        </w:tc>
        <w:tc>
          <w:tcPr>
            <w:tcW w:w="544" w:type="dxa"/>
            <w:shd w:val="clear" w:color="auto" w:fill="C0C0C0"/>
            <w:vAlign w:val="center"/>
          </w:tcPr>
          <w:p w:rsidR="0098344D" w:rsidRPr="004F2C12" w:rsidRDefault="0098344D" w:rsidP="006F7FC5">
            <w:pPr>
              <w:jc w:val="center"/>
              <w:rPr>
                <w:rFonts w:ascii="Arial" w:hAnsi="Arial" w:cs="Arial"/>
                <w:b/>
                <w:sz w:val="28"/>
                <w:szCs w:val="28"/>
              </w:rPr>
            </w:pPr>
          </w:p>
        </w:tc>
        <w:tc>
          <w:tcPr>
            <w:tcW w:w="70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sz w:val="20"/>
                <w:szCs w:val="20"/>
              </w:rPr>
              <w:t>Thawed APHERESIS PLASMA</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E015</w:t>
            </w:r>
          </w:p>
        </w:tc>
        <w:tc>
          <w:tcPr>
            <w:tcW w:w="611"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rsidR="0098344D" w:rsidRPr="004F2C12" w:rsidRDefault="0098344D" w:rsidP="006F7FC5">
            <w:pPr>
              <w:jc w:val="center"/>
              <w:rPr>
                <w:rFonts w:ascii="Arial" w:hAnsi="Arial" w:cs="Arial"/>
                <w:b/>
                <w:sz w:val="28"/>
                <w:szCs w:val="28"/>
              </w:rPr>
            </w:pPr>
          </w:p>
        </w:tc>
        <w:tc>
          <w:tcPr>
            <w:tcW w:w="444" w:type="dxa"/>
            <w:shd w:val="clear" w:color="auto" w:fill="auto"/>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577" w:type="dxa"/>
            <w:shd w:val="clear" w:color="auto" w:fill="C0C0C0"/>
            <w:vAlign w:val="center"/>
          </w:tcPr>
          <w:p w:rsidR="0098344D" w:rsidRPr="004F2C12" w:rsidRDefault="0098344D" w:rsidP="006F7FC5">
            <w:pPr>
              <w:jc w:val="center"/>
              <w:rPr>
                <w:rFonts w:ascii="Arial" w:hAnsi="Arial" w:cs="Arial"/>
                <w:b/>
                <w:sz w:val="28"/>
                <w:szCs w:val="28"/>
              </w:rPr>
            </w:pPr>
          </w:p>
        </w:tc>
        <w:tc>
          <w:tcPr>
            <w:tcW w:w="800"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666"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733" w:type="dxa"/>
            <w:shd w:val="clear" w:color="auto" w:fill="C0C0C0"/>
            <w:vAlign w:val="center"/>
          </w:tcPr>
          <w:p w:rsidR="0098344D" w:rsidRPr="004F2C12" w:rsidRDefault="0098344D" w:rsidP="006F7FC5">
            <w:pPr>
              <w:jc w:val="center"/>
              <w:rPr>
                <w:rFonts w:ascii="Arial" w:hAnsi="Arial" w:cs="Arial"/>
                <w:b/>
                <w:sz w:val="28"/>
                <w:szCs w:val="28"/>
              </w:rPr>
            </w:pPr>
          </w:p>
        </w:tc>
        <w:tc>
          <w:tcPr>
            <w:tcW w:w="544" w:type="dxa"/>
            <w:shd w:val="clear" w:color="auto" w:fill="C0C0C0"/>
            <w:vAlign w:val="center"/>
          </w:tcPr>
          <w:p w:rsidR="0098344D" w:rsidRPr="004F2C12" w:rsidRDefault="0098344D" w:rsidP="006F7FC5">
            <w:pPr>
              <w:jc w:val="center"/>
              <w:rPr>
                <w:rFonts w:ascii="Arial" w:hAnsi="Arial" w:cs="Arial"/>
                <w:b/>
                <w:sz w:val="28"/>
                <w:szCs w:val="28"/>
              </w:rPr>
            </w:pPr>
          </w:p>
        </w:tc>
        <w:tc>
          <w:tcPr>
            <w:tcW w:w="70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sz w:val="20"/>
                <w:szCs w:val="20"/>
              </w:rPr>
              <w:t>Liquid PLASMA</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E016</w:t>
            </w:r>
          </w:p>
        </w:tc>
        <w:tc>
          <w:tcPr>
            <w:tcW w:w="611"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rsidR="0098344D" w:rsidRPr="004F2C12" w:rsidRDefault="0098344D" w:rsidP="006F7FC5">
            <w:pPr>
              <w:jc w:val="center"/>
              <w:rPr>
                <w:rFonts w:ascii="Arial" w:hAnsi="Arial" w:cs="Arial"/>
                <w:b/>
                <w:sz w:val="28"/>
                <w:szCs w:val="28"/>
              </w:rPr>
            </w:pPr>
          </w:p>
        </w:tc>
        <w:tc>
          <w:tcPr>
            <w:tcW w:w="444"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800"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666"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733"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544" w:type="dxa"/>
            <w:shd w:val="clear" w:color="auto" w:fill="C0C0C0"/>
            <w:vAlign w:val="center"/>
          </w:tcPr>
          <w:p w:rsidR="0098344D" w:rsidRPr="004F2C12" w:rsidRDefault="0098344D" w:rsidP="006F7FC5">
            <w:pPr>
              <w:jc w:val="center"/>
              <w:rPr>
                <w:rFonts w:ascii="Arial" w:hAnsi="Arial" w:cs="Arial"/>
                <w:b/>
                <w:sz w:val="28"/>
                <w:szCs w:val="28"/>
              </w:rPr>
            </w:pPr>
          </w:p>
        </w:tc>
        <w:tc>
          <w:tcPr>
            <w:tcW w:w="70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sz w:val="20"/>
                <w:szCs w:val="20"/>
              </w:rPr>
              <w:t>PLASMA</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E017</w:t>
            </w:r>
          </w:p>
        </w:tc>
        <w:tc>
          <w:tcPr>
            <w:tcW w:w="611" w:type="dxa"/>
            <w:shd w:val="clear" w:color="auto" w:fill="C0C0C0"/>
            <w:vAlign w:val="center"/>
          </w:tcPr>
          <w:p w:rsidR="0098344D" w:rsidRPr="004F2C12" w:rsidRDefault="0098344D" w:rsidP="006F7FC5">
            <w:pPr>
              <w:jc w:val="center"/>
              <w:rPr>
                <w:rFonts w:ascii="Arial" w:hAnsi="Arial" w:cs="Arial"/>
                <w:b/>
                <w:sz w:val="28"/>
                <w:szCs w:val="28"/>
              </w:rPr>
            </w:pPr>
          </w:p>
        </w:tc>
        <w:tc>
          <w:tcPr>
            <w:tcW w:w="522"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444"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800" w:type="dxa"/>
            <w:shd w:val="clear" w:color="auto" w:fill="C0C0C0"/>
            <w:vAlign w:val="center"/>
          </w:tcPr>
          <w:p w:rsidR="0098344D" w:rsidRPr="004F2C12" w:rsidRDefault="0098344D" w:rsidP="006F7FC5">
            <w:pPr>
              <w:jc w:val="center"/>
              <w:rPr>
                <w:rFonts w:ascii="Arial" w:hAnsi="Arial" w:cs="Arial"/>
                <w:b/>
                <w:sz w:val="28"/>
                <w:szCs w:val="28"/>
              </w:rPr>
            </w:pPr>
          </w:p>
        </w:tc>
        <w:tc>
          <w:tcPr>
            <w:tcW w:w="666" w:type="dxa"/>
            <w:shd w:val="clear" w:color="auto" w:fill="C0C0C0"/>
            <w:vAlign w:val="center"/>
          </w:tcPr>
          <w:p w:rsidR="0098344D" w:rsidRPr="004F2C12" w:rsidRDefault="0098344D" w:rsidP="006F7FC5">
            <w:pPr>
              <w:jc w:val="center"/>
              <w:rPr>
                <w:rFonts w:ascii="Arial" w:hAnsi="Arial" w:cs="Arial"/>
                <w:b/>
                <w:sz w:val="28"/>
                <w:szCs w:val="28"/>
              </w:rPr>
            </w:pPr>
          </w:p>
        </w:tc>
        <w:tc>
          <w:tcPr>
            <w:tcW w:w="733" w:type="dxa"/>
            <w:shd w:val="clear" w:color="auto" w:fill="C0C0C0"/>
            <w:vAlign w:val="center"/>
          </w:tcPr>
          <w:p w:rsidR="0098344D" w:rsidRPr="004F2C12" w:rsidRDefault="0098344D" w:rsidP="006F7FC5">
            <w:pPr>
              <w:jc w:val="center"/>
              <w:rPr>
                <w:rFonts w:ascii="Arial" w:hAnsi="Arial" w:cs="Arial"/>
                <w:b/>
                <w:sz w:val="28"/>
                <w:szCs w:val="28"/>
              </w:rPr>
            </w:pPr>
          </w:p>
        </w:tc>
        <w:tc>
          <w:tcPr>
            <w:tcW w:w="544" w:type="dxa"/>
            <w:shd w:val="clear" w:color="auto" w:fill="C0C0C0"/>
            <w:vAlign w:val="center"/>
          </w:tcPr>
          <w:p w:rsidR="0098344D" w:rsidRPr="004F2C12" w:rsidRDefault="0098344D" w:rsidP="006F7FC5">
            <w:pPr>
              <w:jc w:val="center"/>
              <w:rPr>
                <w:rFonts w:ascii="Arial" w:hAnsi="Arial" w:cs="Arial"/>
                <w:b/>
                <w:sz w:val="28"/>
                <w:szCs w:val="28"/>
              </w:rPr>
            </w:pPr>
          </w:p>
        </w:tc>
        <w:tc>
          <w:tcPr>
            <w:tcW w:w="70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sz w:val="20"/>
                <w:szCs w:val="20"/>
              </w:rPr>
              <w:t>Thawed PLASMA</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E018</w:t>
            </w:r>
          </w:p>
        </w:tc>
        <w:tc>
          <w:tcPr>
            <w:tcW w:w="611"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rsidR="0098344D" w:rsidRPr="004F2C12" w:rsidRDefault="0098344D" w:rsidP="006F7FC5">
            <w:pPr>
              <w:jc w:val="center"/>
              <w:rPr>
                <w:rFonts w:ascii="Arial" w:hAnsi="Arial" w:cs="Arial"/>
                <w:b/>
                <w:sz w:val="28"/>
                <w:szCs w:val="28"/>
              </w:rPr>
            </w:pPr>
          </w:p>
        </w:tc>
        <w:tc>
          <w:tcPr>
            <w:tcW w:w="444" w:type="dxa"/>
            <w:shd w:val="clear" w:color="auto" w:fill="C0C0C0"/>
            <w:vAlign w:val="center"/>
          </w:tcPr>
          <w:p w:rsidR="0098344D" w:rsidRPr="004F2C12" w:rsidRDefault="0098344D" w:rsidP="006F7FC5">
            <w:pPr>
              <w:jc w:val="center"/>
              <w:rPr>
                <w:rFonts w:ascii="Arial" w:hAnsi="Arial" w:cs="Arial"/>
                <w:b/>
                <w:sz w:val="28"/>
                <w:szCs w:val="28"/>
              </w:rPr>
            </w:pPr>
          </w:p>
        </w:tc>
        <w:tc>
          <w:tcPr>
            <w:tcW w:w="577" w:type="dxa"/>
            <w:shd w:val="clear" w:color="auto" w:fill="C0C0C0"/>
            <w:vAlign w:val="center"/>
          </w:tcPr>
          <w:p w:rsidR="0098344D" w:rsidRPr="004F2C12" w:rsidRDefault="0098344D" w:rsidP="006F7FC5">
            <w:pPr>
              <w:jc w:val="center"/>
              <w:rPr>
                <w:rFonts w:ascii="Arial" w:hAnsi="Arial" w:cs="Arial"/>
                <w:b/>
                <w:sz w:val="28"/>
                <w:szCs w:val="28"/>
              </w:rPr>
            </w:pPr>
          </w:p>
        </w:tc>
        <w:tc>
          <w:tcPr>
            <w:tcW w:w="800"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666"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733" w:type="dxa"/>
            <w:shd w:val="clear" w:color="auto" w:fill="C0C0C0"/>
            <w:vAlign w:val="center"/>
          </w:tcPr>
          <w:p w:rsidR="0098344D" w:rsidRPr="004F2C12" w:rsidRDefault="0098344D" w:rsidP="006F7FC5">
            <w:pPr>
              <w:jc w:val="center"/>
              <w:rPr>
                <w:rFonts w:ascii="Arial" w:hAnsi="Arial" w:cs="Arial"/>
                <w:b/>
                <w:sz w:val="28"/>
                <w:szCs w:val="28"/>
              </w:rPr>
            </w:pPr>
          </w:p>
        </w:tc>
        <w:tc>
          <w:tcPr>
            <w:tcW w:w="544" w:type="dxa"/>
            <w:shd w:val="clear" w:color="auto" w:fill="C0C0C0"/>
            <w:vAlign w:val="center"/>
          </w:tcPr>
          <w:p w:rsidR="0098344D" w:rsidRPr="004F2C12" w:rsidRDefault="0098344D" w:rsidP="006F7FC5">
            <w:pPr>
              <w:jc w:val="center"/>
              <w:rPr>
                <w:rFonts w:ascii="Arial" w:hAnsi="Arial" w:cs="Arial"/>
                <w:b/>
                <w:sz w:val="28"/>
                <w:szCs w:val="28"/>
              </w:rPr>
            </w:pPr>
          </w:p>
        </w:tc>
        <w:tc>
          <w:tcPr>
            <w:tcW w:w="70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sz w:val="20"/>
                <w:szCs w:val="20"/>
              </w:rPr>
              <w:t>PLATELET-RICH PLASMA</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E019</w:t>
            </w:r>
          </w:p>
        </w:tc>
        <w:tc>
          <w:tcPr>
            <w:tcW w:w="611"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522"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444" w:type="dxa"/>
            <w:shd w:val="clear" w:color="auto" w:fill="C0C0C0"/>
            <w:vAlign w:val="center"/>
          </w:tcPr>
          <w:p w:rsidR="0098344D" w:rsidRPr="004F2C12" w:rsidRDefault="0098344D"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800" w:type="dxa"/>
            <w:shd w:val="clear" w:color="auto" w:fill="C0C0C0"/>
            <w:vAlign w:val="center"/>
          </w:tcPr>
          <w:p w:rsidR="0098344D" w:rsidRPr="004F2C12" w:rsidRDefault="0098344D" w:rsidP="006F7FC5">
            <w:pPr>
              <w:jc w:val="center"/>
              <w:rPr>
                <w:rFonts w:ascii="Arial" w:hAnsi="Arial" w:cs="Arial"/>
                <w:b/>
                <w:sz w:val="28"/>
                <w:szCs w:val="28"/>
              </w:rPr>
            </w:pPr>
          </w:p>
        </w:tc>
        <w:tc>
          <w:tcPr>
            <w:tcW w:w="666" w:type="dxa"/>
            <w:shd w:val="clear" w:color="auto" w:fill="C0C0C0"/>
            <w:vAlign w:val="center"/>
          </w:tcPr>
          <w:p w:rsidR="0098344D" w:rsidRPr="004F2C12" w:rsidRDefault="0098344D" w:rsidP="006F7FC5">
            <w:pPr>
              <w:jc w:val="center"/>
              <w:rPr>
                <w:rFonts w:ascii="Arial" w:hAnsi="Arial" w:cs="Arial"/>
                <w:b/>
                <w:sz w:val="28"/>
                <w:szCs w:val="28"/>
              </w:rPr>
            </w:pPr>
          </w:p>
        </w:tc>
        <w:tc>
          <w:tcPr>
            <w:tcW w:w="733"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544" w:type="dxa"/>
            <w:shd w:val="clear" w:color="auto" w:fill="C0C0C0"/>
            <w:vAlign w:val="center"/>
          </w:tcPr>
          <w:p w:rsidR="0098344D" w:rsidRPr="004F2C12" w:rsidRDefault="0098344D" w:rsidP="006F7FC5">
            <w:pPr>
              <w:jc w:val="center"/>
              <w:rPr>
                <w:rFonts w:ascii="Arial" w:hAnsi="Arial" w:cs="Arial"/>
                <w:b/>
                <w:sz w:val="28"/>
                <w:szCs w:val="28"/>
              </w:rPr>
            </w:pPr>
          </w:p>
        </w:tc>
        <w:tc>
          <w:tcPr>
            <w:tcW w:w="700"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sz w:val="20"/>
                <w:szCs w:val="20"/>
              </w:rPr>
              <w:t>PLATELETS</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E020</w:t>
            </w:r>
          </w:p>
        </w:tc>
        <w:tc>
          <w:tcPr>
            <w:tcW w:w="611"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rsidR="0098344D" w:rsidRPr="004F2C12" w:rsidRDefault="0098344D" w:rsidP="006F7FC5">
            <w:pPr>
              <w:jc w:val="center"/>
              <w:rPr>
                <w:rFonts w:ascii="Arial" w:hAnsi="Arial" w:cs="Arial"/>
                <w:b/>
                <w:sz w:val="28"/>
                <w:szCs w:val="28"/>
              </w:rPr>
            </w:pPr>
          </w:p>
        </w:tc>
        <w:tc>
          <w:tcPr>
            <w:tcW w:w="444"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577" w:type="dxa"/>
            <w:shd w:val="clear" w:color="auto" w:fill="C0C0C0"/>
            <w:vAlign w:val="center"/>
          </w:tcPr>
          <w:p w:rsidR="0098344D" w:rsidRPr="004F2C12" w:rsidRDefault="0098344D" w:rsidP="006F7FC5">
            <w:pPr>
              <w:jc w:val="center"/>
              <w:rPr>
                <w:rFonts w:ascii="Arial" w:hAnsi="Arial" w:cs="Arial"/>
                <w:b/>
                <w:sz w:val="28"/>
                <w:szCs w:val="28"/>
              </w:rPr>
            </w:pPr>
          </w:p>
        </w:tc>
        <w:tc>
          <w:tcPr>
            <w:tcW w:w="800"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666"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733" w:type="dxa"/>
            <w:tcBorders>
              <w:bottom w:val="single" w:sz="4" w:space="0" w:color="auto"/>
            </w:tcBorders>
            <w:shd w:val="pct25" w:color="auto" w:fill="auto"/>
            <w:vAlign w:val="center"/>
          </w:tcPr>
          <w:p w:rsidR="0098344D" w:rsidRPr="004F2C12" w:rsidRDefault="0098344D" w:rsidP="006F7FC5">
            <w:pPr>
              <w:jc w:val="center"/>
              <w:rPr>
                <w:rFonts w:ascii="Arial" w:hAnsi="Arial" w:cs="Arial"/>
                <w:b/>
                <w:sz w:val="28"/>
                <w:szCs w:val="28"/>
              </w:rPr>
            </w:pPr>
          </w:p>
        </w:tc>
        <w:tc>
          <w:tcPr>
            <w:tcW w:w="544"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700"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sz w:val="20"/>
                <w:szCs w:val="20"/>
              </w:rPr>
              <w:t>Washed PLATELETS</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E021</w:t>
            </w:r>
          </w:p>
        </w:tc>
        <w:tc>
          <w:tcPr>
            <w:tcW w:w="611"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522"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444"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577"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800"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666"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733" w:type="dxa"/>
            <w:shd w:val="pct25" w:color="auto" w:fill="auto"/>
            <w:vAlign w:val="center"/>
          </w:tcPr>
          <w:p w:rsidR="0098344D" w:rsidRPr="004F2C12" w:rsidRDefault="0098344D" w:rsidP="006F7FC5">
            <w:pPr>
              <w:jc w:val="center"/>
              <w:rPr>
                <w:rFonts w:ascii="Arial" w:hAnsi="Arial" w:cs="Arial"/>
                <w:b/>
                <w:sz w:val="28"/>
                <w:szCs w:val="28"/>
              </w:rPr>
            </w:pPr>
          </w:p>
        </w:tc>
        <w:tc>
          <w:tcPr>
            <w:tcW w:w="544" w:type="dxa"/>
            <w:shd w:val="clear" w:color="auto" w:fill="C0C0C0"/>
            <w:vAlign w:val="center"/>
          </w:tcPr>
          <w:p w:rsidR="0098344D" w:rsidRPr="004F2C12" w:rsidRDefault="0098344D" w:rsidP="006F7FC5">
            <w:pPr>
              <w:jc w:val="center"/>
              <w:rPr>
                <w:rFonts w:ascii="Arial" w:hAnsi="Arial" w:cs="Arial"/>
                <w:b/>
                <w:sz w:val="28"/>
                <w:szCs w:val="28"/>
              </w:rPr>
            </w:pPr>
          </w:p>
        </w:tc>
        <w:tc>
          <w:tcPr>
            <w:tcW w:w="700" w:type="dxa"/>
            <w:shd w:val="clear" w:color="auto" w:fill="C0C0C0"/>
            <w:vAlign w:val="center"/>
          </w:tcPr>
          <w:p w:rsidR="0098344D" w:rsidRPr="004F2C12" w:rsidRDefault="0098344D" w:rsidP="006F7FC5">
            <w:pPr>
              <w:pStyle w:val="CommentText"/>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sz w:val="20"/>
                <w:szCs w:val="20"/>
              </w:rPr>
              <w:t>POOLED PLATELETS</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E022</w:t>
            </w:r>
          </w:p>
        </w:tc>
        <w:tc>
          <w:tcPr>
            <w:tcW w:w="611" w:type="dxa"/>
            <w:shd w:val="pct25" w:color="auto" w:fill="auto"/>
            <w:vAlign w:val="center"/>
          </w:tcPr>
          <w:p w:rsidR="0098344D" w:rsidRPr="004F2C12" w:rsidRDefault="0098344D" w:rsidP="006F7FC5">
            <w:pPr>
              <w:jc w:val="center"/>
              <w:rPr>
                <w:rFonts w:ascii="Arial" w:hAnsi="Arial" w:cs="Arial"/>
                <w:b/>
                <w:sz w:val="28"/>
                <w:szCs w:val="28"/>
              </w:rPr>
            </w:pPr>
          </w:p>
        </w:tc>
        <w:tc>
          <w:tcPr>
            <w:tcW w:w="522" w:type="dxa"/>
            <w:shd w:val="pct25" w:color="auto" w:fill="auto"/>
            <w:vAlign w:val="center"/>
          </w:tcPr>
          <w:p w:rsidR="0098344D" w:rsidRPr="004F2C12" w:rsidRDefault="0098344D" w:rsidP="006F7FC5">
            <w:pPr>
              <w:jc w:val="center"/>
              <w:rPr>
                <w:rFonts w:ascii="Arial" w:hAnsi="Arial" w:cs="Arial"/>
                <w:b/>
                <w:sz w:val="28"/>
                <w:szCs w:val="28"/>
              </w:rPr>
            </w:pPr>
          </w:p>
        </w:tc>
        <w:tc>
          <w:tcPr>
            <w:tcW w:w="444"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577" w:type="dxa"/>
            <w:shd w:val="clear" w:color="auto" w:fill="C0C0C0"/>
            <w:vAlign w:val="center"/>
          </w:tcPr>
          <w:p w:rsidR="0098344D" w:rsidRPr="004F2C12" w:rsidRDefault="0098344D" w:rsidP="006F7FC5">
            <w:pPr>
              <w:jc w:val="center"/>
              <w:rPr>
                <w:rFonts w:ascii="Arial" w:hAnsi="Arial" w:cs="Arial"/>
                <w:b/>
                <w:sz w:val="28"/>
                <w:szCs w:val="28"/>
              </w:rPr>
            </w:pPr>
          </w:p>
        </w:tc>
        <w:tc>
          <w:tcPr>
            <w:tcW w:w="800"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666"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733" w:type="dxa"/>
            <w:tcBorders>
              <w:bottom w:val="single" w:sz="4" w:space="0" w:color="auto"/>
            </w:tcBorders>
            <w:shd w:val="pct25" w:color="auto" w:fill="auto"/>
            <w:vAlign w:val="center"/>
          </w:tcPr>
          <w:p w:rsidR="0098344D" w:rsidRPr="004F2C12" w:rsidRDefault="0098344D" w:rsidP="006F7FC5">
            <w:pPr>
              <w:jc w:val="center"/>
              <w:rPr>
                <w:rFonts w:ascii="Arial" w:hAnsi="Arial" w:cs="Arial"/>
                <w:b/>
                <w:sz w:val="28"/>
                <w:szCs w:val="28"/>
              </w:rPr>
            </w:pPr>
          </w:p>
        </w:tc>
        <w:tc>
          <w:tcPr>
            <w:tcW w:w="544"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70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sz w:val="20"/>
                <w:szCs w:val="20"/>
              </w:rPr>
              <w:t>Washed POOLED PLATELETS</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E023</w:t>
            </w:r>
          </w:p>
        </w:tc>
        <w:tc>
          <w:tcPr>
            <w:tcW w:w="611" w:type="dxa"/>
            <w:shd w:val="pct25" w:color="auto" w:fill="auto"/>
            <w:vAlign w:val="center"/>
          </w:tcPr>
          <w:p w:rsidR="0098344D" w:rsidRPr="004F2C12" w:rsidRDefault="0098344D" w:rsidP="006F7FC5">
            <w:pPr>
              <w:jc w:val="center"/>
              <w:rPr>
                <w:rFonts w:ascii="Arial" w:hAnsi="Arial" w:cs="Arial"/>
                <w:b/>
                <w:sz w:val="28"/>
                <w:szCs w:val="28"/>
              </w:rPr>
            </w:pPr>
          </w:p>
        </w:tc>
        <w:tc>
          <w:tcPr>
            <w:tcW w:w="522" w:type="dxa"/>
            <w:shd w:val="pct25" w:color="auto" w:fill="auto"/>
            <w:vAlign w:val="center"/>
          </w:tcPr>
          <w:p w:rsidR="0098344D" w:rsidRPr="004F2C12" w:rsidRDefault="0098344D" w:rsidP="006F7FC5">
            <w:pPr>
              <w:jc w:val="center"/>
              <w:rPr>
                <w:rFonts w:ascii="Arial" w:hAnsi="Arial" w:cs="Arial"/>
                <w:b/>
                <w:sz w:val="28"/>
                <w:szCs w:val="28"/>
              </w:rPr>
            </w:pPr>
          </w:p>
        </w:tc>
        <w:tc>
          <w:tcPr>
            <w:tcW w:w="444"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577" w:type="dxa"/>
            <w:shd w:val="clear" w:color="auto" w:fill="C0C0C0"/>
            <w:vAlign w:val="center"/>
          </w:tcPr>
          <w:p w:rsidR="0098344D" w:rsidRPr="004F2C12" w:rsidRDefault="0098344D" w:rsidP="006F7FC5">
            <w:pPr>
              <w:jc w:val="center"/>
              <w:rPr>
                <w:rFonts w:ascii="Arial" w:hAnsi="Arial" w:cs="Arial"/>
                <w:b/>
                <w:sz w:val="28"/>
                <w:szCs w:val="28"/>
              </w:rPr>
            </w:pPr>
          </w:p>
        </w:tc>
        <w:tc>
          <w:tcPr>
            <w:tcW w:w="800"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666"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733" w:type="dxa"/>
            <w:shd w:val="pct25" w:color="auto" w:fill="auto"/>
            <w:vAlign w:val="center"/>
          </w:tcPr>
          <w:p w:rsidR="0098344D" w:rsidRPr="004F2C12" w:rsidRDefault="0098344D" w:rsidP="006F7FC5">
            <w:pPr>
              <w:jc w:val="center"/>
              <w:rPr>
                <w:rFonts w:ascii="Arial" w:hAnsi="Arial" w:cs="Arial"/>
                <w:b/>
                <w:sz w:val="28"/>
                <w:szCs w:val="28"/>
              </w:rPr>
            </w:pPr>
          </w:p>
        </w:tc>
        <w:tc>
          <w:tcPr>
            <w:tcW w:w="544" w:type="dxa"/>
            <w:shd w:val="clear" w:color="auto" w:fill="C0C0C0"/>
            <w:vAlign w:val="center"/>
          </w:tcPr>
          <w:p w:rsidR="0098344D" w:rsidRPr="004F2C12" w:rsidRDefault="0098344D" w:rsidP="006F7FC5">
            <w:pPr>
              <w:jc w:val="center"/>
              <w:rPr>
                <w:rFonts w:ascii="Arial" w:hAnsi="Arial" w:cs="Arial"/>
                <w:b/>
                <w:sz w:val="28"/>
                <w:szCs w:val="28"/>
              </w:rPr>
            </w:pPr>
          </w:p>
        </w:tc>
        <w:tc>
          <w:tcPr>
            <w:tcW w:w="70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sz w:val="20"/>
                <w:szCs w:val="20"/>
              </w:rPr>
              <w:t>APHERESIS PLATELETS</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E024</w:t>
            </w:r>
          </w:p>
        </w:tc>
        <w:tc>
          <w:tcPr>
            <w:tcW w:w="611"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rsidR="0098344D" w:rsidRPr="004F2C12" w:rsidRDefault="0098344D" w:rsidP="006F7FC5">
            <w:pPr>
              <w:jc w:val="center"/>
              <w:rPr>
                <w:rFonts w:ascii="Arial" w:hAnsi="Arial" w:cs="Arial"/>
                <w:b/>
                <w:sz w:val="28"/>
                <w:szCs w:val="28"/>
              </w:rPr>
            </w:pPr>
          </w:p>
        </w:tc>
        <w:tc>
          <w:tcPr>
            <w:tcW w:w="444"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800"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666"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733" w:type="dxa"/>
            <w:tcBorders>
              <w:bottom w:val="single" w:sz="4" w:space="0" w:color="auto"/>
            </w:tcBorders>
            <w:shd w:val="pct25" w:color="auto" w:fill="auto"/>
            <w:vAlign w:val="center"/>
          </w:tcPr>
          <w:p w:rsidR="0098344D" w:rsidRPr="004F2C12" w:rsidRDefault="0098344D" w:rsidP="006F7FC5">
            <w:pPr>
              <w:jc w:val="center"/>
              <w:rPr>
                <w:rFonts w:ascii="Arial" w:hAnsi="Arial" w:cs="Arial"/>
                <w:b/>
                <w:sz w:val="28"/>
                <w:szCs w:val="28"/>
              </w:rPr>
            </w:pPr>
          </w:p>
        </w:tc>
        <w:tc>
          <w:tcPr>
            <w:tcW w:w="544"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70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sz w:val="20"/>
                <w:szCs w:val="20"/>
              </w:rPr>
              <w:t>Frozen APHERESIS PLATELETS</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E025</w:t>
            </w:r>
          </w:p>
        </w:tc>
        <w:tc>
          <w:tcPr>
            <w:tcW w:w="611" w:type="dxa"/>
            <w:shd w:val="clear" w:color="auto" w:fill="C0C0C0"/>
            <w:vAlign w:val="center"/>
          </w:tcPr>
          <w:p w:rsidR="0098344D" w:rsidRPr="004F2C12" w:rsidRDefault="0098344D" w:rsidP="006F7FC5">
            <w:pPr>
              <w:jc w:val="center"/>
              <w:rPr>
                <w:rFonts w:ascii="Arial" w:hAnsi="Arial" w:cs="Arial"/>
                <w:b/>
                <w:sz w:val="28"/>
                <w:szCs w:val="28"/>
              </w:rPr>
            </w:pPr>
          </w:p>
        </w:tc>
        <w:tc>
          <w:tcPr>
            <w:tcW w:w="522"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444"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800" w:type="dxa"/>
            <w:shd w:val="clear" w:color="auto" w:fill="C0C0C0"/>
            <w:vAlign w:val="center"/>
          </w:tcPr>
          <w:p w:rsidR="0098344D" w:rsidRPr="004F2C12" w:rsidRDefault="0098344D" w:rsidP="006F7FC5">
            <w:pPr>
              <w:jc w:val="center"/>
              <w:rPr>
                <w:rFonts w:ascii="Arial" w:hAnsi="Arial" w:cs="Arial"/>
                <w:b/>
                <w:sz w:val="28"/>
                <w:szCs w:val="28"/>
              </w:rPr>
            </w:pPr>
          </w:p>
        </w:tc>
        <w:tc>
          <w:tcPr>
            <w:tcW w:w="666" w:type="dxa"/>
            <w:shd w:val="clear" w:color="auto" w:fill="C0C0C0"/>
            <w:vAlign w:val="center"/>
          </w:tcPr>
          <w:p w:rsidR="0098344D" w:rsidRPr="004F2C12" w:rsidRDefault="0098344D" w:rsidP="006F7FC5">
            <w:pPr>
              <w:jc w:val="center"/>
              <w:rPr>
                <w:rFonts w:ascii="Arial" w:hAnsi="Arial" w:cs="Arial"/>
                <w:b/>
                <w:sz w:val="28"/>
                <w:szCs w:val="28"/>
              </w:rPr>
            </w:pPr>
          </w:p>
        </w:tc>
        <w:tc>
          <w:tcPr>
            <w:tcW w:w="733" w:type="dxa"/>
            <w:shd w:val="clear" w:color="auto" w:fill="C0C0C0"/>
            <w:vAlign w:val="center"/>
          </w:tcPr>
          <w:p w:rsidR="0098344D" w:rsidRPr="004F2C12" w:rsidRDefault="0098344D" w:rsidP="006F7FC5">
            <w:pPr>
              <w:jc w:val="center"/>
              <w:rPr>
                <w:rFonts w:ascii="Arial" w:hAnsi="Arial" w:cs="Arial"/>
                <w:b/>
                <w:sz w:val="28"/>
                <w:szCs w:val="28"/>
              </w:rPr>
            </w:pPr>
          </w:p>
        </w:tc>
        <w:tc>
          <w:tcPr>
            <w:tcW w:w="544" w:type="dxa"/>
            <w:shd w:val="clear" w:color="auto" w:fill="C0C0C0"/>
            <w:vAlign w:val="center"/>
          </w:tcPr>
          <w:p w:rsidR="0098344D" w:rsidRPr="004F2C12" w:rsidRDefault="0098344D" w:rsidP="006F7FC5">
            <w:pPr>
              <w:jc w:val="center"/>
              <w:rPr>
                <w:rFonts w:ascii="Arial" w:hAnsi="Arial" w:cs="Arial"/>
                <w:b/>
                <w:sz w:val="28"/>
                <w:szCs w:val="28"/>
              </w:rPr>
            </w:pPr>
          </w:p>
        </w:tc>
        <w:tc>
          <w:tcPr>
            <w:tcW w:w="70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sz w:val="20"/>
                <w:szCs w:val="20"/>
              </w:rPr>
              <w:t>Thawed APHERESIS PLATELETS</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E026</w:t>
            </w:r>
          </w:p>
        </w:tc>
        <w:tc>
          <w:tcPr>
            <w:tcW w:w="611"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rsidR="0098344D" w:rsidRPr="004F2C12" w:rsidRDefault="0098344D" w:rsidP="006F7FC5">
            <w:pPr>
              <w:jc w:val="center"/>
              <w:rPr>
                <w:rFonts w:ascii="Arial" w:hAnsi="Arial" w:cs="Arial"/>
                <w:b/>
                <w:sz w:val="28"/>
                <w:szCs w:val="28"/>
              </w:rPr>
            </w:pPr>
          </w:p>
        </w:tc>
        <w:tc>
          <w:tcPr>
            <w:tcW w:w="444"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577" w:type="dxa"/>
            <w:shd w:val="clear" w:color="auto" w:fill="C0C0C0"/>
            <w:vAlign w:val="center"/>
          </w:tcPr>
          <w:p w:rsidR="0098344D" w:rsidRPr="004F2C12" w:rsidRDefault="0098344D" w:rsidP="006F7FC5">
            <w:pPr>
              <w:jc w:val="center"/>
              <w:rPr>
                <w:rFonts w:ascii="Arial" w:hAnsi="Arial" w:cs="Arial"/>
                <w:b/>
                <w:sz w:val="28"/>
                <w:szCs w:val="28"/>
              </w:rPr>
            </w:pPr>
          </w:p>
        </w:tc>
        <w:tc>
          <w:tcPr>
            <w:tcW w:w="800"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666"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733" w:type="dxa"/>
            <w:shd w:val="clear" w:color="auto" w:fill="C0C0C0"/>
            <w:vAlign w:val="center"/>
          </w:tcPr>
          <w:p w:rsidR="0098344D" w:rsidRPr="004F2C12" w:rsidRDefault="0098344D" w:rsidP="006F7FC5">
            <w:pPr>
              <w:jc w:val="center"/>
              <w:rPr>
                <w:rFonts w:ascii="Arial" w:hAnsi="Arial" w:cs="Arial"/>
                <w:b/>
                <w:sz w:val="28"/>
                <w:szCs w:val="28"/>
              </w:rPr>
            </w:pPr>
          </w:p>
        </w:tc>
        <w:tc>
          <w:tcPr>
            <w:tcW w:w="544" w:type="dxa"/>
            <w:shd w:val="clear" w:color="auto" w:fill="C0C0C0"/>
            <w:vAlign w:val="center"/>
          </w:tcPr>
          <w:p w:rsidR="0098344D" w:rsidRPr="004F2C12" w:rsidRDefault="0098344D" w:rsidP="006F7FC5">
            <w:pPr>
              <w:jc w:val="center"/>
              <w:rPr>
                <w:rFonts w:ascii="Arial" w:hAnsi="Arial" w:cs="Arial"/>
                <w:b/>
                <w:sz w:val="28"/>
                <w:szCs w:val="28"/>
              </w:rPr>
            </w:pPr>
          </w:p>
        </w:tc>
        <w:tc>
          <w:tcPr>
            <w:tcW w:w="70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sz w:val="20"/>
                <w:szCs w:val="20"/>
              </w:rPr>
              <w:lastRenderedPageBreak/>
              <w:t>Washed APHERESIS PLATELETS</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E027</w:t>
            </w:r>
          </w:p>
        </w:tc>
        <w:tc>
          <w:tcPr>
            <w:tcW w:w="611"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rsidR="0098344D" w:rsidRPr="004F2C12" w:rsidRDefault="0098344D" w:rsidP="006F7FC5">
            <w:pPr>
              <w:jc w:val="center"/>
              <w:rPr>
                <w:rFonts w:ascii="Arial" w:hAnsi="Arial" w:cs="Arial"/>
                <w:b/>
                <w:sz w:val="28"/>
                <w:szCs w:val="28"/>
              </w:rPr>
            </w:pPr>
          </w:p>
        </w:tc>
        <w:tc>
          <w:tcPr>
            <w:tcW w:w="444" w:type="dxa"/>
            <w:shd w:val="clear" w:color="auto" w:fill="C0C0C0"/>
            <w:vAlign w:val="center"/>
          </w:tcPr>
          <w:p w:rsidR="0098344D" w:rsidRPr="004F2C12" w:rsidRDefault="0098344D" w:rsidP="006F7FC5">
            <w:pPr>
              <w:jc w:val="center"/>
              <w:rPr>
                <w:rFonts w:ascii="Arial" w:hAnsi="Arial" w:cs="Arial"/>
                <w:b/>
                <w:sz w:val="28"/>
                <w:szCs w:val="28"/>
              </w:rPr>
            </w:pPr>
          </w:p>
        </w:tc>
        <w:tc>
          <w:tcPr>
            <w:tcW w:w="577" w:type="dxa"/>
            <w:shd w:val="clear" w:color="auto" w:fill="C0C0C0"/>
            <w:vAlign w:val="center"/>
          </w:tcPr>
          <w:p w:rsidR="0098344D" w:rsidRPr="004F2C12" w:rsidRDefault="0098344D" w:rsidP="006F7FC5">
            <w:pPr>
              <w:jc w:val="center"/>
              <w:rPr>
                <w:rFonts w:ascii="Arial" w:hAnsi="Arial" w:cs="Arial"/>
                <w:b/>
                <w:sz w:val="28"/>
                <w:szCs w:val="28"/>
              </w:rPr>
            </w:pPr>
          </w:p>
        </w:tc>
        <w:tc>
          <w:tcPr>
            <w:tcW w:w="800"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666"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733" w:type="dxa"/>
            <w:shd w:val="clear" w:color="auto" w:fill="C0C0C0"/>
            <w:vAlign w:val="center"/>
          </w:tcPr>
          <w:p w:rsidR="0098344D" w:rsidRPr="004F2C12" w:rsidRDefault="0098344D" w:rsidP="006F7FC5">
            <w:pPr>
              <w:jc w:val="center"/>
              <w:rPr>
                <w:rFonts w:ascii="Arial" w:hAnsi="Arial" w:cs="Arial"/>
                <w:b/>
                <w:sz w:val="28"/>
                <w:szCs w:val="28"/>
              </w:rPr>
            </w:pPr>
          </w:p>
        </w:tc>
        <w:tc>
          <w:tcPr>
            <w:tcW w:w="544" w:type="dxa"/>
            <w:shd w:val="clear" w:color="auto" w:fill="C0C0C0"/>
            <w:vAlign w:val="center"/>
          </w:tcPr>
          <w:p w:rsidR="0098344D" w:rsidRPr="004F2C12" w:rsidRDefault="0098344D" w:rsidP="006F7FC5">
            <w:pPr>
              <w:jc w:val="center"/>
              <w:rPr>
                <w:rFonts w:ascii="Arial" w:hAnsi="Arial" w:cs="Arial"/>
                <w:b/>
                <w:sz w:val="28"/>
                <w:szCs w:val="28"/>
              </w:rPr>
            </w:pPr>
          </w:p>
        </w:tc>
        <w:tc>
          <w:tcPr>
            <w:tcW w:w="70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sz w:val="20"/>
                <w:szCs w:val="20"/>
              </w:rPr>
              <w:t>CRYOPRECIPITATE</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E028</w:t>
            </w:r>
          </w:p>
        </w:tc>
        <w:tc>
          <w:tcPr>
            <w:tcW w:w="611" w:type="dxa"/>
            <w:shd w:val="clear" w:color="auto" w:fill="C0C0C0"/>
            <w:vAlign w:val="center"/>
          </w:tcPr>
          <w:p w:rsidR="0098344D" w:rsidRPr="004F2C12" w:rsidRDefault="0098344D" w:rsidP="006F7FC5">
            <w:pPr>
              <w:jc w:val="center"/>
              <w:rPr>
                <w:rFonts w:ascii="Arial" w:hAnsi="Arial" w:cs="Arial"/>
                <w:b/>
                <w:sz w:val="28"/>
                <w:szCs w:val="28"/>
              </w:rPr>
            </w:pPr>
          </w:p>
        </w:tc>
        <w:tc>
          <w:tcPr>
            <w:tcW w:w="522"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444"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577"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800" w:type="dxa"/>
            <w:shd w:val="clear" w:color="auto" w:fill="C0C0C0"/>
            <w:vAlign w:val="center"/>
          </w:tcPr>
          <w:p w:rsidR="0098344D" w:rsidRPr="004F2C12" w:rsidRDefault="0098344D" w:rsidP="006F7FC5">
            <w:pPr>
              <w:jc w:val="center"/>
              <w:rPr>
                <w:rFonts w:ascii="Arial" w:hAnsi="Arial" w:cs="Arial"/>
                <w:b/>
                <w:sz w:val="28"/>
                <w:szCs w:val="28"/>
              </w:rPr>
            </w:pPr>
          </w:p>
        </w:tc>
        <w:tc>
          <w:tcPr>
            <w:tcW w:w="666" w:type="dxa"/>
            <w:shd w:val="clear" w:color="auto" w:fill="C0C0C0"/>
            <w:vAlign w:val="center"/>
          </w:tcPr>
          <w:p w:rsidR="0098344D" w:rsidRPr="004F2C12" w:rsidRDefault="0098344D" w:rsidP="006F7FC5">
            <w:pPr>
              <w:jc w:val="center"/>
              <w:rPr>
                <w:rFonts w:ascii="Arial" w:hAnsi="Arial" w:cs="Arial"/>
                <w:b/>
                <w:sz w:val="28"/>
                <w:szCs w:val="28"/>
              </w:rPr>
            </w:pPr>
          </w:p>
        </w:tc>
        <w:tc>
          <w:tcPr>
            <w:tcW w:w="733" w:type="dxa"/>
            <w:shd w:val="clear" w:color="auto" w:fill="C0C0C0"/>
            <w:vAlign w:val="center"/>
          </w:tcPr>
          <w:p w:rsidR="0098344D" w:rsidRPr="004F2C12" w:rsidRDefault="0098344D" w:rsidP="006F7FC5">
            <w:pPr>
              <w:jc w:val="center"/>
              <w:rPr>
                <w:rFonts w:ascii="Arial" w:hAnsi="Arial" w:cs="Arial"/>
                <w:b/>
                <w:sz w:val="28"/>
                <w:szCs w:val="28"/>
              </w:rPr>
            </w:pPr>
          </w:p>
        </w:tc>
        <w:tc>
          <w:tcPr>
            <w:tcW w:w="544" w:type="dxa"/>
            <w:shd w:val="clear" w:color="auto" w:fill="C0C0C0"/>
            <w:vAlign w:val="center"/>
          </w:tcPr>
          <w:p w:rsidR="0098344D" w:rsidRPr="004F2C12" w:rsidRDefault="0098344D" w:rsidP="006F7FC5">
            <w:pPr>
              <w:jc w:val="center"/>
              <w:rPr>
                <w:rFonts w:ascii="Arial" w:hAnsi="Arial" w:cs="Arial"/>
                <w:b/>
                <w:sz w:val="28"/>
                <w:szCs w:val="28"/>
              </w:rPr>
            </w:pPr>
          </w:p>
        </w:tc>
        <w:tc>
          <w:tcPr>
            <w:tcW w:w="70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sz w:val="20"/>
                <w:szCs w:val="20"/>
              </w:rPr>
              <w:t>Thawed CRYOPRECIPITATE</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E029</w:t>
            </w:r>
          </w:p>
        </w:tc>
        <w:tc>
          <w:tcPr>
            <w:tcW w:w="611"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522"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444" w:type="dxa"/>
            <w:tcBorders>
              <w:bottom w:val="single" w:sz="4" w:space="0" w:color="auto"/>
            </w:tcBorders>
            <w:vAlign w:val="center"/>
          </w:tcPr>
          <w:p w:rsidR="0098344D" w:rsidRPr="004F2C12" w:rsidRDefault="0098344D" w:rsidP="006F7FC5">
            <w:pPr>
              <w:tabs>
                <w:tab w:val="center" w:pos="261"/>
              </w:tabs>
              <w:jc w:val="center"/>
              <w:rPr>
                <w:rFonts w:ascii="Arial" w:hAnsi="Arial" w:cs="Arial"/>
                <w:b/>
                <w:sz w:val="28"/>
                <w:szCs w:val="28"/>
              </w:rPr>
            </w:pPr>
            <w:r w:rsidRPr="004F2C12">
              <w:rPr>
                <w:rFonts w:ascii="Arial" w:hAnsi="Arial" w:cs="Arial"/>
                <w:b/>
                <w:sz w:val="28"/>
                <w:szCs w:val="28"/>
              </w:rPr>
              <w:t>X</w:t>
            </w:r>
          </w:p>
        </w:tc>
        <w:tc>
          <w:tcPr>
            <w:tcW w:w="577"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800"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666"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733"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544"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700"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sz w:val="20"/>
                <w:szCs w:val="20"/>
              </w:rPr>
              <w:t>POOLED CRYOPRECIPITATE</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E030</w:t>
            </w:r>
          </w:p>
        </w:tc>
        <w:tc>
          <w:tcPr>
            <w:tcW w:w="611"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522"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444"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800" w:type="dxa"/>
            <w:shd w:val="clear" w:color="auto" w:fill="C0C0C0"/>
            <w:vAlign w:val="center"/>
          </w:tcPr>
          <w:p w:rsidR="0098344D" w:rsidRPr="004F2C12" w:rsidRDefault="0098344D" w:rsidP="006F7FC5">
            <w:pPr>
              <w:jc w:val="center"/>
              <w:rPr>
                <w:rFonts w:ascii="Arial" w:hAnsi="Arial" w:cs="Arial"/>
                <w:b/>
                <w:sz w:val="28"/>
                <w:szCs w:val="28"/>
              </w:rPr>
            </w:pPr>
          </w:p>
        </w:tc>
        <w:tc>
          <w:tcPr>
            <w:tcW w:w="666"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733"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544"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700"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sz w:val="20"/>
                <w:szCs w:val="20"/>
              </w:rPr>
              <w:t>Thawed POOLED CRYOPRECIPITATE</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E031</w:t>
            </w:r>
          </w:p>
        </w:tc>
        <w:tc>
          <w:tcPr>
            <w:tcW w:w="611" w:type="dxa"/>
            <w:shd w:val="pct25" w:color="auto" w:fill="auto"/>
            <w:vAlign w:val="center"/>
          </w:tcPr>
          <w:p w:rsidR="0098344D" w:rsidRDefault="0098344D" w:rsidP="006F7FC5">
            <w:pPr>
              <w:jc w:val="center"/>
              <w:rPr>
                <w:rFonts w:ascii="Arial" w:hAnsi="Arial" w:cs="Arial"/>
                <w:b/>
                <w:sz w:val="28"/>
                <w:szCs w:val="28"/>
              </w:rPr>
            </w:pPr>
          </w:p>
          <w:p w:rsidR="0098344D" w:rsidRPr="004F2C12" w:rsidRDefault="0098344D" w:rsidP="006F7FC5">
            <w:pPr>
              <w:jc w:val="center"/>
              <w:rPr>
                <w:rFonts w:ascii="Arial" w:hAnsi="Arial" w:cs="Arial"/>
                <w:b/>
                <w:sz w:val="28"/>
                <w:szCs w:val="28"/>
              </w:rPr>
            </w:pPr>
          </w:p>
        </w:tc>
        <w:tc>
          <w:tcPr>
            <w:tcW w:w="522" w:type="dxa"/>
            <w:shd w:val="pct25" w:color="auto" w:fill="auto"/>
            <w:vAlign w:val="center"/>
          </w:tcPr>
          <w:p w:rsidR="0098344D" w:rsidRPr="004F2C12" w:rsidRDefault="0098344D" w:rsidP="006F7FC5">
            <w:pPr>
              <w:jc w:val="center"/>
              <w:rPr>
                <w:rFonts w:ascii="Arial" w:hAnsi="Arial" w:cs="Arial"/>
                <w:b/>
                <w:sz w:val="28"/>
                <w:szCs w:val="28"/>
              </w:rPr>
            </w:pPr>
          </w:p>
        </w:tc>
        <w:tc>
          <w:tcPr>
            <w:tcW w:w="444"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577"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800"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666" w:type="dxa"/>
            <w:shd w:val="clear" w:color="auto" w:fill="C0C0C0"/>
            <w:vAlign w:val="center"/>
          </w:tcPr>
          <w:p w:rsidR="0098344D" w:rsidRPr="004F2C12" w:rsidRDefault="0098344D" w:rsidP="006F7FC5">
            <w:pPr>
              <w:jc w:val="center"/>
              <w:rPr>
                <w:rFonts w:ascii="Arial" w:hAnsi="Arial" w:cs="Arial"/>
                <w:b/>
                <w:sz w:val="28"/>
                <w:szCs w:val="28"/>
              </w:rPr>
            </w:pPr>
          </w:p>
        </w:tc>
        <w:tc>
          <w:tcPr>
            <w:tcW w:w="733" w:type="dxa"/>
            <w:shd w:val="clear" w:color="auto" w:fill="C0C0C0"/>
            <w:vAlign w:val="center"/>
          </w:tcPr>
          <w:p w:rsidR="0098344D" w:rsidRPr="004F2C12" w:rsidRDefault="0098344D" w:rsidP="006F7FC5">
            <w:pPr>
              <w:jc w:val="center"/>
              <w:rPr>
                <w:rFonts w:ascii="Arial" w:hAnsi="Arial" w:cs="Arial"/>
                <w:b/>
                <w:sz w:val="28"/>
                <w:szCs w:val="28"/>
              </w:rPr>
            </w:pPr>
          </w:p>
        </w:tc>
        <w:tc>
          <w:tcPr>
            <w:tcW w:w="544" w:type="dxa"/>
            <w:shd w:val="clear" w:color="auto" w:fill="C0C0C0"/>
            <w:vAlign w:val="center"/>
          </w:tcPr>
          <w:p w:rsidR="0098344D" w:rsidRPr="004F2C12" w:rsidRDefault="0098344D" w:rsidP="006F7FC5">
            <w:pPr>
              <w:jc w:val="center"/>
              <w:rPr>
                <w:rFonts w:ascii="Arial" w:hAnsi="Arial" w:cs="Arial"/>
                <w:b/>
                <w:sz w:val="28"/>
                <w:szCs w:val="28"/>
              </w:rPr>
            </w:pPr>
          </w:p>
        </w:tc>
        <w:tc>
          <w:tcPr>
            <w:tcW w:w="70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sz w:val="20"/>
                <w:szCs w:val="20"/>
              </w:rPr>
              <w:t>APHERESIS CRYOPRECIPITATE</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E032</w:t>
            </w:r>
          </w:p>
        </w:tc>
        <w:tc>
          <w:tcPr>
            <w:tcW w:w="611" w:type="dxa"/>
            <w:shd w:val="clear" w:color="auto" w:fill="C0C0C0"/>
            <w:vAlign w:val="center"/>
          </w:tcPr>
          <w:p w:rsidR="0098344D" w:rsidRPr="004F2C12" w:rsidRDefault="0098344D" w:rsidP="006F7FC5">
            <w:pPr>
              <w:jc w:val="center"/>
              <w:rPr>
                <w:rFonts w:ascii="Arial" w:hAnsi="Arial" w:cs="Arial"/>
                <w:b/>
                <w:sz w:val="28"/>
                <w:szCs w:val="28"/>
              </w:rPr>
            </w:pPr>
          </w:p>
        </w:tc>
        <w:tc>
          <w:tcPr>
            <w:tcW w:w="522"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444"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800" w:type="dxa"/>
            <w:shd w:val="clear" w:color="auto" w:fill="C0C0C0"/>
            <w:vAlign w:val="center"/>
          </w:tcPr>
          <w:p w:rsidR="0098344D" w:rsidRPr="004F2C12" w:rsidRDefault="0098344D" w:rsidP="006F7FC5">
            <w:pPr>
              <w:jc w:val="center"/>
              <w:rPr>
                <w:rFonts w:ascii="Arial" w:hAnsi="Arial" w:cs="Arial"/>
                <w:b/>
                <w:sz w:val="28"/>
                <w:szCs w:val="28"/>
              </w:rPr>
            </w:pPr>
          </w:p>
        </w:tc>
        <w:tc>
          <w:tcPr>
            <w:tcW w:w="666" w:type="dxa"/>
            <w:shd w:val="clear" w:color="auto" w:fill="C0C0C0"/>
            <w:vAlign w:val="center"/>
          </w:tcPr>
          <w:p w:rsidR="0098344D" w:rsidRPr="004F2C12" w:rsidRDefault="0098344D" w:rsidP="006F7FC5">
            <w:pPr>
              <w:jc w:val="center"/>
              <w:rPr>
                <w:rFonts w:ascii="Arial" w:hAnsi="Arial" w:cs="Arial"/>
                <w:b/>
                <w:sz w:val="28"/>
                <w:szCs w:val="28"/>
              </w:rPr>
            </w:pPr>
          </w:p>
        </w:tc>
        <w:tc>
          <w:tcPr>
            <w:tcW w:w="733" w:type="dxa"/>
            <w:shd w:val="clear" w:color="auto" w:fill="C0C0C0"/>
            <w:vAlign w:val="center"/>
          </w:tcPr>
          <w:p w:rsidR="0098344D" w:rsidRPr="004F2C12" w:rsidRDefault="0098344D" w:rsidP="006F7FC5">
            <w:pPr>
              <w:jc w:val="center"/>
              <w:rPr>
                <w:rFonts w:ascii="Arial" w:hAnsi="Arial" w:cs="Arial"/>
                <w:b/>
                <w:sz w:val="28"/>
                <w:szCs w:val="28"/>
              </w:rPr>
            </w:pPr>
          </w:p>
        </w:tc>
        <w:tc>
          <w:tcPr>
            <w:tcW w:w="544" w:type="dxa"/>
            <w:shd w:val="clear" w:color="auto" w:fill="C0C0C0"/>
            <w:vAlign w:val="center"/>
          </w:tcPr>
          <w:p w:rsidR="0098344D" w:rsidRPr="004F2C12" w:rsidRDefault="0098344D" w:rsidP="006F7FC5">
            <w:pPr>
              <w:jc w:val="center"/>
              <w:rPr>
                <w:rFonts w:ascii="Arial" w:hAnsi="Arial" w:cs="Arial"/>
                <w:b/>
                <w:sz w:val="28"/>
                <w:szCs w:val="28"/>
              </w:rPr>
            </w:pPr>
          </w:p>
        </w:tc>
        <w:tc>
          <w:tcPr>
            <w:tcW w:w="70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sz w:val="20"/>
                <w:szCs w:val="20"/>
              </w:rPr>
              <w:t>Thawed APHERESIS CRYOPRECIPITATE</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E033</w:t>
            </w:r>
          </w:p>
        </w:tc>
        <w:tc>
          <w:tcPr>
            <w:tcW w:w="611"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522"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444" w:type="dxa"/>
            <w:shd w:val="clear" w:color="auto" w:fill="C0C0C0"/>
            <w:vAlign w:val="center"/>
          </w:tcPr>
          <w:p w:rsidR="0098344D" w:rsidRPr="004F2C12" w:rsidRDefault="0098344D"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800"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666" w:type="dxa"/>
            <w:shd w:val="clear" w:color="auto" w:fill="C0C0C0"/>
            <w:vAlign w:val="center"/>
          </w:tcPr>
          <w:p w:rsidR="0098344D" w:rsidRPr="004F2C12" w:rsidRDefault="0098344D" w:rsidP="006F7FC5">
            <w:pPr>
              <w:jc w:val="center"/>
              <w:rPr>
                <w:rFonts w:ascii="Arial" w:hAnsi="Arial" w:cs="Arial"/>
                <w:b/>
                <w:sz w:val="28"/>
                <w:szCs w:val="28"/>
              </w:rPr>
            </w:pPr>
          </w:p>
        </w:tc>
        <w:tc>
          <w:tcPr>
            <w:tcW w:w="733" w:type="dxa"/>
            <w:shd w:val="clear" w:color="auto" w:fill="C0C0C0"/>
            <w:vAlign w:val="center"/>
          </w:tcPr>
          <w:p w:rsidR="0098344D" w:rsidRPr="004F2C12" w:rsidRDefault="0098344D" w:rsidP="006F7FC5">
            <w:pPr>
              <w:jc w:val="center"/>
              <w:rPr>
                <w:rFonts w:ascii="Arial" w:hAnsi="Arial" w:cs="Arial"/>
                <w:b/>
                <w:sz w:val="28"/>
                <w:szCs w:val="28"/>
              </w:rPr>
            </w:pPr>
          </w:p>
        </w:tc>
        <w:tc>
          <w:tcPr>
            <w:tcW w:w="544" w:type="dxa"/>
            <w:shd w:val="clear" w:color="auto" w:fill="C0C0C0"/>
            <w:vAlign w:val="center"/>
          </w:tcPr>
          <w:p w:rsidR="0098344D" w:rsidRPr="004F2C12" w:rsidRDefault="0098344D" w:rsidP="006F7FC5">
            <w:pPr>
              <w:jc w:val="center"/>
              <w:rPr>
                <w:rFonts w:ascii="Arial" w:hAnsi="Arial" w:cs="Arial"/>
                <w:b/>
                <w:sz w:val="28"/>
                <w:szCs w:val="28"/>
              </w:rPr>
            </w:pPr>
          </w:p>
        </w:tc>
        <w:tc>
          <w:tcPr>
            <w:tcW w:w="70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sz w:val="20"/>
                <w:szCs w:val="20"/>
              </w:rPr>
              <w:t>GRANULOCYTES</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E034</w:t>
            </w:r>
          </w:p>
        </w:tc>
        <w:tc>
          <w:tcPr>
            <w:tcW w:w="611"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rsidR="0098344D" w:rsidRPr="004F2C12" w:rsidRDefault="0098344D" w:rsidP="006F7FC5">
            <w:pPr>
              <w:jc w:val="center"/>
              <w:rPr>
                <w:rFonts w:ascii="Arial" w:hAnsi="Arial" w:cs="Arial"/>
                <w:b/>
                <w:sz w:val="28"/>
                <w:szCs w:val="28"/>
              </w:rPr>
            </w:pPr>
          </w:p>
        </w:tc>
        <w:tc>
          <w:tcPr>
            <w:tcW w:w="444"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577" w:type="dxa"/>
            <w:shd w:val="clear" w:color="auto" w:fill="C0C0C0"/>
            <w:vAlign w:val="center"/>
          </w:tcPr>
          <w:p w:rsidR="0098344D" w:rsidRPr="004F2C12" w:rsidRDefault="0098344D" w:rsidP="006F7FC5">
            <w:pPr>
              <w:jc w:val="center"/>
              <w:rPr>
                <w:rFonts w:ascii="Arial" w:hAnsi="Arial" w:cs="Arial"/>
                <w:b/>
                <w:sz w:val="28"/>
                <w:szCs w:val="28"/>
              </w:rPr>
            </w:pPr>
          </w:p>
        </w:tc>
        <w:tc>
          <w:tcPr>
            <w:tcW w:w="800"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666" w:type="dxa"/>
            <w:shd w:val="clear" w:color="auto" w:fill="C0C0C0"/>
            <w:vAlign w:val="center"/>
          </w:tcPr>
          <w:p w:rsidR="0098344D" w:rsidRPr="004F2C12" w:rsidRDefault="0098344D" w:rsidP="006F7FC5">
            <w:pPr>
              <w:jc w:val="center"/>
              <w:rPr>
                <w:rFonts w:ascii="Arial" w:hAnsi="Arial" w:cs="Arial"/>
                <w:b/>
                <w:sz w:val="28"/>
                <w:szCs w:val="28"/>
              </w:rPr>
            </w:pPr>
          </w:p>
        </w:tc>
        <w:tc>
          <w:tcPr>
            <w:tcW w:w="733" w:type="dxa"/>
            <w:shd w:val="clear" w:color="auto" w:fill="C0C0C0"/>
            <w:vAlign w:val="center"/>
          </w:tcPr>
          <w:p w:rsidR="0098344D" w:rsidRPr="004F2C12" w:rsidRDefault="0098344D" w:rsidP="006F7FC5">
            <w:pPr>
              <w:jc w:val="center"/>
              <w:rPr>
                <w:rFonts w:ascii="Arial" w:hAnsi="Arial" w:cs="Arial"/>
                <w:b/>
                <w:sz w:val="28"/>
                <w:szCs w:val="28"/>
              </w:rPr>
            </w:pPr>
          </w:p>
        </w:tc>
        <w:tc>
          <w:tcPr>
            <w:tcW w:w="544" w:type="dxa"/>
            <w:shd w:val="clear" w:color="auto" w:fill="C0C0C0"/>
            <w:vAlign w:val="center"/>
          </w:tcPr>
          <w:p w:rsidR="0098344D" w:rsidRPr="004F2C12" w:rsidRDefault="0098344D" w:rsidP="006F7FC5">
            <w:pPr>
              <w:jc w:val="center"/>
              <w:rPr>
                <w:rFonts w:ascii="Arial" w:hAnsi="Arial" w:cs="Arial"/>
                <w:b/>
                <w:sz w:val="28"/>
                <w:szCs w:val="28"/>
              </w:rPr>
            </w:pPr>
          </w:p>
        </w:tc>
        <w:tc>
          <w:tcPr>
            <w:tcW w:w="70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576"/>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sz w:val="20"/>
                <w:szCs w:val="20"/>
              </w:rPr>
              <w:t>APHERESIS GRANULOCYTES</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E035</w:t>
            </w:r>
          </w:p>
        </w:tc>
        <w:tc>
          <w:tcPr>
            <w:tcW w:w="611"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522"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444"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577" w:type="dxa"/>
            <w:shd w:val="clear" w:color="auto" w:fill="C0C0C0"/>
            <w:vAlign w:val="center"/>
          </w:tcPr>
          <w:p w:rsidR="0098344D" w:rsidRPr="004F2C12" w:rsidRDefault="0098344D" w:rsidP="006F7FC5">
            <w:pPr>
              <w:jc w:val="center"/>
              <w:rPr>
                <w:rFonts w:ascii="Arial" w:hAnsi="Arial" w:cs="Arial"/>
                <w:b/>
                <w:sz w:val="28"/>
                <w:szCs w:val="28"/>
              </w:rPr>
            </w:pPr>
          </w:p>
        </w:tc>
        <w:tc>
          <w:tcPr>
            <w:tcW w:w="800"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666" w:type="dxa"/>
            <w:shd w:val="clear" w:color="auto" w:fill="C0C0C0"/>
            <w:vAlign w:val="center"/>
          </w:tcPr>
          <w:p w:rsidR="0098344D" w:rsidRPr="004F2C12" w:rsidRDefault="0098344D" w:rsidP="006F7FC5">
            <w:pPr>
              <w:jc w:val="center"/>
              <w:rPr>
                <w:rFonts w:ascii="Arial" w:hAnsi="Arial" w:cs="Arial"/>
                <w:b/>
                <w:sz w:val="28"/>
                <w:szCs w:val="28"/>
              </w:rPr>
            </w:pPr>
          </w:p>
        </w:tc>
        <w:tc>
          <w:tcPr>
            <w:tcW w:w="733" w:type="dxa"/>
            <w:shd w:val="clear" w:color="auto" w:fill="C0C0C0"/>
            <w:vAlign w:val="center"/>
          </w:tcPr>
          <w:p w:rsidR="0098344D" w:rsidRPr="004F2C12" w:rsidRDefault="0098344D" w:rsidP="006F7FC5">
            <w:pPr>
              <w:jc w:val="center"/>
              <w:rPr>
                <w:rFonts w:ascii="Arial" w:hAnsi="Arial" w:cs="Arial"/>
                <w:b/>
                <w:sz w:val="28"/>
                <w:szCs w:val="28"/>
              </w:rPr>
            </w:pPr>
          </w:p>
        </w:tc>
        <w:tc>
          <w:tcPr>
            <w:tcW w:w="544" w:type="dxa"/>
            <w:shd w:val="clear" w:color="auto" w:fill="C0C0C0"/>
            <w:vAlign w:val="center"/>
          </w:tcPr>
          <w:p w:rsidR="0098344D" w:rsidRPr="004F2C12" w:rsidRDefault="0098344D" w:rsidP="006F7FC5">
            <w:pPr>
              <w:jc w:val="center"/>
              <w:rPr>
                <w:rFonts w:ascii="Arial" w:hAnsi="Arial" w:cs="Arial"/>
                <w:b/>
                <w:sz w:val="28"/>
                <w:szCs w:val="28"/>
              </w:rPr>
            </w:pPr>
          </w:p>
        </w:tc>
        <w:tc>
          <w:tcPr>
            <w:tcW w:w="70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576"/>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sz w:val="20"/>
                <w:szCs w:val="20"/>
              </w:rPr>
              <w:t>POOLED GRANULOCYTES</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E036</w:t>
            </w:r>
          </w:p>
        </w:tc>
        <w:tc>
          <w:tcPr>
            <w:tcW w:w="611" w:type="dxa"/>
            <w:shd w:val="pct25" w:color="auto" w:fill="auto"/>
            <w:vAlign w:val="center"/>
          </w:tcPr>
          <w:p w:rsidR="0098344D" w:rsidRPr="004F2C12" w:rsidRDefault="0098344D" w:rsidP="006F7FC5">
            <w:pPr>
              <w:jc w:val="center"/>
              <w:rPr>
                <w:rFonts w:ascii="Arial" w:hAnsi="Arial" w:cs="Arial"/>
                <w:b/>
                <w:sz w:val="28"/>
                <w:szCs w:val="28"/>
              </w:rPr>
            </w:pPr>
          </w:p>
        </w:tc>
        <w:tc>
          <w:tcPr>
            <w:tcW w:w="522" w:type="dxa"/>
            <w:shd w:val="pct25" w:color="auto" w:fill="auto"/>
            <w:vAlign w:val="center"/>
          </w:tcPr>
          <w:p w:rsidR="0098344D" w:rsidRPr="004F2C12" w:rsidRDefault="0098344D" w:rsidP="006F7FC5">
            <w:pPr>
              <w:jc w:val="center"/>
              <w:rPr>
                <w:rFonts w:ascii="Arial" w:hAnsi="Arial" w:cs="Arial"/>
                <w:b/>
                <w:sz w:val="28"/>
                <w:szCs w:val="28"/>
              </w:rPr>
            </w:pPr>
          </w:p>
        </w:tc>
        <w:tc>
          <w:tcPr>
            <w:tcW w:w="444"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577" w:type="dxa"/>
            <w:shd w:val="clear" w:color="auto" w:fill="C0C0C0"/>
            <w:vAlign w:val="center"/>
          </w:tcPr>
          <w:p w:rsidR="0098344D" w:rsidRPr="004F2C12" w:rsidRDefault="0098344D" w:rsidP="006F7FC5">
            <w:pPr>
              <w:jc w:val="center"/>
              <w:rPr>
                <w:rFonts w:ascii="Arial" w:hAnsi="Arial" w:cs="Arial"/>
                <w:b/>
                <w:sz w:val="28"/>
                <w:szCs w:val="28"/>
              </w:rPr>
            </w:pPr>
          </w:p>
        </w:tc>
        <w:tc>
          <w:tcPr>
            <w:tcW w:w="800"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666" w:type="dxa"/>
            <w:shd w:val="clear" w:color="auto" w:fill="C0C0C0"/>
            <w:vAlign w:val="center"/>
          </w:tcPr>
          <w:p w:rsidR="0098344D" w:rsidRPr="004F2C12" w:rsidRDefault="0098344D" w:rsidP="006F7FC5">
            <w:pPr>
              <w:jc w:val="center"/>
              <w:rPr>
                <w:rFonts w:ascii="Arial" w:hAnsi="Arial" w:cs="Arial"/>
                <w:b/>
                <w:sz w:val="28"/>
                <w:szCs w:val="28"/>
              </w:rPr>
            </w:pPr>
          </w:p>
        </w:tc>
        <w:tc>
          <w:tcPr>
            <w:tcW w:w="733" w:type="dxa"/>
            <w:shd w:val="clear" w:color="auto" w:fill="C0C0C0"/>
            <w:vAlign w:val="center"/>
          </w:tcPr>
          <w:p w:rsidR="0098344D" w:rsidRPr="004F2C12" w:rsidRDefault="0098344D" w:rsidP="006F7FC5">
            <w:pPr>
              <w:jc w:val="center"/>
              <w:rPr>
                <w:rFonts w:ascii="Arial" w:hAnsi="Arial" w:cs="Arial"/>
                <w:b/>
                <w:sz w:val="28"/>
                <w:szCs w:val="28"/>
              </w:rPr>
            </w:pPr>
          </w:p>
        </w:tc>
        <w:tc>
          <w:tcPr>
            <w:tcW w:w="544" w:type="dxa"/>
            <w:shd w:val="clear" w:color="auto" w:fill="C0C0C0"/>
            <w:vAlign w:val="center"/>
          </w:tcPr>
          <w:p w:rsidR="0098344D" w:rsidRPr="004F2C12" w:rsidRDefault="0098344D" w:rsidP="006F7FC5">
            <w:pPr>
              <w:jc w:val="center"/>
              <w:rPr>
                <w:rFonts w:ascii="Arial" w:hAnsi="Arial" w:cs="Arial"/>
                <w:b/>
                <w:sz w:val="28"/>
                <w:szCs w:val="28"/>
              </w:rPr>
            </w:pPr>
          </w:p>
        </w:tc>
        <w:tc>
          <w:tcPr>
            <w:tcW w:w="70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sz w:val="20"/>
                <w:szCs w:val="20"/>
              </w:rPr>
              <w:t>APHERESIS GRANULOCYTES – PLATELETS</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E037</w:t>
            </w:r>
          </w:p>
        </w:tc>
        <w:tc>
          <w:tcPr>
            <w:tcW w:w="611"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rsidR="0098344D" w:rsidRPr="004F2C12" w:rsidRDefault="0098344D" w:rsidP="006F7FC5">
            <w:pPr>
              <w:jc w:val="center"/>
              <w:rPr>
                <w:rFonts w:ascii="Arial" w:hAnsi="Arial" w:cs="Arial"/>
                <w:b/>
                <w:sz w:val="28"/>
                <w:szCs w:val="28"/>
              </w:rPr>
            </w:pPr>
          </w:p>
        </w:tc>
        <w:tc>
          <w:tcPr>
            <w:tcW w:w="444"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577" w:type="dxa"/>
            <w:shd w:val="clear" w:color="auto" w:fill="C0C0C0"/>
            <w:vAlign w:val="center"/>
          </w:tcPr>
          <w:p w:rsidR="0098344D" w:rsidRPr="004F2C12" w:rsidRDefault="0098344D" w:rsidP="006F7FC5">
            <w:pPr>
              <w:jc w:val="center"/>
              <w:rPr>
                <w:rFonts w:ascii="Arial" w:hAnsi="Arial" w:cs="Arial"/>
                <w:b/>
                <w:sz w:val="28"/>
                <w:szCs w:val="28"/>
              </w:rPr>
            </w:pPr>
          </w:p>
        </w:tc>
        <w:tc>
          <w:tcPr>
            <w:tcW w:w="800"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666" w:type="dxa"/>
            <w:shd w:val="clear" w:color="auto" w:fill="C0C0C0"/>
            <w:vAlign w:val="center"/>
          </w:tcPr>
          <w:p w:rsidR="0098344D" w:rsidRPr="004F2C12" w:rsidRDefault="0098344D" w:rsidP="006F7FC5">
            <w:pPr>
              <w:jc w:val="center"/>
              <w:rPr>
                <w:rFonts w:ascii="Arial" w:hAnsi="Arial" w:cs="Arial"/>
                <w:b/>
                <w:sz w:val="28"/>
                <w:szCs w:val="28"/>
              </w:rPr>
            </w:pPr>
          </w:p>
        </w:tc>
        <w:tc>
          <w:tcPr>
            <w:tcW w:w="733" w:type="dxa"/>
            <w:shd w:val="clear" w:color="auto" w:fill="C0C0C0"/>
            <w:vAlign w:val="center"/>
          </w:tcPr>
          <w:p w:rsidR="0098344D" w:rsidRPr="004F2C12" w:rsidRDefault="0098344D" w:rsidP="006F7FC5">
            <w:pPr>
              <w:jc w:val="center"/>
              <w:rPr>
                <w:rFonts w:ascii="Arial" w:hAnsi="Arial" w:cs="Arial"/>
                <w:b/>
                <w:sz w:val="28"/>
                <w:szCs w:val="28"/>
              </w:rPr>
            </w:pPr>
          </w:p>
        </w:tc>
        <w:tc>
          <w:tcPr>
            <w:tcW w:w="544" w:type="dxa"/>
            <w:shd w:val="clear" w:color="auto" w:fill="C0C0C0"/>
            <w:vAlign w:val="center"/>
          </w:tcPr>
          <w:p w:rsidR="0098344D" w:rsidRPr="004F2C12" w:rsidRDefault="0098344D" w:rsidP="006F7FC5">
            <w:pPr>
              <w:jc w:val="center"/>
              <w:rPr>
                <w:rFonts w:ascii="Arial" w:hAnsi="Arial" w:cs="Arial"/>
                <w:b/>
                <w:sz w:val="28"/>
                <w:szCs w:val="28"/>
              </w:rPr>
            </w:pPr>
          </w:p>
        </w:tc>
        <w:tc>
          <w:tcPr>
            <w:tcW w:w="70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color w:val="000000"/>
                <w:sz w:val="20"/>
                <w:szCs w:val="20"/>
              </w:rPr>
              <w:t>LEUKOCYTES</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color w:val="000000"/>
                <w:sz w:val="20"/>
                <w:szCs w:val="20"/>
              </w:rPr>
              <w:t>E038</w:t>
            </w:r>
          </w:p>
        </w:tc>
        <w:tc>
          <w:tcPr>
            <w:tcW w:w="611"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rsidR="0098344D" w:rsidRPr="004F2C12" w:rsidRDefault="0098344D" w:rsidP="006F7FC5">
            <w:pPr>
              <w:jc w:val="center"/>
              <w:rPr>
                <w:rFonts w:ascii="Arial" w:hAnsi="Arial" w:cs="Arial"/>
                <w:b/>
                <w:sz w:val="28"/>
                <w:szCs w:val="28"/>
              </w:rPr>
            </w:pPr>
          </w:p>
        </w:tc>
        <w:tc>
          <w:tcPr>
            <w:tcW w:w="444"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800"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666" w:type="dxa"/>
            <w:shd w:val="clear" w:color="auto" w:fill="C0C0C0"/>
            <w:vAlign w:val="center"/>
          </w:tcPr>
          <w:p w:rsidR="0098344D" w:rsidRPr="004F2C12" w:rsidRDefault="0098344D" w:rsidP="006F7FC5">
            <w:pPr>
              <w:jc w:val="center"/>
              <w:rPr>
                <w:rFonts w:ascii="Arial" w:hAnsi="Arial" w:cs="Arial"/>
                <w:b/>
                <w:sz w:val="28"/>
                <w:szCs w:val="28"/>
              </w:rPr>
            </w:pPr>
          </w:p>
        </w:tc>
        <w:tc>
          <w:tcPr>
            <w:tcW w:w="733" w:type="dxa"/>
            <w:shd w:val="clear" w:color="auto" w:fill="C0C0C0"/>
            <w:vAlign w:val="center"/>
          </w:tcPr>
          <w:p w:rsidR="0098344D" w:rsidRPr="004F2C12" w:rsidRDefault="0098344D" w:rsidP="006F7FC5">
            <w:pPr>
              <w:jc w:val="center"/>
              <w:rPr>
                <w:rFonts w:ascii="Arial" w:hAnsi="Arial" w:cs="Arial"/>
                <w:b/>
                <w:sz w:val="28"/>
                <w:szCs w:val="28"/>
              </w:rPr>
            </w:pPr>
          </w:p>
        </w:tc>
        <w:tc>
          <w:tcPr>
            <w:tcW w:w="544" w:type="dxa"/>
            <w:shd w:val="clear" w:color="auto" w:fill="C0C0C0"/>
            <w:vAlign w:val="center"/>
          </w:tcPr>
          <w:p w:rsidR="0098344D" w:rsidRPr="004F2C12" w:rsidRDefault="0098344D" w:rsidP="006F7FC5">
            <w:pPr>
              <w:jc w:val="center"/>
              <w:rPr>
                <w:rFonts w:ascii="Arial" w:hAnsi="Arial" w:cs="Arial"/>
                <w:b/>
                <w:sz w:val="28"/>
                <w:szCs w:val="28"/>
              </w:rPr>
            </w:pPr>
          </w:p>
        </w:tc>
        <w:tc>
          <w:tcPr>
            <w:tcW w:w="70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602"/>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sz w:val="20"/>
                <w:szCs w:val="20"/>
              </w:rPr>
              <w:t>APHERESIS LEUKOCYTES</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E039</w:t>
            </w:r>
          </w:p>
        </w:tc>
        <w:tc>
          <w:tcPr>
            <w:tcW w:w="611"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rsidR="0098344D" w:rsidRPr="004F2C12" w:rsidRDefault="0098344D" w:rsidP="006F7FC5">
            <w:pPr>
              <w:jc w:val="center"/>
              <w:rPr>
                <w:rFonts w:ascii="Arial" w:hAnsi="Arial" w:cs="Arial"/>
                <w:b/>
                <w:sz w:val="28"/>
                <w:szCs w:val="28"/>
              </w:rPr>
            </w:pPr>
          </w:p>
        </w:tc>
        <w:tc>
          <w:tcPr>
            <w:tcW w:w="444"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800"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666" w:type="dxa"/>
            <w:shd w:val="clear" w:color="auto" w:fill="C0C0C0"/>
            <w:vAlign w:val="center"/>
          </w:tcPr>
          <w:p w:rsidR="0098344D" w:rsidRPr="004F2C12" w:rsidRDefault="0098344D" w:rsidP="006F7FC5">
            <w:pPr>
              <w:jc w:val="center"/>
              <w:rPr>
                <w:rFonts w:ascii="Arial" w:hAnsi="Arial" w:cs="Arial"/>
                <w:b/>
                <w:sz w:val="28"/>
                <w:szCs w:val="28"/>
              </w:rPr>
            </w:pPr>
          </w:p>
        </w:tc>
        <w:tc>
          <w:tcPr>
            <w:tcW w:w="733" w:type="dxa"/>
            <w:shd w:val="clear" w:color="auto" w:fill="C0C0C0"/>
            <w:vAlign w:val="center"/>
          </w:tcPr>
          <w:p w:rsidR="0098344D" w:rsidRPr="004F2C12" w:rsidRDefault="0098344D" w:rsidP="006F7FC5">
            <w:pPr>
              <w:jc w:val="center"/>
              <w:rPr>
                <w:rFonts w:ascii="Arial" w:hAnsi="Arial" w:cs="Arial"/>
                <w:b/>
                <w:sz w:val="28"/>
                <w:szCs w:val="28"/>
              </w:rPr>
            </w:pPr>
          </w:p>
        </w:tc>
        <w:tc>
          <w:tcPr>
            <w:tcW w:w="544" w:type="dxa"/>
            <w:shd w:val="clear" w:color="auto" w:fill="C0C0C0"/>
            <w:vAlign w:val="center"/>
          </w:tcPr>
          <w:p w:rsidR="0098344D" w:rsidRPr="004F2C12" w:rsidRDefault="0098344D" w:rsidP="006F7FC5">
            <w:pPr>
              <w:jc w:val="center"/>
              <w:rPr>
                <w:rFonts w:ascii="Arial" w:hAnsi="Arial" w:cs="Arial"/>
                <w:b/>
                <w:sz w:val="28"/>
                <w:szCs w:val="28"/>
              </w:rPr>
            </w:pPr>
          </w:p>
        </w:tc>
        <w:tc>
          <w:tcPr>
            <w:tcW w:w="70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sz w:val="20"/>
                <w:szCs w:val="20"/>
              </w:rPr>
              <w:t>POOLED PLASMA</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E040</w:t>
            </w:r>
          </w:p>
        </w:tc>
        <w:tc>
          <w:tcPr>
            <w:tcW w:w="611" w:type="dxa"/>
            <w:shd w:val="clear" w:color="auto" w:fill="C0C0C0"/>
            <w:vAlign w:val="center"/>
          </w:tcPr>
          <w:p w:rsidR="0098344D" w:rsidRPr="004F2C12" w:rsidRDefault="0098344D" w:rsidP="006F7FC5">
            <w:pPr>
              <w:jc w:val="center"/>
              <w:rPr>
                <w:rFonts w:ascii="Arial" w:hAnsi="Arial" w:cs="Arial"/>
                <w:b/>
                <w:sz w:val="28"/>
                <w:szCs w:val="28"/>
              </w:rPr>
            </w:pPr>
          </w:p>
        </w:tc>
        <w:tc>
          <w:tcPr>
            <w:tcW w:w="522"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444"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800"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666" w:type="dxa"/>
            <w:shd w:val="clear" w:color="auto" w:fill="C0C0C0"/>
            <w:vAlign w:val="center"/>
          </w:tcPr>
          <w:p w:rsidR="0098344D" w:rsidRPr="004F2C12" w:rsidRDefault="0098344D" w:rsidP="006F7FC5">
            <w:pPr>
              <w:jc w:val="center"/>
              <w:rPr>
                <w:rFonts w:ascii="Arial" w:hAnsi="Arial" w:cs="Arial"/>
                <w:b/>
                <w:sz w:val="28"/>
                <w:szCs w:val="28"/>
              </w:rPr>
            </w:pPr>
          </w:p>
        </w:tc>
        <w:tc>
          <w:tcPr>
            <w:tcW w:w="733" w:type="dxa"/>
            <w:shd w:val="clear" w:color="auto" w:fill="C0C0C0"/>
            <w:vAlign w:val="center"/>
          </w:tcPr>
          <w:p w:rsidR="0098344D" w:rsidRPr="004F2C12" w:rsidRDefault="0098344D" w:rsidP="006F7FC5">
            <w:pPr>
              <w:jc w:val="center"/>
              <w:rPr>
                <w:rFonts w:ascii="Arial" w:hAnsi="Arial" w:cs="Arial"/>
                <w:b/>
                <w:sz w:val="28"/>
                <w:szCs w:val="28"/>
              </w:rPr>
            </w:pPr>
          </w:p>
        </w:tc>
        <w:tc>
          <w:tcPr>
            <w:tcW w:w="544" w:type="dxa"/>
            <w:shd w:val="clear" w:color="auto" w:fill="C0C0C0"/>
            <w:vAlign w:val="center"/>
          </w:tcPr>
          <w:p w:rsidR="0098344D" w:rsidRPr="004F2C12" w:rsidRDefault="0098344D" w:rsidP="006F7FC5">
            <w:pPr>
              <w:jc w:val="center"/>
              <w:rPr>
                <w:rFonts w:ascii="Arial" w:hAnsi="Arial" w:cs="Arial"/>
                <w:b/>
                <w:sz w:val="28"/>
                <w:szCs w:val="28"/>
              </w:rPr>
            </w:pPr>
          </w:p>
        </w:tc>
        <w:tc>
          <w:tcPr>
            <w:tcW w:w="70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color w:val="000000"/>
                <w:sz w:val="20"/>
                <w:szCs w:val="20"/>
              </w:rPr>
              <w:t>Liquid APHERESIS PLASMA</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E041</w:t>
            </w:r>
          </w:p>
        </w:tc>
        <w:tc>
          <w:tcPr>
            <w:tcW w:w="611"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rsidR="0098344D" w:rsidRPr="004F2C12" w:rsidRDefault="0098344D" w:rsidP="006F7FC5">
            <w:pPr>
              <w:jc w:val="center"/>
              <w:rPr>
                <w:rFonts w:ascii="Arial" w:hAnsi="Arial" w:cs="Arial"/>
                <w:b/>
                <w:sz w:val="28"/>
                <w:szCs w:val="28"/>
              </w:rPr>
            </w:pPr>
          </w:p>
        </w:tc>
        <w:tc>
          <w:tcPr>
            <w:tcW w:w="444"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577" w:type="dxa"/>
            <w:shd w:val="clear" w:color="auto" w:fill="C0C0C0"/>
            <w:vAlign w:val="center"/>
          </w:tcPr>
          <w:p w:rsidR="0098344D" w:rsidRPr="004F2C12" w:rsidRDefault="0098344D" w:rsidP="006F7FC5">
            <w:pPr>
              <w:jc w:val="center"/>
              <w:rPr>
                <w:rFonts w:ascii="Arial" w:hAnsi="Arial" w:cs="Arial"/>
                <w:b/>
                <w:sz w:val="28"/>
                <w:szCs w:val="28"/>
              </w:rPr>
            </w:pPr>
          </w:p>
        </w:tc>
        <w:tc>
          <w:tcPr>
            <w:tcW w:w="800"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666" w:type="dxa"/>
            <w:shd w:val="clear" w:color="auto" w:fill="C0C0C0"/>
            <w:vAlign w:val="center"/>
          </w:tcPr>
          <w:p w:rsidR="0098344D" w:rsidRPr="004F2C12" w:rsidRDefault="0098344D" w:rsidP="006F7FC5">
            <w:pPr>
              <w:jc w:val="center"/>
              <w:rPr>
                <w:rFonts w:ascii="Arial" w:hAnsi="Arial" w:cs="Arial"/>
                <w:b/>
                <w:sz w:val="28"/>
                <w:szCs w:val="28"/>
              </w:rPr>
            </w:pPr>
          </w:p>
        </w:tc>
        <w:tc>
          <w:tcPr>
            <w:tcW w:w="733" w:type="dxa"/>
            <w:shd w:val="clear" w:color="auto" w:fill="C0C0C0"/>
            <w:vAlign w:val="center"/>
          </w:tcPr>
          <w:p w:rsidR="0098344D" w:rsidRPr="004F2C12" w:rsidRDefault="0098344D" w:rsidP="006F7FC5">
            <w:pPr>
              <w:jc w:val="center"/>
              <w:rPr>
                <w:rFonts w:ascii="Arial" w:hAnsi="Arial" w:cs="Arial"/>
                <w:b/>
                <w:sz w:val="28"/>
                <w:szCs w:val="28"/>
              </w:rPr>
            </w:pPr>
          </w:p>
        </w:tc>
        <w:tc>
          <w:tcPr>
            <w:tcW w:w="544" w:type="dxa"/>
            <w:shd w:val="clear" w:color="auto" w:fill="C0C0C0"/>
            <w:vAlign w:val="center"/>
          </w:tcPr>
          <w:p w:rsidR="0098344D" w:rsidRPr="004F2C12" w:rsidRDefault="0098344D" w:rsidP="006F7FC5">
            <w:pPr>
              <w:jc w:val="center"/>
              <w:rPr>
                <w:rFonts w:ascii="Arial" w:hAnsi="Arial" w:cs="Arial"/>
                <w:b/>
                <w:sz w:val="28"/>
                <w:szCs w:val="28"/>
              </w:rPr>
            </w:pPr>
          </w:p>
        </w:tc>
        <w:tc>
          <w:tcPr>
            <w:tcW w:w="70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sz w:val="20"/>
                <w:szCs w:val="20"/>
              </w:rPr>
              <w:lastRenderedPageBreak/>
              <w:t>PLATELET - RICH BUFFY COAT</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E042</w:t>
            </w:r>
          </w:p>
        </w:tc>
        <w:tc>
          <w:tcPr>
            <w:tcW w:w="611"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522"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444" w:type="dxa"/>
            <w:shd w:val="clear" w:color="auto" w:fill="C0C0C0"/>
            <w:vAlign w:val="center"/>
          </w:tcPr>
          <w:p w:rsidR="0098344D" w:rsidRPr="004F2C12" w:rsidRDefault="0098344D" w:rsidP="006F7FC5">
            <w:pPr>
              <w:jc w:val="center"/>
              <w:rPr>
                <w:rFonts w:ascii="Arial" w:hAnsi="Arial" w:cs="Arial"/>
                <w:b/>
                <w:sz w:val="28"/>
                <w:szCs w:val="28"/>
              </w:rPr>
            </w:pPr>
          </w:p>
        </w:tc>
        <w:tc>
          <w:tcPr>
            <w:tcW w:w="577" w:type="dxa"/>
            <w:shd w:val="clear" w:color="auto" w:fill="C0C0C0"/>
            <w:vAlign w:val="center"/>
          </w:tcPr>
          <w:p w:rsidR="0098344D" w:rsidRPr="004F2C12" w:rsidRDefault="0098344D" w:rsidP="006F7FC5">
            <w:pPr>
              <w:jc w:val="center"/>
              <w:rPr>
                <w:rFonts w:ascii="Arial" w:hAnsi="Arial" w:cs="Arial"/>
                <w:b/>
                <w:sz w:val="28"/>
                <w:szCs w:val="28"/>
              </w:rPr>
            </w:pPr>
          </w:p>
        </w:tc>
        <w:tc>
          <w:tcPr>
            <w:tcW w:w="800"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666"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733" w:type="dxa"/>
            <w:shd w:val="clear" w:color="auto" w:fill="C0C0C0"/>
            <w:vAlign w:val="center"/>
          </w:tcPr>
          <w:p w:rsidR="0098344D" w:rsidRPr="004F2C12" w:rsidRDefault="0098344D" w:rsidP="006F7FC5">
            <w:pPr>
              <w:jc w:val="center"/>
              <w:rPr>
                <w:rFonts w:ascii="Arial" w:hAnsi="Arial" w:cs="Arial"/>
                <w:b/>
                <w:sz w:val="28"/>
                <w:szCs w:val="28"/>
              </w:rPr>
            </w:pPr>
          </w:p>
        </w:tc>
        <w:tc>
          <w:tcPr>
            <w:tcW w:w="544" w:type="dxa"/>
            <w:shd w:val="clear" w:color="auto" w:fill="C0C0C0"/>
            <w:vAlign w:val="center"/>
          </w:tcPr>
          <w:p w:rsidR="0098344D" w:rsidRPr="004F2C12" w:rsidRDefault="0098344D" w:rsidP="006F7FC5">
            <w:pPr>
              <w:jc w:val="center"/>
              <w:rPr>
                <w:rFonts w:ascii="Arial" w:hAnsi="Arial" w:cs="Arial"/>
                <w:b/>
                <w:sz w:val="28"/>
                <w:szCs w:val="28"/>
              </w:rPr>
            </w:pPr>
          </w:p>
        </w:tc>
        <w:tc>
          <w:tcPr>
            <w:tcW w:w="70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sz w:val="20"/>
                <w:szCs w:val="20"/>
              </w:rPr>
              <w:t>POOLED PLATELET - RICH BUFFY COAT</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E043</w:t>
            </w:r>
          </w:p>
        </w:tc>
        <w:tc>
          <w:tcPr>
            <w:tcW w:w="611" w:type="dxa"/>
            <w:shd w:val="pct25" w:color="auto" w:fill="auto"/>
            <w:vAlign w:val="center"/>
          </w:tcPr>
          <w:p w:rsidR="0098344D" w:rsidRPr="004F2C12" w:rsidRDefault="0098344D" w:rsidP="006F7FC5">
            <w:pPr>
              <w:jc w:val="center"/>
              <w:rPr>
                <w:rFonts w:ascii="Arial" w:hAnsi="Arial" w:cs="Arial"/>
                <w:b/>
                <w:sz w:val="28"/>
                <w:szCs w:val="28"/>
              </w:rPr>
            </w:pPr>
          </w:p>
        </w:tc>
        <w:tc>
          <w:tcPr>
            <w:tcW w:w="522" w:type="dxa"/>
            <w:shd w:val="pct25" w:color="auto" w:fill="auto"/>
            <w:vAlign w:val="center"/>
          </w:tcPr>
          <w:p w:rsidR="0098344D" w:rsidRPr="004F2C12" w:rsidRDefault="0098344D" w:rsidP="006F7FC5">
            <w:pPr>
              <w:jc w:val="center"/>
              <w:rPr>
                <w:rFonts w:ascii="Arial" w:hAnsi="Arial" w:cs="Arial"/>
                <w:b/>
                <w:sz w:val="28"/>
                <w:szCs w:val="28"/>
              </w:rPr>
            </w:pPr>
          </w:p>
        </w:tc>
        <w:tc>
          <w:tcPr>
            <w:tcW w:w="444" w:type="dxa"/>
            <w:shd w:val="clear" w:color="auto" w:fill="C0C0C0"/>
            <w:vAlign w:val="center"/>
          </w:tcPr>
          <w:p w:rsidR="0098344D" w:rsidRPr="004F2C12" w:rsidRDefault="0098344D" w:rsidP="006F7FC5">
            <w:pPr>
              <w:jc w:val="center"/>
              <w:rPr>
                <w:rFonts w:ascii="Arial" w:hAnsi="Arial" w:cs="Arial"/>
                <w:b/>
                <w:sz w:val="28"/>
                <w:szCs w:val="28"/>
              </w:rPr>
            </w:pPr>
          </w:p>
        </w:tc>
        <w:tc>
          <w:tcPr>
            <w:tcW w:w="577" w:type="dxa"/>
            <w:shd w:val="clear" w:color="auto" w:fill="C0C0C0"/>
            <w:vAlign w:val="center"/>
          </w:tcPr>
          <w:p w:rsidR="0098344D" w:rsidRPr="004F2C12" w:rsidRDefault="0098344D" w:rsidP="006F7FC5">
            <w:pPr>
              <w:jc w:val="center"/>
              <w:rPr>
                <w:rFonts w:ascii="Arial" w:hAnsi="Arial" w:cs="Arial"/>
                <w:b/>
                <w:sz w:val="28"/>
                <w:szCs w:val="28"/>
              </w:rPr>
            </w:pPr>
          </w:p>
        </w:tc>
        <w:tc>
          <w:tcPr>
            <w:tcW w:w="800" w:type="dxa"/>
            <w:shd w:val="clear" w:color="auto" w:fill="auto"/>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666"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733"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544"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700"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color w:val="000000"/>
                <w:sz w:val="20"/>
                <w:szCs w:val="20"/>
              </w:rPr>
              <w:t>APHERESIS LYMPHOCYTES</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E044</w:t>
            </w:r>
          </w:p>
        </w:tc>
        <w:tc>
          <w:tcPr>
            <w:tcW w:w="611"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rsidR="0098344D" w:rsidRPr="004F2C12" w:rsidRDefault="0098344D" w:rsidP="006F7FC5">
            <w:pPr>
              <w:jc w:val="center"/>
              <w:rPr>
                <w:rFonts w:ascii="Arial" w:hAnsi="Arial" w:cs="Arial"/>
                <w:b/>
                <w:sz w:val="28"/>
                <w:szCs w:val="28"/>
              </w:rPr>
            </w:pPr>
          </w:p>
        </w:tc>
        <w:tc>
          <w:tcPr>
            <w:tcW w:w="444" w:type="dxa"/>
            <w:shd w:val="clear" w:color="auto" w:fill="C0C0C0"/>
            <w:vAlign w:val="center"/>
          </w:tcPr>
          <w:p w:rsidR="0098344D" w:rsidRPr="004F2C12" w:rsidRDefault="0098344D" w:rsidP="006F7FC5">
            <w:pPr>
              <w:jc w:val="center"/>
              <w:rPr>
                <w:rFonts w:ascii="Arial" w:hAnsi="Arial" w:cs="Arial"/>
                <w:b/>
                <w:sz w:val="28"/>
                <w:szCs w:val="28"/>
              </w:rPr>
            </w:pPr>
          </w:p>
        </w:tc>
        <w:tc>
          <w:tcPr>
            <w:tcW w:w="577" w:type="dxa"/>
            <w:shd w:val="clear" w:color="auto" w:fill="C0C0C0"/>
            <w:vAlign w:val="center"/>
          </w:tcPr>
          <w:p w:rsidR="0098344D" w:rsidRPr="004F2C12" w:rsidRDefault="0098344D" w:rsidP="006F7FC5">
            <w:pPr>
              <w:jc w:val="center"/>
              <w:rPr>
                <w:rFonts w:ascii="Arial" w:hAnsi="Arial" w:cs="Arial"/>
                <w:b/>
                <w:sz w:val="28"/>
                <w:szCs w:val="28"/>
              </w:rPr>
            </w:pPr>
          </w:p>
        </w:tc>
        <w:tc>
          <w:tcPr>
            <w:tcW w:w="800"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666"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733"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544"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700"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pStyle w:val="CommentText"/>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color w:val="000000"/>
                <w:sz w:val="20"/>
                <w:szCs w:val="20"/>
              </w:rPr>
              <w:t>APHERESIS MONOCYTES</w:t>
            </w:r>
            <w:r w:rsidR="006F7FC5">
              <w:rPr>
                <w:rFonts w:ascii="Arial" w:hAnsi="Arial" w:cs="Arial"/>
                <w:color w:val="000000"/>
                <w:sz w:val="20"/>
                <w:szCs w:val="20"/>
              </w:rPr>
              <w:t>*</w:t>
            </w:r>
            <w:r w:rsidR="00197566">
              <w:rPr>
                <w:rFonts w:ascii="Arial" w:hAnsi="Arial" w:cs="Arial"/>
                <w:color w:val="000000"/>
                <w:sz w:val="20"/>
                <w:szCs w:val="20"/>
              </w:rPr>
              <w:t>*</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E045</w:t>
            </w:r>
          </w:p>
        </w:tc>
        <w:tc>
          <w:tcPr>
            <w:tcW w:w="611"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rsidR="0098344D" w:rsidRPr="004F2C12" w:rsidRDefault="0098344D" w:rsidP="006F7FC5">
            <w:pPr>
              <w:jc w:val="center"/>
              <w:rPr>
                <w:rFonts w:ascii="Arial" w:hAnsi="Arial" w:cs="Arial"/>
                <w:b/>
                <w:sz w:val="28"/>
                <w:szCs w:val="28"/>
              </w:rPr>
            </w:pPr>
          </w:p>
        </w:tc>
        <w:tc>
          <w:tcPr>
            <w:tcW w:w="444" w:type="dxa"/>
            <w:shd w:val="clear" w:color="auto" w:fill="C0C0C0"/>
            <w:vAlign w:val="center"/>
          </w:tcPr>
          <w:p w:rsidR="0098344D" w:rsidRPr="004F2C12" w:rsidRDefault="0098344D"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800"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666"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733"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544"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700"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pStyle w:val="CommentText"/>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color w:val="000000"/>
                <w:sz w:val="20"/>
                <w:szCs w:val="20"/>
              </w:rPr>
              <w:t>SERUM</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E046</w:t>
            </w:r>
          </w:p>
        </w:tc>
        <w:tc>
          <w:tcPr>
            <w:tcW w:w="611" w:type="dxa"/>
            <w:shd w:val="clear" w:color="auto" w:fill="C0C0C0"/>
            <w:vAlign w:val="center"/>
          </w:tcPr>
          <w:p w:rsidR="0098344D" w:rsidRPr="004F2C12" w:rsidRDefault="0098344D" w:rsidP="006F7FC5">
            <w:pPr>
              <w:jc w:val="center"/>
              <w:rPr>
                <w:rFonts w:ascii="Arial" w:hAnsi="Arial" w:cs="Arial"/>
                <w:b/>
                <w:sz w:val="28"/>
                <w:szCs w:val="28"/>
              </w:rPr>
            </w:pPr>
          </w:p>
        </w:tc>
        <w:tc>
          <w:tcPr>
            <w:tcW w:w="522" w:type="dxa"/>
            <w:shd w:val="clear" w:color="auto" w:fill="C0C0C0"/>
            <w:vAlign w:val="center"/>
          </w:tcPr>
          <w:p w:rsidR="0098344D" w:rsidRPr="004F2C12" w:rsidRDefault="0098344D" w:rsidP="006F7FC5">
            <w:pPr>
              <w:jc w:val="center"/>
              <w:rPr>
                <w:rFonts w:ascii="Arial" w:hAnsi="Arial" w:cs="Arial"/>
                <w:b/>
                <w:sz w:val="28"/>
                <w:szCs w:val="28"/>
              </w:rPr>
            </w:pPr>
          </w:p>
        </w:tc>
        <w:tc>
          <w:tcPr>
            <w:tcW w:w="444" w:type="dxa"/>
            <w:shd w:val="clear" w:color="auto" w:fill="C0C0C0"/>
            <w:vAlign w:val="center"/>
          </w:tcPr>
          <w:p w:rsidR="0098344D" w:rsidRPr="004F2C12" w:rsidRDefault="0098344D" w:rsidP="006F7FC5">
            <w:pPr>
              <w:jc w:val="center"/>
              <w:rPr>
                <w:rFonts w:ascii="Arial" w:hAnsi="Arial" w:cs="Arial"/>
                <w:b/>
                <w:sz w:val="28"/>
                <w:szCs w:val="28"/>
              </w:rPr>
            </w:pPr>
          </w:p>
        </w:tc>
        <w:tc>
          <w:tcPr>
            <w:tcW w:w="577" w:type="dxa"/>
            <w:shd w:val="clear" w:color="auto" w:fill="C0C0C0"/>
            <w:vAlign w:val="center"/>
          </w:tcPr>
          <w:p w:rsidR="0098344D" w:rsidRPr="004F2C12" w:rsidRDefault="0098344D" w:rsidP="006F7FC5">
            <w:pPr>
              <w:jc w:val="center"/>
              <w:rPr>
                <w:rFonts w:ascii="Arial" w:hAnsi="Arial" w:cs="Arial"/>
                <w:b/>
                <w:sz w:val="28"/>
                <w:szCs w:val="28"/>
              </w:rPr>
            </w:pPr>
          </w:p>
        </w:tc>
        <w:tc>
          <w:tcPr>
            <w:tcW w:w="800"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666"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733"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544"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700"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pStyle w:val="CommentText"/>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color w:val="000000"/>
                <w:sz w:val="20"/>
                <w:szCs w:val="20"/>
              </w:rPr>
              <w:t>POOLED SERUM</w:t>
            </w:r>
            <w:r w:rsidR="006F7FC5">
              <w:rPr>
                <w:rFonts w:ascii="Arial" w:hAnsi="Arial" w:cs="Arial"/>
                <w:color w:val="000000"/>
                <w:sz w:val="20"/>
                <w:szCs w:val="20"/>
              </w:rPr>
              <w:t>*</w:t>
            </w:r>
            <w:r w:rsidR="00197566">
              <w:rPr>
                <w:rFonts w:ascii="Arial" w:hAnsi="Arial" w:cs="Arial"/>
                <w:color w:val="000000"/>
                <w:sz w:val="20"/>
                <w:szCs w:val="20"/>
              </w:rPr>
              <w:t>*</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E047</w:t>
            </w:r>
          </w:p>
        </w:tc>
        <w:tc>
          <w:tcPr>
            <w:tcW w:w="611" w:type="dxa"/>
            <w:shd w:val="clear" w:color="auto" w:fill="C0C0C0"/>
            <w:vAlign w:val="center"/>
          </w:tcPr>
          <w:p w:rsidR="0098344D" w:rsidRPr="004F2C12" w:rsidRDefault="0098344D" w:rsidP="006F7FC5">
            <w:pPr>
              <w:jc w:val="center"/>
              <w:rPr>
                <w:rFonts w:ascii="Arial" w:hAnsi="Arial" w:cs="Arial"/>
                <w:b/>
                <w:sz w:val="28"/>
                <w:szCs w:val="28"/>
              </w:rPr>
            </w:pPr>
          </w:p>
        </w:tc>
        <w:tc>
          <w:tcPr>
            <w:tcW w:w="522" w:type="dxa"/>
            <w:shd w:val="clear" w:color="auto" w:fill="C0C0C0"/>
            <w:vAlign w:val="center"/>
          </w:tcPr>
          <w:p w:rsidR="0098344D" w:rsidRPr="004F2C12" w:rsidRDefault="0098344D" w:rsidP="006F7FC5">
            <w:pPr>
              <w:jc w:val="center"/>
              <w:rPr>
                <w:rFonts w:ascii="Arial" w:hAnsi="Arial" w:cs="Arial"/>
                <w:b/>
                <w:sz w:val="28"/>
                <w:szCs w:val="28"/>
              </w:rPr>
            </w:pPr>
          </w:p>
        </w:tc>
        <w:tc>
          <w:tcPr>
            <w:tcW w:w="444" w:type="dxa"/>
            <w:shd w:val="clear" w:color="auto" w:fill="C0C0C0"/>
            <w:vAlign w:val="center"/>
          </w:tcPr>
          <w:p w:rsidR="0098344D" w:rsidRPr="004F2C12" w:rsidRDefault="0098344D" w:rsidP="006F7FC5">
            <w:pPr>
              <w:jc w:val="center"/>
              <w:rPr>
                <w:rFonts w:ascii="Arial" w:hAnsi="Arial" w:cs="Arial"/>
                <w:b/>
                <w:sz w:val="28"/>
                <w:szCs w:val="28"/>
              </w:rPr>
            </w:pPr>
          </w:p>
        </w:tc>
        <w:tc>
          <w:tcPr>
            <w:tcW w:w="577" w:type="dxa"/>
            <w:shd w:val="clear" w:color="auto" w:fill="C0C0C0"/>
            <w:vAlign w:val="center"/>
          </w:tcPr>
          <w:p w:rsidR="0098344D" w:rsidRPr="004F2C12" w:rsidRDefault="0098344D" w:rsidP="006F7FC5">
            <w:pPr>
              <w:jc w:val="center"/>
              <w:rPr>
                <w:rFonts w:ascii="Arial" w:hAnsi="Arial" w:cs="Arial"/>
                <w:b/>
                <w:sz w:val="28"/>
                <w:szCs w:val="28"/>
              </w:rPr>
            </w:pPr>
          </w:p>
        </w:tc>
        <w:tc>
          <w:tcPr>
            <w:tcW w:w="800"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666"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733"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544"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700"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pStyle w:val="CommentText"/>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color w:val="000000"/>
                <w:sz w:val="20"/>
                <w:szCs w:val="20"/>
              </w:rPr>
              <w:t>Frozen POOLED SERUM</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E048</w:t>
            </w:r>
          </w:p>
        </w:tc>
        <w:tc>
          <w:tcPr>
            <w:tcW w:w="611" w:type="dxa"/>
            <w:shd w:val="clear" w:color="auto" w:fill="C0C0C0"/>
            <w:vAlign w:val="center"/>
          </w:tcPr>
          <w:p w:rsidR="0098344D" w:rsidRPr="004F2C12" w:rsidRDefault="0098344D" w:rsidP="006F7FC5">
            <w:pPr>
              <w:jc w:val="center"/>
              <w:rPr>
                <w:rFonts w:ascii="Arial" w:hAnsi="Arial" w:cs="Arial"/>
                <w:b/>
                <w:sz w:val="28"/>
                <w:szCs w:val="28"/>
              </w:rPr>
            </w:pPr>
          </w:p>
        </w:tc>
        <w:tc>
          <w:tcPr>
            <w:tcW w:w="522" w:type="dxa"/>
            <w:shd w:val="clear" w:color="auto" w:fill="C0C0C0"/>
            <w:vAlign w:val="center"/>
          </w:tcPr>
          <w:p w:rsidR="0098344D" w:rsidRPr="004F2C12" w:rsidRDefault="0098344D" w:rsidP="006F7FC5">
            <w:pPr>
              <w:jc w:val="center"/>
              <w:rPr>
                <w:rFonts w:ascii="Arial" w:hAnsi="Arial" w:cs="Arial"/>
                <w:b/>
                <w:sz w:val="28"/>
                <w:szCs w:val="28"/>
              </w:rPr>
            </w:pPr>
          </w:p>
        </w:tc>
        <w:tc>
          <w:tcPr>
            <w:tcW w:w="444" w:type="dxa"/>
            <w:shd w:val="clear" w:color="auto" w:fill="C0C0C0"/>
            <w:vAlign w:val="center"/>
          </w:tcPr>
          <w:p w:rsidR="0098344D" w:rsidRPr="004F2C12" w:rsidRDefault="0098344D" w:rsidP="006F7FC5">
            <w:pPr>
              <w:jc w:val="center"/>
              <w:rPr>
                <w:rFonts w:ascii="Arial" w:hAnsi="Arial" w:cs="Arial"/>
                <w:b/>
                <w:sz w:val="28"/>
                <w:szCs w:val="28"/>
              </w:rPr>
            </w:pPr>
          </w:p>
        </w:tc>
        <w:tc>
          <w:tcPr>
            <w:tcW w:w="577" w:type="dxa"/>
            <w:shd w:val="clear" w:color="auto" w:fill="C0C0C0"/>
            <w:vAlign w:val="center"/>
          </w:tcPr>
          <w:p w:rsidR="0098344D" w:rsidRPr="004F2C12" w:rsidRDefault="0098344D" w:rsidP="006F7FC5">
            <w:pPr>
              <w:jc w:val="center"/>
              <w:rPr>
                <w:rFonts w:ascii="Arial" w:hAnsi="Arial" w:cs="Arial"/>
                <w:b/>
                <w:sz w:val="28"/>
                <w:szCs w:val="28"/>
              </w:rPr>
            </w:pPr>
          </w:p>
        </w:tc>
        <w:tc>
          <w:tcPr>
            <w:tcW w:w="800" w:type="dxa"/>
            <w:shd w:val="clear" w:color="auto" w:fill="C0C0C0"/>
            <w:vAlign w:val="center"/>
          </w:tcPr>
          <w:p w:rsidR="0098344D" w:rsidRPr="004F2C12" w:rsidRDefault="0098344D" w:rsidP="006F7FC5">
            <w:pPr>
              <w:jc w:val="center"/>
              <w:rPr>
                <w:rFonts w:ascii="Arial" w:hAnsi="Arial" w:cs="Arial"/>
                <w:b/>
                <w:sz w:val="28"/>
                <w:szCs w:val="28"/>
              </w:rPr>
            </w:pPr>
          </w:p>
        </w:tc>
        <w:tc>
          <w:tcPr>
            <w:tcW w:w="666" w:type="dxa"/>
            <w:shd w:val="clear" w:color="auto" w:fill="C0C0C0"/>
            <w:vAlign w:val="center"/>
          </w:tcPr>
          <w:p w:rsidR="0098344D" w:rsidRPr="004F2C12" w:rsidRDefault="0098344D" w:rsidP="006F7FC5">
            <w:pPr>
              <w:jc w:val="center"/>
              <w:rPr>
                <w:rFonts w:ascii="Arial" w:hAnsi="Arial" w:cs="Arial"/>
                <w:b/>
                <w:sz w:val="28"/>
                <w:szCs w:val="28"/>
              </w:rPr>
            </w:pPr>
          </w:p>
        </w:tc>
        <w:tc>
          <w:tcPr>
            <w:tcW w:w="733" w:type="dxa"/>
            <w:shd w:val="clear" w:color="auto" w:fill="C0C0C0"/>
            <w:vAlign w:val="center"/>
          </w:tcPr>
          <w:p w:rsidR="0098344D" w:rsidRPr="004F2C12" w:rsidRDefault="0098344D" w:rsidP="006F7FC5">
            <w:pPr>
              <w:jc w:val="center"/>
              <w:rPr>
                <w:rFonts w:ascii="Arial" w:hAnsi="Arial" w:cs="Arial"/>
                <w:b/>
                <w:sz w:val="28"/>
                <w:szCs w:val="28"/>
              </w:rPr>
            </w:pPr>
          </w:p>
        </w:tc>
        <w:tc>
          <w:tcPr>
            <w:tcW w:w="544" w:type="dxa"/>
            <w:shd w:val="clear" w:color="auto" w:fill="C0C0C0"/>
            <w:vAlign w:val="center"/>
          </w:tcPr>
          <w:p w:rsidR="0098344D" w:rsidRPr="004F2C12" w:rsidRDefault="0098344D" w:rsidP="006F7FC5">
            <w:pPr>
              <w:jc w:val="center"/>
              <w:rPr>
                <w:rFonts w:ascii="Arial" w:hAnsi="Arial" w:cs="Arial"/>
                <w:b/>
                <w:sz w:val="28"/>
                <w:szCs w:val="28"/>
              </w:rPr>
            </w:pPr>
          </w:p>
        </w:tc>
        <w:tc>
          <w:tcPr>
            <w:tcW w:w="70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pStyle w:val="CommentText"/>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sz w:val="20"/>
                <w:szCs w:val="20"/>
              </w:rPr>
              <w:t>Washed APHERESIS RED BLOOD CELLS</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E049</w:t>
            </w:r>
          </w:p>
        </w:tc>
        <w:tc>
          <w:tcPr>
            <w:tcW w:w="611"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rsidR="0098344D" w:rsidRPr="004F2C12" w:rsidRDefault="0098344D" w:rsidP="006F7FC5">
            <w:pPr>
              <w:jc w:val="center"/>
              <w:rPr>
                <w:rFonts w:ascii="Arial" w:hAnsi="Arial" w:cs="Arial"/>
                <w:b/>
                <w:sz w:val="28"/>
                <w:szCs w:val="28"/>
              </w:rPr>
            </w:pPr>
          </w:p>
        </w:tc>
        <w:tc>
          <w:tcPr>
            <w:tcW w:w="444" w:type="dxa"/>
            <w:shd w:val="clear" w:color="auto" w:fill="C0C0C0"/>
            <w:vAlign w:val="center"/>
          </w:tcPr>
          <w:p w:rsidR="0098344D" w:rsidRPr="004F2C12" w:rsidRDefault="0098344D" w:rsidP="006F7FC5">
            <w:pPr>
              <w:jc w:val="center"/>
              <w:rPr>
                <w:rFonts w:ascii="Arial" w:hAnsi="Arial" w:cs="Arial"/>
                <w:b/>
                <w:sz w:val="28"/>
                <w:szCs w:val="28"/>
              </w:rPr>
            </w:pPr>
          </w:p>
        </w:tc>
        <w:tc>
          <w:tcPr>
            <w:tcW w:w="577" w:type="dxa"/>
            <w:shd w:val="clear" w:color="auto" w:fill="C0C0C0"/>
            <w:vAlign w:val="center"/>
          </w:tcPr>
          <w:p w:rsidR="0098344D" w:rsidRPr="004F2C12" w:rsidRDefault="0098344D" w:rsidP="006F7FC5">
            <w:pPr>
              <w:jc w:val="center"/>
              <w:rPr>
                <w:rFonts w:ascii="Arial" w:hAnsi="Arial" w:cs="Arial"/>
                <w:b/>
                <w:sz w:val="28"/>
                <w:szCs w:val="28"/>
              </w:rPr>
            </w:pPr>
          </w:p>
        </w:tc>
        <w:tc>
          <w:tcPr>
            <w:tcW w:w="800"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666"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733"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544"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700"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810"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sz w:val="20"/>
                <w:szCs w:val="20"/>
              </w:rPr>
              <w:t>Frozen APHERESIS RED BLOOD CELLS</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E050</w:t>
            </w:r>
          </w:p>
        </w:tc>
        <w:tc>
          <w:tcPr>
            <w:tcW w:w="611" w:type="dxa"/>
            <w:shd w:val="clear" w:color="auto" w:fill="C0C0C0"/>
            <w:vAlign w:val="center"/>
          </w:tcPr>
          <w:p w:rsidR="0098344D" w:rsidRPr="004F2C12" w:rsidRDefault="0098344D" w:rsidP="006F7FC5">
            <w:pPr>
              <w:jc w:val="center"/>
              <w:rPr>
                <w:rFonts w:ascii="Arial" w:hAnsi="Arial" w:cs="Arial"/>
                <w:b/>
                <w:sz w:val="28"/>
                <w:szCs w:val="28"/>
              </w:rPr>
            </w:pPr>
          </w:p>
        </w:tc>
        <w:tc>
          <w:tcPr>
            <w:tcW w:w="522" w:type="dxa"/>
            <w:shd w:val="clear" w:color="auto" w:fill="C0C0C0"/>
            <w:vAlign w:val="center"/>
          </w:tcPr>
          <w:p w:rsidR="0098344D" w:rsidRPr="004F2C12" w:rsidRDefault="0098344D" w:rsidP="006F7FC5">
            <w:pPr>
              <w:jc w:val="center"/>
              <w:rPr>
                <w:rFonts w:ascii="Arial" w:hAnsi="Arial" w:cs="Arial"/>
                <w:b/>
                <w:sz w:val="28"/>
                <w:szCs w:val="28"/>
              </w:rPr>
            </w:pPr>
          </w:p>
        </w:tc>
        <w:tc>
          <w:tcPr>
            <w:tcW w:w="444" w:type="dxa"/>
            <w:shd w:val="clear" w:color="auto" w:fill="C0C0C0"/>
            <w:vAlign w:val="center"/>
          </w:tcPr>
          <w:p w:rsidR="0098344D" w:rsidRPr="004F2C12" w:rsidRDefault="0098344D" w:rsidP="006F7FC5">
            <w:pPr>
              <w:jc w:val="center"/>
              <w:rPr>
                <w:rFonts w:ascii="Arial" w:hAnsi="Arial" w:cs="Arial"/>
                <w:b/>
                <w:sz w:val="28"/>
                <w:szCs w:val="28"/>
              </w:rPr>
            </w:pPr>
          </w:p>
        </w:tc>
        <w:tc>
          <w:tcPr>
            <w:tcW w:w="577" w:type="dxa"/>
            <w:shd w:val="clear" w:color="auto" w:fill="C0C0C0"/>
            <w:vAlign w:val="center"/>
          </w:tcPr>
          <w:p w:rsidR="0098344D" w:rsidRPr="004F2C12" w:rsidRDefault="0098344D" w:rsidP="006F7FC5">
            <w:pPr>
              <w:jc w:val="center"/>
              <w:rPr>
                <w:rFonts w:ascii="Arial" w:hAnsi="Arial" w:cs="Arial"/>
                <w:b/>
                <w:sz w:val="28"/>
                <w:szCs w:val="28"/>
              </w:rPr>
            </w:pPr>
          </w:p>
        </w:tc>
        <w:tc>
          <w:tcPr>
            <w:tcW w:w="800" w:type="dxa"/>
            <w:shd w:val="clear" w:color="auto" w:fill="C0C0C0"/>
            <w:vAlign w:val="center"/>
          </w:tcPr>
          <w:p w:rsidR="0098344D" w:rsidRPr="004F2C12" w:rsidRDefault="0098344D" w:rsidP="006F7FC5">
            <w:pPr>
              <w:jc w:val="center"/>
              <w:rPr>
                <w:rFonts w:ascii="Arial" w:hAnsi="Arial" w:cs="Arial"/>
                <w:b/>
                <w:sz w:val="28"/>
                <w:szCs w:val="28"/>
              </w:rPr>
            </w:pPr>
          </w:p>
        </w:tc>
        <w:tc>
          <w:tcPr>
            <w:tcW w:w="666" w:type="dxa"/>
            <w:shd w:val="clear" w:color="auto" w:fill="C0C0C0"/>
            <w:vAlign w:val="center"/>
          </w:tcPr>
          <w:p w:rsidR="0098344D" w:rsidRPr="004F2C12" w:rsidRDefault="0098344D" w:rsidP="006F7FC5">
            <w:pPr>
              <w:jc w:val="center"/>
              <w:rPr>
                <w:rFonts w:ascii="Arial" w:hAnsi="Arial" w:cs="Arial"/>
                <w:b/>
                <w:sz w:val="28"/>
                <w:szCs w:val="28"/>
              </w:rPr>
            </w:pPr>
          </w:p>
        </w:tc>
        <w:tc>
          <w:tcPr>
            <w:tcW w:w="733"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544" w:type="dxa"/>
            <w:shd w:val="clear" w:color="auto" w:fill="C0C0C0"/>
            <w:vAlign w:val="center"/>
          </w:tcPr>
          <w:p w:rsidR="0098344D" w:rsidRPr="004F2C12" w:rsidRDefault="0098344D" w:rsidP="006F7FC5">
            <w:pPr>
              <w:jc w:val="center"/>
              <w:rPr>
                <w:rFonts w:ascii="Arial" w:hAnsi="Arial" w:cs="Arial"/>
                <w:b/>
                <w:sz w:val="28"/>
                <w:szCs w:val="28"/>
              </w:rPr>
            </w:pPr>
          </w:p>
        </w:tc>
        <w:tc>
          <w:tcPr>
            <w:tcW w:w="700"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810"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sz w:val="20"/>
                <w:szCs w:val="20"/>
              </w:rPr>
              <w:t>Deglycerolized APHERESIS RED BLOOD CELLS</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E051</w:t>
            </w:r>
          </w:p>
        </w:tc>
        <w:tc>
          <w:tcPr>
            <w:tcW w:w="611"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rsidR="0098344D" w:rsidRPr="004F2C12" w:rsidRDefault="0098344D" w:rsidP="006F7FC5">
            <w:pPr>
              <w:jc w:val="center"/>
              <w:rPr>
                <w:rFonts w:ascii="Arial" w:hAnsi="Arial" w:cs="Arial"/>
                <w:b/>
                <w:sz w:val="28"/>
                <w:szCs w:val="28"/>
              </w:rPr>
            </w:pPr>
          </w:p>
        </w:tc>
        <w:tc>
          <w:tcPr>
            <w:tcW w:w="444" w:type="dxa"/>
            <w:shd w:val="clear" w:color="auto" w:fill="C0C0C0"/>
            <w:vAlign w:val="center"/>
          </w:tcPr>
          <w:p w:rsidR="0098344D" w:rsidRPr="004F2C12" w:rsidRDefault="0098344D" w:rsidP="006F7FC5">
            <w:pPr>
              <w:jc w:val="center"/>
              <w:rPr>
                <w:rFonts w:ascii="Arial" w:hAnsi="Arial" w:cs="Arial"/>
                <w:b/>
                <w:sz w:val="28"/>
                <w:szCs w:val="28"/>
              </w:rPr>
            </w:pPr>
          </w:p>
        </w:tc>
        <w:tc>
          <w:tcPr>
            <w:tcW w:w="577" w:type="dxa"/>
            <w:shd w:val="clear" w:color="auto" w:fill="C0C0C0"/>
            <w:vAlign w:val="center"/>
          </w:tcPr>
          <w:p w:rsidR="0098344D" w:rsidRPr="004F2C12" w:rsidRDefault="0098344D" w:rsidP="006F7FC5">
            <w:pPr>
              <w:jc w:val="center"/>
              <w:rPr>
                <w:rFonts w:ascii="Arial" w:hAnsi="Arial" w:cs="Arial"/>
                <w:b/>
                <w:sz w:val="28"/>
                <w:szCs w:val="28"/>
              </w:rPr>
            </w:pPr>
          </w:p>
        </w:tc>
        <w:tc>
          <w:tcPr>
            <w:tcW w:w="800"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666"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733" w:type="dxa"/>
            <w:shd w:val="pct25" w:color="auto" w:fill="auto"/>
            <w:vAlign w:val="center"/>
          </w:tcPr>
          <w:p w:rsidR="0098344D" w:rsidRPr="004F2C12" w:rsidRDefault="0098344D" w:rsidP="006F7FC5">
            <w:pPr>
              <w:jc w:val="center"/>
              <w:rPr>
                <w:rFonts w:ascii="Arial" w:hAnsi="Arial" w:cs="Arial"/>
                <w:b/>
                <w:sz w:val="28"/>
                <w:szCs w:val="28"/>
              </w:rPr>
            </w:pPr>
          </w:p>
        </w:tc>
        <w:tc>
          <w:tcPr>
            <w:tcW w:w="544"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700" w:type="dxa"/>
            <w:shd w:val="clear" w:color="auto" w:fill="auto"/>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 xml:space="preserve"> X</w:t>
            </w:r>
            <w:r>
              <w:rPr>
                <w:rStyle w:val="CommentReference"/>
              </w:rPr>
              <w:t xml:space="preserve"> </w:t>
            </w: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sz w:val="20"/>
                <w:szCs w:val="20"/>
              </w:rPr>
              <w:t>Rejuvenated APHERESIS RED BLOOD CELLS</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E052</w:t>
            </w:r>
          </w:p>
        </w:tc>
        <w:tc>
          <w:tcPr>
            <w:tcW w:w="611"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rsidR="0098344D" w:rsidRPr="004F2C12" w:rsidRDefault="0098344D" w:rsidP="006F7FC5">
            <w:pPr>
              <w:jc w:val="center"/>
              <w:rPr>
                <w:rFonts w:ascii="Arial" w:hAnsi="Arial" w:cs="Arial"/>
                <w:b/>
                <w:sz w:val="28"/>
                <w:szCs w:val="28"/>
              </w:rPr>
            </w:pPr>
          </w:p>
        </w:tc>
        <w:tc>
          <w:tcPr>
            <w:tcW w:w="444" w:type="dxa"/>
            <w:shd w:val="clear" w:color="auto" w:fill="C0C0C0"/>
            <w:vAlign w:val="center"/>
          </w:tcPr>
          <w:p w:rsidR="0098344D" w:rsidRPr="004F2C12" w:rsidRDefault="0098344D" w:rsidP="006F7FC5">
            <w:pPr>
              <w:jc w:val="center"/>
              <w:rPr>
                <w:rFonts w:ascii="Arial" w:hAnsi="Arial" w:cs="Arial"/>
                <w:b/>
                <w:sz w:val="28"/>
                <w:szCs w:val="28"/>
              </w:rPr>
            </w:pPr>
          </w:p>
        </w:tc>
        <w:tc>
          <w:tcPr>
            <w:tcW w:w="577" w:type="dxa"/>
            <w:shd w:val="clear" w:color="auto" w:fill="C0C0C0"/>
            <w:vAlign w:val="center"/>
          </w:tcPr>
          <w:p w:rsidR="0098344D" w:rsidRPr="004F2C12" w:rsidRDefault="0098344D" w:rsidP="006F7FC5">
            <w:pPr>
              <w:jc w:val="center"/>
              <w:rPr>
                <w:rFonts w:ascii="Arial" w:hAnsi="Arial" w:cs="Arial"/>
                <w:b/>
                <w:sz w:val="28"/>
                <w:szCs w:val="28"/>
              </w:rPr>
            </w:pPr>
          </w:p>
        </w:tc>
        <w:tc>
          <w:tcPr>
            <w:tcW w:w="800"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666"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733" w:type="dxa"/>
            <w:shd w:val="clear" w:color="auto" w:fill="C0C0C0"/>
            <w:vAlign w:val="center"/>
          </w:tcPr>
          <w:p w:rsidR="0098344D" w:rsidRPr="004F2C12" w:rsidRDefault="0098344D" w:rsidP="006F7FC5">
            <w:pPr>
              <w:jc w:val="center"/>
              <w:rPr>
                <w:rFonts w:ascii="Arial" w:hAnsi="Arial" w:cs="Arial"/>
                <w:b/>
                <w:sz w:val="28"/>
                <w:szCs w:val="28"/>
              </w:rPr>
            </w:pPr>
          </w:p>
        </w:tc>
        <w:tc>
          <w:tcPr>
            <w:tcW w:w="544" w:type="dxa"/>
            <w:shd w:val="clear" w:color="auto" w:fill="C0C0C0"/>
            <w:vAlign w:val="center"/>
          </w:tcPr>
          <w:p w:rsidR="0098344D" w:rsidRPr="004F2C12" w:rsidRDefault="0098344D" w:rsidP="006F7FC5">
            <w:pPr>
              <w:jc w:val="center"/>
              <w:rPr>
                <w:rFonts w:ascii="Arial" w:hAnsi="Arial" w:cs="Arial"/>
                <w:b/>
                <w:sz w:val="28"/>
                <w:szCs w:val="28"/>
              </w:rPr>
            </w:pPr>
          </w:p>
        </w:tc>
        <w:tc>
          <w:tcPr>
            <w:tcW w:w="70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sz w:val="20"/>
                <w:szCs w:val="20"/>
              </w:rPr>
              <w:t>Frozen Rejuvenated APHERESIS RED BLOOD CELLS</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E053</w:t>
            </w:r>
          </w:p>
        </w:tc>
        <w:tc>
          <w:tcPr>
            <w:tcW w:w="611" w:type="dxa"/>
            <w:shd w:val="clear" w:color="auto" w:fill="C0C0C0"/>
            <w:vAlign w:val="center"/>
          </w:tcPr>
          <w:p w:rsidR="0098344D" w:rsidRPr="004F2C12" w:rsidRDefault="0098344D" w:rsidP="006F7FC5">
            <w:pPr>
              <w:jc w:val="center"/>
              <w:rPr>
                <w:rFonts w:ascii="Arial" w:hAnsi="Arial" w:cs="Arial"/>
                <w:b/>
                <w:sz w:val="28"/>
                <w:szCs w:val="28"/>
              </w:rPr>
            </w:pPr>
          </w:p>
        </w:tc>
        <w:tc>
          <w:tcPr>
            <w:tcW w:w="522" w:type="dxa"/>
            <w:shd w:val="clear" w:color="auto" w:fill="C0C0C0"/>
            <w:vAlign w:val="center"/>
          </w:tcPr>
          <w:p w:rsidR="0098344D" w:rsidRPr="004F2C12" w:rsidRDefault="0098344D" w:rsidP="006F7FC5">
            <w:pPr>
              <w:jc w:val="center"/>
              <w:rPr>
                <w:rFonts w:ascii="Arial" w:hAnsi="Arial" w:cs="Arial"/>
                <w:b/>
                <w:sz w:val="28"/>
                <w:szCs w:val="28"/>
              </w:rPr>
            </w:pPr>
          </w:p>
        </w:tc>
        <w:tc>
          <w:tcPr>
            <w:tcW w:w="444" w:type="dxa"/>
            <w:shd w:val="clear" w:color="auto" w:fill="C0C0C0"/>
            <w:vAlign w:val="center"/>
          </w:tcPr>
          <w:p w:rsidR="0098344D" w:rsidRPr="004F2C12" w:rsidRDefault="0098344D" w:rsidP="006F7FC5">
            <w:pPr>
              <w:jc w:val="center"/>
              <w:rPr>
                <w:rFonts w:ascii="Arial" w:hAnsi="Arial" w:cs="Arial"/>
                <w:b/>
                <w:sz w:val="28"/>
                <w:szCs w:val="28"/>
              </w:rPr>
            </w:pPr>
          </w:p>
        </w:tc>
        <w:tc>
          <w:tcPr>
            <w:tcW w:w="577" w:type="dxa"/>
            <w:shd w:val="clear" w:color="auto" w:fill="C0C0C0"/>
            <w:vAlign w:val="center"/>
          </w:tcPr>
          <w:p w:rsidR="0098344D" w:rsidRPr="004F2C12" w:rsidRDefault="0098344D" w:rsidP="006F7FC5">
            <w:pPr>
              <w:jc w:val="center"/>
              <w:rPr>
                <w:rFonts w:ascii="Arial" w:hAnsi="Arial" w:cs="Arial"/>
                <w:b/>
                <w:sz w:val="28"/>
                <w:szCs w:val="28"/>
              </w:rPr>
            </w:pPr>
          </w:p>
        </w:tc>
        <w:tc>
          <w:tcPr>
            <w:tcW w:w="800" w:type="dxa"/>
            <w:shd w:val="clear" w:color="auto" w:fill="C0C0C0"/>
            <w:vAlign w:val="center"/>
          </w:tcPr>
          <w:p w:rsidR="0098344D" w:rsidRPr="004F2C12" w:rsidRDefault="0098344D" w:rsidP="006F7FC5">
            <w:pPr>
              <w:jc w:val="center"/>
              <w:rPr>
                <w:rFonts w:ascii="Arial" w:hAnsi="Arial" w:cs="Arial"/>
                <w:b/>
                <w:sz w:val="28"/>
                <w:szCs w:val="28"/>
              </w:rPr>
            </w:pPr>
          </w:p>
        </w:tc>
        <w:tc>
          <w:tcPr>
            <w:tcW w:w="666" w:type="dxa"/>
            <w:shd w:val="clear" w:color="auto" w:fill="C0C0C0"/>
            <w:vAlign w:val="center"/>
          </w:tcPr>
          <w:p w:rsidR="0098344D" w:rsidRPr="004F2C12" w:rsidRDefault="0098344D" w:rsidP="006F7FC5">
            <w:pPr>
              <w:jc w:val="center"/>
              <w:rPr>
                <w:rFonts w:ascii="Arial" w:hAnsi="Arial" w:cs="Arial"/>
                <w:b/>
                <w:sz w:val="28"/>
                <w:szCs w:val="28"/>
              </w:rPr>
            </w:pPr>
          </w:p>
        </w:tc>
        <w:tc>
          <w:tcPr>
            <w:tcW w:w="733"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544"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700"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810"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810"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sz w:val="20"/>
                <w:szCs w:val="20"/>
              </w:rPr>
              <w:t>Deglycerolized Rejuvenated APHERESIS RED BLOOD CELLS</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E054</w:t>
            </w:r>
          </w:p>
        </w:tc>
        <w:tc>
          <w:tcPr>
            <w:tcW w:w="611"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522" w:type="dxa"/>
            <w:shd w:val="clear" w:color="auto" w:fill="C0C0C0"/>
            <w:vAlign w:val="center"/>
          </w:tcPr>
          <w:p w:rsidR="0098344D" w:rsidRPr="004F2C12" w:rsidRDefault="0098344D" w:rsidP="006F7FC5">
            <w:pPr>
              <w:jc w:val="center"/>
              <w:rPr>
                <w:rFonts w:ascii="Arial" w:hAnsi="Arial" w:cs="Arial"/>
                <w:b/>
                <w:sz w:val="28"/>
                <w:szCs w:val="28"/>
              </w:rPr>
            </w:pPr>
          </w:p>
        </w:tc>
        <w:tc>
          <w:tcPr>
            <w:tcW w:w="444" w:type="dxa"/>
            <w:shd w:val="clear" w:color="auto" w:fill="C0C0C0"/>
            <w:vAlign w:val="center"/>
          </w:tcPr>
          <w:p w:rsidR="0098344D" w:rsidRPr="004F2C12" w:rsidRDefault="0098344D" w:rsidP="006F7FC5">
            <w:pPr>
              <w:jc w:val="center"/>
              <w:rPr>
                <w:rFonts w:ascii="Arial" w:hAnsi="Arial" w:cs="Arial"/>
                <w:b/>
                <w:sz w:val="28"/>
                <w:szCs w:val="28"/>
              </w:rPr>
            </w:pPr>
          </w:p>
        </w:tc>
        <w:tc>
          <w:tcPr>
            <w:tcW w:w="577" w:type="dxa"/>
            <w:shd w:val="clear" w:color="auto" w:fill="C0C0C0"/>
            <w:vAlign w:val="center"/>
          </w:tcPr>
          <w:p w:rsidR="0098344D" w:rsidRPr="004F2C12" w:rsidRDefault="0098344D" w:rsidP="006F7FC5">
            <w:pPr>
              <w:jc w:val="center"/>
              <w:rPr>
                <w:rFonts w:ascii="Arial" w:hAnsi="Arial" w:cs="Arial"/>
                <w:b/>
                <w:sz w:val="28"/>
                <w:szCs w:val="28"/>
              </w:rPr>
            </w:pPr>
          </w:p>
        </w:tc>
        <w:tc>
          <w:tcPr>
            <w:tcW w:w="800"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666"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733" w:type="dxa"/>
            <w:shd w:val="clear" w:color="auto" w:fill="C0C0C0"/>
            <w:vAlign w:val="center"/>
          </w:tcPr>
          <w:p w:rsidR="0098344D" w:rsidRPr="004F2C12" w:rsidRDefault="0098344D" w:rsidP="006F7FC5">
            <w:pPr>
              <w:jc w:val="center"/>
              <w:rPr>
                <w:rFonts w:ascii="Arial" w:hAnsi="Arial" w:cs="Arial"/>
                <w:b/>
                <w:sz w:val="28"/>
                <w:szCs w:val="28"/>
              </w:rPr>
            </w:pPr>
          </w:p>
        </w:tc>
        <w:tc>
          <w:tcPr>
            <w:tcW w:w="544" w:type="dxa"/>
            <w:shd w:val="clear" w:color="auto" w:fill="C0C0C0"/>
            <w:vAlign w:val="center"/>
          </w:tcPr>
          <w:p w:rsidR="0098344D" w:rsidRPr="004F2C12" w:rsidRDefault="0098344D" w:rsidP="006F7FC5">
            <w:pPr>
              <w:jc w:val="center"/>
              <w:rPr>
                <w:rFonts w:ascii="Arial" w:hAnsi="Arial" w:cs="Arial"/>
                <w:b/>
                <w:sz w:val="28"/>
                <w:szCs w:val="28"/>
              </w:rPr>
            </w:pPr>
          </w:p>
        </w:tc>
        <w:tc>
          <w:tcPr>
            <w:tcW w:w="70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pStyle w:val="TableText"/>
              <w:rPr>
                <w:rFonts w:cs="Arial"/>
                <w:sz w:val="20"/>
                <w:szCs w:val="20"/>
              </w:rPr>
            </w:pPr>
            <w:r w:rsidRPr="0012237E">
              <w:rPr>
                <w:rFonts w:cs="Arial"/>
                <w:bCs/>
                <w:sz w:val="20"/>
                <w:szCs w:val="20"/>
              </w:rPr>
              <w:lastRenderedPageBreak/>
              <w:t>Thawed POOLED PLASMA</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E055</w:t>
            </w:r>
          </w:p>
        </w:tc>
        <w:tc>
          <w:tcPr>
            <w:tcW w:w="611" w:type="dxa"/>
            <w:tcBorders>
              <w:bottom w:val="single" w:sz="4" w:space="0" w:color="auto"/>
            </w:tcBorders>
            <w:shd w:val="pct25" w:color="auto" w:fill="auto"/>
            <w:vAlign w:val="center"/>
          </w:tcPr>
          <w:p w:rsidR="0098344D" w:rsidRPr="004F2C12" w:rsidRDefault="0098344D" w:rsidP="006F7FC5">
            <w:pPr>
              <w:jc w:val="center"/>
              <w:rPr>
                <w:rFonts w:ascii="Arial" w:hAnsi="Arial" w:cs="Arial"/>
                <w:b/>
                <w:sz w:val="28"/>
                <w:szCs w:val="28"/>
              </w:rPr>
            </w:pPr>
          </w:p>
        </w:tc>
        <w:tc>
          <w:tcPr>
            <w:tcW w:w="522" w:type="dxa"/>
            <w:shd w:val="clear" w:color="auto" w:fill="C0C0C0"/>
            <w:vAlign w:val="center"/>
          </w:tcPr>
          <w:p w:rsidR="0098344D" w:rsidRPr="004F2C12" w:rsidRDefault="0098344D" w:rsidP="006F7FC5">
            <w:pPr>
              <w:jc w:val="center"/>
              <w:rPr>
                <w:rFonts w:ascii="Arial" w:hAnsi="Arial" w:cs="Arial"/>
                <w:b/>
                <w:sz w:val="28"/>
                <w:szCs w:val="28"/>
              </w:rPr>
            </w:pPr>
          </w:p>
        </w:tc>
        <w:tc>
          <w:tcPr>
            <w:tcW w:w="444" w:type="dxa"/>
            <w:shd w:val="clear" w:color="auto" w:fill="C0C0C0"/>
            <w:vAlign w:val="center"/>
          </w:tcPr>
          <w:p w:rsidR="0098344D" w:rsidRPr="004F2C12" w:rsidRDefault="0098344D" w:rsidP="006F7FC5">
            <w:pPr>
              <w:jc w:val="center"/>
              <w:rPr>
                <w:rFonts w:ascii="Arial" w:hAnsi="Arial" w:cs="Arial"/>
                <w:b/>
                <w:sz w:val="28"/>
                <w:szCs w:val="28"/>
              </w:rPr>
            </w:pPr>
          </w:p>
        </w:tc>
        <w:tc>
          <w:tcPr>
            <w:tcW w:w="577" w:type="dxa"/>
            <w:shd w:val="clear" w:color="auto" w:fill="C0C0C0"/>
            <w:vAlign w:val="center"/>
          </w:tcPr>
          <w:p w:rsidR="0098344D" w:rsidRPr="004F2C12" w:rsidRDefault="0098344D" w:rsidP="006F7FC5">
            <w:pPr>
              <w:jc w:val="center"/>
              <w:rPr>
                <w:rFonts w:ascii="Arial" w:hAnsi="Arial" w:cs="Arial"/>
                <w:b/>
                <w:sz w:val="28"/>
                <w:szCs w:val="28"/>
              </w:rPr>
            </w:pPr>
          </w:p>
        </w:tc>
        <w:tc>
          <w:tcPr>
            <w:tcW w:w="800"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666"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733" w:type="dxa"/>
            <w:shd w:val="clear" w:color="auto" w:fill="C0C0C0"/>
            <w:vAlign w:val="center"/>
          </w:tcPr>
          <w:p w:rsidR="0098344D" w:rsidRPr="004F2C12" w:rsidRDefault="0098344D" w:rsidP="006F7FC5">
            <w:pPr>
              <w:jc w:val="center"/>
              <w:rPr>
                <w:rFonts w:ascii="Arial" w:hAnsi="Arial" w:cs="Arial"/>
                <w:b/>
                <w:sz w:val="28"/>
                <w:szCs w:val="28"/>
              </w:rPr>
            </w:pPr>
          </w:p>
        </w:tc>
        <w:tc>
          <w:tcPr>
            <w:tcW w:w="544" w:type="dxa"/>
            <w:shd w:val="clear" w:color="auto" w:fill="C0C0C0"/>
            <w:vAlign w:val="center"/>
          </w:tcPr>
          <w:p w:rsidR="0098344D" w:rsidRPr="004F2C12" w:rsidRDefault="0098344D" w:rsidP="006F7FC5">
            <w:pPr>
              <w:jc w:val="center"/>
              <w:rPr>
                <w:rFonts w:ascii="Arial" w:hAnsi="Arial" w:cs="Arial"/>
                <w:b/>
                <w:sz w:val="28"/>
                <w:szCs w:val="28"/>
              </w:rPr>
            </w:pPr>
          </w:p>
        </w:tc>
        <w:tc>
          <w:tcPr>
            <w:tcW w:w="70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pStyle w:val="TableText"/>
              <w:rPr>
                <w:rFonts w:cs="Arial"/>
                <w:sz w:val="20"/>
                <w:szCs w:val="20"/>
              </w:rPr>
            </w:pPr>
            <w:r w:rsidRPr="0012237E">
              <w:rPr>
                <w:rFonts w:cs="Arial"/>
                <w:sz w:val="20"/>
                <w:szCs w:val="20"/>
              </w:rPr>
              <w:t>Thawed POOLED FRESH FROZEN PLASMA</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E056</w:t>
            </w:r>
          </w:p>
        </w:tc>
        <w:tc>
          <w:tcPr>
            <w:tcW w:w="611" w:type="dxa"/>
            <w:shd w:val="pct25" w:color="auto" w:fill="auto"/>
            <w:vAlign w:val="center"/>
          </w:tcPr>
          <w:p w:rsidR="0098344D" w:rsidRPr="004F2C12" w:rsidRDefault="0098344D" w:rsidP="006F7FC5">
            <w:pPr>
              <w:jc w:val="center"/>
              <w:rPr>
                <w:rFonts w:ascii="Arial" w:hAnsi="Arial" w:cs="Arial"/>
                <w:b/>
                <w:sz w:val="28"/>
                <w:szCs w:val="28"/>
              </w:rPr>
            </w:pPr>
          </w:p>
        </w:tc>
        <w:tc>
          <w:tcPr>
            <w:tcW w:w="522"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444"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800"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666"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733"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544" w:type="dxa"/>
            <w:shd w:val="clear" w:color="auto" w:fill="C0C0C0"/>
            <w:vAlign w:val="center"/>
          </w:tcPr>
          <w:p w:rsidR="0098344D" w:rsidRPr="004F2C12" w:rsidRDefault="0098344D" w:rsidP="006F7FC5">
            <w:pPr>
              <w:jc w:val="center"/>
              <w:rPr>
                <w:rFonts w:ascii="Arial" w:hAnsi="Arial" w:cs="Arial"/>
                <w:b/>
                <w:sz w:val="28"/>
                <w:szCs w:val="28"/>
              </w:rPr>
            </w:pPr>
          </w:p>
        </w:tc>
        <w:tc>
          <w:tcPr>
            <w:tcW w:w="70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pStyle w:val="TableText"/>
              <w:rPr>
                <w:rFonts w:cs="Arial"/>
                <w:sz w:val="20"/>
                <w:szCs w:val="20"/>
              </w:rPr>
            </w:pPr>
            <w:r w:rsidRPr="0012237E">
              <w:rPr>
                <w:rFonts w:cs="Arial"/>
                <w:sz w:val="20"/>
                <w:szCs w:val="20"/>
              </w:rPr>
              <w:t>Washed GRANULOCYTES</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E057</w:t>
            </w:r>
          </w:p>
        </w:tc>
        <w:tc>
          <w:tcPr>
            <w:tcW w:w="611"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522" w:type="dxa"/>
            <w:tcBorders>
              <w:bottom w:val="single" w:sz="4" w:space="0" w:color="auto"/>
            </w:tcBorders>
            <w:shd w:val="pct25" w:color="auto" w:fill="auto"/>
            <w:vAlign w:val="center"/>
          </w:tcPr>
          <w:p w:rsidR="0098344D" w:rsidRPr="004F2C12" w:rsidRDefault="0098344D" w:rsidP="006F7FC5">
            <w:pPr>
              <w:jc w:val="center"/>
              <w:rPr>
                <w:rFonts w:ascii="Arial" w:hAnsi="Arial" w:cs="Arial"/>
                <w:b/>
                <w:sz w:val="28"/>
                <w:szCs w:val="28"/>
              </w:rPr>
            </w:pPr>
          </w:p>
        </w:tc>
        <w:tc>
          <w:tcPr>
            <w:tcW w:w="444" w:type="dxa"/>
            <w:shd w:val="pct25" w:color="auto" w:fill="auto"/>
            <w:vAlign w:val="center"/>
          </w:tcPr>
          <w:p w:rsidR="0098344D" w:rsidRPr="004F2C12" w:rsidRDefault="0098344D" w:rsidP="006F7FC5">
            <w:pPr>
              <w:jc w:val="center"/>
              <w:rPr>
                <w:rFonts w:ascii="Arial" w:hAnsi="Arial" w:cs="Arial"/>
                <w:b/>
                <w:sz w:val="28"/>
                <w:szCs w:val="28"/>
              </w:rPr>
            </w:pPr>
          </w:p>
        </w:tc>
        <w:tc>
          <w:tcPr>
            <w:tcW w:w="577" w:type="dxa"/>
            <w:shd w:val="pct25" w:color="auto" w:fill="auto"/>
            <w:vAlign w:val="center"/>
          </w:tcPr>
          <w:p w:rsidR="0098344D" w:rsidRPr="004F2C12" w:rsidRDefault="0098344D" w:rsidP="006F7FC5">
            <w:pPr>
              <w:jc w:val="center"/>
              <w:rPr>
                <w:rFonts w:ascii="Arial" w:hAnsi="Arial" w:cs="Arial"/>
                <w:b/>
                <w:sz w:val="28"/>
                <w:szCs w:val="28"/>
              </w:rPr>
            </w:pPr>
          </w:p>
        </w:tc>
        <w:tc>
          <w:tcPr>
            <w:tcW w:w="800"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666" w:type="dxa"/>
            <w:shd w:val="clear" w:color="auto" w:fill="BFBFBF"/>
            <w:vAlign w:val="center"/>
          </w:tcPr>
          <w:p w:rsidR="0098344D" w:rsidRPr="004F2C12" w:rsidRDefault="0098344D" w:rsidP="006F7FC5">
            <w:pPr>
              <w:jc w:val="center"/>
              <w:rPr>
                <w:rFonts w:ascii="Arial" w:hAnsi="Arial" w:cs="Arial"/>
                <w:b/>
                <w:sz w:val="28"/>
                <w:szCs w:val="28"/>
              </w:rPr>
            </w:pPr>
          </w:p>
        </w:tc>
        <w:tc>
          <w:tcPr>
            <w:tcW w:w="733" w:type="dxa"/>
            <w:shd w:val="clear" w:color="auto" w:fill="BFBFBF"/>
            <w:vAlign w:val="center"/>
          </w:tcPr>
          <w:p w:rsidR="0098344D" w:rsidRPr="004F2C12" w:rsidRDefault="0098344D" w:rsidP="006F7FC5">
            <w:pPr>
              <w:jc w:val="center"/>
              <w:rPr>
                <w:rFonts w:ascii="Arial" w:hAnsi="Arial" w:cs="Arial"/>
                <w:b/>
                <w:sz w:val="28"/>
                <w:szCs w:val="28"/>
              </w:rPr>
            </w:pPr>
          </w:p>
        </w:tc>
        <w:tc>
          <w:tcPr>
            <w:tcW w:w="544" w:type="dxa"/>
            <w:shd w:val="clear" w:color="auto" w:fill="C0C0C0"/>
            <w:vAlign w:val="center"/>
          </w:tcPr>
          <w:p w:rsidR="0098344D" w:rsidRPr="004F2C12" w:rsidRDefault="0098344D" w:rsidP="006F7FC5">
            <w:pPr>
              <w:jc w:val="center"/>
              <w:rPr>
                <w:rFonts w:ascii="Arial" w:hAnsi="Arial" w:cs="Arial"/>
                <w:b/>
                <w:sz w:val="28"/>
                <w:szCs w:val="28"/>
              </w:rPr>
            </w:pPr>
          </w:p>
        </w:tc>
        <w:tc>
          <w:tcPr>
            <w:tcW w:w="70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bCs/>
                <w:sz w:val="20"/>
                <w:szCs w:val="20"/>
              </w:rPr>
            </w:pPr>
            <w:r w:rsidRPr="0012237E">
              <w:rPr>
                <w:rFonts w:ascii="Arial" w:hAnsi="Arial" w:cs="Arial"/>
                <w:bCs/>
                <w:sz w:val="20"/>
                <w:szCs w:val="20"/>
              </w:rPr>
              <w:t>Liquid POOLED PLASMA</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E058</w:t>
            </w:r>
          </w:p>
        </w:tc>
        <w:tc>
          <w:tcPr>
            <w:tcW w:w="611" w:type="dxa"/>
            <w:tcBorders>
              <w:bottom w:val="single" w:sz="4" w:space="0" w:color="auto"/>
            </w:tcBorders>
            <w:shd w:val="pct25" w:color="auto" w:fill="auto"/>
            <w:vAlign w:val="center"/>
          </w:tcPr>
          <w:p w:rsidR="0098344D" w:rsidRPr="004F2C12" w:rsidRDefault="0098344D" w:rsidP="006F7FC5">
            <w:pPr>
              <w:jc w:val="center"/>
              <w:rPr>
                <w:rFonts w:ascii="Arial" w:hAnsi="Arial" w:cs="Arial"/>
                <w:b/>
                <w:sz w:val="28"/>
                <w:szCs w:val="28"/>
              </w:rPr>
            </w:pPr>
          </w:p>
        </w:tc>
        <w:tc>
          <w:tcPr>
            <w:tcW w:w="522" w:type="dxa"/>
            <w:tcBorders>
              <w:bottom w:val="single" w:sz="4" w:space="0" w:color="auto"/>
            </w:tcBorders>
            <w:shd w:val="pct25" w:color="auto" w:fill="auto"/>
            <w:vAlign w:val="center"/>
          </w:tcPr>
          <w:p w:rsidR="0098344D" w:rsidRPr="004F2C12" w:rsidRDefault="0098344D" w:rsidP="006F7FC5">
            <w:pPr>
              <w:jc w:val="center"/>
              <w:rPr>
                <w:rFonts w:ascii="Arial" w:hAnsi="Arial" w:cs="Arial"/>
                <w:b/>
                <w:sz w:val="28"/>
                <w:szCs w:val="28"/>
              </w:rPr>
            </w:pPr>
          </w:p>
        </w:tc>
        <w:tc>
          <w:tcPr>
            <w:tcW w:w="444" w:type="dxa"/>
            <w:shd w:val="clear" w:color="auto" w:fill="C0C0C0"/>
            <w:vAlign w:val="center"/>
          </w:tcPr>
          <w:p w:rsidR="0098344D" w:rsidRPr="004F2C12" w:rsidRDefault="0098344D"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800"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666"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733"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544" w:type="dxa"/>
            <w:shd w:val="clear" w:color="auto" w:fill="C0C0C0"/>
            <w:vAlign w:val="center"/>
          </w:tcPr>
          <w:p w:rsidR="0098344D" w:rsidRPr="004F2C12" w:rsidRDefault="0098344D" w:rsidP="006F7FC5">
            <w:pPr>
              <w:jc w:val="center"/>
              <w:rPr>
                <w:rFonts w:ascii="Arial" w:hAnsi="Arial" w:cs="Arial"/>
                <w:b/>
                <w:sz w:val="28"/>
                <w:szCs w:val="28"/>
              </w:rPr>
            </w:pPr>
          </w:p>
        </w:tc>
        <w:tc>
          <w:tcPr>
            <w:tcW w:w="70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bCs/>
                <w:sz w:val="20"/>
                <w:szCs w:val="20"/>
              </w:rPr>
            </w:pPr>
            <w:r w:rsidRPr="0012237E">
              <w:rPr>
                <w:rFonts w:ascii="Arial" w:hAnsi="Arial" w:cs="Arial"/>
                <w:bCs/>
                <w:sz w:val="20"/>
                <w:szCs w:val="20"/>
              </w:rPr>
              <w:t>POOLED FRESH FROZEN PLASMA</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E059</w:t>
            </w:r>
          </w:p>
        </w:tc>
        <w:tc>
          <w:tcPr>
            <w:tcW w:w="611" w:type="dxa"/>
            <w:tcBorders>
              <w:bottom w:val="single" w:sz="4" w:space="0" w:color="auto"/>
            </w:tcBorders>
            <w:shd w:val="clear" w:color="auto" w:fill="BFBFBF"/>
            <w:vAlign w:val="center"/>
          </w:tcPr>
          <w:p w:rsidR="0098344D" w:rsidRPr="004F2C12" w:rsidRDefault="0098344D" w:rsidP="006F7FC5">
            <w:pPr>
              <w:jc w:val="center"/>
              <w:rPr>
                <w:rFonts w:ascii="Arial" w:hAnsi="Arial" w:cs="Arial"/>
                <w:b/>
                <w:sz w:val="28"/>
                <w:szCs w:val="28"/>
              </w:rPr>
            </w:pPr>
          </w:p>
        </w:tc>
        <w:tc>
          <w:tcPr>
            <w:tcW w:w="522" w:type="dxa"/>
            <w:tcBorders>
              <w:bottom w:val="single" w:sz="4" w:space="0" w:color="auto"/>
            </w:tcBorders>
            <w:shd w:val="clear" w:color="auto" w:fill="FFFFFF"/>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444" w:type="dxa"/>
            <w:shd w:val="clear" w:color="auto" w:fill="C0C0C0"/>
            <w:vAlign w:val="center"/>
          </w:tcPr>
          <w:p w:rsidR="0098344D" w:rsidRPr="004F2C12" w:rsidRDefault="0098344D" w:rsidP="006F7FC5">
            <w:pPr>
              <w:jc w:val="center"/>
              <w:rPr>
                <w:rFonts w:ascii="Arial" w:hAnsi="Arial" w:cs="Arial"/>
                <w:b/>
                <w:sz w:val="28"/>
                <w:szCs w:val="28"/>
              </w:rPr>
            </w:pPr>
          </w:p>
        </w:tc>
        <w:tc>
          <w:tcPr>
            <w:tcW w:w="577" w:type="dxa"/>
            <w:tcBorders>
              <w:bottom w:val="single" w:sz="4" w:space="0" w:color="auto"/>
            </w:tcBorders>
            <w:shd w:val="pct25" w:color="auto" w:fill="auto"/>
            <w:vAlign w:val="center"/>
          </w:tcPr>
          <w:p w:rsidR="0098344D" w:rsidRPr="004F2C12" w:rsidRDefault="0098344D" w:rsidP="006F7FC5">
            <w:pPr>
              <w:jc w:val="center"/>
              <w:rPr>
                <w:rFonts w:ascii="Arial" w:hAnsi="Arial" w:cs="Arial"/>
                <w:b/>
                <w:sz w:val="28"/>
                <w:szCs w:val="28"/>
              </w:rPr>
            </w:pPr>
          </w:p>
        </w:tc>
        <w:tc>
          <w:tcPr>
            <w:tcW w:w="800" w:type="dxa"/>
            <w:tcBorders>
              <w:bottom w:val="single" w:sz="4" w:space="0" w:color="auto"/>
            </w:tcBorders>
            <w:shd w:val="pct25" w:color="auto" w:fill="auto"/>
            <w:vAlign w:val="center"/>
          </w:tcPr>
          <w:p w:rsidR="0098344D" w:rsidRPr="004F2C12" w:rsidRDefault="0098344D" w:rsidP="006F7FC5">
            <w:pPr>
              <w:jc w:val="center"/>
              <w:rPr>
                <w:rFonts w:ascii="Arial" w:hAnsi="Arial" w:cs="Arial"/>
                <w:b/>
                <w:sz w:val="28"/>
                <w:szCs w:val="28"/>
              </w:rPr>
            </w:pPr>
          </w:p>
        </w:tc>
        <w:tc>
          <w:tcPr>
            <w:tcW w:w="666" w:type="dxa"/>
            <w:tcBorders>
              <w:bottom w:val="single" w:sz="4" w:space="0" w:color="auto"/>
            </w:tcBorders>
            <w:shd w:val="pct25" w:color="auto" w:fill="auto"/>
            <w:vAlign w:val="center"/>
          </w:tcPr>
          <w:p w:rsidR="0098344D" w:rsidRPr="004F2C12" w:rsidRDefault="0098344D" w:rsidP="006F7FC5">
            <w:pPr>
              <w:jc w:val="center"/>
              <w:rPr>
                <w:rFonts w:ascii="Arial" w:hAnsi="Arial" w:cs="Arial"/>
                <w:b/>
                <w:sz w:val="28"/>
                <w:szCs w:val="28"/>
              </w:rPr>
            </w:pPr>
          </w:p>
        </w:tc>
        <w:tc>
          <w:tcPr>
            <w:tcW w:w="733" w:type="dxa"/>
            <w:tcBorders>
              <w:bottom w:val="single" w:sz="4" w:space="0" w:color="auto"/>
            </w:tcBorders>
            <w:shd w:val="pct25" w:color="auto" w:fill="auto"/>
            <w:vAlign w:val="center"/>
          </w:tcPr>
          <w:p w:rsidR="0098344D" w:rsidRPr="004F2C12" w:rsidRDefault="0098344D" w:rsidP="006F7FC5">
            <w:pPr>
              <w:jc w:val="center"/>
              <w:rPr>
                <w:rFonts w:ascii="Arial" w:hAnsi="Arial" w:cs="Arial"/>
                <w:b/>
                <w:sz w:val="28"/>
                <w:szCs w:val="28"/>
              </w:rPr>
            </w:pPr>
          </w:p>
        </w:tc>
        <w:tc>
          <w:tcPr>
            <w:tcW w:w="544"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70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bCs/>
                <w:sz w:val="20"/>
                <w:szCs w:val="20"/>
              </w:rPr>
            </w:pPr>
            <w:r w:rsidRPr="0012237E">
              <w:rPr>
                <w:rFonts w:ascii="Arial" w:hAnsi="Arial" w:cs="Arial"/>
                <w:bCs/>
                <w:sz w:val="20"/>
                <w:szCs w:val="20"/>
              </w:rPr>
              <w:t>Frozen POOLED PLATELETS</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E060</w:t>
            </w:r>
          </w:p>
        </w:tc>
        <w:tc>
          <w:tcPr>
            <w:tcW w:w="611" w:type="dxa"/>
            <w:tcBorders>
              <w:bottom w:val="single" w:sz="4" w:space="0" w:color="auto"/>
            </w:tcBorders>
            <w:shd w:val="pct25" w:color="auto" w:fill="auto"/>
            <w:vAlign w:val="center"/>
          </w:tcPr>
          <w:p w:rsidR="0098344D" w:rsidRPr="004F2C12" w:rsidRDefault="0098344D" w:rsidP="006F7FC5">
            <w:pPr>
              <w:jc w:val="center"/>
              <w:rPr>
                <w:rFonts w:ascii="Arial" w:hAnsi="Arial" w:cs="Arial"/>
                <w:b/>
                <w:sz w:val="28"/>
                <w:szCs w:val="28"/>
              </w:rPr>
            </w:pPr>
          </w:p>
        </w:tc>
        <w:tc>
          <w:tcPr>
            <w:tcW w:w="522" w:type="dxa"/>
            <w:shd w:val="clear" w:color="auto" w:fill="FFFFFF"/>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444" w:type="dxa"/>
            <w:shd w:val="clear" w:color="auto" w:fill="C0C0C0"/>
            <w:vAlign w:val="center"/>
          </w:tcPr>
          <w:p w:rsidR="0098344D" w:rsidRPr="004F2C12" w:rsidRDefault="0098344D" w:rsidP="006F7FC5">
            <w:pPr>
              <w:jc w:val="center"/>
              <w:rPr>
                <w:rFonts w:ascii="Arial" w:hAnsi="Arial" w:cs="Arial"/>
                <w:b/>
                <w:sz w:val="28"/>
                <w:szCs w:val="28"/>
              </w:rPr>
            </w:pPr>
          </w:p>
        </w:tc>
        <w:tc>
          <w:tcPr>
            <w:tcW w:w="577" w:type="dxa"/>
            <w:shd w:val="clear" w:color="auto" w:fill="BFBFBF"/>
            <w:vAlign w:val="center"/>
          </w:tcPr>
          <w:p w:rsidR="0098344D" w:rsidRPr="004F2C12" w:rsidRDefault="0098344D" w:rsidP="006F7FC5">
            <w:pPr>
              <w:jc w:val="center"/>
              <w:rPr>
                <w:rFonts w:ascii="Arial" w:hAnsi="Arial" w:cs="Arial"/>
                <w:b/>
                <w:sz w:val="28"/>
                <w:szCs w:val="28"/>
              </w:rPr>
            </w:pPr>
          </w:p>
        </w:tc>
        <w:tc>
          <w:tcPr>
            <w:tcW w:w="800" w:type="dxa"/>
            <w:shd w:val="clear" w:color="auto" w:fill="BFBFBF"/>
            <w:vAlign w:val="center"/>
          </w:tcPr>
          <w:p w:rsidR="0098344D" w:rsidRPr="004F2C12" w:rsidRDefault="0098344D" w:rsidP="006F7FC5">
            <w:pPr>
              <w:jc w:val="center"/>
              <w:rPr>
                <w:rFonts w:ascii="Arial" w:hAnsi="Arial" w:cs="Arial"/>
                <w:b/>
                <w:sz w:val="28"/>
                <w:szCs w:val="28"/>
              </w:rPr>
            </w:pPr>
          </w:p>
        </w:tc>
        <w:tc>
          <w:tcPr>
            <w:tcW w:w="666" w:type="dxa"/>
            <w:shd w:val="clear" w:color="auto" w:fill="BFBFBF"/>
            <w:vAlign w:val="center"/>
          </w:tcPr>
          <w:p w:rsidR="0098344D" w:rsidRPr="004F2C12" w:rsidRDefault="0098344D" w:rsidP="006F7FC5">
            <w:pPr>
              <w:jc w:val="center"/>
              <w:rPr>
                <w:rFonts w:ascii="Arial" w:hAnsi="Arial" w:cs="Arial"/>
                <w:b/>
                <w:sz w:val="28"/>
                <w:szCs w:val="28"/>
              </w:rPr>
            </w:pPr>
          </w:p>
        </w:tc>
        <w:tc>
          <w:tcPr>
            <w:tcW w:w="733" w:type="dxa"/>
            <w:shd w:val="clear" w:color="auto" w:fill="BFBFBF"/>
            <w:vAlign w:val="center"/>
          </w:tcPr>
          <w:p w:rsidR="0098344D" w:rsidRPr="004F2C12" w:rsidRDefault="0098344D" w:rsidP="006F7FC5">
            <w:pPr>
              <w:jc w:val="center"/>
              <w:rPr>
                <w:rFonts w:ascii="Arial" w:hAnsi="Arial" w:cs="Arial"/>
                <w:b/>
                <w:sz w:val="28"/>
                <w:szCs w:val="28"/>
              </w:rPr>
            </w:pPr>
          </w:p>
        </w:tc>
        <w:tc>
          <w:tcPr>
            <w:tcW w:w="544" w:type="dxa"/>
            <w:shd w:val="clear" w:color="auto" w:fill="BFBFBF"/>
            <w:vAlign w:val="center"/>
          </w:tcPr>
          <w:p w:rsidR="0098344D" w:rsidRPr="004F2C12" w:rsidRDefault="0098344D" w:rsidP="006F7FC5">
            <w:pPr>
              <w:jc w:val="center"/>
              <w:rPr>
                <w:rFonts w:ascii="Arial" w:hAnsi="Arial" w:cs="Arial"/>
                <w:b/>
                <w:sz w:val="28"/>
                <w:szCs w:val="28"/>
              </w:rPr>
            </w:pPr>
          </w:p>
        </w:tc>
        <w:tc>
          <w:tcPr>
            <w:tcW w:w="70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pStyle w:val="TableText"/>
              <w:rPr>
                <w:rFonts w:cs="Arial"/>
                <w:sz w:val="20"/>
                <w:szCs w:val="20"/>
              </w:rPr>
            </w:pPr>
            <w:r w:rsidRPr="0012237E">
              <w:rPr>
                <w:rFonts w:cs="Arial"/>
                <w:sz w:val="20"/>
                <w:szCs w:val="20"/>
              </w:rPr>
              <w:t>Thawed POOLED PLATELETS</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E061</w:t>
            </w:r>
          </w:p>
        </w:tc>
        <w:tc>
          <w:tcPr>
            <w:tcW w:w="611" w:type="dxa"/>
            <w:shd w:val="pct25" w:color="auto" w:fill="auto"/>
            <w:vAlign w:val="center"/>
          </w:tcPr>
          <w:p w:rsidR="0098344D" w:rsidRPr="004F2C12" w:rsidRDefault="0098344D" w:rsidP="006F7FC5">
            <w:pPr>
              <w:jc w:val="center"/>
              <w:rPr>
                <w:rFonts w:ascii="Arial" w:hAnsi="Arial" w:cs="Arial"/>
                <w:b/>
                <w:sz w:val="28"/>
                <w:szCs w:val="28"/>
              </w:rPr>
            </w:pPr>
          </w:p>
        </w:tc>
        <w:tc>
          <w:tcPr>
            <w:tcW w:w="522" w:type="dxa"/>
            <w:shd w:val="clear" w:color="auto" w:fill="C0C0C0"/>
            <w:vAlign w:val="center"/>
          </w:tcPr>
          <w:p w:rsidR="0098344D" w:rsidRPr="004F2C12" w:rsidRDefault="0098344D" w:rsidP="006F7FC5">
            <w:pPr>
              <w:jc w:val="center"/>
              <w:rPr>
                <w:rFonts w:ascii="Arial" w:hAnsi="Arial" w:cs="Arial"/>
                <w:b/>
                <w:sz w:val="28"/>
                <w:szCs w:val="28"/>
              </w:rPr>
            </w:pPr>
          </w:p>
        </w:tc>
        <w:tc>
          <w:tcPr>
            <w:tcW w:w="444" w:type="dxa"/>
            <w:shd w:val="clear" w:color="auto" w:fill="C0C0C0"/>
            <w:vAlign w:val="center"/>
          </w:tcPr>
          <w:p w:rsidR="0098344D" w:rsidRPr="004F2C12" w:rsidRDefault="0098344D" w:rsidP="006F7FC5">
            <w:pPr>
              <w:jc w:val="center"/>
              <w:rPr>
                <w:rFonts w:ascii="Arial" w:hAnsi="Arial" w:cs="Arial"/>
                <w:b/>
                <w:sz w:val="28"/>
                <w:szCs w:val="28"/>
              </w:rPr>
            </w:pPr>
          </w:p>
        </w:tc>
        <w:tc>
          <w:tcPr>
            <w:tcW w:w="577" w:type="dxa"/>
            <w:shd w:val="clear" w:color="auto" w:fill="C0C0C0"/>
            <w:vAlign w:val="center"/>
          </w:tcPr>
          <w:p w:rsidR="0098344D" w:rsidRPr="004F2C12" w:rsidRDefault="0098344D" w:rsidP="006F7FC5">
            <w:pPr>
              <w:jc w:val="center"/>
              <w:rPr>
                <w:rFonts w:ascii="Arial" w:hAnsi="Arial" w:cs="Arial"/>
                <w:b/>
                <w:sz w:val="28"/>
                <w:szCs w:val="28"/>
              </w:rPr>
            </w:pPr>
          </w:p>
        </w:tc>
        <w:tc>
          <w:tcPr>
            <w:tcW w:w="800"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666"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733" w:type="dxa"/>
            <w:shd w:val="clear" w:color="auto" w:fill="C0C0C0"/>
            <w:vAlign w:val="center"/>
          </w:tcPr>
          <w:p w:rsidR="0098344D" w:rsidRPr="004F2C12" w:rsidRDefault="0098344D" w:rsidP="006F7FC5">
            <w:pPr>
              <w:jc w:val="center"/>
              <w:rPr>
                <w:rFonts w:ascii="Arial" w:hAnsi="Arial" w:cs="Arial"/>
                <w:b/>
                <w:sz w:val="28"/>
                <w:szCs w:val="28"/>
              </w:rPr>
            </w:pPr>
          </w:p>
        </w:tc>
        <w:tc>
          <w:tcPr>
            <w:tcW w:w="544" w:type="dxa"/>
            <w:shd w:val="clear" w:color="auto" w:fill="C0C0C0"/>
            <w:vAlign w:val="center"/>
          </w:tcPr>
          <w:p w:rsidR="0098344D" w:rsidRPr="004F2C12" w:rsidRDefault="0098344D" w:rsidP="006F7FC5">
            <w:pPr>
              <w:jc w:val="center"/>
              <w:rPr>
                <w:rFonts w:ascii="Arial" w:hAnsi="Arial" w:cs="Arial"/>
                <w:b/>
                <w:sz w:val="28"/>
                <w:szCs w:val="28"/>
              </w:rPr>
            </w:pPr>
          </w:p>
        </w:tc>
        <w:tc>
          <w:tcPr>
            <w:tcW w:w="70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F91DAB">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sz w:val="20"/>
                <w:szCs w:val="20"/>
              </w:rPr>
              <w:t>Thawed Apheresis POOLED FRESH FROZEN PLASMA</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E062</w:t>
            </w:r>
          </w:p>
        </w:tc>
        <w:tc>
          <w:tcPr>
            <w:tcW w:w="611" w:type="dxa"/>
            <w:shd w:val="pct25" w:color="auto" w:fill="auto"/>
            <w:vAlign w:val="center"/>
          </w:tcPr>
          <w:p w:rsidR="0098344D" w:rsidRPr="004F2C12" w:rsidRDefault="0098344D" w:rsidP="006F7FC5">
            <w:pPr>
              <w:jc w:val="center"/>
              <w:rPr>
                <w:rFonts w:ascii="Arial" w:hAnsi="Arial" w:cs="Arial"/>
                <w:b/>
                <w:sz w:val="28"/>
                <w:szCs w:val="28"/>
              </w:rPr>
            </w:pPr>
          </w:p>
        </w:tc>
        <w:tc>
          <w:tcPr>
            <w:tcW w:w="522" w:type="dxa"/>
            <w:shd w:val="clear" w:color="auto" w:fill="C0C0C0"/>
            <w:vAlign w:val="center"/>
          </w:tcPr>
          <w:p w:rsidR="0098344D" w:rsidRPr="004F2C12" w:rsidRDefault="0098344D" w:rsidP="006F7FC5">
            <w:pPr>
              <w:jc w:val="center"/>
              <w:rPr>
                <w:rFonts w:ascii="Arial" w:hAnsi="Arial" w:cs="Arial"/>
                <w:b/>
                <w:sz w:val="28"/>
                <w:szCs w:val="28"/>
              </w:rPr>
            </w:pPr>
          </w:p>
        </w:tc>
        <w:tc>
          <w:tcPr>
            <w:tcW w:w="444" w:type="dxa"/>
            <w:shd w:val="clear" w:color="auto" w:fill="C0C0C0"/>
            <w:vAlign w:val="center"/>
          </w:tcPr>
          <w:p w:rsidR="0098344D" w:rsidRPr="004F2C12" w:rsidRDefault="0098344D" w:rsidP="006F7FC5">
            <w:pPr>
              <w:jc w:val="center"/>
              <w:rPr>
                <w:rFonts w:ascii="Arial" w:hAnsi="Arial" w:cs="Arial"/>
                <w:b/>
                <w:sz w:val="28"/>
                <w:szCs w:val="28"/>
              </w:rPr>
            </w:pPr>
          </w:p>
        </w:tc>
        <w:tc>
          <w:tcPr>
            <w:tcW w:w="577" w:type="dxa"/>
            <w:shd w:val="clear" w:color="auto" w:fill="C0C0C0"/>
            <w:vAlign w:val="center"/>
          </w:tcPr>
          <w:p w:rsidR="0098344D" w:rsidRPr="004F2C12" w:rsidRDefault="0098344D" w:rsidP="006F7FC5">
            <w:pPr>
              <w:jc w:val="center"/>
              <w:rPr>
                <w:rFonts w:ascii="Arial" w:hAnsi="Arial" w:cs="Arial"/>
                <w:b/>
                <w:sz w:val="28"/>
                <w:szCs w:val="28"/>
              </w:rPr>
            </w:pPr>
          </w:p>
        </w:tc>
        <w:tc>
          <w:tcPr>
            <w:tcW w:w="800"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666" w:type="dxa"/>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733" w:type="dxa"/>
            <w:shd w:val="clear" w:color="auto" w:fill="C0C0C0"/>
            <w:vAlign w:val="center"/>
          </w:tcPr>
          <w:p w:rsidR="0098344D" w:rsidRPr="004F2C12" w:rsidRDefault="0098344D" w:rsidP="006F7FC5">
            <w:pPr>
              <w:jc w:val="center"/>
              <w:rPr>
                <w:rFonts w:ascii="Arial" w:hAnsi="Arial" w:cs="Arial"/>
                <w:b/>
                <w:sz w:val="28"/>
                <w:szCs w:val="28"/>
              </w:rPr>
            </w:pPr>
          </w:p>
        </w:tc>
        <w:tc>
          <w:tcPr>
            <w:tcW w:w="544" w:type="dxa"/>
            <w:shd w:val="clear" w:color="auto" w:fill="C0C0C0"/>
            <w:vAlign w:val="center"/>
          </w:tcPr>
          <w:p w:rsidR="0098344D" w:rsidRPr="004F2C12" w:rsidRDefault="0098344D" w:rsidP="006F7FC5">
            <w:pPr>
              <w:jc w:val="center"/>
              <w:rPr>
                <w:rFonts w:ascii="Arial" w:hAnsi="Arial" w:cs="Arial"/>
                <w:b/>
                <w:sz w:val="28"/>
                <w:szCs w:val="28"/>
              </w:rPr>
            </w:pPr>
          </w:p>
        </w:tc>
        <w:tc>
          <w:tcPr>
            <w:tcW w:w="70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AD591C">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12237E">
              <w:rPr>
                <w:rFonts w:ascii="Arial" w:hAnsi="Arial" w:cs="Arial"/>
                <w:sz w:val="20"/>
                <w:szCs w:val="20"/>
              </w:rPr>
              <w:t>Thawed Apheresis POOLED PLASMA</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12237E">
              <w:rPr>
                <w:rFonts w:ascii="Arial" w:hAnsi="Arial" w:cs="Arial"/>
                <w:sz w:val="20"/>
                <w:szCs w:val="20"/>
              </w:rPr>
              <w:t>E063</w:t>
            </w:r>
          </w:p>
        </w:tc>
        <w:tc>
          <w:tcPr>
            <w:tcW w:w="611" w:type="dxa"/>
            <w:shd w:val="pct25" w:color="auto" w:fill="auto"/>
            <w:vAlign w:val="center"/>
          </w:tcPr>
          <w:p w:rsidR="0098344D" w:rsidRPr="004F2C12" w:rsidRDefault="0098344D" w:rsidP="006F7FC5">
            <w:pPr>
              <w:jc w:val="center"/>
              <w:rPr>
                <w:rFonts w:ascii="Arial" w:hAnsi="Arial" w:cs="Arial"/>
                <w:b/>
                <w:sz w:val="28"/>
                <w:szCs w:val="28"/>
              </w:rPr>
            </w:pPr>
          </w:p>
        </w:tc>
        <w:tc>
          <w:tcPr>
            <w:tcW w:w="522" w:type="dxa"/>
            <w:shd w:val="clear" w:color="auto" w:fill="C0C0C0"/>
            <w:vAlign w:val="center"/>
          </w:tcPr>
          <w:p w:rsidR="0098344D" w:rsidRPr="004F2C12" w:rsidRDefault="0098344D" w:rsidP="006F7FC5">
            <w:pPr>
              <w:jc w:val="center"/>
              <w:rPr>
                <w:rFonts w:ascii="Arial" w:hAnsi="Arial" w:cs="Arial"/>
                <w:b/>
                <w:sz w:val="28"/>
                <w:szCs w:val="28"/>
              </w:rPr>
            </w:pPr>
          </w:p>
        </w:tc>
        <w:tc>
          <w:tcPr>
            <w:tcW w:w="444"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577" w:type="dxa"/>
            <w:shd w:val="clear" w:color="auto" w:fill="C0C0C0"/>
            <w:vAlign w:val="center"/>
          </w:tcPr>
          <w:p w:rsidR="0098344D" w:rsidRPr="004F2C12" w:rsidRDefault="0098344D" w:rsidP="006F7FC5">
            <w:pPr>
              <w:jc w:val="center"/>
              <w:rPr>
                <w:rFonts w:ascii="Arial" w:hAnsi="Arial" w:cs="Arial"/>
                <w:b/>
                <w:sz w:val="28"/>
                <w:szCs w:val="28"/>
              </w:rPr>
            </w:pPr>
          </w:p>
        </w:tc>
        <w:tc>
          <w:tcPr>
            <w:tcW w:w="800"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666" w:type="dxa"/>
            <w:tcBorders>
              <w:bottom w:val="single" w:sz="4" w:space="0" w:color="auto"/>
            </w:tcBorders>
            <w:vAlign w:val="center"/>
          </w:tcPr>
          <w:p w:rsidR="0098344D" w:rsidRPr="004F2C12" w:rsidRDefault="0098344D" w:rsidP="006F7FC5">
            <w:pPr>
              <w:jc w:val="center"/>
              <w:rPr>
                <w:rFonts w:ascii="Arial" w:hAnsi="Arial" w:cs="Arial"/>
                <w:b/>
                <w:sz w:val="28"/>
                <w:szCs w:val="28"/>
              </w:rPr>
            </w:pPr>
            <w:r w:rsidRPr="004F2C12">
              <w:rPr>
                <w:rFonts w:ascii="Arial" w:hAnsi="Arial" w:cs="Arial"/>
                <w:b/>
                <w:sz w:val="28"/>
                <w:szCs w:val="28"/>
              </w:rPr>
              <w:t>X</w:t>
            </w:r>
          </w:p>
        </w:tc>
        <w:tc>
          <w:tcPr>
            <w:tcW w:w="733" w:type="dxa"/>
            <w:shd w:val="clear" w:color="auto" w:fill="C0C0C0"/>
            <w:vAlign w:val="center"/>
          </w:tcPr>
          <w:p w:rsidR="0098344D" w:rsidRPr="004F2C12" w:rsidRDefault="0098344D" w:rsidP="006F7FC5">
            <w:pPr>
              <w:jc w:val="center"/>
              <w:rPr>
                <w:rFonts w:ascii="Arial" w:hAnsi="Arial" w:cs="Arial"/>
                <w:b/>
                <w:sz w:val="28"/>
                <w:szCs w:val="28"/>
              </w:rPr>
            </w:pPr>
          </w:p>
        </w:tc>
        <w:tc>
          <w:tcPr>
            <w:tcW w:w="544" w:type="dxa"/>
            <w:shd w:val="clear" w:color="auto" w:fill="C0C0C0"/>
            <w:vAlign w:val="center"/>
          </w:tcPr>
          <w:p w:rsidR="0098344D" w:rsidRPr="004F2C12" w:rsidRDefault="0098344D" w:rsidP="006F7FC5">
            <w:pPr>
              <w:jc w:val="center"/>
              <w:rPr>
                <w:rFonts w:ascii="Arial" w:hAnsi="Arial" w:cs="Arial"/>
                <w:b/>
                <w:sz w:val="28"/>
                <w:szCs w:val="28"/>
              </w:rPr>
            </w:pPr>
          </w:p>
        </w:tc>
        <w:tc>
          <w:tcPr>
            <w:tcW w:w="70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AD591C">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AA3593">
              <w:rPr>
                <w:rFonts w:ascii="Arial" w:hAnsi="Arial" w:cs="Arial"/>
                <w:sz w:val="20"/>
                <w:szCs w:val="20"/>
              </w:rPr>
              <w:t>Washed Thawed POOLED PLATELETS</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AA3593">
              <w:rPr>
                <w:rFonts w:ascii="Arial" w:hAnsi="Arial" w:cs="Arial"/>
                <w:sz w:val="20"/>
                <w:szCs w:val="20"/>
              </w:rPr>
              <w:t>E064</w:t>
            </w:r>
          </w:p>
        </w:tc>
        <w:tc>
          <w:tcPr>
            <w:tcW w:w="611" w:type="dxa"/>
            <w:tcBorders>
              <w:bottom w:val="single" w:sz="4" w:space="0" w:color="auto"/>
            </w:tcBorders>
            <w:shd w:val="pct25" w:color="auto" w:fill="auto"/>
            <w:vAlign w:val="center"/>
          </w:tcPr>
          <w:p w:rsidR="0098344D" w:rsidRPr="004F2C12" w:rsidRDefault="0098344D" w:rsidP="006F7FC5">
            <w:pPr>
              <w:jc w:val="center"/>
              <w:rPr>
                <w:rFonts w:ascii="Arial" w:hAnsi="Arial" w:cs="Arial"/>
                <w:b/>
                <w:sz w:val="28"/>
                <w:szCs w:val="28"/>
              </w:rPr>
            </w:pPr>
          </w:p>
        </w:tc>
        <w:tc>
          <w:tcPr>
            <w:tcW w:w="522" w:type="dxa"/>
            <w:shd w:val="clear" w:color="auto" w:fill="C0C0C0"/>
            <w:vAlign w:val="center"/>
          </w:tcPr>
          <w:p w:rsidR="0098344D" w:rsidRPr="004F2C12" w:rsidRDefault="0098344D" w:rsidP="006F7FC5">
            <w:pPr>
              <w:jc w:val="center"/>
              <w:rPr>
                <w:rFonts w:ascii="Arial" w:hAnsi="Arial" w:cs="Arial"/>
                <w:b/>
                <w:sz w:val="28"/>
                <w:szCs w:val="28"/>
              </w:rPr>
            </w:pPr>
          </w:p>
        </w:tc>
        <w:tc>
          <w:tcPr>
            <w:tcW w:w="444" w:type="dxa"/>
            <w:shd w:val="pct25" w:color="auto" w:fill="auto"/>
            <w:vAlign w:val="center"/>
          </w:tcPr>
          <w:p w:rsidR="0098344D" w:rsidRPr="004F2C12" w:rsidRDefault="0098344D" w:rsidP="006F7FC5">
            <w:pPr>
              <w:jc w:val="center"/>
              <w:rPr>
                <w:rFonts w:ascii="Arial" w:hAnsi="Arial" w:cs="Arial"/>
                <w:b/>
                <w:sz w:val="28"/>
                <w:szCs w:val="28"/>
              </w:rPr>
            </w:pPr>
          </w:p>
        </w:tc>
        <w:tc>
          <w:tcPr>
            <w:tcW w:w="577" w:type="dxa"/>
            <w:shd w:val="clear" w:color="auto" w:fill="C0C0C0"/>
            <w:vAlign w:val="center"/>
          </w:tcPr>
          <w:p w:rsidR="0098344D" w:rsidRPr="004F2C12" w:rsidRDefault="0098344D" w:rsidP="006F7FC5">
            <w:pPr>
              <w:jc w:val="center"/>
              <w:rPr>
                <w:rFonts w:ascii="Arial" w:hAnsi="Arial" w:cs="Arial"/>
                <w:b/>
                <w:sz w:val="28"/>
                <w:szCs w:val="28"/>
              </w:rPr>
            </w:pPr>
          </w:p>
        </w:tc>
        <w:tc>
          <w:tcPr>
            <w:tcW w:w="800" w:type="dxa"/>
            <w:tcBorders>
              <w:bottom w:val="single" w:sz="4" w:space="0" w:color="auto"/>
            </w:tcBorders>
            <w:shd w:val="pct25" w:color="auto" w:fill="auto"/>
            <w:vAlign w:val="center"/>
          </w:tcPr>
          <w:p w:rsidR="0098344D" w:rsidRPr="004F2C12" w:rsidRDefault="0098344D" w:rsidP="006F7FC5">
            <w:pPr>
              <w:jc w:val="center"/>
              <w:rPr>
                <w:rFonts w:ascii="Arial" w:hAnsi="Arial" w:cs="Arial"/>
                <w:b/>
                <w:sz w:val="28"/>
                <w:szCs w:val="28"/>
              </w:rPr>
            </w:pPr>
          </w:p>
        </w:tc>
        <w:tc>
          <w:tcPr>
            <w:tcW w:w="666" w:type="dxa"/>
            <w:tcBorders>
              <w:bottom w:val="single" w:sz="4" w:space="0" w:color="auto"/>
            </w:tcBorders>
            <w:shd w:val="pct25" w:color="auto" w:fill="auto"/>
            <w:vAlign w:val="center"/>
          </w:tcPr>
          <w:p w:rsidR="0098344D" w:rsidRPr="004F2C12" w:rsidRDefault="0098344D" w:rsidP="006F7FC5">
            <w:pPr>
              <w:jc w:val="center"/>
              <w:rPr>
                <w:rFonts w:ascii="Arial" w:hAnsi="Arial" w:cs="Arial"/>
                <w:b/>
                <w:sz w:val="28"/>
                <w:szCs w:val="28"/>
              </w:rPr>
            </w:pPr>
          </w:p>
        </w:tc>
        <w:tc>
          <w:tcPr>
            <w:tcW w:w="733" w:type="dxa"/>
            <w:shd w:val="clear" w:color="auto" w:fill="C0C0C0"/>
            <w:vAlign w:val="center"/>
          </w:tcPr>
          <w:p w:rsidR="0098344D" w:rsidRPr="004F2C12" w:rsidRDefault="0098344D" w:rsidP="006F7FC5">
            <w:pPr>
              <w:jc w:val="center"/>
              <w:rPr>
                <w:rFonts w:ascii="Arial" w:hAnsi="Arial" w:cs="Arial"/>
                <w:b/>
                <w:sz w:val="28"/>
                <w:szCs w:val="28"/>
              </w:rPr>
            </w:pPr>
          </w:p>
        </w:tc>
        <w:tc>
          <w:tcPr>
            <w:tcW w:w="544" w:type="dxa"/>
            <w:shd w:val="clear" w:color="auto" w:fill="C0C0C0"/>
            <w:vAlign w:val="center"/>
          </w:tcPr>
          <w:p w:rsidR="0098344D" w:rsidRPr="004F2C12" w:rsidRDefault="0098344D" w:rsidP="006F7FC5">
            <w:pPr>
              <w:jc w:val="center"/>
              <w:rPr>
                <w:rFonts w:ascii="Arial" w:hAnsi="Arial" w:cs="Arial"/>
                <w:b/>
                <w:sz w:val="28"/>
                <w:szCs w:val="28"/>
              </w:rPr>
            </w:pPr>
          </w:p>
        </w:tc>
        <w:tc>
          <w:tcPr>
            <w:tcW w:w="70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6E3236">
        <w:tblPrEx>
          <w:tblCellMar>
            <w:top w:w="0" w:type="dxa"/>
            <w:left w:w="0" w:type="dxa"/>
            <w:bottom w:w="0" w:type="dxa"/>
            <w:right w:w="0" w:type="dxa"/>
          </w:tblCellMar>
        </w:tblPrEx>
        <w:trPr>
          <w:cantSplit/>
          <w:trHeight w:val="432"/>
        </w:trPr>
        <w:tc>
          <w:tcPr>
            <w:tcW w:w="1445" w:type="dxa"/>
            <w:vAlign w:val="bottom"/>
          </w:tcPr>
          <w:p w:rsidR="0098344D" w:rsidRPr="0012237E" w:rsidRDefault="0098344D" w:rsidP="006F7FC5">
            <w:pPr>
              <w:rPr>
                <w:rFonts w:ascii="Arial" w:hAnsi="Arial" w:cs="Arial"/>
                <w:sz w:val="20"/>
                <w:szCs w:val="20"/>
              </w:rPr>
            </w:pPr>
            <w:r w:rsidRPr="00AA3593">
              <w:rPr>
                <w:rFonts w:ascii="Arial" w:hAnsi="Arial" w:cs="Arial"/>
                <w:sz w:val="20"/>
                <w:szCs w:val="20"/>
              </w:rPr>
              <w:t>Washed Thawed Apheresis PLATELETS</w:t>
            </w:r>
          </w:p>
        </w:tc>
        <w:tc>
          <w:tcPr>
            <w:tcW w:w="1243" w:type="dxa"/>
            <w:shd w:val="clear" w:color="auto" w:fill="FFFFFF"/>
            <w:vAlign w:val="center"/>
          </w:tcPr>
          <w:p w:rsidR="0098344D" w:rsidRPr="0012237E" w:rsidRDefault="0098344D" w:rsidP="006F7FC5">
            <w:pPr>
              <w:jc w:val="center"/>
              <w:rPr>
                <w:rFonts w:ascii="Arial" w:hAnsi="Arial" w:cs="Arial"/>
                <w:sz w:val="20"/>
                <w:szCs w:val="20"/>
              </w:rPr>
            </w:pPr>
            <w:r w:rsidRPr="00AA3593">
              <w:rPr>
                <w:rFonts w:ascii="Arial" w:hAnsi="Arial" w:cs="Arial"/>
                <w:sz w:val="20"/>
                <w:szCs w:val="20"/>
              </w:rPr>
              <w:t>E065</w:t>
            </w:r>
          </w:p>
        </w:tc>
        <w:tc>
          <w:tcPr>
            <w:tcW w:w="611" w:type="dxa"/>
            <w:tcBorders>
              <w:bottom w:val="single" w:sz="4" w:space="0" w:color="auto"/>
            </w:tcBorders>
            <w:shd w:val="pct25" w:color="auto" w:fill="auto"/>
            <w:vAlign w:val="center"/>
          </w:tcPr>
          <w:p w:rsidR="0098344D" w:rsidRPr="004F2C12" w:rsidRDefault="0098344D" w:rsidP="006F7FC5">
            <w:pPr>
              <w:jc w:val="center"/>
              <w:rPr>
                <w:rFonts w:ascii="Arial" w:hAnsi="Arial" w:cs="Arial"/>
                <w:b/>
                <w:sz w:val="28"/>
                <w:szCs w:val="28"/>
              </w:rPr>
            </w:pPr>
          </w:p>
        </w:tc>
        <w:tc>
          <w:tcPr>
            <w:tcW w:w="522"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444"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577"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800" w:type="dxa"/>
            <w:tcBorders>
              <w:bottom w:val="single" w:sz="4" w:space="0" w:color="auto"/>
            </w:tcBorders>
            <w:shd w:val="pct25" w:color="auto" w:fill="auto"/>
            <w:vAlign w:val="center"/>
          </w:tcPr>
          <w:p w:rsidR="0098344D" w:rsidRPr="004F2C12" w:rsidRDefault="0098344D" w:rsidP="006F7FC5">
            <w:pPr>
              <w:jc w:val="center"/>
              <w:rPr>
                <w:rFonts w:ascii="Arial" w:hAnsi="Arial" w:cs="Arial"/>
                <w:b/>
                <w:sz w:val="28"/>
                <w:szCs w:val="28"/>
              </w:rPr>
            </w:pPr>
          </w:p>
        </w:tc>
        <w:tc>
          <w:tcPr>
            <w:tcW w:w="666" w:type="dxa"/>
            <w:tcBorders>
              <w:bottom w:val="single" w:sz="4" w:space="0" w:color="auto"/>
            </w:tcBorders>
            <w:shd w:val="pct25" w:color="auto" w:fill="auto"/>
            <w:vAlign w:val="center"/>
          </w:tcPr>
          <w:p w:rsidR="0098344D" w:rsidRPr="004F2C12" w:rsidRDefault="0098344D" w:rsidP="006F7FC5">
            <w:pPr>
              <w:jc w:val="center"/>
              <w:rPr>
                <w:rFonts w:ascii="Arial" w:hAnsi="Arial" w:cs="Arial"/>
                <w:b/>
                <w:sz w:val="28"/>
                <w:szCs w:val="28"/>
              </w:rPr>
            </w:pPr>
          </w:p>
        </w:tc>
        <w:tc>
          <w:tcPr>
            <w:tcW w:w="733" w:type="dxa"/>
            <w:tcBorders>
              <w:bottom w:val="single" w:sz="4" w:space="0" w:color="auto"/>
            </w:tcBorders>
            <w:shd w:val="clear" w:color="auto" w:fill="C0C0C0"/>
            <w:vAlign w:val="center"/>
          </w:tcPr>
          <w:p w:rsidR="0098344D" w:rsidRPr="004F2C12" w:rsidRDefault="0098344D" w:rsidP="006F7FC5">
            <w:pPr>
              <w:jc w:val="center"/>
              <w:rPr>
                <w:rFonts w:ascii="Arial" w:hAnsi="Arial" w:cs="Arial"/>
                <w:b/>
                <w:sz w:val="28"/>
                <w:szCs w:val="28"/>
              </w:rPr>
            </w:pPr>
          </w:p>
        </w:tc>
        <w:tc>
          <w:tcPr>
            <w:tcW w:w="544" w:type="dxa"/>
            <w:shd w:val="clear" w:color="auto" w:fill="C0C0C0"/>
            <w:vAlign w:val="center"/>
          </w:tcPr>
          <w:p w:rsidR="0098344D" w:rsidRPr="004F2C12" w:rsidRDefault="0098344D" w:rsidP="006F7FC5">
            <w:pPr>
              <w:jc w:val="center"/>
              <w:rPr>
                <w:rFonts w:ascii="Arial" w:hAnsi="Arial" w:cs="Arial"/>
                <w:b/>
                <w:sz w:val="28"/>
                <w:szCs w:val="28"/>
              </w:rPr>
            </w:pPr>
          </w:p>
        </w:tc>
        <w:tc>
          <w:tcPr>
            <w:tcW w:w="70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6E3236">
        <w:tblPrEx>
          <w:tblCellMar>
            <w:top w:w="0" w:type="dxa"/>
            <w:left w:w="0" w:type="dxa"/>
            <w:bottom w:w="0" w:type="dxa"/>
            <w:right w:w="0" w:type="dxa"/>
          </w:tblCellMar>
        </w:tblPrEx>
        <w:trPr>
          <w:cantSplit/>
          <w:trHeight w:val="432"/>
        </w:trPr>
        <w:tc>
          <w:tcPr>
            <w:tcW w:w="1445" w:type="dxa"/>
            <w:vAlign w:val="bottom"/>
          </w:tcPr>
          <w:p w:rsidR="0098344D" w:rsidRPr="00AA3593" w:rsidRDefault="0098344D" w:rsidP="006F7FC5">
            <w:pPr>
              <w:rPr>
                <w:rFonts w:ascii="Arial" w:hAnsi="Arial" w:cs="Arial"/>
                <w:sz w:val="20"/>
                <w:szCs w:val="20"/>
              </w:rPr>
            </w:pPr>
            <w:r w:rsidRPr="00415D7E">
              <w:rPr>
                <w:rFonts w:ascii="Arial" w:hAnsi="Arial" w:cs="Arial"/>
                <w:sz w:val="20"/>
                <w:szCs w:val="20"/>
              </w:rPr>
              <w:t>Lyophilized FRESH FROZEN PLASMA</w:t>
            </w:r>
          </w:p>
        </w:tc>
        <w:tc>
          <w:tcPr>
            <w:tcW w:w="1243" w:type="dxa"/>
            <w:shd w:val="clear" w:color="auto" w:fill="FFFFFF"/>
            <w:vAlign w:val="center"/>
          </w:tcPr>
          <w:p w:rsidR="0098344D" w:rsidRPr="00AA3593" w:rsidRDefault="0098344D" w:rsidP="006F7FC5">
            <w:pPr>
              <w:jc w:val="center"/>
              <w:rPr>
                <w:rFonts w:ascii="Arial" w:hAnsi="Arial" w:cs="Arial"/>
                <w:sz w:val="20"/>
                <w:szCs w:val="20"/>
              </w:rPr>
            </w:pPr>
            <w:r>
              <w:rPr>
                <w:rFonts w:ascii="Arial" w:hAnsi="Arial" w:cs="Arial"/>
                <w:sz w:val="20"/>
                <w:szCs w:val="20"/>
              </w:rPr>
              <w:t>E066</w:t>
            </w:r>
          </w:p>
        </w:tc>
        <w:tc>
          <w:tcPr>
            <w:tcW w:w="611" w:type="dxa"/>
            <w:tcBorders>
              <w:bottom w:val="single" w:sz="4" w:space="0" w:color="auto"/>
            </w:tcBorders>
            <w:shd w:val="pct25" w:color="auto" w:fill="auto"/>
            <w:vAlign w:val="center"/>
          </w:tcPr>
          <w:p w:rsidR="0098344D" w:rsidRPr="004F2C12" w:rsidRDefault="0098344D" w:rsidP="006F7FC5">
            <w:pPr>
              <w:jc w:val="center"/>
              <w:rPr>
                <w:rFonts w:ascii="Arial" w:hAnsi="Arial" w:cs="Arial"/>
                <w:b/>
                <w:sz w:val="28"/>
                <w:szCs w:val="28"/>
              </w:rPr>
            </w:pPr>
          </w:p>
        </w:tc>
        <w:tc>
          <w:tcPr>
            <w:tcW w:w="522" w:type="dxa"/>
            <w:shd w:val="pct25" w:color="auto" w:fill="auto"/>
            <w:vAlign w:val="center"/>
          </w:tcPr>
          <w:p w:rsidR="0098344D" w:rsidRPr="004F2C12" w:rsidRDefault="0098344D" w:rsidP="006F7FC5">
            <w:pPr>
              <w:jc w:val="center"/>
              <w:rPr>
                <w:rFonts w:ascii="Arial" w:hAnsi="Arial" w:cs="Arial"/>
                <w:b/>
                <w:sz w:val="28"/>
                <w:szCs w:val="28"/>
              </w:rPr>
            </w:pPr>
          </w:p>
        </w:tc>
        <w:tc>
          <w:tcPr>
            <w:tcW w:w="444" w:type="dxa"/>
            <w:shd w:val="pct25" w:color="auto" w:fill="auto"/>
            <w:vAlign w:val="center"/>
          </w:tcPr>
          <w:p w:rsidR="0098344D" w:rsidRPr="004F2C12" w:rsidRDefault="0098344D" w:rsidP="006F7FC5">
            <w:pPr>
              <w:jc w:val="center"/>
              <w:rPr>
                <w:rFonts w:ascii="Arial" w:hAnsi="Arial" w:cs="Arial"/>
                <w:b/>
                <w:sz w:val="28"/>
                <w:szCs w:val="28"/>
              </w:rPr>
            </w:pPr>
          </w:p>
        </w:tc>
        <w:tc>
          <w:tcPr>
            <w:tcW w:w="577" w:type="dxa"/>
            <w:shd w:val="pct25" w:color="auto" w:fill="auto"/>
            <w:vAlign w:val="center"/>
          </w:tcPr>
          <w:p w:rsidR="0098344D" w:rsidRPr="004F2C12" w:rsidRDefault="0098344D" w:rsidP="006F7FC5">
            <w:pPr>
              <w:jc w:val="center"/>
              <w:rPr>
                <w:rFonts w:ascii="Arial" w:hAnsi="Arial" w:cs="Arial"/>
                <w:b/>
                <w:sz w:val="28"/>
                <w:szCs w:val="28"/>
              </w:rPr>
            </w:pPr>
          </w:p>
        </w:tc>
        <w:tc>
          <w:tcPr>
            <w:tcW w:w="800" w:type="dxa"/>
            <w:tcBorders>
              <w:bottom w:val="single" w:sz="4" w:space="0" w:color="auto"/>
            </w:tcBorders>
            <w:shd w:val="pct25" w:color="auto" w:fill="auto"/>
            <w:vAlign w:val="center"/>
          </w:tcPr>
          <w:p w:rsidR="0098344D" w:rsidRPr="004F2C12" w:rsidRDefault="0098344D" w:rsidP="006F7FC5">
            <w:pPr>
              <w:jc w:val="center"/>
              <w:rPr>
                <w:rFonts w:ascii="Arial" w:hAnsi="Arial" w:cs="Arial"/>
                <w:b/>
                <w:sz w:val="28"/>
                <w:szCs w:val="28"/>
              </w:rPr>
            </w:pPr>
          </w:p>
        </w:tc>
        <w:tc>
          <w:tcPr>
            <w:tcW w:w="666" w:type="dxa"/>
            <w:tcBorders>
              <w:bottom w:val="single" w:sz="4" w:space="0" w:color="auto"/>
            </w:tcBorders>
            <w:shd w:val="pct25" w:color="auto" w:fill="auto"/>
            <w:vAlign w:val="center"/>
          </w:tcPr>
          <w:p w:rsidR="0098344D" w:rsidRPr="004F2C12" w:rsidRDefault="0098344D" w:rsidP="006F7FC5">
            <w:pPr>
              <w:jc w:val="center"/>
              <w:rPr>
                <w:rFonts w:ascii="Arial" w:hAnsi="Arial" w:cs="Arial"/>
                <w:b/>
                <w:sz w:val="28"/>
                <w:szCs w:val="28"/>
              </w:rPr>
            </w:pPr>
          </w:p>
        </w:tc>
        <w:tc>
          <w:tcPr>
            <w:tcW w:w="733" w:type="dxa"/>
            <w:shd w:val="pct25" w:color="auto" w:fill="auto"/>
            <w:vAlign w:val="center"/>
          </w:tcPr>
          <w:p w:rsidR="0098344D" w:rsidRPr="004F2C12" w:rsidRDefault="0098344D" w:rsidP="006F7FC5">
            <w:pPr>
              <w:jc w:val="center"/>
              <w:rPr>
                <w:rFonts w:ascii="Arial" w:hAnsi="Arial" w:cs="Arial"/>
                <w:b/>
                <w:sz w:val="28"/>
                <w:szCs w:val="28"/>
              </w:rPr>
            </w:pPr>
          </w:p>
        </w:tc>
        <w:tc>
          <w:tcPr>
            <w:tcW w:w="544" w:type="dxa"/>
            <w:shd w:val="clear" w:color="auto" w:fill="C0C0C0"/>
            <w:vAlign w:val="center"/>
          </w:tcPr>
          <w:p w:rsidR="0098344D" w:rsidRPr="004F2C12" w:rsidRDefault="0098344D" w:rsidP="006F7FC5">
            <w:pPr>
              <w:jc w:val="center"/>
              <w:rPr>
                <w:rFonts w:ascii="Arial" w:hAnsi="Arial" w:cs="Arial"/>
                <w:b/>
                <w:sz w:val="28"/>
                <w:szCs w:val="28"/>
              </w:rPr>
            </w:pPr>
          </w:p>
        </w:tc>
        <w:tc>
          <w:tcPr>
            <w:tcW w:w="70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r>
      <w:tr w:rsidR="0098344D" w:rsidRPr="004F2C12" w:rsidTr="00AD591C">
        <w:tblPrEx>
          <w:tblCellMar>
            <w:top w:w="0" w:type="dxa"/>
            <w:left w:w="0" w:type="dxa"/>
            <w:bottom w:w="0" w:type="dxa"/>
            <w:right w:w="0" w:type="dxa"/>
          </w:tblCellMar>
        </w:tblPrEx>
        <w:trPr>
          <w:cantSplit/>
          <w:trHeight w:val="432"/>
        </w:trPr>
        <w:tc>
          <w:tcPr>
            <w:tcW w:w="1445" w:type="dxa"/>
            <w:vAlign w:val="bottom"/>
          </w:tcPr>
          <w:p w:rsidR="0098344D" w:rsidRPr="00AA3593" w:rsidRDefault="0098344D" w:rsidP="006F7FC5">
            <w:pPr>
              <w:rPr>
                <w:rFonts w:ascii="Arial" w:hAnsi="Arial" w:cs="Arial"/>
                <w:sz w:val="20"/>
                <w:szCs w:val="20"/>
              </w:rPr>
            </w:pPr>
            <w:r w:rsidRPr="00415D7E">
              <w:rPr>
                <w:rFonts w:ascii="Arial" w:hAnsi="Arial" w:cs="Arial"/>
                <w:sz w:val="20"/>
                <w:szCs w:val="20"/>
              </w:rPr>
              <w:lastRenderedPageBreak/>
              <w:t>Reconstituted FRESH FROZEN PLASMA</w:t>
            </w:r>
          </w:p>
        </w:tc>
        <w:tc>
          <w:tcPr>
            <w:tcW w:w="1243" w:type="dxa"/>
            <w:shd w:val="clear" w:color="auto" w:fill="FFFFFF"/>
            <w:vAlign w:val="center"/>
          </w:tcPr>
          <w:p w:rsidR="0098344D" w:rsidRPr="00AA3593" w:rsidRDefault="0098344D" w:rsidP="006F7FC5">
            <w:pPr>
              <w:jc w:val="center"/>
              <w:rPr>
                <w:rFonts w:ascii="Arial" w:hAnsi="Arial" w:cs="Arial"/>
                <w:sz w:val="20"/>
                <w:szCs w:val="20"/>
              </w:rPr>
            </w:pPr>
            <w:r>
              <w:rPr>
                <w:rFonts w:ascii="Arial" w:hAnsi="Arial" w:cs="Arial"/>
                <w:sz w:val="20"/>
                <w:szCs w:val="20"/>
              </w:rPr>
              <w:t>E067</w:t>
            </w:r>
          </w:p>
        </w:tc>
        <w:tc>
          <w:tcPr>
            <w:tcW w:w="611" w:type="dxa"/>
            <w:tcBorders>
              <w:bottom w:val="single" w:sz="4" w:space="0" w:color="auto"/>
            </w:tcBorders>
            <w:shd w:val="pct25" w:color="auto" w:fill="auto"/>
            <w:vAlign w:val="center"/>
          </w:tcPr>
          <w:p w:rsidR="0098344D" w:rsidRPr="004F2C12" w:rsidRDefault="0098344D" w:rsidP="006F7FC5">
            <w:pPr>
              <w:jc w:val="center"/>
              <w:rPr>
                <w:rFonts w:ascii="Arial" w:hAnsi="Arial" w:cs="Arial"/>
                <w:b/>
                <w:sz w:val="28"/>
                <w:szCs w:val="28"/>
              </w:rPr>
            </w:pPr>
          </w:p>
        </w:tc>
        <w:tc>
          <w:tcPr>
            <w:tcW w:w="522" w:type="dxa"/>
            <w:shd w:val="clear" w:color="auto" w:fill="C0C0C0"/>
            <w:vAlign w:val="center"/>
          </w:tcPr>
          <w:p w:rsidR="0098344D" w:rsidRPr="004F2C12" w:rsidRDefault="0098344D" w:rsidP="006F7FC5">
            <w:pPr>
              <w:jc w:val="center"/>
              <w:rPr>
                <w:rFonts w:ascii="Arial" w:hAnsi="Arial" w:cs="Arial"/>
                <w:b/>
                <w:sz w:val="28"/>
                <w:szCs w:val="28"/>
              </w:rPr>
            </w:pPr>
          </w:p>
        </w:tc>
        <w:tc>
          <w:tcPr>
            <w:tcW w:w="444" w:type="dxa"/>
            <w:shd w:val="clear" w:color="auto" w:fill="C0C0C0"/>
            <w:vAlign w:val="center"/>
          </w:tcPr>
          <w:p w:rsidR="0098344D" w:rsidRPr="004F2C12" w:rsidRDefault="0098344D" w:rsidP="006F7FC5">
            <w:pPr>
              <w:jc w:val="center"/>
              <w:rPr>
                <w:rFonts w:ascii="Arial" w:hAnsi="Arial" w:cs="Arial"/>
                <w:b/>
                <w:sz w:val="28"/>
                <w:szCs w:val="28"/>
              </w:rPr>
            </w:pPr>
          </w:p>
        </w:tc>
        <w:tc>
          <w:tcPr>
            <w:tcW w:w="577" w:type="dxa"/>
            <w:shd w:val="clear" w:color="auto" w:fill="C0C0C0"/>
            <w:vAlign w:val="center"/>
          </w:tcPr>
          <w:p w:rsidR="0098344D" w:rsidRPr="004F2C12" w:rsidRDefault="0098344D" w:rsidP="006F7FC5">
            <w:pPr>
              <w:jc w:val="center"/>
              <w:rPr>
                <w:rFonts w:ascii="Arial" w:hAnsi="Arial" w:cs="Arial"/>
                <w:b/>
                <w:sz w:val="28"/>
                <w:szCs w:val="28"/>
              </w:rPr>
            </w:pPr>
          </w:p>
        </w:tc>
        <w:tc>
          <w:tcPr>
            <w:tcW w:w="800" w:type="dxa"/>
            <w:tcBorders>
              <w:bottom w:val="single" w:sz="4" w:space="0" w:color="auto"/>
            </w:tcBorders>
            <w:shd w:val="pct25" w:color="auto" w:fill="auto"/>
            <w:vAlign w:val="center"/>
          </w:tcPr>
          <w:p w:rsidR="0098344D" w:rsidRPr="004F2C12" w:rsidRDefault="0098344D" w:rsidP="006F7FC5">
            <w:pPr>
              <w:jc w:val="center"/>
              <w:rPr>
                <w:rFonts w:ascii="Arial" w:hAnsi="Arial" w:cs="Arial"/>
                <w:b/>
                <w:sz w:val="28"/>
                <w:szCs w:val="28"/>
              </w:rPr>
            </w:pPr>
          </w:p>
        </w:tc>
        <w:tc>
          <w:tcPr>
            <w:tcW w:w="666" w:type="dxa"/>
            <w:tcBorders>
              <w:bottom w:val="single" w:sz="4" w:space="0" w:color="auto"/>
            </w:tcBorders>
            <w:shd w:val="pct25" w:color="auto" w:fill="auto"/>
            <w:vAlign w:val="center"/>
          </w:tcPr>
          <w:p w:rsidR="0098344D" w:rsidRPr="004F2C12" w:rsidRDefault="0098344D" w:rsidP="006F7FC5">
            <w:pPr>
              <w:jc w:val="center"/>
              <w:rPr>
                <w:rFonts w:ascii="Arial" w:hAnsi="Arial" w:cs="Arial"/>
                <w:b/>
                <w:sz w:val="28"/>
                <w:szCs w:val="28"/>
              </w:rPr>
            </w:pPr>
          </w:p>
        </w:tc>
        <w:tc>
          <w:tcPr>
            <w:tcW w:w="733" w:type="dxa"/>
            <w:shd w:val="clear" w:color="auto" w:fill="C0C0C0"/>
            <w:vAlign w:val="center"/>
          </w:tcPr>
          <w:p w:rsidR="0098344D" w:rsidRPr="004F2C12" w:rsidRDefault="0098344D" w:rsidP="006F7FC5">
            <w:pPr>
              <w:jc w:val="center"/>
              <w:rPr>
                <w:rFonts w:ascii="Arial" w:hAnsi="Arial" w:cs="Arial"/>
                <w:b/>
                <w:sz w:val="28"/>
                <w:szCs w:val="28"/>
              </w:rPr>
            </w:pPr>
          </w:p>
        </w:tc>
        <w:tc>
          <w:tcPr>
            <w:tcW w:w="544" w:type="dxa"/>
            <w:shd w:val="clear" w:color="auto" w:fill="C0C0C0"/>
            <w:vAlign w:val="center"/>
          </w:tcPr>
          <w:p w:rsidR="0098344D" w:rsidRPr="004F2C12" w:rsidRDefault="0098344D" w:rsidP="006F7FC5">
            <w:pPr>
              <w:jc w:val="center"/>
              <w:rPr>
                <w:rFonts w:ascii="Arial" w:hAnsi="Arial" w:cs="Arial"/>
                <w:b/>
                <w:sz w:val="28"/>
                <w:szCs w:val="28"/>
              </w:rPr>
            </w:pPr>
          </w:p>
        </w:tc>
        <w:tc>
          <w:tcPr>
            <w:tcW w:w="70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c>
          <w:tcPr>
            <w:tcW w:w="810" w:type="dxa"/>
            <w:shd w:val="clear" w:color="auto" w:fill="C0C0C0"/>
            <w:vAlign w:val="center"/>
          </w:tcPr>
          <w:p w:rsidR="0098344D" w:rsidRPr="004F2C12" w:rsidRDefault="0098344D" w:rsidP="006F7FC5">
            <w:pPr>
              <w:jc w:val="center"/>
              <w:rPr>
                <w:rFonts w:ascii="Arial" w:hAnsi="Arial" w:cs="Arial"/>
                <w:b/>
                <w:sz w:val="28"/>
                <w:szCs w:val="28"/>
              </w:rPr>
            </w:pPr>
          </w:p>
        </w:tc>
      </w:tr>
      <w:tr w:rsidR="00EE1EA0" w:rsidRPr="004F2C12" w:rsidTr="008A42DA">
        <w:tblPrEx>
          <w:tblCellMar>
            <w:top w:w="0" w:type="dxa"/>
            <w:left w:w="0" w:type="dxa"/>
            <w:bottom w:w="0" w:type="dxa"/>
            <w:right w:w="0" w:type="dxa"/>
          </w:tblCellMar>
        </w:tblPrEx>
        <w:trPr>
          <w:cantSplit/>
          <w:trHeight w:val="432"/>
        </w:trPr>
        <w:tc>
          <w:tcPr>
            <w:tcW w:w="1445" w:type="dxa"/>
            <w:vAlign w:val="bottom"/>
          </w:tcPr>
          <w:p w:rsidR="00EE1EA0" w:rsidRPr="00720B53" w:rsidRDefault="00EE1EA0" w:rsidP="00342FD6">
            <w:pPr>
              <w:rPr>
                <w:rFonts w:ascii="Arial" w:hAnsi="Arial" w:cs="Arial"/>
                <w:sz w:val="20"/>
                <w:szCs w:val="20"/>
              </w:rPr>
            </w:pPr>
            <w:r w:rsidRPr="00720B53">
              <w:rPr>
                <w:rFonts w:ascii="Arial" w:hAnsi="Arial" w:cs="Arial"/>
                <w:sz w:val="20"/>
                <w:szCs w:val="20"/>
              </w:rPr>
              <w:t>Washed Apheresis POOLED PLATELETS</w:t>
            </w:r>
          </w:p>
        </w:tc>
        <w:tc>
          <w:tcPr>
            <w:tcW w:w="1243" w:type="dxa"/>
            <w:shd w:val="clear" w:color="auto" w:fill="FFFFFF"/>
            <w:vAlign w:val="center"/>
          </w:tcPr>
          <w:p w:rsidR="00EE1EA0" w:rsidRPr="00720B53" w:rsidRDefault="00EE1EA0" w:rsidP="00342FD6">
            <w:pPr>
              <w:jc w:val="center"/>
              <w:rPr>
                <w:rFonts w:ascii="Arial" w:hAnsi="Arial" w:cs="Arial"/>
                <w:sz w:val="20"/>
                <w:szCs w:val="20"/>
              </w:rPr>
            </w:pPr>
            <w:r w:rsidRPr="00720B53">
              <w:rPr>
                <w:rFonts w:ascii="Arial" w:hAnsi="Arial" w:cs="Arial"/>
                <w:sz w:val="20"/>
                <w:szCs w:val="20"/>
              </w:rPr>
              <w:t>E068</w:t>
            </w:r>
          </w:p>
        </w:tc>
        <w:tc>
          <w:tcPr>
            <w:tcW w:w="611" w:type="dxa"/>
            <w:tcBorders>
              <w:bottom w:val="single" w:sz="4" w:space="0" w:color="auto"/>
            </w:tcBorders>
            <w:shd w:val="pct25" w:color="auto" w:fill="auto"/>
            <w:vAlign w:val="center"/>
          </w:tcPr>
          <w:p w:rsidR="00EE1EA0" w:rsidRPr="00720B53" w:rsidRDefault="00EE1EA0" w:rsidP="00342FD6">
            <w:pPr>
              <w:jc w:val="center"/>
              <w:rPr>
                <w:rFonts w:ascii="Arial" w:hAnsi="Arial" w:cs="Arial"/>
                <w:sz w:val="28"/>
                <w:szCs w:val="28"/>
              </w:rPr>
            </w:pPr>
          </w:p>
        </w:tc>
        <w:tc>
          <w:tcPr>
            <w:tcW w:w="522" w:type="dxa"/>
            <w:tcBorders>
              <w:bottom w:val="single" w:sz="4" w:space="0" w:color="auto"/>
            </w:tcBorders>
            <w:shd w:val="clear" w:color="auto" w:fill="C0C0C0"/>
            <w:vAlign w:val="center"/>
          </w:tcPr>
          <w:p w:rsidR="00EE1EA0" w:rsidRPr="004F2C12" w:rsidRDefault="00EE1EA0" w:rsidP="00342FD6">
            <w:pPr>
              <w:jc w:val="center"/>
              <w:rPr>
                <w:rFonts w:ascii="Arial" w:hAnsi="Arial" w:cs="Arial"/>
                <w:b/>
                <w:sz w:val="28"/>
                <w:szCs w:val="28"/>
              </w:rPr>
            </w:pPr>
          </w:p>
        </w:tc>
        <w:tc>
          <w:tcPr>
            <w:tcW w:w="444" w:type="dxa"/>
            <w:shd w:val="clear" w:color="auto" w:fill="C0C0C0"/>
            <w:vAlign w:val="center"/>
          </w:tcPr>
          <w:p w:rsidR="00EE1EA0" w:rsidRPr="004F2C12" w:rsidRDefault="00EE1EA0" w:rsidP="00342FD6">
            <w:pPr>
              <w:jc w:val="center"/>
              <w:rPr>
                <w:rFonts w:ascii="Arial" w:hAnsi="Arial" w:cs="Arial"/>
                <w:b/>
                <w:sz w:val="28"/>
                <w:szCs w:val="28"/>
              </w:rPr>
            </w:pPr>
          </w:p>
        </w:tc>
        <w:tc>
          <w:tcPr>
            <w:tcW w:w="577" w:type="dxa"/>
            <w:shd w:val="clear" w:color="auto" w:fill="C0C0C0"/>
            <w:vAlign w:val="center"/>
          </w:tcPr>
          <w:p w:rsidR="00EE1EA0" w:rsidRPr="004F2C12" w:rsidRDefault="00EE1EA0" w:rsidP="00342FD6">
            <w:pPr>
              <w:jc w:val="center"/>
              <w:rPr>
                <w:rFonts w:ascii="Arial" w:hAnsi="Arial" w:cs="Arial"/>
                <w:b/>
                <w:sz w:val="28"/>
                <w:szCs w:val="28"/>
              </w:rPr>
            </w:pPr>
          </w:p>
        </w:tc>
        <w:tc>
          <w:tcPr>
            <w:tcW w:w="800" w:type="dxa"/>
            <w:tcBorders>
              <w:bottom w:val="single" w:sz="4" w:space="0" w:color="auto"/>
            </w:tcBorders>
            <w:shd w:val="pct25" w:color="auto" w:fill="auto"/>
            <w:vAlign w:val="center"/>
          </w:tcPr>
          <w:p w:rsidR="00EE1EA0" w:rsidRPr="004F2C12" w:rsidRDefault="00EE1EA0" w:rsidP="00342FD6">
            <w:pPr>
              <w:jc w:val="center"/>
              <w:rPr>
                <w:rFonts w:ascii="Arial" w:hAnsi="Arial" w:cs="Arial"/>
                <w:b/>
                <w:sz w:val="28"/>
                <w:szCs w:val="28"/>
              </w:rPr>
            </w:pPr>
          </w:p>
        </w:tc>
        <w:tc>
          <w:tcPr>
            <w:tcW w:w="666" w:type="dxa"/>
            <w:tcBorders>
              <w:bottom w:val="single" w:sz="4" w:space="0" w:color="auto"/>
            </w:tcBorders>
            <w:shd w:val="pct25" w:color="auto" w:fill="auto"/>
            <w:vAlign w:val="center"/>
          </w:tcPr>
          <w:p w:rsidR="00EE1EA0" w:rsidRPr="004F2C12" w:rsidRDefault="00EE1EA0" w:rsidP="00342FD6">
            <w:pPr>
              <w:jc w:val="center"/>
              <w:rPr>
                <w:rFonts w:ascii="Arial" w:hAnsi="Arial" w:cs="Arial"/>
                <w:b/>
                <w:sz w:val="28"/>
                <w:szCs w:val="28"/>
              </w:rPr>
            </w:pPr>
          </w:p>
        </w:tc>
        <w:tc>
          <w:tcPr>
            <w:tcW w:w="733" w:type="dxa"/>
            <w:shd w:val="clear" w:color="auto" w:fill="C0C0C0"/>
            <w:vAlign w:val="center"/>
          </w:tcPr>
          <w:p w:rsidR="00EE1EA0" w:rsidRPr="004F2C12" w:rsidRDefault="00EE1EA0" w:rsidP="00342FD6">
            <w:pPr>
              <w:jc w:val="center"/>
              <w:rPr>
                <w:rFonts w:ascii="Arial" w:hAnsi="Arial" w:cs="Arial"/>
                <w:b/>
                <w:sz w:val="28"/>
                <w:szCs w:val="28"/>
              </w:rPr>
            </w:pPr>
          </w:p>
        </w:tc>
        <w:tc>
          <w:tcPr>
            <w:tcW w:w="544" w:type="dxa"/>
            <w:shd w:val="clear" w:color="auto" w:fill="C0C0C0"/>
            <w:vAlign w:val="center"/>
          </w:tcPr>
          <w:p w:rsidR="00EE1EA0" w:rsidRPr="004F2C12" w:rsidRDefault="00EE1EA0" w:rsidP="00342FD6">
            <w:pPr>
              <w:jc w:val="center"/>
              <w:rPr>
                <w:rFonts w:ascii="Arial" w:hAnsi="Arial" w:cs="Arial"/>
                <w:b/>
                <w:sz w:val="28"/>
                <w:szCs w:val="28"/>
              </w:rPr>
            </w:pPr>
          </w:p>
        </w:tc>
        <w:tc>
          <w:tcPr>
            <w:tcW w:w="700" w:type="dxa"/>
            <w:shd w:val="clear" w:color="auto" w:fill="C0C0C0"/>
            <w:vAlign w:val="center"/>
          </w:tcPr>
          <w:p w:rsidR="00EE1EA0" w:rsidRPr="004F2C12" w:rsidRDefault="00EE1EA0" w:rsidP="00342FD6">
            <w:pPr>
              <w:jc w:val="center"/>
              <w:rPr>
                <w:rFonts w:ascii="Arial" w:hAnsi="Arial" w:cs="Arial"/>
                <w:b/>
                <w:sz w:val="28"/>
                <w:szCs w:val="28"/>
              </w:rPr>
            </w:pPr>
          </w:p>
        </w:tc>
        <w:tc>
          <w:tcPr>
            <w:tcW w:w="810" w:type="dxa"/>
            <w:shd w:val="clear" w:color="auto" w:fill="C0C0C0"/>
            <w:vAlign w:val="center"/>
          </w:tcPr>
          <w:p w:rsidR="00EE1EA0" w:rsidRPr="004F2C12" w:rsidRDefault="00EE1EA0" w:rsidP="00342FD6">
            <w:pPr>
              <w:jc w:val="center"/>
              <w:rPr>
                <w:rFonts w:ascii="Arial" w:hAnsi="Arial" w:cs="Arial"/>
                <w:b/>
                <w:sz w:val="28"/>
                <w:szCs w:val="28"/>
              </w:rPr>
            </w:pPr>
          </w:p>
        </w:tc>
        <w:tc>
          <w:tcPr>
            <w:tcW w:w="810" w:type="dxa"/>
            <w:shd w:val="clear" w:color="auto" w:fill="C0C0C0"/>
            <w:vAlign w:val="center"/>
          </w:tcPr>
          <w:p w:rsidR="00EE1EA0" w:rsidRPr="004F2C12" w:rsidRDefault="00EE1EA0" w:rsidP="00342FD6">
            <w:pPr>
              <w:jc w:val="center"/>
              <w:rPr>
                <w:rFonts w:ascii="Arial" w:hAnsi="Arial" w:cs="Arial"/>
                <w:b/>
                <w:sz w:val="28"/>
                <w:szCs w:val="28"/>
              </w:rPr>
            </w:pPr>
          </w:p>
        </w:tc>
      </w:tr>
      <w:tr w:rsidR="00EE1EA0" w:rsidRPr="004F2C12" w:rsidTr="008A42DA">
        <w:tblPrEx>
          <w:tblCellMar>
            <w:top w:w="0" w:type="dxa"/>
            <w:left w:w="0" w:type="dxa"/>
            <w:bottom w:w="0" w:type="dxa"/>
            <w:right w:w="0" w:type="dxa"/>
          </w:tblCellMar>
        </w:tblPrEx>
        <w:trPr>
          <w:cantSplit/>
          <w:trHeight w:val="432"/>
        </w:trPr>
        <w:tc>
          <w:tcPr>
            <w:tcW w:w="1445" w:type="dxa"/>
            <w:vAlign w:val="bottom"/>
          </w:tcPr>
          <w:p w:rsidR="00EE1EA0" w:rsidRPr="00841E4F" w:rsidRDefault="00EE1EA0" w:rsidP="00342FD6">
            <w:pPr>
              <w:rPr>
                <w:rFonts w:ascii="Arial" w:hAnsi="Arial" w:cs="Arial"/>
                <w:sz w:val="20"/>
                <w:szCs w:val="20"/>
              </w:rPr>
            </w:pPr>
            <w:r w:rsidRPr="00415B99">
              <w:rPr>
                <w:rFonts w:ascii="Arial" w:hAnsi="Arial" w:cs="Arial"/>
                <w:sz w:val="20"/>
                <w:szCs w:val="20"/>
              </w:rPr>
              <w:t>Frozen PLATELETS</w:t>
            </w:r>
          </w:p>
        </w:tc>
        <w:tc>
          <w:tcPr>
            <w:tcW w:w="1243" w:type="dxa"/>
            <w:shd w:val="clear" w:color="auto" w:fill="FFFFFF"/>
            <w:vAlign w:val="center"/>
          </w:tcPr>
          <w:p w:rsidR="00EE1EA0" w:rsidRPr="00720B53" w:rsidRDefault="00EE1EA0" w:rsidP="00342FD6">
            <w:pPr>
              <w:jc w:val="center"/>
              <w:rPr>
                <w:rFonts w:ascii="Arial" w:hAnsi="Arial" w:cs="Arial"/>
                <w:sz w:val="20"/>
                <w:szCs w:val="20"/>
              </w:rPr>
            </w:pPr>
            <w:r>
              <w:rPr>
                <w:rFonts w:ascii="Arial" w:hAnsi="Arial" w:cs="Arial"/>
                <w:sz w:val="20"/>
                <w:szCs w:val="20"/>
              </w:rPr>
              <w:t>E069</w:t>
            </w:r>
          </w:p>
        </w:tc>
        <w:tc>
          <w:tcPr>
            <w:tcW w:w="611" w:type="dxa"/>
            <w:shd w:val="pct25" w:color="auto" w:fill="auto"/>
            <w:vAlign w:val="center"/>
          </w:tcPr>
          <w:p w:rsidR="00EE1EA0" w:rsidRPr="00720B53" w:rsidRDefault="00EE1EA0" w:rsidP="00342FD6">
            <w:pPr>
              <w:jc w:val="center"/>
              <w:rPr>
                <w:rFonts w:ascii="Arial" w:hAnsi="Arial" w:cs="Arial"/>
                <w:sz w:val="28"/>
                <w:szCs w:val="28"/>
              </w:rPr>
            </w:pPr>
          </w:p>
        </w:tc>
        <w:tc>
          <w:tcPr>
            <w:tcW w:w="522" w:type="dxa"/>
            <w:shd w:val="pct25" w:color="auto" w:fill="auto"/>
            <w:vAlign w:val="center"/>
          </w:tcPr>
          <w:p w:rsidR="00EE1EA0" w:rsidRPr="004F2C12" w:rsidRDefault="00EE1EA0" w:rsidP="00342FD6">
            <w:pPr>
              <w:jc w:val="center"/>
              <w:rPr>
                <w:rFonts w:ascii="Arial" w:hAnsi="Arial" w:cs="Arial"/>
                <w:b/>
                <w:sz w:val="28"/>
                <w:szCs w:val="28"/>
              </w:rPr>
            </w:pPr>
          </w:p>
        </w:tc>
        <w:tc>
          <w:tcPr>
            <w:tcW w:w="444" w:type="dxa"/>
            <w:shd w:val="clear" w:color="auto" w:fill="C0C0C0"/>
            <w:vAlign w:val="center"/>
          </w:tcPr>
          <w:p w:rsidR="00EE1EA0" w:rsidRPr="004F2C12" w:rsidRDefault="00EE1EA0" w:rsidP="00342FD6">
            <w:pPr>
              <w:jc w:val="center"/>
              <w:rPr>
                <w:rFonts w:ascii="Arial" w:hAnsi="Arial" w:cs="Arial"/>
                <w:b/>
                <w:sz w:val="28"/>
                <w:szCs w:val="28"/>
              </w:rPr>
            </w:pPr>
          </w:p>
        </w:tc>
        <w:tc>
          <w:tcPr>
            <w:tcW w:w="577" w:type="dxa"/>
            <w:shd w:val="clear" w:color="auto" w:fill="C0C0C0"/>
            <w:vAlign w:val="center"/>
          </w:tcPr>
          <w:p w:rsidR="00EE1EA0" w:rsidRPr="004F2C12" w:rsidRDefault="00EE1EA0" w:rsidP="00342FD6">
            <w:pPr>
              <w:jc w:val="center"/>
              <w:rPr>
                <w:rFonts w:ascii="Arial" w:hAnsi="Arial" w:cs="Arial"/>
                <w:b/>
                <w:sz w:val="28"/>
                <w:szCs w:val="28"/>
              </w:rPr>
            </w:pPr>
          </w:p>
        </w:tc>
        <w:tc>
          <w:tcPr>
            <w:tcW w:w="800" w:type="dxa"/>
            <w:shd w:val="pct25" w:color="auto" w:fill="auto"/>
            <w:vAlign w:val="center"/>
          </w:tcPr>
          <w:p w:rsidR="00EE1EA0" w:rsidRPr="004F2C12" w:rsidRDefault="00EE1EA0" w:rsidP="00342FD6">
            <w:pPr>
              <w:jc w:val="center"/>
              <w:rPr>
                <w:rFonts w:ascii="Arial" w:hAnsi="Arial" w:cs="Arial"/>
                <w:b/>
                <w:sz w:val="28"/>
                <w:szCs w:val="28"/>
              </w:rPr>
            </w:pPr>
          </w:p>
        </w:tc>
        <w:tc>
          <w:tcPr>
            <w:tcW w:w="666" w:type="dxa"/>
            <w:shd w:val="pct25" w:color="auto" w:fill="auto"/>
            <w:vAlign w:val="center"/>
          </w:tcPr>
          <w:p w:rsidR="00EE1EA0" w:rsidRPr="004F2C12" w:rsidRDefault="00EE1EA0" w:rsidP="00342FD6">
            <w:pPr>
              <w:jc w:val="center"/>
              <w:rPr>
                <w:rFonts w:ascii="Arial" w:hAnsi="Arial" w:cs="Arial"/>
                <w:b/>
                <w:sz w:val="28"/>
                <w:szCs w:val="28"/>
              </w:rPr>
            </w:pPr>
          </w:p>
        </w:tc>
        <w:tc>
          <w:tcPr>
            <w:tcW w:w="733" w:type="dxa"/>
            <w:shd w:val="clear" w:color="auto" w:fill="C0C0C0"/>
            <w:vAlign w:val="center"/>
          </w:tcPr>
          <w:p w:rsidR="00EE1EA0" w:rsidRPr="004F2C12" w:rsidRDefault="00EE1EA0" w:rsidP="00342FD6">
            <w:pPr>
              <w:jc w:val="center"/>
              <w:rPr>
                <w:rFonts w:ascii="Arial" w:hAnsi="Arial" w:cs="Arial"/>
                <w:b/>
                <w:sz w:val="28"/>
                <w:szCs w:val="28"/>
              </w:rPr>
            </w:pPr>
          </w:p>
        </w:tc>
        <w:tc>
          <w:tcPr>
            <w:tcW w:w="544" w:type="dxa"/>
            <w:shd w:val="clear" w:color="auto" w:fill="C0C0C0"/>
            <w:vAlign w:val="center"/>
          </w:tcPr>
          <w:p w:rsidR="00EE1EA0" w:rsidRPr="004F2C12" w:rsidRDefault="00EE1EA0" w:rsidP="00342FD6">
            <w:pPr>
              <w:jc w:val="center"/>
              <w:rPr>
                <w:rFonts w:ascii="Arial" w:hAnsi="Arial" w:cs="Arial"/>
                <w:b/>
                <w:sz w:val="28"/>
                <w:szCs w:val="28"/>
              </w:rPr>
            </w:pPr>
          </w:p>
        </w:tc>
        <w:tc>
          <w:tcPr>
            <w:tcW w:w="700" w:type="dxa"/>
            <w:shd w:val="clear" w:color="auto" w:fill="C0C0C0"/>
            <w:vAlign w:val="center"/>
          </w:tcPr>
          <w:p w:rsidR="00EE1EA0" w:rsidRPr="004F2C12" w:rsidRDefault="00EE1EA0" w:rsidP="00342FD6">
            <w:pPr>
              <w:jc w:val="center"/>
              <w:rPr>
                <w:rFonts w:ascii="Arial" w:hAnsi="Arial" w:cs="Arial"/>
                <w:b/>
                <w:sz w:val="28"/>
                <w:szCs w:val="28"/>
              </w:rPr>
            </w:pPr>
          </w:p>
        </w:tc>
        <w:tc>
          <w:tcPr>
            <w:tcW w:w="810" w:type="dxa"/>
            <w:shd w:val="clear" w:color="auto" w:fill="C0C0C0"/>
            <w:vAlign w:val="center"/>
          </w:tcPr>
          <w:p w:rsidR="00EE1EA0" w:rsidRPr="004F2C12" w:rsidRDefault="00EE1EA0" w:rsidP="00342FD6">
            <w:pPr>
              <w:jc w:val="center"/>
              <w:rPr>
                <w:rFonts w:ascii="Arial" w:hAnsi="Arial" w:cs="Arial"/>
                <w:b/>
                <w:sz w:val="28"/>
                <w:szCs w:val="28"/>
              </w:rPr>
            </w:pPr>
          </w:p>
        </w:tc>
        <w:tc>
          <w:tcPr>
            <w:tcW w:w="810" w:type="dxa"/>
            <w:tcBorders>
              <w:bottom w:val="single" w:sz="4" w:space="0" w:color="auto"/>
            </w:tcBorders>
            <w:shd w:val="clear" w:color="auto" w:fill="C0C0C0"/>
            <w:vAlign w:val="center"/>
          </w:tcPr>
          <w:p w:rsidR="00EE1EA0" w:rsidRPr="004F2C12" w:rsidRDefault="00EE1EA0" w:rsidP="00342FD6">
            <w:pPr>
              <w:jc w:val="center"/>
              <w:rPr>
                <w:rFonts w:ascii="Arial" w:hAnsi="Arial" w:cs="Arial"/>
                <w:b/>
                <w:sz w:val="28"/>
                <w:szCs w:val="28"/>
              </w:rPr>
            </w:pPr>
          </w:p>
        </w:tc>
      </w:tr>
    </w:tbl>
    <w:p w:rsidR="002A21AE" w:rsidRDefault="002A21AE" w:rsidP="00922B68">
      <w:pPr>
        <w:pStyle w:val="BodyText"/>
      </w:pPr>
      <w:r>
        <w:t>*</w:t>
      </w:r>
      <w:r w:rsidR="00197566">
        <w:t>*</w:t>
      </w:r>
      <w:r>
        <w:t>This product type has no ICCBBA assigned product codes.</w:t>
      </w:r>
    </w:p>
    <w:p w:rsidR="002A21AE" w:rsidRDefault="002A21AE">
      <w:pPr>
        <w:pStyle w:val="Heading3"/>
      </w:pPr>
      <w:bookmarkStart w:id="657" w:name="_Toc40061745"/>
      <w:bookmarkStart w:id="658" w:name="_Toc91323752"/>
      <w:bookmarkEnd w:id="592"/>
      <w:r>
        <w:rPr>
          <w:rFonts w:ascii="Geneva" w:hAnsi="Geneva"/>
          <w:vanish/>
        </w:rPr>
        <w:t xml:space="preserve">PT_105.01 </w:t>
      </w:r>
      <w:bookmarkStart w:id="659" w:name="_Toc459900204"/>
      <w:r>
        <w:t>National Treating Specialty Table</w:t>
      </w:r>
      <w:bookmarkEnd w:id="659"/>
      <w:r>
        <w:fldChar w:fldCharType="begin"/>
      </w:r>
      <w:r>
        <w:instrText xml:space="preserve"> XE </w:instrText>
      </w:r>
      <w:r w:rsidR="00FA7E65">
        <w:instrText>“</w:instrText>
      </w:r>
      <w:r>
        <w:instrText>Tables:National Treating Specialty Table</w:instrText>
      </w:r>
      <w:r w:rsidR="00FA7E65">
        <w:instrText>”</w:instrText>
      </w:r>
      <w:r>
        <w:instrText xml:space="preserve"> </w:instrText>
      </w:r>
      <w:r>
        <w:fldChar w:fldCharType="end"/>
      </w:r>
    </w:p>
    <w:p w:rsidR="002A21AE" w:rsidRDefault="002A21AE">
      <w:pPr>
        <w:pStyle w:val="Caption"/>
      </w:pPr>
      <w:bookmarkStart w:id="660" w:name="_Toc97523641"/>
      <w:bookmarkStart w:id="661" w:name="_Toc97527611"/>
      <w:bookmarkStart w:id="662" w:name="_Ref126504507"/>
      <w:bookmarkStart w:id="663" w:name="_Ref126504562"/>
      <w:bookmarkStart w:id="664" w:name="_Ref126504594"/>
      <w:bookmarkStart w:id="665" w:name="_Ref126732407"/>
      <w:r>
        <w:t xml:space="preserve">Table </w:t>
      </w:r>
      <w:r>
        <w:fldChar w:fldCharType="begin"/>
      </w:r>
      <w:r>
        <w:instrText xml:space="preserve"> SEQ Table \* ARABIC </w:instrText>
      </w:r>
      <w:r>
        <w:fldChar w:fldCharType="separate"/>
      </w:r>
      <w:r w:rsidR="005F38BC">
        <w:rPr>
          <w:noProof/>
        </w:rPr>
        <w:t>23</w:t>
      </w:r>
      <w:r>
        <w:fldChar w:fldCharType="end"/>
      </w:r>
      <w:bookmarkEnd w:id="665"/>
      <w:r>
        <w:t xml:space="preserve">: </w:t>
      </w:r>
      <w:r>
        <w:rPr>
          <w:vanish/>
        </w:rPr>
        <w:t xml:space="preserve">PT_105.01 </w:t>
      </w:r>
      <w:r>
        <w:t>National Treating Specialty Table</w:t>
      </w:r>
      <w:bookmarkEnd w:id="660"/>
      <w:bookmarkEnd w:id="661"/>
      <w:bookmarkEnd w:id="662"/>
      <w:bookmarkEnd w:id="663"/>
      <w:bookmarkEnd w:id="664"/>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3870"/>
      </w:tblGrid>
      <w:tr w:rsidR="00A9688A">
        <w:tblPrEx>
          <w:tblCellMar>
            <w:top w:w="0" w:type="dxa"/>
            <w:bottom w:w="0" w:type="dxa"/>
          </w:tblCellMar>
        </w:tblPrEx>
        <w:trPr>
          <w:cantSplit/>
          <w:tblHeader/>
        </w:trPr>
        <w:tc>
          <w:tcPr>
            <w:tcW w:w="6318" w:type="dxa"/>
            <w:gridSpan w:val="2"/>
            <w:shd w:val="clear" w:color="auto" w:fill="B3B3B3"/>
            <w:vAlign w:val="bottom"/>
          </w:tcPr>
          <w:p w:rsidR="00A9688A" w:rsidRDefault="00A9688A" w:rsidP="00857D5F">
            <w:pPr>
              <w:pStyle w:val="TableText"/>
              <w:jc w:val="center"/>
              <w:rPr>
                <w:b/>
              </w:rPr>
            </w:pPr>
            <w:r>
              <w:rPr>
                <w:b/>
              </w:rPr>
              <w:t>PT_105.01 National Treating Specialty Table</w:t>
            </w:r>
          </w:p>
        </w:tc>
      </w:tr>
      <w:tr w:rsidR="00A9688A">
        <w:tblPrEx>
          <w:tblCellMar>
            <w:top w:w="0" w:type="dxa"/>
            <w:bottom w:w="0" w:type="dxa"/>
          </w:tblCellMar>
        </w:tblPrEx>
        <w:trPr>
          <w:cantSplit/>
          <w:tblHeader/>
        </w:trPr>
        <w:tc>
          <w:tcPr>
            <w:tcW w:w="2448" w:type="dxa"/>
            <w:shd w:val="clear" w:color="auto" w:fill="B3B3B3"/>
            <w:vAlign w:val="bottom"/>
          </w:tcPr>
          <w:p w:rsidR="00A9688A" w:rsidRDefault="00A9688A" w:rsidP="00857D5F">
            <w:pPr>
              <w:pStyle w:val="TableText"/>
              <w:jc w:val="center"/>
            </w:pPr>
            <w:r>
              <w:rPr>
                <w:b/>
              </w:rPr>
              <w:t>Treating Specialty Code</w:t>
            </w:r>
          </w:p>
        </w:tc>
        <w:tc>
          <w:tcPr>
            <w:tcW w:w="3870" w:type="dxa"/>
            <w:shd w:val="clear" w:color="auto" w:fill="B3B3B3"/>
            <w:vAlign w:val="bottom"/>
          </w:tcPr>
          <w:p w:rsidR="00A9688A" w:rsidRDefault="00A9688A" w:rsidP="00857D5F">
            <w:pPr>
              <w:pStyle w:val="TableText"/>
            </w:pPr>
            <w:r>
              <w:rPr>
                <w:b/>
              </w:rPr>
              <w:t>Treating Specialty Name</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VA1</w:t>
            </w:r>
          </w:p>
        </w:tc>
        <w:tc>
          <w:tcPr>
            <w:tcW w:w="3870" w:type="dxa"/>
            <w:vAlign w:val="bottom"/>
          </w:tcPr>
          <w:p w:rsidR="00A9688A" w:rsidRDefault="00A9688A" w:rsidP="00857D5F">
            <w:pPr>
              <w:pStyle w:val="TableText"/>
              <w:rPr>
                <w:rFonts w:ascii="Arial Unicode MS" w:eastAsia="Arial Unicode MS" w:hAnsi="Arial Unicode MS"/>
              </w:rPr>
            </w:pPr>
            <w:r>
              <w:t>ALLERGY</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VA2</w:t>
            </w:r>
          </w:p>
        </w:tc>
        <w:tc>
          <w:tcPr>
            <w:tcW w:w="3870" w:type="dxa"/>
            <w:vAlign w:val="bottom"/>
          </w:tcPr>
          <w:p w:rsidR="00A9688A" w:rsidRDefault="00A9688A" w:rsidP="00857D5F">
            <w:pPr>
              <w:pStyle w:val="TableText"/>
              <w:rPr>
                <w:rFonts w:ascii="Arial Unicode MS" w:eastAsia="Arial Unicode MS" w:hAnsi="Arial Unicode MS"/>
              </w:rPr>
            </w:pPr>
            <w:r>
              <w:t>CARDIOLOGY</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VA3</w:t>
            </w:r>
          </w:p>
        </w:tc>
        <w:tc>
          <w:tcPr>
            <w:tcW w:w="3870" w:type="dxa"/>
            <w:vAlign w:val="bottom"/>
          </w:tcPr>
          <w:p w:rsidR="00A9688A" w:rsidRDefault="00A9688A" w:rsidP="00857D5F">
            <w:pPr>
              <w:pStyle w:val="TableText"/>
              <w:rPr>
                <w:rFonts w:ascii="Arial Unicode MS" w:eastAsia="Arial Unicode MS" w:hAnsi="Arial Unicode MS"/>
              </w:rPr>
            </w:pPr>
            <w:r>
              <w:t>PULMONARY, TUBERCULOSIS</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VA4</w:t>
            </w:r>
          </w:p>
        </w:tc>
        <w:tc>
          <w:tcPr>
            <w:tcW w:w="3870" w:type="dxa"/>
            <w:vAlign w:val="bottom"/>
          </w:tcPr>
          <w:p w:rsidR="00A9688A" w:rsidRDefault="00A9688A" w:rsidP="00857D5F">
            <w:pPr>
              <w:pStyle w:val="TableText"/>
              <w:rPr>
                <w:rFonts w:ascii="Arial Unicode MS" w:eastAsia="Arial Unicode MS" w:hAnsi="Arial Unicode MS"/>
              </w:rPr>
            </w:pPr>
            <w:r>
              <w:t>PULMONARY, NON-TB</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VA5</w:t>
            </w:r>
          </w:p>
        </w:tc>
        <w:tc>
          <w:tcPr>
            <w:tcW w:w="3870" w:type="dxa"/>
            <w:vAlign w:val="bottom"/>
          </w:tcPr>
          <w:p w:rsidR="00A9688A" w:rsidRDefault="00A9688A" w:rsidP="00857D5F">
            <w:pPr>
              <w:pStyle w:val="TableText"/>
              <w:rPr>
                <w:rFonts w:ascii="Arial Unicode MS" w:eastAsia="Arial Unicode MS" w:hAnsi="Arial Unicode MS"/>
              </w:rPr>
            </w:pPr>
            <w:r>
              <w:t>GERONTOLOGY</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VA6</w:t>
            </w:r>
          </w:p>
        </w:tc>
        <w:tc>
          <w:tcPr>
            <w:tcW w:w="3870" w:type="dxa"/>
            <w:vAlign w:val="bottom"/>
          </w:tcPr>
          <w:p w:rsidR="00A9688A" w:rsidRDefault="00A9688A" w:rsidP="00857D5F">
            <w:pPr>
              <w:pStyle w:val="TableText"/>
              <w:rPr>
                <w:rFonts w:ascii="Arial Unicode MS" w:eastAsia="Arial Unicode MS" w:hAnsi="Arial Unicode MS"/>
              </w:rPr>
            </w:pPr>
            <w:r>
              <w:t>DERMATOLOGY</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VA7</w:t>
            </w:r>
          </w:p>
        </w:tc>
        <w:tc>
          <w:tcPr>
            <w:tcW w:w="3870" w:type="dxa"/>
            <w:vAlign w:val="bottom"/>
          </w:tcPr>
          <w:p w:rsidR="00A9688A" w:rsidRDefault="00A9688A" w:rsidP="00857D5F">
            <w:pPr>
              <w:pStyle w:val="TableText"/>
              <w:rPr>
                <w:rFonts w:ascii="Arial Unicode MS" w:eastAsia="Arial Unicode MS" w:hAnsi="Arial Unicode MS"/>
              </w:rPr>
            </w:pPr>
            <w:r>
              <w:t>ENDOCRINOLOGY</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VA8</w:t>
            </w:r>
          </w:p>
        </w:tc>
        <w:tc>
          <w:tcPr>
            <w:tcW w:w="3870" w:type="dxa"/>
            <w:vAlign w:val="bottom"/>
          </w:tcPr>
          <w:p w:rsidR="00A9688A" w:rsidRDefault="00A9688A" w:rsidP="00857D5F">
            <w:pPr>
              <w:pStyle w:val="TableText"/>
              <w:rPr>
                <w:rFonts w:ascii="Arial Unicode MS" w:eastAsia="Arial Unicode MS" w:hAnsi="Arial Unicode MS"/>
              </w:rPr>
            </w:pPr>
            <w:r>
              <w:t>GASTROENTEROLOGY</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VA9</w:t>
            </w:r>
          </w:p>
        </w:tc>
        <w:tc>
          <w:tcPr>
            <w:tcW w:w="3870" w:type="dxa"/>
            <w:vAlign w:val="bottom"/>
          </w:tcPr>
          <w:p w:rsidR="00A9688A" w:rsidRDefault="00A9688A" w:rsidP="00857D5F">
            <w:pPr>
              <w:pStyle w:val="TableText"/>
              <w:rPr>
                <w:rFonts w:ascii="Arial Unicode MS" w:eastAsia="Arial Unicode MS" w:hAnsi="Arial Unicode MS"/>
              </w:rPr>
            </w:pPr>
            <w:r>
              <w:t>HEMATOLOGY/ONCOLOGY</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VA10</w:t>
            </w:r>
          </w:p>
        </w:tc>
        <w:tc>
          <w:tcPr>
            <w:tcW w:w="3870" w:type="dxa"/>
            <w:vAlign w:val="bottom"/>
          </w:tcPr>
          <w:p w:rsidR="00A9688A" w:rsidRDefault="00A9688A" w:rsidP="00857D5F">
            <w:pPr>
              <w:pStyle w:val="TableText"/>
              <w:rPr>
                <w:rFonts w:ascii="Arial Unicode MS" w:eastAsia="Arial Unicode MS" w:hAnsi="Arial Unicode MS"/>
              </w:rPr>
            </w:pPr>
            <w:r>
              <w:t>NEUROLOGY</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VA11</w:t>
            </w:r>
          </w:p>
        </w:tc>
        <w:tc>
          <w:tcPr>
            <w:tcW w:w="3870" w:type="dxa"/>
            <w:vAlign w:val="bottom"/>
          </w:tcPr>
          <w:p w:rsidR="00A9688A" w:rsidRDefault="00A9688A" w:rsidP="00857D5F">
            <w:pPr>
              <w:pStyle w:val="TableText"/>
              <w:rPr>
                <w:rFonts w:ascii="Arial Unicode MS" w:eastAsia="Arial Unicode MS" w:hAnsi="Arial Unicode MS"/>
              </w:rPr>
            </w:pPr>
            <w:r>
              <w:t>EPILEPSY CENTER</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VA12</w:t>
            </w:r>
          </w:p>
        </w:tc>
        <w:tc>
          <w:tcPr>
            <w:tcW w:w="3870" w:type="dxa"/>
            <w:vAlign w:val="bottom"/>
          </w:tcPr>
          <w:p w:rsidR="00A9688A" w:rsidRDefault="00A9688A" w:rsidP="00857D5F">
            <w:pPr>
              <w:pStyle w:val="TableText"/>
              <w:rPr>
                <w:rFonts w:ascii="Arial Unicode MS" w:eastAsia="Arial Unicode MS" w:hAnsi="Arial Unicode MS"/>
              </w:rPr>
            </w:pPr>
            <w:r>
              <w:t>MEDICAL ICU/CCU</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VA14</w:t>
            </w:r>
          </w:p>
        </w:tc>
        <w:tc>
          <w:tcPr>
            <w:tcW w:w="3870" w:type="dxa"/>
            <w:vAlign w:val="bottom"/>
          </w:tcPr>
          <w:p w:rsidR="00A9688A" w:rsidRDefault="00A9688A" w:rsidP="00857D5F">
            <w:pPr>
              <w:pStyle w:val="TableText"/>
              <w:rPr>
                <w:rFonts w:ascii="Arial Unicode MS" w:eastAsia="Arial Unicode MS" w:hAnsi="Arial Unicode MS"/>
              </w:rPr>
            </w:pPr>
            <w:r>
              <w:t>METABOLIC</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VA15</w:t>
            </w:r>
          </w:p>
        </w:tc>
        <w:tc>
          <w:tcPr>
            <w:tcW w:w="3870" w:type="dxa"/>
            <w:vAlign w:val="bottom"/>
          </w:tcPr>
          <w:p w:rsidR="00A9688A" w:rsidRDefault="00A9688A" w:rsidP="00857D5F">
            <w:pPr>
              <w:pStyle w:val="TableText"/>
              <w:rPr>
                <w:rFonts w:ascii="Arial Unicode MS" w:eastAsia="Arial Unicode MS" w:hAnsi="Arial Unicode MS"/>
              </w:rPr>
            </w:pPr>
            <w:r>
              <w:t>GENERAL (ACUTE MEDICINE)</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VA16</w:t>
            </w:r>
          </w:p>
        </w:tc>
        <w:tc>
          <w:tcPr>
            <w:tcW w:w="3870" w:type="dxa"/>
            <w:vAlign w:val="bottom"/>
          </w:tcPr>
          <w:p w:rsidR="00A9688A" w:rsidRDefault="00A9688A" w:rsidP="00857D5F">
            <w:pPr>
              <w:pStyle w:val="TableText"/>
              <w:rPr>
                <w:rFonts w:ascii="Arial Unicode MS" w:eastAsia="Arial Unicode MS" w:hAnsi="Arial Unicode MS"/>
              </w:rPr>
            </w:pPr>
            <w:r>
              <w:t>CARDIAC-STEP DOWN UNIT</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VA17</w:t>
            </w:r>
          </w:p>
        </w:tc>
        <w:tc>
          <w:tcPr>
            <w:tcW w:w="3870" w:type="dxa"/>
            <w:vAlign w:val="bottom"/>
          </w:tcPr>
          <w:p w:rsidR="00A9688A" w:rsidRDefault="00A9688A" w:rsidP="00857D5F">
            <w:pPr>
              <w:pStyle w:val="TableText"/>
              <w:rPr>
                <w:rFonts w:ascii="Arial Unicode MS" w:eastAsia="Arial Unicode MS" w:hAnsi="Arial Unicode MS"/>
              </w:rPr>
            </w:pPr>
            <w:r>
              <w:t>TELEMETRY</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VA18</w:t>
            </w:r>
          </w:p>
        </w:tc>
        <w:tc>
          <w:tcPr>
            <w:tcW w:w="3870" w:type="dxa"/>
            <w:vAlign w:val="bottom"/>
          </w:tcPr>
          <w:p w:rsidR="00A9688A" w:rsidRDefault="00A9688A" w:rsidP="00857D5F">
            <w:pPr>
              <w:pStyle w:val="TableText"/>
              <w:rPr>
                <w:rFonts w:ascii="Arial Unicode MS" w:eastAsia="Arial Unicode MS" w:hAnsi="Arial Unicode MS"/>
              </w:rPr>
            </w:pPr>
            <w:r>
              <w:t>NEUROLOGY OBSERVATION</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VA19</w:t>
            </w:r>
          </w:p>
        </w:tc>
        <w:tc>
          <w:tcPr>
            <w:tcW w:w="3870" w:type="dxa"/>
            <w:vAlign w:val="bottom"/>
          </w:tcPr>
          <w:p w:rsidR="00A9688A" w:rsidRDefault="00A9688A" w:rsidP="00857D5F">
            <w:pPr>
              <w:pStyle w:val="TableText"/>
              <w:rPr>
                <w:rFonts w:ascii="Arial Unicode MS" w:eastAsia="Arial Unicode MS" w:hAnsi="Arial Unicode MS"/>
              </w:rPr>
            </w:pPr>
            <w:r>
              <w:t>STROKE UNIT</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VA20</w:t>
            </w:r>
          </w:p>
        </w:tc>
        <w:tc>
          <w:tcPr>
            <w:tcW w:w="3870" w:type="dxa"/>
            <w:vAlign w:val="bottom"/>
          </w:tcPr>
          <w:p w:rsidR="00A9688A" w:rsidRDefault="00A9688A" w:rsidP="00857D5F">
            <w:pPr>
              <w:pStyle w:val="TableText"/>
              <w:rPr>
                <w:rFonts w:ascii="Arial Unicode MS" w:eastAsia="Arial Unicode MS" w:hAnsi="Arial Unicode MS"/>
              </w:rPr>
            </w:pPr>
            <w:r>
              <w:t>REHABILITATION MEDICINE</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VA21</w:t>
            </w:r>
          </w:p>
        </w:tc>
        <w:tc>
          <w:tcPr>
            <w:tcW w:w="3870" w:type="dxa"/>
            <w:vAlign w:val="bottom"/>
          </w:tcPr>
          <w:p w:rsidR="00A9688A" w:rsidRDefault="00A9688A" w:rsidP="00857D5F">
            <w:pPr>
              <w:pStyle w:val="TableText"/>
              <w:rPr>
                <w:rFonts w:ascii="Arial Unicode MS" w:eastAsia="Arial Unicode MS" w:hAnsi="Arial Unicode MS"/>
              </w:rPr>
            </w:pPr>
            <w:r>
              <w:t>BLIND REHAB</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VA22</w:t>
            </w:r>
          </w:p>
        </w:tc>
        <w:tc>
          <w:tcPr>
            <w:tcW w:w="3870" w:type="dxa"/>
            <w:vAlign w:val="bottom"/>
          </w:tcPr>
          <w:p w:rsidR="00A9688A" w:rsidRDefault="00A9688A" w:rsidP="00857D5F">
            <w:pPr>
              <w:pStyle w:val="TableText"/>
              <w:rPr>
                <w:rFonts w:ascii="Arial Unicode MS" w:eastAsia="Arial Unicode MS" w:hAnsi="Arial Unicode MS"/>
              </w:rPr>
            </w:pPr>
            <w:r>
              <w:t>SPINAL CORD INJURY</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VA23</w:t>
            </w:r>
          </w:p>
        </w:tc>
        <w:tc>
          <w:tcPr>
            <w:tcW w:w="3870" w:type="dxa"/>
            <w:vAlign w:val="bottom"/>
          </w:tcPr>
          <w:p w:rsidR="00A9688A" w:rsidRDefault="00A9688A" w:rsidP="00857D5F">
            <w:pPr>
              <w:pStyle w:val="TableText"/>
              <w:rPr>
                <w:rFonts w:ascii="Arial Unicode MS" w:eastAsia="Arial Unicode MS" w:hAnsi="Arial Unicode MS"/>
              </w:rPr>
            </w:pPr>
            <w:r>
              <w:t>SPINAL CORD INJURY OBSERVATION</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VA24</w:t>
            </w:r>
          </w:p>
        </w:tc>
        <w:tc>
          <w:tcPr>
            <w:tcW w:w="3870" w:type="dxa"/>
            <w:vAlign w:val="bottom"/>
          </w:tcPr>
          <w:p w:rsidR="00A9688A" w:rsidRDefault="00A9688A" w:rsidP="00857D5F">
            <w:pPr>
              <w:pStyle w:val="TableText"/>
              <w:rPr>
                <w:rFonts w:ascii="Arial Unicode MS" w:eastAsia="Arial Unicode MS" w:hAnsi="Arial Unicode MS"/>
              </w:rPr>
            </w:pPr>
            <w:r>
              <w:t>MEDICAL OBSERVATION</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VA25</w:t>
            </w:r>
          </w:p>
        </w:tc>
        <w:tc>
          <w:tcPr>
            <w:tcW w:w="3870" w:type="dxa"/>
            <w:vAlign w:val="bottom"/>
          </w:tcPr>
          <w:p w:rsidR="00A9688A" w:rsidRDefault="00A9688A" w:rsidP="00857D5F">
            <w:pPr>
              <w:pStyle w:val="TableText"/>
              <w:rPr>
                <w:rFonts w:ascii="Arial Unicode MS" w:eastAsia="Arial Unicode MS" w:hAnsi="Arial Unicode MS"/>
              </w:rPr>
            </w:pPr>
            <w:r>
              <w:t>PSYCH RESID REHAB TRMT PROG</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VA26</w:t>
            </w:r>
          </w:p>
        </w:tc>
        <w:tc>
          <w:tcPr>
            <w:tcW w:w="3870" w:type="dxa"/>
            <w:vAlign w:val="bottom"/>
          </w:tcPr>
          <w:p w:rsidR="00A9688A" w:rsidRDefault="00A9688A" w:rsidP="00857D5F">
            <w:pPr>
              <w:pStyle w:val="TableText"/>
              <w:rPr>
                <w:rFonts w:ascii="Arial Unicode MS" w:eastAsia="Arial Unicode MS" w:hAnsi="Arial Unicode MS"/>
              </w:rPr>
            </w:pPr>
            <w:r>
              <w:t>PTSD RESIDENTIAL REHAB PROG</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VA27</w:t>
            </w:r>
          </w:p>
        </w:tc>
        <w:tc>
          <w:tcPr>
            <w:tcW w:w="3870" w:type="dxa"/>
            <w:vAlign w:val="bottom"/>
          </w:tcPr>
          <w:p w:rsidR="00A9688A" w:rsidRDefault="00A9688A" w:rsidP="00857D5F">
            <w:pPr>
              <w:pStyle w:val="TableText"/>
              <w:rPr>
                <w:rFonts w:ascii="Arial Unicode MS" w:eastAsia="Arial Unicode MS" w:hAnsi="Arial Unicode MS"/>
              </w:rPr>
            </w:pPr>
            <w:r>
              <w:t>SUBSTANCE ABUSE RES TRMT PROG</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VA28</w:t>
            </w:r>
          </w:p>
        </w:tc>
        <w:tc>
          <w:tcPr>
            <w:tcW w:w="3870" w:type="dxa"/>
            <w:vAlign w:val="bottom"/>
          </w:tcPr>
          <w:p w:rsidR="00A9688A" w:rsidRDefault="00A9688A" w:rsidP="00857D5F">
            <w:pPr>
              <w:pStyle w:val="TableText"/>
              <w:rPr>
                <w:rFonts w:ascii="Arial Unicode MS" w:eastAsia="Arial Unicode MS" w:hAnsi="Arial Unicode MS"/>
              </w:rPr>
            </w:pPr>
            <w:r>
              <w:t>HOMELESS CWT/TRANS RESID</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VA29</w:t>
            </w:r>
          </w:p>
        </w:tc>
        <w:tc>
          <w:tcPr>
            <w:tcW w:w="3870" w:type="dxa"/>
            <w:vAlign w:val="bottom"/>
          </w:tcPr>
          <w:p w:rsidR="00A9688A" w:rsidRDefault="00A9688A" w:rsidP="00857D5F">
            <w:pPr>
              <w:pStyle w:val="TableText"/>
              <w:rPr>
                <w:rFonts w:ascii="Arial Unicode MS" w:eastAsia="Arial Unicode MS" w:hAnsi="Arial Unicode MS"/>
              </w:rPr>
            </w:pPr>
            <w:r>
              <w:t>SUBST ABUSE CWT/TRANS RESID</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VA31</w:t>
            </w:r>
          </w:p>
        </w:tc>
        <w:tc>
          <w:tcPr>
            <w:tcW w:w="3870" w:type="dxa"/>
            <w:vAlign w:val="bottom"/>
          </w:tcPr>
          <w:p w:rsidR="00A9688A" w:rsidRDefault="00A9688A" w:rsidP="00857D5F">
            <w:pPr>
              <w:pStyle w:val="TableText"/>
              <w:rPr>
                <w:rFonts w:ascii="Arial Unicode MS" w:eastAsia="Arial Unicode MS" w:hAnsi="Arial Unicode MS"/>
              </w:rPr>
            </w:pPr>
            <w:r>
              <w:t>GEM ACUTE MEDICINE</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VA32</w:t>
            </w:r>
          </w:p>
        </w:tc>
        <w:tc>
          <w:tcPr>
            <w:tcW w:w="3870" w:type="dxa"/>
            <w:vAlign w:val="bottom"/>
          </w:tcPr>
          <w:p w:rsidR="00A9688A" w:rsidRDefault="00A9688A" w:rsidP="00857D5F">
            <w:pPr>
              <w:pStyle w:val="TableText"/>
              <w:rPr>
                <w:rFonts w:ascii="Arial Unicode MS" w:eastAsia="Arial Unicode MS" w:hAnsi="Arial Unicode MS"/>
              </w:rPr>
            </w:pPr>
            <w:r>
              <w:t>GEM INTERMEDIATE CARE</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lastRenderedPageBreak/>
              <w:t>VA33</w:t>
            </w:r>
          </w:p>
        </w:tc>
        <w:tc>
          <w:tcPr>
            <w:tcW w:w="3870" w:type="dxa"/>
            <w:vAlign w:val="bottom"/>
          </w:tcPr>
          <w:p w:rsidR="00A9688A" w:rsidRDefault="00A9688A" w:rsidP="00857D5F">
            <w:pPr>
              <w:pStyle w:val="TableText"/>
              <w:rPr>
                <w:rFonts w:ascii="Arial Unicode MS" w:eastAsia="Arial Unicode MS" w:hAnsi="Arial Unicode MS"/>
              </w:rPr>
            </w:pPr>
            <w:r>
              <w:t>GEM PSYCHIATRIC BEDS</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VA34</w:t>
            </w:r>
          </w:p>
        </w:tc>
        <w:tc>
          <w:tcPr>
            <w:tcW w:w="3870" w:type="dxa"/>
            <w:vAlign w:val="bottom"/>
          </w:tcPr>
          <w:p w:rsidR="00A9688A" w:rsidRDefault="00A9688A" w:rsidP="00857D5F">
            <w:pPr>
              <w:pStyle w:val="TableText"/>
              <w:rPr>
                <w:rFonts w:ascii="Arial Unicode MS" w:eastAsia="Arial Unicode MS" w:hAnsi="Arial Unicode MS"/>
              </w:rPr>
            </w:pPr>
            <w:r>
              <w:t>GEM NEUROLOGY</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VA35</w:t>
            </w:r>
          </w:p>
        </w:tc>
        <w:tc>
          <w:tcPr>
            <w:tcW w:w="3870" w:type="dxa"/>
            <w:vAlign w:val="bottom"/>
          </w:tcPr>
          <w:p w:rsidR="00A9688A" w:rsidRDefault="00A9688A" w:rsidP="00857D5F">
            <w:pPr>
              <w:pStyle w:val="TableText"/>
              <w:rPr>
                <w:rFonts w:ascii="Arial Unicode MS" w:eastAsia="Arial Unicode MS" w:hAnsi="Arial Unicode MS"/>
              </w:rPr>
            </w:pPr>
            <w:r>
              <w:t>GEM REHABILITATION MEDICINE</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VA36</w:t>
            </w:r>
          </w:p>
        </w:tc>
        <w:tc>
          <w:tcPr>
            <w:tcW w:w="3870" w:type="dxa"/>
            <w:vAlign w:val="bottom"/>
          </w:tcPr>
          <w:p w:rsidR="00A9688A" w:rsidRDefault="00A9688A" w:rsidP="00857D5F">
            <w:pPr>
              <w:pStyle w:val="TableText"/>
              <w:rPr>
                <w:rFonts w:ascii="Arial Unicode MS" w:eastAsia="Arial Unicode MS" w:hAnsi="Arial Unicode MS"/>
              </w:rPr>
            </w:pPr>
            <w:r>
              <w:t>BLIND REHAB OBSERVATION</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VA37</w:t>
            </w:r>
          </w:p>
        </w:tc>
        <w:tc>
          <w:tcPr>
            <w:tcW w:w="3870" w:type="dxa"/>
            <w:vAlign w:val="bottom"/>
          </w:tcPr>
          <w:p w:rsidR="00A9688A" w:rsidRDefault="00A9688A" w:rsidP="00857D5F">
            <w:pPr>
              <w:pStyle w:val="TableText"/>
              <w:rPr>
                <w:rFonts w:ascii="Arial Unicode MS" w:eastAsia="Arial Unicode MS" w:hAnsi="Arial Unicode MS"/>
              </w:rPr>
            </w:pPr>
            <w:r>
              <w:t>DOMICILIARY CHV</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VA38</w:t>
            </w:r>
          </w:p>
        </w:tc>
        <w:tc>
          <w:tcPr>
            <w:tcW w:w="3870" w:type="dxa"/>
            <w:vAlign w:val="bottom"/>
          </w:tcPr>
          <w:p w:rsidR="00A9688A" w:rsidRDefault="00A9688A" w:rsidP="00857D5F">
            <w:pPr>
              <w:pStyle w:val="TableText"/>
              <w:rPr>
                <w:rFonts w:ascii="Arial Unicode MS" w:eastAsia="Arial Unicode MS" w:hAnsi="Arial Unicode MS"/>
              </w:rPr>
            </w:pPr>
            <w:r>
              <w:t>PTSD CWT/TR</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VA39</w:t>
            </w:r>
          </w:p>
        </w:tc>
        <w:tc>
          <w:tcPr>
            <w:tcW w:w="3870" w:type="dxa"/>
            <w:vAlign w:val="bottom"/>
          </w:tcPr>
          <w:p w:rsidR="00A9688A" w:rsidRDefault="00A9688A" w:rsidP="00857D5F">
            <w:pPr>
              <w:pStyle w:val="TableText"/>
              <w:rPr>
                <w:rFonts w:ascii="Arial Unicode MS" w:eastAsia="Arial Unicode MS" w:hAnsi="Arial Unicode MS"/>
              </w:rPr>
            </w:pPr>
            <w:r>
              <w:t>GENERAL CWT/TR</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VA40</w:t>
            </w:r>
          </w:p>
        </w:tc>
        <w:tc>
          <w:tcPr>
            <w:tcW w:w="3870" w:type="dxa"/>
            <w:vAlign w:val="bottom"/>
          </w:tcPr>
          <w:p w:rsidR="00A9688A" w:rsidRDefault="00A9688A" w:rsidP="00857D5F">
            <w:pPr>
              <w:pStyle w:val="TableText"/>
              <w:rPr>
                <w:rFonts w:ascii="Arial Unicode MS" w:eastAsia="Arial Unicode MS" w:hAnsi="Arial Unicode MS"/>
              </w:rPr>
            </w:pPr>
            <w:r>
              <w:t>INTERMEDIATE MEDICINE</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VA41</w:t>
            </w:r>
          </w:p>
        </w:tc>
        <w:tc>
          <w:tcPr>
            <w:tcW w:w="3870" w:type="dxa"/>
            <w:vAlign w:val="bottom"/>
          </w:tcPr>
          <w:p w:rsidR="00A9688A" w:rsidRDefault="00A9688A" w:rsidP="00857D5F">
            <w:pPr>
              <w:pStyle w:val="TableText"/>
              <w:rPr>
                <w:rFonts w:ascii="Arial Unicode MS" w:eastAsia="Arial Unicode MS" w:hAnsi="Arial Unicode MS"/>
              </w:rPr>
            </w:pPr>
            <w:r>
              <w:t>REHAB MEDICINE OBSERVATION</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pPr>
            <w:r>
              <w:t>VA42</w:t>
            </w:r>
          </w:p>
        </w:tc>
        <w:tc>
          <w:tcPr>
            <w:tcW w:w="3870" w:type="dxa"/>
            <w:vAlign w:val="bottom"/>
          </w:tcPr>
          <w:p w:rsidR="00A9688A" w:rsidRPr="00C574BA" w:rsidRDefault="00A9688A" w:rsidP="00857D5F">
            <w:pPr>
              <w:pStyle w:val="TableText"/>
            </w:pPr>
            <w:r w:rsidRPr="00C574BA">
              <w:t>NH LONG STAY DEMENTIA CARE</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pPr>
            <w:r>
              <w:t>VA43</w:t>
            </w:r>
          </w:p>
        </w:tc>
        <w:tc>
          <w:tcPr>
            <w:tcW w:w="3870" w:type="dxa"/>
            <w:vAlign w:val="bottom"/>
          </w:tcPr>
          <w:p w:rsidR="00A9688A" w:rsidRPr="00C574BA" w:rsidRDefault="00A9688A" w:rsidP="00857D5F">
            <w:pPr>
              <w:pStyle w:val="TableText"/>
            </w:pPr>
            <w:r w:rsidRPr="00C574BA">
              <w:t>NH LONG STAY SKILLED NURSING</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pPr>
            <w:r>
              <w:t>VA44</w:t>
            </w:r>
          </w:p>
        </w:tc>
        <w:tc>
          <w:tcPr>
            <w:tcW w:w="3870" w:type="dxa"/>
            <w:vAlign w:val="bottom"/>
          </w:tcPr>
          <w:p w:rsidR="00A9688A" w:rsidRPr="00C574BA" w:rsidRDefault="00A9688A" w:rsidP="00857D5F">
            <w:pPr>
              <w:pStyle w:val="TableText"/>
            </w:pPr>
            <w:r w:rsidRPr="00C574BA">
              <w:t>NH LONG STAY MAINTENANCE CARE</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pPr>
            <w:r>
              <w:t>VA45</w:t>
            </w:r>
          </w:p>
        </w:tc>
        <w:tc>
          <w:tcPr>
            <w:tcW w:w="3870" w:type="dxa"/>
            <w:vAlign w:val="bottom"/>
          </w:tcPr>
          <w:p w:rsidR="00A9688A" w:rsidRPr="00C574BA" w:rsidRDefault="00A9688A" w:rsidP="00857D5F">
            <w:pPr>
              <w:pStyle w:val="TableText"/>
            </w:pPr>
            <w:r w:rsidRPr="00C574BA">
              <w:t>NH LONG STAY PSYCHIATRIC CARE</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pPr>
            <w:r>
              <w:t>VA46</w:t>
            </w:r>
          </w:p>
        </w:tc>
        <w:tc>
          <w:tcPr>
            <w:tcW w:w="3870" w:type="dxa"/>
            <w:vAlign w:val="bottom"/>
          </w:tcPr>
          <w:p w:rsidR="00A9688A" w:rsidRPr="00C574BA" w:rsidRDefault="00A9688A" w:rsidP="00857D5F">
            <w:pPr>
              <w:pStyle w:val="TableText"/>
            </w:pPr>
            <w:r w:rsidRPr="00C574BA">
              <w:t>NH LONG STAY SPINAL CORD INJ</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pPr>
            <w:r>
              <w:t>VA47</w:t>
            </w:r>
          </w:p>
        </w:tc>
        <w:tc>
          <w:tcPr>
            <w:tcW w:w="3870" w:type="dxa"/>
            <w:vAlign w:val="bottom"/>
          </w:tcPr>
          <w:p w:rsidR="00A9688A" w:rsidRPr="00C574BA" w:rsidRDefault="00A9688A" w:rsidP="00857D5F">
            <w:pPr>
              <w:pStyle w:val="TableText"/>
            </w:pPr>
            <w:r w:rsidRPr="00C574BA">
              <w:t>NH RESPITE CARE (NHCU)</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VA50</w:t>
            </w:r>
          </w:p>
        </w:tc>
        <w:tc>
          <w:tcPr>
            <w:tcW w:w="3870" w:type="dxa"/>
            <w:vAlign w:val="bottom"/>
          </w:tcPr>
          <w:p w:rsidR="00A9688A" w:rsidRDefault="00A9688A" w:rsidP="00857D5F">
            <w:pPr>
              <w:pStyle w:val="TableText"/>
              <w:rPr>
                <w:rFonts w:ascii="Arial Unicode MS" w:eastAsia="Arial Unicode MS" w:hAnsi="Arial Unicode MS"/>
              </w:rPr>
            </w:pPr>
            <w:r>
              <w:t>GENERAL SURGERY</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VA51</w:t>
            </w:r>
          </w:p>
        </w:tc>
        <w:tc>
          <w:tcPr>
            <w:tcW w:w="3870" w:type="dxa"/>
            <w:vAlign w:val="bottom"/>
          </w:tcPr>
          <w:p w:rsidR="00A9688A" w:rsidRDefault="00A9688A" w:rsidP="00857D5F">
            <w:pPr>
              <w:pStyle w:val="TableText"/>
              <w:rPr>
                <w:rFonts w:ascii="Arial Unicode MS" w:eastAsia="Arial Unicode MS" w:hAnsi="Arial Unicode MS"/>
              </w:rPr>
            </w:pPr>
            <w:r>
              <w:t>GYNECOLOGY</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VA52</w:t>
            </w:r>
          </w:p>
        </w:tc>
        <w:tc>
          <w:tcPr>
            <w:tcW w:w="3870" w:type="dxa"/>
            <w:vAlign w:val="bottom"/>
          </w:tcPr>
          <w:p w:rsidR="00A9688A" w:rsidRDefault="00A9688A" w:rsidP="00857D5F">
            <w:pPr>
              <w:pStyle w:val="TableText"/>
              <w:rPr>
                <w:rFonts w:ascii="Arial Unicode MS" w:eastAsia="Arial Unicode MS" w:hAnsi="Arial Unicode MS"/>
              </w:rPr>
            </w:pPr>
            <w:r>
              <w:t>NEUROSURGERY</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VA53</w:t>
            </w:r>
          </w:p>
        </w:tc>
        <w:tc>
          <w:tcPr>
            <w:tcW w:w="3870" w:type="dxa"/>
            <w:vAlign w:val="bottom"/>
          </w:tcPr>
          <w:p w:rsidR="00A9688A" w:rsidRDefault="00A9688A" w:rsidP="00857D5F">
            <w:pPr>
              <w:pStyle w:val="TableText"/>
              <w:rPr>
                <w:rFonts w:ascii="Arial Unicode MS" w:eastAsia="Arial Unicode MS" w:hAnsi="Arial Unicode MS"/>
              </w:rPr>
            </w:pPr>
            <w:r>
              <w:t>OPHTHALMOLOGY</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VA54</w:t>
            </w:r>
          </w:p>
        </w:tc>
        <w:tc>
          <w:tcPr>
            <w:tcW w:w="3870" w:type="dxa"/>
            <w:vAlign w:val="bottom"/>
          </w:tcPr>
          <w:p w:rsidR="00A9688A" w:rsidRDefault="00A9688A" w:rsidP="00857D5F">
            <w:pPr>
              <w:pStyle w:val="TableText"/>
              <w:rPr>
                <w:rFonts w:ascii="Arial Unicode MS" w:eastAsia="Arial Unicode MS" w:hAnsi="Arial Unicode MS"/>
              </w:rPr>
            </w:pPr>
            <w:r>
              <w:t>ORTHOPEDIC</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VA55</w:t>
            </w:r>
          </w:p>
        </w:tc>
        <w:tc>
          <w:tcPr>
            <w:tcW w:w="3870" w:type="dxa"/>
            <w:vAlign w:val="bottom"/>
          </w:tcPr>
          <w:p w:rsidR="00A9688A" w:rsidRDefault="00A9688A" w:rsidP="00857D5F">
            <w:pPr>
              <w:pStyle w:val="TableText"/>
              <w:rPr>
                <w:rFonts w:ascii="Arial Unicode MS" w:eastAsia="Arial Unicode MS" w:hAnsi="Arial Unicode MS"/>
              </w:rPr>
            </w:pPr>
            <w:r>
              <w:t>OTORHINOLARYNGOLOGY</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VA56</w:t>
            </w:r>
          </w:p>
        </w:tc>
        <w:tc>
          <w:tcPr>
            <w:tcW w:w="3870" w:type="dxa"/>
            <w:vAlign w:val="bottom"/>
          </w:tcPr>
          <w:p w:rsidR="00A9688A" w:rsidRDefault="00A9688A" w:rsidP="00857D5F">
            <w:pPr>
              <w:pStyle w:val="TableText"/>
              <w:rPr>
                <w:rFonts w:ascii="Arial Unicode MS" w:eastAsia="Arial Unicode MS" w:hAnsi="Arial Unicode MS"/>
              </w:rPr>
            </w:pPr>
            <w:r>
              <w:t>PLASTIC SURG, INC HEAD/NECK</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VA57</w:t>
            </w:r>
          </w:p>
        </w:tc>
        <w:tc>
          <w:tcPr>
            <w:tcW w:w="3870" w:type="dxa"/>
            <w:vAlign w:val="bottom"/>
          </w:tcPr>
          <w:p w:rsidR="00A9688A" w:rsidRDefault="00A9688A" w:rsidP="00857D5F">
            <w:pPr>
              <w:pStyle w:val="TableText"/>
              <w:rPr>
                <w:rFonts w:ascii="Arial Unicode MS" w:eastAsia="Arial Unicode MS" w:hAnsi="Arial Unicode MS"/>
              </w:rPr>
            </w:pPr>
            <w:r>
              <w:t>PROCTOLOGY</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VA58</w:t>
            </w:r>
          </w:p>
        </w:tc>
        <w:tc>
          <w:tcPr>
            <w:tcW w:w="3870" w:type="dxa"/>
            <w:vAlign w:val="bottom"/>
          </w:tcPr>
          <w:p w:rsidR="00A9688A" w:rsidRDefault="00A9688A" w:rsidP="00857D5F">
            <w:pPr>
              <w:pStyle w:val="TableText"/>
              <w:rPr>
                <w:rFonts w:ascii="Arial Unicode MS" w:eastAsia="Arial Unicode MS" w:hAnsi="Arial Unicode MS"/>
              </w:rPr>
            </w:pPr>
            <w:r>
              <w:t>THORACIC SURGERY, INC CARDIAC</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VA59</w:t>
            </w:r>
          </w:p>
        </w:tc>
        <w:tc>
          <w:tcPr>
            <w:tcW w:w="3870" w:type="dxa"/>
            <w:vAlign w:val="bottom"/>
          </w:tcPr>
          <w:p w:rsidR="00A9688A" w:rsidRDefault="00A9688A" w:rsidP="00857D5F">
            <w:pPr>
              <w:pStyle w:val="TableText"/>
              <w:rPr>
                <w:rFonts w:ascii="Arial Unicode MS" w:eastAsia="Arial Unicode MS" w:hAnsi="Arial Unicode MS"/>
              </w:rPr>
            </w:pPr>
            <w:r>
              <w:t>UROLOGY</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VA60</w:t>
            </w:r>
          </w:p>
        </w:tc>
        <w:tc>
          <w:tcPr>
            <w:tcW w:w="3870" w:type="dxa"/>
            <w:vAlign w:val="bottom"/>
          </w:tcPr>
          <w:p w:rsidR="00A9688A" w:rsidRDefault="00A9688A" w:rsidP="00857D5F">
            <w:pPr>
              <w:pStyle w:val="TableText"/>
              <w:rPr>
                <w:rFonts w:ascii="Arial Unicode MS" w:eastAsia="Arial Unicode MS" w:hAnsi="Arial Unicode MS"/>
              </w:rPr>
            </w:pPr>
            <w:r>
              <w:t>ORAL SURGERY</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VA61</w:t>
            </w:r>
          </w:p>
        </w:tc>
        <w:tc>
          <w:tcPr>
            <w:tcW w:w="3870" w:type="dxa"/>
            <w:vAlign w:val="bottom"/>
          </w:tcPr>
          <w:p w:rsidR="00A9688A" w:rsidRDefault="00A9688A" w:rsidP="00857D5F">
            <w:pPr>
              <w:pStyle w:val="TableText"/>
              <w:rPr>
                <w:rFonts w:ascii="Arial Unicode MS" w:eastAsia="Arial Unicode MS" w:hAnsi="Arial Unicode MS"/>
              </w:rPr>
            </w:pPr>
            <w:r>
              <w:t>PODIATRY</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VA62</w:t>
            </w:r>
          </w:p>
        </w:tc>
        <w:tc>
          <w:tcPr>
            <w:tcW w:w="3870" w:type="dxa"/>
            <w:vAlign w:val="bottom"/>
          </w:tcPr>
          <w:p w:rsidR="00A9688A" w:rsidRDefault="00A9688A" w:rsidP="00857D5F">
            <w:pPr>
              <w:pStyle w:val="TableText"/>
              <w:rPr>
                <w:rFonts w:ascii="Arial Unicode MS" w:eastAsia="Arial Unicode MS" w:hAnsi="Arial Unicode MS"/>
              </w:rPr>
            </w:pPr>
            <w:r>
              <w:t>PERIPHERAL VASCULAR</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VA63</w:t>
            </w:r>
          </w:p>
        </w:tc>
        <w:tc>
          <w:tcPr>
            <w:tcW w:w="3870" w:type="dxa"/>
            <w:vAlign w:val="bottom"/>
          </w:tcPr>
          <w:p w:rsidR="00A9688A" w:rsidRDefault="00A9688A" w:rsidP="00857D5F">
            <w:pPr>
              <w:pStyle w:val="TableText"/>
              <w:rPr>
                <w:rFonts w:ascii="Arial Unicode MS" w:eastAsia="Arial Unicode MS" w:hAnsi="Arial Unicode MS"/>
              </w:rPr>
            </w:pPr>
            <w:r>
              <w:t>SURGICAL ICU</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pPr>
            <w:r>
              <w:t>VA64</w:t>
            </w:r>
          </w:p>
        </w:tc>
        <w:tc>
          <w:tcPr>
            <w:tcW w:w="3870" w:type="dxa"/>
            <w:vAlign w:val="bottom"/>
          </w:tcPr>
          <w:p w:rsidR="00A9688A" w:rsidRPr="00A45495" w:rsidRDefault="00A9688A" w:rsidP="00857D5F">
            <w:pPr>
              <w:pStyle w:val="TableText"/>
            </w:pPr>
            <w:r w:rsidRPr="00A45495">
              <w:t>NH SHORT STAY REHABILITATION</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VA65</w:t>
            </w:r>
          </w:p>
        </w:tc>
        <w:tc>
          <w:tcPr>
            <w:tcW w:w="3870" w:type="dxa"/>
            <w:vAlign w:val="bottom"/>
          </w:tcPr>
          <w:p w:rsidR="00A9688A" w:rsidRDefault="00A9688A" w:rsidP="00857D5F">
            <w:pPr>
              <w:pStyle w:val="TableText"/>
              <w:rPr>
                <w:rFonts w:ascii="Arial Unicode MS" w:eastAsia="Arial Unicode MS" w:hAnsi="Arial Unicode MS"/>
              </w:rPr>
            </w:pPr>
            <w:r>
              <w:t>SURGICAL OBSERVATION</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pPr>
            <w:r>
              <w:t>VA66</w:t>
            </w:r>
          </w:p>
        </w:tc>
        <w:tc>
          <w:tcPr>
            <w:tcW w:w="3870" w:type="dxa"/>
            <w:vAlign w:val="bottom"/>
          </w:tcPr>
          <w:p w:rsidR="00A9688A" w:rsidRPr="001A109D" w:rsidRDefault="00A9688A" w:rsidP="00857D5F">
            <w:pPr>
              <w:pStyle w:val="TableText"/>
            </w:pPr>
            <w:r w:rsidRPr="001A109D">
              <w:t>NH SHORT STAY RESTORATIVE</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pPr>
            <w:r>
              <w:t>VA67</w:t>
            </w:r>
          </w:p>
        </w:tc>
        <w:tc>
          <w:tcPr>
            <w:tcW w:w="3870" w:type="dxa"/>
            <w:vAlign w:val="bottom"/>
          </w:tcPr>
          <w:p w:rsidR="00A9688A" w:rsidRPr="001A109D" w:rsidRDefault="00A9688A" w:rsidP="00857D5F">
            <w:pPr>
              <w:pStyle w:val="TableText"/>
            </w:pPr>
            <w:r w:rsidRPr="001A109D">
              <w:t>NH SHORT STAY MAINTENANCE</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pPr>
            <w:r>
              <w:t>VA68</w:t>
            </w:r>
          </w:p>
        </w:tc>
        <w:tc>
          <w:tcPr>
            <w:tcW w:w="3870" w:type="dxa"/>
            <w:vAlign w:val="bottom"/>
          </w:tcPr>
          <w:p w:rsidR="00A9688A" w:rsidRPr="001A109D" w:rsidRDefault="00A9688A" w:rsidP="00857D5F">
            <w:pPr>
              <w:pStyle w:val="TableText"/>
            </w:pPr>
            <w:r w:rsidRPr="001A109D">
              <w:t>NH SHORT STAY PSYCHIATRIC CARE</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pPr>
            <w:r>
              <w:t>VA69</w:t>
            </w:r>
          </w:p>
        </w:tc>
        <w:tc>
          <w:tcPr>
            <w:tcW w:w="3870" w:type="dxa"/>
            <w:vAlign w:val="bottom"/>
          </w:tcPr>
          <w:p w:rsidR="00A9688A" w:rsidRPr="001A109D" w:rsidRDefault="00A9688A" w:rsidP="00857D5F">
            <w:pPr>
              <w:pStyle w:val="TableText"/>
            </w:pPr>
            <w:r w:rsidRPr="001A109D">
              <w:t>NH SHORT STAY DEMENTIA CARE</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VA70</w:t>
            </w:r>
          </w:p>
        </w:tc>
        <w:tc>
          <w:tcPr>
            <w:tcW w:w="3870" w:type="dxa"/>
            <w:vAlign w:val="bottom"/>
          </w:tcPr>
          <w:p w:rsidR="00A9688A" w:rsidRDefault="00A9688A" w:rsidP="00857D5F">
            <w:pPr>
              <w:pStyle w:val="TableText"/>
              <w:rPr>
                <w:rFonts w:ascii="Arial Unicode MS" w:eastAsia="Arial Unicode MS" w:hAnsi="Arial Unicode MS"/>
              </w:rPr>
            </w:pPr>
            <w:r>
              <w:t>ACUTE PSYCHIATRY (&lt;45 DAYS)</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VA71</w:t>
            </w:r>
          </w:p>
        </w:tc>
        <w:tc>
          <w:tcPr>
            <w:tcW w:w="3870" w:type="dxa"/>
            <w:vAlign w:val="bottom"/>
          </w:tcPr>
          <w:p w:rsidR="00A9688A" w:rsidRDefault="00A9688A" w:rsidP="00857D5F">
            <w:pPr>
              <w:pStyle w:val="TableText"/>
              <w:rPr>
                <w:rFonts w:ascii="Arial Unicode MS" w:eastAsia="Arial Unicode MS" w:hAnsi="Arial Unicode MS"/>
              </w:rPr>
            </w:pPr>
            <w:r>
              <w:t>LONG-TERM PSYCHIATRY (&gt;45 DAYS)</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VA72</w:t>
            </w:r>
          </w:p>
        </w:tc>
        <w:tc>
          <w:tcPr>
            <w:tcW w:w="3870" w:type="dxa"/>
            <w:vAlign w:val="bottom"/>
          </w:tcPr>
          <w:p w:rsidR="00A9688A" w:rsidRDefault="00A9688A" w:rsidP="00857D5F">
            <w:pPr>
              <w:pStyle w:val="TableText"/>
              <w:rPr>
                <w:rFonts w:ascii="Arial Unicode MS" w:eastAsia="Arial Unicode MS" w:hAnsi="Arial Unicode MS"/>
              </w:rPr>
            </w:pPr>
            <w:r>
              <w:t>ALCOHOL DEPENDENCE TRMT UNIT</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VA73</w:t>
            </w:r>
          </w:p>
        </w:tc>
        <w:tc>
          <w:tcPr>
            <w:tcW w:w="3870" w:type="dxa"/>
            <w:vAlign w:val="bottom"/>
          </w:tcPr>
          <w:p w:rsidR="00A9688A" w:rsidRDefault="00A9688A" w:rsidP="00857D5F">
            <w:pPr>
              <w:pStyle w:val="TableText"/>
              <w:rPr>
                <w:rFonts w:ascii="Arial Unicode MS" w:eastAsia="Arial Unicode MS" w:hAnsi="Arial Unicode MS"/>
              </w:rPr>
            </w:pPr>
            <w:r>
              <w:t>DRUG DEPENDENCE TRMT UNIT</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VA74</w:t>
            </w:r>
          </w:p>
        </w:tc>
        <w:tc>
          <w:tcPr>
            <w:tcW w:w="3870" w:type="dxa"/>
            <w:vAlign w:val="bottom"/>
          </w:tcPr>
          <w:p w:rsidR="00A9688A" w:rsidRDefault="00A9688A" w:rsidP="00857D5F">
            <w:pPr>
              <w:pStyle w:val="TableText"/>
              <w:rPr>
                <w:rFonts w:ascii="Arial Unicode MS" w:eastAsia="Arial Unicode MS" w:hAnsi="Arial Unicode MS"/>
              </w:rPr>
            </w:pPr>
            <w:r>
              <w:t>SUBSTANCE ABUSE TRMT UNIT</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VA75</w:t>
            </w:r>
          </w:p>
        </w:tc>
        <w:tc>
          <w:tcPr>
            <w:tcW w:w="3870" w:type="dxa"/>
            <w:vAlign w:val="bottom"/>
          </w:tcPr>
          <w:p w:rsidR="00A9688A" w:rsidRDefault="00A9688A" w:rsidP="00857D5F">
            <w:pPr>
              <w:pStyle w:val="TableText"/>
              <w:rPr>
                <w:rFonts w:ascii="Arial Unicode MS" w:eastAsia="Arial Unicode MS" w:hAnsi="Arial Unicode MS"/>
              </w:rPr>
            </w:pPr>
            <w:r>
              <w:t>HALFWAY HOUSE</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VA76</w:t>
            </w:r>
          </w:p>
        </w:tc>
        <w:tc>
          <w:tcPr>
            <w:tcW w:w="3870" w:type="dxa"/>
            <w:vAlign w:val="bottom"/>
          </w:tcPr>
          <w:p w:rsidR="00A9688A" w:rsidRDefault="00A9688A" w:rsidP="00857D5F">
            <w:pPr>
              <w:pStyle w:val="TableText"/>
              <w:rPr>
                <w:rFonts w:ascii="Arial Unicode MS" w:eastAsia="Arial Unicode MS" w:hAnsi="Arial Unicode MS"/>
              </w:rPr>
            </w:pPr>
            <w:r>
              <w:t>PSYCHIATRIC MENTALLY INFIRM</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VA77</w:t>
            </w:r>
          </w:p>
        </w:tc>
        <w:tc>
          <w:tcPr>
            <w:tcW w:w="3870" w:type="dxa"/>
            <w:vAlign w:val="bottom"/>
          </w:tcPr>
          <w:p w:rsidR="00A9688A" w:rsidRDefault="00A9688A" w:rsidP="00857D5F">
            <w:pPr>
              <w:pStyle w:val="TableText"/>
              <w:rPr>
                <w:rFonts w:ascii="Arial Unicode MS" w:eastAsia="Arial Unicode MS" w:hAnsi="Arial Unicode MS"/>
              </w:rPr>
            </w:pPr>
            <w:r>
              <w:t>PRRTP</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VA79</w:t>
            </w:r>
          </w:p>
        </w:tc>
        <w:tc>
          <w:tcPr>
            <w:tcW w:w="3870" w:type="dxa"/>
            <w:vAlign w:val="bottom"/>
          </w:tcPr>
          <w:p w:rsidR="00A9688A" w:rsidRDefault="00A9688A" w:rsidP="00857D5F">
            <w:pPr>
              <w:pStyle w:val="TableText"/>
              <w:rPr>
                <w:rFonts w:ascii="Arial Unicode MS" w:eastAsia="Arial Unicode MS" w:hAnsi="Arial Unicode MS"/>
              </w:rPr>
            </w:pPr>
            <w:r>
              <w:t>SIPU (SPEC INPT PTSD UNIT)</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VA80</w:t>
            </w:r>
          </w:p>
        </w:tc>
        <w:tc>
          <w:tcPr>
            <w:tcW w:w="3870" w:type="dxa"/>
            <w:vAlign w:val="bottom"/>
          </w:tcPr>
          <w:p w:rsidR="00A9688A" w:rsidRDefault="00A9688A" w:rsidP="00857D5F">
            <w:pPr>
              <w:pStyle w:val="TableText"/>
              <w:rPr>
                <w:rFonts w:ascii="Arial Unicode MS" w:eastAsia="Arial Unicode MS" w:hAnsi="Arial Unicode MS"/>
              </w:rPr>
            </w:pPr>
            <w:r>
              <w:t>NHCU</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VA81</w:t>
            </w:r>
          </w:p>
        </w:tc>
        <w:tc>
          <w:tcPr>
            <w:tcW w:w="3870" w:type="dxa"/>
            <w:vAlign w:val="bottom"/>
          </w:tcPr>
          <w:p w:rsidR="00A9688A" w:rsidRDefault="00A9688A" w:rsidP="00857D5F">
            <w:pPr>
              <w:pStyle w:val="TableText"/>
              <w:rPr>
                <w:rFonts w:ascii="Arial Unicode MS" w:eastAsia="Arial Unicode MS" w:hAnsi="Arial Unicode MS"/>
              </w:rPr>
            </w:pPr>
            <w:r>
              <w:t>NH GEM NURSING HOME CARE</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VA83</w:t>
            </w:r>
          </w:p>
        </w:tc>
        <w:tc>
          <w:tcPr>
            <w:tcW w:w="3870" w:type="dxa"/>
            <w:vAlign w:val="bottom"/>
          </w:tcPr>
          <w:p w:rsidR="00A9688A" w:rsidRDefault="00A9688A" w:rsidP="00857D5F">
            <w:pPr>
              <w:pStyle w:val="TableText"/>
              <w:rPr>
                <w:rFonts w:ascii="Arial Unicode MS" w:eastAsia="Arial Unicode MS" w:hAnsi="Arial Unicode MS"/>
              </w:rPr>
            </w:pPr>
            <w:r>
              <w:t>RESPITE CARE (MEDICINE)</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VA84</w:t>
            </w:r>
          </w:p>
        </w:tc>
        <w:tc>
          <w:tcPr>
            <w:tcW w:w="3870" w:type="dxa"/>
            <w:vAlign w:val="bottom"/>
          </w:tcPr>
          <w:p w:rsidR="00A9688A" w:rsidRDefault="00A9688A" w:rsidP="00857D5F">
            <w:pPr>
              <w:pStyle w:val="TableText"/>
              <w:rPr>
                <w:rFonts w:ascii="Arial Unicode MS" w:eastAsia="Arial Unicode MS" w:hAnsi="Arial Unicode MS"/>
              </w:rPr>
            </w:pPr>
            <w:r>
              <w:t>SUBSTANCE ABUSE INTERMED CARE</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VA85</w:t>
            </w:r>
          </w:p>
        </w:tc>
        <w:tc>
          <w:tcPr>
            <w:tcW w:w="3870" w:type="dxa"/>
            <w:vAlign w:val="bottom"/>
          </w:tcPr>
          <w:p w:rsidR="00A9688A" w:rsidRDefault="00A9688A" w:rsidP="00857D5F">
            <w:pPr>
              <w:pStyle w:val="TableText"/>
              <w:rPr>
                <w:rFonts w:ascii="Arial Unicode MS" w:eastAsia="Arial Unicode MS" w:hAnsi="Arial Unicode MS"/>
              </w:rPr>
            </w:pPr>
            <w:r>
              <w:t>DOMICILIARY</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VA86</w:t>
            </w:r>
          </w:p>
        </w:tc>
        <w:tc>
          <w:tcPr>
            <w:tcW w:w="3870" w:type="dxa"/>
            <w:vAlign w:val="bottom"/>
          </w:tcPr>
          <w:p w:rsidR="00A9688A" w:rsidRDefault="00A9688A" w:rsidP="00857D5F">
            <w:pPr>
              <w:pStyle w:val="TableText"/>
              <w:rPr>
                <w:rFonts w:ascii="Arial Unicode MS" w:eastAsia="Arial Unicode MS" w:hAnsi="Arial Unicode MS"/>
              </w:rPr>
            </w:pPr>
            <w:r>
              <w:t>DOMICILIARY SUBSTANCE ABUSE</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VA87</w:t>
            </w:r>
          </w:p>
        </w:tc>
        <w:tc>
          <w:tcPr>
            <w:tcW w:w="3870" w:type="dxa"/>
            <w:vAlign w:val="bottom"/>
          </w:tcPr>
          <w:p w:rsidR="00A9688A" w:rsidRDefault="00A9688A" w:rsidP="00857D5F">
            <w:pPr>
              <w:pStyle w:val="TableText"/>
              <w:rPr>
                <w:rFonts w:ascii="Arial Unicode MS" w:eastAsia="Arial Unicode MS" w:hAnsi="Arial Unicode MS"/>
              </w:rPr>
            </w:pPr>
            <w:r>
              <w:t>GEM DOMICILIARY</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VA88</w:t>
            </w:r>
          </w:p>
        </w:tc>
        <w:tc>
          <w:tcPr>
            <w:tcW w:w="3870" w:type="dxa"/>
            <w:vAlign w:val="bottom"/>
          </w:tcPr>
          <w:p w:rsidR="00A9688A" w:rsidRDefault="00A9688A" w:rsidP="00857D5F">
            <w:pPr>
              <w:pStyle w:val="TableText"/>
              <w:rPr>
                <w:rFonts w:ascii="Arial Unicode MS" w:eastAsia="Arial Unicode MS" w:hAnsi="Arial Unicode MS"/>
              </w:rPr>
            </w:pPr>
            <w:r>
              <w:t>DOMICILIARY PTSD</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VA89</w:t>
            </w:r>
          </w:p>
        </w:tc>
        <w:tc>
          <w:tcPr>
            <w:tcW w:w="3870" w:type="dxa"/>
            <w:vAlign w:val="bottom"/>
          </w:tcPr>
          <w:p w:rsidR="00A9688A" w:rsidRDefault="00A9688A" w:rsidP="00857D5F">
            <w:pPr>
              <w:pStyle w:val="TableText"/>
              <w:rPr>
                <w:rFonts w:ascii="Arial Unicode MS" w:eastAsia="Arial Unicode MS" w:hAnsi="Arial Unicode MS"/>
              </w:rPr>
            </w:pPr>
            <w:r>
              <w:t>STAR I, II &amp; III</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VA90</w:t>
            </w:r>
          </w:p>
        </w:tc>
        <w:tc>
          <w:tcPr>
            <w:tcW w:w="3870" w:type="dxa"/>
            <w:vAlign w:val="bottom"/>
          </w:tcPr>
          <w:p w:rsidR="00A9688A" w:rsidRDefault="00A9688A" w:rsidP="00857D5F">
            <w:pPr>
              <w:pStyle w:val="TableText"/>
              <w:rPr>
                <w:rFonts w:ascii="Arial Unicode MS" w:eastAsia="Arial Unicode MS" w:hAnsi="Arial Unicode MS"/>
              </w:rPr>
            </w:pPr>
            <w:r>
              <w:t>SUBST ABUSE STAR I, II &amp; III</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lastRenderedPageBreak/>
              <w:t>VA91</w:t>
            </w:r>
          </w:p>
        </w:tc>
        <w:tc>
          <w:tcPr>
            <w:tcW w:w="3870" w:type="dxa"/>
            <w:vAlign w:val="bottom"/>
          </w:tcPr>
          <w:p w:rsidR="00A9688A" w:rsidRDefault="00A9688A" w:rsidP="00857D5F">
            <w:pPr>
              <w:pStyle w:val="TableText"/>
              <w:rPr>
                <w:rFonts w:ascii="Arial Unicode MS" w:eastAsia="Arial Unicode MS" w:hAnsi="Arial Unicode MS"/>
              </w:rPr>
            </w:pPr>
            <w:r>
              <w:t>EVAL/BRF TRMT PTSD UNIT(EBTPU)</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VA92</w:t>
            </w:r>
          </w:p>
        </w:tc>
        <w:tc>
          <w:tcPr>
            <w:tcW w:w="3870" w:type="dxa"/>
            <w:vAlign w:val="bottom"/>
          </w:tcPr>
          <w:p w:rsidR="00A9688A" w:rsidRDefault="00A9688A" w:rsidP="00857D5F">
            <w:pPr>
              <w:pStyle w:val="TableText"/>
              <w:rPr>
                <w:rFonts w:ascii="Arial Unicode MS" w:eastAsia="Arial Unicode MS" w:hAnsi="Arial Unicode MS"/>
              </w:rPr>
            </w:pPr>
            <w:r>
              <w:t>GEN INTERMEDIATE PSYCH</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VA93</w:t>
            </w:r>
          </w:p>
        </w:tc>
        <w:tc>
          <w:tcPr>
            <w:tcW w:w="3870" w:type="dxa"/>
            <w:vAlign w:val="bottom"/>
          </w:tcPr>
          <w:p w:rsidR="00A9688A" w:rsidRDefault="00A9688A" w:rsidP="00857D5F">
            <w:pPr>
              <w:pStyle w:val="TableText"/>
              <w:rPr>
                <w:rFonts w:ascii="Arial Unicode MS" w:eastAsia="Arial Unicode MS" w:hAnsi="Arial Unicode MS"/>
              </w:rPr>
            </w:pPr>
            <w:r>
              <w:t>HIGH INTENSITY GEN PSYCH INPAT</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VA94</w:t>
            </w:r>
          </w:p>
        </w:tc>
        <w:tc>
          <w:tcPr>
            <w:tcW w:w="3870" w:type="dxa"/>
            <w:vAlign w:val="bottom"/>
          </w:tcPr>
          <w:p w:rsidR="00A9688A" w:rsidRDefault="00A9688A" w:rsidP="00857D5F">
            <w:pPr>
              <w:pStyle w:val="TableText"/>
              <w:rPr>
                <w:rFonts w:ascii="Arial Unicode MS" w:eastAsia="Arial Unicode MS" w:hAnsi="Arial Unicode MS"/>
              </w:rPr>
            </w:pPr>
            <w:r>
              <w:t>PSYCHIATRIC OBSERVATION</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VA95</w:t>
            </w:r>
          </w:p>
        </w:tc>
        <w:tc>
          <w:tcPr>
            <w:tcW w:w="3870" w:type="dxa"/>
            <w:vAlign w:val="bottom"/>
          </w:tcPr>
          <w:p w:rsidR="00A9688A" w:rsidRDefault="00A9688A" w:rsidP="00857D5F">
            <w:pPr>
              <w:pStyle w:val="TableText"/>
              <w:rPr>
                <w:rFonts w:ascii="Arial Unicode MS" w:eastAsia="Arial Unicode MS" w:hAnsi="Arial Unicode MS"/>
              </w:rPr>
            </w:pPr>
            <w:r>
              <w:t>NH SHORT STAY SKILLED NURSING</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VA96</w:t>
            </w:r>
          </w:p>
        </w:tc>
        <w:tc>
          <w:tcPr>
            <w:tcW w:w="3870" w:type="dxa"/>
            <w:vAlign w:val="bottom"/>
          </w:tcPr>
          <w:p w:rsidR="00A9688A" w:rsidRDefault="00A9688A" w:rsidP="00857D5F">
            <w:pPr>
              <w:pStyle w:val="TableText"/>
              <w:rPr>
                <w:rFonts w:ascii="Arial Unicode MS" w:eastAsia="Arial Unicode MS" w:hAnsi="Arial Unicode MS"/>
              </w:rPr>
            </w:pPr>
            <w:r>
              <w:t>NH HOSPICE</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VA98</w:t>
            </w:r>
          </w:p>
        </w:tc>
        <w:tc>
          <w:tcPr>
            <w:tcW w:w="3870" w:type="dxa"/>
            <w:vAlign w:val="bottom"/>
          </w:tcPr>
          <w:p w:rsidR="00A9688A" w:rsidRDefault="00A9688A" w:rsidP="00857D5F">
            <w:pPr>
              <w:pStyle w:val="TableText"/>
              <w:rPr>
                <w:rFonts w:ascii="Arial Unicode MS" w:eastAsia="Arial Unicode MS" w:hAnsi="Arial Unicode MS"/>
              </w:rPr>
            </w:pPr>
            <w:r>
              <w:t>NON-DOD BEDS IN VA FACILITY</w:t>
            </w:r>
          </w:p>
        </w:tc>
      </w:tr>
      <w:tr w:rsidR="00A9688A">
        <w:tblPrEx>
          <w:tblCellMar>
            <w:top w:w="0" w:type="dxa"/>
            <w:bottom w:w="0" w:type="dxa"/>
          </w:tblCellMar>
        </w:tblPrEx>
        <w:trPr>
          <w:cantSplit/>
        </w:trPr>
        <w:tc>
          <w:tcPr>
            <w:tcW w:w="2448" w:type="dxa"/>
            <w:vAlign w:val="bottom"/>
          </w:tcPr>
          <w:p w:rsidR="00A9688A" w:rsidRDefault="00A9688A" w:rsidP="00857D5F">
            <w:pPr>
              <w:pStyle w:val="TableText"/>
              <w:jc w:val="center"/>
              <w:rPr>
                <w:rFonts w:ascii="Arial Unicode MS" w:eastAsia="Arial Unicode MS" w:hAnsi="Arial Unicode MS"/>
              </w:rPr>
            </w:pPr>
            <w:r>
              <w:t>VA99</w:t>
            </w:r>
          </w:p>
        </w:tc>
        <w:tc>
          <w:tcPr>
            <w:tcW w:w="3870" w:type="dxa"/>
            <w:vAlign w:val="bottom"/>
          </w:tcPr>
          <w:p w:rsidR="00A9688A" w:rsidRDefault="00A9688A" w:rsidP="00857D5F">
            <w:pPr>
              <w:pStyle w:val="TableText"/>
              <w:rPr>
                <w:rFonts w:ascii="Arial Unicode MS" w:eastAsia="Arial Unicode MS" w:hAnsi="Arial Unicode MS"/>
              </w:rPr>
            </w:pPr>
            <w:r>
              <w:t>DOD BEDS IN VA FACILITY</w:t>
            </w:r>
          </w:p>
        </w:tc>
      </w:tr>
    </w:tbl>
    <w:p w:rsidR="00CA3E27" w:rsidRDefault="00CA3E27"/>
    <w:p w:rsidR="002A21AE" w:rsidRPr="00D327A3" w:rsidRDefault="002A21AE" w:rsidP="00D327A3">
      <w:pPr>
        <w:pStyle w:val="Heading3"/>
      </w:pPr>
      <w:bookmarkStart w:id="666" w:name="_Toc91323817"/>
      <w:r w:rsidRPr="00D327A3">
        <w:rPr>
          <w:rFonts w:ascii="Arial Bold" w:hAnsi="Arial Bold"/>
          <w:vanish/>
        </w:rPr>
        <w:lastRenderedPageBreak/>
        <w:t xml:space="preserve">TT_92.01 </w:t>
      </w:r>
      <w:bookmarkStart w:id="667" w:name="_Toc459900205"/>
      <w:r w:rsidRPr="00D327A3">
        <w:t>Order Status Flowchart</w:t>
      </w:r>
      <w:bookmarkEnd w:id="666"/>
      <w:bookmarkEnd w:id="667"/>
      <w:r w:rsidRPr="00D327A3">
        <w:fldChar w:fldCharType="begin"/>
      </w:r>
      <w:r w:rsidRPr="00D327A3">
        <w:instrText xml:space="preserve"> XE </w:instrText>
      </w:r>
      <w:r w:rsidR="00FA7E65" w:rsidRPr="00D327A3">
        <w:instrText>“</w:instrText>
      </w:r>
      <w:r w:rsidRPr="00D327A3">
        <w:instrText>Figures:Order Status Flowchart</w:instrText>
      </w:r>
      <w:r w:rsidR="00FA7E65" w:rsidRPr="00D327A3">
        <w:instrText>”</w:instrText>
      </w:r>
      <w:r w:rsidRPr="00D327A3">
        <w:instrText xml:space="preserve"> </w:instrText>
      </w:r>
      <w:r w:rsidRPr="00D327A3">
        <w:fldChar w:fldCharType="end"/>
      </w:r>
    </w:p>
    <w:p w:rsidR="002A21AE" w:rsidRDefault="002A21AE">
      <w:pPr>
        <w:pStyle w:val="Caption"/>
      </w:pPr>
      <w:bookmarkStart w:id="668" w:name="_Toc97523642"/>
      <w:bookmarkStart w:id="669" w:name="_Toc97527612"/>
      <w:bookmarkStart w:id="670" w:name="_Ref126728889"/>
      <w:bookmarkStart w:id="671" w:name="_Ref126729528"/>
      <w:bookmarkStart w:id="672" w:name="_Ref126729659"/>
      <w:bookmarkStart w:id="673" w:name="_Ref126729757"/>
      <w:bookmarkStart w:id="674" w:name="_Ref126729901"/>
      <w:bookmarkStart w:id="675" w:name="_Ref127061358"/>
      <w:bookmarkStart w:id="676" w:name="_Ref127061360"/>
      <w:r>
        <w:t xml:space="preserve">Figure </w:t>
      </w:r>
      <w:r w:rsidR="00C17F7C">
        <w:fldChar w:fldCharType="begin"/>
      </w:r>
      <w:r w:rsidR="00C17F7C">
        <w:instrText xml:space="preserve"> SEQ Figure \* ARABIC </w:instrText>
      </w:r>
      <w:r w:rsidR="00C17F7C">
        <w:fldChar w:fldCharType="separate"/>
      </w:r>
      <w:r w:rsidR="005F38BC">
        <w:rPr>
          <w:noProof/>
        </w:rPr>
        <w:t>137</w:t>
      </w:r>
      <w:r w:rsidR="00C17F7C">
        <w:fldChar w:fldCharType="end"/>
      </w:r>
      <w:bookmarkEnd w:id="670"/>
      <w:r>
        <w:t xml:space="preserve">: </w:t>
      </w:r>
      <w:r>
        <w:rPr>
          <w:vanish/>
        </w:rPr>
        <w:t xml:space="preserve">TT_92.01 </w:t>
      </w:r>
      <w:r>
        <w:rPr>
          <w:rStyle w:val="Heading3Char"/>
          <w:rFonts w:ascii="Times New Roman" w:hAnsi="Times New Roman" w:cs="Times New Roman"/>
          <w:bCs w:val="0"/>
          <w:sz w:val="22"/>
        </w:rPr>
        <w:t>Order</w:t>
      </w:r>
      <w:r>
        <w:t xml:space="preserve"> Status Flowchart</w:t>
      </w:r>
      <w:bookmarkEnd w:id="668"/>
      <w:bookmarkEnd w:id="669"/>
      <w:bookmarkEnd w:id="671"/>
      <w:bookmarkEnd w:id="672"/>
      <w:bookmarkEnd w:id="673"/>
      <w:bookmarkEnd w:id="674"/>
      <w:bookmarkEnd w:id="675"/>
      <w:bookmarkEnd w:id="676"/>
    </w:p>
    <w:p w:rsidR="009C72EC" w:rsidRDefault="00DB5CF1" w:rsidP="004D2640">
      <w:pPr>
        <w:pStyle w:val="BodyText"/>
        <w:jc w:val="center"/>
      </w:pPr>
      <w:r>
        <w:object w:dxaOrig="9770" w:dyaOrig="16915">
          <v:shape id="_x0000_i1029" type="#_x0000_t75" style="width:364.4pt;height:552.85pt" o:ole="">
            <v:imagedata r:id="rId239" o:title=""/>
          </v:shape>
          <o:OLEObject Type="Embed" ProgID="Visio.Drawing.11" ShapeID="_x0000_i1029" DrawAspect="Content" ObjectID="_1538556482" r:id="rId240"/>
        </w:object>
      </w:r>
    </w:p>
    <w:p w:rsidR="002A21AE" w:rsidRDefault="002A21AE" w:rsidP="009C72EC">
      <w:pPr>
        <w:pStyle w:val="Heading3"/>
      </w:pPr>
      <w:r>
        <w:rPr>
          <w:rFonts w:ascii="Geneva" w:hAnsi="Geneva"/>
          <w:vanish/>
        </w:rPr>
        <w:lastRenderedPageBreak/>
        <w:t xml:space="preserve">TT_3.05 </w:t>
      </w:r>
      <w:bookmarkStart w:id="677" w:name="_Toc459900206"/>
      <w:r>
        <w:t>Rules for</w:t>
      </w:r>
      <w:bookmarkEnd w:id="657"/>
      <w:r>
        <w:t xml:space="preserve"> Electronic and Serologic</w:t>
      </w:r>
      <w:bookmarkEnd w:id="658"/>
      <w:r>
        <w:t xml:space="preserve"> Crossmatch</w:t>
      </w:r>
      <w:bookmarkEnd w:id="677"/>
      <w:r>
        <w:fldChar w:fldCharType="begin"/>
      </w:r>
      <w:r>
        <w:instrText xml:space="preserve"> XE </w:instrText>
      </w:r>
      <w:r w:rsidR="00FA7E65">
        <w:instrText>“</w:instrText>
      </w:r>
      <w:r>
        <w:instrText>Tables:Rules for Electronic and Serologic Crossmatch</w:instrText>
      </w:r>
      <w:r w:rsidR="00FA7E65">
        <w:instrText>”</w:instrText>
      </w:r>
      <w:r>
        <w:instrText xml:space="preserve"> </w:instrText>
      </w:r>
      <w:r>
        <w:fldChar w:fldCharType="end"/>
      </w:r>
    </w:p>
    <w:p w:rsidR="002A21AE" w:rsidRDefault="002A21AE" w:rsidP="00FA7E65">
      <w:pPr>
        <w:pStyle w:val="BodyText"/>
      </w:pPr>
      <w:r>
        <w:t>The WHOLE BLOOD, RED BLOOD CELLS, and APHERESIS RED BLOOD CELLS ICCBBA component classes require crossmatch evaluation, serologic or electronic (when enabled). For the OTHER ICCBBA component class, a reflex crossmatch test was ordered based on the technologist’s evaluation of the unit itself. Each collection is different and the technologist must evaluate the red blood cell content of the unit at the time of selection</w:t>
      </w:r>
      <w:r w:rsidRPr="009660C3">
        <w:t xml:space="preserve">. </w:t>
      </w:r>
      <w:r w:rsidRPr="009660C3">
        <w:rPr>
          <w:vanish/>
        </w:rPr>
        <w:t>See BR_3.09 for additional information.</w:t>
      </w:r>
    </w:p>
    <w:p w:rsidR="002A21AE" w:rsidRDefault="002A21AE" w:rsidP="00FA7E65">
      <w:pPr>
        <w:pStyle w:val="BodyText"/>
      </w:pPr>
      <w:r>
        <w:t xml:space="preserve">When electronic crossmatch is enabled at a division and units that require crossmatch (WHOLE BLOOD, RED BLOOD CELLS, and APHERESIS RED BLOOD CELLS ICCBBA component classes or a reflex crossmatch test was ordered) are selected, the system performs a comprehensive set of data validation, which does not include inactivated patient or unit tests. This patient and unit data validation is to ensure that the combination of patient and blood unit testing allows the unit to be eligible for electronic crossmatch. </w:t>
      </w:r>
      <w:r w:rsidR="00BF08A0">
        <w:t>W</w:t>
      </w:r>
      <w:r>
        <w:t xml:space="preserve">hen the combination does not allow for electronic crossmatch, VBECS warns the user </w:t>
      </w:r>
      <w:r w:rsidR="008712AB">
        <w:t>that</w:t>
      </w:r>
      <w:r>
        <w:t xml:space="preserve"> the electronic crossmatch will not be applied. </w:t>
      </w:r>
    </w:p>
    <w:p w:rsidR="002A21AE" w:rsidRDefault="00440DF9" w:rsidP="00FA7E65">
      <w:pPr>
        <w:pStyle w:val="BodyText"/>
      </w:pPr>
      <w:r>
        <w:fldChar w:fldCharType="begin"/>
      </w:r>
      <w:r>
        <w:instrText xml:space="preserve"> REF _Ref317682164 \h </w:instrText>
      </w:r>
      <w:r>
        <w:fldChar w:fldCharType="separate"/>
      </w:r>
      <w:r w:rsidR="005F38BC">
        <w:t xml:space="preserve">Table </w:t>
      </w:r>
      <w:r w:rsidR="005F38BC">
        <w:rPr>
          <w:noProof/>
        </w:rPr>
        <w:t>24</w:t>
      </w:r>
      <w:r>
        <w:fldChar w:fldCharType="end"/>
      </w:r>
      <w:r>
        <w:t xml:space="preserve"> </w:t>
      </w:r>
      <w:r w:rsidR="002A21AE">
        <w:t xml:space="preserve">provides the mapping for the actual parameters verified and associated error messages. All parameters must comply in order for the unit to be eligible for electronic crossmatch: there are no exceptions or overrides. The parameters are checked in the order listed and once a parameter fails, VBECS displays the appropriate error message, no further checking occurs, and the selected unit must have serologic crossmatch performed. </w:t>
      </w:r>
    </w:p>
    <w:p w:rsidR="00D96746" w:rsidRDefault="00634BFC" w:rsidP="00D96746">
      <w:pPr>
        <w:pStyle w:val="Caution"/>
      </w:pPr>
      <w:r>
        <w:rPr>
          <w:noProof/>
        </w:rPr>
        <w:drawing>
          <wp:inline distT="0" distB="0" distL="0" distR="0">
            <wp:extent cx="266700" cy="219075"/>
            <wp:effectExtent l="0" t="0" r="0"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5B60F7">
        <w:t xml:space="preserve"> </w:t>
      </w:r>
      <w:r w:rsidR="00D96746">
        <w:t xml:space="preserve">To use </w:t>
      </w:r>
      <w:r w:rsidR="007743E5">
        <w:t xml:space="preserve">the </w:t>
      </w:r>
      <w:r w:rsidR="00D96746">
        <w:t>electronic crossmatch</w:t>
      </w:r>
      <w:r w:rsidR="007743E5">
        <w:t xml:space="preserve"> function</w:t>
      </w:r>
      <w:r w:rsidR="00D96746">
        <w:t>, sites must perform a</w:t>
      </w:r>
      <w:r w:rsidR="00413CBC">
        <w:t>dditional</w:t>
      </w:r>
      <w:r w:rsidR="00D96746">
        <w:t xml:space="preserve"> validation of </w:t>
      </w:r>
      <w:r w:rsidR="00413CBC">
        <w:t>electronic crossmatch to meet regulatory requirements</w:t>
      </w:r>
      <w:r w:rsidR="00D96746">
        <w:t>.</w:t>
      </w:r>
      <w:r w:rsidR="00214959">
        <w:t xml:space="preserve"> See </w:t>
      </w:r>
      <w:r w:rsidR="00214959" w:rsidRPr="001A6C60">
        <w:t>Guidelines for Implementing the Electronic Crossmatch</w:t>
      </w:r>
      <w:r w:rsidR="00214959" w:rsidRPr="0026301E">
        <w:t xml:space="preserve"> (Bethesda, MD: American Association of Blood Banks, 200</w:t>
      </w:r>
      <w:r w:rsidR="00214959">
        <w:t>3</w:t>
      </w:r>
      <w:r w:rsidR="00214959" w:rsidRPr="0026301E">
        <w:t>).</w:t>
      </w:r>
    </w:p>
    <w:p w:rsidR="005E4C78" w:rsidRDefault="00634BFC" w:rsidP="005E4C78">
      <w:pPr>
        <w:pStyle w:val="Caution"/>
      </w:pPr>
      <w:bookmarkStart w:id="678" w:name="_Toc97523643"/>
      <w:bookmarkStart w:id="679" w:name="_Toc97527613"/>
      <w:bookmarkStart w:id="680" w:name="_Ref126486028"/>
      <w:bookmarkStart w:id="681" w:name="_Ref126486167"/>
      <w:bookmarkStart w:id="682" w:name="_Ref126486265"/>
      <w:bookmarkStart w:id="683" w:name="_Ref126504234"/>
      <w:bookmarkStart w:id="684" w:name="_Ref126504434"/>
      <w:bookmarkStart w:id="685" w:name="_Ref126732439"/>
      <w:r>
        <w:rPr>
          <w:noProof/>
        </w:rPr>
        <w:drawing>
          <wp:inline distT="0" distB="0" distL="0" distR="0">
            <wp:extent cx="266700" cy="219075"/>
            <wp:effectExtent l="0" t="0" r="0"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5E4C78">
        <w:t xml:space="preserve"> </w:t>
      </w:r>
      <w:r w:rsidR="00C602D5">
        <w:t>Changing a patient’s antigen negative requirement or antibody identified</w:t>
      </w:r>
      <w:r w:rsidR="00C242AA">
        <w:t xml:space="preserve"> after a unit is cro</w:t>
      </w:r>
      <w:r w:rsidR="00994C11">
        <w:t>ssmatched does not provide an alert at Issue Unit regarding the type of crossmatch (electronic or serologic) performed on a unit available for issue.</w:t>
      </w:r>
    </w:p>
    <w:p w:rsidR="002A21AE" w:rsidRDefault="002A21AE">
      <w:pPr>
        <w:pStyle w:val="Caption"/>
      </w:pPr>
      <w:bookmarkStart w:id="686" w:name="_Ref317682164"/>
      <w:bookmarkStart w:id="687" w:name="_Ref317762597"/>
      <w:r>
        <w:t xml:space="preserve">Table </w:t>
      </w:r>
      <w:r>
        <w:fldChar w:fldCharType="begin"/>
      </w:r>
      <w:r>
        <w:instrText xml:space="preserve"> SEQ Table \* ARABIC </w:instrText>
      </w:r>
      <w:r>
        <w:fldChar w:fldCharType="separate"/>
      </w:r>
      <w:r w:rsidR="005F38BC">
        <w:rPr>
          <w:noProof/>
        </w:rPr>
        <w:t>24</w:t>
      </w:r>
      <w:r>
        <w:fldChar w:fldCharType="end"/>
      </w:r>
      <w:bookmarkEnd w:id="685"/>
      <w:bookmarkEnd w:id="686"/>
      <w:r>
        <w:t xml:space="preserve">: </w:t>
      </w:r>
      <w:r>
        <w:rPr>
          <w:vanish/>
        </w:rPr>
        <w:t xml:space="preserve">TT_3.05 </w:t>
      </w:r>
      <w:r>
        <w:t>Rules for Electronic and Serologic Crossmatch</w:t>
      </w:r>
      <w:bookmarkEnd w:id="678"/>
      <w:bookmarkEnd w:id="679"/>
      <w:bookmarkEnd w:id="680"/>
      <w:bookmarkEnd w:id="681"/>
      <w:bookmarkEnd w:id="682"/>
      <w:bookmarkEnd w:id="683"/>
      <w:bookmarkEnd w:id="684"/>
      <w:bookmarkEnd w:id="687"/>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60"/>
        <w:gridCol w:w="3600"/>
      </w:tblGrid>
      <w:tr w:rsidR="002A21AE">
        <w:tblPrEx>
          <w:tblCellMar>
            <w:top w:w="0" w:type="dxa"/>
            <w:bottom w:w="0" w:type="dxa"/>
          </w:tblCellMar>
        </w:tblPrEx>
        <w:trPr>
          <w:tblHeader/>
        </w:trPr>
        <w:tc>
          <w:tcPr>
            <w:tcW w:w="5760" w:type="dxa"/>
            <w:shd w:val="clear" w:color="auto" w:fill="B3B3B3"/>
          </w:tcPr>
          <w:p w:rsidR="002A21AE" w:rsidRDefault="002A21AE">
            <w:pPr>
              <w:pStyle w:val="TableText"/>
              <w:rPr>
                <w:b/>
              </w:rPr>
            </w:pPr>
            <w:r>
              <w:rPr>
                <w:b/>
              </w:rPr>
              <w:t>Parameter Checked</w:t>
            </w:r>
          </w:p>
        </w:tc>
        <w:tc>
          <w:tcPr>
            <w:tcW w:w="3600" w:type="dxa"/>
            <w:shd w:val="clear" w:color="auto" w:fill="B3B3B3"/>
          </w:tcPr>
          <w:p w:rsidR="002A21AE" w:rsidRDefault="002A21AE">
            <w:pPr>
              <w:pStyle w:val="TableText"/>
              <w:rPr>
                <w:b/>
              </w:rPr>
            </w:pPr>
            <w:r>
              <w:rPr>
                <w:b/>
              </w:rPr>
              <w:t>Error Message When Parameter Fails</w:t>
            </w:r>
          </w:p>
        </w:tc>
      </w:tr>
      <w:tr w:rsidR="002A21AE">
        <w:tblPrEx>
          <w:tblCellMar>
            <w:top w:w="0" w:type="dxa"/>
            <w:bottom w:w="0" w:type="dxa"/>
          </w:tblCellMar>
        </w:tblPrEx>
        <w:tc>
          <w:tcPr>
            <w:tcW w:w="5760" w:type="dxa"/>
          </w:tcPr>
          <w:p w:rsidR="002A21AE" w:rsidRDefault="002A21AE">
            <w:pPr>
              <w:pStyle w:val="TableText"/>
            </w:pPr>
            <w:r>
              <w:t xml:space="preserve">Current specimen ABO/Rh and Antibody Screen testing must be complete. </w:t>
            </w:r>
          </w:p>
        </w:tc>
        <w:tc>
          <w:tcPr>
            <w:tcW w:w="3600" w:type="dxa"/>
          </w:tcPr>
          <w:p w:rsidR="002A21AE" w:rsidRDefault="002A21AE">
            <w:pPr>
              <w:pStyle w:val="TableText"/>
            </w:pPr>
            <w:r>
              <w:t>Patient not eligible for eXM. Current specimen not fully tested.</w:t>
            </w:r>
          </w:p>
        </w:tc>
      </w:tr>
      <w:tr w:rsidR="002A21AE">
        <w:tblPrEx>
          <w:tblCellMar>
            <w:top w:w="0" w:type="dxa"/>
            <w:bottom w:w="0" w:type="dxa"/>
          </w:tblCellMar>
        </w:tblPrEx>
        <w:tc>
          <w:tcPr>
            <w:tcW w:w="5760" w:type="dxa"/>
          </w:tcPr>
          <w:p w:rsidR="002A21AE" w:rsidRDefault="002A21AE">
            <w:pPr>
              <w:pStyle w:val="TableText"/>
            </w:pPr>
            <w:r>
              <w:t>Current specimen Antibody Screen interpretation must be negative.</w:t>
            </w:r>
            <w:r w:rsidR="009A061C">
              <w:t xml:space="preserve"> VBECS checks only the last Antibody Screen entered.</w:t>
            </w:r>
          </w:p>
        </w:tc>
        <w:tc>
          <w:tcPr>
            <w:tcW w:w="3600" w:type="dxa"/>
          </w:tcPr>
          <w:p w:rsidR="002A21AE" w:rsidRDefault="002A21AE">
            <w:pPr>
              <w:pStyle w:val="TableText"/>
            </w:pPr>
            <w:r>
              <w:t>Patient not eligible for eXM due to positive Antibody Screen.</w:t>
            </w:r>
          </w:p>
        </w:tc>
      </w:tr>
      <w:tr w:rsidR="002A21AE">
        <w:tblPrEx>
          <w:tblCellMar>
            <w:top w:w="0" w:type="dxa"/>
            <w:bottom w:w="0" w:type="dxa"/>
          </w:tblCellMar>
        </w:tblPrEx>
        <w:tc>
          <w:tcPr>
            <w:tcW w:w="5760" w:type="dxa"/>
          </w:tcPr>
          <w:p w:rsidR="002A21AE" w:rsidRDefault="002A21AE">
            <w:pPr>
              <w:pStyle w:val="TableText"/>
            </w:pPr>
            <w:r>
              <w:t xml:space="preserve">Patient must have no history of previously identified antibodies, regardless of clinical significance based on system rules </w:t>
            </w:r>
            <w:r>
              <w:rPr>
                <w:vanish/>
                <w:szCs w:val="18"/>
              </w:rPr>
              <w:t>TT_23.01</w:t>
            </w:r>
            <w:r>
              <w:t>or division (or from conversion) of the antibody ID.</w:t>
            </w:r>
          </w:p>
        </w:tc>
        <w:tc>
          <w:tcPr>
            <w:tcW w:w="3600" w:type="dxa"/>
          </w:tcPr>
          <w:p w:rsidR="002A21AE" w:rsidRDefault="002A21AE">
            <w:pPr>
              <w:pStyle w:val="TableText"/>
            </w:pPr>
            <w:r>
              <w:t>Patient not eligible for eXM due to previous antibody history.</w:t>
            </w:r>
          </w:p>
        </w:tc>
      </w:tr>
      <w:tr w:rsidR="002A21AE">
        <w:tblPrEx>
          <w:tblCellMar>
            <w:top w:w="0" w:type="dxa"/>
            <w:bottom w:w="0" w:type="dxa"/>
          </w:tblCellMar>
        </w:tblPrEx>
        <w:tc>
          <w:tcPr>
            <w:tcW w:w="5760" w:type="dxa"/>
          </w:tcPr>
          <w:p w:rsidR="002A21AE" w:rsidRDefault="002A21AE">
            <w:pPr>
              <w:pStyle w:val="TableText"/>
            </w:pPr>
            <w:r>
              <w:t>Patient cannot have a persistent antigen negative requirement regardless of the division of the requirement entry.</w:t>
            </w:r>
          </w:p>
        </w:tc>
        <w:tc>
          <w:tcPr>
            <w:tcW w:w="3600" w:type="dxa"/>
          </w:tcPr>
          <w:p w:rsidR="002A21AE" w:rsidRDefault="002A21AE">
            <w:pPr>
              <w:pStyle w:val="TableText"/>
            </w:pPr>
            <w:r>
              <w:t>Patient not eligible for eXM due to transfusion antigen negative requirement.</w:t>
            </w:r>
          </w:p>
        </w:tc>
      </w:tr>
      <w:tr w:rsidR="002A21AE" w:rsidRPr="005A7636">
        <w:tblPrEx>
          <w:tblCellMar>
            <w:top w:w="0" w:type="dxa"/>
            <w:bottom w:w="0" w:type="dxa"/>
          </w:tblCellMar>
        </w:tblPrEx>
        <w:tc>
          <w:tcPr>
            <w:tcW w:w="5760" w:type="dxa"/>
          </w:tcPr>
          <w:p w:rsidR="002A21AE" w:rsidRPr="005A7636" w:rsidRDefault="00B05CCE" w:rsidP="005A7636">
            <w:pPr>
              <w:pStyle w:val="TableText"/>
            </w:pPr>
            <w:r w:rsidRPr="00B05CCE">
              <w:t>The patient current ABO/Rh must match the historical record when there is a historical record, and there must be no previous justifications. An ABO/Rh marked as “entered in error” is not considered part of the patient’s record.</w:t>
            </w:r>
          </w:p>
        </w:tc>
        <w:tc>
          <w:tcPr>
            <w:tcW w:w="3600" w:type="dxa"/>
          </w:tcPr>
          <w:p w:rsidR="002A21AE" w:rsidRPr="005A7636" w:rsidRDefault="002A21AE" w:rsidP="005A7636">
            <w:pPr>
              <w:pStyle w:val="TableText"/>
            </w:pPr>
            <w:r w:rsidRPr="005A7636">
              <w:t>Patient not eligible for eXM due to ABO/Rh discrepancy from previous record.</w:t>
            </w:r>
          </w:p>
        </w:tc>
      </w:tr>
      <w:tr w:rsidR="002A21AE">
        <w:tblPrEx>
          <w:tblCellMar>
            <w:top w:w="0" w:type="dxa"/>
            <w:bottom w:w="0" w:type="dxa"/>
          </w:tblCellMar>
        </w:tblPrEx>
        <w:tc>
          <w:tcPr>
            <w:tcW w:w="5760" w:type="dxa"/>
          </w:tcPr>
          <w:p w:rsidR="002A21AE" w:rsidRDefault="002A21AE">
            <w:pPr>
              <w:pStyle w:val="TableText"/>
            </w:pPr>
            <w:r>
              <w:t>The patient cannot have a documented ins</w:t>
            </w:r>
            <w:r w:rsidR="004F09C6">
              <w:t>tance of current or previous</w:t>
            </w:r>
            <w:r>
              <w:t xml:space="preserve"> Inconclusive ABO/Rh typing.</w:t>
            </w:r>
          </w:p>
        </w:tc>
        <w:tc>
          <w:tcPr>
            <w:tcW w:w="3600" w:type="dxa"/>
          </w:tcPr>
          <w:p w:rsidR="002A21AE" w:rsidRDefault="002A21AE">
            <w:pPr>
              <w:pStyle w:val="TableText"/>
            </w:pPr>
            <w:r>
              <w:t>Patient not eligible for eXM due to ABO/Rh typing difficulty.</w:t>
            </w:r>
          </w:p>
        </w:tc>
      </w:tr>
      <w:tr w:rsidR="002A21AE">
        <w:tblPrEx>
          <w:tblCellMar>
            <w:top w:w="0" w:type="dxa"/>
            <w:bottom w:w="0" w:type="dxa"/>
          </w:tblCellMar>
        </w:tblPrEx>
        <w:tc>
          <w:tcPr>
            <w:tcW w:w="5760" w:type="dxa"/>
          </w:tcPr>
          <w:p w:rsidR="00810934" w:rsidRPr="00810934" w:rsidRDefault="002A21AE">
            <w:pPr>
              <w:pStyle w:val="TableText"/>
              <w:rPr>
                <w:szCs w:val="18"/>
              </w:rPr>
            </w:pPr>
            <w:r>
              <w:t xml:space="preserve">There must be at least two valid instances of ABO/Rh typing performed in the same division for the patient. One instance must be a valid ABO/Rh on the current specimen and not “unknown” or “inconclusive”; the other may be from a previous typing episode or a repeat ABO/Rh performed on the current specimen. The patient ABO/Rh interpretations must match in all instances. </w:t>
            </w:r>
            <w:r w:rsidR="00810934">
              <w:rPr>
                <w:szCs w:val="18"/>
              </w:rPr>
              <w:t>The user m</w:t>
            </w:r>
            <w:r w:rsidR="00810934" w:rsidRPr="00810934">
              <w:rPr>
                <w:szCs w:val="18"/>
              </w:rPr>
              <w:t xml:space="preserve">ust </w:t>
            </w:r>
            <w:r w:rsidR="00810934" w:rsidRPr="00810934">
              <w:rPr>
                <w:szCs w:val="18"/>
              </w:rPr>
              <w:lastRenderedPageBreak/>
              <w:t xml:space="preserve">enter valid forward and reverse typing </w:t>
            </w:r>
            <w:r w:rsidR="00810934">
              <w:rPr>
                <w:szCs w:val="18"/>
              </w:rPr>
              <w:t>for</w:t>
            </w:r>
            <w:r w:rsidR="00810934" w:rsidRPr="00810934">
              <w:rPr>
                <w:szCs w:val="18"/>
              </w:rPr>
              <w:t xml:space="preserve"> the system </w:t>
            </w:r>
            <w:r w:rsidR="00810934">
              <w:rPr>
                <w:szCs w:val="18"/>
              </w:rPr>
              <w:t>to</w:t>
            </w:r>
            <w:r w:rsidR="00810934" w:rsidRPr="00810934">
              <w:rPr>
                <w:szCs w:val="18"/>
              </w:rPr>
              <w:t xml:space="preserve"> use as the second test performed in the division.</w:t>
            </w:r>
          </w:p>
        </w:tc>
        <w:tc>
          <w:tcPr>
            <w:tcW w:w="3600" w:type="dxa"/>
          </w:tcPr>
          <w:p w:rsidR="002A21AE" w:rsidRDefault="00810934">
            <w:pPr>
              <w:pStyle w:val="TableText"/>
            </w:pPr>
            <w:r>
              <w:lastRenderedPageBreak/>
              <w:t>Patient not eligible for eXM:</w:t>
            </w:r>
            <w:r w:rsidR="002A21AE">
              <w:t xml:space="preserve"> he must have two instances of ABO/Rh typing at the division for eXM, including the current specimen.</w:t>
            </w:r>
          </w:p>
        </w:tc>
      </w:tr>
      <w:tr w:rsidR="002A21AE">
        <w:tblPrEx>
          <w:tblCellMar>
            <w:top w:w="0" w:type="dxa"/>
            <w:bottom w:w="0" w:type="dxa"/>
          </w:tblCellMar>
        </w:tblPrEx>
        <w:tc>
          <w:tcPr>
            <w:tcW w:w="5760" w:type="dxa"/>
          </w:tcPr>
          <w:p w:rsidR="002A21AE" w:rsidRDefault="002A21AE">
            <w:pPr>
              <w:pStyle w:val="TableText"/>
            </w:pPr>
            <w:r>
              <w:lastRenderedPageBreak/>
              <w:t>Selected unit must be ABO compatible based on system rules</w:t>
            </w:r>
            <w:r>
              <w:rPr>
                <w:vanish/>
                <w:szCs w:val="18"/>
              </w:rPr>
              <w:t>TT_3.01 or TT_3.02</w:t>
            </w:r>
            <w:r>
              <w:t>.</w:t>
            </w:r>
          </w:p>
        </w:tc>
        <w:tc>
          <w:tcPr>
            <w:tcW w:w="3600" w:type="dxa"/>
          </w:tcPr>
          <w:p w:rsidR="002A21AE" w:rsidRDefault="002A21AE">
            <w:pPr>
              <w:pStyle w:val="TableText"/>
            </w:pPr>
            <w:r>
              <w:t>Unit not eligible for eXM. Unit is ABO incompatible with the patient.</w:t>
            </w:r>
          </w:p>
        </w:tc>
      </w:tr>
      <w:tr w:rsidR="002A21AE">
        <w:tblPrEx>
          <w:tblCellMar>
            <w:top w:w="0" w:type="dxa"/>
            <w:bottom w:w="0" w:type="dxa"/>
          </w:tblCellMar>
        </w:tblPrEx>
        <w:tc>
          <w:tcPr>
            <w:tcW w:w="5760" w:type="dxa"/>
          </w:tcPr>
          <w:p w:rsidR="002A21AE" w:rsidRDefault="002A21AE">
            <w:pPr>
              <w:pStyle w:val="TableText"/>
            </w:pPr>
            <w:r>
              <w:t>Selected Rh negative units must have ABO and Rh confirmation results entered. The ABO and Rh confirmation interpretation must match the unit ABO/Rh at login.</w:t>
            </w:r>
          </w:p>
        </w:tc>
        <w:tc>
          <w:tcPr>
            <w:tcW w:w="3600" w:type="dxa"/>
          </w:tcPr>
          <w:p w:rsidR="002A21AE" w:rsidRDefault="002A21AE">
            <w:pPr>
              <w:pStyle w:val="TableText"/>
            </w:pPr>
            <w:r>
              <w:t>Unit not eligible for eXM. ABO/Rh confirmation not performed.</w:t>
            </w:r>
          </w:p>
        </w:tc>
      </w:tr>
      <w:tr w:rsidR="002A21AE">
        <w:tblPrEx>
          <w:tblCellMar>
            <w:top w:w="0" w:type="dxa"/>
            <w:bottom w:w="0" w:type="dxa"/>
          </w:tblCellMar>
        </w:tblPrEx>
        <w:tc>
          <w:tcPr>
            <w:tcW w:w="5760" w:type="dxa"/>
          </w:tcPr>
          <w:p w:rsidR="002A21AE" w:rsidRDefault="002A21AE">
            <w:pPr>
              <w:pStyle w:val="TableText"/>
            </w:pPr>
            <w:r>
              <w:t>Selected Rh positive units must have ABO confirmation results entered. The ABO confirmation interpretation must match the unit ABO at login.</w:t>
            </w:r>
          </w:p>
        </w:tc>
        <w:tc>
          <w:tcPr>
            <w:tcW w:w="3600" w:type="dxa"/>
          </w:tcPr>
          <w:p w:rsidR="002A21AE" w:rsidRDefault="002A21AE">
            <w:pPr>
              <w:pStyle w:val="TableText"/>
            </w:pPr>
            <w:r>
              <w:t>Unit not eligible for eXM. ABO confirmation not performed.</w:t>
            </w:r>
          </w:p>
        </w:tc>
      </w:tr>
      <w:tr w:rsidR="00F5017E">
        <w:tblPrEx>
          <w:tblCellMar>
            <w:top w:w="0" w:type="dxa"/>
            <w:bottom w:w="0" w:type="dxa"/>
          </w:tblCellMar>
        </w:tblPrEx>
        <w:tc>
          <w:tcPr>
            <w:tcW w:w="5760" w:type="dxa"/>
          </w:tcPr>
          <w:p w:rsidR="00F5017E" w:rsidRDefault="00F5017E">
            <w:pPr>
              <w:pStyle w:val="TableText"/>
            </w:pPr>
            <w:r w:rsidRPr="00F5017E">
              <w:t>Selected unit was previously serologically crossmatch incompatible with this patient.</w:t>
            </w:r>
          </w:p>
        </w:tc>
        <w:tc>
          <w:tcPr>
            <w:tcW w:w="3600" w:type="dxa"/>
          </w:tcPr>
          <w:p w:rsidR="00F5017E" w:rsidRDefault="00F5017E">
            <w:pPr>
              <w:pStyle w:val="TableText"/>
            </w:pPr>
            <w:r w:rsidRPr="00F5017E">
              <w:t>Unit not eligible for eXM. Unit was previously serologically crossmatch incompatible with the patient.</w:t>
            </w:r>
          </w:p>
        </w:tc>
      </w:tr>
    </w:tbl>
    <w:p w:rsidR="002A21AE" w:rsidRDefault="002A21AE">
      <w:pPr>
        <w:pStyle w:val="Heading3"/>
        <w:rPr>
          <w:noProof/>
        </w:rPr>
      </w:pPr>
      <w:r>
        <w:rPr>
          <w:rFonts w:ascii="Geneva" w:hAnsi="Geneva"/>
          <w:vanish/>
        </w:rPr>
        <w:t xml:space="preserve">TT_27.01 </w:t>
      </w:r>
      <w:bookmarkStart w:id="688" w:name="_Toc459900207"/>
      <w:r>
        <w:t>Unit Status Flowchart</w:t>
      </w:r>
      <w:bookmarkEnd w:id="688"/>
      <w:r>
        <w:fldChar w:fldCharType="begin"/>
      </w:r>
      <w:r>
        <w:instrText xml:space="preserve"> XE </w:instrText>
      </w:r>
      <w:r w:rsidR="00FA7E65">
        <w:instrText>“</w:instrText>
      </w:r>
      <w:r>
        <w:instrText>Figures:Unit Status Flowchart</w:instrText>
      </w:r>
      <w:r w:rsidR="00FA7E65">
        <w:instrText>”</w:instrText>
      </w:r>
      <w:r>
        <w:instrText xml:space="preserve"> </w:instrText>
      </w:r>
      <w:r>
        <w:fldChar w:fldCharType="end"/>
      </w:r>
    </w:p>
    <w:p w:rsidR="002A21AE" w:rsidRDefault="002A21AE">
      <w:pPr>
        <w:pStyle w:val="Heading4"/>
      </w:pPr>
      <w:r>
        <w:t>Types of Unit Statuses</w:t>
      </w:r>
    </w:p>
    <w:p w:rsidR="002A21AE" w:rsidRDefault="002A21AE">
      <w:pPr>
        <w:pStyle w:val="ListBullet"/>
      </w:pPr>
      <w:r>
        <w:t>Temporary: awaiting ABO/Rh confirmation (lime green on the flowchart)</w:t>
      </w:r>
    </w:p>
    <w:p w:rsidR="002A21AE" w:rsidRDefault="002A21AE">
      <w:pPr>
        <w:pStyle w:val="ListBullet"/>
      </w:pPr>
      <w:r>
        <w:t>Adjustable: may move in and out of the status as part of normal processing</w:t>
      </w:r>
    </w:p>
    <w:p w:rsidR="002A21AE" w:rsidRDefault="002A21AE">
      <w:pPr>
        <w:pStyle w:val="ListBullet"/>
      </w:pPr>
      <w:r>
        <w:t>Issued: pending an update to transfusion or return (bright green in the flowchart)</w:t>
      </w:r>
    </w:p>
    <w:p w:rsidR="002A21AE" w:rsidRDefault="002A21AE">
      <w:pPr>
        <w:pStyle w:val="ListBullet"/>
      </w:pPr>
      <w:r>
        <w:t>Final: the unit is no longer available for most processes in the division; the unit record remains active (pink and stop signs in the flowchart)</w:t>
      </w:r>
    </w:p>
    <w:p w:rsidR="002A21AE" w:rsidRDefault="002A21AE">
      <w:pPr>
        <w:pStyle w:val="Heading4"/>
      </w:pPr>
      <w:r>
        <w:t>Indicators Associated with Units</w:t>
      </w:r>
    </w:p>
    <w:p w:rsidR="002A21AE" w:rsidRDefault="002A21AE">
      <w:pPr>
        <w:pStyle w:val="ListBullet"/>
      </w:pPr>
      <w:r>
        <w:t>Quarantined: attaches to the unit record and status when the unit is quarantined. Removed by releasing the unit from quarantined.</w:t>
      </w:r>
    </w:p>
    <w:p w:rsidR="002A21AE" w:rsidRDefault="002A21AE">
      <w:pPr>
        <w:pStyle w:val="ListBullet"/>
      </w:pPr>
      <w:r>
        <w:t>Presumed: attaches to the unit record only when the unit is in an issued unit status for more than 48 hours. Remains on the unit record if no transfusion information is entered through Post-Transfusion Information and Document ABO Incompatible Transfusion.</w:t>
      </w:r>
    </w:p>
    <w:p w:rsidR="002A21AE" w:rsidRDefault="002A21AE">
      <w:pPr>
        <w:pStyle w:val="Caption"/>
      </w:pPr>
      <w:bookmarkStart w:id="689" w:name="_Toc97523644"/>
      <w:r>
        <w:br w:type="page"/>
      </w:r>
      <w:bookmarkStart w:id="690" w:name="_Toc97527614"/>
      <w:bookmarkStart w:id="691" w:name="_Ref126467968"/>
      <w:r>
        <w:lastRenderedPageBreak/>
        <w:t xml:space="preserve">Figure </w:t>
      </w:r>
      <w:r w:rsidR="00C17F7C">
        <w:fldChar w:fldCharType="begin"/>
      </w:r>
      <w:r w:rsidR="00C17F7C">
        <w:instrText xml:space="preserve"> SEQ Figure \* ARABIC </w:instrText>
      </w:r>
      <w:r w:rsidR="00C17F7C">
        <w:fldChar w:fldCharType="separate"/>
      </w:r>
      <w:r w:rsidR="005F38BC">
        <w:rPr>
          <w:noProof/>
        </w:rPr>
        <w:t>138</w:t>
      </w:r>
      <w:r w:rsidR="00C17F7C">
        <w:fldChar w:fldCharType="end"/>
      </w:r>
      <w:bookmarkEnd w:id="691"/>
      <w:r>
        <w:t xml:space="preserve">: </w:t>
      </w:r>
      <w:r>
        <w:rPr>
          <w:vanish/>
        </w:rPr>
        <w:t xml:space="preserve">TT_27.01C </w:t>
      </w:r>
      <w:r>
        <w:t>Unit Status Flowchart</w:t>
      </w:r>
      <w:bookmarkEnd w:id="689"/>
      <w:bookmarkEnd w:id="690"/>
    </w:p>
    <w:p w:rsidR="002A21AE" w:rsidRDefault="002C179C" w:rsidP="002C179C">
      <w:pPr>
        <w:pStyle w:val="BodyText"/>
      </w:pPr>
      <w:r w:rsidRPr="00A53F2E">
        <w:rPr>
          <w:rFonts w:ascii="Arial" w:hAnsi="Arial"/>
          <w:sz w:val="20"/>
        </w:rPr>
        <w:object w:dxaOrig="3475" w:dyaOrig="4320">
          <v:shape id="_x0000_i1030" type="#_x0000_t75" style="width:478.95pt;height:490.85pt" o:ole="" fillcolor="window">
            <v:imagedata r:id="rId241" o:title="" croptop="6030f"/>
          </v:shape>
          <o:OLEObject Type="Embed" ProgID="Visio.Drawing.11" ShapeID="_x0000_i1030" DrawAspect="Content" ObjectID="_1538556483" r:id="rId242"/>
        </w:object>
      </w:r>
    </w:p>
    <w:p w:rsidR="002A21AE" w:rsidRDefault="002A21AE">
      <w:pPr>
        <w:pStyle w:val="Heading3"/>
      </w:pPr>
      <w:r>
        <w:br w:type="page"/>
      </w:r>
      <w:bookmarkStart w:id="692" w:name="_Toc91323790"/>
      <w:r w:rsidR="00966400">
        <w:rPr>
          <w:rFonts w:ascii="Geneva" w:hAnsi="Geneva"/>
          <w:vanish/>
        </w:rPr>
        <w:lastRenderedPageBreak/>
        <w:t xml:space="preserve"> </w:t>
      </w:r>
      <w:r>
        <w:rPr>
          <w:rFonts w:ascii="Geneva" w:hAnsi="Geneva"/>
          <w:vanish/>
        </w:rPr>
        <w:t>PT_32.01</w:t>
      </w:r>
      <w:r>
        <w:rPr>
          <w:rFonts w:ascii="Geneva" w:hAnsi="Geneva"/>
          <w:vanish/>
          <w:sz w:val="16"/>
        </w:rPr>
        <w:t xml:space="preserve"> </w:t>
      </w:r>
      <w:bookmarkStart w:id="693" w:name="_Toc459900208"/>
      <w:r>
        <w:t>VBECS Maximum Surgical Blood Order Schedule</w:t>
      </w:r>
      <w:bookmarkEnd w:id="693"/>
      <w:r>
        <w:fldChar w:fldCharType="begin"/>
      </w:r>
      <w:r>
        <w:instrText xml:space="preserve"> XE </w:instrText>
      </w:r>
      <w:r w:rsidR="00FA7E65">
        <w:instrText>“</w:instrText>
      </w:r>
      <w:r>
        <w:instrText>Tables:VBECS Maximum Surgical Blood Order Schedule (MSBOS)</w:instrText>
      </w:r>
      <w:r w:rsidR="00FA7E65">
        <w:instrText>”</w:instrText>
      </w:r>
      <w:r>
        <w:instrText xml:space="preserve"> </w:instrText>
      </w:r>
      <w:r>
        <w:fldChar w:fldCharType="end"/>
      </w:r>
    </w:p>
    <w:p w:rsidR="002A21AE" w:rsidRDefault="002A21AE">
      <w:pPr>
        <w:pStyle w:val="Caption"/>
      </w:pPr>
      <w:bookmarkStart w:id="694" w:name="_Toc97523646"/>
      <w:bookmarkStart w:id="695" w:name="_Toc97527616"/>
      <w:bookmarkStart w:id="696" w:name="_Ref126484549"/>
      <w:bookmarkStart w:id="697" w:name="_Ref126504270"/>
      <w:bookmarkStart w:id="698" w:name="_Ref126732493"/>
      <w:r>
        <w:t xml:space="preserve">Table </w:t>
      </w:r>
      <w:r>
        <w:fldChar w:fldCharType="begin"/>
      </w:r>
      <w:r>
        <w:instrText xml:space="preserve"> SEQ Table \* ARABIC </w:instrText>
      </w:r>
      <w:r>
        <w:fldChar w:fldCharType="separate"/>
      </w:r>
      <w:r w:rsidR="005F38BC">
        <w:rPr>
          <w:noProof/>
        </w:rPr>
        <w:t>25</w:t>
      </w:r>
      <w:r>
        <w:fldChar w:fldCharType="end"/>
      </w:r>
      <w:bookmarkEnd w:id="698"/>
      <w:r>
        <w:t xml:space="preserve">: </w:t>
      </w:r>
      <w:r>
        <w:rPr>
          <w:vanish/>
        </w:rPr>
        <w:t>PT_32.01</w:t>
      </w:r>
      <w:r>
        <w:rPr>
          <w:vanish/>
          <w:sz w:val="16"/>
        </w:rPr>
        <w:t xml:space="preserve"> </w:t>
      </w:r>
      <w:r>
        <w:t>VBECS Maximum Surgical Blood Order Schedule (MSBOS)</w:t>
      </w:r>
      <w:bookmarkEnd w:id="692"/>
      <w:bookmarkEnd w:id="694"/>
      <w:bookmarkEnd w:id="695"/>
      <w:bookmarkEnd w:id="696"/>
      <w:bookmarkEnd w:id="697"/>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680"/>
      </w:tblGrid>
      <w:tr w:rsidR="00CF62EC">
        <w:trPr>
          <w:tblHeader/>
        </w:trPr>
        <w:tc>
          <w:tcPr>
            <w:tcW w:w="9360" w:type="dxa"/>
            <w:gridSpan w:val="2"/>
            <w:shd w:val="clear" w:color="auto" w:fill="B3B3B3"/>
            <w:vAlign w:val="bottom"/>
          </w:tcPr>
          <w:p w:rsidR="00CF62EC" w:rsidRDefault="00CF62EC" w:rsidP="00CF62EC">
            <w:pPr>
              <w:pStyle w:val="TableText"/>
            </w:pPr>
            <w:r w:rsidRPr="00887834">
              <w:rPr>
                <w:b/>
              </w:rPr>
              <w:t>VBECS Maximum Surgical Blood Order Schedule (MSBOS)</w:t>
            </w:r>
          </w:p>
        </w:tc>
      </w:tr>
      <w:tr w:rsidR="00CF62EC">
        <w:tc>
          <w:tcPr>
            <w:tcW w:w="4680" w:type="dxa"/>
            <w:vAlign w:val="bottom"/>
          </w:tcPr>
          <w:p w:rsidR="00CF62EC" w:rsidRDefault="00CF62EC" w:rsidP="00CF62EC">
            <w:pPr>
              <w:pStyle w:val="TableText"/>
            </w:pPr>
            <w:r>
              <w:t>Abdominal-Perineal resection</w:t>
            </w:r>
          </w:p>
        </w:tc>
        <w:tc>
          <w:tcPr>
            <w:tcW w:w="4680" w:type="dxa"/>
            <w:vAlign w:val="bottom"/>
          </w:tcPr>
          <w:p w:rsidR="00CF62EC" w:rsidRDefault="00CF62EC" w:rsidP="00CF62EC">
            <w:pPr>
              <w:pStyle w:val="TableText"/>
            </w:pPr>
            <w:r>
              <w:t>Keratectomy</w:t>
            </w:r>
          </w:p>
        </w:tc>
      </w:tr>
      <w:tr w:rsidR="00CF62EC">
        <w:tc>
          <w:tcPr>
            <w:tcW w:w="4680" w:type="dxa"/>
            <w:vAlign w:val="bottom"/>
          </w:tcPr>
          <w:p w:rsidR="00CF62EC" w:rsidRDefault="00CF62EC" w:rsidP="00CF62EC">
            <w:pPr>
              <w:pStyle w:val="TableText"/>
            </w:pPr>
            <w:r>
              <w:t>Adrenalectomy</w:t>
            </w:r>
          </w:p>
        </w:tc>
        <w:tc>
          <w:tcPr>
            <w:tcW w:w="4680" w:type="dxa"/>
            <w:vAlign w:val="bottom"/>
          </w:tcPr>
          <w:p w:rsidR="00CF62EC" w:rsidRDefault="00CF62EC" w:rsidP="00CF62EC">
            <w:pPr>
              <w:pStyle w:val="TableText"/>
            </w:pPr>
            <w:r>
              <w:t>Hernia repair</w:t>
            </w:r>
          </w:p>
        </w:tc>
      </w:tr>
      <w:tr w:rsidR="00CF62EC">
        <w:tc>
          <w:tcPr>
            <w:tcW w:w="4680" w:type="dxa"/>
            <w:vAlign w:val="bottom"/>
          </w:tcPr>
          <w:p w:rsidR="00CF62EC" w:rsidRDefault="00CF62EC" w:rsidP="00CF62EC">
            <w:pPr>
              <w:pStyle w:val="TableText"/>
            </w:pPr>
            <w:r>
              <w:t>Amputation (A/K, B/K)</w:t>
            </w:r>
          </w:p>
        </w:tc>
        <w:tc>
          <w:tcPr>
            <w:tcW w:w="4680" w:type="dxa"/>
            <w:vAlign w:val="bottom"/>
          </w:tcPr>
          <w:p w:rsidR="00CF62EC" w:rsidRDefault="00CF62EC" w:rsidP="00CF62EC">
            <w:pPr>
              <w:pStyle w:val="TableText"/>
            </w:pPr>
            <w:r>
              <w:t>Hip Replacement, total</w:t>
            </w:r>
          </w:p>
        </w:tc>
      </w:tr>
      <w:tr w:rsidR="00CF62EC">
        <w:tc>
          <w:tcPr>
            <w:tcW w:w="4680" w:type="dxa"/>
            <w:vAlign w:val="bottom"/>
          </w:tcPr>
          <w:p w:rsidR="00CF62EC" w:rsidRDefault="00CF62EC" w:rsidP="00CF62EC">
            <w:pPr>
              <w:pStyle w:val="TableText"/>
            </w:pPr>
            <w:r>
              <w:t>Aneurysm, aortic</w:t>
            </w:r>
          </w:p>
        </w:tc>
        <w:tc>
          <w:tcPr>
            <w:tcW w:w="4680" w:type="dxa"/>
            <w:vAlign w:val="bottom"/>
          </w:tcPr>
          <w:p w:rsidR="00CF62EC" w:rsidRDefault="00CF62EC" w:rsidP="00CF62EC">
            <w:pPr>
              <w:pStyle w:val="TableText"/>
            </w:pPr>
            <w:r>
              <w:t>Hip Replacement, revision</w:t>
            </w:r>
          </w:p>
        </w:tc>
      </w:tr>
      <w:tr w:rsidR="00CF62EC">
        <w:tc>
          <w:tcPr>
            <w:tcW w:w="4680" w:type="dxa"/>
            <w:vAlign w:val="bottom"/>
          </w:tcPr>
          <w:p w:rsidR="00CF62EC" w:rsidRDefault="00CF62EC" w:rsidP="00CF62EC">
            <w:pPr>
              <w:pStyle w:val="TableText"/>
            </w:pPr>
            <w:r>
              <w:t>Aneurysm, abdominal</w:t>
            </w:r>
          </w:p>
        </w:tc>
        <w:tc>
          <w:tcPr>
            <w:tcW w:w="4680" w:type="dxa"/>
            <w:vAlign w:val="bottom"/>
          </w:tcPr>
          <w:p w:rsidR="00CF62EC" w:rsidRDefault="00CF62EC" w:rsidP="00CF62EC">
            <w:pPr>
              <w:pStyle w:val="TableText"/>
            </w:pPr>
            <w:r>
              <w:t>Knee Replacement, total</w:t>
            </w:r>
          </w:p>
        </w:tc>
      </w:tr>
      <w:tr w:rsidR="00CF62EC">
        <w:tc>
          <w:tcPr>
            <w:tcW w:w="4680" w:type="dxa"/>
            <w:vAlign w:val="bottom"/>
          </w:tcPr>
          <w:p w:rsidR="00CF62EC" w:rsidRDefault="00CF62EC" w:rsidP="00CF62EC">
            <w:pPr>
              <w:pStyle w:val="TableText"/>
            </w:pPr>
            <w:r>
              <w:t>Aneurysm, thoracic</w:t>
            </w:r>
          </w:p>
        </w:tc>
        <w:tc>
          <w:tcPr>
            <w:tcW w:w="4680" w:type="dxa"/>
            <w:vAlign w:val="bottom"/>
          </w:tcPr>
          <w:p w:rsidR="00CF62EC" w:rsidRDefault="00CF62EC" w:rsidP="00CF62EC">
            <w:pPr>
              <w:pStyle w:val="TableText"/>
            </w:pPr>
            <w:r>
              <w:t>Laminectomy, cervical, thoracic, or lumbar</w:t>
            </w:r>
          </w:p>
        </w:tc>
      </w:tr>
      <w:tr w:rsidR="00CF62EC">
        <w:tc>
          <w:tcPr>
            <w:tcW w:w="4680" w:type="dxa"/>
            <w:vAlign w:val="bottom"/>
          </w:tcPr>
          <w:p w:rsidR="00CF62EC" w:rsidRDefault="00CF62EC" w:rsidP="00CF62EC">
            <w:pPr>
              <w:pStyle w:val="TableText"/>
            </w:pPr>
            <w:r>
              <w:t>Aneurysm, cranial</w:t>
            </w:r>
          </w:p>
        </w:tc>
        <w:tc>
          <w:tcPr>
            <w:tcW w:w="4680" w:type="dxa"/>
            <w:vAlign w:val="bottom"/>
          </w:tcPr>
          <w:p w:rsidR="00CF62EC" w:rsidRDefault="00CF62EC" w:rsidP="00CF62EC">
            <w:pPr>
              <w:pStyle w:val="TableText"/>
            </w:pPr>
            <w:r>
              <w:t>Laminectomy, disk repair</w:t>
            </w:r>
          </w:p>
        </w:tc>
      </w:tr>
      <w:tr w:rsidR="00CF62EC">
        <w:tc>
          <w:tcPr>
            <w:tcW w:w="4680" w:type="dxa"/>
            <w:vAlign w:val="bottom"/>
          </w:tcPr>
          <w:p w:rsidR="00CF62EC" w:rsidRDefault="00CF62EC" w:rsidP="00CF62EC">
            <w:pPr>
              <w:pStyle w:val="TableText"/>
            </w:pPr>
            <w:r>
              <w:t>Aorto-Femoral Bypass</w:t>
            </w:r>
          </w:p>
        </w:tc>
        <w:tc>
          <w:tcPr>
            <w:tcW w:w="4680" w:type="dxa"/>
            <w:vAlign w:val="bottom"/>
          </w:tcPr>
          <w:p w:rsidR="00CF62EC" w:rsidRDefault="00CF62EC" w:rsidP="00CF62EC">
            <w:pPr>
              <w:pStyle w:val="TableText"/>
            </w:pPr>
            <w:r>
              <w:t>Laparotomy, exploratory</w:t>
            </w:r>
          </w:p>
        </w:tc>
      </w:tr>
      <w:tr w:rsidR="00CF62EC">
        <w:tc>
          <w:tcPr>
            <w:tcW w:w="4680" w:type="dxa"/>
            <w:vAlign w:val="bottom"/>
          </w:tcPr>
          <w:p w:rsidR="00CF62EC" w:rsidRDefault="00CF62EC" w:rsidP="00CF62EC">
            <w:pPr>
              <w:pStyle w:val="TableText"/>
            </w:pPr>
            <w:r>
              <w:t>Appendectomy</w:t>
            </w:r>
          </w:p>
        </w:tc>
        <w:tc>
          <w:tcPr>
            <w:tcW w:w="4680" w:type="dxa"/>
            <w:vAlign w:val="bottom"/>
          </w:tcPr>
          <w:p w:rsidR="00CF62EC" w:rsidRDefault="00CF62EC" w:rsidP="00CF62EC">
            <w:pPr>
              <w:pStyle w:val="TableText"/>
            </w:pPr>
            <w:r>
              <w:t>Laryngectomy</w:t>
            </w:r>
          </w:p>
        </w:tc>
      </w:tr>
      <w:tr w:rsidR="00CF62EC">
        <w:tc>
          <w:tcPr>
            <w:tcW w:w="4680" w:type="dxa"/>
            <w:vAlign w:val="bottom"/>
          </w:tcPr>
          <w:p w:rsidR="00CF62EC" w:rsidRDefault="00CF62EC" w:rsidP="00CF62EC">
            <w:pPr>
              <w:pStyle w:val="TableText"/>
            </w:pPr>
            <w:r>
              <w:t>Coronary Bypass Graft (CABG)</w:t>
            </w:r>
          </w:p>
        </w:tc>
        <w:tc>
          <w:tcPr>
            <w:tcW w:w="4680" w:type="dxa"/>
            <w:vAlign w:val="bottom"/>
          </w:tcPr>
          <w:p w:rsidR="00CF62EC" w:rsidRDefault="00CF62EC" w:rsidP="00CF62EC">
            <w:pPr>
              <w:pStyle w:val="TableText"/>
            </w:pPr>
            <w:r>
              <w:t>Lobectomy, pulmonary</w:t>
            </w:r>
          </w:p>
        </w:tc>
      </w:tr>
      <w:tr w:rsidR="00CF62EC">
        <w:tc>
          <w:tcPr>
            <w:tcW w:w="4680" w:type="dxa"/>
            <w:vAlign w:val="bottom"/>
          </w:tcPr>
          <w:p w:rsidR="00CF62EC" w:rsidRDefault="00CF62EC" w:rsidP="00CF62EC">
            <w:pPr>
              <w:pStyle w:val="TableText"/>
            </w:pPr>
            <w:r>
              <w:t>Coronary Bypass Graft (CABG), redo</w:t>
            </w:r>
          </w:p>
        </w:tc>
        <w:tc>
          <w:tcPr>
            <w:tcW w:w="4680" w:type="dxa"/>
            <w:vAlign w:val="bottom"/>
          </w:tcPr>
          <w:p w:rsidR="00CF62EC" w:rsidRDefault="00CF62EC" w:rsidP="00CF62EC">
            <w:pPr>
              <w:pStyle w:val="TableText"/>
            </w:pPr>
            <w:r>
              <w:t>Mandibulectomy</w:t>
            </w:r>
          </w:p>
        </w:tc>
      </w:tr>
      <w:tr w:rsidR="00CF62EC">
        <w:tc>
          <w:tcPr>
            <w:tcW w:w="4680" w:type="dxa"/>
            <w:vAlign w:val="bottom"/>
          </w:tcPr>
          <w:p w:rsidR="00CF62EC" w:rsidRDefault="00CF62EC" w:rsidP="00CF62EC">
            <w:pPr>
              <w:pStyle w:val="TableText"/>
            </w:pPr>
            <w:r>
              <w:t>Carotid Endarterectomy</w:t>
            </w:r>
          </w:p>
        </w:tc>
        <w:tc>
          <w:tcPr>
            <w:tcW w:w="4680" w:type="dxa"/>
            <w:vAlign w:val="bottom"/>
          </w:tcPr>
          <w:p w:rsidR="00CF62EC" w:rsidRDefault="00CF62EC" w:rsidP="00CF62EC">
            <w:pPr>
              <w:pStyle w:val="TableText"/>
            </w:pPr>
            <w:r>
              <w:t>Mastectomy, radical</w:t>
            </w:r>
          </w:p>
        </w:tc>
      </w:tr>
      <w:tr w:rsidR="00CF62EC">
        <w:tc>
          <w:tcPr>
            <w:tcW w:w="4680" w:type="dxa"/>
            <w:vAlign w:val="bottom"/>
          </w:tcPr>
          <w:p w:rsidR="00CF62EC" w:rsidRDefault="00CF62EC" w:rsidP="00CF62EC">
            <w:pPr>
              <w:pStyle w:val="TableText"/>
            </w:pPr>
            <w:r>
              <w:t>Cervical Discectomy</w:t>
            </w:r>
          </w:p>
        </w:tc>
        <w:tc>
          <w:tcPr>
            <w:tcW w:w="4680" w:type="dxa"/>
            <w:vAlign w:val="bottom"/>
          </w:tcPr>
          <w:p w:rsidR="00CF62EC" w:rsidRDefault="00CF62EC" w:rsidP="00CF62EC">
            <w:pPr>
              <w:pStyle w:val="TableText"/>
            </w:pPr>
            <w:r>
              <w:t>Maxillectomy</w:t>
            </w:r>
          </w:p>
        </w:tc>
      </w:tr>
      <w:tr w:rsidR="00CF62EC">
        <w:tc>
          <w:tcPr>
            <w:tcW w:w="4680" w:type="dxa"/>
            <w:vAlign w:val="bottom"/>
          </w:tcPr>
          <w:p w:rsidR="00CF62EC" w:rsidRDefault="00CF62EC" w:rsidP="00CF62EC">
            <w:pPr>
              <w:pStyle w:val="TableText"/>
            </w:pPr>
            <w:r>
              <w:t>Cervical Fusion</w:t>
            </w:r>
          </w:p>
        </w:tc>
        <w:tc>
          <w:tcPr>
            <w:tcW w:w="4680" w:type="dxa"/>
            <w:vAlign w:val="bottom"/>
          </w:tcPr>
          <w:p w:rsidR="00CF62EC" w:rsidRDefault="00CF62EC" w:rsidP="00CF62EC">
            <w:pPr>
              <w:pStyle w:val="TableText"/>
            </w:pPr>
            <w:r>
              <w:t>Nephrectomy</w:t>
            </w:r>
          </w:p>
        </w:tc>
      </w:tr>
      <w:tr w:rsidR="00CF62EC">
        <w:tc>
          <w:tcPr>
            <w:tcW w:w="4680" w:type="dxa"/>
            <w:vAlign w:val="bottom"/>
          </w:tcPr>
          <w:p w:rsidR="00CF62EC" w:rsidRDefault="00CF62EC" w:rsidP="00CF62EC">
            <w:pPr>
              <w:pStyle w:val="TableText"/>
            </w:pPr>
            <w:r>
              <w:t>Cholecystectomy</w:t>
            </w:r>
          </w:p>
        </w:tc>
        <w:tc>
          <w:tcPr>
            <w:tcW w:w="4680" w:type="dxa"/>
            <w:vAlign w:val="bottom"/>
          </w:tcPr>
          <w:p w:rsidR="00CF62EC" w:rsidRDefault="00CF62EC" w:rsidP="00CF62EC">
            <w:pPr>
              <w:pStyle w:val="TableText"/>
            </w:pPr>
            <w:r>
              <w:t>Pancreatectomy</w:t>
            </w:r>
          </w:p>
        </w:tc>
      </w:tr>
      <w:tr w:rsidR="00CF62EC">
        <w:tc>
          <w:tcPr>
            <w:tcW w:w="4680" w:type="dxa"/>
            <w:vAlign w:val="bottom"/>
          </w:tcPr>
          <w:p w:rsidR="00CF62EC" w:rsidRDefault="00CF62EC" w:rsidP="00CF62EC">
            <w:pPr>
              <w:pStyle w:val="TableText"/>
            </w:pPr>
            <w:r>
              <w:t>Cholostomy</w:t>
            </w:r>
          </w:p>
        </w:tc>
        <w:tc>
          <w:tcPr>
            <w:tcW w:w="4680" w:type="dxa"/>
            <w:vAlign w:val="bottom"/>
          </w:tcPr>
          <w:p w:rsidR="00CF62EC" w:rsidRDefault="00CF62EC" w:rsidP="00CF62EC">
            <w:pPr>
              <w:pStyle w:val="TableText"/>
            </w:pPr>
            <w:r>
              <w:t>Parathyroidectomy</w:t>
            </w:r>
          </w:p>
        </w:tc>
      </w:tr>
      <w:tr w:rsidR="00CF62EC">
        <w:tc>
          <w:tcPr>
            <w:tcW w:w="4680" w:type="dxa"/>
            <w:vAlign w:val="bottom"/>
          </w:tcPr>
          <w:p w:rsidR="00CF62EC" w:rsidRDefault="00CF62EC" w:rsidP="00CF62EC">
            <w:pPr>
              <w:pStyle w:val="TableText"/>
            </w:pPr>
            <w:r>
              <w:t>Colectomy</w:t>
            </w:r>
          </w:p>
        </w:tc>
        <w:tc>
          <w:tcPr>
            <w:tcW w:w="4680" w:type="dxa"/>
            <w:vAlign w:val="bottom"/>
          </w:tcPr>
          <w:p w:rsidR="00CF62EC" w:rsidRDefault="00CF62EC" w:rsidP="00CF62EC">
            <w:pPr>
              <w:pStyle w:val="TableText"/>
            </w:pPr>
            <w:r>
              <w:t>Portocaval Shunt</w:t>
            </w:r>
          </w:p>
        </w:tc>
      </w:tr>
      <w:tr w:rsidR="00CF62EC">
        <w:tc>
          <w:tcPr>
            <w:tcW w:w="4680" w:type="dxa"/>
            <w:vAlign w:val="bottom"/>
          </w:tcPr>
          <w:p w:rsidR="00CF62EC" w:rsidRDefault="00CF62EC" w:rsidP="00CF62EC">
            <w:pPr>
              <w:pStyle w:val="TableText"/>
            </w:pPr>
            <w:r>
              <w:t>Colon Resection</w:t>
            </w:r>
          </w:p>
        </w:tc>
        <w:tc>
          <w:tcPr>
            <w:tcW w:w="4680" w:type="dxa"/>
            <w:vAlign w:val="bottom"/>
          </w:tcPr>
          <w:p w:rsidR="00CF62EC" w:rsidRDefault="00CF62EC" w:rsidP="00CF62EC">
            <w:pPr>
              <w:pStyle w:val="TableText"/>
            </w:pPr>
            <w:r>
              <w:t>Prostatectomy</w:t>
            </w:r>
          </w:p>
        </w:tc>
      </w:tr>
      <w:tr w:rsidR="00CF62EC">
        <w:tc>
          <w:tcPr>
            <w:tcW w:w="4680" w:type="dxa"/>
            <w:vAlign w:val="bottom"/>
          </w:tcPr>
          <w:p w:rsidR="00CF62EC" w:rsidRDefault="00CF62EC" w:rsidP="00CF62EC">
            <w:pPr>
              <w:pStyle w:val="TableText"/>
            </w:pPr>
            <w:r>
              <w:t>Craniotomy</w:t>
            </w:r>
          </w:p>
        </w:tc>
        <w:tc>
          <w:tcPr>
            <w:tcW w:w="4680" w:type="dxa"/>
            <w:vAlign w:val="bottom"/>
          </w:tcPr>
          <w:p w:rsidR="00CF62EC" w:rsidRDefault="00CF62EC" w:rsidP="00CF62EC">
            <w:pPr>
              <w:pStyle w:val="TableText"/>
            </w:pPr>
            <w:r>
              <w:t>Prostatectomy, total</w:t>
            </w:r>
          </w:p>
        </w:tc>
      </w:tr>
      <w:tr w:rsidR="00CF62EC">
        <w:tc>
          <w:tcPr>
            <w:tcW w:w="4680" w:type="dxa"/>
            <w:vAlign w:val="bottom"/>
          </w:tcPr>
          <w:p w:rsidR="00CF62EC" w:rsidRDefault="00CF62EC" w:rsidP="00CF62EC">
            <w:pPr>
              <w:pStyle w:val="TableText"/>
            </w:pPr>
            <w:r>
              <w:t>Cystectomy</w:t>
            </w:r>
          </w:p>
        </w:tc>
        <w:tc>
          <w:tcPr>
            <w:tcW w:w="4680" w:type="dxa"/>
            <w:vAlign w:val="bottom"/>
          </w:tcPr>
          <w:p w:rsidR="00CF62EC" w:rsidRDefault="00CF62EC" w:rsidP="00CF62EC">
            <w:pPr>
              <w:pStyle w:val="TableText"/>
            </w:pPr>
            <w:r>
              <w:t>Radical Neck Dissection</w:t>
            </w:r>
          </w:p>
        </w:tc>
      </w:tr>
      <w:tr w:rsidR="00CF62EC">
        <w:tc>
          <w:tcPr>
            <w:tcW w:w="4680" w:type="dxa"/>
            <w:vAlign w:val="bottom"/>
          </w:tcPr>
          <w:p w:rsidR="00CF62EC" w:rsidRDefault="00CF62EC" w:rsidP="00CF62EC">
            <w:pPr>
              <w:pStyle w:val="TableText"/>
            </w:pPr>
            <w:r>
              <w:t>Cystolithotomy</w:t>
            </w:r>
          </w:p>
        </w:tc>
        <w:tc>
          <w:tcPr>
            <w:tcW w:w="4680" w:type="dxa"/>
            <w:vAlign w:val="bottom"/>
          </w:tcPr>
          <w:p w:rsidR="00CF62EC" w:rsidRDefault="00CF62EC" w:rsidP="00CF62EC">
            <w:pPr>
              <w:pStyle w:val="TableText"/>
            </w:pPr>
            <w:r>
              <w:t>Renal Transplant</w:t>
            </w:r>
          </w:p>
        </w:tc>
      </w:tr>
      <w:tr w:rsidR="00CF62EC">
        <w:tc>
          <w:tcPr>
            <w:tcW w:w="4680" w:type="dxa"/>
            <w:vAlign w:val="bottom"/>
          </w:tcPr>
          <w:p w:rsidR="00CF62EC" w:rsidRDefault="00CF62EC" w:rsidP="00CF62EC">
            <w:pPr>
              <w:pStyle w:val="TableText"/>
            </w:pPr>
            <w:r>
              <w:t>Cystoscopy</w:t>
            </w:r>
          </w:p>
        </w:tc>
        <w:tc>
          <w:tcPr>
            <w:tcW w:w="4680" w:type="dxa"/>
            <w:vAlign w:val="bottom"/>
          </w:tcPr>
          <w:p w:rsidR="00CF62EC" w:rsidRDefault="00CF62EC" w:rsidP="00CF62EC">
            <w:pPr>
              <w:pStyle w:val="TableText"/>
            </w:pPr>
            <w:r>
              <w:t>Skin Flap</w:t>
            </w:r>
          </w:p>
        </w:tc>
      </w:tr>
      <w:tr w:rsidR="00CF62EC">
        <w:tc>
          <w:tcPr>
            <w:tcW w:w="4680" w:type="dxa"/>
            <w:vAlign w:val="bottom"/>
          </w:tcPr>
          <w:p w:rsidR="00CF62EC" w:rsidRDefault="00CF62EC" w:rsidP="00CF62EC">
            <w:pPr>
              <w:pStyle w:val="TableText"/>
            </w:pPr>
            <w:r>
              <w:t>Embolectomy</w:t>
            </w:r>
          </w:p>
        </w:tc>
        <w:tc>
          <w:tcPr>
            <w:tcW w:w="4680" w:type="dxa"/>
            <w:vAlign w:val="bottom"/>
          </w:tcPr>
          <w:p w:rsidR="00CF62EC" w:rsidRDefault="00CF62EC" w:rsidP="00CF62EC">
            <w:pPr>
              <w:pStyle w:val="TableText"/>
            </w:pPr>
            <w:r>
              <w:t>Skin Graft</w:t>
            </w:r>
          </w:p>
        </w:tc>
      </w:tr>
      <w:tr w:rsidR="00CF62EC">
        <w:tc>
          <w:tcPr>
            <w:tcW w:w="4680" w:type="dxa"/>
            <w:vAlign w:val="bottom"/>
          </w:tcPr>
          <w:p w:rsidR="00CF62EC" w:rsidRDefault="00CF62EC" w:rsidP="00CF62EC">
            <w:pPr>
              <w:pStyle w:val="TableText"/>
            </w:pPr>
            <w:r>
              <w:t>Esophogeal Resection</w:t>
            </w:r>
          </w:p>
        </w:tc>
        <w:tc>
          <w:tcPr>
            <w:tcW w:w="4680" w:type="dxa"/>
            <w:vAlign w:val="bottom"/>
          </w:tcPr>
          <w:p w:rsidR="00CF62EC" w:rsidRDefault="00CF62EC" w:rsidP="00CF62EC">
            <w:pPr>
              <w:pStyle w:val="TableText"/>
            </w:pPr>
            <w:r>
              <w:t>Splenectomy</w:t>
            </w:r>
          </w:p>
        </w:tc>
      </w:tr>
      <w:tr w:rsidR="00CF62EC">
        <w:tc>
          <w:tcPr>
            <w:tcW w:w="4680" w:type="dxa"/>
            <w:vAlign w:val="bottom"/>
          </w:tcPr>
          <w:p w:rsidR="00CF62EC" w:rsidRDefault="00CF62EC" w:rsidP="00CF62EC">
            <w:pPr>
              <w:pStyle w:val="TableText"/>
            </w:pPr>
            <w:r>
              <w:t>Esophogectomy</w:t>
            </w:r>
          </w:p>
        </w:tc>
        <w:tc>
          <w:tcPr>
            <w:tcW w:w="4680" w:type="dxa"/>
            <w:vAlign w:val="bottom"/>
          </w:tcPr>
          <w:p w:rsidR="00CF62EC" w:rsidRDefault="00CF62EC" w:rsidP="00CF62EC">
            <w:pPr>
              <w:pStyle w:val="TableText"/>
            </w:pPr>
            <w:r>
              <w:t>Thyroidectomy</w:t>
            </w:r>
          </w:p>
        </w:tc>
      </w:tr>
      <w:tr w:rsidR="00CF62EC">
        <w:tc>
          <w:tcPr>
            <w:tcW w:w="4680" w:type="dxa"/>
            <w:vAlign w:val="bottom"/>
          </w:tcPr>
          <w:p w:rsidR="00CF62EC" w:rsidRDefault="00CF62EC" w:rsidP="00CF62EC">
            <w:pPr>
              <w:pStyle w:val="TableText"/>
            </w:pPr>
            <w:r>
              <w:t>Femoral-Popiteal Bypass</w:t>
            </w:r>
          </w:p>
        </w:tc>
        <w:tc>
          <w:tcPr>
            <w:tcW w:w="4680" w:type="dxa"/>
            <w:vAlign w:val="bottom"/>
          </w:tcPr>
          <w:p w:rsidR="00CF62EC" w:rsidRDefault="00CF62EC" w:rsidP="00CF62EC">
            <w:pPr>
              <w:pStyle w:val="TableText"/>
            </w:pPr>
            <w:r>
              <w:t>Tracheostomy</w:t>
            </w:r>
          </w:p>
        </w:tc>
      </w:tr>
      <w:tr w:rsidR="00CF62EC">
        <w:tc>
          <w:tcPr>
            <w:tcW w:w="4680" w:type="dxa"/>
            <w:vAlign w:val="bottom"/>
          </w:tcPr>
          <w:p w:rsidR="00CF62EC" w:rsidRDefault="00CF62EC" w:rsidP="00CF62EC">
            <w:pPr>
              <w:pStyle w:val="TableText"/>
            </w:pPr>
            <w:r>
              <w:t>Fracture, open reduction</w:t>
            </w:r>
          </w:p>
        </w:tc>
        <w:tc>
          <w:tcPr>
            <w:tcW w:w="4680" w:type="dxa"/>
            <w:vAlign w:val="bottom"/>
          </w:tcPr>
          <w:p w:rsidR="00CF62EC" w:rsidRDefault="00CF62EC" w:rsidP="00CF62EC">
            <w:pPr>
              <w:pStyle w:val="TableText"/>
            </w:pPr>
            <w:r>
              <w:t>Transurethral Resection (TURP)</w:t>
            </w:r>
          </w:p>
        </w:tc>
      </w:tr>
      <w:tr w:rsidR="00CF62EC">
        <w:tc>
          <w:tcPr>
            <w:tcW w:w="4680" w:type="dxa"/>
            <w:vAlign w:val="bottom"/>
          </w:tcPr>
          <w:p w:rsidR="00CF62EC" w:rsidRDefault="00CF62EC" w:rsidP="00CF62EC">
            <w:pPr>
              <w:pStyle w:val="TableText"/>
            </w:pPr>
            <w:r>
              <w:t xml:space="preserve">Fusion, cervical or lumber </w:t>
            </w:r>
          </w:p>
        </w:tc>
        <w:tc>
          <w:tcPr>
            <w:tcW w:w="4680" w:type="dxa"/>
            <w:vAlign w:val="bottom"/>
          </w:tcPr>
          <w:p w:rsidR="00CF62EC" w:rsidRDefault="00CF62EC" w:rsidP="00CF62EC">
            <w:pPr>
              <w:pStyle w:val="TableText"/>
            </w:pPr>
            <w:r>
              <w:t>Vagotomy</w:t>
            </w:r>
          </w:p>
        </w:tc>
      </w:tr>
      <w:tr w:rsidR="00CF62EC">
        <w:tc>
          <w:tcPr>
            <w:tcW w:w="4680" w:type="dxa"/>
            <w:vAlign w:val="bottom"/>
          </w:tcPr>
          <w:p w:rsidR="00CF62EC" w:rsidRDefault="00CF62EC" w:rsidP="00CF62EC">
            <w:pPr>
              <w:pStyle w:val="TableText"/>
            </w:pPr>
            <w:r>
              <w:t>Gastrectomy</w:t>
            </w:r>
          </w:p>
        </w:tc>
        <w:tc>
          <w:tcPr>
            <w:tcW w:w="4680" w:type="dxa"/>
            <w:vAlign w:val="bottom"/>
          </w:tcPr>
          <w:p w:rsidR="00CF62EC" w:rsidRDefault="00CF62EC" w:rsidP="00CF62EC">
            <w:pPr>
              <w:pStyle w:val="TableText"/>
            </w:pPr>
            <w:r>
              <w:t>Valve replacement, aortic or mitral</w:t>
            </w:r>
          </w:p>
        </w:tc>
      </w:tr>
      <w:tr w:rsidR="00CF62EC">
        <w:tc>
          <w:tcPr>
            <w:tcW w:w="4680" w:type="dxa"/>
            <w:vAlign w:val="bottom"/>
          </w:tcPr>
          <w:p w:rsidR="00CF62EC" w:rsidRDefault="00CF62EC" w:rsidP="00CF62EC">
            <w:pPr>
              <w:pStyle w:val="TableText"/>
            </w:pPr>
            <w:r>
              <w:t>Gastric Bypass</w:t>
            </w:r>
          </w:p>
        </w:tc>
        <w:tc>
          <w:tcPr>
            <w:tcW w:w="4680" w:type="dxa"/>
            <w:vAlign w:val="bottom"/>
          </w:tcPr>
          <w:p w:rsidR="00CF62EC" w:rsidRDefault="00CF62EC" w:rsidP="00CF62EC">
            <w:pPr>
              <w:pStyle w:val="TableText"/>
            </w:pPr>
            <w:r>
              <w:t>Other*</w:t>
            </w:r>
          </w:p>
        </w:tc>
      </w:tr>
      <w:tr w:rsidR="00CF62EC">
        <w:tc>
          <w:tcPr>
            <w:tcW w:w="4680" w:type="dxa"/>
            <w:vAlign w:val="bottom"/>
          </w:tcPr>
          <w:p w:rsidR="00CF62EC" w:rsidRDefault="00CF62EC" w:rsidP="00CF62EC">
            <w:pPr>
              <w:pStyle w:val="TableText"/>
            </w:pPr>
            <w:r>
              <w:t>Glossectomy</w:t>
            </w:r>
          </w:p>
        </w:tc>
        <w:tc>
          <w:tcPr>
            <w:tcW w:w="4680" w:type="dxa"/>
            <w:vAlign w:val="bottom"/>
          </w:tcPr>
          <w:p w:rsidR="00CF62EC" w:rsidRDefault="00CF62EC" w:rsidP="00CF62EC">
            <w:pPr>
              <w:pStyle w:val="TableText"/>
            </w:pPr>
          </w:p>
        </w:tc>
      </w:tr>
      <w:tr w:rsidR="00CF62EC">
        <w:tc>
          <w:tcPr>
            <w:tcW w:w="4680" w:type="dxa"/>
            <w:vAlign w:val="bottom"/>
          </w:tcPr>
          <w:p w:rsidR="00CF62EC" w:rsidRDefault="00CF62EC" w:rsidP="00CF62EC">
            <w:pPr>
              <w:pStyle w:val="TableText"/>
            </w:pPr>
            <w:r>
              <w:t>Hematoma Evacuation, sub- or epidural</w:t>
            </w:r>
          </w:p>
        </w:tc>
        <w:tc>
          <w:tcPr>
            <w:tcW w:w="4680" w:type="dxa"/>
            <w:vAlign w:val="bottom"/>
          </w:tcPr>
          <w:p w:rsidR="00CF62EC" w:rsidRDefault="00CF62EC" w:rsidP="00CF62EC">
            <w:pPr>
              <w:pStyle w:val="TableText"/>
            </w:pPr>
          </w:p>
        </w:tc>
      </w:tr>
    </w:tbl>
    <w:p w:rsidR="002A21AE" w:rsidRDefault="002A21AE" w:rsidP="00FA7E65">
      <w:pPr>
        <w:pStyle w:val="BodyText"/>
      </w:pPr>
      <w:r>
        <w:t>*Other surgeries entered in the Surgery Name field during order entry. (</w:t>
      </w:r>
      <w:r w:rsidR="00D5657D">
        <w:t>Local facilities may add</w:t>
      </w:r>
      <w:r w:rsidR="00EB26CD">
        <w:t xml:space="preserve"> surgeries</w:t>
      </w:r>
      <w:r w:rsidR="00D5657D">
        <w:t xml:space="preserve"> to this list</w:t>
      </w:r>
      <w:r>
        <w:t xml:space="preserve">.) Entries made during order entry will not have MSBOS component order recommendations. VBECS does not display “Other” in MSBOS. </w:t>
      </w:r>
    </w:p>
    <w:p w:rsidR="008A701E" w:rsidRDefault="002A21AE" w:rsidP="008A701E">
      <w:pPr>
        <w:pStyle w:val="Heading3"/>
      </w:pPr>
      <w:r>
        <w:br w:type="page"/>
      </w:r>
      <w:bookmarkStart w:id="699" w:name="_Toc223489218"/>
      <w:r w:rsidR="00966400">
        <w:rPr>
          <w:rFonts w:ascii="Geneva" w:hAnsi="Geneva"/>
          <w:vanish/>
        </w:rPr>
        <w:lastRenderedPageBreak/>
        <w:t xml:space="preserve"> </w:t>
      </w:r>
      <w:r w:rsidR="008A701E">
        <w:rPr>
          <w:rFonts w:ascii="Geneva" w:hAnsi="Geneva"/>
          <w:vanish/>
        </w:rPr>
        <w:t>TT_109.01</w:t>
      </w:r>
      <w:r w:rsidR="008A701E">
        <w:rPr>
          <w:rFonts w:ascii="Geneva" w:hAnsi="Geneva"/>
          <w:vanish/>
          <w:sz w:val="16"/>
        </w:rPr>
        <w:t xml:space="preserve"> </w:t>
      </w:r>
      <w:bookmarkStart w:id="700" w:name="_Toc459900209"/>
      <w:r w:rsidR="008A701E">
        <w:t>BCE COTS Message Updates</w:t>
      </w:r>
      <w:bookmarkEnd w:id="699"/>
      <w:bookmarkEnd w:id="700"/>
      <w:r w:rsidR="008A701E">
        <w:fldChar w:fldCharType="begin"/>
      </w:r>
      <w:r w:rsidR="008A701E">
        <w:instrText xml:space="preserve"> XE “Tables:BCE COTS Message Updates” </w:instrText>
      </w:r>
      <w:r w:rsidR="008A701E">
        <w:fldChar w:fldCharType="end"/>
      </w:r>
    </w:p>
    <w:p w:rsidR="008A701E" w:rsidRDefault="008A701E" w:rsidP="008A701E">
      <w:pPr>
        <w:pStyle w:val="Caption"/>
      </w:pPr>
      <w:bookmarkStart w:id="701" w:name="_Ref223406927"/>
      <w:r>
        <w:t xml:space="preserve">Table </w:t>
      </w:r>
      <w:r>
        <w:fldChar w:fldCharType="begin"/>
      </w:r>
      <w:r>
        <w:instrText xml:space="preserve"> SEQ Table \* ARABIC </w:instrText>
      </w:r>
      <w:r>
        <w:fldChar w:fldCharType="separate"/>
      </w:r>
      <w:r w:rsidR="005F38BC">
        <w:rPr>
          <w:noProof/>
        </w:rPr>
        <w:t>26</w:t>
      </w:r>
      <w:r>
        <w:fldChar w:fldCharType="end"/>
      </w:r>
      <w:bookmarkEnd w:id="701"/>
      <w:r>
        <w:t xml:space="preserve">: </w:t>
      </w:r>
      <w:r>
        <w:rPr>
          <w:vanish/>
        </w:rPr>
        <w:t>TT_109.01</w:t>
      </w:r>
      <w:r>
        <w:rPr>
          <w:vanish/>
          <w:sz w:val="16"/>
        </w:rPr>
        <w:t xml:space="preserve"> </w:t>
      </w:r>
      <w:r>
        <w:t>BCE COTS Message Updates</w:t>
      </w:r>
    </w:p>
    <w:p w:rsidR="008A701E" w:rsidRPr="00A31869" w:rsidRDefault="008A701E" w:rsidP="008A701E">
      <w:pPr>
        <w:pStyle w:val="TableTextBullet"/>
        <w:numPr>
          <w:ilvl w:val="0"/>
          <w:numId w:val="0"/>
        </w:numPr>
        <w:ind w:left="90"/>
        <w:rPr>
          <w:rFonts w:ascii="Times New Roman" w:hAnsi="Times New Roman"/>
          <w:b/>
          <w:sz w:val="22"/>
          <w:szCs w:val="22"/>
        </w:rPr>
      </w:pPr>
      <w:r w:rsidRPr="00A31869">
        <w:rPr>
          <w:rFonts w:ascii="Times New Roman" w:hAnsi="Times New Roman"/>
          <w:sz w:val="22"/>
          <w:szCs w:val="22"/>
        </w:rPr>
        <w:t>This table identifies the specific subsequent processing of an assigned unit for one patient unit association that may or may not result in a change to the unit status or other quality and how that may or may not trigger an status change that requires update to the BCE COTS product.</w:t>
      </w:r>
      <w:r w:rsidRPr="00A31869">
        <w:rPr>
          <w:rFonts w:ascii="Times New Roman" w:hAnsi="Times New Roman"/>
          <w:b/>
          <w:sz w:val="22"/>
          <w:szCs w:val="22"/>
        </w:rPr>
        <w:t xml:space="preserve"> </w:t>
      </w:r>
    </w:p>
    <w:p w:rsidR="008A701E" w:rsidRDefault="008A701E" w:rsidP="008A701E">
      <w:pPr>
        <w:pStyle w:val="TableTextBullet"/>
        <w:numPr>
          <w:ilvl w:val="0"/>
          <w:numId w:val="0"/>
        </w:numPr>
        <w:ind w:left="90"/>
        <w:rPr>
          <w:rFonts w:cs="Arial"/>
          <w:b/>
          <w:sz w:val="20"/>
        </w:rPr>
      </w:pPr>
    </w:p>
    <w:p w:rsidR="008A701E" w:rsidRDefault="008A701E" w:rsidP="008A701E">
      <w:pPr>
        <w:pStyle w:val="TableTextBullet"/>
        <w:numPr>
          <w:ilvl w:val="0"/>
          <w:numId w:val="0"/>
        </w:numPr>
        <w:ind w:left="90"/>
        <w:rPr>
          <w:rFonts w:cs="Arial"/>
          <w:b/>
          <w:sz w:val="20"/>
        </w:rPr>
      </w:pPr>
      <w:r>
        <w:rPr>
          <w:rFonts w:cs="Arial"/>
          <w:b/>
          <w:sz w:val="20"/>
        </w:rPr>
        <w:t>U</w:t>
      </w:r>
      <w:r w:rsidRPr="00315EA0">
        <w:rPr>
          <w:rFonts w:cs="Arial"/>
          <w:b/>
          <w:sz w:val="20"/>
        </w:rPr>
        <w:t>nit status code</w:t>
      </w:r>
      <w:r>
        <w:rPr>
          <w:rFonts w:cs="Arial"/>
          <w:b/>
          <w:sz w:val="20"/>
        </w:rPr>
        <w:t xml:space="preserve"> legend</w:t>
      </w:r>
      <w:r w:rsidRPr="00315EA0">
        <w:rPr>
          <w:rFonts w:cs="Arial"/>
          <w:b/>
          <w:sz w:val="20"/>
        </w:rPr>
        <w:t>:</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2297"/>
        <w:gridCol w:w="2296"/>
        <w:gridCol w:w="2296"/>
      </w:tblGrid>
      <w:tr w:rsidR="008A701E" w:rsidRPr="00186BAB">
        <w:trPr>
          <w:trHeight w:val="255"/>
        </w:trPr>
        <w:tc>
          <w:tcPr>
            <w:tcW w:w="2297" w:type="dxa"/>
            <w:shd w:val="pct20" w:color="auto" w:fill="auto"/>
            <w:vAlign w:val="center"/>
          </w:tcPr>
          <w:p w:rsidR="008A701E" w:rsidRPr="00186BAB" w:rsidRDefault="008A701E" w:rsidP="008A701E">
            <w:pPr>
              <w:jc w:val="center"/>
              <w:rPr>
                <w:rFonts w:ascii="Arial" w:hAnsi="Arial" w:cs="Arial"/>
                <w:b/>
                <w:sz w:val="20"/>
                <w:szCs w:val="20"/>
              </w:rPr>
            </w:pPr>
            <w:r w:rsidRPr="00186BAB">
              <w:rPr>
                <w:rFonts w:ascii="Arial" w:hAnsi="Arial" w:cs="Arial"/>
                <w:b/>
                <w:sz w:val="20"/>
                <w:szCs w:val="20"/>
              </w:rPr>
              <w:t>A</w:t>
            </w:r>
          </w:p>
        </w:tc>
        <w:tc>
          <w:tcPr>
            <w:tcW w:w="2297" w:type="dxa"/>
            <w:vAlign w:val="center"/>
          </w:tcPr>
          <w:p w:rsidR="008A701E" w:rsidRPr="00186BAB" w:rsidRDefault="008A701E" w:rsidP="008A701E">
            <w:pPr>
              <w:rPr>
                <w:rFonts w:ascii="Arial" w:hAnsi="Arial" w:cs="Arial"/>
                <w:sz w:val="20"/>
                <w:szCs w:val="20"/>
              </w:rPr>
            </w:pPr>
            <w:r w:rsidRPr="00186BAB">
              <w:rPr>
                <w:rFonts w:ascii="Arial" w:hAnsi="Arial" w:cs="Arial"/>
                <w:sz w:val="20"/>
                <w:szCs w:val="20"/>
              </w:rPr>
              <w:t>Available</w:t>
            </w:r>
          </w:p>
        </w:tc>
        <w:tc>
          <w:tcPr>
            <w:tcW w:w="2296" w:type="dxa"/>
            <w:shd w:val="pct20" w:color="auto" w:fill="auto"/>
            <w:vAlign w:val="center"/>
          </w:tcPr>
          <w:p w:rsidR="008A701E" w:rsidRPr="00186BAB" w:rsidRDefault="008A701E" w:rsidP="008A701E">
            <w:pPr>
              <w:jc w:val="center"/>
              <w:rPr>
                <w:rFonts w:ascii="Arial" w:hAnsi="Arial" w:cs="Arial"/>
                <w:b/>
                <w:sz w:val="20"/>
                <w:szCs w:val="20"/>
              </w:rPr>
            </w:pPr>
            <w:r w:rsidRPr="00186BAB">
              <w:rPr>
                <w:rFonts w:ascii="Arial" w:hAnsi="Arial" w:cs="Arial"/>
                <w:b/>
                <w:sz w:val="20"/>
                <w:szCs w:val="20"/>
              </w:rPr>
              <w:t>S</w:t>
            </w:r>
          </w:p>
        </w:tc>
        <w:tc>
          <w:tcPr>
            <w:tcW w:w="2296" w:type="dxa"/>
            <w:vAlign w:val="center"/>
          </w:tcPr>
          <w:p w:rsidR="008A701E" w:rsidRPr="00186BAB" w:rsidRDefault="008A701E" w:rsidP="008A701E">
            <w:pPr>
              <w:rPr>
                <w:rFonts w:ascii="Arial" w:hAnsi="Arial" w:cs="Arial"/>
                <w:sz w:val="20"/>
                <w:szCs w:val="20"/>
              </w:rPr>
            </w:pPr>
            <w:r w:rsidRPr="00186BAB">
              <w:rPr>
                <w:rFonts w:ascii="Arial" w:hAnsi="Arial" w:cs="Arial"/>
                <w:sz w:val="20"/>
                <w:szCs w:val="20"/>
              </w:rPr>
              <w:t>Assigned</w:t>
            </w:r>
          </w:p>
        </w:tc>
      </w:tr>
      <w:tr w:rsidR="008A701E" w:rsidRPr="00186BAB">
        <w:trPr>
          <w:trHeight w:val="255"/>
        </w:trPr>
        <w:tc>
          <w:tcPr>
            <w:tcW w:w="2297" w:type="dxa"/>
            <w:shd w:val="pct20" w:color="auto" w:fill="auto"/>
            <w:vAlign w:val="center"/>
          </w:tcPr>
          <w:p w:rsidR="008A701E" w:rsidRPr="00186BAB" w:rsidRDefault="008A701E" w:rsidP="008A701E">
            <w:pPr>
              <w:jc w:val="center"/>
              <w:rPr>
                <w:rFonts w:ascii="Arial" w:hAnsi="Arial" w:cs="Arial"/>
                <w:b/>
                <w:sz w:val="20"/>
                <w:szCs w:val="20"/>
              </w:rPr>
            </w:pPr>
            <w:r w:rsidRPr="00186BAB">
              <w:rPr>
                <w:rFonts w:ascii="Arial" w:hAnsi="Arial" w:cs="Arial"/>
                <w:b/>
                <w:sz w:val="20"/>
                <w:szCs w:val="20"/>
              </w:rPr>
              <w:t>C</w:t>
            </w:r>
          </w:p>
        </w:tc>
        <w:tc>
          <w:tcPr>
            <w:tcW w:w="2297" w:type="dxa"/>
            <w:vAlign w:val="center"/>
          </w:tcPr>
          <w:p w:rsidR="008A701E" w:rsidRPr="00186BAB" w:rsidRDefault="008A701E" w:rsidP="008A701E">
            <w:pPr>
              <w:rPr>
                <w:rFonts w:ascii="Arial" w:hAnsi="Arial" w:cs="Arial"/>
                <w:sz w:val="20"/>
                <w:szCs w:val="20"/>
              </w:rPr>
            </w:pPr>
            <w:r w:rsidRPr="00186BAB">
              <w:rPr>
                <w:rFonts w:ascii="Arial" w:hAnsi="Arial" w:cs="Arial"/>
                <w:sz w:val="20"/>
                <w:szCs w:val="20"/>
              </w:rPr>
              <w:t>Crossmatched</w:t>
            </w:r>
          </w:p>
        </w:tc>
        <w:tc>
          <w:tcPr>
            <w:tcW w:w="2296" w:type="dxa"/>
            <w:shd w:val="pct20" w:color="auto" w:fill="auto"/>
            <w:vAlign w:val="center"/>
          </w:tcPr>
          <w:p w:rsidR="008A701E" w:rsidRPr="00186BAB" w:rsidRDefault="008A701E" w:rsidP="008A701E">
            <w:pPr>
              <w:jc w:val="center"/>
              <w:rPr>
                <w:rFonts w:ascii="Arial" w:hAnsi="Arial" w:cs="Arial"/>
                <w:b/>
                <w:sz w:val="20"/>
                <w:szCs w:val="20"/>
              </w:rPr>
            </w:pPr>
            <w:r w:rsidRPr="00186BAB">
              <w:rPr>
                <w:rFonts w:ascii="Arial" w:hAnsi="Arial" w:cs="Arial"/>
                <w:b/>
                <w:sz w:val="20"/>
                <w:szCs w:val="20"/>
              </w:rPr>
              <w:t>T</w:t>
            </w:r>
          </w:p>
        </w:tc>
        <w:tc>
          <w:tcPr>
            <w:tcW w:w="2296" w:type="dxa"/>
            <w:vAlign w:val="center"/>
          </w:tcPr>
          <w:p w:rsidR="008A701E" w:rsidRPr="00186BAB" w:rsidRDefault="008A701E" w:rsidP="008A701E">
            <w:pPr>
              <w:rPr>
                <w:rFonts w:ascii="Arial" w:hAnsi="Arial" w:cs="Arial"/>
                <w:sz w:val="20"/>
                <w:szCs w:val="20"/>
              </w:rPr>
            </w:pPr>
            <w:r w:rsidRPr="00186BAB">
              <w:rPr>
                <w:rFonts w:ascii="Arial" w:hAnsi="Arial" w:cs="Arial"/>
                <w:sz w:val="20"/>
                <w:szCs w:val="20"/>
              </w:rPr>
              <w:t>Transfused</w:t>
            </w:r>
          </w:p>
        </w:tc>
      </w:tr>
      <w:tr w:rsidR="008A701E" w:rsidRPr="00186BAB">
        <w:trPr>
          <w:trHeight w:val="255"/>
        </w:trPr>
        <w:tc>
          <w:tcPr>
            <w:tcW w:w="2297" w:type="dxa"/>
            <w:shd w:val="pct20" w:color="auto" w:fill="auto"/>
            <w:vAlign w:val="center"/>
          </w:tcPr>
          <w:p w:rsidR="008A701E" w:rsidRPr="00186BAB" w:rsidRDefault="008A701E" w:rsidP="008A701E">
            <w:pPr>
              <w:jc w:val="center"/>
              <w:rPr>
                <w:rFonts w:ascii="Arial" w:hAnsi="Arial" w:cs="Arial"/>
                <w:b/>
                <w:sz w:val="20"/>
                <w:szCs w:val="20"/>
              </w:rPr>
            </w:pPr>
            <w:r w:rsidRPr="00186BAB">
              <w:rPr>
                <w:rFonts w:ascii="Arial" w:hAnsi="Arial" w:cs="Arial"/>
                <w:b/>
                <w:sz w:val="20"/>
                <w:szCs w:val="20"/>
              </w:rPr>
              <w:t>D</w:t>
            </w:r>
          </w:p>
        </w:tc>
        <w:tc>
          <w:tcPr>
            <w:tcW w:w="2297" w:type="dxa"/>
            <w:vAlign w:val="center"/>
          </w:tcPr>
          <w:p w:rsidR="008A701E" w:rsidRPr="00186BAB" w:rsidRDefault="008A701E" w:rsidP="008A701E">
            <w:pPr>
              <w:rPr>
                <w:rFonts w:ascii="Arial" w:hAnsi="Arial" w:cs="Arial"/>
                <w:sz w:val="20"/>
                <w:szCs w:val="20"/>
              </w:rPr>
            </w:pPr>
            <w:r w:rsidRPr="00186BAB">
              <w:rPr>
                <w:rFonts w:ascii="Arial" w:hAnsi="Arial" w:cs="Arial"/>
                <w:sz w:val="20"/>
                <w:szCs w:val="20"/>
              </w:rPr>
              <w:t>Discarded</w:t>
            </w:r>
          </w:p>
        </w:tc>
        <w:tc>
          <w:tcPr>
            <w:tcW w:w="2296" w:type="dxa"/>
            <w:shd w:val="pct20" w:color="auto" w:fill="auto"/>
            <w:vAlign w:val="center"/>
          </w:tcPr>
          <w:p w:rsidR="008A701E" w:rsidRPr="00186BAB" w:rsidRDefault="008A701E" w:rsidP="008A701E">
            <w:pPr>
              <w:jc w:val="center"/>
              <w:rPr>
                <w:rFonts w:ascii="Arial" w:hAnsi="Arial" w:cs="Arial"/>
                <w:b/>
                <w:sz w:val="20"/>
                <w:szCs w:val="20"/>
              </w:rPr>
            </w:pPr>
            <w:r w:rsidRPr="00186BAB">
              <w:rPr>
                <w:rFonts w:ascii="Arial" w:hAnsi="Arial" w:cs="Arial"/>
                <w:b/>
                <w:sz w:val="20"/>
                <w:szCs w:val="20"/>
              </w:rPr>
              <w:t>X</w:t>
            </w:r>
          </w:p>
        </w:tc>
        <w:tc>
          <w:tcPr>
            <w:tcW w:w="2296" w:type="dxa"/>
            <w:vAlign w:val="center"/>
          </w:tcPr>
          <w:p w:rsidR="008A701E" w:rsidRPr="00186BAB" w:rsidRDefault="008A701E" w:rsidP="008A701E">
            <w:pPr>
              <w:rPr>
                <w:rFonts w:ascii="Arial" w:hAnsi="Arial" w:cs="Arial"/>
                <w:sz w:val="20"/>
                <w:szCs w:val="20"/>
              </w:rPr>
            </w:pPr>
            <w:r w:rsidRPr="00186BAB">
              <w:rPr>
                <w:rFonts w:ascii="Arial" w:hAnsi="Arial" w:cs="Arial"/>
                <w:sz w:val="20"/>
                <w:szCs w:val="20"/>
              </w:rPr>
              <w:t>Transferred</w:t>
            </w:r>
          </w:p>
        </w:tc>
      </w:tr>
      <w:tr w:rsidR="008A701E" w:rsidRPr="00186BAB">
        <w:trPr>
          <w:trHeight w:val="255"/>
        </w:trPr>
        <w:tc>
          <w:tcPr>
            <w:tcW w:w="2297" w:type="dxa"/>
            <w:shd w:val="pct20" w:color="auto" w:fill="auto"/>
            <w:vAlign w:val="center"/>
          </w:tcPr>
          <w:p w:rsidR="008A701E" w:rsidRPr="00186BAB" w:rsidRDefault="008A701E" w:rsidP="008A701E">
            <w:pPr>
              <w:jc w:val="center"/>
              <w:rPr>
                <w:rFonts w:ascii="Arial" w:hAnsi="Arial" w:cs="Arial"/>
                <w:b/>
                <w:sz w:val="20"/>
                <w:szCs w:val="20"/>
              </w:rPr>
            </w:pPr>
            <w:r w:rsidRPr="00186BAB">
              <w:rPr>
                <w:rFonts w:ascii="Arial" w:hAnsi="Arial" w:cs="Arial"/>
                <w:b/>
                <w:sz w:val="20"/>
                <w:szCs w:val="20"/>
              </w:rPr>
              <w:t>I</w:t>
            </w:r>
          </w:p>
        </w:tc>
        <w:tc>
          <w:tcPr>
            <w:tcW w:w="2297" w:type="dxa"/>
            <w:vAlign w:val="center"/>
          </w:tcPr>
          <w:p w:rsidR="008A701E" w:rsidRPr="00186BAB" w:rsidRDefault="008A701E" w:rsidP="008A701E">
            <w:pPr>
              <w:rPr>
                <w:rFonts w:ascii="Arial" w:hAnsi="Arial" w:cs="Arial"/>
                <w:sz w:val="20"/>
                <w:szCs w:val="20"/>
              </w:rPr>
            </w:pPr>
            <w:r w:rsidRPr="00186BAB">
              <w:rPr>
                <w:rFonts w:ascii="Arial" w:hAnsi="Arial" w:cs="Arial"/>
                <w:sz w:val="20"/>
                <w:szCs w:val="20"/>
              </w:rPr>
              <w:t>Issued</w:t>
            </w:r>
          </w:p>
        </w:tc>
        <w:tc>
          <w:tcPr>
            <w:tcW w:w="2296" w:type="dxa"/>
            <w:shd w:val="pct20" w:color="auto" w:fill="auto"/>
            <w:vAlign w:val="center"/>
          </w:tcPr>
          <w:p w:rsidR="008A701E" w:rsidRPr="00186BAB" w:rsidRDefault="008A701E" w:rsidP="008A701E">
            <w:pPr>
              <w:jc w:val="center"/>
              <w:rPr>
                <w:rFonts w:ascii="Arial" w:hAnsi="Arial" w:cs="Arial"/>
                <w:b/>
                <w:sz w:val="20"/>
                <w:szCs w:val="20"/>
              </w:rPr>
            </w:pPr>
            <w:r w:rsidRPr="00186BAB">
              <w:rPr>
                <w:rFonts w:ascii="Arial" w:hAnsi="Arial" w:cs="Arial"/>
                <w:b/>
                <w:sz w:val="20"/>
                <w:szCs w:val="20"/>
              </w:rPr>
              <w:t>DS</w:t>
            </w:r>
          </w:p>
        </w:tc>
        <w:tc>
          <w:tcPr>
            <w:tcW w:w="2296" w:type="dxa"/>
            <w:vAlign w:val="center"/>
          </w:tcPr>
          <w:p w:rsidR="008A701E" w:rsidRPr="00186BAB" w:rsidRDefault="008A701E" w:rsidP="008A701E">
            <w:pPr>
              <w:rPr>
                <w:rFonts w:ascii="Arial" w:hAnsi="Arial" w:cs="Arial"/>
                <w:sz w:val="20"/>
                <w:szCs w:val="20"/>
              </w:rPr>
            </w:pPr>
            <w:r w:rsidRPr="00186BAB">
              <w:rPr>
                <w:rFonts w:ascii="Arial" w:hAnsi="Arial" w:cs="Arial"/>
                <w:sz w:val="20"/>
                <w:szCs w:val="20"/>
              </w:rPr>
              <w:t>Dispense Unit (Issued)</w:t>
            </w:r>
          </w:p>
        </w:tc>
      </w:tr>
      <w:tr w:rsidR="008A701E" w:rsidRPr="00186BAB">
        <w:trPr>
          <w:trHeight w:val="255"/>
        </w:trPr>
        <w:tc>
          <w:tcPr>
            <w:tcW w:w="2297" w:type="dxa"/>
            <w:shd w:val="pct20" w:color="auto" w:fill="auto"/>
            <w:vAlign w:val="center"/>
          </w:tcPr>
          <w:p w:rsidR="008A701E" w:rsidRPr="00186BAB" w:rsidRDefault="008A701E" w:rsidP="008A701E">
            <w:pPr>
              <w:jc w:val="center"/>
              <w:rPr>
                <w:rFonts w:ascii="Arial" w:hAnsi="Arial" w:cs="Arial"/>
                <w:b/>
                <w:sz w:val="20"/>
                <w:szCs w:val="20"/>
              </w:rPr>
            </w:pPr>
            <w:r w:rsidRPr="00186BAB">
              <w:rPr>
                <w:rFonts w:ascii="Arial" w:hAnsi="Arial" w:cs="Arial"/>
                <w:b/>
                <w:sz w:val="20"/>
                <w:szCs w:val="20"/>
              </w:rPr>
              <w:t>L</w:t>
            </w:r>
          </w:p>
        </w:tc>
        <w:tc>
          <w:tcPr>
            <w:tcW w:w="2297" w:type="dxa"/>
            <w:vAlign w:val="center"/>
          </w:tcPr>
          <w:p w:rsidR="008A701E" w:rsidRPr="00186BAB" w:rsidRDefault="008A701E" w:rsidP="008A701E">
            <w:pPr>
              <w:rPr>
                <w:rFonts w:ascii="Arial" w:hAnsi="Arial" w:cs="Arial"/>
                <w:sz w:val="20"/>
                <w:szCs w:val="20"/>
              </w:rPr>
            </w:pPr>
            <w:r w:rsidRPr="00186BAB">
              <w:rPr>
                <w:rFonts w:ascii="Arial" w:hAnsi="Arial" w:cs="Arial"/>
                <w:sz w:val="20"/>
                <w:szCs w:val="20"/>
              </w:rPr>
              <w:t>Limited</w:t>
            </w:r>
          </w:p>
        </w:tc>
        <w:tc>
          <w:tcPr>
            <w:tcW w:w="2296" w:type="dxa"/>
            <w:shd w:val="pct20" w:color="auto" w:fill="auto"/>
            <w:vAlign w:val="center"/>
          </w:tcPr>
          <w:p w:rsidR="008A701E" w:rsidRPr="00186BAB" w:rsidRDefault="008A701E" w:rsidP="008A701E">
            <w:pPr>
              <w:jc w:val="center"/>
              <w:rPr>
                <w:rFonts w:ascii="Arial" w:hAnsi="Arial" w:cs="Arial"/>
                <w:b/>
                <w:sz w:val="20"/>
                <w:szCs w:val="20"/>
              </w:rPr>
            </w:pPr>
            <w:r w:rsidRPr="00186BAB">
              <w:rPr>
                <w:rFonts w:ascii="Arial" w:hAnsi="Arial" w:cs="Arial"/>
                <w:b/>
                <w:sz w:val="20"/>
                <w:szCs w:val="20"/>
              </w:rPr>
              <w:t>RE</w:t>
            </w:r>
          </w:p>
        </w:tc>
        <w:tc>
          <w:tcPr>
            <w:tcW w:w="2296" w:type="dxa"/>
            <w:vAlign w:val="center"/>
          </w:tcPr>
          <w:p w:rsidR="008A701E" w:rsidRPr="00186BAB" w:rsidRDefault="008A701E" w:rsidP="008A701E">
            <w:pPr>
              <w:rPr>
                <w:rFonts w:ascii="Arial" w:hAnsi="Arial" w:cs="Arial"/>
                <w:sz w:val="20"/>
                <w:szCs w:val="20"/>
              </w:rPr>
            </w:pPr>
            <w:r w:rsidRPr="00186BAB">
              <w:rPr>
                <w:rFonts w:ascii="Arial" w:hAnsi="Arial" w:cs="Arial"/>
                <w:sz w:val="20"/>
                <w:szCs w:val="20"/>
              </w:rPr>
              <w:t>Release Unit</w:t>
            </w:r>
          </w:p>
        </w:tc>
      </w:tr>
      <w:tr w:rsidR="008A701E" w:rsidRPr="00186BAB">
        <w:trPr>
          <w:trHeight w:val="255"/>
        </w:trPr>
        <w:tc>
          <w:tcPr>
            <w:tcW w:w="2297" w:type="dxa"/>
            <w:shd w:val="pct20" w:color="auto" w:fill="auto"/>
            <w:vAlign w:val="center"/>
          </w:tcPr>
          <w:p w:rsidR="008A701E" w:rsidRPr="00186BAB" w:rsidRDefault="008A701E" w:rsidP="008A701E">
            <w:pPr>
              <w:jc w:val="center"/>
              <w:rPr>
                <w:rFonts w:ascii="Arial" w:hAnsi="Arial" w:cs="Arial"/>
                <w:b/>
                <w:sz w:val="20"/>
                <w:szCs w:val="20"/>
              </w:rPr>
            </w:pPr>
            <w:r w:rsidRPr="00186BAB">
              <w:rPr>
                <w:rFonts w:ascii="Arial" w:hAnsi="Arial" w:cs="Arial"/>
                <w:b/>
                <w:sz w:val="20"/>
                <w:szCs w:val="20"/>
              </w:rPr>
              <w:t>M</w:t>
            </w:r>
          </w:p>
        </w:tc>
        <w:tc>
          <w:tcPr>
            <w:tcW w:w="2297" w:type="dxa"/>
            <w:vAlign w:val="center"/>
          </w:tcPr>
          <w:p w:rsidR="008A701E" w:rsidRPr="00186BAB" w:rsidRDefault="008A701E" w:rsidP="008A701E">
            <w:pPr>
              <w:rPr>
                <w:rFonts w:ascii="Arial" w:hAnsi="Arial" w:cs="Arial"/>
                <w:sz w:val="20"/>
                <w:szCs w:val="20"/>
              </w:rPr>
            </w:pPr>
            <w:r w:rsidRPr="00186BAB">
              <w:rPr>
                <w:rFonts w:ascii="Arial" w:hAnsi="Arial" w:cs="Arial"/>
                <w:sz w:val="20"/>
                <w:szCs w:val="20"/>
              </w:rPr>
              <w:t>Modified</w:t>
            </w:r>
          </w:p>
        </w:tc>
        <w:tc>
          <w:tcPr>
            <w:tcW w:w="2296" w:type="dxa"/>
            <w:shd w:val="pct20" w:color="auto" w:fill="auto"/>
            <w:vAlign w:val="center"/>
          </w:tcPr>
          <w:p w:rsidR="008A701E" w:rsidRPr="00186BAB" w:rsidRDefault="008A701E" w:rsidP="008A701E">
            <w:pPr>
              <w:jc w:val="center"/>
              <w:rPr>
                <w:rFonts w:ascii="Arial" w:hAnsi="Arial" w:cs="Arial"/>
                <w:b/>
                <w:sz w:val="20"/>
                <w:szCs w:val="20"/>
              </w:rPr>
            </w:pPr>
            <w:r w:rsidRPr="00186BAB">
              <w:rPr>
                <w:rFonts w:ascii="Arial" w:hAnsi="Arial" w:cs="Arial"/>
                <w:b/>
                <w:sz w:val="20"/>
                <w:szCs w:val="20"/>
              </w:rPr>
              <w:t>RS</w:t>
            </w:r>
          </w:p>
        </w:tc>
        <w:tc>
          <w:tcPr>
            <w:tcW w:w="2296" w:type="dxa"/>
            <w:vAlign w:val="center"/>
          </w:tcPr>
          <w:p w:rsidR="008A701E" w:rsidRPr="00186BAB" w:rsidRDefault="008A701E" w:rsidP="008A701E">
            <w:pPr>
              <w:rPr>
                <w:rFonts w:ascii="Arial" w:hAnsi="Arial" w:cs="Arial"/>
                <w:sz w:val="20"/>
                <w:szCs w:val="20"/>
              </w:rPr>
            </w:pPr>
            <w:r w:rsidRPr="00186BAB">
              <w:rPr>
                <w:rFonts w:ascii="Arial" w:hAnsi="Arial" w:cs="Arial"/>
                <w:sz w:val="20"/>
                <w:szCs w:val="20"/>
              </w:rPr>
              <w:t>Reserve Unit</w:t>
            </w:r>
          </w:p>
        </w:tc>
      </w:tr>
    </w:tbl>
    <w:p w:rsidR="008A701E" w:rsidRPr="00186BAB" w:rsidRDefault="008A701E" w:rsidP="008A701E">
      <w:r w:rsidRPr="00C1371B">
        <w:t xml:space="preserve"> </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540"/>
        <w:gridCol w:w="1530"/>
        <w:gridCol w:w="3060"/>
        <w:gridCol w:w="1530"/>
        <w:gridCol w:w="2070"/>
      </w:tblGrid>
      <w:tr w:rsidR="008A701E" w:rsidRPr="006A2781">
        <w:trPr>
          <w:cantSplit/>
          <w:tblHeader/>
        </w:trPr>
        <w:tc>
          <w:tcPr>
            <w:tcW w:w="9180" w:type="dxa"/>
            <w:gridSpan w:val="6"/>
            <w:shd w:val="clear" w:color="auto" w:fill="C0C0C0"/>
            <w:vAlign w:val="bottom"/>
          </w:tcPr>
          <w:p w:rsidR="008A701E" w:rsidRPr="006A2781" w:rsidRDefault="008A701E" w:rsidP="008A701E">
            <w:pPr>
              <w:jc w:val="center"/>
              <w:rPr>
                <w:rFonts w:ascii="Arial" w:hAnsi="Arial" w:cs="Arial"/>
                <w:b/>
                <w:bCs/>
                <w:sz w:val="18"/>
                <w:szCs w:val="18"/>
              </w:rPr>
            </w:pPr>
            <w:r w:rsidRPr="006A2781">
              <w:rPr>
                <w:rFonts w:ascii="Arial" w:hAnsi="Arial" w:cs="Arial"/>
                <w:b/>
                <w:sz w:val="18"/>
                <w:szCs w:val="18"/>
              </w:rPr>
              <w:t>BCE COTS Message Updates</w:t>
            </w:r>
          </w:p>
        </w:tc>
      </w:tr>
      <w:tr w:rsidR="008A701E" w:rsidRPr="006A2781">
        <w:trPr>
          <w:cantSplit/>
          <w:trHeight w:val="1134"/>
          <w:tblHeader/>
        </w:trPr>
        <w:tc>
          <w:tcPr>
            <w:tcW w:w="450" w:type="dxa"/>
            <w:shd w:val="clear" w:color="auto" w:fill="C0C0C0"/>
            <w:textDirection w:val="btLr"/>
            <w:vAlign w:val="bottom"/>
          </w:tcPr>
          <w:p w:rsidR="008A701E" w:rsidRPr="006A2781" w:rsidRDefault="008A701E" w:rsidP="008A701E">
            <w:pPr>
              <w:ind w:left="113" w:right="113"/>
              <w:jc w:val="center"/>
              <w:rPr>
                <w:rFonts w:ascii="Arial" w:hAnsi="Arial" w:cs="Arial"/>
                <w:b/>
                <w:bCs/>
                <w:sz w:val="18"/>
                <w:szCs w:val="18"/>
              </w:rPr>
            </w:pPr>
            <w:r>
              <w:rPr>
                <w:rFonts w:ascii="Arial" w:hAnsi="Arial" w:cs="Arial"/>
                <w:b/>
                <w:bCs/>
                <w:sz w:val="18"/>
                <w:szCs w:val="18"/>
              </w:rPr>
              <w:t>Row #</w:t>
            </w:r>
          </w:p>
        </w:tc>
        <w:tc>
          <w:tcPr>
            <w:tcW w:w="540" w:type="dxa"/>
            <w:shd w:val="clear" w:color="auto" w:fill="C0C0C0"/>
            <w:textDirection w:val="btLr"/>
            <w:vAlign w:val="bottom"/>
          </w:tcPr>
          <w:p w:rsidR="008A701E" w:rsidRPr="006A2781" w:rsidRDefault="008A701E" w:rsidP="008A701E">
            <w:pPr>
              <w:ind w:left="113" w:right="113"/>
              <w:jc w:val="center"/>
              <w:rPr>
                <w:rFonts w:ascii="Arial" w:hAnsi="Arial" w:cs="Arial"/>
                <w:b/>
                <w:bCs/>
                <w:sz w:val="18"/>
                <w:szCs w:val="18"/>
              </w:rPr>
            </w:pPr>
            <w:r>
              <w:rPr>
                <w:rFonts w:ascii="Arial" w:hAnsi="Arial" w:cs="Arial"/>
                <w:b/>
                <w:bCs/>
                <w:sz w:val="18"/>
                <w:szCs w:val="18"/>
              </w:rPr>
              <w:t>Initial Unit Status</w:t>
            </w:r>
          </w:p>
        </w:tc>
        <w:tc>
          <w:tcPr>
            <w:tcW w:w="1530" w:type="dxa"/>
            <w:shd w:val="clear" w:color="auto" w:fill="C0C0C0"/>
            <w:vAlign w:val="bottom"/>
          </w:tcPr>
          <w:p w:rsidR="008A701E" w:rsidRPr="006A2781" w:rsidRDefault="008A701E" w:rsidP="008A701E">
            <w:pPr>
              <w:rPr>
                <w:rFonts w:ascii="Arial" w:hAnsi="Arial" w:cs="Arial"/>
                <w:b/>
                <w:bCs/>
                <w:sz w:val="18"/>
                <w:szCs w:val="18"/>
              </w:rPr>
            </w:pPr>
            <w:r w:rsidRPr="006A2781">
              <w:rPr>
                <w:rFonts w:ascii="Arial" w:hAnsi="Arial" w:cs="Arial"/>
                <w:b/>
                <w:bCs/>
                <w:sz w:val="18"/>
                <w:szCs w:val="18"/>
              </w:rPr>
              <w:t>Processin</w:t>
            </w:r>
            <w:r>
              <w:rPr>
                <w:rFonts w:ascii="Arial" w:hAnsi="Arial" w:cs="Arial"/>
                <w:b/>
                <w:bCs/>
                <w:sz w:val="18"/>
                <w:szCs w:val="18"/>
              </w:rPr>
              <w:t>g Option</w:t>
            </w:r>
          </w:p>
        </w:tc>
        <w:tc>
          <w:tcPr>
            <w:tcW w:w="3060" w:type="dxa"/>
            <w:shd w:val="clear" w:color="auto" w:fill="C0C0C0"/>
            <w:vAlign w:val="bottom"/>
          </w:tcPr>
          <w:p w:rsidR="008A701E" w:rsidRPr="006A2781" w:rsidRDefault="008A701E" w:rsidP="008A701E">
            <w:pPr>
              <w:rPr>
                <w:rFonts w:ascii="Arial" w:hAnsi="Arial" w:cs="Arial"/>
                <w:b/>
                <w:bCs/>
                <w:sz w:val="18"/>
                <w:szCs w:val="18"/>
              </w:rPr>
            </w:pPr>
            <w:r>
              <w:rPr>
                <w:rFonts w:ascii="Arial" w:hAnsi="Arial" w:cs="Arial"/>
                <w:b/>
                <w:bCs/>
                <w:sz w:val="18"/>
                <w:szCs w:val="18"/>
              </w:rPr>
              <w:t>Additional Information About t</w:t>
            </w:r>
            <w:r w:rsidRPr="006A2781">
              <w:rPr>
                <w:rFonts w:ascii="Arial" w:hAnsi="Arial" w:cs="Arial"/>
                <w:b/>
                <w:bCs/>
                <w:sz w:val="18"/>
                <w:szCs w:val="18"/>
              </w:rPr>
              <w:t xml:space="preserve">he Processing </w:t>
            </w:r>
            <w:r>
              <w:rPr>
                <w:rFonts w:ascii="Arial" w:hAnsi="Arial" w:cs="Arial"/>
                <w:b/>
                <w:bCs/>
                <w:sz w:val="18"/>
                <w:szCs w:val="18"/>
              </w:rPr>
              <w:t>Option</w:t>
            </w:r>
          </w:p>
        </w:tc>
        <w:tc>
          <w:tcPr>
            <w:tcW w:w="1530" w:type="dxa"/>
            <w:shd w:val="clear" w:color="auto" w:fill="C0C0C0"/>
            <w:vAlign w:val="bottom"/>
          </w:tcPr>
          <w:p w:rsidR="008A701E" w:rsidRPr="006A2781" w:rsidRDefault="008A701E" w:rsidP="008A701E">
            <w:pPr>
              <w:jc w:val="center"/>
              <w:rPr>
                <w:rFonts w:ascii="Arial" w:hAnsi="Arial" w:cs="Arial"/>
                <w:b/>
                <w:bCs/>
                <w:sz w:val="18"/>
                <w:szCs w:val="18"/>
              </w:rPr>
            </w:pPr>
            <w:r>
              <w:rPr>
                <w:rFonts w:ascii="Arial" w:hAnsi="Arial" w:cs="Arial"/>
                <w:b/>
                <w:bCs/>
                <w:sz w:val="18"/>
                <w:szCs w:val="18"/>
              </w:rPr>
              <w:t>Unit Status Exiting</w:t>
            </w:r>
            <w:r>
              <w:rPr>
                <w:rFonts w:ascii="Arial" w:hAnsi="Arial" w:cs="Arial"/>
                <w:b/>
                <w:bCs/>
                <w:sz w:val="18"/>
                <w:szCs w:val="18"/>
              </w:rPr>
              <w:br/>
              <w:t>t</w:t>
            </w:r>
            <w:r w:rsidRPr="006A2781">
              <w:rPr>
                <w:rFonts w:ascii="Arial" w:hAnsi="Arial" w:cs="Arial"/>
                <w:b/>
                <w:bCs/>
                <w:sz w:val="18"/>
                <w:szCs w:val="18"/>
              </w:rPr>
              <w:t xml:space="preserve">he </w:t>
            </w:r>
            <w:r>
              <w:rPr>
                <w:rFonts w:ascii="Arial" w:hAnsi="Arial" w:cs="Arial"/>
                <w:b/>
                <w:bCs/>
                <w:sz w:val="18"/>
                <w:szCs w:val="18"/>
              </w:rPr>
              <w:t>Option</w:t>
            </w:r>
          </w:p>
        </w:tc>
        <w:tc>
          <w:tcPr>
            <w:tcW w:w="2070" w:type="dxa"/>
            <w:shd w:val="clear" w:color="auto" w:fill="C0C0C0"/>
            <w:noWrap/>
            <w:vAlign w:val="bottom"/>
          </w:tcPr>
          <w:p w:rsidR="008A701E" w:rsidRPr="006A2781" w:rsidRDefault="008A701E" w:rsidP="008A701E">
            <w:pPr>
              <w:rPr>
                <w:rFonts w:ascii="Arial" w:hAnsi="Arial" w:cs="Arial"/>
                <w:b/>
                <w:sz w:val="18"/>
                <w:szCs w:val="18"/>
              </w:rPr>
            </w:pPr>
            <w:r>
              <w:rPr>
                <w:rFonts w:ascii="Arial" w:hAnsi="Arial" w:cs="Arial"/>
                <w:b/>
                <w:bCs/>
                <w:sz w:val="18"/>
                <w:szCs w:val="18"/>
              </w:rPr>
              <w:t>Unit Status Reported to BCE COTS</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1</w:t>
            </w:r>
          </w:p>
        </w:tc>
        <w:tc>
          <w:tcPr>
            <w:tcW w:w="540" w:type="dxa"/>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Select Unit for Patient</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Normal flow</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2</w:t>
            </w:r>
          </w:p>
        </w:tc>
        <w:tc>
          <w:tcPr>
            <w:tcW w:w="540" w:type="dxa"/>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1530" w:type="dxa"/>
            <w:shd w:val="clear" w:color="auto" w:fill="auto"/>
            <w:noWrap/>
          </w:tcPr>
          <w:p w:rsidR="008A701E" w:rsidRDefault="008A701E" w:rsidP="008A701E">
            <w:r w:rsidRPr="00E47E59">
              <w:rPr>
                <w:rFonts w:ascii="Arial" w:hAnsi="Arial" w:cs="Arial"/>
                <w:sz w:val="18"/>
                <w:szCs w:val="18"/>
              </w:rPr>
              <w:t>Select Unit for Patient</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Emergency issue flow</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trPr>
          <w:cantSplit/>
          <w:trHeight w:val="255"/>
        </w:trPr>
        <w:tc>
          <w:tcPr>
            <w:tcW w:w="450" w:type="dxa"/>
            <w:vAlign w:val="bottom"/>
          </w:tcPr>
          <w:p w:rsidR="008A701E" w:rsidRDefault="008A701E" w:rsidP="008A701E">
            <w:pPr>
              <w:jc w:val="center"/>
              <w:rPr>
                <w:rFonts w:ascii="Arial" w:hAnsi="Arial" w:cs="Arial"/>
                <w:sz w:val="18"/>
                <w:szCs w:val="18"/>
              </w:rPr>
            </w:pPr>
            <w:r>
              <w:rPr>
                <w:rFonts w:ascii="Arial" w:hAnsi="Arial" w:cs="Arial"/>
                <w:sz w:val="18"/>
                <w:szCs w:val="18"/>
              </w:rPr>
              <w:t>3</w:t>
            </w:r>
          </w:p>
        </w:tc>
        <w:tc>
          <w:tcPr>
            <w:tcW w:w="54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A</w:t>
            </w:r>
          </w:p>
        </w:tc>
        <w:tc>
          <w:tcPr>
            <w:tcW w:w="1530" w:type="dxa"/>
            <w:shd w:val="clear" w:color="auto" w:fill="auto"/>
            <w:noWrap/>
          </w:tcPr>
          <w:p w:rsidR="008A701E" w:rsidRDefault="008A701E" w:rsidP="008A701E">
            <w:r w:rsidRPr="00E47E59">
              <w:rPr>
                <w:rFonts w:ascii="Arial" w:hAnsi="Arial" w:cs="Arial"/>
                <w:sz w:val="18"/>
                <w:szCs w:val="18"/>
              </w:rPr>
              <w:t>Select Unit for Patient</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Electronic Crossmatch processed</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4</w:t>
            </w:r>
          </w:p>
        </w:tc>
        <w:tc>
          <w:tcPr>
            <w:tcW w:w="540" w:type="dxa"/>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Process Outgoing Shipment</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 xml:space="preserve">Maintain Assignment </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X</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RE upon confirmation</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5</w:t>
            </w:r>
          </w:p>
        </w:tc>
        <w:tc>
          <w:tcPr>
            <w:tcW w:w="540" w:type="dxa"/>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Process Outgoing Shipment</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Release Assignment upon confirmation</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A (then X when confirmed)</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RE sent when release processed</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6</w:t>
            </w:r>
          </w:p>
        </w:tc>
        <w:tc>
          <w:tcPr>
            <w:tcW w:w="540" w:type="dxa"/>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Process Outgoing Shipment</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X</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RE upon confirmation</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7</w:t>
            </w:r>
          </w:p>
        </w:tc>
        <w:tc>
          <w:tcPr>
            <w:tcW w:w="540" w:type="dxa"/>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Process Outgoing Shipment</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Release Assignment upon confirmation</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A (then X when confirmed)</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RE sent when release processed</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8</w:t>
            </w:r>
          </w:p>
        </w:tc>
        <w:tc>
          <w:tcPr>
            <w:tcW w:w="540" w:type="dxa"/>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D</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Remove Final Unit Status</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Unit was previously Crossmatched</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9</w:t>
            </w:r>
          </w:p>
        </w:tc>
        <w:tc>
          <w:tcPr>
            <w:tcW w:w="540" w:type="dxa"/>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D</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Remove Final Unit Status</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Unit was previously Assigned</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10</w:t>
            </w:r>
          </w:p>
        </w:tc>
        <w:tc>
          <w:tcPr>
            <w:tcW w:w="540" w:type="dxa"/>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Remove Final Unit Status</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Remove Modification</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Pr>
                <w:rFonts w:ascii="Arial" w:hAnsi="Arial" w:cs="Arial"/>
                <w:sz w:val="18"/>
                <w:szCs w:val="18"/>
              </w:rPr>
              <w:t>A</w:t>
            </w:r>
          </w:p>
        </w:tc>
        <w:tc>
          <w:tcPr>
            <w:tcW w:w="207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No message resent</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11</w:t>
            </w:r>
          </w:p>
        </w:tc>
        <w:tc>
          <w:tcPr>
            <w:tcW w:w="540" w:type="dxa"/>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X</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Remove Final Unit Status</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Unit was previously Crossmatched</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12</w:t>
            </w:r>
          </w:p>
        </w:tc>
        <w:tc>
          <w:tcPr>
            <w:tcW w:w="540" w:type="dxa"/>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X</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Remove Final Unit Status</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Unit was previously Assigned</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13</w:t>
            </w:r>
          </w:p>
        </w:tc>
        <w:tc>
          <w:tcPr>
            <w:tcW w:w="540" w:type="dxa"/>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T</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Remove Final Unit Status</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Normal flow</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I</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DS</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14</w:t>
            </w:r>
          </w:p>
        </w:tc>
        <w:tc>
          <w:tcPr>
            <w:tcW w:w="540" w:type="dxa"/>
            <w:shd w:val="clear" w:color="auto" w:fill="auto"/>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vAlign w:val="bottom"/>
          </w:tcPr>
          <w:p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 xml:space="preserve">Maintain Assignment </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RE-original</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15</w:t>
            </w:r>
          </w:p>
        </w:tc>
        <w:tc>
          <w:tcPr>
            <w:tcW w:w="540" w:type="dxa"/>
            <w:shd w:val="clear" w:color="auto" w:fill="auto"/>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vAlign w:val="bottom"/>
          </w:tcPr>
          <w:p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 xml:space="preserve">Maintain Assignment </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RS-target</w:t>
            </w:r>
          </w:p>
        </w:tc>
      </w:tr>
      <w:tr w:rsidR="008A701E" w:rsidRPr="006A2781">
        <w:trPr>
          <w:cantSplit/>
          <w:trHeight w:val="128"/>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lastRenderedPageBreak/>
              <w:t>16</w:t>
            </w:r>
          </w:p>
        </w:tc>
        <w:tc>
          <w:tcPr>
            <w:tcW w:w="540" w:type="dxa"/>
            <w:shd w:val="clear" w:color="auto" w:fill="auto"/>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 xml:space="preserve">Release Assignment </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RE-original</w:t>
            </w:r>
          </w:p>
        </w:tc>
      </w:tr>
      <w:tr w:rsidR="008A701E" w:rsidRPr="006A2781">
        <w:trPr>
          <w:cantSplit/>
          <w:trHeight w:val="127"/>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17</w:t>
            </w:r>
          </w:p>
        </w:tc>
        <w:tc>
          <w:tcPr>
            <w:tcW w:w="540" w:type="dxa"/>
            <w:shd w:val="clear" w:color="auto" w:fill="auto"/>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 xml:space="preserve">Release Assignment </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Target, no message sent</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18</w:t>
            </w:r>
          </w:p>
        </w:tc>
        <w:tc>
          <w:tcPr>
            <w:tcW w:w="540" w:type="dxa"/>
            <w:shd w:val="clear" w:color="auto" w:fill="auto"/>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C</w:t>
            </w:r>
            <w:r>
              <w:rPr>
                <w:rFonts w:ascii="Arial" w:hAnsi="Arial" w:cs="Arial"/>
                <w:sz w:val="18"/>
                <w:szCs w:val="18"/>
              </w:rPr>
              <w:t>**</w:t>
            </w:r>
          </w:p>
        </w:tc>
        <w:tc>
          <w:tcPr>
            <w:tcW w:w="1530" w:type="dxa"/>
            <w:shd w:val="clear" w:color="auto" w:fill="auto"/>
            <w:vAlign w:val="bottom"/>
          </w:tcPr>
          <w:p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 xml:space="preserve">Maintain Assignment </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RE-original(s), may be multiple messages.</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19</w:t>
            </w:r>
          </w:p>
        </w:tc>
        <w:tc>
          <w:tcPr>
            <w:tcW w:w="540" w:type="dxa"/>
            <w:shd w:val="clear" w:color="auto" w:fill="auto"/>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C</w:t>
            </w:r>
            <w:r>
              <w:rPr>
                <w:rFonts w:ascii="Arial" w:hAnsi="Arial" w:cs="Arial"/>
                <w:sz w:val="18"/>
                <w:szCs w:val="18"/>
              </w:rPr>
              <w:t>**</w:t>
            </w:r>
          </w:p>
        </w:tc>
        <w:tc>
          <w:tcPr>
            <w:tcW w:w="1530" w:type="dxa"/>
            <w:shd w:val="clear" w:color="auto" w:fill="auto"/>
            <w:vAlign w:val="bottom"/>
          </w:tcPr>
          <w:p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 xml:space="preserve">Maintain Assignment </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RS-target</w:t>
            </w:r>
          </w:p>
        </w:tc>
      </w:tr>
      <w:tr w:rsidR="008A701E" w:rsidRPr="006A2781">
        <w:trPr>
          <w:cantSplit/>
          <w:trHeight w:val="128"/>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20</w:t>
            </w:r>
          </w:p>
        </w:tc>
        <w:tc>
          <w:tcPr>
            <w:tcW w:w="540" w:type="dxa"/>
            <w:shd w:val="clear" w:color="auto" w:fill="auto"/>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C</w:t>
            </w:r>
            <w:r>
              <w:rPr>
                <w:rFonts w:ascii="Arial" w:hAnsi="Arial" w:cs="Arial"/>
                <w:sz w:val="18"/>
                <w:szCs w:val="18"/>
              </w:rPr>
              <w:t>**</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 xml:space="preserve">Release Assignment </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RE-original</w:t>
            </w:r>
          </w:p>
        </w:tc>
      </w:tr>
      <w:tr w:rsidR="008A701E" w:rsidRPr="006A2781">
        <w:trPr>
          <w:cantSplit/>
          <w:trHeight w:val="127"/>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21</w:t>
            </w:r>
          </w:p>
        </w:tc>
        <w:tc>
          <w:tcPr>
            <w:tcW w:w="540" w:type="dxa"/>
            <w:shd w:val="clear" w:color="auto" w:fill="auto"/>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C</w:t>
            </w:r>
            <w:r>
              <w:rPr>
                <w:rFonts w:ascii="Arial" w:hAnsi="Arial" w:cs="Arial"/>
                <w:sz w:val="18"/>
                <w:szCs w:val="18"/>
              </w:rPr>
              <w:t>**</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 xml:space="preserve">Release Assignment </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Target, no message sent</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22</w:t>
            </w:r>
          </w:p>
        </w:tc>
        <w:tc>
          <w:tcPr>
            <w:tcW w:w="540" w:type="dxa"/>
            <w:shd w:val="clear" w:color="auto" w:fill="auto"/>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RE-original</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23</w:t>
            </w:r>
          </w:p>
        </w:tc>
        <w:tc>
          <w:tcPr>
            <w:tcW w:w="540" w:type="dxa"/>
            <w:shd w:val="clear" w:color="auto" w:fill="auto"/>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RS-targets, one message for each target created.</w:t>
            </w:r>
          </w:p>
        </w:tc>
      </w:tr>
      <w:tr w:rsidR="008A701E" w:rsidRPr="006A2781">
        <w:trPr>
          <w:cantSplit/>
          <w:trHeight w:val="188"/>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24</w:t>
            </w:r>
          </w:p>
        </w:tc>
        <w:tc>
          <w:tcPr>
            <w:tcW w:w="540" w:type="dxa"/>
            <w:shd w:val="clear" w:color="auto" w:fill="auto"/>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RE-original</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25</w:t>
            </w:r>
          </w:p>
        </w:tc>
        <w:tc>
          <w:tcPr>
            <w:tcW w:w="540" w:type="dxa"/>
            <w:shd w:val="clear" w:color="auto" w:fill="auto"/>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Target, no message sent</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26</w:t>
            </w:r>
          </w:p>
        </w:tc>
        <w:tc>
          <w:tcPr>
            <w:tcW w:w="540" w:type="dxa"/>
            <w:shd w:val="clear" w:color="auto" w:fill="auto"/>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RE-original</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27</w:t>
            </w:r>
          </w:p>
        </w:tc>
        <w:tc>
          <w:tcPr>
            <w:tcW w:w="540" w:type="dxa"/>
            <w:shd w:val="clear" w:color="auto" w:fill="auto"/>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RS-target</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28</w:t>
            </w:r>
          </w:p>
        </w:tc>
        <w:tc>
          <w:tcPr>
            <w:tcW w:w="540" w:type="dxa"/>
            <w:shd w:val="clear" w:color="auto" w:fill="auto"/>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RE-original</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29</w:t>
            </w:r>
          </w:p>
        </w:tc>
        <w:tc>
          <w:tcPr>
            <w:tcW w:w="540" w:type="dxa"/>
            <w:shd w:val="clear" w:color="auto" w:fill="auto"/>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Target, no message sent</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30</w:t>
            </w:r>
          </w:p>
        </w:tc>
        <w:tc>
          <w:tcPr>
            <w:tcW w:w="540" w:type="dxa"/>
            <w:shd w:val="clear" w:color="auto" w:fill="auto"/>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RE-original(when processing in batch, multiple messages are sent)</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31</w:t>
            </w:r>
          </w:p>
        </w:tc>
        <w:tc>
          <w:tcPr>
            <w:tcW w:w="540" w:type="dxa"/>
            <w:shd w:val="clear" w:color="auto" w:fill="auto"/>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RS-target (when processing in batch, multiple messages are sent)</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32</w:t>
            </w:r>
          </w:p>
        </w:tc>
        <w:tc>
          <w:tcPr>
            <w:tcW w:w="540" w:type="dxa"/>
            <w:shd w:val="clear" w:color="auto" w:fill="auto"/>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RE-original(when processing in batch, multiple messages are sent)</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33</w:t>
            </w:r>
          </w:p>
        </w:tc>
        <w:tc>
          <w:tcPr>
            <w:tcW w:w="540" w:type="dxa"/>
            <w:shd w:val="clear" w:color="auto" w:fill="auto"/>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Target, no message sent</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34</w:t>
            </w:r>
          </w:p>
        </w:tc>
        <w:tc>
          <w:tcPr>
            <w:tcW w:w="540" w:type="dxa"/>
            <w:shd w:val="clear" w:color="auto" w:fill="auto"/>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RE-original(when processing in batch, multiple messages are sent)</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35</w:t>
            </w:r>
          </w:p>
        </w:tc>
        <w:tc>
          <w:tcPr>
            <w:tcW w:w="540" w:type="dxa"/>
            <w:shd w:val="clear" w:color="auto" w:fill="auto"/>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RS-target (when processing in batch, multiple messages are sent)</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36</w:t>
            </w:r>
          </w:p>
        </w:tc>
        <w:tc>
          <w:tcPr>
            <w:tcW w:w="540" w:type="dxa"/>
            <w:shd w:val="clear" w:color="auto" w:fill="auto"/>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RE-original(when processing in batch, multiple messages are sent)</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37</w:t>
            </w:r>
          </w:p>
        </w:tc>
        <w:tc>
          <w:tcPr>
            <w:tcW w:w="540" w:type="dxa"/>
            <w:shd w:val="clear" w:color="auto" w:fill="auto"/>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Target, no message sent</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lastRenderedPageBreak/>
              <w:t>38</w:t>
            </w:r>
          </w:p>
        </w:tc>
        <w:tc>
          <w:tcPr>
            <w:tcW w:w="540" w:type="dxa"/>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Discard or Quarantine Unit</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Discarded or Wasted</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D</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39</w:t>
            </w:r>
          </w:p>
        </w:tc>
        <w:tc>
          <w:tcPr>
            <w:tcW w:w="540" w:type="dxa"/>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Discard or Quarantine Unit</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Discarded or Wasted</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D</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40</w:t>
            </w:r>
          </w:p>
        </w:tc>
        <w:tc>
          <w:tcPr>
            <w:tcW w:w="540" w:type="dxa"/>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Discard or Quarantine Unit</w:t>
            </w:r>
          </w:p>
        </w:tc>
        <w:tc>
          <w:tcPr>
            <w:tcW w:w="3060" w:type="dxa"/>
            <w:shd w:val="clear" w:color="auto" w:fill="auto"/>
            <w:noWrap/>
            <w:vAlign w:val="bottom"/>
          </w:tcPr>
          <w:p w:rsidR="008A701E" w:rsidRPr="00C821F1" w:rsidRDefault="008A701E" w:rsidP="008A701E">
            <w:pPr>
              <w:rPr>
                <w:rFonts w:ascii="Arial" w:hAnsi="Arial" w:cs="Arial"/>
                <w:sz w:val="18"/>
                <w:szCs w:val="18"/>
              </w:rPr>
            </w:pPr>
            <w:r w:rsidRPr="00C821F1">
              <w:rPr>
                <w:rFonts w:ascii="Arial" w:hAnsi="Arial" w:cs="Arial"/>
                <w:sz w:val="18"/>
                <w:szCs w:val="18"/>
              </w:rPr>
              <w:t>Quarantine</w:t>
            </w:r>
          </w:p>
        </w:tc>
        <w:tc>
          <w:tcPr>
            <w:tcW w:w="1530" w:type="dxa"/>
            <w:shd w:val="clear" w:color="auto" w:fill="auto"/>
            <w:noWrap/>
            <w:vAlign w:val="bottom"/>
          </w:tcPr>
          <w:p w:rsidR="008A701E" w:rsidRPr="00C821F1" w:rsidRDefault="008A701E" w:rsidP="008A701E">
            <w:pPr>
              <w:jc w:val="center"/>
              <w:rPr>
                <w:rFonts w:ascii="Arial" w:hAnsi="Arial" w:cs="Arial"/>
                <w:sz w:val="18"/>
                <w:szCs w:val="18"/>
              </w:rPr>
            </w:pPr>
            <w:r w:rsidRPr="00C821F1">
              <w:rPr>
                <w:rFonts w:ascii="Arial" w:hAnsi="Arial" w:cs="Arial"/>
                <w:sz w:val="18"/>
                <w:szCs w:val="18"/>
              </w:rPr>
              <w:t>A</w:t>
            </w:r>
          </w:p>
        </w:tc>
        <w:tc>
          <w:tcPr>
            <w:tcW w:w="2070" w:type="dxa"/>
            <w:shd w:val="clear" w:color="auto" w:fill="auto"/>
            <w:noWrap/>
            <w:vAlign w:val="bottom"/>
          </w:tcPr>
          <w:p w:rsidR="008A701E" w:rsidRPr="00C821F1" w:rsidRDefault="008A701E" w:rsidP="008A701E">
            <w:pPr>
              <w:rPr>
                <w:rFonts w:ascii="Arial" w:hAnsi="Arial" w:cs="Arial"/>
                <w:sz w:val="18"/>
                <w:szCs w:val="18"/>
              </w:rPr>
            </w:pPr>
            <w:r w:rsidRPr="00C821F1">
              <w:rPr>
                <w:rFonts w:ascii="Arial" w:hAnsi="Arial" w:cs="Arial"/>
                <w:sz w:val="18"/>
                <w:szCs w:val="18"/>
              </w:rPr>
              <w:t>RE</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41</w:t>
            </w:r>
          </w:p>
        </w:tc>
        <w:tc>
          <w:tcPr>
            <w:tcW w:w="540" w:type="dxa"/>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Discard or Quarantine Unit</w:t>
            </w:r>
          </w:p>
        </w:tc>
        <w:tc>
          <w:tcPr>
            <w:tcW w:w="3060" w:type="dxa"/>
            <w:shd w:val="clear" w:color="auto" w:fill="auto"/>
            <w:noWrap/>
            <w:vAlign w:val="bottom"/>
          </w:tcPr>
          <w:p w:rsidR="008A701E" w:rsidRPr="00C821F1" w:rsidRDefault="008A701E" w:rsidP="008A701E">
            <w:pPr>
              <w:rPr>
                <w:rFonts w:ascii="Arial" w:hAnsi="Arial" w:cs="Arial"/>
                <w:sz w:val="18"/>
                <w:szCs w:val="18"/>
              </w:rPr>
            </w:pPr>
            <w:r w:rsidRPr="00C821F1">
              <w:rPr>
                <w:rFonts w:ascii="Arial" w:hAnsi="Arial" w:cs="Arial"/>
                <w:sz w:val="18"/>
                <w:szCs w:val="18"/>
              </w:rPr>
              <w:t>Quarantine</w:t>
            </w:r>
          </w:p>
        </w:tc>
        <w:tc>
          <w:tcPr>
            <w:tcW w:w="1530" w:type="dxa"/>
            <w:shd w:val="clear" w:color="auto" w:fill="auto"/>
            <w:noWrap/>
            <w:vAlign w:val="bottom"/>
          </w:tcPr>
          <w:p w:rsidR="008A701E" w:rsidRPr="00C821F1" w:rsidRDefault="008A701E" w:rsidP="008A701E">
            <w:pPr>
              <w:jc w:val="center"/>
              <w:rPr>
                <w:rFonts w:ascii="Arial" w:hAnsi="Arial" w:cs="Arial"/>
                <w:sz w:val="18"/>
                <w:szCs w:val="18"/>
              </w:rPr>
            </w:pPr>
            <w:r w:rsidRPr="00C821F1">
              <w:rPr>
                <w:rFonts w:ascii="Arial" w:hAnsi="Arial" w:cs="Arial"/>
                <w:sz w:val="18"/>
                <w:szCs w:val="18"/>
              </w:rPr>
              <w:t>A</w:t>
            </w:r>
          </w:p>
        </w:tc>
        <w:tc>
          <w:tcPr>
            <w:tcW w:w="2070" w:type="dxa"/>
            <w:shd w:val="clear" w:color="auto" w:fill="auto"/>
            <w:noWrap/>
            <w:vAlign w:val="bottom"/>
          </w:tcPr>
          <w:p w:rsidR="008A701E" w:rsidRPr="00C821F1" w:rsidRDefault="008A701E" w:rsidP="008A701E">
            <w:pPr>
              <w:rPr>
                <w:rFonts w:ascii="Arial" w:hAnsi="Arial" w:cs="Arial"/>
                <w:sz w:val="18"/>
                <w:szCs w:val="18"/>
              </w:rPr>
            </w:pPr>
            <w:r w:rsidRPr="00C821F1">
              <w:rPr>
                <w:rFonts w:ascii="Arial" w:hAnsi="Arial" w:cs="Arial"/>
                <w:sz w:val="18"/>
                <w:szCs w:val="18"/>
              </w:rPr>
              <w:t>RE</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42</w:t>
            </w:r>
          </w:p>
        </w:tc>
        <w:tc>
          <w:tcPr>
            <w:tcW w:w="540" w:type="dxa"/>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 xml:space="preserve">Record Testing </w:t>
            </w:r>
            <w:r w:rsidRPr="006A2781">
              <w:rPr>
                <w:rFonts w:ascii="Arial" w:hAnsi="Arial" w:cs="Arial"/>
                <w:sz w:val="18"/>
                <w:szCs w:val="18"/>
              </w:rPr>
              <w:t>when saving</w:t>
            </w:r>
            <w:r>
              <w:rPr>
                <w:rFonts w:ascii="Arial" w:hAnsi="Arial" w:cs="Arial"/>
                <w:sz w:val="18"/>
                <w:szCs w:val="18"/>
              </w:rPr>
              <w:t xml:space="preserve"> Crossmatch Results</w:t>
            </w:r>
          </w:p>
        </w:tc>
        <w:tc>
          <w:tcPr>
            <w:tcW w:w="3060" w:type="dxa"/>
            <w:shd w:val="clear" w:color="auto" w:fill="auto"/>
            <w:noWrap/>
            <w:vAlign w:val="bottom"/>
          </w:tcPr>
          <w:p w:rsidR="008A701E" w:rsidRPr="00C821F1" w:rsidRDefault="008A701E" w:rsidP="008A701E">
            <w:pPr>
              <w:rPr>
                <w:rFonts w:ascii="Arial" w:hAnsi="Arial" w:cs="Arial"/>
                <w:sz w:val="18"/>
                <w:szCs w:val="18"/>
              </w:rPr>
            </w:pPr>
            <w:r w:rsidRPr="00C821F1">
              <w:rPr>
                <w:rFonts w:ascii="Arial" w:hAnsi="Arial" w:cs="Arial"/>
                <w:sz w:val="18"/>
                <w:szCs w:val="18"/>
              </w:rPr>
              <w:t>Compatible ( C)</w:t>
            </w:r>
          </w:p>
        </w:tc>
        <w:tc>
          <w:tcPr>
            <w:tcW w:w="1530" w:type="dxa"/>
            <w:shd w:val="clear" w:color="auto" w:fill="auto"/>
            <w:noWrap/>
            <w:vAlign w:val="bottom"/>
          </w:tcPr>
          <w:p w:rsidR="008A701E" w:rsidRPr="00C821F1" w:rsidRDefault="008A701E" w:rsidP="008A701E">
            <w:pPr>
              <w:jc w:val="center"/>
              <w:rPr>
                <w:rFonts w:ascii="Arial" w:hAnsi="Arial" w:cs="Arial"/>
                <w:sz w:val="18"/>
                <w:szCs w:val="18"/>
              </w:rPr>
            </w:pPr>
            <w:r w:rsidRPr="00C821F1">
              <w:rPr>
                <w:rFonts w:ascii="Arial" w:hAnsi="Arial" w:cs="Arial"/>
                <w:sz w:val="18"/>
                <w:szCs w:val="18"/>
              </w:rPr>
              <w:t>C</w:t>
            </w:r>
          </w:p>
        </w:tc>
        <w:tc>
          <w:tcPr>
            <w:tcW w:w="2070" w:type="dxa"/>
            <w:shd w:val="clear" w:color="auto" w:fill="auto"/>
            <w:noWrap/>
            <w:vAlign w:val="bottom"/>
          </w:tcPr>
          <w:p w:rsidR="008A701E" w:rsidRPr="00C821F1" w:rsidRDefault="008A701E" w:rsidP="008A701E">
            <w:pPr>
              <w:rPr>
                <w:rFonts w:ascii="Arial" w:hAnsi="Arial" w:cs="Arial"/>
                <w:sz w:val="18"/>
                <w:szCs w:val="18"/>
              </w:rPr>
            </w:pPr>
            <w:r w:rsidRPr="00C821F1">
              <w:rPr>
                <w:rFonts w:ascii="Arial" w:hAnsi="Arial" w:cs="Arial"/>
                <w:sz w:val="18"/>
                <w:szCs w:val="18"/>
              </w:rPr>
              <w:t>No message is sent</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43</w:t>
            </w:r>
          </w:p>
        </w:tc>
        <w:tc>
          <w:tcPr>
            <w:tcW w:w="540" w:type="dxa"/>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 xml:space="preserve">Record Testing </w:t>
            </w:r>
            <w:r w:rsidRPr="006A2781">
              <w:rPr>
                <w:rFonts w:ascii="Arial" w:hAnsi="Arial" w:cs="Arial"/>
                <w:sz w:val="18"/>
                <w:szCs w:val="18"/>
              </w:rPr>
              <w:t>when saving</w:t>
            </w:r>
            <w:r>
              <w:rPr>
                <w:rFonts w:ascii="Arial" w:hAnsi="Arial" w:cs="Arial"/>
                <w:sz w:val="18"/>
                <w:szCs w:val="18"/>
              </w:rPr>
              <w:t xml:space="preserve"> Crossmatch Results</w:t>
            </w:r>
          </w:p>
        </w:tc>
        <w:tc>
          <w:tcPr>
            <w:tcW w:w="3060" w:type="dxa"/>
            <w:shd w:val="clear" w:color="auto" w:fill="auto"/>
            <w:noWrap/>
            <w:vAlign w:val="bottom"/>
          </w:tcPr>
          <w:p w:rsidR="008A701E" w:rsidRPr="00C821F1" w:rsidRDefault="008A701E" w:rsidP="008A701E">
            <w:pPr>
              <w:rPr>
                <w:rFonts w:ascii="Arial" w:hAnsi="Arial" w:cs="Arial"/>
                <w:sz w:val="18"/>
                <w:szCs w:val="18"/>
              </w:rPr>
            </w:pPr>
            <w:r w:rsidRPr="00C821F1">
              <w:rPr>
                <w:rFonts w:ascii="Arial" w:hAnsi="Arial" w:cs="Arial"/>
                <w:sz w:val="18"/>
                <w:szCs w:val="18"/>
              </w:rPr>
              <w:t>Incompatible (I)</w:t>
            </w:r>
          </w:p>
        </w:tc>
        <w:tc>
          <w:tcPr>
            <w:tcW w:w="1530" w:type="dxa"/>
            <w:shd w:val="clear" w:color="auto" w:fill="auto"/>
            <w:noWrap/>
            <w:vAlign w:val="bottom"/>
          </w:tcPr>
          <w:p w:rsidR="008A701E" w:rsidRPr="00C821F1" w:rsidRDefault="008A701E" w:rsidP="008A701E">
            <w:pPr>
              <w:jc w:val="center"/>
              <w:rPr>
                <w:rFonts w:ascii="Arial" w:hAnsi="Arial" w:cs="Arial"/>
                <w:sz w:val="18"/>
                <w:szCs w:val="18"/>
              </w:rPr>
            </w:pPr>
            <w:r w:rsidRPr="00C821F1">
              <w:rPr>
                <w:rFonts w:ascii="Arial" w:hAnsi="Arial" w:cs="Arial"/>
                <w:sz w:val="18"/>
                <w:szCs w:val="18"/>
              </w:rPr>
              <w:t>A</w:t>
            </w:r>
          </w:p>
        </w:tc>
        <w:tc>
          <w:tcPr>
            <w:tcW w:w="2070" w:type="dxa"/>
            <w:shd w:val="clear" w:color="auto" w:fill="auto"/>
            <w:noWrap/>
            <w:vAlign w:val="bottom"/>
          </w:tcPr>
          <w:p w:rsidR="008A701E" w:rsidRPr="00C821F1" w:rsidRDefault="008A701E" w:rsidP="008A701E">
            <w:pPr>
              <w:rPr>
                <w:rFonts w:ascii="Arial" w:hAnsi="Arial" w:cs="Arial"/>
                <w:sz w:val="18"/>
                <w:szCs w:val="18"/>
              </w:rPr>
            </w:pPr>
            <w:r w:rsidRPr="00C821F1">
              <w:rPr>
                <w:rFonts w:ascii="Arial" w:hAnsi="Arial" w:cs="Arial"/>
                <w:sz w:val="18"/>
                <w:szCs w:val="18"/>
              </w:rPr>
              <w:t>RE</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44</w:t>
            </w:r>
          </w:p>
        </w:tc>
        <w:tc>
          <w:tcPr>
            <w:tcW w:w="540" w:type="dxa"/>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 xml:space="preserve">Record Testing </w:t>
            </w:r>
            <w:r w:rsidRPr="006A2781">
              <w:rPr>
                <w:rFonts w:ascii="Arial" w:hAnsi="Arial" w:cs="Arial"/>
                <w:sz w:val="18"/>
                <w:szCs w:val="18"/>
              </w:rPr>
              <w:t>when saving</w:t>
            </w:r>
            <w:r>
              <w:rPr>
                <w:rFonts w:ascii="Arial" w:hAnsi="Arial" w:cs="Arial"/>
                <w:sz w:val="18"/>
                <w:szCs w:val="18"/>
              </w:rPr>
              <w:t xml:space="preserve"> Crossmatch Results</w:t>
            </w:r>
          </w:p>
        </w:tc>
        <w:tc>
          <w:tcPr>
            <w:tcW w:w="3060" w:type="dxa"/>
            <w:shd w:val="clear" w:color="auto" w:fill="auto"/>
            <w:noWrap/>
            <w:vAlign w:val="bottom"/>
          </w:tcPr>
          <w:p w:rsidR="008A701E" w:rsidRPr="00C821F1" w:rsidRDefault="008A701E" w:rsidP="008A701E">
            <w:pPr>
              <w:rPr>
                <w:rFonts w:ascii="Arial" w:hAnsi="Arial" w:cs="Arial"/>
                <w:sz w:val="18"/>
                <w:szCs w:val="18"/>
              </w:rPr>
            </w:pPr>
            <w:r w:rsidRPr="00C821F1">
              <w:rPr>
                <w:rFonts w:ascii="Arial" w:hAnsi="Arial" w:cs="Arial"/>
                <w:bCs/>
                <w:sz w:val="18"/>
                <w:szCs w:val="18"/>
              </w:rPr>
              <w:t xml:space="preserve">Crossmatch Compatible: Don’t Transfuse </w:t>
            </w:r>
            <w:r w:rsidRPr="00C821F1">
              <w:rPr>
                <w:rFonts w:ascii="Arial" w:hAnsi="Arial" w:cs="Arial"/>
                <w:sz w:val="18"/>
                <w:szCs w:val="18"/>
              </w:rPr>
              <w:t xml:space="preserve">(D) </w:t>
            </w:r>
          </w:p>
        </w:tc>
        <w:tc>
          <w:tcPr>
            <w:tcW w:w="1530" w:type="dxa"/>
            <w:shd w:val="clear" w:color="auto" w:fill="auto"/>
            <w:noWrap/>
            <w:vAlign w:val="bottom"/>
          </w:tcPr>
          <w:p w:rsidR="008A701E" w:rsidRPr="00C821F1" w:rsidRDefault="008A701E" w:rsidP="008A701E">
            <w:pPr>
              <w:jc w:val="center"/>
              <w:rPr>
                <w:rFonts w:ascii="Arial" w:hAnsi="Arial" w:cs="Arial"/>
                <w:sz w:val="18"/>
                <w:szCs w:val="18"/>
              </w:rPr>
            </w:pPr>
            <w:r w:rsidRPr="00C821F1">
              <w:rPr>
                <w:rFonts w:ascii="Arial" w:hAnsi="Arial" w:cs="Arial"/>
                <w:sz w:val="18"/>
                <w:szCs w:val="18"/>
              </w:rPr>
              <w:t>A</w:t>
            </w:r>
          </w:p>
        </w:tc>
        <w:tc>
          <w:tcPr>
            <w:tcW w:w="2070" w:type="dxa"/>
            <w:shd w:val="clear" w:color="auto" w:fill="auto"/>
            <w:noWrap/>
            <w:vAlign w:val="bottom"/>
          </w:tcPr>
          <w:p w:rsidR="008A701E" w:rsidRPr="00C821F1" w:rsidRDefault="008A701E" w:rsidP="008A701E">
            <w:pPr>
              <w:rPr>
                <w:rFonts w:ascii="Arial" w:hAnsi="Arial" w:cs="Arial"/>
                <w:sz w:val="18"/>
                <w:szCs w:val="18"/>
              </w:rPr>
            </w:pPr>
            <w:r w:rsidRPr="00C821F1">
              <w:rPr>
                <w:rFonts w:ascii="Arial" w:hAnsi="Arial" w:cs="Arial"/>
                <w:sz w:val="18"/>
                <w:szCs w:val="18"/>
              </w:rPr>
              <w:t>RE</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45</w:t>
            </w:r>
          </w:p>
        </w:tc>
        <w:tc>
          <w:tcPr>
            <w:tcW w:w="540" w:type="dxa"/>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 xml:space="preserve">Record Testing </w:t>
            </w:r>
            <w:r w:rsidRPr="006A2781">
              <w:rPr>
                <w:rFonts w:ascii="Arial" w:hAnsi="Arial" w:cs="Arial"/>
                <w:sz w:val="18"/>
                <w:szCs w:val="18"/>
              </w:rPr>
              <w:t>when saving</w:t>
            </w:r>
            <w:r>
              <w:rPr>
                <w:rFonts w:ascii="Arial" w:hAnsi="Arial" w:cs="Arial"/>
                <w:sz w:val="18"/>
                <w:szCs w:val="18"/>
              </w:rPr>
              <w:t xml:space="preserve"> Crossmatch Results</w:t>
            </w:r>
          </w:p>
        </w:tc>
        <w:tc>
          <w:tcPr>
            <w:tcW w:w="3060" w:type="dxa"/>
            <w:shd w:val="clear" w:color="auto" w:fill="auto"/>
            <w:noWrap/>
            <w:vAlign w:val="bottom"/>
          </w:tcPr>
          <w:p w:rsidR="008A701E" w:rsidRPr="00C821F1" w:rsidRDefault="008A701E" w:rsidP="008A701E">
            <w:pPr>
              <w:rPr>
                <w:rFonts w:ascii="Arial" w:hAnsi="Arial" w:cs="Arial"/>
                <w:sz w:val="18"/>
                <w:szCs w:val="18"/>
              </w:rPr>
            </w:pPr>
            <w:r w:rsidRPr="00C821F1">
              <w:rPr>
                <w:rFonts w:ascii="Arial" w:hAnsi="Arial" w:cs="Arial"/>
                <w:sz w:val="18"/>
                <w:szCs w:val="18"/>
              </w:rPr>
              <w:t>Compatible-Give with MD approval (G)</w:t>
            </w:r>
          </w:p>
        </w:tc>
        <w:tc>
          <w:tcPr>
            <w:tcW w:w="1530" w:type="dxa"/>
            <w:shd w:val="clear" w:color="auto" w:fill="auto"/>
            <w:noWrap/>
            <w:vAlign w:val="bottom"/>
          </w:tcPr>
          <w:p w:rsidR="008A701E" w:rsidRPr="00C821F1" w:rsidRDefault="008A701E" w:rsidP="008A701E">
            <w:pPr>
              <w:jc w:val="center"/>
              <w:rPr>
                <w:rFonts w:ascii="Arial" w:hAnsi="Arial" w:cs="Arial"/>
                <w:sz w:val="18"/>
                <w:szCs w:val="18"/>
              </w:rPr>
            </w:pPr>
            <w:r w:rsidRPr="00C821F1">
              <w:rPr>
                <w:rFonts w:ascii="Arial" w:hAnsi="Arial" w:cs="Arial"/>
                <w:sz w:val="18"/>
                <w:szCs w:val="18"/>
              </w:rPr>
              <w:t>C</w:t>
            </w:r>
          </w:p>
        </w:tc>
        <w:tc>
          <w:tcPr>
            <w:tcW w:w="2070" w:type="dxa"/>
            <w:shd w:val="clear" w:color="auto" w:fill="auto"/>
            <w:noWrap/>
            <w:vAlign w:val="bottom"/>
          </w:tcPr>
          <w:p w:rsidR="008A701E" w:rsidRPr="00C821F1" w:rsidRDefault="008A701E" w:rsidP="008A701E">
            <w:pPr>
              <w:rPr>
                <w:rFonts w:ascii="Arial" w:hAnsi="Arial" w:cs="Arial"/>
                <w:sz w:val="18"/>
                <w:szCs w:val="18"/>
              </w:rPr>
            </w:pPr>
            <w:r w:rsidRPr="00C821F1">
              <w:rPr>
                <w:rFonts w:ascii="Arial" w:hAnsi="Arial" w:cs="Arial"/>
                <w:sz w:val="18"/>
                <w:szCs w:val="18"/>
              </w:rPr>
              <w:t>No message is sent</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46</w:t>
            </w:r>
          </w:p>
        </w:tc>
        <w:tc>
          <w:tcPr>
            <w:tcW w:w="540" w:type="dxa"/>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Record Phenotype Results</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Unit is antigen positive for a patient's antigen negative requirement</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No message is sent</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47</w:t>
            </w:r>
          </w:p>
        </w:tc>
        <w:tc>
          <w:tcPr>
            <w:tcW w:w="540" w:type="dxa"/>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Record Phenotype Results</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Unit is antigen positive for a patient's antigen negative requirement</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No message is sent</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48</w:t>
            </w:r>
          </w:p>
        </w:tc>
        <w:tc>
          <w:tcPr>
            <w:tcW w:w="540" w:type="dxa"/>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Record Phenotype Results</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Antigen typing result creates a discrepant antigen typing.</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49</w:t>
            </w:r>
          </w:p>
        </w:tc>
        <w:tc>
          <w:tcPr>
            <w:tcW w:w="540" w:type="dxa"/>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Record Phenotype Results</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Antigen typing result creates a discrepant antigen typing.</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50</w:t>
            </w:r>
          </w:p>
        </w:tc>
        <w:tc>
          <w:tcPr>
            <w:tcW w:w="540" w:type="dxa"/>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rsidR="008A701E" w:rsidRPr="006A2781" w:rsidRDefault="008A701E" w:rsidP="008A701E">
            <w:pPr>
              <w:rPr>
                <w:rFonts w:ascii="Arial" w:hAnsi="Arial" w:cs="Arial"/>
                <w:sz w:val="18"/>
                <w:szCs w:val="18"/>
              </w:rPr>
            </w:pPr>
            <w:r w:rsidRPr="00A66F9A">
              <w:rPr>
                <w:rFonts w:ascii="Arial" w:hAnsi="Arial" w:cs="Arial"/>
                <w:sz w:val="18"/>
                <w:szCs w:val="18"/>
              </w:rPr>
              <w:t>Release Unit from Patient Assignment</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Normal flow, or any overrides processed</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51</w:t>
            </w:r>
          </w:p>
        </w:tc>
        <w:tc>
          <w:tcPr>
            <w:tcW w:w="540" w:type="dxa"/>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rsidR="008A701E" w:rsidRPr="006A2781" w:rsidRDefault="008A701E" w:rsidP="008A701E">
            <w:pPr>
              <w:rPr>
                <w:rFonts w:ascii="Arial" w:hAnsi="Arial" w:cs="Arial"/>
                <w:sz w:val="18"/>
                <w:szCs w:val="18"/>
              </w:rPr>
            </w:pPr>
            <w:r w:rsidRPr="00A66F9A">
              <w:rPr>
                <w:rFonts w:ascii="Arial" w:hAnsi="Arial" w:cs="Arial"/>
                <w:sz w:val="18"/>
                <w:szCs w:val="18"/>
              </w:rPr>
              <w:t>Release Unit from Patient Assignment</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Normal flow, or any overrides processed</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52</w:t>
            </w:r>
          </w:p>
        </w:tc>
        <w:tc>
          <w:tcPr>
            <w:tcW w:w="540" w:type="dxa"/>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I</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Return Issued Units to Blood Bank</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 xml:space="preserve">Unit without a crossmatch </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53</w:t>
            </w:r>
          </w:p>
        </w:tc>
        <w:tc>
          <w:tcPr>
            <w:tcW w:w="540" w:type="dxa"/>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I</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Return Issued Units to Blood Bank</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Crossmatched unit</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trPr>
          <w:cantSplit/>
          <w:trHeight w:val="255"/>
        </w:trPr>
        <w:tc>
          <w:tcPr>
            <w:tcW w:w="450" w:type="dxa"/>
            <w:vAlign w:val="bottom"/>
          </w:tcPr>
          <w:p w:rsidR="008A701E" w:rsidRDefault="008A701E" w:rsidP="008A701E">
            <w:pPr>
              <w:jc w:val="center"/>
              <w:rPr>
                <w:rFonts w:ascii="Arial" w:hAnsi="Arial" w:cs="Arial"/>
                <w:sz w:val="18"/>
                <w:szCs w:val="18"/>
              </w:rPr>
            </w:pPr>
            <w:r>
              <w:rPr>
                <w:rFonts w:ascii="Arial" w:hAnsi="Arial" w:cs="Arial"/>
                <w:sz w:val="18"/>
                <w:szCs w:val="18"/>
              </w:rPr>
              <w:t>54</w:t>
            </w:r>
          </w:p>
        </w:tc>
        <w:tc>
          <w:tcPr>
            <w:tcW w:w="54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I</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Return Issued Units to Blood Bank</w:t>
            </w:r>
          </w:p>
        </w:tc>
        <w:tc>
          <w:tcPr>
            <w:tcW w:w="3060" w:type="dxa"/>
            <w:shd w:val="clear" w:color="auto" w:fill="auto"/>
            <w:noWrap/>
            <w:vAlign w:val="bottom"/>
          </w:tcPr>
          <w:p w:rsidR="008A701E" w:rsidRPr="00B7134B" w:rsidRDefault="008A701E" w:rsidP="008A701E">
            <w:pPr>
              <w:rPr>
                <w:rFonts w:ascii="Arial" w:hAnsi="Arial" w:cs="Arial"/>
                <w:sz w:val="18"/>
                <w:szCs w:val="18"/>
              </w:rPr>
            </w:pPr>
            <w:r w:rsidRPr="00B7134B">
              <w:rPr>
                <w:rFonts w:ascii="Arial" w:hAnsi="Arial" w:cs="Arial"/>
                <w:sz w:val="18"/>
                <w:szCs w:val="18"/>
              </w:rPr>
              <w:t>Unit without a crossmatch, unit is unsatisfactory</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Pr>
                <w:rFonts w:ascii="Arial" w:hAnsi="Arial" w:cs="Arial"/>
                <w:sz w:val="18"/>
                <w:szCs w:val="18"/>
              </w:rPr>
              <w:t>A</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B7134B">
              <w:rPr>
                <w:rFonts w:ascii="Arial" w:hAnsi="Arial" w:cs="Arial"/>
                <w:sz w:val="18"/>
                <w:szCs w:val="18"/>
              </w:rPr>
              <w:t>RE</w:t>
            </w:r>
          </w:p>
        </w:tc>
      </w:tr>
      <w:tr w:rsidR="008A701E" w:rsidRPr="006A2781">
        <w:trPr>
          <w:cantSplit/>
          <w:trHeight w:val="255"/>
        </w:trPr>
        <w:tc>
          <w:tcPr>
            <w:tcW w:w="450" w:type="dxa"/>
            <w:vAlign w:val="bottom"/>
          </w:tcPr>
          <w:p w:rsidR="008A701E" w:rsidRDefault="008A701E" w:rsidP="008A701E">
            <w:pPr>
              <w:jc w:val="center"/>
              <w:rPr>
                <w:rFonts w:ascii="Arial" w:hAnsi="Arial" w:cs="Arial"/>
                <w:sz w:val="18"/>
                <w:szCs w:val="18"/>
              </w:rPr>
            </w:pPr>
            <w:r>
              <w:rPr>
                <w:rFonts w:ascii="Arial" w:hAnsi="Arial" w:cs="Arial"/>
                <w:sz w:val="18"/>
                <w:szCs w:val="18"/>
              </w:rPr>
              <w:lastRenderedPageBreak/>
              <w:t>55</w:t>
            </w:r>
          </w:p>
        </w:tc>
        <w:tc>
          <w:tcPr>
            <w:tcW w:w="54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I</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Return Issued Units to Blood Bank</w:t>
            </w:r>
          </w:p>
        </w:tc>
        <w:tc>
          <w:tcPr>
            <w:tcW w:w="3060" w:type="dxa"/>
            <w:shd w:val="clear" w:color="auto" w:fill="auto"/>
            <w:noWrap/>
            <w:vAlign w:val="bottom"/>
          </w:tcPr>
          <w:p w:rsidR="008A701E" w:rsidRPr="00B7134B" w:rsidRDefault="008A701E" w:rsidP="008A701E">
            <w:pPr>
              <w:rPr>
                <w:rFonts w:ascii="Arial" w:hAnsi="Arial" w:cs="Arial"/>
                <w:sz w:val="18"/>
                <w:szCs w:val="18"/>
              </w:rPr>
            </w:pPr>
            <w:r w:rsidRPr="00B7134B">
              <w:rPr>
                <w:rFonts w:ascii="Arial" w:hAnsi="Arial" w:cs="Arial"/>
                <w:sz w:val="18"/>
                <w:szCs w:val="18"/>
              </w:rPr>
              <w:t>Unit crossmatched, unit is unsatisfactory</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B7134B">
              <w:rPr>
                <w:rFonts w:ascii="Arial" w:hAnsi="Arial" w:cs="Arial"/>
                <w:sz w:val="18"/>
                <w:szCs w:val="18"/>
              </w:rPr>
              <w:t>A</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B7134B">
              <w:rPr>
                <w:rFonts w:ascii="Arial" w:hAnsi="Arial" w:cs="Arial"/>
                <w:sz w:val="18"/>
                <w:szCs w:val="18"/>
              </w:rPr>
              <w:t>RE</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56</w:t>
            </w:r>
          </w:p>
        </w:tc>
        <w:tc>
          <w:tcPr>
            <w:tcW w:w="540" w:type="dxa"/>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Issue Blood Components</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Normal flow with or without overrides</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I</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DS</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57</w:t>
            </w:r>
          </w:p>
        </w:tc>
        <w:tc>
          <w:tcPr>
            <w:tcW w:w="540" w:type="dxa"/>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Issue Blood Components</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Normal flow with or without overrides</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I</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DS</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58</w:t>
            </w:r>
          </w:p>
        </w:tc>
        <w:tc>
          <w:tcPr>
            <w:tcW w:w="540" w:type="dxa"/>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Issue Blood Components</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Unit is marked as unsatisfactory for issue</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59</w:t>
            </w:r>
          </w:p>
        </w:tc>
        <w:tc>
          <w:tcPr>
            <w:tcW w:w="540" w:type="dxa"/>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Issue Blood Components</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Unit is marked as unsatisfactory for issue</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trPr>
          <w:cantSplit/>
          <w:trHeight w:val="255"/>
        </w:trPr>
        <w:tc>
          <w:tcPr>
            <w:tcW w:w="450" w:type="dxa"/>
            <w:vAlign w:val="bottom"/>
          </w:tcPr>
          <w:p w:rsidR="008A701E" w:rsidRPr="006A2781" w:rsidRDefault="008A701E" w:rsidP="008A701E">
            <w:pPr>
              <w:jc w:val="center"/>
              <w:rPr>
                <w:rFonts w:ascii="Arial" w:hAnsi="Arial" w:cs="Arial"/>
                <w:sz w:val="18"/>
                <w:szCs w:val="18"/>
              </w:rPr>
            </w:pPr>
            <w:r>
              <w:rPr>
                <w:rFonts w:ascii="Arial" w:hAnsi="Arial" w:cs="Arial"/>
                <w:sz w:val="18"/>
                <w:szCs w:val="18"/>
              </w:rPr>
              <w:t>60</w:t>
            </w:r>
          </w:p>
        </w:tc>
        <w:tc>
          <w:tcPr>
            <w:tcW w:w="540" w:type="dxa"/>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530" w:type="dxa"/>
            <w:shd w:val="clear" w:color="auto" w:fill="auto"/>
            <w:noWrap/>
            <w:vAlign w:val="bottom"/>
          </w:tcPr>
          <w:p w:rsidR="008A701E" w:rsidRPr="006A2781" w:rsidRDefault="008A701E" w:rsidP="008A701E">
            <w:pPr>
              <w:rPr>
                <w:rFonts w:ascii="Arial" w:hAnsi="Arial" w:cs="Arial"/>
                <w:sz w:val="18"/>
                <w:szCs w:val="18"/>
              </w:rPr>
            </w:pPr>
            <w:r>
              <w:rPr>
                <w:rFonts w:ascii="Arial" w:hAnsi="Arial" w:cs="Arial"/>
                <w:sz w:val="18"/>
                <w:szCs w:val="18"/>
              </w:rPr>
              <w:t>Invalidate Patient Test Results</w:t>
            </w:r>
          </w:p>
        </w:tc>
        <w:tc>
          <w:tcPr>
            <w:tcW w:w="306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Invalidate Crossmatch results for the unit-patient association</w:t>
            </w:r>
          </w:p>
        </w:tc>
        <w:tc>
          <w:tcPr>
            <w:tcW w:w="1530" w:type="dxa"/>
            <w:shd w:val="clear" w:color="auto" w:fill="auto"/>
            <w:noWrap/>
            <w:vAlign w:val="bottom"/>
          </w:tcPr>
          <w:p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rsidR="008A701E" w:rsidRPr="006A2781" w:rsidRDefault="008A701E" w:rsidP="008A701E">
            <w:pPr>
              <w:rPr>
                <w:rFonts w:ascii="Arial" w:hAnsi="Arial" w:cs="Arial"/>
                <w:sz w:val="18"/>
                <w:szCs w:val="18"/>
              </w:rPr>
            </w:pPr>
            <w:r w:rsidRPr="006A2781">
              <w:rPr>
                <w:rFonts w:ascii="Arial" w:hAnsi="Arial" w:cs="Arial"/>
                <w:sz w:val="18"/>
                <w:szCs w:val="18"/>
              </w:rPr>
              <w:t>No message is sent as the unit has not been released from assignment from the patient.</w:t>
            </w:r>
          </w:p>
        </w:tc>
      </w:tr>
    </w:tbl>
    <w:p w:rsidR="008A701E" w:rsidRPr="00F20C8C" w:rsidRDefault="008A701E" w:rsidP="00F20C8C">
      <w:r w:rsidRPr="00F20C8C">
        <w:t>**Pooling of products that also require crossmatch is not currently possible.</w:t>
      </w:r>
    </w:p>
    <w:p w:rsidR="0038450D" w:rsidRDefault="008A701E" w:rsidP="008A701E">
      <w:pPr>
        <w:pStyle w:val="Heading3"/>
      </w:pPr>
      <w:r>
        <w:br w:type="page"/>
      </w:r>
      <w:r w:rsidR="00966400">
        <w:rPr>
          <w:rFonts w:ascii="Geneva" w:hAnsi="Geneva"/>
          <w:vanish/>
        </w:rPr>
        <w:lastRenderedPageBreak/>
        <w:t xml:space="preserve"> </w:t>
      </w:r>
      <w:r w:rsidR="0038450D">
        <w:rPr>
          <w:rFonts w:ascii="Geneva" w:hAnsi="Geneva"/>
          <w:vanish/>
        </w:rPr>
        <w:t>T</w:t>
      </w:r>
      <w:r w:rsidR="00BC4A37">
        <w:rPr>
          <w:rFonts w:ascii="Geneva" w:hAnsi="Geneva"/>
          <w:vanish/>
        </w:rPr>
        <w:t>T</w:t>
      </w:r>
      <w:r w:rsidR="0038450D">
        <w:rPr>
          <w:rFonts w:ascii="Geneva" w:hAnsi="Geneva"/>
          <w:vanish/>
        </w:rPr>
        <w:t>_</w:t>
      </w:r>
      <w:r w:rsidR="00BC4A37">
        <w:rPr>
          <w:rFonts w:ascii="Geneva" w:hAnsi="Geneva"/>
          <w:vanish/>
        </w:rPr>
        <w:t>15.01</w:t>
      </w:r>
      <w:r w:rsidR="0038450D">
        <w:rPr>
          <w:rFonts w:ascii="Geneva" w:hAnsi="Geneva"/>
          <w:vanish/>
          <w:sz w:val="16"/>
        </w:rPr>
        <w:t xml:space="preserve"> </w:t>
      </w:r>
      <w:bookmarkStart w:id="702" w:name="_Toc459900210"/>
      <w:r w:rsidR="00BC4A37">
        <w:t>Workload Process to Use Case Mapping Table</w:t>
      </w:r>
      <w:bookmarkEnd w:id="702"/>
      <w:r w:rsidR="00BC4A37">
        <w:t xml:space="preserve"> </w:t>
      </w:r>
      <w:r w:rsidR="0038450D">
        <w:fldChar w:fldCharType="begin"/>
      </w:r>
      <w:r w:rsidR="0038450D">
        <w:instrText xml:space="preserve"> XE “</w:instrText>
      </w:r>
      <w:r w:rsidR="00BC4A37">
        <w:instrText>Workload Process to Use Case Mapping Table</w:instrText>
      </w:r>
      <w:r w:rsidR="0038450D">
        <w:instrText xml:space="preserve">” </w:instrText>
      </w:r>
      <w:r w:rsidR="0038450D">
        <w:fldChar w:fldCharType="end"/>
      </w:r>
    </w:p>
    <w:p w:rsidR="0038450D" w:rsidRDefault="0038450D" w:rsidP="0038450D">
      <w:pPr>
        <w:pStyle w:val="Caption"/>
      </w:pPr>
      <w:bookmarkStart w:id="703" w:name="_Ref219531436"/>
      <w:r>
        <w:t xml:space="preserve">Table </w:t>
      </w:r>
      <w:r>
        <w:fldChar w:fldCharType="begin"/>
      </w:r>
      <w:r>
        <w:instrText xml:space="preserve"> SEQ Table \* ARABIC </w:instrText>
      </w:r>
      <w:r>
        <w:fldChar w:fldCharType="separate"/>
      </w:r>
      <w:r w:rsidR="005F38BC">
        <w:rPr>
          <w:noProof/>
        </w:rPr>
        <w:t>27</w:t>
      </w:r>
      <w:r>
        <w:fldChar w:fldCharType="end"/>
      </w:r>
      <w:bookmarkEnd w:id="703"/>
      <w:r>
        <w:t xml:space="preserve">: </w:t>
      </w:r>
      <w:r>
        <w:rPr>
          <w:vanish/>
        </w:rPr>
        <w:t>T</w:t>
      </w:r>
      <w:r w:rsidR="00BC4A37">
        <w:rPr>
          <w:vanish/>
        </w:rPr>
        <w:t>T_15.01</w:t>
      </w:r>
      <w:r>
        <w:rPr>
          <w:vanish/>
          <w:sz w:val="16"/>
        </w:rPr>
        <w:t xml:space="preserve"> </w:t>
      </w:r>
      <w:r w:rsidR="00BC4A37">
        <w:t>Workload Process to Use Case Mapping Table</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3"/>
        <w:gridCol w:w="1165"/>
        <w:gridCol w:w="1080"/>
        <w:gridCol w:w="900"/>
        <w:gridCol w:w="4123"/>
      </w:tblGrid>
      <w:tr w:rsidR="000305DD" w:rsidRPr="00F24972">
        <w:tblPrEx>
          <w:tblCellMar>
            <w:top w:w="0" w:type="dxa"/>
            <w:bottom w:w="0" w:type="dxa"/>
          </w:tblCellMar>
        </w:tblPrEx>
        <w:trPr>
          <w:cantSplit/>
          <w:tblHeader/>
        </w:trPr>
        <w:tc>
          <w:tcPr>
            <w:tcW w:w="9001" w:type="dxa"/>
            <w:gridSpan w:val="5"/>
            <w:shd w:val="clear" w:color="auto" w:fill="C0C0C0"/>
            <w:vAlign w:val="bottom"/>
          </w:tcPr>
          <w:p w:rsidR="000305DD" w:rsidRPr="00F24972" w:rsidRDefault="000305DD" w:rsidP="000305DD">
            <w:pPr>
              <w:pStyle w:val="TableText"/>
              <w:jc w:val="center"/>
              <w:rPr>
                <w:rFonts w:cs="Arial"/>
                <w:b/>
              </w:rPr>
            </w:pPr>
            <w:r w:rsidRPr="00F24972">
              <w:rPr>
                <w:rFonts w:cs="Arial"/>
                <w:b/>
              </w:rPr>
              <w:t>Workload Process to Use Case Mapping Table</w:t>
            </w:r>
          </w:p>
        </w:tc>
      </w:tr>
      <w:tr w:rsidR="000305DD" w:rsidRPr="00F24972">
        <w:tblPrEx>
          <w:tblCellMar>
            <w:top w:w="0" w:type="dxa"/>
            <w:bottom w:w="0" w:type="dxa"/>
          </w:tblCellMar>
        </w:tblPrEx>
        <w:trPr>
          <w:cantSplit/>
          <w:trHeight w:val="1493"/>
          <w:tblHeader/>
        </w:trPr>
        <w:tc>
          <w:tcPr>
            <w:tcW w:w="1733" w:type="dxa"/>
            <w:tcBorders>
              <w:bottom w:val="single" w:sz="4" w:space="0" w:color="auto"/>
            </w:tcBorders>
            <w:shd w:val="clear" w:color="auto" w:fill="C0C0C0"/>
            <w:vAlign w:val="bottom"/>
          </w:tcPr>
          <w:p w:rsidR="000305DD" w:rsidRPr="00F24972" w:rsidRDefault="000305DD" w:rsidP="000305DD">
            <w:pPr>
              <w:pStyle w:val="TableText"/>
              <w:rPr>
                <w:rFonts w:cs="Arial"/>
                <w:b/>
              </w:rPr>
            </w:pPr>
            <w:r w:rsidRPr="00F24972">
              <w:rPr>
                <w:rFonts w:cs="Arial"/>
                <w:b/>
              </w:rPr>
              <w:t xml:space="preserve">VBECS Process </w:t>
            </w:r>
          </w:p>
        </w:tc>
        <w:tc>
          <w:tcPr>
            <w:tcW w:w="1165" w:type="dxa"/>
            <w:tcBorders>
              <w:bottom w:val="single" w:sz="4" w:space="0" w:color="auto"/>
            </w:tcBorders>
            <w:shd w:val="clear" w:color="auto" w:fill="C0C0C0"/>
            <w:vAlign w:val="bottom"/>
          </w:tcPr>
          <w:p w:rsidR="000305DD" w:rsidRPr="00F24972" w:rsidRDefault="000305DD" w:rsidP="000305DD">
            <w:pPr>
              <w:pStyle w:val="TableText"/>
              <w:rPr>
                <w:rFonts w:cs="Arial"/>
                <w:b/>
              </w:rPr>
            </w:pPr>
            <w:r w:rsidRPr="00F24972">
              <w:rPr>
                <w:rFonts w:cs="Arial"/>
                <w:b/>
              </w:rPr>
              <w:t>Record Saved in This Use Case</w:t>
            </w:r>
          </w:p>
        </w:tc>
        <w:tc>
          <w:tcPr>
            <w:tcW w:w="1080" w:type="dxa"/>
            <w:tcBorders>
              <w:bottom w:val="single" w:sz="4" w:space="0" w:color="auto"/>
            </w:tcBorders>
            <w:shd w:val="clear" w:color="auto" w:fill="C0C0C0"/>
            <w:vAlign w:val="bottom"/>
          </w:tcPr>
          <w:p w:rsidR="000305DD" w:rsidRPr="00F24972" w:rsidRDefault="000305DD" w:rsidP="000305DD">
            <w:pPr>
              <w:pStyle w:val="TableText"/>
              <w:rPr>
                <w:rFonts w:cs="Arial"/>
                <w:b/>
              </w:rPr>
            </w:pPr>
            <w:r w:rsidRPr="00F24972">
              <w:rPr>
                <w:rFonts w:cs="Arial"/>
                <w:b/>
              </w:rPr>
              <w:t>Positive or Negative Workload Accrued</w:t>
            </w:r>
          </w:p>
        </w:tc>
        <w:tc>
          <w:tcPr>
            <w:tcW w:w="900" w:type="dxa"/>
            <w:tcBorders>
              <w:bottom w:val="single" w:sz="4" w:space="0" w:color="auto"/>
            </w:tcBorders>
            <w:shd w:val="clear" w:color="auto" w:fill="C0C0C0"/>
            <w:textDirection w:val="btLr"/>
            <w:vAlign w:val="bottom"/>
          </w:tcPr>
          <w:p w:rsidR="000305DD" w:rsidRPr="00F24972" w:rsidRDefault="000305DD" w:rsidP="000305DD">
            <w:pPr>
              <w:pStyle w:val="TableText"/>
              <w:ind w:left="113" w:right="113"/>
              <w:rPr>
                <w:rFonts w:cs="Arial"/>
                <w:b/>
              </w:rPr>
            </w:pPr>
            <w:r w:rsidRPr="00F24972">
              <w:rPr>
                <w:rFonts w:cs="Arial"/>
                <w:b/>
              </w:rPr>
              <w:t>Transaction Type*</w:t>
            </w:r>
          </w:p>
        </w:tc>
        <w:tc>
          <w:tcPr>
            <w:tcW w:w="4123" w:type="dxa"/>
            <w:tcBorders>
              <w:bottom w:val="single" w:sz="4" w:space="0" w:color="auto"/>
            </w:tcBorders>
            <w:shd w:val="clear" w:color="auto" w:fill="C0C0C0"/>
            <w:vAlign w:val="bottom"/>
          </w:tcPr>
          <w:p w:rsidR="000305DD" w:rsidRPr="00F24972" w:rsidRDefault="000305DD" w:rsidP="000305DD">
            <w:pPr>
              <w:pStyle w:val="TableText"/>
              <w:rPr>
                <w:rFonts w:cs="Arial"/>
                <w:b/>
              </w:rPr>
            </w:pPr>
            <w:r w:rsidRPr="00F24972">
              <w:rPr>
                <w:rFonts w:cs="Arial"/>
                <w:b/>
              </w:rPr>
              <w:t xml:space="preserve">Explanation </w:t>
            </w:r>
          </w:p>
        </w:tc>
      </w:tr>
      <w:tr w:rsidR="000305DD" w:rsidRPr="00F24972">
        <w:tblPrEx>
          <w:tblCellMar>
            <w:top w:w="0" w:type="dxa"/>
            <w:bottom w:w="0" w:type="dxa"/>
          </w:tblCellMar>
        </w:tblPrEx>
        <w:trPr>
          <w:cantSplit/>
        </w:trPr>
        <w:tc>
          <w:tcPr>
            <w:tcW w:w="1733" w:type="dxa"/>
            <w:vMerge w:val="restart"/>
          </w:tcPr>
          <w:p w:rsidR="000305DD" w:rsidRPr="00F24972" w:rsidRDefault="000305DD" w:rsidP="000305DD">
            <w:pPr>
              <w:pStyle w:val="TableText"/>
              <w:rPr>
                <w:rFonts w:cs="Arial"/>
              </w:rPr>
            </w:pPr>
            <w:r w:rsidRPr="00F24972">
              <w:rPr>
                <w:rFonts w:cs="Arial"/>
              </w:rPr>
              <w:t>ABO Forward and reverse typing (patient)</w:t>
            </w:r>
          </w:p>
          <w:p w:rsidR="000305DD" w:rsidRPr="00F24972" w:rsidRDefault="000305DD" w:rsidP="000305DD">
            <w:pPr>
              <w:pStyle w:val="TableText"/>
              <w:rPr>
                <w:rFonts w:cs="Arial"/>
              </w:rPr>
            </w:pPr>
          </w:p>
        </w:tc>
        <w:tc>
          <w:tcPr>
            <w:tcW w:w="1165" w:type="dxa"/>
          </w:tcPr>
          <w:p w:rsidR="000305DD" w:rsidRPr="00F24972" w:rsidRDefault="000305DD" w:rsidP="000305DD">
            <w:pPr>
              <w:pStyle w:val="TableText"/>
              <w:rPr>
                <w:rFonts w:cs="Arial"/>
              </w:rPr>
            </w:pPr>
            <w:r>
              <w:rPr>
                <w:rFonts w:cs="Arial"/>
              </w:rPr>
              <w:t>Transfusion Reaction Workup</w:t>
            </w:r>
          </w:p>
        </w:tc>
        <w:tc>
          <w:tcPr>
            <w:tcW w:w="1080" w:type="dxa"/>
          </w:tcPr>
          <w:p w:rsidR="000305DD" w:rsidRPr="00F24972" w:rsidRDefault="000305DD" w:rsidP="000305DD">
            <w:pPr>
              <w:pStyle w:val="TableText"/>
              <w:rPr>
                <w:rFonts w:cs="Arial"/>
              </w:rPr>
            </w:pPr>
            <w:r w:rsidRPr="00F24972">
              <w:rPr>
                <w:rFonts w:cs="Arial"/>
              </w:rPr>
              <w:t>Positive</w:t>
            </w:r>
          </w:p>
        </w:tc>
        <w:tc>
          <w:tcPr>
            <w:tcW w:w="900" w:type="dxa"/>
          </w:tcPr>
          <w:p w:rsidR="000305DD" w:rsidRPr="00F24972" w:rsidRDefault="000305DD" w:rsidP="000305DD">
            <w:pPr>
              <w:pStyle w:val="TableText"/>
              <w:jc w:val="center"/>
              <w:rPr>
                <w:rFonts w:cs="Arial"/>
              </w:rPr>
            </w:pPr>
            <w:r w:rsidRPr="00F24972">
              <w:rPr>
                <w:rFonts w:cs="Arial"/>
              </w:rPr>
              <w:t>P</w:t>
            </w:r>
          </w:p>
        </w:tc>
        <w:tc>
          <w:tcPr>
            <w:tcW w:w="4123" w:type="dxa"/>
          </w:tcPr>
          <w:p w:rsidR="000305DD" w:rsidRPr="00F24972" w:rsidRDefault="000305DD" w:rsidP="000305DD">
            <w:pPr>
              <w:pStyle w:val="TableText"/>
              <w:rPr>
                <w:rFonts w:cs="Arial"/>
              </w:rPr>
            </w:pPr>
            <w:r w:rsidRPr="00F24972">
              <w:rPr>
                <w:rFonts w:cs="Arial"/>
              </w:rPr>
              <w:t>An ABO/Rh test for pre or post is enabled and a valid interpretation other than Not Tested is selected. A workload event is accrued separately for Pre and Post entries.</w:t>
            </w:r>
          </w:p>
        </w:tc>
      </w:tr>
      <w:tr w:rsidR="000305DD" w:rsidRPr="00F24972">
        <w:tblPrEx>
          <w:tblCellMar>
            <w:top w:w="0" w:type="dxa"/>
            <w:bottom w:w="0" w:type="dxa"/>
          </w:tblCellMar>
        </w:tblPrEx>
        <w:trPr>
          <w:cantSplit/>
        </w:trPr>
        <w:tc>
          <w:tcPr>
            <w:tcW w:w="1733" w:type="dxa"/>
            <w:vMerge/>
          </w:tcPr>
          <w:p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tcBorders>
          </w:tcPr>
          <w:p w:rsidR="000305DD" w:rsidRPr="00F24972" w:rsidRDefault="000305DD" w:rsidP="000305DD">
            <w:pPr>
              <w:pStyle w:val="TableText"/>
              <w:rPr>
                <w:rFonts w:cs="Arial"/>
              </w:rPr>
            </w:pPr>
            <w:r>
              <w:rPr>
                <w:rFonts w:cs="Arial"/>
              </w:rPr>
              <w:t>Patient Testing: ABO/Rh</w:t>
            </w:r>
          </w:p>
          <w:p w:rsidR="000305DD" w:rsidRPr="00F24972" w:rsidRDefault="000305DD" w:rsidP="000305DD">
            <w:pPr>
              <w:pStyle w:val="TableText"/>
              <w:rPr>
                <w:rFonts w:cs="Arial"/>
              </w:rPr>
            </w:pPr>
          </w:p>
        </w:tc>
        <w:tc>
          <w:tcPr>
            <w:tcW w:w="1080" w:type="dxa"/>
            <w:tcBorders>
              <w:top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jc w:val="center"/>
              <w:rPr>
                <w:rFonts w:cs="Arial"/>
              </w:rPr>
            </w:pPr>
            <w:r w:rsidRPr="00F24972">
              <w:rPr>
                <w:rFonts w:cs="Arial"/>
              </w:rPr>
              <w:t>P</w:t>
            </w:r>
          </w:p>
        </w:tc>
        <w:tc>
          <w:tcPr>
            <w:tcW w:w="4123" w:type="dxa"/>
            <w:tcBorders>
              <w:top w:val="single" w:sz="4" w:space="0" w:color="auto"/>
              <w:left w:val="single" w:sz="4" w:space="0" w:color="auto"/>
              <w:bottom w:val="single" w:sz="4" w:space="0" w:color="auto"/>
              <w:right w:val="single" w:sz="4" w:space="0" w:color="auto"/>
            </w:tcBorders>
          </w:tcPr>
          <w:p w:rsidR="000305DD" w:rsidRPr="00F24972" w:rsidRDefault="0045199E" w:rsidP="000305DD">
            <w:pPr>
              <w:pStyle w:val="TableText"/>
              <w:rPr>
                <w:rFonts w:cs="Arial"/>
              </w:rPr>
            </w:pPr>
            <w:r w:rsidRPr="00F24972">
              <w:rPr>
                <w:rFonts w:cs="Arial"/>
              </w:rPr>
              <w:t>Accrue workload when an ABO/Rh test performed from the ordered test ABO/Rh only (</w:t>
            </w:r>
            <w:r>
              <w:rPr>
                <w:rFonts w:cs="Arial"/>
              </w:rPr>
              <w:t>Record Patient ABO-Rh</w:t>
            </w:r>
            <w:r w:rsidRPr="00F24972">
              <w:rPr>
                <w:rFonts w:cs="Arial"/>
              </w:rPr>
              <w:t xml:space="preserve"> is completed and saved</w:t>
            </w:r>
            <w:r>
              <w:rPr>
                <w:rFonts w:cs="Arial"/>
              </w:rPr>
              <w:t xml:space="preserve"> </w:t>
            </w:r>
            <w:r w:rsidRPr="00F24972">
              <w:rPr>
                <w:rFonts w:cs="Arial"/>
              </w:rPr>
              <w:t xml:space="preserve">by </w:t>
            </w:r>
            <w:r>
              <w:rPr>
                <w:rFonts w:cs="Arial"/>
              </w:rPr>
              <w:t>Record Testing).</w:t>
            </w:r>
          </w:p>
        </w:tc>
      </w:tr>
      <w:tr w:rsidR="000305DD" w:rsidRPr="00F24972">
        <w:tblPrEx>
          <w:tblCellMar>
            <w:top w:w="0" w:type="dxa"/>
            <w:bottom w:w="0" w:type="dxa"/>
          </w:tblCellMar>
        </w:tblPrEx>
        <w:trPr>
          <w:cantSplit/>
        </w:trPr>
        <w:tc>
          <w:tcPr>
            <w:tcW w:w="1733" w:type="dxa"/>
            <w:vMerge/>
            <w:tcBorders>
              <w:bottom w:val="single" w:sz="4" w:space="0" w:color="auto"/>
            </w:tcBorders>
          </w:tcPr>
          <w:p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tcBorders>
          </w:tcPr>
          <w:p w:rsidR="000305DD" w:rsidRPr="00F24972" w:rsidRDefault="000305DD" w:rsidP="000305DD">
            <w:pPr>
              <w:pStyle w:val="TableText"/>
              <w:rPr>
                <w:rFonts w:cs="Arial"/>
              </w:rPr>
            </w:pPr>
            <w:r>
              <w:rPr>
                <w:rFonts w:cs="Arial"/>
              </w:rPr>
              <w:t>Invalidate Patient Testing: Patient ABO/Rh</w:t>
            </w:r>
          </w:p>
        </w:tc>
        <w:tc>
          <w:tcPr>
            <w:tcW w:w="1080" w:type="dxa"/>
            <w:tcBorders>
              <w:top w:val="single" w:sz="4" w:space="0" w:color="auto"/>
              <w:bottom w:val="single" w:sz="4" w:space="0" w:color="auto"/>
              <w:right w:val="single" w:sz="4" w:space="0" w:color="auto"/>
            </w:tcBorders>
          </w:tcPr>
          <w:p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jc w:val="center"/>
              <w:rPr>
                <w:rFonts w:cs="Arial"/>
              </w:rPr>
            </w:pPr>
            <w:r w:rsidRPr="00F24972">
              <w:rPr>
                <w:rFonts w:cs="Arial"/>
              </w:rPr>
              <w:t>P</w:t>
            </w:r>
          </w:p>
        </w:tc>
        <w:tc>
          <w:tcPr>
            <w:tcW w:w="4123"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Accrue workload when a completed ABO/Rh test is invalidated.</w:t>
            </w:r>
          </w:p>
        </w:tc>
      </w:tr>
      <w:tr w:rsidR="000305DD" w:rsidRPr="00F24972">
        <w:tblPrEx>
          <w:tblCellMar>
            <w:top w:w="0" w:type="dxa"/>
            <w:bottom w:w="0" w:type="dxa"/>
          </w:tblCellMar>
        </w:tblPrEx>
        <w:trPr>
          <w:cantSplit/>
        </w:trPr>
        <w:tc>
          <w:tcPr>
            <w:tcW w:w="1733" w:type="dxa"/>
            <w:vMerge w:val="restart"/>
            <w:tcBorders>
              <w:top w:val="single" w:sz="4" w:space="0" w:color="auto"/>
              <w:left w:val="single" w:sz="4" w:space="0" w:color="auto"/>
              <w:right w:val="single" w:sz="4" w:space="0" w:color="auto"/>
            </w:tcBorders>
          </w:tcPr>
          <w:p w:rsidR="000305DD" w:rsidRPr="00F24972" w:rsidRDefault="000305DD" w:rsidP="000305DD">
            <w:pPr>
              <w:pStyle w:val="TableText"/>
              <w:rPr>
                <w:rFonts w:cs="Arial"/>
              </w:rPr>
            </w:pPr>
            <w:r w:rsidRPr="00F24972">
              <w:rPr>
                <w:rFonts w:cs="Arial"/>
              </w:rPr>
              <w:t>ABO Forward and reverse typing (patient) Repeat Test</w:t>
            </w:r>
          </w:p>
          <w:p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Pr>
                <w:rFonts w:cs="Arial"/>
              </w:rPr>
              <w:t>Patient Testing: ABO/Rh</w:t>
            </w:r>
          </w:p>
          <w:p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jc w:val="center"/>
              <w:rPr>
                <w:rFonts w:cs="Arial"/>
              </w:rPr>
            </w:pPr>
            <w:r w:rsidRPr="00F24972">
              <w:rPr>
                <w:rFonts w:cs="Arial"/>
              </w:rPr>
              <w:t>M</w:t>
            </w:r>
          </w:p>
        </w:tc>
        <w:tc>
          <w:tcPr>
            <w:tcW w:w="4123"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 xml:space="preserve">Accrue workload when a reflex or repeat ABO/Rh test is performed, completed and saved via </w:t>
            </w:r>
            <w:r>
              <w:rPr>
                <w:rFonts w:cs="Arial"/>
              </w:rPr>
              <w:t>Record Testing</w:t>
            </w:r>
            <w:r w:rsidRPr="00F24972">
              <w:rPr>
                <w:rFonts w:cs="Arial"/>
              </w:rPr>
              <w:t>.</w:t>
            </w:r>
          </w:p>
          <w:p w:rsidR="000305DD" w:rsidRPr="00F24972" w:rsidRDefault="000305DD" w:rsidP="000305DD">
            <w:pPr>
              <w:pStyle w:val="TableText"/>
              <w:rPr>
                <w:rFonts w:cs="Arial"/>
              </w:rPr>
            </w:pPr>
            <w:r w:rsidRPr="00F24972">
              <w:rPr>
                <w:rFonts w:cs="Arial"/>
              </w:rPr>
              <w:t xml:space="preserve">Note: ABO/Rh ordered in </w:t>
            </w:r>
            <w:r>
              <w:rPr>
                <w:rFonts w:cs="Arial"/>
              </w:rPr>
              <w:t>Order Reflex Test</w:t>
            </w:r>
            <w:r w:rsidRPr="00F24972">
              <w:rPr>
                <w:rFonts w:cs="Arial"/>
              </w:rPr>
              <w:t xml:space="preserve"> from main menu or via use of </w:t>
            </w:r>
            <w:r>
              <w:rPr>
                <w:rFonts w:cs="Arial"/>
              </w:rPr>
              <w:t xml:space="preserve">Order Reflex Test </w:t>
            </w:r>
            <w:r w:rsidRPr="00F24972">
              <w:rPr>
                <w:rFonts w:cs="Arial"/>
              </w:rPr>
              <w:t xml:space="preserve">from </w:t>
            </w:r>
            <w:r>
              <w:rPr>
                <w:rFonts w:cs="Arial"/>
              </w:rPr>
              <w:t>Record Testing</w:t>
            </w:r>
          </w:p>
        </w:tc>
      </w:tr>
      <w:tr w:rsidR="000305DD" w:rsidRPr="00F24972">
        <w:tblPrEx>
          <w:tblCellMar>
            <w:top w:w="0" w:type="dxa"/>
            <w:bottom w:w="0" w:type="dxa"/>
          </w:tblCellMar>
        </w:tblPrEx>
        <w:trPr>
          <w:cantSplit/>
        </w:trPr>
        <w:tc>
          <w:tcPr>
            <w:tcW w:w="1733" w:type="dxa"/>
            <w:vMerge/>
            <w:tcBorders>
              <w:left w:val="single" w:sz="4" w:space="0" w:color="auto"/>
              <w:bottom w:val="single" w:sz="4" w:space="0" w:color="auto"/>
              <w:right w:val="single" w:sz="4" w:space="0" w:color="auto"/>
            </w:tcBorders>
          </w:tcPr>
          <w:p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Pr>
                <w:rFonts w:cs="Arial"/>
              </w:rPr>
              <w:t>Invalidate Patient Testing: Patient ABO/Rh</w:t>
            </w:r>
          </w:p>
        </w:tc>
        <w:tc>
          <w:tcPr>
            <w:tcW w:w="108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rPr>
                <w:rFonts w:ascii="Arial" w:hAnsi="Arial" w:cs="Arial"/>
                <w:b/>
                <w:sz w:val="18"/>
                <w:szCs w:val="18"/>
              </w:rPr>
            </w:pPr>
            <w:r w:rsidRPr="00F24972">
              <w:rPr>
                <w:rFonts w:ascii="Arial" w:hAnsi="Arial" w:cs="Arial"/>
                <w:b/>
                <w:sz w:val="18"/>
                <w:szCs w:val="18"/>
              </w:rPr>
              <w:t>Negative</w:t>
            </w:r>
          </w:p>
        </w:tc>
        <w:tc>
          <w:tcPr>
            <w:tcW w:w="90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jc w:val="center"/>
              <w:rPr>
                <w:rFonts w:cs="Arial"/>
              </w:rPr>
            </w:pPr>
            <w:r w:rsidRPr="00F24972">
              <w:rPr>
                <w:rFonts w:cs="Arial"/>
              </w:rPr>
              <w:t>M</w:t>
            </w:r>
          </w:p>
        </w:tc>
        <w:tc>
          <w:tcPr>
            <w:tcW w:w="4123"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Accrue workload when a reflex or repeat ABO/Rh test is invalidated.</w:t>
            </w:r>
          </w:p>
        </w:tc>
      </w:tr>
      <w:tr w:rsidR="000305DD" w:rsidRPr="00F24972">
        <w:tblPrEx>
          <w:tblCellMar>
            <w:top w:w="0" w:type="dxa"/>
            <w:bottom w:w="0" w:type="dxa"/>
          </w:tblCellMar>
        </w:tblPrEx>
        <w:trPr>
          <w:cantSplit/>
        </w:trPr>
        <w:tc>
          <w:tcPr>
            <w:tcW w:w="1733" w:type="dxa"/>
            <w:vMerge w:val="restart"/>
            <w:tcBorders>
              <w:top w:val="single" w:sz="4" w:space="0" w:color="auto"/>
              <w:left w:val="single" w:sz="4" w:space="0" w:color="auto"/>
              <w:right w:val="single" w:sz="4" w:space="0" w:color="auto"/>
            </w:tcBorders>
          </w:tcPr>
          <w:p w:rsidR="000305DD" w:rsidRPr="00F24972" w:rsidRDefault="000305DD" w:rsidP="000305DD">
            <w:pPr>
              <w:pStyle w:val="TableText"/>
              <w:rPr>
                <w:rFonts w:cs="Arial"/>
              </w:rPr>
            </w:pPr>
            <w:r w:rsidRPr="00F24972">
              <w:rPr>
                <w:rFonts w:cs="Arial"/>
              </w:rPr>
              <w:t>ABO forward typing (unit)</w:t>
            </w:r>
          </w:p>
        </w:tc>
        <w:tc>
          <w:tcPr>
            <w:tcW w:w="1165"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Pr>
                <w:rFonts w:cs="Arial"/>
              </w:rPr>
              <w:t>Unit ABO/RH confirmation test</w:t>
            </w:r>
          </w:p>
          <w:p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 xml:space="preserve">An ABO confirmation test is performed. When multiple units are selected in a batch, each unit in the batch accrues a workload event. </w:t>
            </w:r>
          </w:p>
          <w:p w:rsidR="000305DD" w:rsidRPr="00F24972" w:rsidRDefault="000305DD" w:rsidP="000305DD">
            <w:pPr>
              <w:pStyle w:val="TableText"/>
              <w:rPr>
                <w:rFonts w:cs="Arial"/>
              </w:rPr>
            </w:pPr>
          </w:p>
          <w:p w:rsidR="000305DD" w:rsidRPr="00F24972" w:rsidRDefault="000305DD" w:rsidP="000305DD">
            <w:pPr>
              <w:pStyle w:val="TableText"/>
              <w:rPr>
                <w:rFonts w:cs="Arial"/>
              </w:rPr>
            </w:pPr>
            <w:r w:rsidRPr="00D01C9F">
              <w:rPr>
                <w:rFonts w:cs="Arial"/>
              </w:rPr>
              <w:t xml:space="preserve">Note: Workload </w:t>
            </w:r>
            <w:r w:rsidRPr="00D01C9F">
              <w:rPr>
                <w:rFonts w:cs="Arial"/>
                <w:sz w:val="20"/>
                <w:szCs w:val="20"/>
              </w:rPr>
              <w:t>generated when Anti-D testing is not included in the unit’s confirmation test.</w:t>
            </w:r>
            <w:r>
              <w:rPr>
                <w:rFonts w:cs="Arial"/>
                <w:color w:val="0000FF"/>
                <w:sz w:val="20"/>
                <w:szCs w:val="20"/>
              </w:rPr>
              <w:t xml:space="preserve"> </w:t>
            </w:r>
            <w:r w:rsidRPr="00F24972">
              <w:rPr>
                <w:rFonts w:cs="Arial"/>
              </w:rPr>
              <w:t>Workload is</w:t>
            </w:r>
            <w:r w:rsidRPr="00F24972">
              <w:rPr>
                <w:rFonts w:cs="Arial"/>
                <w:b/>
              </w:rPr>
              <w:t xml:space="preserve"> not</w:t>
            </w:r>
            <w:r w:rsidRPr="00F24972">
              <w:rPr>
                <w:rFonts w:cs="Arial"/>
              </w:rPr>
              <w:t xml:space="preserve"> accrued when an ABO or Rh discrepancy override is processed and VBECS releases all patient assignments. Workload is </w:t>
            </w:r>
            <w:r w:rsidRPr="00F24972">
              <w:rPr>
                <w:rFonts w:cs="Arial"/>
                <w:b/>
              </w:rPr>
              <w:t xml:space="preserve">not </w:t>
            </w:r>
            <w:r w:rsidRPr="00F24972">
              <w:rPr>
                <w:rFonts w:cs="Arial"/>
              </w:rPr>
              <w:t>accrued when VBECS quarantines the unit due to a discrepancy. No special handling for workload collection for additional confirmation tests on a unit.</w:t>
            </w:r>
          </w:p>
        </w:tc>
      </w:tr>
      <w:tr w:rsidR="000305DD" w:rsidRPr="00F24972">
        <w:tblPrEx>
          <w:tblCellMar>
            <w:top w:w="0" w:type="dxa"/>
            <w:bottom w:w="0" w:type="dxa"/>
          </w:tblCellMar>
        </w:tblPrEx>
        <w:trPr>
          <w:cantSplit/>
        </w:trPr>
        <w:tc>
          <w:tcPr>
            <w:tcW w:w="1733" w:type="dxa"/>
            <w:vMerge/>
            <w:tcBorders>
              <w:left w:val="single" w:sz="4" w:space="0" w:color="auto"/>
              <w:right w:val="single" w:sz="4" w:space="0" w:color="auto"/>
            </w:tcBorders>
          </w:tcPr>
          <w:p w:rsidR="000305DD" w:rsidRPr="00F24972" w:rsidRDefault="000305DD" w:rsidP="000305DD">
            <w:pPr>
              <w:pStyle w:val="TableText"/>
              <w:rPr>
                <w:rFonts w:cs="Arial"/>
              </w:rPr>
            </w:pPr>
          </w:p>
        </w:tc>
        <w:tc>
          <w:tcPr>
            <w:tcW w:w="1165" w:type="dxa"/>
            <w:tcBorders>
              <w:left w:val="single" w:sz="4" w:space="0" w:color="auto"/>
            </w:tcBorders>
          </w:tcPr>
          <w:p w:rsidR="000305DD" w:rsidRPr="00F24972" w:rsidRDefault="000305DD" w:rsidP="000305DD">
            <w:pPr>
              <w:pStyle w:val="TableText"/>
              <w:rPr>
                <w:rFonts w:cs="Arial"/>
              </w:rPr>
            </w:pPr>
            <w:r>
              <w:rPr>
                <w:rFonts w:cs="Arial"/>
              </w:rPr>
              <w:t>Invalidate Unit ABO/RH Confirmation test</w:t>
            </w:r>
          </w:p>
        </w:tc>
        <w:tc>
          <w:tcPr>
            <w:tcW w:w="1080" w:type="dxa"/>
          </w:tcPr>
          <w:p w:rsidR="000305DD" w:rsidRPr="00F24972" w:rsidRDefault="000305DD" w:rsidP="000305DD">
            <w:pPr>
              <w:pStyle w:val="TableText"/>
              <w:rPr>
                <w:rFonts w:cs="Arial"/>
                <w:b/>
              </w:rPr>
            </w:pPr>
            <w:r w:rsidRPr="00F24972">
              <w:rPr>
                <w:rFonts w:cs="Arial"/>
                <w:b/>
              </w:rPr>
              <w:t>Negative</w:t>
            </w:r>
          </w:p>
        </w:tc>
        <w:tc>
          <w:tcPr>
            <w:tcW w:w="900" w:type="dxa"/>
          </w:tcPr>
          <w:p w:rsidR="000305DD" w:rsidRPr="00F24972" w:rsidRDefault="000305DD" w:rsidP="000305DD">
            <w:pPr>
              <w:pStyle w:val="TableText"/>
              <w:jc w:val="center"/>
              <w:rPr>
                <w:rFonts w:cs="Arial"/>
              </w:rPr>
            </w:pPr>
            <w:r w:rsidRPr="00F24972">
              <w:rPr>
                <w:rFonts w:cs="Arial"/>
              </w:rPr>
              <w:t>U</w:t>
            </w:r>
          </w:p>
        </w:tc>
        <w:tc>
          <w:tcPr>
            <w:tcW w:w="4123" w:type="dxa"/>
          </w:tcPr>
          <w:p w:rsidR="000305DD" w:rsidRPr="00F24972" w:rsidRDefault="000305DD" w:rsidP="000305DD">
            <w:pPr>
              <w:pStyle w:val="TableText"/>
              <w:rPr>
                <w:rFonts w:cs="Arial"/>
              </w:rPr>
            </w:pPr>
            <w:r w:rsidRPr="00F24972">
              <w:rPr>
                <w:rFonts w:cs="Arial"/>
              </w:rPr>
              <w:t>Accrue workload when an ABO confirmation test is invalidated</w:t>
            </w:r>
          </w:p>
        </w:tc>
      </w:tr>
      <w:tr w:rsidR="000305DD" w:rsidRPr="00F24972">
        <w:tblPrEx>
          <w:tblCellMar>
            <w:top w:w="0" w:type="dxa"/>
            <w:bottom w:w="0" w:type="dxa"/>
          </w:tblCellMar>
        </w:tblPrEx>
        <w:trPr>
          <w:cantSplit/>
        </w:trPr>
        <w:tc>
          <w:tcPr>
            <w:tcW w:w="1733" w:type="dxa"/>
            <w:vMerge w:val="restart"/>
            <w:tcBorders>
              <w:top w:val="single" w:sz="4" w:space="0" w:color="auto"/>
              <w:left w:val="single" w:sz="4" w:space="0" w:color="auto"/>
              <w:right w:val="single" w:sz="4" w:space="0" w:color="auto"/>
            </w:tcBorders>
          </w:tcPr>
          <w:p w:rsidR="000305DD" w:rsidRPr="00F24972" w:rsidRDefault="000305DD" w:rsidP="000305DD">
            <w:pPr>
              <w:pStyle w:val="TableText"/>
              <w:rPr>
                <w:rFonts w:cs="Arial"/>
              </w:rPr>
            </w:pPr>
            <w:r w:rsidRPr="00F24972">
              <w:rPr>
                <w:rFonts w:cs="Arial"/>
              </w:rPr>
              <w:lastRenderedPageBreak/>
              <w:t>ABO/Rh forward typing (unit)</w:t>
            </w:r>
          </w:p>
        </w:tc>
        <w:tc>
          <w:tcPr>
            <w:tcW w:w="1165"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Pr>
                <w:rFonts w:cs="Arial"/>
              </w:rPr>
              <w:t>Unit ABO/RH confirmation test</w:t>
            </w:r>
          </w:p>
          <w:p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An ABO/Rh confirmation test is performed. When multiple units are selected in a batch, each unit in the batch accrues a workload event.</w:t>
            </w:r>
          </w:p>
          <w:p w:rsidR="000305DD" w:rsidRPr="00F24972" w:rsidRDefault="000305DD" w:rsidP="000305DD">
            <w:pPr>
              <w:pStyle w:val="TableText"/>
              <w:rPr>
                <w:rFonts w:cs="Arial"/>
              </w:rPr>
            </w:pPr>
          </w:p>
          <w:p w:rsidR="000305DD" w:rsidRPr="00F24972" w:rsidRDefault="000305DD" w:rsidP="000305DD">
            <w:pPr>
              <w:pStyle w:val="TableText"/>
              <w:rPr>
                <w:rFonts w:cs="Arial"/>
              </w:rPr>
            </w:pPr>
            <w:r w:rsidRPr="00D01C9F">
              <w:rPr>
                <w:rFonts w:cs="Arial"/>
              </w:rPr>
              <w:t xml:space="preserve">Note: Workload </w:t>
            </w:r>
            <w:r w:rsidRPr="00D01C9F">
              <w:rPr>
                <w:rFonts w:cs="Arial"/>
                <w:sz w:val="20"/>
                <w:szCs w:val="20"/>
              </w:rPr>
              <w:t xml:space="preserve">generated </w:t>
            </w:r>
            <w:r w:rsidRPr="00D01C9F">
              <w:rPr>
                <w:rFonts w:cs="Arial"/>
              </w:rPr>
              <w:t>when</w:t>
            </w:r>
            <w:r w:rsidRPr="00D01C9F">
              <w:rPr>
                <w:rFonts w:cs="Arial"/>
                <w:sz w:val="20"/>
                <w:szCs w:val="20"/>
              </w:rPr>
              <w:t xml:space="preserve"> Ant-D is part of the unit’s confirmation test. </w:t>
            </w:r>
            <w:r w:rsidRPr="00D01C9F">
              <w:rPr>
                <w:rFonts w:cs="Arial"/>
              </w:rPr>
              <w:t>Workload is</w:t>
            </w:r>
            <w:r w:rsidRPr="00D01C9F">
              <w:rPr>
                <w:rFonts w:cs="Arial"/>
                <w:b/>
              </w:rPr>
              <w:t xml:space="preserve"> not</w:t>
            </w:r>
            <w:r w:rsidRPr="00D01C9F">
              <w:rPr>
                <w:rFonts w:cs="Arial"/>
              </w:rPr>
              <w:t xml:space="preserve"> accrued when an ABO or Rh discrepancy override is processed and VBECS releases all patient assignments. Workload</w:t>
            </w:r>
            <w:r w:rsidRPr="00F24972">
              <w:rPr>
                <w:rFonts w:cs="Arial"/>
              </w:rPr>
              <w:t xml:space="preserve"> is </w:t>
            </w:r>
            <w:r w:rsidRPr="00F24972">
              <w:rPr>
                <w:rFonts w:cs="Arial"/>
                <w:b/>
              </w:rPr>
              <w:t xml:space="preserve">not </w:t>
            </w:r>
            <w:r w:rsidRPr="00F24972">
              <w:rPr>
                <w:rFonts w:cs="Arial"/>
              </w:rPr>
              <w:t>accrued when VBECS quarantines the unit due to a discrepancy. Any unit successfully confirmed accrues workload. For modification Split: Workload is not inherited by split units. A split unit that requires confirmation accrues confirmation workload at the time of testing. No special handling for workload collection for additional confirmation tests on a unit.</w:t>
            </w:r>
          </w:p>
        </w:tc>
      </w:tr>
      <w:tr w:rsidR="000305DD" w:rsidRPr="00F24972">
        <w:tblPrEx>
          <w:tblCellMar>
            <w:top w:w="0" w:type="dxa"/>
            <w:bottom w:w="0" w:type="dxa"/>
          </w:tblCellMar>
        </w:tblPrEx>
        <w:trPr>
          <w:cantSplit/>
        </w:trPr>
        <w:tc>
          <w:tcPr>
            <w:tcW w:w="1733" w:type="dxa"/>
            <w:vMerge/>
            <w:tcBorders>
              <w:left w:val="single" w:sz="4" w:space="0" w:color="auto"/>
              <w:right w:val="single" w:sz="4" w:space="0" w:color="auto"/>
            </w:tcBorders>
          </w:tcPr>
          <w:p w:rsidR="000305DD" w:rsidRPr="00F24972" w:rsidRDefault="000305DD" w:rsidP="000305DD">
            <w:pPr>
              <w:pStyle w:val="TableText"/>
              <w:rPr>
                <w:rFonts w:cs="Arial"/>
              </w:rPr>
            </w:pPr>
          </w:p>
        </w:tc>
        <w:tc>
          <w:tcPr>
            <w:tcW w:w="1165" w:type="dxa"/>
            <w:tcBorders>
              <w:left w:val="single" w:sz="4" w:space="0" w:color="auto"/>
            </w:tcBorders>
          </w:tcPr>
          <w:p w:rsidR="000305DD" w:rsidRPr="00F24972" w:rsidRDefault="000305DD" w:rsidP="000305DD">
            <w:pPr>
              <w:pStyle w:val="TableText"/>
              <w:rPr>
                <w:rFonts w:cs="Arial"/>
              </w:rPr>
            </w:pPr>
            <w:r>
              <w:rPr>
                <w:rFonts w:cs="Arial"/>
              </w:rPr>
              <w:t>Invalidate Unit ABO/RH Confirmation test</w:t>
            </w:r>
          </w:p>
        </w:tc>
        <w:tc>
          <w:tcPr>
            <w:tcW w:w="1080" w:type="dxa"/>
          </w:tcPr>
          <w:p w:rsidR="000305DD" w:rsidRPr="00F24972" w:rsidRDefault="000305DD" w:rsidP="000305DD">
            <w:pPr>
              <w:pStyle w:val="TableText"/>
              <w:rPr>
                <w:rFonts w:cs="Arial"/>
                <w:b/>
              </w:rPr>
            </w:pPr>
            <w:r w:rsidRPr="00F24972">
              <w:rPr>
                <w:rFonts w:cs="Arial"/>
                <w:b/>
              </w:rPr>
              <w:t>Negative</w:t>
            </w:r>
          </w:p>
        </w:tc>
        <w:tc>
          <w:tcPr>
            <w:tcW w:w="900" w:type="dxa"/>
          </w:tcPr>
          <w:p w:rsidR="000305DD" w:rsidRPr="00F24972" w:rsidRDefault="000305DD" w:rsidP="000305DD">
            <w:pPr>
              <w:pStyle w:val="TableText"/>
              <w:jc w:val="center"/>
              <w:rPr>
                <w:rFonts w:cs="Arial"/>
              </w:rPr>
            </w:pPr>
            <w:r w:rsidRPr="00F24972">
              <w:rPr>
                <w:rFonts w:cs="Arial"/>
              </w:rPr>
              <w:t>U</w:t>
            </w:r>
          </w:p>
        </w:tc>
        <w:tc>
          <w:tcPr>
            <w:tcW w:w="4123" w:type="dxa"/>
          </w:tcPr>
          <w:p w:rsidR="000305DD" w:rsidRPr="00F24972" w:rsidRDefault="000305DD" w:rsidP="000305DD">
            <w:pPr>
              <w:pStyle w:val="TableText"/>
              <w:rPr>
                <w:rFonts w:cs="Arial"/>
              </w:rPr>
            </w:pPr>
            <w:r w:rsidRPr="00F24972">
              <w:rPr>
                <w:rFonts w:cs="Arial"/>
              </w:rPr>
              <w:t>Accrue workload when an ABO/Rh confirmation test is invalidated</w:t>
            </w:r>
          </w:p>
        </w:tc>
      </w:tr>
      <w:tr w:rsidR="000305DD" w:rsidRPr="00F24972">
        <w:tblPrEx>
          <w:tblCellMar>
            <w:top w:w="0" w:type="dxa"/>
            <w:bottom w:w="0" w:type="dxa"/>
          </w:tblCellMar>
        </w:tblPrEx>
        <w:trPr>
          <w:cantSplit/>
        </w:trPr>
        <w:tc>
          <w:tcPr>
            <w:tcW w:w="1733" w:type="dxa"/>
            <w:tcBorders>
              <w:bottom w:val="single" w:sz="4" w:space="0" w:color="auto"/>
            </w:tcBorders>
          </w:tcPr>
          <w:p w:rsidR="000305DD" w:rsidRPr="00F24972" w:rsidRDefault="000305DD" w:rsidP="000305DD">
            <w:pPr>
              <w:pStyle w:val="TableText"/>
              <w:rPr>
                <w:rFonts w:cs="Arial"/>
              </w:rPr>
            </w:pPr>
            <w:r w:rsidRPr="00F24972">
              <w:rPr>
                <w:rFonts w:cs="Arial"/>
              </w:rPr>
              <w:t>Accept Order</w:t>
            </w:r>
          </w:p>
        </w:tc>
        <w:tc>
          <w:tcPr>
            <w:tcW w:w="1165" w:type="dxa"/>
            <w:tcBorders>
              <w:bottom w:val="single" w:sz="4" w:space="0" w:color="auto"/>
            </w:tcBorders>
          </w:tcPr>
          <w:p w:rsidR="000305DD" w:rsidRPr="00F24972" w:rsidRDefault="000305DD" w:rsidP="000305DD">
            <w:pPr>
              <w:pStyle w:val="TableText"/>
              <w:rPr>
                <w:rFonts w:cs="Arial"/>
              </w:rPr>
            </w:pPr>
            <w:r>
              <w:rPr>
                <w:rFonts w:cs="Arial"/>
              </w:rPr>
              <w:t>Accept Order</w:t>
            </w:r>
          </w:p>
        </w:tc>
        <w:tc>
          <w:tcPr>
            <w:tcW w:w="1080" w:type="dxa"/>
            <w:tcBorders>
              <w:bottom w:val="single" w:sz="4" w:space="0" w:color="auto"/>
            </w:tcBorders>
          </w:tcPr>
          <w:p w:rsidR="000305DD" w:rsidRPr="00F24972" w:rsidRDefault="000305DD" w:rsidP="000305DD">
            <w:pPr>
              <w:pStyle w:val="TableText"/>
              <w:rPr>
                <w:rFonts w:cs="Arial"/>
              </w:rPr>
            </w:pPr>
            <w:r w:rsidRPr="00F24972">
              <w:rPr>
                <w:rFonts w:cs="Arial"/>
              </w:rPr>
              <w:t>Positive</w:t>
            </w:r>
          </w:p>
        </w:tc>
        <w:tc>
          <w:tcPr>
            <w:tcW w:w="900" w:type="dxa"/>
            <w:tcBorders>
              <w:bottom w:val="single" w:sz="4" w:space="0" w:color="auto"/>
            </w:tcBorders>
          </w:tcPr>
          <w:p w:rsidR="000305DD" w:rsidRPr="00F24972" w:rsidRDefault="000305DD" w:rsidP="000305DD">
            <w:pPr>
              <w:pStyle w:val="TableText"/>
              <w:jc w:val="center"/>
              <w:rPr>
                <w:rFonts w:cs="Arial"/>
              </w:rPr>
            </w:pPr>
            <w:r w:rsidRPr="00F24972">
              <w:rPr>
                <w:rFonts w:cs="Arial"/>
              </w:rPr>
              <w:t>M</w:t>
            </w:r>
          </w:p>
        </w:tc>
        <w:tc>
          <w:tcPr>
            <w:tcW w:w="4123" w:type="dxa"/>
            <w:tcBorders>
              <w:bottom w:val="single" w:sz="4" w:space="0" w:color="auto"/>
            </w:tcBorders>
          </w:tcPr>
          <w:p w:rsidR="000305DD" w:rsidRPr="00F24972" w:rsidRDefault="000305DD" w:rsidP="000305DD">
            <w:pPr>
              <w:pStyle w:val="TableText"/>
              <w:rPr>
                <w:rFonts w:cs="Arial"/>
              </w:rPr>
            </w:pPr>
            <w:r w:rsidRPr="00F24972">
              <w:rPr>
                <w:rFonts w:cs="Arial"/>
              </w:rPr>
              <w:t>Accrue workload when an order is accepted. When a multiple orders are selected, each order accrues workload.</w:t>
            </w:r>
          </w:p>
        </w:tc>
      </w:tr>
      <w:tr w:rsidR="000305DD" w:rsidRPr="00F24972">
        <w:tblPrEx>
          <w:tblCellMar>
            <w:top w:w="0" w:type="dxa"/>
            <w:bottom w:w="0" w:type="dxa"/>
          </w:tblCellMar>
        </w:tblPrEx>
        <w:trPr>
          <w:cantSplit/>
        </w:trPr>
        <w:tc>
          <w:tcPr>
            <w:tcW w:w="1733" w:type="dxa"/>
            <w:vMerge w:val="restart"/>
            <w:tcBorders>
              <w:top w:val="single" w:sz="4" w:space="0" w:color="auto"/>
              <w:left w:val="single" w:sz="4" w:space="0" w:color="auto"/>
              <w:right w:val="single" w:sz="4" w:space="0" w:color="auto"/>
            </w:tcBorders>
          </w:tcPr>
          <w:p w:rsidR="000305DD" w:rsidRPr="00F24972" w:rsidRDefault="000305DD" w:rsidP="000305DD">
            <w:pPr>
              <w:pStyle w:val="TableText"/>
              <w:rPr>
                <w:rFonts w:cs="Arial"/>
              </w:rPr>
            </w:pPr>
            <w:r w:rsidRPr="00F24972">
              <w:rPr>
                <w:rFonts w:cs="Arial"/>
              </w:rPr>
              <w:t>Antibody identification Work-Up</w:t>
            </w:r>
          </w:p>
        </w:tc>
        <w:tc>
          <w:tcPr>
            <w:tcW w:w="1165"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Pr>
                <w:rFonts w:cs="Arial"/>
              </w:rPr>
              <w:t>ABID Test</w:t>
            </w:r>
          </w:p>
        </w:tc>
        <w:tc>
          <w:tcPr>
            <w:tcW w:w="108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jc w:val="center"/>
              <w:rPr>
                <w:rFonts w:cs="Arial"/>
              </w:rPr>
            </w:pPr>
            <w:r w:rsidRPr="00F24972">
              <w:rPr>
                <w:rFonts w:cs="Arial"/>
              </w:rPr>
              <w:t>P</w:t>
            </w:r>
          </w:p>
        </w:tc>
        <w:tc>
          <w:tcPr>
            <w:tcW w:w="4123"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 xml:space="preserve">User enters additional workload associated with the individual reflex ordered ABID. The selected VBECS multiplier will multiple against the VistA multiplier and display the (multiplication) product on the report in </w:t>
            </w:r>
            <w:r>
              <w:rPr>
                <w:rFonts w:cs="Arial"/>
              </w:rPr>
              <w:t>Division Workload Report</w:t>
            </w:r>
            <w:r w:rsidRPr="00F24972">
              <w:rPr>
                <w:rFonts w:cs="Arial"/>
              </w:rPr>
              <w:t>.</w:t>
            </w:r>
          </w:p>
        </w:tc>
      </w:tr>
      <w:tr w:rsidR="000305DD" w:rsidRPr="00F24972">
        <w:tblPrEx>
          <w:tblCellMar>
            <w:top w:w="0" w:type="dxa"/>
            <w:bottom w:w="0" w:type="dxa"/>
          </w:tblCellMar>
        </w:tblPrEx>
        <w:trPr>
          <w:cantSplit/>
        </w:trPr>
        <w:tc>
          <w:tcPr>
            <w:tcW w:w="1733" w:type="dxa"/>
            <w:vMerge/>
            <w:tcBorders>
              <w:left w:val="single" w:sz="4" w:space="0" w:color="auto"/>
              <w:bottom w:val="single" w:sz="4" w:space="0" w:color="auto"/>
              <w:right w:val="single" w:sz="4" w:space="0" w:color="auto"/>
            </w:tcBorders>
          </w:tcPr>
          <w:p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Pr>
                <w:rFonts w:cs="Arial"/>
              </w:rPr>
              <w:t>Invalidate ABID Test</w:t>
            </w:r>
          </w:p>
        </w:tc>
        <w:tc>
          <w:tcPr>
            <w:tcW w:w="108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jc w:val="center"/>
              <w:rPr>
                <w:rFonts w:cs="Arial"/>
              </w:rPr>
            </w:pPr>
            <w:r w:rsidRPr="00F24972">
              <w:rPr>
                <w:rFonts w:cs="Arial"/>
              </w:rPr>
              <w:t>P</w:t>
            </w:r>
          </w:p>
        </w:tc>
        <w:tc>
          <w:tcPr>
            <w:tcW w:w="4123"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 xml:space="preserve">Accrue workload when the ABID is invalidated. </w:t>
            </w:r>
            <w:r w:rsidRPr="00F24972">
              <w:t xml:space="preserve">All workload processes associated in </w:t>
            </w:r>
            <w:r>
              <w:t>Enter Reflex Test Results</w:t>
            </w:r>
            <w:r w:rsidRPr="00F24972">
              <w:t>, including the selected VBECS multiplier, are invalidated</w:t>
            </w:r>
          </w:p>
        </w:tc>
      </w:tr>
      <w:tr w:rsidR="000305DD" w:rsidRPr="00F24972">
        <w:tblPrEx>
          <w:tblCellMar>
            <w:top w:w="0" w:type="dxa"/>
            <w:bottom w:w="0" w:type="dxa"/>
          </w:tblCellMar>
        </w:tblPrEx>
        <w:trPr>
          <w:cantSplit/>
        </w:trPr>
        <w:tc>
          <w:tcPr>
            <w:tcW w:w="1733" w:type="dxa"/>
            <w:vMerge w:val="restart"/>
            <w:tcBorders>
              <w:top w:val="single" w:sz="4" w:space="0" w:color="auto"/>
              <w:left w:val="single" w:sz="4" w:space="0" w:color="auto"/>
              <w:right w:val="single" w:sz="4" w:space="0" w:color="auto"/>
            </w:tcBorders>
          </w:tcPr>
          <w:p w:rsidR="000305DD" w:rsidRPr="00F24972" w:rsidRDefault="000305DD" w:rsidP="000305DD">
            <w:pPr>
              <w:pStyle w:val="TableText"/>
              <w:rPr>
                <w:rFonts w:cs="Arial"/>
              </w:rPr>
            </w:pPr>
            <w:r w:rsidRPr="00F24972">
              <w:rPr>
                <w:rFonts w:cs="Arial"/>
              </w:rPr>
              <w:t>Antibody Screen (patient)</w:t>
            </w:r>
          </w:p>
        </w:tc>
        <w:tc>
          <w:tcPr>
            <w:tcW w:w="1165"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Pr>
                <w:rFonts w:cs="Arial"/>
              </w:rPr>
              <w:t>Transfusion reaction workup</w:t>
            </w:r>
          </w:p>
        </w:tc>
        <w:tc>
          <w:tcPr>
            <w:tcW w:w="108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jc w:val="center"/>
              <w:rPr>
                <w:rFonts w:cs="Arial"/>
              </w:rPr>
            </w:pPr>
            <w:r w:rsidRPr="00F24972">
              <w:rPr>
                <w:rFonts w:cs="Arial"/>
              </w:rPr>
              <w:t>P</w:t>
            </w:r>
          </w:p>
        </w:tc>
        <w:tc>
          <w:tcPr>
            <w:tcW w:w="4123"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An ABS test for pre or post is enabled and a valid interpretation other than Not Tested is selected. A workload event is accrued separately for Pre and Post entries.</w:t>
            </w:r>
          </w:p>
        </w:tc>
      </w:tr>
      <w:tr w:rsidR="000305DD" w:rsidRPr="00F24972">
        <w:tblPrEx>
          <w:tblCellMar>
            <w:top w:w="0" w:type="dxa"/>
            <w:bottom w:w="0" w:type="dxa"/>
          </w:tblCellMar>
        </w:tblPrEx>
        <w:trPr>
          <w:cantSplit/>
        </w:trPr>
        <w:tc>
          <w:tcPr>
            <w:tcW w:w="1733" w:type="dxa"/>
            <w:vMerge/>
            <w:tcBorders>
              <w:left w:val="single" w:sz="4" w:space="0" w:color="auto"/>
              <w:right w:val="single" w:sz="4" w:space="0" w:color="auto"/>
            </w:tcBorders>
          </w:tcPr>
          <w:p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Pr>
                <w:rFonts w:cs="Arial"/>
              </w:rPr>
              <w:t>Patient Testing ABS test</w:t>
            </w:r>
          </w:p>
          <w:p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jc w:val="center"/>
              <w:rPr>
                <w:rFonts w:cs="Arial"/>
              </w:rPr>
            </w:pPr>
            <w:r w:rsidRPr="00F24972">
              <w:rPr>
                <w:rFonts w:cs="Arial"/>
              </w:rPr>
              <w:t>P</w:t>
            </w:r>
          </w:p>
        </w:tc>
        <w:tc>
          <w:tcPr>
            <w:tcW w:w="4123"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Accrue workload when an ordered ABS test performed from the CPRS ordered test ABS only (</w:t>
            </w:r>
            <w:r>
              <w:rPr>
                <w:rFonts w:cs="Arial"/>
              </w:rPr>
              <w:t>Record Patient Antibody Screen</w:t>
            </w:r>
            <w:r w:rsidRPr="00F24972">
              <w:rPr>
                <w:rFonts w:cs="Arial"/>
              </w:rPr>
              <w:t xml:space="preserve"> is completed and saved by </w:t>
            </w:r>
            <w:r>
              <w:rPr>
                <w:rFonts w:cs="Arial"/>
              </w:rPr>
              <w:t>Record Testing</w:t>
            </w:r>
            <w:r w:rsidRPr="00F24972">
              <w:rPr>
                <w:rFonts w:cs="Arial"/>
              </w:rPr>
              <w:t xml:space="preserve">. The workload accrues when the ABS is completed and saved via </w:t>
            </w:r>
            <w:r>
              <w:rPr>
                <w:rFonts w:cs="Arial"/>
              </w:rPr>
              <w:t>Record Testing</w:t>
            </w:r>
            <w:r w:rsidRPr="00F24972">
              <w:rPr>
                <w:rFonts w:cs="Arial"/>
              </w:rPr>
              <w:t xml:space="preserve"> no matter how many cells (rows) are required by the division configuration.</w:t>
            </w:r>
          </w:p>
        </w:tc>
      </w:tr>
      <w:tr w:rsidR="000305DD" w:rsidRPr="00F24972">
        <w:tblPrEx>
          <w:tblCellMar>
            <w:top w:w="0" w:type="dxa"/>
            <w:bottom w:w="0" w:type="dxa"/>
          </w:tblCellMar>
        </w:tblPrEx>
        <w:trPr>
          <w:cantSplit/>
        </w:trPr>
        <w:tc>
          <w:tcPr>
            <w:tcW w:w="1733" w:type="dxa"/>
            <w:vMerge/>
            <w:tcBorders>
              <w:left w:val="single" w:sz="4" w:space="0" w:color="auto"/>
              <w:bottom w:val="single" w:sz="4" w:space="0" w:color="auto"/>
              <w:right w:val="single" w:sz="4" w:space="0" w:color="auto"/>
            </w:tcBorders>
          </w:tcPr>
          <w:p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Pr>
                <w:rFonts w:cs="Arial"/>
              </w:rPr>
              <w:t>Invalidate Patient Testing ABS test</w:t>
            </w:r>
          </w:p>
        </w:tc>
        <w:tc>
          <w:tcPr>
            <w:tcW w:w="108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jc w:val="center"/>
              <w:rPr>
                <w:rFonts w:cs="Arial"/>
              </w:rPr>
            </w:pPr>
            <w:r w:rsidRPr="00F24972">
              <w:rPr>
                <w:rFonts w:cs="Arial"/>
              </w:rPr>
              <w:t>P</w:t>
            </w:r>
          </w:p>
        </w:tc>
        <w:tc>
          <w:tcPr>
            <w:tcW w:w="4123"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Accrue workload when a completed ABS test is invalidated.</w:t>
            </w:r>
          </w:p>
        </w:tc>
      </w:tr>
      <w:tr w:rsidR="000305DD" w:rsidRPr="00F24972">
        <w:tblPrEx>
          <w:tblCellMar>
            <w:top w:w="0" w:type="dxa"/>
            <w:bottom w:w="0" w:type="dxa"/>
          </w:tblCellMar>
        </w:tblPrEx>
        <w:trPr>
          <w:cantSplit/>
        </w:trPr>
        <w:tc>
          <w:tcPr>
            <w:tcW w:w="1733" w:type="dxa"/>
            <w:vMerge w:val="restart"/>
            <w:tcBorders>
              <w:top w:val="single" w:sz="4" w:space="0" w:color="auto"/>
              <w:left w:val="single" w:sz="4" w:space="0" w:color="auto"/>
              <w:right w:val="single" w:sz="4" w:space="0" w:color="auto"/>
            </w:tcBorders>
          </w:tcPr>
          <w:p w:rsidR="000305DD" w:rsidRPr="00F24972" w:rsidRDefault="000305DD" w:rsidP="000305DD">
            <w:pPr>
              <w:pStyle w:val="TableText"/>
              <w:rPr>
                <w:rFonts w:cs="Arial"/>
              </w:rPr>
            </w:pPr>
            <w:r w:rsidRPr="00F24972">
              <w:rPr>
                <w:rFonts w:cs="Arial"/>
              </w:rPr>
              <w:lastRenderedPageBreak/>
              <w:t>Antibody Screen (patient) Repeat Test</w:t>
            </w:r>
          </w:p>
        </w:tc>
        <w:tc>
          <w:tcPr>
            <w:tcW w:w="1165"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Pr>
                <w:rFonts w:cs="Arial"/>
              </w:rPr>
              <w:t>Patient Testing ABS test</w:t>
            </w:r>
          </w:p>
          <w:p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jc w:val="center"/>
              <w:rPr>
                <w:rFonts w:cs="Arial"/>
              </w:rPr>
            </w:pPr>
            <w:r w:rsidRPr="00F24972">
              <w:rPr>
                <w:rFonts w:cs="Arial"/>
              </w:rPr>
              <w:t>M</w:t>
            </w:r>
          </w:p>
        </w:tc>
        <w:tc>
          <w:tcPr>
            <w:tcW w:w="4123"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 xml:space="preserve">Accrue workload when a reflex or repeat ABS test is performed, completed and saved via </w:t>
            </w:r>
            <w:r>
              <w:rPr>
                <w:rFonts w:cs="Arial"/>
              </w:rPr>
              <w:t>Record Testing</w:t>
            </w:r>
            <w:r w:rsidRPr="00F24972">
              <w:rPr>
                <w:rFonts w:cs="Arial"/>
              </w:rPr>
              <w:t xml:space="preserve">. </w:t>
            </w:r>
          </w:p>
          <w:p w:rsidR="000305DD" w:rsidRPr="00F24972" w:rsidRDefault="000305DD" w:rsidP="000305DD">
            <w:pPr>
              <w:pStyle w:val="TableText"/>
              <w:rPr>
                <w:rFonts w:cs="Arial"/>
              </w:rPr>
            </w:pPr>
            <w:r w:rsidRPr="00F24972">
              <w:rPr>
                <w:rFonts w:cs="Arial"/>
              </w:rPr>
              <w:t xml:space="preserve">Note: ABS ordered in </w:t>
            </w:r>
            <w:r>
              <w:rPr>
                <w:rFonts w:cs="Arial"/>
              </w:rPr>
              <w:t>Order Reflex Test</w:t>
            </w:r>
            <w:r w:rsidRPr="00F24972">
              <w:rPr>
                <w:rFonts w:cs="Arial"/>
              </w:rPr>
              <w:t xml:space="preserve"> from main menu or via use of </w:t>
            </w:r>
            <w:r>
              <w:rPr>
                <w:rFonts w:cs="Arial"/>
              </w:rPr>
              <w:t>Order Reflex Test</w:t>
            </w:r>
            <w:r w:rsidRPr="00F24972">
              <w:rPr>
                <w:rFonts w:cs="Arial"/>
              </w:rPr>
              <w:t xml:space="preserve"> from </w:t>
            </w:r>
            <w:r>
              <w:rPr>
                <w:rFonts w:cs="Arial"/>
              </w:rPr>
              <w:t>Record Testing</w:t>
            </w:r>
            <w:r w:rsidRPr="00F24972">
              <w:rPr>
                <w:rFonts w:cs="Arial"/>
              </w:rPr>
              <w:t>.</w:t>
            </w:r>
          </w:p>
        </w:tc>
      </w:tr>
      <w:tr w:rsidR="000305DD" w:rsidRPr="00F24972">
        <w:tblPrEx>
          <w:tblCellMar>
            <w:top w:w="0" w:type="dxa"/>
            <w:bottom w:w="0" w:type="dxa"/>
          </w:tblCellMar>
        </w:tblPrEx>
        <w:trPr>
          <w:cantSplit/>
        </w:trPr>
        <w:tc>
          <w:tcPr>
            <w:tcW w:w="1733" w:type="dxa"/>
            <w:vMerge/>
            <w:tcBorders>
              <w:left w:val="single" w:sz="4" w:space="0" w:color="auto"/>
              <w:bottom w:val="single" w:sz="4" w:space="0" w:color="auto"/>
              <w:right w:val="single" w:sz="4" w:space="0" w:color="auto"/>
            </w:tcBorders>
          </w:tcPr>
          <w:p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Pr>
                <w:rFonts w:cs="Arial"/>
              </w:rPr>
              <w:t>Invalidate Patient Testing ABS test</w:t>
            </w:r>
          </w:p>
        </w:tc>
        <w:tc>
          <w:tcPr>
            <w:tcW w:w="108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rPr>
                <w:rFonts w:ascii="Arial" w:hAnsi="Arial" w:cs="Arial"/>
                <w:b/>
                <w:sz w:val="18"/>
                <w:szCs w:val="18"/>
              </w:rPr>
            </w:pPr>
            <w:r w:rsidRPr="00F24972">
              <w:rPr>
                <w:rFonts w:ascii="Arial" w:hAnsi="Arial" w:cs="Arial"/>
                <w:b/>
                <w:sz w:val="18"/>
                <w:szCs w:val="18"/>
              </w:rPr>
              <w:t>Negative</w:t>
            </w:r>
          </w:p>
        </w:tc>
        <w:tc>
          <w:tcPr>
            <w:tcW w:w="90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jc w:val="center"/>
              <w:rPr>
                <w:rFonts w:cs="Arial"/>
              </w:rPr>
            </w:pPr>
            <w:r w:rsidRPr="00F24972">
              <w:rPr>
                <w:rFonts w:cs="Arial"/>
              </w:rPr>
              <w:t>M</w:t>
            </w:r>
          </w:p>
        </w:tc>
        <w:tc>
          <w:tcPr>
            <w:tcW w:w="4123"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Accrue workload when a reflex or repeat ABS test is invalidated.</w:t>
            </w:r>
          </w:p>
        </w:tc>
      </w:tr>
      <w:tr w:rsidR="000305DD" w:rsidRPr="00F24972">
        <w:tblPrEx>
          <w:tblCellMar>
            <w:top w:w="0" w:type="dxa"/>
            <w:bottom w:w="0" w:type="dxa"/>
          </w:tblCellMar>
        </w:tblPrEx>
        <w:trPr>
          <w:cantSplit/>
        </w:trPr>
        <w:tc>
          <w:tcPr>
            <w:tcW w:w="1733"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Antigen phenotyping, Single Test phase (QC)</w:t>
            </w:r>
          </w:p>
        </w:tc>
        <w:tc>
          <w:tcPr>
            <w:tcW w:w="1165"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Pr>
                <w:rFonts w:cs="Arial"/>
              </w:rPr>
              <w:t>QC for unit or patient antigen typing</w:t>
            </w:r>
          </w:p>
          <w:p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jc w:val="center"/>
              <w:rPr>
                <w:rFonts w:cs="Arial"/>
              </w:rPr>
            </w:pPr>
            <w:r w:rsidRPr="00F24972">
              <w:rPr>
                <w:rFonts w:cs="Arial"/>
              </w:rPr>
              <w:t>M</w:t>
            </w:r>
          </w:p>
        </w:tc>
        <w:tc>
          <w:tcPr>
            <w:tcW w:w="4123" w:type="dxa"/>
            <w:tcBorders>
              <w:top w:val="single" w:sz="4" w:space="0" w:color="auto"/>
              <w:left w:val="single" w:sz="4" w:space="0" w:color="auto"/>
              <w:bottom w:val="single" w:sz="4" w:space="0" w:color="auto"/>
              <w:right w:val="single" w:sz="4" w:space="0" w:color="auto"/>
            </w:tcBorders>
            <w:vAlign w:val="bottom"/>
          </w:tcPr>
          <w:p w:rsidR="000305DD" w:rsidRPr="00F24972" w:rsidRDefault="000305DD" w:rsidP="000305DD">
            <w:pPr>
              <w:pStyle w:val="TableText"/>
              <w:rPr>
                <w:rFonts w:cs="Arial"/>
              </w:rPr>
            </w:pPr>
            <w:r w:rsidRPr="00F24972">
              <w:rPr>
                <w:rFonts w:cs="Arial"/>
              </w:rPr>
              <w:t xml:space="preserve">Accrue workload when Antiserum QC is included in </w:t>
            </w:r>
            <w:r>
              <w:rPr>
                <w:rFonts w:cs="Arial"/>
              </w:rPr>
              <w:t>Record Phenotype Results</w:t>
            </w:r>
            <w:r w:rsidRPr="00F24972">
              <w:rPr>
                <w:rFonts w:cs="Arial"/>
              </w:rPr>
              <w:t xml:space="preserve"> or </w:t>
            </w:r>
            <w:r>
              <w:rPr>
                <w:rFonts w:cs="Arial"/>
              </w:rPr>
              <w:t>Record Patient Antigen Types</w:t>
            </w:r>
            <w:r w:rsidRPr="00F24972">
              <w:rPr>
                <w:rFonts w:cs="Arial"/>
              </w:rPr>
              <w:t xml:space="preserve"> includes the testing of both the positive and negative control cells, per specificity by lot number, when only one phase of reactivity is chosen for the test grid, IS or AHG. One workload event is collected per completed tab for regular or repeat antigen tests.</w:t>
            </w:r>
          </w:p>
        </w:tc>
      </w:tr>
      <w:tr w:rsidR="000305DD" w:rsidRPr="00F24972">
        <w:tblPrEx>
          <w:tblCellMar>
            <w:top w:w="0" w:type="dxa"/>
            <w:bottom w:w="0" w:type="dxa"/>
          </w:tblCellMar>
        </w:tblPrEx>
        <w:trPr>
          <w:cantSplit/>
        </w:trPr>
        <w:tc>
          <w:tcPr>
            <w:tcW w:w="1733"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Antigen phenotyping, Multiple Test phases (QC)</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0305DD" w:rsidRPr="00F24972" w:rsidRDefault="000305DD" w:rsidP="000305DD">
            <w:pPr>
              <w:pStyle w:val="TableText"/>
              <w:rPr>
                <w:rFonts w:cs="Arial"/>
              </w:rPr>
            </w:pPr>
            <w:r>
              <w:rPr>
                <w:rFonts w:cs="Arial"/>
              </w:rPr>
              <w:t>QC for unit or patient antigen typing</w:t>
            </w:r>
          </w:p>
          <w:p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305DD" w:rsidRPr="00F24972" w:rsidRDefault="000305DD" w:rsidP="000305DD">
            <w:pPr>
              <w:pStyle w:val="TableText"/>
              <w:jc w:val="center"/>
              <w:rPr>
                <w:rFonts w:cs="Arial"/>
              </w:rPr>
            </w:pPr>
            <w:r w:rsidRPr="00F24972">
              <w:rPr>
                <w:rFonts w:cs="Arial"/>
              </w:rPr>
              <w:t>M</w:t>
            </w:r>
          </w:p>
        </w:tc>
        <w:tc>
          <w:tcPr>
            <w:tcW w:w="4123" w:type="dxa"/>
            <w:tcBorders>
              <w:top w:val="single" w:sz="4" w:space="0" w:color="auto"/>
              <w:left w:val="single" w:sz="4" w:space="0" w:color="auto"/>
              <w:bottom w:val="single" w:sz="4" w:space="0" w:color="auto"/>
              <w:right w:val="single" w:sz="4" w:space="0" w:color="auto"/>
            </w:tcBorders>
            <w:shd w:val="clear" w:color="auto" w:fill="auto"/>
            <w:vAlign w:val="bottom"/>
          </w:tcPr>
          <w:p w:rsidR="000305DD" w:rsidRPr="00F24972" w:rsidRDefault="000305DD" w:rsidP="000305DD">
            <w:pPr>
              <w:pStyle w:val="TableText"/>
              <w:rPr>
                <w:rFonts w:cs="Arial"/>
              </w:rPr>
            </w:pPr>
            <w:r w:rsidRPr="00F24972">
              <w:rPr>
                <w:rFonts w:cs="Arial"/>
              </w:rPr>
              <w:t xml:space="preserve">Accrue workload when Antiserum QC is included in </w:t>
            </w:r>
            <w:r>
              <w:rPr>
                <w:rFonts w:cs="Arial"/>
              </w:rPr>
              <w:t>Record Phenotype Results</w:t>
            </w:r>
            <w:r w:rsidRPr="00F24972">
              <w:rPr>
                <w:rFonts w:cs="Arial"/>
              </w:rPr>
              <w:t xml:space="preserve"> or </w:t>
            </w:r>
            <w:r>
              <w:rPr>
                <w:rFonts w:cs="Arial"/>
              </w:rPr>
              <w:t>Record Patient Antigen Types</w:t>
            </w:r>
            <w:r w:rsidRPr="00F24972">
              <w:rPr>
                <w:rFonts w:cs="Arial"/>
              </w:rPr>
              <w:t xml:space="preserve"> includes the testing of both the positive and negative control cells, per specificity by lot number, when only multiple phases of reactivity is chosen for the test grid, IS/RT, RT/37 or weak D. One workload event is collected per completed tab for regular or repeat antigen tests.</w:t>
            </w:r>
          </w:p>
          <w:p w:rsidR="000305DD" w:rsidRPr="00F24972" w:rsidRDefault="000305DD" w:rsidP="000305DD">
            <w:pPr>
              <w:pStyle w:val="TableText"/>
              <w:rPr>
                <w:rFonts w:cs="Arial"/>
              </w:rPr>
            </w:pPr>
            <w:r w:rsidRPr="00F24972">
              <w:rPr>
                <w:rFonts w:cs="Arial"/>
              </w:rPr>
              <w:t>When weak D is the selected test, QC may not be accrued for the rack selection.</w:t>
            </w:r>
            <w:r>
              <w:rPr>
                <w:rFonts w:cs="Arial"/>
              </w:rPr>
              <w:t xml:space="preserve"> </w:t>
            </w:r>
            <w:r w:rsidRPr="00F24972">
              <w:rPr>
                <w:rFonts w:cs="Arial"/>
              </w:rPr>
              <w:t>QC is accrued when positive and negative cells must be tested for the lot number.</w:t>
            </w:r>
          </w:p>
        </w:tc>
      </w:tr>
      <w:tr w:rsidR="000305DD" w:rsidRPr="00F24972">
        <w:tblPrEx>
          <w:tblCellMar>
            <w:top w:w="0" w:type="dxa"/>
            <w:bottom w:w="0" w:type="dxa"/>
          </w:tblCellMar>
        </w:tblPrEx>
        <w:trPr>
          <w:cantSplit/>
        </w:trPr>
        <w:tc>
          <w:tcPr>
            <w:tcW w:w="1733"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Cancel Order</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0305DD" w:rsidRPr="00F24972" w:rsidRDefault="000305DD" w:rsidP="000305DD">
            <w:pPr>
              <w:pStyle w:val="TableText"/>
              <w:rPr>
                <w:rFonts w:cs="Arial"/>
              </w:rPr>
            </w:pPr>
            <w:r>
              <w:rPr>
                <w:rFonts w:cs="Arial"/>
                <w:snapToGrid w:val="0"/>
              </w:rPr>
              <w:t>Accept Order, Reject Order</w:t>
            </w:r>
            <w:r w:rsidRPr="00F24972">
              <w:rPr>
                <w:rFonts w:cs="Arial"/>
                <w:snapToGrid w:val="0"/>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305DD" w:rsidRPr="00F24972" w:rsidRDefault="000305DD" w:rsidP="000305DD">
            <w:pPr>
              <w:pStyle w:val="TableText"/>
              <w:jc w:val="center"/>
              <w:rPr>
                <w:rFonts w:cs="Arial"/>
              </w:rPr>
            </w:pPr>
            <w:r w:rsidRPr="00F24972">
              <w:rPr>
                <w:rFonts w:cs="Arial"/>
              </w:rPr>
              <w:t>M</w:t>
            </w:r>
          </w:p>
        </w:tc>
        <w:tc>
          <w:tcPr>
            <w:tcW w:w="4123" w:type="dxa"/>
            <w:tcBorders>
              <w:top w:val="single" w:sz="4" w:space="0" w:color="auto"/>
              <w:left w:val="single" w:sz="4" w:space="0" w:color="auto"/>
              <w:bottom w:val="single" w:sz="4" w:space="0" w:color="auto"/>
              <w:right w:val="single" w:sz="4" w:space="0" w:color="auto"/>
            </w:tcBorders>
            <w:shd w:val="clear" w:color="auto" w:fill="auto"/>
          </w:tcPr>
          <w:p w:rsidR="000305DD" w:rsidRPr="00F24972" w:rsidRDefault="000305DD" w:rsidP="000305DD">
            <w:pPr>
              <w:pStyle w:val="TableText"/>
              <w:rPr>
                <w:rFonts w:cs="Arial"/>
              </w:rPr>
            </w:pPr>
            <w:r w:rsidRPr="00F24972">
              <w:rPr>
                <w:rFonts w:cs="Arial"/>
              </w:rPr>
              <w:t>Accrue workload when an order on the pending order list is canceled. When a multiple orders are canceled, each order accrues workload.</w:t>
            </w:r>
          </w:p>
        </w:tc>
      </w:tr>
      <w:tr w:rsidR="000305DD" w:rsidRPr="00F24972">
        <w:tblPrEx>
          <w:tblCellMar>
            <w:top w:w="0" w:type="dxa"/>
            <w:bottom w:w="0" w:type="dxa"/>
          </w:tblCellMar>
        </w:tblPrEx>
        <w:trPr>
          <w:cantSplit/>
        </w:trPr>
        <w:tc>
          <w:tcPr>
            <w:tcW w:w="1733"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Cancel Order</w:t>
            </w:r>
          </w:p>
        </w:tc>
        <w:tc>
          <w:tcPr>
            <w:tcW w:w="1165"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Pr>
                <w:rFonts w:cs="Arial"/>
                <w:snapToGrid w:val="0"/>
              </w:rPr>
              <w:t>Patient Testing List, Cancel order</w:t>
            </w:r>
            <w:r w:rsidRPr="00F24972">
              <w:rPr>
                <w:rFonts w:cs="Arial"/>
                <w:snapToGrid w:val="0"/>
              </w:rPr>
              <w:t xml:space="preserve"> </w:t>
            </w:r>
          </w:p>
        </w:tc>
        <w:tc>
          <w:tcPr>
            <w:tcW w:w="108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jc w:val="center"/>
              <w:rPr>
                <w:rFonts w:cs="Arial"/>
              </w:rPr>
            </w:pPr>
            <w:r w:rsidRPr="00F24972">
              <w:rPr>
                <w:rFonts w:cs="Arial"/>
              </w:rPr>
              <w:t>M</w:t>
            </w:r>
          </w:p>
        </w:tc>
        <w:tc>
          <w:tcPr>
            <w:tcW w:w="4123"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Accrue workload when an order on the pending task list is canceled. When a multiple orders are canceled, each order accrues workload.</w:t>
            </w:r>
          </w:p>
        </w:tc>
      </w:tr>
      <w:tr w:rsidR="000305DD" w:rsidRPr="00F24972">
        <w:tblPrEx>
          <w:tblCellMar>
            <w:top w:w="0" w:type="dxa"/>
            <w:bottom w:w="0" w:type="dxa"/>
          </w:tblCellMar>
        </w:tblPrEx>
        <w:trPr>
          <w:cantSplit/>
        </w:trPr>
        <w:tc>
          <w:tcPr>
            <w:tcW w:w="1733" w:type="dxa"/>
          </w:tcPr>
          <w:p w:rsidR="000305DD" w:rsidRPr="00F24972" w:rsidRDefault="000305DD" w:rsidP="000305DD">
            <w:pPr>
              <w:pStyle w:val="TableText"/>
              <w:rPr>
                <w:rFonts w:cs="Arial"/>
              </w:rPr>
            </w:pPr>
            <w:r w:rsidRPr="00F24972">
              <w:rPr>
                <w:rFonts w:cs="Arial"/>
              </w:rPr>
              <w:t>Crossmatch unit, electronic</w:t>
            </w:r>
          </w:p>
          <w:p w:rsidR="000305DD" w:rsidRPr="00F24972" w:rsidRDefault="000305DD" w:rsidP="000305DD">
            <w:pPr>
              <w:pStyle w:val="TableText"/>
              <w:rPr>
                <w:rFonts w:cs="Arial"/>
              </w:rPr>
            </w:pPr>
          </w:p>
        </w:tc>
        <w:tc>
          <w:tcPr>
            <w:tcW w:w="1165" w:type="dxa"/>
          </w:tcPr>
          <w:p w:rsidR="000305DD" w:rsidRPr="00F24972" w:rsidRDefault="000305DD" w:rsidP="000305DD">
            <w:pPr>
              <w:pStyle w:val="TableText"/>
              <w:rPr>
                <w:rFonts w:cs="Arial"/>
              </w:rPr>
            </w:pPr>
            <w:r>
              <w:rPr>
                <w:rFonts w:cs="Arial"/>
              </w:rPr>
              <w:t>Select Unit</w:t>
            </w:r>
          </w:p>
          <w:p w:rsidR="000305DD" w:rsidRPr="00F24972" w:rsidRDefault="000305DD" w:rsidP="000305DD">
            <w:pPr>
              <w:pStyle w:val="TableText"/>
              <w:rPr>
                <w:rFonts w:cs="Arial"/>
              </w:rPr>
            </w:pPr>
          </w:p>
        </w:tc>
        <w:tc>
          <w:tcPr>
            <w:tcW w:w="1080" w:type="dxa"/>
          </w:tcPr>
          <w:p w:rsidR="000305DD" w:rsidRPr="00F24972" w:rsidRDefault="000305DD" w:rsidP="000305DD">
            <w:pPr>
              <w:pStyle w:val="TableText"/>
              <w:rPr>
                <w:rFonts w:cs="Arial"/>
              </w:rPr>
            </w:pPr>
            <w:r w:rsidRPr="00F24972">
              <w:rPr>
                <w:rFonts w:cs="Arial"/>
              </w:rPr>
              <w:t>Positive</w:t>
            </w:r>
          </w:p>
        </w:tc>
        <w:tc>
          <w:tcPr>
            <w:tcW w:w="900" w:type="dxa"/>
          </w:tcPr>
          <w:p w:rsidR="000305DD" w:rsidRPr="00F24972" w:rsidRDefault="000305DD" w:rsidP="000305DD">
            <w:pPr>
              <w:pStyle w:val="TableText"/>
              <w:jc w:val="center"/>
              <w:rPr>
                <w:rFonts w:cs="Arial"/>
              </w:rPr>
            </w:pPr>
            <w:r w:rsidRPr="00F24972">
              <w:rPr>
                <w:rFonts w:cs="Arial"/>
              </w:rPr>
              <w:t>P</w:t>
            </w:r>
          </w:p>
        </w:tc>
        <w:tc>
          <w:tcPr>
            <w:tcW w:w="4123" w:type="dxa"/>
          </w:tcPr>
          <w:p w:rsidR="000305DD" w:rsidRPr="00F24972" w:rsidRDefault="000305DD" w:rsidP="000305DD">
            <w:pPr>
              <w:pStyle w:val="TableText"/>
              <w:rPr>
                <w:rFonts w:cs="Arial"/>
              </w:rPr>
            </w:pPr>
            <w:r w:rsidRPr="00F24972">
              <w:rPr>
                <w:rFonts w:cs="Arial"/>
              </w:rPr>
              <w:t>This process is invoked when an individual unit is selected for patient assignment and the unit is electronically crossmatched. When a multiple units are selected, each unit accrues workload.</w:t>
            </w:r>
          </w:p>
        </w:tc>
      </w:tr>
      <w:tr w:rsidR="000305DD" w:rsidRPr="00F24972" w:rsidTr="005F65D6">
        <w:tblPrEx>
          <w:tblCellMar>
            <w:top w:w="0" w:type="dxa"/>
            <w:bottom w:w="0" w:type="dxa"/>
          </w:tblCellMar>
        </w:tblPrEx>
        <w:trPr>
          <w:cantSplit/>
        </w:trPr>
        <w:tc>
          <w:tcPr>
            <w:tcW w:w="1733" w:type="dxa"/>
            <w:vMerge w:val="restart"/>
            <w:shd w:val="clear" w:color="auto" w:fill="auto"/>
          </w:tcPr>
          <w:p w:rsidR="000305DD" w:rsidRPr="00F24972" w:rsidRDefault="000305DD" w:rsidP="000305DD">
            <w:pPr>
              <w:pStyle w:val="TableText"/>
              <w:rPr>
                <w:rFonts w:cs="Arial"/>
              </w:rPr>
            </w:pPr>
            <w:r w:rsidRPr="00F24972">
              <w:rPr>
                <w:rFonts w:cs="Arial"/>
              </w:rPr>
              <w:t>Crossmatch unit, serologic immediate spin</w:t>
            </w:r>
          </w:p>
        </w:tc>
        <w:tc>
          <w:tcPr>
            <w:tcW w:w="1165" w:type="dxa"/>
            <w:tcBorders>
              <w:top w:val="single" w:sz="4" w:space="0" w:color="auto"/>
              <w:bottom w:val="single" w:sz="4" w:space="0" w:color="auto"/>
              <w:right w:val="single" w:sz="4" w:space="0" w:color="auto"/>
            </w:tcBorders>
          </w:tcPr>
          <w:p w:rsidR="000305DD" w:rsidRPr="00F24972" w:rsidRDefault="000305DD" w:rsidP="000305DD">
            <w:pPr>
              <w:pStyle w:val="TableText"/>
              <w:rPr>
                <w:rFonts w:cs="Arial"/>
              </w:rPr>
            </w:pPr>
            <w:r>
              <w:rPr>
                <w:rFonts w:cs="Arial"/>
              </w:rPr>
              <w:t>Patient Testing, serologic crossmatch</w:t>
            </w:r>
          </w:p>
        </w:tc>
        <w:tc>
          <w:tcPr>
            <w:tcW w:w="108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jc w:val="center"/>
              <w:rPr>
                <w:rFonts w:cs="Arial"/>
              </w:rPr>
            </w:pPr>
            <w:r w:rsidRPr="00F24972">
              <w:rPr>
                <w:rFonts w:cs="Arial"/>
              </w:rPr>
              <w:t>P</w:t>
            </w:r>
          </w:p>
        </w:tc>
        <w:tc>
          <w:tcPr>
            <w:tcW w:w="4123"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 xml:space="preserve">Accrue workload when an individual unit (row) crossmatch, selected to include only the IS phase, is completed and is saved by </w:t>
            </w:r>
            <w:r>
              <w:rPr>
                <w:rFonts w:cs="Arial"/>
              </w:rPr>
              <w:t>Record Testing</w:t>
            </w:r>
            <w:r w:rsidRPr="00F24972">
              <w:rPr>
                <w:rFonts w:cs="Arial"/>
              </w:rPr>
              <w:t>. When a multiple units are selected, each unit (row) accrues workload.</w:t>
            </w:r>
          </w:p>
        </w:tc>
      </w:tr>
      <w:tr w:rsidR="000305DD" w:rsidRPr="00F24972">
        <w:tblPrEx>
          <w:tblCellMar>
            <w:top w:w="0" w:type="dxa"/>
            <w:bottom w:w="0" w:type="dxa"/>
          </w:tblCellMar>
        </w:tblPrEx>
        <w:trPr>
          <w:cantSplit/>
        </w:trPr>
        <w:tc>
          <w:tcPr>
            <w:tcW w:w="1733" w:type="dxa"/>
            <w:vMerge/>
            <w:tcBorders>
              <w:bottom w:val="single" w:sz="4" w:space="0" w:color="auto"/>
            </w:tcBorders>
            <w:shd w:val="clear" w:color="auto" w:fill="auto"/>
          </w:tcPr>
          <w:p w:rsidR="000305DD" w:rsidRPr="00F24972" w:rsidRDefault="000305DD" w:rsidP="000305DD">
            <w:pPr>
              <w:pStyle w:val="TableText"/>
              <w:rPr>
                <w:rFonts w:cs="Arial"/>
              </w:rPr>
            </w:pPr>
          </w:p>
        </w:tc>
        <w:tc>
          <w:tcPr>
            <w:tcW w:w="1165" w:type="dxa"/>
            <w:tcBorders>
              <w:top w:val="single" w:sz="4" w:space="0" w:color="auto"/>
              <w:bottom w:val="single" w:sz="4" w:space="0" w:color="auto"/>
              <w:right w:val="single" w:sz="4" w:space="0" w:color="auto"/>
            </w:tcBorders>
          </w:tcPr>
          <w:p w:rsidR="000305DD" w:rsidRPr="00F24972" w:rsidRDefault="000305DD" w:rsidP="000305DD">
            <w:pPr>
              <w:pStyle w:val="TableText"/>
              <w:rPr>
                <w:rFonts w:cs="Arial"/>
              </w:rPr>
            </w:pPr>
            <w:r>
              <w:rPr>
                <w:rFonts w:cs="Arial"/>
              </w:rPr>
              <w:t>Invalidate Patient Testing, serologic crossmatch</w:t>
            </w:r>
          </w:p>
        </w:tc>
        <w:tc>
          <w:tcPr>
            <w:tcW w:w="108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jc w:val="center"/>
              <w:rPr>
                <w:rFonts w:cs="Arial"/>
              </w:rPr>
            </w:pPr>
            <w:r w:rsidRPr="00F24972">
              <w:rPr>
                <w:rFonts w:cs="Arial"/>
              </w:rPr>
              <w:t>P</w:t>
            </w:r>
          </w:p>
        </w:tc>
        <w:tc>
          <w:tcPr>
            <w:tcW w:w="4123"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Accrue workload when a completed crossmatch test is invalidated. The workload originally saved with the test, serologic immediate spin.</w:t>
            </w:r>
          </w:p>
        </w:tc>
      </w:tr>
      <w:tr w:rsidR="000305DD" w:rsidRPr="00F24972">
        <w:tblPrEx>
          <w:tblCellMar>
            <w:top w:w="0" w:type="dxa"/>
            <w:bottom w:w="0" w:type="dxa"/>
          </w:tblCellMar>
        </w:tblPrEx>
        <w:trPr>
          <w:cantSplit/>
        </w:trPr>
        <w:tc>
          <w:tcPr>
            <w:tcW w:w="1733" w:type="dxa"/>
            <w:vMerge w:val="restart"/>
          </w:tcPr>
          <w:p w:rsidR="000305DD" w:rsidRPr="00F24972" w:rsidRDefault="000305DD" w:rsidP="000305DD">
            <w:pPr>
              <w:pStyle w:val="TableText"/>
              <w:rPr>
                <w:rFonts w:cs="Arial"/>
              </w:rPr>
            </w:pPr>
            <w:r w:rsidRPr="00F24972">
              <w:rPr>
                <w:rFonts w:cs="Arial"/>
              </w:rPr>
              <w:t>Crossmatch unit, serological Coombs</w:t>
            </w:r>
          </w:p>
          <w:p w:rsidR="000305DD" w:rsidRPr="00F24972" w:rsidRDefault="000305DD" w:rsidP="000305DD">
            <w:pPr>
              <w:pStyle w:val="TableText"/>
              <w:rPr>
                <w:rFonts w:cs="Arial"/>
              </w:rPr>
            </w:pPr>
          </w:p>
        </w:tc>
        <w:tc>
          <w:tcPr>
            <w:tcW w:w="1165" w:type="dxa"/>
          </w:tcPr>
          <w:p w:rsidR="000305DD" w:rsidRPr="00F24972" w:rsidRDefault="000305DD" w:rsidP="000305DD">
            <w:pPr>
              <w:pStyle w:val="TableText"/>
              <w:rPr>
                <w:rFonts w:cs="Arial"/>
              </w:rPr>
            </w:pPr>
            <w:r>
              <w:rPr>
                <w:rFonts w:cs="Arial"/>
              </w:rPr>
              <w:t>Transfusion Reaction Workup, serologic crossmatch</w:t>
            </w:r>
          </w:p>
        </w:tc>
        <w:tc>
          <w:tcPr>
            <w:tcW w:w="1080" w:type="dxa"/>
          </w:tcPr>
          <w:p w:rsidR="000305DD" w:rsidRPr="00F24972" w:rsidRDefault="000305DD" w:rsidP="000305DD">
            <w:pPr>
              <w:pStyle w:val="TableText"/>
              <w:rPr>
                <w:rFonts w:cs="Arial"/>
              </w:rPr>
            </w:pPr>
            <w:r w:rsidRPr="00F24972">
              <w:rPr>
                <w:rFonts w:cs="Arial"/>
              </w:rPr>
              <w:t>Positive</w:t>
            </w:r>
          </w:p>
        </w:tc>
        <w:tc>
          <w:tcPr>
            <w:tcW w:w="900" w:type="dxa"/>
          </w:tcPr>
          <w:p w:rsidR="000305DD" w:rsidRPr="00F24972" w:rsidRDefault="000305DD" w:rsidP="000305DD">
            <w:pPr>
              <w:pStyle w:val="TableText"/>
              <w:jc w:val="center"/>
              <w:rPr>
                <w:rFonts w:cs="Arial"/>
              </w:rPr>
            </w:pPr>
            <w:r w:rsidRPr="00F24972">
              <w:rPr>
                <w:rFonts w:cs="Arial"/>
              </w:rPr>
              <w:t>P</w:t>
            </w:r>
          </w:p>
        </w:tc>
        <w:tc>
          <w:tcPr>
            <w:tcW w:w="4123" w:type="dxa"/>
          </w:tcPr>
          <w:p w:rsidR="000305DD" w:rsidRPr="00F24972" w:rsidRDefault="000305DD" w:rsidP="000305DD">
            <w:pPr>
              <w:pStyle w:val="TableText"/>
              <w:rPr>
                <w:rFonts w:cs="Arial"/>
              </w:rPr>
            </w:pPr>
            <w:r w:rsidRPr="00F24972">
              <w:rPr>
                <w:rFonts w:cs="Arial"/>
              </w:rPr>
              <w:t>A crossmatch test for pre or post is enabled and a valid interpretation other than Not Tested is selected. A workload event is accrued separately for Pre and Post entries.</w:t>
            </w:r>
          </w:p>
          <w:p w:rsidR="000305DD" w:rsidRPr="00F24972" w:rsidRDefault="000305DD" w:rsidP="000305DD">
            <w:pPr>
              <w:pStyle w:val="TableText"/>
              <w:rPr>
                <w:rFonts w:cs="Arial"/>
              </w:rPr>
            </w:pPr>
            <w:r w:rsidRPr="00F24972">
              <w:rPr>
                <w:rFonts w:cs="Arial"/>
              </w:rPr>
              <w:t>When a multiple units are selected, each unit accrues workload.</w:t>
            </w:r>
          </w:p>
        </w:tc>
      </w:tr>
      <w:tr w:rsidR="000305DD" w:rsidRPr="00F24972">
        <w:tblPrEx>
          <w:tblCellMar>
            <w:top w:w="0" w:type="dxa"/>
            <w:bottom w:w="0" w:type="dxa"/>
          </w:tblCellMar>
        </w:tblPrEx>
        <w:trPr>
          <w:cantSplit/>
        </w:trPr>
        <w:tc>
          <w:tcPr>
            <w:tcW w:w="1733" w:type="dxa"/>
            <w:vMerge/>
          </w:tcPr>
          <w:p w:rsidR="000305DD" w:rsidRPr="00F24972" w:rsidRDefault="000305DD" w:rsidP="000305DD">
            <w:pPr>
              <w:pStyle w:val="TableText"/>
              <w:rPr>
                <w:rFonts w:cs="Arial"/>
              </w:rPr>
            </w:pPr>
          </w:p>
        </w:tc>
        <w:tc>
          <w:tcPr>
            <w:tcW w:w="1165" w:type="dxa"/>
            <w:tcBorders>
              <w:top w:val="single" w:sz="4" w:space="0" w:color="auto"/>
              <w:bottom w:val="single" w:sz="4" w:space="0" w:color="auto"/>
              <w:right w:val="single" w:sz="4" w:space="0" w:color="auto"/>
            </w:tcBorders>
          </w:tcPr>
          <w:p w:rsidR="000305DD" w:rsidRPr="00F24972" w:rsidRDefault="000305DD" w:rsidP="000305DD">
            <w:pPr>
              <w:pStyle w:val="TableText"/>
              <w:rPr>
                <w:rFonts w:cs="Arial"/>
              </w:rPr>
            </w:pPr>
            <w:r>
              <w:rPr>
                <w:rFonts w:cs="Arial"/>
              </w:rPr>
              <w:t>Patient Testing, serologic crossmatch</w:t>
            </w:r>
          </w:p>
        </w:tc>
        <w:tc>
          <w:tcPr>
            <w:tcW w:w="108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jc w:val="center"/>
              <w:rPr>
                <w:rFonts w:cs="Arial"/>
              </w:rPr>
            </w:pPr>
            <w:r w:rsidRPr="00F24972">
              <w:rPr>
                <w:rFonts w:cs="Arial"/>
              </w:rPr>
              <w:t>P</w:t>
            </w:r>
          </w:p>
        </w:tc>
        <w:tc>
          <w:tcPr>
            <w:tcW w:w="4123"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 xml:space="preserve">Accrue workload when an individual unit (row) crossmatch, selected to include all phases or only AHG phase, is completed and is saved by </w:t>
            </w:r>
            <w:r>
              <w:rPr>
                <w:rFonts w:cs="Arial"/>
              </w:rPr>
              <w:t>Record Testing</w:t>
            </w:r>
            <w:r w:rsidRPr="00F24972">
              <w:rPr>
                <w:rFonts w:cs="Arial"/>
              </w:rPr>
              <w:t>. When a multiple units are selected, each unit (row) accrues workload.</w:t>
            </w:r>
          </w:p>
        </w:tc>
      </w:tr>
      <w:tr w:rsidR="000305DD" w:rsidRPr="00F24972">
        <w:tblPrEx>
          <w:tblCellMar>
            <w:top w:w="0" w:type="dxa"/>
            <w:bottom w:w="0" w:type="dxa"/>
          </w:tblCellMar>
        </w:tblPrEx>
        <w:trPr>
          <w:cantSplit/>
        </w:trPr>
        <w:tc>
          <w:tcPr>
            <w:tcW w:w="1733" w:type="dxa"/>
            <w:vMerge/>
            <w:tcBorders>
              <w:bottom w:val="single" w:sz="4" w:space="0" w:color="auto"/>
            </w:tcBorders>
          </w:tcPr>
          <w:p w:rsidR="000305DD" w:rsidRPr="00F24972" w:rsidRDefault="000305DD" w:rsidP="000305DD">
            <w:pPr>
              <w:pStyle w:val="TableText"/>
              <w:rPr>
                <w:rFonts w:cs="Arial"/>
              </w:rPr>
            </w:pPr>
          </w:p>
        </w:tc>
        <w:tc>
          <w:tcPr>
            <w:tcW w:w="1165" w:type="dxa"/>
            <w:tcBorders>
              <w:top w:val="single" w:sz="4" w:space="0" w:color="auto"/>
              <w:bottom w:val="single" w:sz="4" w:space="0" w:color="auto"/>
              <w:right w:val="single" w:sz="4" w:space="0" w:color="auto"/>
            </w:tcBorders>
          </w:tcPr>
          <w:p w:rsidR="000305DD" w:rsidRDefault="000305DD" w:rsidP="000305DD">
            <w:pPr>
              <w:pStyle w:val="TableText"/>
              <w:rPr>
                <w:rFonts w:cs="Arial"/>
              </w:rPr>
            </w:pPr>
            <w:r>
              <w:rPr>
                <w:rFonts w:cs="Arial"/>
              </w:rPr>
              <w:t>Invalidate</w:t>
            </w:r>
          </w:p>
          <w:p w:rsidR="000305DD" w:rsidRPr="00F24972" w:rsidRDefault="000305DD" w:rsidP="000305DD">
            <w:pPr>
              <w:pStyle w:val="TableText"/>
              <w:rPr>
                <w:rFonts w:cs="Arial"/>
              </w:rPr>
            </w:pPr>
            <w:r>
              <w:rPr>
                <w:rFonts w:cs="Arial"/>
              </w:rPr>
              <w:t>Patient Testing, serologic crossmatch</w:t>
            </w:r>
          </w:p>
        </w:tc>
        <w:tc>
          <w:tcPr>
            <w:tcW w:w="108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jc w:val="center"/>
              <w:rPr>
                <w:rFonts w:cs="Arial"/>
              </w:rPr>
            </w:pPr>
            <w:r w:rsidRPr="00F24972">
              <w:rPr>
                <w:rFonts w:cs="Arial"/>
              </w:rPr>
              <w:t>P</w:t>
            </w:r>
          </w:p>
        </w:tc>
        <w:tc>
          <w:tcPr>
            <w:tcW w:w="4123"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Accrue workload when a completed crossmatch test is invalidated. The workload originally saved with the test, serological Coombs.</w:t>
            </w:r>
          </w:p>
        </w:tc>
      </w:tr>
      <w:tr w:rsidR="000305DD" w:rsidRPr="00F24972">
        <w:tblPrEx>
          <w:tblCellMar>
            <w:top w:w="0" w:type="dxa"/>
            <w:bottom w:w="0" w:type="dxa"/>
          </w:tblCellMar>
        </w:tblPrEx>
        <w:trPr>
          <w:cantSplit/>
        </w:trPr>
        <w:tc>
          <w:tcPr>
            <w:tcW w:w="1733" w:type="dxa"/>
            <w:vMerge w:val="restart"/>
          </w:tcPr>
          <w:p w:rsidR="000305DD" w:rsidRPr="00F24972" w:rsidRDefault="000305DD" w:rsidP="000305DD">
            <w:pPr>
              <w:pStyle w:val="TableText"/>
              <w:rPr>
                <w:rFonts w:cs="Arial"/>
              </w:rPr>
            </w:pPr>
            <w:r w:rsidRPr="00F24972">
              <w:rPr>
                <w:rFonts w:cs="Arial"/>
              </w:rPr>
              <w:t>Crossmatch, Repeat Test</w:t>
            </w:r>
          </w:p>
          <w:p w:rsidR="000305DD" w:rsidRPr="00F24972" w:rsidRDefault="000305DD" w:rsidP="000305DD">
            <w:pPr>
              <w:pStyle w:val="TableText"/>
              <w:rPr>
                <w:rFonts w:cs="Arial"/>
              </w:rPr>
            </w:pPr>
          </w:p>
        </w:tc>
        <w:tc>
          <w:tcPr>
            <w:tcW w:w="1165" w:type="dxa"/>
          </w:tcPr>
          <w:p w:rsidR="000305DD" w:rsidRPr="00F24972" w:rsidRDefault="000305DD" w:rsidP="000305DD">
            <w:pPr>
              <w:pStyle w:val="TableText"/>
              <w:rPr>
                <w:rFonts w:cs="Arial"/>
              </w:rPr>
            </w:pPr>
            <w:r>
              <w:rPr>
                <w:rFonts w:cs="Arial"/>
              </w:rPr>
              <w:t>Patient Testing, serologic crossmatch</w:t>
            </w:r>
          </w:p>
        </w:tc>
        <w:tc>
          <w:tcPr>
            <w:tcW w:w="1080" w:type="dxa"/>
          </w:tcPr>
          <w:p w:rsidR="000305DD" w:rsidRPr="00F24972" w:rsidRDefault="000305DD" w:rsidP="000305DD">
            <w:pPr>
              <w:pStyle w:val="TableText"/>
              <w:rPr>
                <w:rFonts w:cs="Arial"/>
              </w:rPr>
            </w:pPr>
            <w:r w:rsidRPr="00F24972">
              <w:rPr>
                <w:rFonts w:cs="Arial"/>
              </w:rPr>
              <w:t>Positive</w:t>
            </w:r>
          </w:p>
        </w:tc>
        <w:tc>
          <w:tcPr>
            <w:tcW w:w="900" w:type="dxa"/>
          </w:tcPr>
          <w:p w:rsidR="000305DD" w:rsidRPr="00F24972" w:rsidRDefault="000305DD" w:rsidP="000305DD">
            <w:pPr>
              <w:pStyle w:val="TableText"/>
              <w:jc w:val="center"/>
              <w:rPr>
                <w:rFonts w:cs="Arial"/>
              </w:rPr>
            </w:pPr>
            <w:r w:rsidRPr="00F24972">
              <w:rPr>
                <w:rFonts w:cs="Arial"/>
              </w:rPr>
              <w:t>M</w:t>
            </w:r>
          </w:p>
        </w:tc>
        <w:tc>
          <w:tcPr>
            <w:tcW w:w="4123" w:type="dxa"/>
          </w:tcPr>
          <w:p w:rsidR="000305DD" w:rsidRPr="00F24972" w:rsidRDefault="000305DD" w:rsidP="000305DD">
            <w:pPr>
              <w:pStyle w:val="TableText"/>
              <w:rPr>
                <w:rFonts w:cs="Arial"/>
              </w:rPr>
            </w:pPr>
            <w:r w:rsidRPr="00F24972">
              <w:rPr>
                <w:rFonts w:cs="Arial"/>
              </w:rPr>
              <w:t xml:space="preserve">Accrue workload when an individual unit (row) crossmatch, selected to include all phases or IS or only AHG phase, is completed and is saved by </w:t>
            </w:r>
            <w:r>
              <w:rPr>
                <w:rFonts w:cs="Arial"/>
              </w:rPr>
              <w:t>Record Testing</w:t>
            </w:r>
            <w:r w:rsidRPr="00F24972">
              <w:rPr>
                <w:rFonts w:cs="Arial"/>
              </w:rPr>
              <w:t>. When a multiple units are selected, each unit (row) accrues workload.</w:t>
            </w:r>
          </w:p>
          <w:p w:rsidR="000305DD" w:rsidRPr="00F24972" w:rsidRDefault="000305DD" w:rsidP="000305DD">
            <w:pPr>
              <w:pStyle w:val="TableText"/>
              <w:rPr>
                <w:rFonts w:cs="Arial"/>
              </w:rPr>
            </w:pPr>
            <w:r w:rsidRPr="00F24972">
              <w:rPr>
                <w:rFonts w:cs="Arial"/>
              </w:rPr>
              <w:t xml:space="preserve">Note: ordered via </w:t>
            </w:r>
            <w:r>
              <w:rPr>
                <w:rFonts w:cs="Arial"/>
              </w:rPr>
              <w:t>Order Reflex Test</w:t>
            </w:r>
            <w:r w:rsidRPr="00F24972">
              <w:rPr>
                <w:rFonts w:cs="Arial"/>
              </w:rPr>
              <w:t xml:space="preserve"> from main menu or the use of </w:t>
            </w:r>
            <w:r>
              <w:rPr>
                <w:rFonts w:cs="Arial"/>
              </w:rPr>
              <w:t>Order Reflex Test</w:t>
            </w:r>
            <w:r w:rsidRPr="00F24972">
              <w:rPr>
                <w:rFonts w:cs="Arial"/>
              </w:rPr>
              <w:t xml:space="preserve"> by </w:t>
            </w:r>
            <w:r>
              <w:rPr>
                <w:rFonts w:cs="Arial"/>
              </w:rPr>
              <w:t>Record Testing</w:t>
            </w:r>
            <w:r w:rsidRPr="00F24972">
              <w:rPr>
                <w:rFonts w:cs="Arial"/>
              </w:rPr>
              <w:t>.</w:t>
            </w:r>
          </w:p>
        </w:tc>
      </w:tr>
      <w:tr w:rsidR="000305DD" w:rsidRPr="00F24972">
        <w:tblPrEx>
          <w:tblCellMar>
            <w:top w:w="0" w:type="dxa"/>
            <w:bottom w:w="0" w:type="dxa"/>
          </w:tblCellMar>
        </w:tblPrEx>
        <w:trPr>
          <w:cantSplit/>
        </w:trPr>
        <w:tc>
          <w:tcPr>
            <w:tcW w:w="1733" w:type="dxa"/>
            <w:vMerge/>
            <w:tcBorders>
              <w:bottom w:val="single" w:sz="4" w:space="0" w:color="auto"/>
            </w:tcBorders>
          </w:tcPr>
          <w:p w:rsidR="000305DD" w:rsidRPr="00F24972" w:rsidRDefault="000305DD" w:rsidP="000305DD">
            <w:pPr>
              <w:pStyle w:val="TableText"/>
              <w:rPr>
                <w:rFonts w:cs="Arial"/>
              </w:rPr>
            </w:pPr>
          </w:p>
        </w:tc>
        <w:tc>
          <w:tcPr>
            <w:tcW w:w="1165" w:type="dxa"/>
            <w:tcBorders>
              <w:top w:val="single" w:sz="4" w:space="0" w:color="auto"/>
              <w:bottom w:val="single" w:sz="4" w:space="0" w:color="auto"/>
              <w:right w:val="single" w:sz="4" w:space="0" w:color="auto"/>
            </w:tcBorders>
          </w:tcPr>
          <w:p w:rsidR="000305DD" w:rsidRPr="00027B0B" w:rsidRDefault="000305DD" w:rsidP="000305DD">
            <w:pPr>
              <w:pStyle w:val="TableText"/>
              <w:rPr>
                <w:rFonts w:cs="Arial"/>
                <w:sz w:val="16"/>
                <w:szCs w:val="16"/>
              </w:rPr>
            </w:pPr>
            <w:r w:rsidRPr="00027B0B">
              <w:rPr>
                <w:rFonts w:cs="Arial"/>
                <w:sz w:val="16"/>
                <w:szCs w:val="16"/>
              </w:rPr>
              <w:t>Invalidate</w:t>
            </w:r>
          </w:p>
          <w:p w:rsidR="000305DD" w:rsidRPr="00F24972" w:rsidRDefault="000305DD" w:rsidP="000305DD">
            <w:pPr>
              <w:rPr>
                <w:rFonts w:ascii="Arial" w:hAnsi="Arial" w:cs="Arial"/>
                <w:sz w:val="18"/>
                <w:szCs w:val="18"/>
              </w:rPr>
            </w:pPr>
            <w:r w:rsidRPr="00027B0B">
              <w:rPr>
                <w:rFonts w:ascii="Arial" w:hAnsi="Arial" w:cs="Arial"/>
                <w:sz w:val="16"/>
                <w:szCs w:val="16"/>
              </w:rPr>
              <w:t>Patient Testing, serologic crossmatch</w:t>
            </w:r>
          </w:p>
        </w:tc>
        <w:tc>
          <w:tcPr>
            <w:tcW w:w="108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rPr>
                <w:rFonts w:ascii="Arial" w:hAnsi="Arial" w:cs="Arial"/>
                <w:b/>
                <w:sz w:val="18"/>
                <w:szCs w:val="18"/>
              </w:rPr>
            </w:pPr>
            <w:r w:rsidRPr="00F24972">
              <w:rPr>
                <w:rFonts w:ascii="Arial" w:hAnsi="Arial" w:cs="Arial"/>
                <w:b/>
                <w:sz w:val="18"/>
                <w:szCs w:val="18"/>
              </w:rPr>
              <w:t>Negative</w:t>
            </w:r>
          </w:p>
        </w:tc>
        <w:tc>
          <w:tcPr>
            <w:tcW w:w="90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jc w:val="center"/>
              <w:rPr>
                <w:rFonts w:cs="Arial"/>
              </w:rPr>
            </w:pPr>
            <w:r w:rsidRPr="00F24972">
              <w:rPr>
                <w:rFonts w:cs="Arial"/>
              </w:rPr>
              <w:t>M</w:t>
            </w:r>
          </w:p>
        </w:tc>
        <w:tc>
          <w:tcPr>
            <w:tcW w:w="4123"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Accrue workload when an individual unit crossmatch is invalidated.</w:t>
            </w:r>
          </w:p>
        </w:tc>
      </w:tr>
      <w:tr w:rsidR="000305DD" w:rsidRPr="00F24972">
        <w:tblPrEx>
          <w:tblCellMar>
            <w:top w:w="0" w:type="dxa"/>
            <w:bottom w:w="0" w:type="dxa"/>
          </w:tblCellMar>
        </w:tblPrEx>
        <w:trPr>
          <w:cantSplit/>
        </w:trPr>
        <w:tc>
          <w:tcPr>
            <w:tcW w:w="1733" w:type="dxa"/>
            <w:tcBorders>
              <w:top w:val="single" w:sz="4" w:space="0" w:color="auto"/>
              <w:left w:val="single" w:sz="4" w:space="0" w:color="auto"/>
              <w:bottom w:val="single" w:sz="4" w:space="0" w:color="auto"/>
              <w:right w:val="single" w:sz="4" w:space="0" w:color="auto"/>
            </w:tcBorders>
            <w:vAlign w:val="bottom"/>
          </w:tcPr>
          <w:p w:rsidR="000305DD" w:rsidRPr="00F24972" w:rsidRDefault="000305DD" w:rsidP="000305DD">
            <w:pPr>
              <w:pStyle w:val="TableText"/>
              <w:rPr>
                <w:rFonts w:cs="Arial"/>
              </w:rPr>
            </w:pPr>
            <w:r w:rsidRPr="00F24972">
              <w:rPr>
                <w:rFonts w:cs="Arial"/>
              </w:rPr>
              <w:t>Daily Rack Quality Control (QC)</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0305DD" w:rsidRPr="00F24972" w:rsidRDefault="000305DD" w:rsidP="000305DD">
            <w:pPr>
              <w:pStyle w:val="TableText"/>
              <w:rPr>
                <w:rFonts w:cs="Arial"/>
              </w:rPr>
            </w:pPr>
            <w:r>
              <w:rPr>
                <w:rFonts w:cs="Arial"/>
              </w:rPr>
              <w:t>Enter Daily Reagent Rack QC</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305DD" w:rsidRPr="00F24972" w:rsidRDefault="000305DD" w:rsidP="000305DD">
            <w:pPr>
              <w:pStyle w:val="TableText"/>
              <w:jc w:val="center"/>
              <w:rPr>
                <w:rFonts w:cs="Arial"/>
              </w:rPr>
            </w:pPr>
            <w:r w:rsidRPr="00F24972">
              <w:rPr>
                <w:rFonts w:cs="Arial"/>
              </w:rPr>
              <w:t>M</w:t>
            </w:r>
          </w:p>
        </w:tc>
        <w:tc>
          <w:tcPr>
            <w:tcW w:w="4123" w:type="dxa"/>
            <w:tcBorders>
              <w:top w:val="single" w:sz="4" w:space="0" w:color="auto"/>
              <w:left w:val="single" w:sz="4" w:space="0" w:color="auto"/>
              <w:bottom w:val="single" w:sz="4" w:space="0" w:color="auto"/>
              <w:right w:val="single" w:sz="4" w:space="0" w:color="auto"/>
            </w:tcBorders>
            <w:shd w:val="clear" w:color="auto" w:fill="auto"/>
            <w:vAlign w:val="bottom"/>
          </w:tcPr>
          <w:p w:rsidR="000305DD" w:rsidRPr="00F24972" w:rsidRDefault="000305DD" w:rsidP="000305DD">
            <w:pPr>
              <w:pStyle w:val="TableText"/>
              <w:rPr>
                <w:rFonts w:cs="Arial"/>
              </w:rPr>
            </w:pPr>
            <w:r w:rsidRPr="00F24972">
              <w:rPr>
                <w:rFonts w:cs="Arial"/>
              </w:rPr>
              <w:t>Accrue workload when Daily QC rack completed for one individual rack includes all rows in configured QC. When multiple racks are tested, each completed and saved tab accrues a workload event.</w:t>
            </w:r>
          </w:p>
        </w:tc>
      </w:tr>
      <w:tr w:rsidR="000305DD" w:rsidRPr="00F24972">
        <w:tblPrEx>
          <w:tblCellMar>
            <w:top w:w="0" w:type="dxa"/>
            <w:bottom w:w="0" w:type="dxa"/>
          </w:tblCellMar>
        </w:tblPrEx>
        <w:trPr>
          <w:cantSplit/>
        </w:trPr>
        <w:tc>
          <w:tcPr>
            <w:tcW w:w="1733"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DAT (QC)</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0305DD" w:rsidRPr="00F24972" w:rsidRDefault="000305DD" w:rsidP="000305DD">
            <w:pPr>
              <w:pStyle w:val="TableText"/>
              <w:rPr>
                <w:rFonts w:cs="Arial"/>
              </w:rPr>
            </w:pPr>
            <w:r>
              <w:rPr>
                <w:rFonts w:cs="Arial"/>
              </w:rPr>
              <w:t>Enter Daily Reagent Rack QC or  DAT QC</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305DD" w:rsidRPr="00F24972" w:rsidRDefault="000305DD" w:rsidP="000305DD">
            <w:pPr>
              <w:pStyle w:val="TableText"/>
              <w:jc w:val="center"/>
              <w:rPr>
                <w:rFonts w:cs="Arial"/>
              </w:rPr>
            </w:pPr>
            <w:r w:rsidRPr="00F24972">
              <w:rPr>
                <w:rFonts w:cs="Arial"/>
              </w:rPr>
              <w:t>M</w:t>
            </w:r>
          </w:p>
        </w:tc>
        <w:tc>
          <w:tcPr>
            <w:tcW w:w="4123" w:type="dxa"/>
            <w:tcBorders>
              <w:top w:val="single" w:sz="4" w:space="0" w:color="auto"/>
              <w:left w:val="single" w:sz="4" w:space="0" w:color="auto"/>
              <w:bottom w:val="single" w:sz="4" w:space="0" w:color="auto"/>
              <w:right w:val="single" w:sz="4" w:space="0" w:color="auto"/>
            </w:tcBorders>
            <w:shd w:val="clear" w:color="auto" w:fill="auto"/>
            <w:vAlign w:val="bottom"/>
          </w:tcPr>
          <w:p w:rsidR="000305DD" w:rsidRPr="00F24972" w:rsidRDefault="000305DD" w:rsidP="000305DD">
            <w:pPr>
              <w:pStyle w:val="TableText"/>
              <w:rPr>
                <w:rFonts w:cs="Arial"/>
              </w:rPr>
            </w:pPr>
            <w:r w:rsidRPr="00F24972">
              <w:rPr>
                <w:rFonts w:cs="Arial"/>
              </w:rPr>
              <w:t xml:space="preserve">Accrue workload when Reagent QC completed or in </w:t>
            </w:r>
            <w:r>
              <w:rPr>
                <w:rFonts w:cs="Arial"/>
              </w:rPr>
              <w:t>Record Patient Direct Antiglobulin Test</w:t>
            </w:r>
            <w:r w:rsidRPr="00F24972">
              <w:rPr>
                <w:rFonts w:cs="Arial"/>
              </w:rPr>
              <w:t xml:space="preserve"> includes the testing of both the positive and negative control cells, per specificity per lot number, when only one phase of reactivity is chosen for the test grid, IS or AHG. One workload event is collected per completed tab for regular or repeat antiglobulin tests (PS, IgG, Comp) tests.</w:t>
            </w:r>
          </w:p>
        </w:tc>
      </w:tr>
      <w:tr w:rsidR="000305DD" w:rsidRPr="00F24972">
        <w:tblPrEx>
          <w:tblCellMar>
            <w:top w:w="0" w:type="dxa"/>
            <w:bottom w:w="0" w:type="dxa"/>
          </w:tblCellMar>
        </w:tblPrEx>
        <w:trPr>
          <w:cantSplit/>
        </w:trPr>
        <w:tc>
          <w:tcPr>
            <w:tcW w:w="1733" w:type="dxa"/>
            <w:vMerge w:val="restart"/>
            <w:tcBorders>
              <w:top w:val="single" w:sz="4" w:space="0" w:color="auto"/>
              <w:left w:val="single" w:sz="4" w:space="0" w:color="auto"/>
              <w:right w:val="single" w:sz="4" w:space="0" w:color="auto"/>
            </w:tcBorders>
          </w:tcPr>
          <w:p w:rsidR="000305DD" w:rsidRPr="00F24972" w:rsidRDefault="000305DD" w:rsidP="000305DD">
            <w:pPr>
              <w:pStyle w:val="TableText"/>
              <w:rPr>
                <w:rFonts w:cs="Arial"/>
              </w:rPr>
            </w:pPr>
            <w:r w:rsidRPr="00F24972">
              <w:rPr>
                <w:rFonts w:cs="Arial"/>
              </w:rPr>
              <w:lastRenderedPageBreak/>
              <w:t>Direct Antiglobulin Test (DAT)</w:t>
            </w:r>
          </w:p>
          <w:p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0305DD" w:rsidRPr="00F24972" w:rsidRDefault="000305DD" w:rsidP="000305DD">
            <w:pPr>
              <w:pStyle w:val="TableText"/>
              <w:rPr>
                <w:rFonts w:cs="Arial"/>
              </w:rPr>
            </w:pPr>
            <w:r>
              <w:rPr>
                <w:rFonts w:cs="Arial"/>
              </w:rPr>
              <w:t>Transfusion Reaction Workup, DAT test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305DD" w:rsidRPr="00F24972" w:rsidRDefault="000305DD" w:rsidP="000305DD">
            <w:pPr>
              <w:pStyle w:val="TableText"/>
              <w:jc w:val="center"/>
              <w:rPr>
                <w:rFonts w:cs="Arial"/>
              </w:rPr>
            </w:pPr>
            <w:r w:rsidRPr="00F24972">
              <w:rPr>
                <w:rFonts w:cs="Arial"/>
              </w:rPr>
              <w:t>P</w:t>
            </w:r>
          </w:p>
        </w:tc>
        <w:tc>
          <w:tcPr>
            <w:tcW w:w="4123" w:type="dxa"/>
            <w:tcBorders>
              <w:top w:val="single" w:sz="4" w:space="0" w:color="auto"/>
              <w:left w:val="single" w:sz="4" w:space="0" w:color="auto"/>
              <w:bottom w:val="single" w:sz="4" w:space="0" w:color="auto"/>
              <w:right w:val="single" w:sz="4" w:space="0" w:color="auto"/>
            </w:tcBorders>
            <w:shd w:val="clear" w:color="auto" w:fill="auto"/>
          </w:tcPr>
          <w:p w:rsidR="000305DD" w:rsidRPr="00F24972" w:rsidRDefault="000305DD" w:rsidP="000305DD">
            <w:pPr>
              <w:pStyle w:val="TableText"/>
              <w:rPr>
                <w:rFonts w:cs="Arial"/>
              </w:rPr>
            </w:pPr>
            <w:r w:rsidRPr="00F24972">
              <w:rPr>
                <w:rFonts w:cs="Arial"/>
              </w:rPr>
              <w:t>A DAT test for pre or post is enabled and a valid interpretation other than Not Tested is selected. A workload event is accrued separately for Pre and Post entries.</w:t>
            </w:r>
          </w:p>
        </w:tc>
      </w:tr>
      <w:tr w:rsidR="000305DD" w:rsidRPr="00F24972">
        <w:tblPrEx>
          <w:tblCellMar>
            <w:top w:w="0" w:type="dxa"/>
            <w:bottom w:w="0" w:type="dxa"/>
          </w:tblCellMar>
        </w:tblPrEx>
        <w:trPr>
          <w:cantSplit/>
        </w:trPr>
        <w:tc>
          <w:tcPr>
            <w:tcW w:w="1733" w:type="dxa"/>
            <w:vMerge/>
            <w:tcBorders>
              <w:left w:val="single" w:sz="4" w:space="0" w:color="auto"/>
              <w:right w:val="single" w:sz="4" w:space="0" w:color="auto"/>
            </w:tcBorders>
          </w:tcPr>
          <w:p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Pr>
                <w:rFonts w:cs="Arial"/>
              </w:rPr>
              <w:t>Patient Testing, DAT</w:t>
            </w:r>
          </w:p>
        </w:tc>
        <w:tc>
          <w:tcPr>
            <w:tcW w:w="108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jc w:val="center"/>
              <w:rPr>
                <w:rFonts w:cs="Arial"/>
              </w:rPr>
            </w:pPr>
            <w:r w:rsidRPr="00F24972">
              <w:rPr>
                <w:rFonts w:cs="Arial"/>
              </w:rPr>
              <w:t>P</w:t>
            </w:r>
          </w:p>
        </w:tc>
        <w:tc>
          <w:tcPr>
            <w:tcW w:w="4123"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Accrue workload when a DAT completed and saved (</w:t>
            </w:r>
            <w:r>
              <w:rPr>
                <w:rFonts w:cs="Arial"/>
              </w:rPr>
              <w:t>Record Patient Direct Antiglobulin Test</w:t>
            </w:r>
            <w:r w:rsidRPr="00F24972">
              <w:rPr>
                <w:rFonts w:cs="Arial"/>
              </w:rPr>
              <w:t xml:space="preserve"> is saved by </w:t>
            </w:r>
            <w:r>
              <w:rPr>
                <w:rFonts w:cs="Arial"/>
              </w:rPr>
              <w:t>Record Testing</w:t>
            </w:r>
            <w:r w:rsidRPr="00F24972">
              <w:rPr>
                <w:rFonts w:cs="Arial"/>
              </w:rPr>
              <w:t xml:space="preserve"> as part of a TAS configuration or individual test ordered. This count is used for all antiglobulin tests (PS, IgG, Comp) when ordered from CPRS or Reflex testing.</w:t>
            </w:r>
          </w:p>
        </w:tc>
      </w:tr>
      <w:tr w:rsidR="000305DD" w:rsidRPr="00F24972">
        <w:tblPrEx>
          <w:tblCellMar>
            <w:top w:w="0" w:type="dxa"/>
            <w:bottom w:w="0" w:type="dxa"/>
          </w:tblCellMar>
        </w:tblPrEx>
        <w:trPr>
          <w:cantSplit/>
        </w:trPr>
        <w:tc>
          <w:tcPr>
            <w:tcW w:w="1733" w:type="dxa"/>
            <w:vMerge/>
            <w:tcBorders>
              <w:left w:val="single" w:sz="4" w:space="0" w:color="auto"/>
              <w:bottom w:val="single" w:sz="4" w:space="0" w:color="auto"/>
              <w:right w:val="single" w:sz="4" w:space="0" w:color="auto"/>
            </w:tcBorders>
          </w:tcPr>
          <w:p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Pr>
                <w:rFonts w:cs="Arial"/>
              </w:rPr>
              <w:t>Invalidate Patient Testing, DAT</w:t>
            </w:r>
          </w:p>
        </w:tc>
        <w:tc>
          <w:tcPr>
            <w:tcW w:w="108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jc w:val="center"/>
              <w:rPr>
                <w:rFonts w:cs="Arial"/>
              </w:rPr>
            </w:pPr>
            <w:r w:rsidRPr="00F24972">
              <w:rPr>
                <w:rFonts w:cs="Arial"/>
              </w:rPr>
              <w:t>P</w:t>
            </w:r>
          </w:p>
        </w:tc>
        <w:tc>
          <w:tcPr>
            <w:tcW w:w="4123"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 xml:space="preserve">Accrue workload when a completed DAT, PS, IgG, or Comp is invalidated. </w:t>
            </w:r>
          </w:p>
        </w:tc>
      </w:tr>
      <w:tr w:rsidR="000305DD" w:rsidRPr="00F24972">
        <w:tblPrEx>
          <w:tblCellMar>
            <w:top w:w="0" w:type="dxa"/>
            <w:bottom w:w="0" w:type="dxa"/>
          </w:tblCellMar>
        </w:tblPrEx>
        <w:trPr>
          <w:cantSplit/>
        </w:trPr>
        <w:tc>
          <w:tcPr>
            <w:tcW w:w="1733" w:type="dxa"/>
            <w:vMerge w:val="restart"/>
            <w:tcBorders>
              <w:top w:val="single" w:sz="4" w:space="0" w:color="auto"/>
              <w:left w:val="single" w:sz="4" w:space="0" w:color="auto"/>
              <w:right w:val="single" w:sz="4" w:space="0" w:color="auto"/>
            </w:tcBorders>
          </w:tcPr>
          <w:p w:rsidR="000305DD" w:rsidRPr="00F24972" w:rsidRDefault="000305DD" w:rsidP="000305DD">
            <w:pPr>
              <w:pStyle w:val="TableText"/>
              <w:rPr>
                <w:rFonts w:cs="Arial"/>
              </w:rPr>
            </w:pPr>
            <w:r w:rsidRPr="00F24972">
              <w:rPr>
                <w:rFonts w:cs="Arial"/>
              </w:rPr>
              <w:t>Direct Antiglobulin Test (DAT) Repeat test</w:t>
            </w:r>
          </w:p>
        </w:tc>
        <w:tc>
          <w:tcPr>
            <w:tcW w:w="1165"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Pr>
                <w:rFonts w:cs="Arial"/>
              </w:rPr>
              <w:t>Patient Testing, DAT</w:t>
            </w:r>
          </w:p>
        </w:tc>
        <w:tc>
          <w:tcPr>
            <w:tcW w:w="108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jc w:val="center"/>
              <w:rPr>
                <w:rFonts w:cs="Arial"/>
              </w:rPr>
            </w:pPr>
            <w:r w:rsidRPr="00F24972">
              <w:rPr>
                <w:rFonts w:cs="Arial"/>
              </w:rPr>
              <w:t>M</w:t>
            </w:r>
          </w:p>
        </w:tc>
        <w:tc>
          <w:tcPr>
            <w:tcW w:w="4123"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 xml:space="preserve">Accrue workload when a reflex or repeat DAT test is performed, completed and saved via </w:t>
            </w:r>
            <w:r>
              <w:rPr>
                <w:rFonts w:cs="Arial"/>
              </w:rPr>
              <w:t>Record Testing</w:t>
            </w:r>
            <w:r w:rsidRPr="00F24972">
              <w:rPr>
                <w:rFonts w:cs="Arial"/>
              </w:rPr>
              <w:t>. This applies to</w:t>
            </w:r>
            <w:r>
              <w:rPr>
                <w:rFonts w:cs="Arial"/>
              </w:rPr>
              <w:t xml:space="preserve"> </w:t>
            </w:r>
            <w:r w:rsidRPr="00F24972">
              <w:rPr>
                <w:rFonts w:cs="Arial"/>
              </w:rPr>
              <w:t>all repeat antiglobulin tests (PS, IgG, Comp)</w:t>
            </w:r>
          </w:p>
          <w:p w:rsidR="000305DD" w:rsidRPr="00F24972" w:rsidRDefault="000305DD" w:rsidP="000305DD">
            <w:pPr>
              <w:pStyle w:val="TableText"/>
              <w:rPr>
                <w:rFonts w:cs="Arial"/>
              </w:rPr>
            </w:pPr>
            <w:r w:rsidRPr="00F24972">
              <w:rPr>
                <w:rFonts w:cs="Arial"/>
              </w:rPr>
              <w:t xml:space="preserve">Note: Any DAT ordered in </w:t>
            </w:r>
            <w:r>
              <w:rPr>
                <w:rFonts w:cs="Arial"/>
              </w:rPr>
              <w:t>Order Reflex Test</w:t>
            </w:r>
            <w:r w:rsidRPr="00F24972">
              <w:rPr>
                <w:rFonts w:cs="Arial"/>
              </w:rPr>
              <w:t xml:space="preserve"> from main menu or via use of </w:t>
            </w:r>
            <w:r>
              <w:rPr>
                <w:rFonts w:cs="Arial"/>
              </w:rPr>
              <w:t>Order Reflex Test</w:t>
            </w:r>
            <w:r w:rsidRPr="00F24972">
              <w:rPr>
                <w:rFonts w:cs="Arial"/>
              </w:rPr>
              <w:t xml:space="preserve"> from </w:t>
            </w:r>
            <w:r>
              <w:rPr>
                <w:rFonts w:cs="Arial"/>
              </w:rPr>
              <w:t>Record Testing</w:t>
            </w:r>
            <w:r w:rsidRPr="00F24972">
              <w:rPr>
                <w:rFonts w:cs="Arial"/>
              </w:rPr>
              <w:t>.</w:t>
            </w:r>
          </w:p>
        </w:tc>
      </w:tr>
      <w:tr w:rsidR="000305DD" w:rsidRPr="00F24972">
        <w:tblPrEx>
          <w:tblCellMar>
            <w:top w:w="0" w:type="dxa"/>
            <w:bottom w:w="0" w:type="dxa"/>
          </w:tblCellMar>
        </w:tblPrEx>
        <w:trPr>
          <w:cantSplit/>
        </w:trPr>
        <w:tc>
          <w:tcPr>
            <w:tcW w:w="1733" w:type="dxa"/>
            <w:vMerge/>
            <w:tcBorders>
              <w:left w:val="single" w:sz="4" w:space="0" w:color="auto"/>
              <w:bottom w:val="single" w:sz="4" w:space="0" w:color="auto"/>
              <w:right w:val="single" w:sz="4" w:space="0" w:color="auto"/>
            </w:tcBorders>
          </w:tcPr>
          <w:p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Pr>
                <w:rFonts w:cs="Arial"/>
              </w:rPr>
              <w:t>Invalidate Patient Testing, DAT</w:t>
            </w:r>
          </w:p>
        </w:tc>
        <w:tc>
          <w:tcPr>
            <w:tcW w:w="108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jc w:val="center"/>
              <w:rPr>
                <w:rFonts w:cs="Arial"/>
              </w:rPr>
            </w:pPr>
            <w:r w:rsidRPr="00F24972">
              <w:rPr>
                <w:rFonts w:cs="Arial"/>
              </w:rPr>
              <w:t>M</w:t>
            </w:r>
          </w:p>
        </w:tc>
        <w:tc>
          <w:tcPr>
            <w:tcW w:w="4123"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Accrue workload when a completed Repeat DAT, PS, IgG, or Comp is invalidated.</w:t>
            </w:r>
          </w:p>
        </w:tc>
      </w:tr>
      <w:tr w:rsidR="000305DD" w:rsidRPr="00F24972">
        <w:tblPrEx>
          <w:tblCellMar>
            <w:top w:w="0" w:type="dxa"/>
            <w:bottom w:w="0" w:type="dxa"/>
          </w:tblCellMar>
        </w:tblPrEx>
        <w:trPr>
          <w:cantSplit/>
        </w:trPr>
        <w:tc>
          <w:tcPr>
            <w:tcW w:w="1733" w:type="dxa"/>
            <w:vMerge w:val="restart"/>
            <w:tcBorders>
              <w:top w:val="single" w:sz="4" w:space="0" w:color="auto"/>
              <w:left w:val="single" w:sz="4" w:space="0" w:color="auto"/>
              <w:right w:val="single" w:sz="4" w:space="0" w:color="auto"/>
            </w:tcBorders>
          </w:tcPr>
          <w:p w:rsidR="000305DD" w:rsidRPr="00F24972" w:rsidRDefault="000305DD" w:rsidP="000305DD">
            <w:pPr>
              <w:pStyle w:val="TableText"/>
              <w:rPr>
                <w:rFonts w:cs="Arial"/>
              </w:rPr>
            </w:pPr>
            <w:r w:rsidRPr="00F24972">
              <w:rPr>
                <w:rFonts w:cs="Arial"/>
              </w:rPr>
              <w:t>Deglycerolize unit</w:t>
            </w:r>
          </w:p>
        </w:tc>
        <w:tc>
          <w:tcPr>
            <w:tcW w:w="1165"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Pr>
                <w:rFonts w:cs="Arial"/>
              </w:rPr>
              <w:t>Modify Unit, Deglycerolize</w:t>
            </w:r>
          </w:p>
        </w:tc>
        <w:tc>
          <w:tcPr>
            <w:tcW w:w="108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Accrue workload when an individual blood unit is processed by the modification type: Deglycerolize.</w:t>
            </w:r>
          </w:p>
          <w:p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tblPrEx>
          <w:tblCellMar>
            <w:top w:w="0" w:type="dxa"/>
            <w:bottom w:w="0" w:type="dxa"/>
          </w:tblCellMar>
        </w:tblPrEx>
        <w:trPr>
          <w:cantSplit/>
        </w:trPr>
        <w:tc>
          <w:tcPr>
            <w:tcW w:w="1733" w:type="dxa"/>
            <w:vMerge/>
            <w:tcBorders>
              <w:left w:val="single" w:sz="4" w:space="0" w:color="auto"/>
              <w:right w:val="single" w:sz="4" w:space="0" w:color="auto"/>
            </w:tcBorders>
          </w:tcPr>
          <w:p w:rsidR="000305DD" w:rsidRPr="00F24972" w:rsidRDefault="000305DD" w:rsidP="000305DD">
            <w:pPr>
              <w:pStyle w:val="TableText"/>
              <w:rPr>
                <w:rFonts w:cs="Arial"/>
              </w:rPr>
            </w:pPr>
          </w:p>
        </w:tc>
        <w:tc>
          <w:tcPr>
            <w:tcW w:w="1165" w:type="dxa"/>
            <w:tcBorders>
              <w:left w:val="single" w:sz="4" w:space="0" w:color="auto"/>
            </w:tcBorders>
          </w:tcPr>
          <w:p w:rsidR="000305DD" w:rsidRPr="00F24972" w:rsidRDefault="000305DD" w:rsidP="000305DD">
            <w:pPr>
              <w:pStyle w:val="TableText"/>
              <w:rPr>
                <w:rFonts w:cs="Arial"/>
              </w:rPr>
            </w:pPr>
            <w:r>
              <w:rPr>
                <w:rFonts w:cs="Arial"/>
              </w:rPr>
              <w:t>Invalidate Unit Status, Deglycerolize</w:t>
            </w:r>
          </w:p>
        </w:tc>
        <w:tc>
          <w:tcPr>
            <w:tcW w:w="1080" w:type="dxa"/>
          </w:tcPr>
          <w:p w:rsidR="000305DD" w:rsidRPr="00F24972" w:rsidRDefault="000305DD" w:rsidP="000305DD">
            <w:pPr>
              <w:pStyle w:val="TableText"/>
              <w:rPr>
                <w:rFonts w:cs="Arial"/>
                <w:b/>
              </w:rPr>
            </w:pPr>
            <w:r w:rsidRPr="00F24972">
              <w:rPr>
                <w:rFonts w:cs="Arial"/>
                <w:b/>
              </w:rPr>
              <w:t>Negative</w:t>
            </w:r>
          </w:p>
        </w:tc>
        <w:tc>
          <w:tcPr>
            <w:tcW w:w="900" w:type="dxa"/>
          </w:tcPr>
          <w:p w:rsidR="000305DD" w:rsidRPr="00F24972" w:rsidRDefault="000305DD" w:rsidP="000305DD">
            <w:pPr>
              <w:pStyle w:val="TableText"/>
              <w:jc w:val="center"/>
              <w:rPr>
                <w:rFonts w:cs="Arial"/>
              </w:rPr>
            </w:pPr>
            <w:r w:rsidRPr="00F24972">
              <w:rPr>
                <w:rFonts w:cs="Arial"/>
              </w:rPr>
              <w:t>U</w:t>
            </w:r>
          </w:p>
        </w:tc>
        <w:tc>
          <w:tcPr>
            <w:tcW w:w="4123" w:type="dxa"/>
          </w:tcPr>
          <w:p w:rsidR="000305DD" w:rsidRPr="00F24972" w:rsidRDefault="000305DD" w:rsidP="000305DD">
            <w:pPr>
              <w:pStyle w:val="TableText"/>
              <w:rPr>
                <w:rFonts w:cs="Arial"/>
              </w:rPr>
            </w:pPr>
            <w:r w:rsidRPr="00F24972">
              <w:rPr>
                <w:rFonts w:cs="Arial"/>
              </w:rPr>
              <w:t>An individual blood unit’s status is invalided when the original modification process was Deglycerolize.</w:t>
            </w:r>
          </w:p>
        </w:tc>
      </w:tr>
      <w:tr w:rsidR="000305DD" w:rsidRPr="00F24972">
        <w:tblPrEx>
          <w:tblCellMar>
            <w:top w:w="0" w:type="dxa"/>
            <w:bottom w:w="0" w:type="dxa"/>
          </w:tblCellMar>
        </w:tblPrEx>
        <w:trPr>
          <w:cantSplit/>
        </w:trPr>
        <w:tc>
          <w:tcPr>
            <w:tcW w:w="1733" w:type="dxa"/>
            <w:vMerge w:val="restart"/>
          </w:tcPr>
          <w:p w:rsidR="000305DD" w:rsidRPr="00F24972" w:rsidRDefault="000305DD" w:rsidP="000305DD">
            <w:pPr>
              <w:pStyle w:val="TableText"/>
              <w:rPr>
                <w:rFonts w:cs="Arial"/>
              </w:rPr>
            </w:pPr>
            <w:r w:rsidRPr="00F24972">
              <w:rPr>
                <w:rFonts w:cs="Arial"/>
              </w:rPr>
              <w:t>Discard unit</w:t>
            </w:r>
          </w:p>
        </w:tc>
        <w:tc>
          <w:tcPr>
            <w:tcW w:w="1165" w:type="dxa"/>
          </w:tcPr>
          <w:p w:rsidR="000305DD" w:rsidRPr="00F24972" w:rsidRDefault="000305DD" w:rsidP="000305DD">
            <w:pPr>
              <w:pStyle w:val="TableText"/>
              <w:rPr>
                <w:rFonts w:cs="Arial"/>
              </w:rPr>
            </w:pPr>
            <w:r>
              <w:rPr>
                <w:rFonts w:cs="Arial"/>
              </w:rPr>
              <w:t>Discard Unit</w:t>
            </w:r>
          </w:p>
        </w:tc>
        <w:tc>
          <w:tcPr>
            <w:tcW w:w="1080" w:type="dxa"/>
          </w:tcPr>
          <w:p w:rsidR="000305DD" w:rsidRPr="00F24972" w:rsidRDefault="000305DD" w:rsidP="000305DD">
            <w:pPr>
              <w:pStyle w:val="TableText"/>
              <w:rPr>
                <w:rFonts w:cs="Arial"/>
              </w:rPr>
            </w:pPr>
            <w:r w:rsidRPr="00F24972">
              <w:rPr>
                <w:rFonts w:cs="Arial"/>
              </w:rPr>
              <w:t>Positive</w:t>
            </w:r>
          </w:p>
        </w:tc>
        <w:tc>
          <w:tcPr>
            <w:tcW w:w="900" w:type="dxa"/>
          </w:tcPr>
          <w:p w:rsidR="000305DD" w:rsidRPr="00F24972" w:rsidRDefault="000305DD" w:rsidP="000305DD">
            <w:pPr>
              <w:pStyle w:val="TableText"/>
              <w:jc w:val="center"/>
              <w:rPr>
                <w:rFonts w:cs="Arial"/>
              </w:rPr>
            </w:pPr>
            <w:r w:rsidRPr="00F24972">
              <w:rPr>
                <w:rFonts w:cs="Arial"/>
              </w:rPr>
              <w:t>U</w:t>
            </w:r>
          </w:p>
        </w:tc>
        <w:tc>
          <w:tcPr>
            <w:tcW w:w="4123" w:type="dxa"/>
          </w:tcPr>
          <w:p w:rsidR="000305DD" w:rsidRPr="00F24972" w:rsidRDefault="000305DD" w:rsidP="000305DD">
            <w:pPr>
              <w:pStyle w:val="TableText"/>
              <w:rPr>
                <w:rFonts w:cs="Arial"/>
              </w:rPr>
            </w:pPr>
            <w:r w:rsidRPr="00F24972">
              <w:rPr>
                <w:rFonts w:cs="Arial"/>
              </w:rPr>
              <w:t>Accrue workload when an individual blood unit’s status is invalided. When a batch of units is selected, each unit accrues workload.</w:t>
            </w:r>
          </w:p>
        </w:tc>
      </w:tr>
      <w:tr w:rsidR="000305DD" w:rsidRPr="00F24972">
        <w:tblPrEx>
          <w:tblCellMar>
            <w:top w:w="0" w:type="dxa"/>
            <w:bottom w:w="0" w:type="dxa"/>
          </w:tblCellMar>
        </w:tblPrEx>
        <w:trPr>
          <w:cantSplit/>
        </w:trPr>
        <w:tc>
          <w:tcPr>
            <w:tcW w:w="1733" w:type="dxa"/>
            <w:vMerge/>
            <w:tcBorders>
              <w:bottom w:val="single" w:sz="4" w:space="0" w:color="auto"/>
            </w:tcBorders>
          </w:tcPr>
          <w:p w:rsidR="000305DD" w:rsidRPr="00F24972" w:rsidRDefault="000305DD" w:rsidP="000305DD">
            <w:pPr>
              <w:pStyle w:val="TableText"/>
              <w:rPr>
                <w:rFonts w:cs="Arial"/>
              </w:rPr>
            </w:pPr>
          </w:p>
        </w:tc>
        <w:tc>
          <w:tcPr>
            <w:tcW w:w="1165" w:type="dxa"/>
            <w:tcBorders>
              <w:top w:val="single" w:sz="4" w:space="0" w:color="auto"/>
              <w:bottom w:val="single" w:sz="4" w:space="0" w:color="auto"/>
              <w:right w:val="single" w:sz="4" w:space="0" w:color="auto"/>
            </w:tcBorders>
          </w:tcPr>
          <w:p w:rsidR="000305DD" w:rsidRPr="00F24972" w:rsidRDefault="000305DD" w:rsidP="000305DD">
            <w:pPr>
              <w:pStyle w:val="TableText"/>
              <w:rPr>
                <w:rFonts w:cs="Arial"/>
              </w:rPr>
            </w:pPr>
            <w:r>
              <w:rPr>
                <w:rFonts w:cs="Arial"/>
              </w:rPr>
              <w:t>Invalidate Unit Status, Discard</w:t>
            </w:r>
          </w:p>
        </w:tc>
        <w:tc>
          <w:tcPr>
            <w:tcW w:w="108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tcPr>
          <w:p w:rsidR="000305DD" w:rsidRPr="000409B0" w:rsidRDefault="000305DD" w:rsidP="000305DD">
            <w:pPr>
              <w:pStyle w:val="TableText"/>
              <w:rPr>
                <w:rFonts w:cs="Arial"/>
              </w:rPr>
            </w:pPr>
            <w:r w:rsidRPr="00F24972">
              <w:rPr>
                <w:rFonts w:cs="Arial"/>
              </w:rPr>
              <w:t>Accrue workload when a unit is discarded for waste or credit. When a batch of units is selected, each unit accrues workload.</w:t>
            </w:r>
          </w:p>
        </w:tc>
      </w:tr>
      <w:tr w:rsidR="000305DD" w:rsidRPr="00F24972">
        <w:tblPrEx>
          <w:tblCellMar>
            <w:top w:w="0" w:type="dxa"/>
            <w:bottom w:w="0" w:type="dxa"/>
          </w:tblCellMar>
        </w:tblPrEx>
        <w:trPr>
          <w:cantSplit/>
        </w:trPr>
        <w:tc>
          <w:tcPr>
            <w:tcW w:w="1733" w:type="dxa"/>
            <w:vMerge w:val="restart"/>
            <w:tcBorders>
              <w:top w:val="single" w:sz="4" w:space="0" w:color="auto"/>
              <w:left w:val="single" w:sz="4" w:space="0" w:color="auto"/>
              <w:right w:val="single" w:sz="4" w:space="0" w:color="auto"/>
            </w:tcBorders>
          </w:tcPr>
          <w:p w:rsidR="000305DD" w:rsidRPr="00F24972" w:rsidRDefault="000305DD" w:rsidP="000305DD">
            <w:pPr>
              <w:pStyle w:val="TableText"/>
              <w:rPr>
                <w:rFonts w:cs="Arial"/>
              </w:rPr>
            </w:pPr>
            <w:r w:rsidRPr="00F24972">
              <w:rPr>
                <w:rFonts w:cs="Arial"/>
              </w:rPr>
              <w:lastRenderedPageBreak/>
              <w:t>Freeze unit</w:t>
            </w:r>
          </w:p>
        </w:tc>
        <w:tc>
          <w:tcPr>
            <w:tcW w:w="1165"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Pr>
                <w:rFonts w:cs="Arial"/>
              </w:rPr>
              <w:t>Modify Unit, Freeze</w:t>
            </w:r>
          </w:p>
        </w:tc>
        <w:tc>
          <w:tcPr>
            <w:tcW w:w="108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Accrue workload when an individual blood unit is processed by the modification type: Freeze.</w:t>
            </w:r>
          </w:p>
          <w:p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tblPrEx>
          <w:tblCellMar>
            <w:top w:w="0" w:type="dxa"/>
            <w:bottom w:w="0" w:type="dxa"/>
          </w:tblCellMar>
        </w:tblPrEx>
        <w:trPr>
          <w:cantSplit/>
        </w:trPr>
        <w:tc>
          <w:tcPr>
            <w:tcW w:w="1733" w:type="dxa"/>
            <w:vMerge/>
            <w:tcBorders>
              <w:left w:val="single" w:sz="4" w:space="0" w:color="auto"/>
              <w:bottom w:val="single" w:sz="4" w:space="0" w:color="auto"/>
              <w:right w:val="single" w:sz="4" w:space="0" w:color="auto"/>
            </w:tcBorders>
          </w:tcPr>
          <w:p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Pr>
                <w:rFonts w:cs="Arial"/>
              </w:rPr>
              <w:t>Invalidate Unit Status, Freeze</w:t>
            </w:r>
          </w:p>
        </w:tc>
        <w:tc>
          <w:tcPr>
            <w:tcW w:w="108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An individual blood unit’s status is invalided when the original modification process was Freeze.</w:t>
            </w:r>
          </w:p>
        </w:tc>
      </w:tr>
      <w:tr w:rsidR="000305DD" w:rsidRPr="00F24972">
        <w:tblPrEx>
          <w:tblCellMar>
            <w:top w:w="0" w:type="dxa"/>
            <w:bottom w:w="0" w:type="dxa"/>
          </w:tblCellMar>
        </w:tblPrEx>
        <w:trPr>
          <w:cantSplit/>
        </w:trPr>
        <w:tc>
          <w:tcPr>
            <w:tcW w:w="1733" w:type="dxa"/>
            <w:vMerge w:val="restart"/>
            <w:tcBorders>
              <w:top w:val="single" w:sz="4" w:space="0" w:color="auto"/>
              <w:left w:val="single" w:sz="4" w:space="0" w:color="auto"/>
              <w:right w:val="single" w:sz="4" w:space="0" w:color="auto"/>
            </w:tcBorders>
          </w:tcPr>
          <w:p w:rsidR="000305DD" w:rsidRPr="00F24972" w:rsidRDefault="000305DD" w:rsidP="000305DD">
            <w:pPr>
              <w:pStyle w:val="TableText"/>
              <w:rPr>
                <w:rFonts w:cs="Arial"/>
              </w:rPr>
            </w:pPr>
            <w:r w:rsidRPr="00F24972">
              <w:rPr>
                <w:rFonts w:cs="Arial"/>
              </w:rPr>
              <w:t>Irradiate unit</w:t>
            </w:r>
          </w:p>
        </w:tc>
        <w:tc>
          <w:tcPr>
            <w:tcW w:w="1165"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Pr>
                <w:rFonts w:cs="Arial"/>
              </w:rPr>
              <w:t>Modify Unit, Irradiate</w:t>
            </w:r>
          </w:p>
        </w:tc>
        <w:tc>
          <w:tcPr>
            <w:tcW w:w="108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Accrue workload when an individual blood unit is processed by the modification type: Irradiate. When a batch of units is irradiated, each unit accrues workload.</w:t>
            </w:r>
          </w:p>
          <w:p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tblPrEx>
          <w:tblCellMar>
            <w:top w:w="0" w:type="dxa"/>
            <w:bottom w:w="0" w:type="dxa"/>
          </w:tblCellMar>
        </w:tblPrEx>
        <w:trPr>
          <w:cantSplit/>
        </w:trPr>
        <w:tc>
          <w:tcPr>
            <w:tcW w:w="1733" w:type="dxa"/>
            <w:vMerge/>
            <w:tcBorders>
              <w:left w:val="single" w:sz="4" w:space="0" w:color="auto"/>
              <w:right w:val="single" w:sz="4" w:space="0" w:color="auto"/>
            </w:tcBorders>
          </w:tcPr>
          <w:p w:rsidR="000305DD" w:rsidRPr="00F24972" w:rsidRDefault="000305DD" w:rsidP="000305DD">
            <w:pPr>
              <w:pStyle w:val="TableText"/>
              <w:rPr>
                <w:rFonts w:cs="Arial"/>
              </w:rPr>
            </w:pPr>
          </w:p>
        </w:tc>
        <w:tc>
          <w:tcPr>
            <w:tcW w:w="1165" w:type="dxa"/>
            <w:tcBorders>
              <w:left w:val="single" w:sz="4" w:space="0" w:color="auto"/>
            </w:tcBorders>
          </w:tcPr>
          <w:p w:rsidR="000305DD" w:rsidRPr="00F24972" w:rsidRDefault="000305DD" w:rsidP="000305DD">
            <w:pPr>
              <w:pStyle w:val="TableText"/>
              <w:rPr>
                <w:rFonts w:cs="Arial"/>
              </w:rPr>
            </w:pPr>
            <w:r>
              <w:rPr>
                <w:rFonts w:cs="Arial"/>
              </w:rPr>
              <w:t>Invalidate Unit Status, Irradiate</w:t>
            </w:r>
          </w:p>
        </w:tc>
        <w:tc>
          <w:tcPr>
            <w:tcW w:w="1080" w:type="dxa"/>
          </w:tcPr>
          <w:p w:rsidR="000305DD" w:rsidRPr="00F24972" w:rsidRDefault="000305DD" w:rsidP="000305DD">
            <w:pPr>
              <w:pStyle w:val="TableText"/>
              <w:rPr>
                <w:rFonts w:cs="Arial"/>
                <w:b/>
              </w:rPr>
            </w:pPr>
            <w:r w:rsidRPr="00F24972">
              <w:rPr>
                <w:rFonts w:cs="Arial"/>
                <w:b/>
              </w:rPr>
              <w:t>Negative</w:t>
            </w:r>
          </w:p>
        </w:tc>
        <w:tc>
          <w:tcPr>
            <w:tcW w:w="900" w:type="dxa"/>
          </w:tcPr>
          <w:p w:rsidR="000305DD" w:rsidRPr="00F24972" w:rsidRDefault="000305DD" w:rsidP="000305DD">
            <w:pPr>
              <w:pStyle w:val="TableText"/>
              <w:jc w:val="center"/>
              <w:rPr>
                <w:rFonts w:cs="Arial"/>
              </w:rPr>
            </w:pPr>
            <w:r w:rsidRPr="00F24972">
              <w:rPr>
                <w:rFonts w:cs="Arial"/>
              </w:rPr>
              <w:t>U</w:t>
            </w:r>
          </w:p>
        </w:tc>
        <w:tc>
          <w:tcPr>
            <w:tcW w:w="4123" w:type="dxa"/>
          </w:tcPr>
          <w:p w:rsidR="000305DD" w:rsidRPr="00F24972" w:rsidRDefault="000305DD" w:rsidP="000305DD">
            <w:pPr>
              <w:pStyle w:val="TableText"/>
              <w:rPr>
                <w:rFonts w:cs="Arial"/>
              </w:rPr>
            </w:pPr>
            <w:r w:rsidRPr="00F24972">
              <w:rPr>
                <w:rFonts w:cs="Arial"/>
              </w:rPr>
              <w:t>An individual blood unit’s status is invalided when the original modification process was Irradiate.</w:t>
            </w:r>
          </w:p>
        </w:tc>
      </w:tr>
      <w:tr w:rsidR="000305DD" w:rsidRPr="00F24972">
        <w:tblPrEx>
          <w:tblCellMar>
            <w:top w:w="0" w:type="dxa"/>
            <w:bottom w:w="0" w:type="dxa"/>
          </w:tblCellMar>
        </w:tblPrEx>
        <w:trPr>
          <w:cantSplit/>
        </w:trPr>
        <w:tc>
          <w:tcPr>
            <w:tcW w:w="1733" w:type="dxa"/>
            <w:vMerge w:val="restart"/>
          </w:tcPr>
          <w:p w:rsidR="000305DD" w:rsidRPr="00F24972" w:rsidRDefault="000305DD" w:rsidP="000305DD">
            <w:pPr>
              <w:pStyle w:val="TableText"/>
              <w:rPr>
                <w:rFonts w:cs="Arial"/>
              </w:rPr>
            </w:pPr>
            <w:r w:rsidRPr="00F24972">
              <w:rPr>
                <w:rFonts w:cs="Arial"/>
              </w:rPr>
              <w:t>Leukoreduce unit</w:t>
            </w:r>
          </w:p>
        </w:tc>
        <w:tc>
          <w:tcPr>
            <w:tcW w:w="1165" w:type="dxa"/>
          </w:tcPr>
          <w:p w:rsidR="000305DD" w:rsidRPr="00F24972" w:rsidRDefault="000305DD" w:rsidP="000305DD">
            <w:pPr>
              <w:pStyle w:val="TableText"/>
              <w:rPr>
                <w:rFonts w:cs="Arial"/>
              </w:rPr>
            </w:pPr>
            <w:r>
              <w:rPr>
                <w:rFonts w:cs="Arial"/>
              </w:rPr>
              <w:t>Modify Unit, Leukoreduce</w:t>
            </w:r>
          </w:p>
        </w:tc>
        <w:tc>
          <w:tcPr>
            <w:tcW w:w="1080" w:type="dxa"/>
          </w:tcPr>
          <w:p w:rsidR="000305DD" w:rsidRPr="00F24972" w:rsidRDefault="000305DD" w:rsidP="000305DD">
            <w:pPr>
              <w:pStyle w:val="TableText"/>
              <w:rPr>
                <w:rFonts w:cs="Arial"/>
              </w:rPr>
            </w:pPr>
            <w:r w:rsidRPr="00F24972">
              <w:rPr>
                <w:rFonts w:cs="Arial"/>
              </w:rPr>
              <w:t>Positive</w:t>
            </w:r>
          </w:p>
        </w:tc>
        <w:tc>
          <w:tcPr>
            <w:tcW w:w="900" w:type="dxa"/>
          </w:tcPr>
          <w:p w:rsidR="000305DD" w:rsidRPr="00F24972" w:rsidRDefault="000305DD" w:rsidP="000305DD">
            <w:pPr>
              <w:pStyle w:val="TableText"/>
              <w:jc w:val="center"/>
              <w:rPr>
                <w:rFonts w:cs="Arial"/>
              </w:rPr>
            </w:pPr>
            <w:r w:rsidRPr="00F24972">
              <w:rPr>
                <w:rFonts w:cs="Arial"/>
              </w:rPr>
              <w:t>U</w:t>
            </w:r>
          </w:p>
        </w:tc>
        <w:tc>
          <w:tcPr>
            <w:tcW w:w="4123" w:type="dxa"/>
          </w:tcPr>
          <w:p w:rsidR="000305DD" w:rsidRPr="00F24972" w:rsidRDefault="000305DD" w:rsidP="000305DD">
            <w:pPr>
              <w:pStyle w:val="TableText"/>
              <w:rPr>
                <w:rFonts w:cs="Arial"/>
              </w:rPr>
            </w:pPr>
            <w:r w:rsidRPr="00F24972">
              <w:rPr>
                <w:rFonts w:cs="Arial"/>
              </w:rPr>
              <w:t>Accrue workload when an individual blood unit is processed by the modification type: Leukoreduce.</w:t>
            </w:r>
          </w:p>
          <w:p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tblPrEx>
          <w:tblCellMar>
            <w:top w:w="0" w:type="dxa"/>
            <w:bottom w:w="0" w:type="dxa"/>
          </w:tblCellMar>
        </w:tblPrEx>
        <w:trPr>
          <w:cantSplit/>
        </w:trPr>
        <w:tc>
          <w:tcPr>
            <w:tcW w:w="1733" w:type="dxa"/>
            <w:vMerge/>
            <w:tcBorders>
              <w:bottom w:val="single" w:sz="4" w:space="0" w:color="auto"/>
            </w:tcBorders>
          </w:tcPr>
          <w:p w:rsidR="000305DD" w:rsidRPr="00F24972" w:rsidRDefault="000305DD" w:rsidP="000305DD">
            <w:pPr>
              <w:pStyle w:val="TableText"/>
              <w:rPr>
                <w:rFonts w:cs="Arial"/>
              </w:rPr>
            </w:pPr>
          </w:p>
        </w:tc>
        <w:tc>
          <w:tcPr>
            <w:tcW w:w="1165" w:type="dxa"/>
            <w:tcBorders>
              <w:top w:val="single" w:sz="4" w:space="0" w:color="auto"/>
              <w:bottom w:val="single" w:sz="4" w:space="0" w:color="auto"/>
              <w:right w:val="single" w:sz="4" w:space="0" w:color="auto"/>
            </w:tcBorders>
          </w:tcPr>
          <w:p w:rsidR="000305DD" w:rsidRPr="00F24972" w:rsidRDefault="000305DD" w:rsidP="000305DD">
            <w:pPr>
              <w:pStyle w:val="TableText"/>
              <w:rPr>
                <w:rFonts w:cs="Arial"/>
              </w:rPr>
            </w:pPr>
            <w:r>
              <w:rPr>
                <w:rFonts w:cs="Arial"/>
              </w:rPr>
              <w:t>Invalidate Unit Status, Leukoreduce</w:t>
            </w:r>
          </w:p>
        </w:tc>
        <w:tc>
          <w:tcPr>
            <w:tcW w:w="108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An individual blood unit’s status is invalided when the original modification process was Leukoreduce.</w:t>
            </w:r>
          </w:p>
        </w:tc>
      </w:tr>
      <w:tr w:rsidR="000305DD" w:rsidRPr="00F24972">
        <w:tblPrEx>
          <w:tblCellMar>
            <w:top w:w="0" w:type="dxa"/>
            <w:bottom w:w="0" w:type="dxa"/>
          </w:tblCellMar>
        </w:tblPrEx>
        <w:trPr>
          <w:cantSplit/>
        </w:trPr>
        <w:tc>
          <w:tcPr>
            <w:tcW w:w="1733" w:type="dxa"/>
            <w:vMerge w:val="restart"/>
          </w:tcPr>
          <w:p w:rsidR="000305DD" w:rsidRPr="00F24972" w:rsidRDefault="000305DD" w:rsidP="000305DD">
            <w:pPr>
              <w:pStyle w:val="TableText"/>
              <w:rPr>
                <w:rFonts w:cs="Arial"/>
              </w:rPr>
            </w:pPr>
            <w:r w:rsidRPr="00F24972">
              <w:rPr>
                <w:rFonts w:cs="Arial"/>
              </w:rPr>
              <w:t>Split unit</w:t>
            </w:r>
          </w:p>
        </w:tc>
        <w:tc>
          <w:tcPr>
            <w:tcW w:w="1165" w:type="dxa"/>
          </w:tcPr>
          <w:p w:rsidR="000305DD" w:rsidRPr="00F24972" w:rsidRDefault="000305DD" w:rsidP="000305DD">
            <w:pPr>
              <w:pStyle w:val="TableText"/>
              <w:rPr>
                <w:rFonts w:cs="Arial"/>
              </w:rPr>
            </w:pPr>
            <w:r>
              <w:rPr>
                <w:rFonts w:cs="Arial"/>
              </w:rPr>
              <w:t>Modify Unit, Split</w:t>
            </w:r>
          </w:p>
        </w:tc>
        <w:tc>
          <w:tcPr>
            <w:tcW w:w="1080" w:type="dxa"/>
          </w:tcPr>
          <w:p w:rsidR="000305DD" w:rsidRPr="00F24972" w:rsidRDefault="000305DD" w:rsidP="000305DD">
            <w:pPr>
              <w:pStyle w:val="TableText"/>
              <w:rPr>
                <w:rFonts w:cs="Arial"/>
              </w:rPr>
            </w:pPr>
            <w:r w:rsidRPr="00F24972">
              <w:rPr>
                <w:rFonts w:cs="Arial"/>
              </w:rPr>
              <w:t>Positive</w:t>
            </w:r>
          </w:p>
        </w:tc>
        <w:tc>
          <w:tcPr>
            <w:tcW w:w="900" w:type="dxa"/>
          </w:tcPr>
          <w:p w:rsidR="000305DD" w:rsidRPr="00F24972" w:rsidRDefault="000305DD" w:rsidP="000305DD">
            <w:pPr>
              <w:pStyle w:val="TableText"/>
              <w:jc w:val="center"/>
              <w:rPr>
                <w:rFonts w:cs="Arial"/>
              </w:rPr>
            </w:pPr>
            <w:r w:rsidRPr="00F24972">
              <w:rPr>
                <w:rFonts w:cs="Arial"/>
              </w:rPr>
              <w:t>U</w:t>
            </w:r>
          </w:p>
        </w:tc>
        <w:tc>
          <w:tcPr>
            <w:tcW w:w="4123" w:type="dxa"/>
          </w:tcPr>
          <w:p w:rsidR="000305DD" w:rsidRPr="00F24972" w:rsidRDefault="000305DD" w:rsidP="000305DD">
            <w:pPr>
              <w:pStyle w:val="TableText"/>
              <w:rPr>
                <w:rFonts w:cs="Arial"/>
              </w:rPr>
            </w:pPr>
            <w:r w:rsidRPr="00F24972">
              <w:rPr>
                <w:rFonts w:cs="Arial"/>
              </w:rPr>
              <w:t>Accrue workload when a unit modification of Split and a single workload event is recorded regardless of the number of units created by the modification.</w:t>
            </w:r>
            <w:r w:rsidRPr="00F24972">
              <w:rPr>
                <w:rFonts w:cs="Arial"/>
                <w:i/>
              </w:rPr>
              <w:t xml:space="preserve"> </w:t>
            </w:r>
          </w:p>
          <w:p w:rsidR="000305DD" w:rsidRPr="00F24972" w:rsidRDefault="000305DD" w:rsidP="000305DD">
            <w:pPr>
              <w:pStyle w:val="TableText"/>
              <w:rPr>
                <w:i/>
                <w:iCs/>
              </w:rPr>
            </w:pPr>
            <w:r w:rsidRPr="00F24972">
              <w:rPr>
                <w:i/>
                <w:iCs/>
              </w:rPr>
              <w:t>Note: Workload is not accrued when a patient assignment is processed and VBECS releases all other patient assignments. Workload is not accrued when VBECS is required to quarantine the unit.</w:t>
            </w:r>
            <w:r w:rsidRPr="00F24972">
              <w:rPr>
                <w:rFonts w:cs="Arial"/>
                <w:i/>
              </w:rPr>
              <w:t xml:space="preserve"> Workload accrued by splitting is invalidated in</w:t>
            </w:r>
            <w:r>
              <w:rPr>
                <w:rFonts w:cs="Arial"/>
                <w:i/>
              </w:rPr>
              <w:t xml:space="preserve"> Remove Final Unit Status</w:t>
            </w:r>
            <w:r w:rsidRPr="00F24972">
              <w:rPr>
                <w:rFonts w:cs="Arial"/>
                <w:i/>
              </w:rPr>
              <w:t xml:space="preserve"> with the inactivation of the modification</w:t>
            </w:r>
          </w:p>
        </w:tc>
      </w:tr>
      <w:tr w:rsidR="000305DD" w:rsidRPr="00F24972">
        <w:tblPrEx>
          <w:tblCellMar>
            <w:top w:w="0" w:type="dxa"/>
            <w:bottom w:w="0" w:type="dxa"/>
          </w:tblCellMar>
        </w:tblPrEx>
        <w:trPr>
          <w:cantSplit/>
        </w:trPr>
        <w:tc>
          <w:tcPr>
            <w:tcW w:w="1733" w:type="dxa"/>
            <w:vMerge/>
            <w:tcBorders>
              <w:bottom w:val="single" w:sz="4" w:space="0" w:color="auto"/>
            </w:tcBorders>
          </w:tcPr>
          <w:p w:rsidR="000305DD" w:rsidRPr="00F24972" w:rsidRDefault="000305DD" w:rsidP="000305DD">
            <w:pPr>
              <w:pStyle w:val="TableText"/>
              <w:rPr>
                <w:rFonts w:cs="Arial"/>
              </w:rPr>
            </w:pPr>
          </w:p>
        </w:tc>
        <w:tc>
          <w:tcPr>
            <w:tcW w:w="1165" w:type="dxa"/>
            <w:tcBorders>
              <w:top w:val="single" w:sz="4" w:space="0" w:color="auto"/>
              <w:bottom w:val="single" w:sz="4" w:space="0" w:color="auto"/>
              <w:right w:val="single" w:sz="4" w:space="0" w:color="auto"/>
            </w:tcBorders>
          </w:tcPr>
          <w:p w:rsidR="000305DD" w:rsidRPr="00F24972" w:rsidRDefault="000305DD" w:rsidP="000305DD">
            <w:pPr>
              <w:pStyle w:val="TableText"/>
              <w:rPr>
                <w:rFonts w:cs="Arial"/>
              </w:rPr>
            </w:pPr>
            <w:r>
              <w:rPr>
                <w:rFonts w:cs="Arial"/>
              </w:rPr>
              <w:t>Invalidate Unit Status, Split</w:t>
            </w:r>
          </w:p>
        </w:tc>
        <w:tc>
          <w:tcPr>
            <w:tcW w:w="108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A Split Unit has its unit status invalidated. A single workload event is recorded regardless of the number of units originally created by the modification.</w:t>
            </w:r>
          </w:p>
        </w:tc>
      </w:tr>
      <w:tr w:rsidR="000305DD" w:rsidRPr="00F24972">
        <w:tblPrEx>
          <w:tblCellMar>
            <w:top w:w="0" w:type="dxa"/>
            <w:bottom w:w="0" w:type="dxa"/>
          </w:tblCellMar>
        </w:tblPrEx>
        <w:trPr>
          <w:cantSplit/>
        </w:trPr>
        <w:tc>
          <w:tcPr>
            <w:tcW w:w="1733" w:type="dxa"/>
            <w:vMerge w:val="restart"/>
          </w:tcPr>
          <w:p w:rsidR="000305DD" w:rsidRPr="00F24972" w:rsidRDefault="000305DD" w:rsidP="000305DD">
            <w:pPr>
              <w:pStyle w:val="TableText"/>
              <w:rPr>
                <w:rFonts w:cs="Arial"/>
              </w:rPr>
            </w:pPr>
            <w:r w:rsidRPr="00F24972">
              <w:rPr>
                <w:rFonts w:cs="Arial"/>
              </w:rPr>
              <w:lastRenderedPageBreak/>
              <w:t>Rejuvenate unit</w:t>
            </w:r>
          </w:p>
        </w:tc>
        <w:tc>
          <w:tcPr>
            <w:tcW w:w="1165" w:type="dxa"/>
          </w:tcPr>
          <w:p w:rsidR="000305DD" w:rsidRPr="00F24972" w:rsidRDefault="000305DD" w:rsidP="000305DD">
            <w:pPr>
              <w:pStyle w:val="TableText"/>
              <w:rPr>
                <w:rFonts w:cs="Arial"/>
              </w:rPr>
            </w:pPr>
            <w:r>
              <w:rPr>
                <w:rFonts w:cs="Arial"/>
              </w:rPr>
              <w:t xml:space="preserve">Modify Unit, </w:t>
            </w:r>
            <w:r w:rsidRPr="00F24972">
              <w:rPr>
                <w:rFonts w:cs="Arial"/>
              </w:rPr>
              <w:t>Rejuvenate</w:t>
            </w:r>
          </w:p>
        </w:tc>
        <w:tc>
          <w:tcPr>
            <w:tcW w:w="1080" w:type="dxa"/>
          </w:tcPr>
          <w:p w:rsidR="000305DD" w:rsidRPr="00F24972" w:rsidRDefault="000305DD" w:rsidP="000305DD">
            <w:pPr>
              <w:pStyle w:val="TableText"/>
              <w:rPr>
                <w:rFonts w:cs="Arial"/>
              </w:rPr>
            </w:pPr>
            <w:r w:rsidRPr="00F24972">
              <w:rPr>
                <w:rFonts w:cs="Arial"/>
              </w:rPr>
              <w:t>Positive</w:t>
            </w:r>
          </w:p>
        </w:tc>
        <w:tc>
          <w:tcPr>
            <w:tcW w:w="900" w:type="dxa"/>
          </w:tcPr>
          <w:p w:rsidR="000305DD" w:rsidRPr="00F24972" w:rsidRDefault="000305DD" w:rsidP="000305DD">
            <w:pPr>
              <w:pStyle w:val="TableText"/>
              <w:jc w:val="center"/>
              <w:rPr>
                <w:rFonts w:cs="Arial"/>
              </w:rPr>
            </w:pPr>
            <w:r w:rsidRPr="00F24972">
              <w:rPr>
                <w:rFonts w:cs="Arial"/>
              </w:rPr>
              <w:t>U</w:t>
            </w:r>
          </w:p>
        </w:tc>
        <w:tc>
          <w:tcPr>
            <w:tcW w:w="4123" w:type="dxa"/>
          </w:tcPr>
          <w:p w:rsidR="000305DD" w:rsidRPr="00F24972" w:rsidRDefault="000305DD" w:rsidP="000305DD">
            <w:pPr>
              <w:pStyle w:val="TableText"/>
              <w:rPr>
                <w:rFonts w:cs="Arial"/>
              </w:rPr>
            </w:pPr>
            <w:r w:rsidRPr="00F24972">
              <w:rPr>
                <w:rFonts w:cs="Arial"/>
              </w:rPr>
              <w:t xml:space="preserve">Accrue workload when an individual blood unit is processed by the modification type: Rejuvenate. </w:t>
            </w:r>
          </w:p>
          <w:p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tblPrEx>
          <w:tblCellMar>
            <w:top w:w="0" w:type="dxa"/>
            <w:bottom w:w="0" w:type="dxa"/>
          </w:tblCellMar>
        </w:tblPrEx>
        <w:trPr>
          <w:cantSplit/>
        </w:trPr>
        <w:tc>
          <w:tcPr>
            <w:tcW w:w="1733" w:type="dxa"/>
            <w:vMerge/>
            <w:tcBorders>
              <w:bottom w:val="single" w:sz="4" w:space="0" w:color="auto"/>
            </w:tcBorders>
          </w:tcPr>
          <w:p w:rsidR="000305DD" w:rsidRPr="00F24972" w:rsidRDefault="000305DD" w:rsidP="000305DD">
            <w:pPr>
              <w:pStyle w:val="TableText"/>
              <w:rPr>
                <w:rFonts w:cs="Arial"/>
              </w:rPr>
            </w:pPr>
          </w:p>
        </w:tc>
        <w:tc>
          <w:tcPr>
            <w:tcW w:w="1165" w:type="dxa"/>
            <w:tcBorders>
              <w:bottom w:val="single" w:sz="4" w:space="0" w:color="auto"/>
            </w:tcBorders>
          </w:tcPr>
          <w:p w:rsidR="000305DD" w:rsidRPr="00F24972" w:rsidRDefault="000305DD" w:rsidP="000305DD">
            <w:pPr>
              <w:pStyle w:val="TableText"/>
              <w:rPr>
                <w:rFonts w:cs="Arial"/>
              </w:rPr>
            </w:pPr>
            <w:r>
              <w:rPr>
                <w:rFonts w:cs="Arial"/>
              </w:rPr>
              <w:t xml:space="preserve">Invalidate Unit Status, </w:t>
            </w:r>
            <w:r w:rsidRPr="00F24972">
              <w:rPr>
                <w:rFonts w:cs="Arial"/>
              </w:rPr>
              <w:t>Rejuvenate</w:t>
            </w:r>
          </w:p>
        </w:tc>
        <w:tc>
          <w:tcPr>
            <w:tcW w:w="1080" w:type="dxa"/>
            <w:tcBorders>
              <w:bottom w:val="single" w:sz="4" w:space="0" w:color="auto"/>
            </w:tcBorders>
          </w:tcPr>
          <w:p w:rsidR="000305DD" w:rsidRPr="00F24972" w:rsidRDefault="000305DD" w:rsidP="000305DD">
            <w:pPr>
              <w:pStyle w:val="TableText"/>
              <w:rPr>
                <w:rFonts w:cs="Arial"/>
                <w:b/>
              </w:rPr>
            </w:pPr>
            <w:r w:rsidRPr="00F24972">
              <w:rPr>
                <w:rFonts w:cs="Arial"/>
                <w:b/>
              </w:rPr>
              <w:t>Negative</w:t>
            </w:r>
          </w:p>
        </w:tc>
        <w:tc>
          <w:tcPr>
            <w:tcW w:w="900" w:type="dxa"/>
            <w:tcBorders>
              <w:bottom w:val="single" w:sz="4" w:space="0" w:color="auto"/>
            </w:tcBorders>
          </w:tcPr>
          <w:p w:rsidR="000305DD" w:rsidRPr="00F24972" w:rsidRDefault="000305DD" w:rsidP="000305DD">
            <w:pPr>
              <w:pStyle w:val="TableText"/>
              <w:jc w:val="center"/>
              <w:rPr>
                <w:rFonts w:cs="Arial"/>
              </w:rPr>
            </w:pPr>
            <w:r w:rsidRPr="00F24972">
              <w:rPr>
                <w:rFonts w:cs="Arial"/>
              </w:rPr>
              <w:t>U</w:t>
            </w:r>
          </w:p>
        </w:tc>
        <w:tc>
          <w:tcPr>
            <w:tcW w:w="4123" w:type="dxa"/>
            <w:tcBorders>
              <w:bottom w:val="single" w:sz="4" w:space="0" w:color="auto"/>
            </w:tcBorders>
          </w:tcPr>
          <w:p w:rsidR="000305DD" w:rsidRPr="00F24972" w:rsidRDefault="000305DD" w:rsidP="000305DD">
            <w:pPr>
              <w:pStyle w:val="TableText"/>
              <w:rPr>
                <w:rFonts w:cs="Arial"/>
              </w:rPr>
            </w:pPr>
            <w:r w:rsidRPr="00F24972">
              <w:rPr>
                <w:rFonts w:cs="Arial"/>
              </w:rPr>
              <w:t xml:space="preserve">An individual blood unit’s status is invalided when the original modification process was Rejuvenate. </w:t>
            </w:r>
          </w:p>
        </w:tc>
      </w:tr>
      <w:tr w:rsidR="000305DD" w:rsidRPr="00F24972">
        <w:tblPrEx>
          <w:tblCellMar>
            <w:top w:w="0" w:type="dxa"/>
            <w:bottom w:w="0" w:type="dxa"/>
          </w:tblCellMar>
        </w:tblPrEx>
        <w:trPr>
          <w:cantSplit/>
        </w:trPr>
        <w:tc>
          <w:tcPr>
            <w:tcW w:w="1733" w:type="dxa"/>
            <w:vMerge w:val="restart"/>
            <w:tcBorders>
              <w:top w:val="single" w:sz="4" w:space="0" w:color="auto"/>
              <w:left w:val="single" w:sz="4" w:space="0" w:color="auto"/>
              <w:right w:val="single" w:sz="4" w:space="0" w:color="auto"/>
            </w:tcBorders>
          </w:tcPr>
          <w:p w:rsidR="000305DD" w:rsidRPr="00F24972" w:rsidRDefault="000305DD" w:rsidP="000305DD">
            <w:pPr>
              <w:pStyle w:val="TableText"/>
              <w:rPr>
                <w:rFonts w:cs="Arial"/>
              </w:rPr>
            </w:pPr>
            <w:r w:rsidRPr="00F24972">
              <w:rPr>
                <w:rFonts w:cs="Arial"/>
              </w:rPr>
              <w:t xml:space="preserve">Thaw </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0305DD" w:rsidRPr="00F24972" w:rsidRDefault="000305DD" w:rsidP="000305DD">
            <w:pPr>
              <w:pStyle w:val="TableText"/>
              <w:rPr>
                <w:rFonts w:cs="Arial"/>
              </w:rPr>
            </w:pPr>
            <w:r>
              <w:rPr>
                <w:rFonts w:cs="Arial"/>
              </w:rPr>
              <w:t>Modify Unit, Thaw</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shd w:val="clear" w:color="auto" w:fill="auto"/>
          </w:tcPr>
          <w:p w:rsidR="000305DD" w:rsidRPr="00F24972" w:rsidRDefault="000305DD" w:rsidP="000305DD">
            <w:pPr>
              <w:pStyle w:val="TableText"/>
              <w:rPr>
                <w:rFonts w:cs="Arial"/>
              </w:rPr>
            </w:pPr>
            <w:r w:rsidRPr="00F24972">
              <w:rPr>
                <w:rFonts w:cs="Arial"/>
              </w:rPr>
              <w:t>Accrue workload when an individual blood unit is processed by the modification type: Thaw. When a batch of units is thawed, each unit accrues workload. This applies to Thaw FFP and Thaw Cryo.</w:t>
            </w:r>
          </w:p>
          <w:p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tblPrEx>
          <w:tblCellMar>
            <w:top w:w="0" w:type="dxa"/>
            <w:bottom w:w="0" w:type="dxa"/>
          </w:tblCellMar>
        </w:tblPrEx>
        <w:trPr>
          <w:cantSplit/>
        </w:trPr>
        <w:tc>
          <w:tcPr>
            <w:tcW w:w="1733" w:type="dxa"/>
            <w:vMerge/>
            <w:tcBorders>
              <w:left w:val="single" w:sz="4" w:space="0" w:color="auto"/>
              <w:bottom w:val="single" w:sz="4" w:space="0" w:color="auto"/>
              <w:right w:val="single" w:sz="4" w:space="0" w:color="auto"/>
            </w:tcBorders>
          </w:tcPr>
          <w:p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0305DD" w:rsidRPr="00F24972" w:rsidRDefault="000305DD" w:rsidP="000305DD">
            <w:pPr>
              <w:pStyle w:val="TableText"/>
              <w:rPr>
                <w:rFonts w:cs="Arial"/>
              </w:rPr>
            </w:pPr>
            <w:r>
              <w:rPr>
                <w:rFonts w:cs="Arial"/>
              </w:rPr>
              <w:t>Invalidate Unit Status, Thaw</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shd w:val="clear" w:color="auto" w:fill="auto"/>
          </w:tcPr>
          <w:p w:rsidR="000305DD" w:rsidRPr="00F24972" w:rsidRDefault="000305DD" w:rsidP="000305DD">
            <w:pPr>
              <w:pStyle w:val="TableText"/>
              <w:rPr>
                <w:rFonts w:cs="Arial"/>
              </w:rPr>
            </w:pPr>
            <w:r w:rsidRPr="00F24972">
              <w:rPr>
                <w:rFonts w:cs="Arial"/>
              </w:rPr>
              <w:t>An individual blood unit’s status is invalided when the original modification process was Thaw. This modification type is applicable to Thaw FFP and Thaw Cryo.</w:t>
            </w:r>
          </w:p>
        </w:tc>
      </w:tr>
      <w:tr w:rsidR="000305DD" w:rsidRPr="00F24972">
        <w:tblPrEx>
          <w:tblCellMar>
            <w:top w:w="0" w:type="dxa"/>
            <w:bottom w:w="0" w:type="dxa"/>
          </w:tblCellMar>
        </w:tblPrEx>
        <w:trPr>
          <w:cantSplit/>
        </w:trPr>
        <w:tc>
          <w:tcPr>
            <w:tcW w:w="1733" w:type="dxa"/>
            <w:vMerge w:val="restart"/>
            <w:tcBorders>
              <w:top w:val="single" w:sz="4" w:space="0" w:color="auto"/>
              <w:left w:val="single" w:sz="4" w:space="0" w:color="auto"/>
              <w:right w:val="single" w:sz="4" w:space="0" w:color="auto"/>
            </w:tcBorders>
          </w:tcPr>
          <w:p w:rsidR="000305DD" w:rsidRPr="00F24972" w:rsidRDefault="000305DD" w:rsidP="000305DD">
            <w:pPr>
              <w:pStyle w:val="TableText"/>
              <w:rPr>
                <w:rFonts w:cs="Arial"/>
              </w:rPr>
            </w:pPr>
            <w:r w:rsidRPr="00F24972">
              <w:rPr>
                <w:rFonts w:cs="Arial"/>
              </w:rPr>
              <w:t>Wash unit</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0305DD" w:rsidRPr="00F24972" w:rsidRDefault="000305DD" w:rsidP="000305DD">
            <w:pPr>
              <w:pStyle w:val="TableText"/>
              <w:rPr>
                <w:rFonts w:cs="Arial"/>
              </w:rPr>
            </w:pPr>
            <w:r>
              <w:rPr>
                <w:rFonts w:cs="Arial"/>
              </w:rPr>
              <w:t>Modify Unit, Wash</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shd w:val="clear" w:color="auto" w:fill="auto"/>
          </w:tcPr>
          <w:p w:rsidR="000305DD" w:rsidRPr="00F24972" w:rsidRDefault="000305DD" w:rsidP="000305DD">
            <w:pPr>
              <w:pStyle w:val="TableText"/>
              <w:rPr>
                <w:rFonts w:cs="Arial"/>
              </w:rPr>
            </w:pPr>
            <w:r w:rsidRPr="00F24972">
              <w:rPr>
                <w:rFonts w:cs="Arial"/>
              </w:rPr>
              <w:t>Accrue workload when an individual blood unit is processed by the modification type: Wash.</w:t>
            </w:r>
          </w:p>
          <w:p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tblPrEx>
          <w:tblCellMar>
            <w:top w:w="0" w:type="dxa"/>
            <w:bottom w:w="0" w:type="dxa"/>
          </w:tblCellMar>
        </w:tblPrEx>
        <w:trPr>
          <w:cantSplit/>
        </w:trPr>
        <w:tc>
          <w:tcPr>
            <w:tcW w:w="1733" w:type="dxa"/>
            <w:vMerge/>
            <w:tcBorders>
              <w:left w:val="single" w:sz="4" w:space="0" w:color="auto"/>
              <w:bottom w:val="single" w:sz="4" w:space="0" w:color="auto"/>
              <w:right w:val="single" w:sz="4" w:space="0" w:color="auto"/>
            </w:tcBorders>
          </w:tcPr>
          <w:p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0305DD" w:rsidRPr="00F24972" w:rsidRDefault="000305DD" w:rsidP="000305DD">
            <w:pPr>
              <w:pStyle w:val="TableText"/>
              <w:rPr>
                <w:rFonts w:cs="Arial"/>
              </w:rPr>
            </w:pPr>
            <w:r>
              <w:rPr>
                <w:rFonts w:cs="Arial"/>
              </w:rPr>
              <w:t>Invalidate Unit Status, Wash</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shd w:val="clear" w:color="auto" w:fill="auto"/>
          </w:tcPr>
          <w:p w:rsidR="000305DD" w:rsidRPr="00F24972" w:rsidRDefault="000305DD" w:rsidP="000305DD">
            <w:pPr>
              <w:pStyle w:val="TableText"/>
              <w:rPr>
                <w:rFonts w:cs="Arial"/>
              </w:rPr>
            </w:pPr>
            <w:r w:rsidRPr="00F24972">
              <w:rPr>
                <w:rFonts w:cs="Arial"/>
              </w:rPr>
              <w:t>An individual blood unit’s status is invalided when the original modification process was Wash.</w:t>
            </w:r>
          </w:p>
        </w:tc>
      </w:tr>
      <w:tr w:rsidR="000305DD" w:rsidRPr="00F24972">
        <w:tblPrEx>
          <w:tblCellMar>
            <w:top w:w="0" w:type="dxa"/>
            <w:bottom w:w="0" w:type="dxa"/>
          </w:tblCellMar>
        </w:tblPrEx>
        <w:trPr>
          <w:cantSplit/>
        </w:trPr>
        <w:tc>
          <w:tcPr>
            <w:tcW w:w="1733" w:type="dxa"/>
            <w:vMerge w:val="restart"/>
            <w:tcBorders>
              <w:left w:val="single" w:sz="4" w:space="0" w:color="auto"/>
              <w:right w:val="single" w:sz="4" w:space="0" w:color="auto"/>
            </w:tcBorders>
          </w:tcPr>
          <w:p w:rsidR="000305DD" w:rsidRPr="00F24972" w:rsidRDefault="000305DD" w:rsidP="000305DD">
            <w:pPr>
              <w:pStyle w:val="TableText"/>
              <w:rPr>
                <w:rFonts w:cs="Arial"/>
              </w:rPr>
            </w:pPr>
            <w:r w:rsidRPr="00F24972">
              <w:rPr>
                <w:rFonts w:cs="Arial"/>
              </w:rPr>
              <w:t>Volume Reduce</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0305DD" w:rsidRPr="00F24972" w:rsidRDefault="000305DD" w:rsidP="000305DD">
            <w:pPr>
              <w:pStyle w:val="TableText"/>
              <w:rPr>
                <w:rFonts w:cs="Arial"/>
              </w:rPr>
            </w:pPr>
            <w:r>
              <w:rPr>
                <w:rFonts w:cs="Arial"/>
              </w:rPr>
              <w:t>Modify Unit, Volume Reduce</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shd w:val="clear" w:color="auto" w:fill="auto"/>
          </w:tcPr>
          <w:p w:rsidR="000305DD" w:rsidRPr="00F24972" w:rsidRDefault="000305DD" w:rsidP="000305DD">
            <w:pPr>
              <w:pStyle w:val="TableText"/>
              <w:rPr>
                <w:rFonts w:cs="Arial"/>
              </w:rPr>
            </w:pPr>
            <w:r w:rsidRPr="00F24972">
              <w:rPr>
                <w:rFonts w:cs="Arial"/>
              </w:rPr>
              <w:t>Accrue workload when an individual blood unit is processed by the modification type: Volume Reduce.</w:t>
            </w:r>
          </w:p>
          <w:p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tblPrEx>
          <w:tblCellMar>
            <w:top w:w="0" w:type="dxa"/>
            <w:bottom w:w="0" w:type="dxa"/>
          </w:tblCellMar>
        </w:tblPrEx>
        <w:trPr>
          <w:cantSplit/>
        </w:trPr>
        <w:tc>
          <w:tcPr>
            <w:tcW w:w="1733" w:type="dxa"/>
            <w:vMerge/>
            <w:tcBorders>
              <w:left w:val="single" w:sz="4" w:space="0" w:color="auto"/>
              <w:bottom w:val="single" w:sz="4" w:space="0" w:color="auto"/>
              <w:right w:val="single" w:sz="4" w:space="0" w:color="auto"/>
            </w:tcBorders>
          </w:tcPr>
          <w:p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0305DD" w:rsidRPr="00F24972" w:rsidRDefault="000305DD" w:rsidP="000305DD">
            <w:pPr>
              <w:pStyle w:val="TableText"/>
              <w:rPr>
                <w:rFonts w:cs="Arial"/>
              </w:rPr>
            </w:pPr>
            <w:r>
              <w:rPr>
                <w:rFonts w:cs="Arial"/>
              </w:rPr>
              <w:t>Invalidate Unit Status, Volume Reduce</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shd w:val="clear" w:color="auto" w:fill="auto"/>
          </w:tcPr>
          <w:p w:rsidR="000305DD" w:rsidRPr="00F24972" w:rsidRDefault="000305DD" w:rsidP="000305DD">
            <w:pPr>
              <w:pStyle w:val="TableText"/>
              <w:rPr>
                <w:rFonts w:cs="Arial"/>
              </w:rPr>
            </w:pPr>
            <w:r w:rsidRPr="00F24972">
              <w:rPr>
                <w:rFonts w:cs="Arial"/>
              </w:rPr>
              <w:t>An individual blood unit’s status is invalided when the original modification process was Volume Reduce.</w:t>
            </w:r>
          </w:p>
        </w:tc>
      </w:tr>
      <w:tr w:rsidR="000305DD" w:rsidRPr="00F24972">
        <w:tblPrEx>
          <w:tblCellMar>
            <w:top w:w="0" w:type="dxa"/>
            <w:bottom w:w="0" w:type="dxa"/>
          </w:tblCellMar>
        </w:tblPrEx>
        <w:trPr>
          <w:cantSplit/>
        </w:trPr>
        <w:tc>
          <w:tcPr>
            <w:tcW w:w="1733"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Issue unit</w:t>
            </w:r>
          </w:p>
        </w:tc>
        <w:tc>
          <w:tcPr>
            <w:tcW w:w="1165"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Pr>
                <w:rFonts w:cs="Arial"/>
              </w:rPr>
              <w:t>Issue Blood Unit</w:t>
            </w:r>
          </w:p>
          <w:p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jc w:val="center"/>
              <w:rPr>
                <w:rFonts w:cs="Arial"/>
              </w:rPr>
            </w:pPr>
            <w:r w:rsidRPr="00F24972">
              <w:rPr>
                <w:rFonts w:cs="Arial"/>
              </w:rPr>
              <w:t>P</w:t>
            </w:r>
          </w:p>
        </w:tc>
        <w:tc>
          <w:tcPr>
            <w:tcW w:w="4123"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Accrue workload when a unit (row) is issued or is returned from issue to a patient. When a batch of units is processed, each unit invokes one workload process.</w:t>
            </w:r>
          </w:p>
        </w:tc>
      </w:tr>
      <w:tr w:rsidR="000305DD" w:rsidRPr="00F24972">
        <w:tblPrEx>
          <w:tblCellMar>
            <w:top w:w="0" w:type="dxa"/>
            <w:bottom w:w="0" w:type="dxa"/>
          </w:tblCellMar>
        </w:tblPrEx>
        <w:trPr>
          <w:cantSplit/>
        </w:trPr>
        <w:tc>
          <w:tcPr>
            <w:tcW w:w="1733" w:type="dxa"/>
          </w:tcPr>
          <w:p w:rsidR="000305DD" w:rsidRPr="00F24972" w:rsidRDefault="000305DD" w:rsidP="000305DD">
            <w:pPr>
              <w:pStyle w:val="TableText"/>
              <w:rPr>
                <w:rFonts w:cs="Arial"/>
                <w:color w:val="3366FF"/>
              </w:rPr>
            </w:pPr>
            <w:r w:rsidRPr="00F24972">
              <w:rPr>
                <w:rFonts w:cs="Arial"/>
              </w:rPr>
              <w:lastRenderedPageBreak/>
              <w:t>Justification</w:t>
            </w:r>
          </w:p>
        </w:tc>
        <w:tc>
          <w:tcPr>
            <w:tcW w:w="1165" w:type="dxa"/>
          </w:tcPr>
          <w:p w:rsidR="000305DD" w:rsidRPr="00F24972" w:rsidRDefault="000305DD" w:rsidP="000305DD">
            <w:pPr>
              <w:pStyle w:val="TableText"/>
              <w:rPr>
                <w:rFonts w:cs="Arial"/>
                <w:snapToGrid w:val="0"/>
              </w:rPr>
            </w:pPr>
            <w:r>
              <w:rPr>
                <w:rFonts w:cs="Arial"/>
                <w:snapToGrid w:val="0"/>
              </w:rPr>
              <w:t>Justify ABO/Rh Change</w:t>
            </w:r>
          </w:p>
        </w:tc>
        <w:tc>
          <w:tcPr>
            <w:tcW w:w="1080" w:type="dxa"/>
          </w:tcPr>
          <w:p w:rsidR="000305DD" w:rsidRPr="00F24972" w:rsidRDefault="000305DD" w:rsidP="000305DD">
            <w:pPr>
              <w:pStyle w:val="TableText"/>
              <w:rPr>
                <w:rFonts w:cs="Arial"/>
              </w:rPr>
            </w:pPr>
            <w:r w:rsidRPr="00F24972">
              <w:rPr>
                <w:rFonts w:cs="Arial"/>
              </w:rPr>
              <w:t>Positive</w:t>
            </w:r>
          </w:p>
        </w:tc>
        <w:tc>
          <w:tcPr>
            <w:tcW w:w="900" w:type="dxa"/>
          </w:tcPr>
          <w:p w:rsidR="000305DD" w:rsidRPr="00F24972" w:rsidRDefault="000305DD" w:rsidP="000305DD">
            <w:pPr>
              <w:pStyle w:val="TableText"/>
              <w:jc w:val="center"/>
              <w:rPr>
                <w:rFonts w:cs="Arial"/>
              </w:rPr>
            </w:pPr>
            <w:r w:rsidRPr="00F24972">
              <w:rPr>
                <w:rFonts w:cs="Arial"/>
              </w:rPr>
              <w:t>M</w:t>
            </w:r>
          </w:p>
        </w:tc>
        <w:tc>
          <w:tcPr>
            <w:tcW w:w="4123" w:type="dxa"/>
          </w:tcPr>
          <w:p w:rsidR="000305DD" w:rsidRPr="00F24972" w:rsidRDefault="000305DD" w:rsidP="000305DD">
            <w:pPr>
              <w:pStyle w:val="TableText"/>
              <w:rPr>
                <w:rFonts w:cs="Arial"/>
              </w:rPr>
            </w:pPr>
            <w:r w:rsidRPr="00F24972">
              <w:rPr>
                <w:rFonts w:cs="Arial"/>
              </w:rPr>
              <w:t>Workload is accrued when a patient’s ABO or Rh typing is justified.</w:t>
            </w:r>
            <w:r>
              <w:rPr>
                <w:rFonts w:cs="Arial"/>
              </w:rPr>
              <w:t xml:space="preserve"> </w:t>
            </w:r>
            <w:r w:rsidRPr="00F24972">
              <w:rPr>
                <w:rFonts w:cs="Arial"/>
              </w:rPr>
              <w:t>One workload event per patient justification.</w:t>
            </w:r>
          </w:p>
        </w:tc>
      </w:tr>
      <w:tr w:rsidR="000305DD" w:rsidRPr="00F24972">
        <w:tblPrEx>
          <w:tblCellMar>
            <w:top w:w="0" w:type="dxa"/>
            <w:bottom w:w="0" w:type="dxa"/>
          </w:tblCellMar>
        </w:tblPrEx>
        <w:trPr>
          <w:cantSplit/>
        </w:trPr>
        <w:tc>
          <w:tcPr>
            <w:tcW w:w="1733" w:type="dxa"/>
          </w:tcPr>
          <w:p w:rsidR="000305DD" w:rsidRPr="00F24972" w:rsidRDefault="000305DD" w:rsidP="000305DD">
            <w:pPr>
              <w:pStyle w:val="TableText"/>
              <w:rPr>
                <w:rFonts w:cs="Arial"/>
              </w:rPr>
            </w:pPr>
            <w:r w:rsidRPr="00F24972">
              <w:rPr>
                <w:rFonts w:cs="Arial"/>
              </w:rPr>
              <w:t>Login Equipment</w:t>
            </w:r>
          </w:p>
        </w:tc>
        <w:tc>
          <w:tcPr>
            <w:tcW w:w="1165" w:type="dxa"/>
          </w:tcPr>
          <w:p w:rsidR="000305DD" w:rsidRPr="00F24972" w:rsidRDefault="000305DD" w:rsidP="000305DD">
            <w:pPr>
              <w:pStyle w:val="TableText"/>
              <w:rPr>
                <w:rFonts w:cs="Arial"/>
              </w:rPr>
            </w:pPr>
            <w:r>
              <w:rPr>
                <w:rFonts w:cs="Arial"/>
                <w:snapToGrid w:val="0"/>
              </w:rPr>
              <w:t>Equipment, Login</w:t>
            </w:r>
            <w:r w:rsidRPr="00F24972">
              <w:rPr>
                <w:rFonts w:cs="Arial"/>
                <w:snapToGrid w:val="0"/>
              </w:rPr>
              <w:t xml:space="preserve"> </w:t>
            </w:r>
          </w:p>
        </w:tc>
        <w:tc>
          <w:tcPr>
            <w:tcW w:w="1080" w:type="dxa"/>
          </w:tcPr>
          <w:p w:rsidR="000305DD" w:rsidRPr="00F24972" w:rsidRDefault="000305DD" w:rsidP="000305DD">
            <w:pPr>
              <w:pStyle w:val="TableText"/>
              <w:rPr>
                <w:rFonts w:cs="Arial"/>
              </w:rPr>
            </w:pPr>
            <w:r w:rsidRPr="00F24972">
              <w:rPr>
                <w:rFonts w:cs="Arial"/>
              </w:rPr>
              <w:t>Positive</w:t>
            </w:r>
          </w:p>
        </w:tc>
        <w:tc>
          <w:tcPr>
            <w:tcW w:w="900" w:type="dxa"/>
          </w:tcPr>
          <w:p w:rsidR="000305DD" w:rsidRPr="00F24972" w:rsidRDefault="000305DD" w:rsidP="000305DD">
            <w:pPr>
              <w:pStyle w:val="TableText"/>
              <w:jc w:val="center"/>
              <w:rPr>
                <w:rFonts w:cs="Arial"/>
              </w:rPr>
            </w:pPr>
            <w:r w:rsidRPr="00F24972">
              <w:rPr>
                <w:rFonts w:cs="Arial"/>
              </w:rPr>
              <w:t>M</w:t>
            </w:r>
          </w:p>
        </w:tc>
        <w:tc>
          <w:tcPr>
            <w:tcW w:w="4123" w:type="dxa"/>
          </w:tcPr>
          <w:p w:rsidR="000305DD" w:rsidRPr="00F24972" w:rsidRDefault="000305DD" w:rsidP="000305DD">
            <w:pPr>
              <w:pStyle w:val="TableText"/>
              <w:rPr>
                <w:rFonts w:cs="Arial"/>
              </w:rPr>
            </w:pPr>
            <w:r w:rsidRPr="00F24972">
              <w:rPr>
                <w:rFonts w:cs="Arial"/>
              </w:rPr>
              <w:t>Accrue workload when a lot number of any type of equipment is logged into the system.</w:t>
            </w:r>
            <w:r>
              <w:rPr>
                <w:rFonts w:cs="Arial"/>
              </w:rPr>
              <w:t xml:space="preserve"> </w:t>
            </w:r>
          </w:p>
        </w:tc>
      </w:tr>
      <w:tr w:rsidR="000305DD" w:rsidRPr="00F24972">
        <w:tblPrEx>
          <w:tblCellMar>
            <w:top w:w="0" w:type="dxa"/>
            <w:bottom w:w="0" w:type="dxa"/>
          </w:tblCellMar>
        </w:tblPrEx>
        <w:trPr>
          <w:cantSplit/>
        </w:trPr>
        <w:tc>
          <w:tcPr>
            <w:tcW w:w="1733" w:type="dxa"/>
          </w:tcPr>
          <w:p w:rsidR="000305DD" w:rsidRPr="00F24972" w:rsidRDefault="000305DD" w:rsidP="000305DD">
            <w:pPr>
              <w:pStyle w:val="TableText"/>
              <w:rPr>
                <w:rFonts w:cs="Arial"/>
              </w:rPr>
            </w:pPr>
            <w:r w:rsidRPr="00F24972">
              <w:rPr>
                <w:rFonts w:cs="Arial"/>
              </w:rPr>
              <w:t>Login Reagent</w:t>
            </w:r>
          </w:p>
        </w:tc>
        <w:tc>
          <w:tcPr>
            <w:tcW w:w="1165" w:type="dxa"/>
          </w:tcPr>
          <w:p w:rsidR="000305DD" w:rsidRPr="00F24972" w:rsidRDefault="000305DD" w:rsidP="000305DD">
            <w:pPr>
              <w:pStyle w:val="TableText"/>
              <w:rPr>
                <w:rFonts w:cs="Arial"/>
              </w:rPr>
            </w:pPr>
            <w:r>
              <w:rPr>
                <w:rFonts w:cs="Arial"/>
                <w:snapToGrid w:val="0"/>
              </w:rPr>
              <w:t>Reagent, Login</w:t>
            </w:r>
            <w:r w:rsidRPr="00F24972">
              <w:rPr>
                <w:rFonts w:cs="Arial"/>
                <w:snapToGrid w:val="0"/>
              </w:rPr>
              <w:t xml:space="preserve"> </w:t>
            </w:r>
          </w:p>
        </w:tc>
        <w:tc>
          <w:tcPr>
            <w:tcW w:w="1080" w:type="dxa"/>
          </w:tcPr>
          <w:p w:rsidR="000305DD" w:rsidRPr="00F24972" w:rsidRDefault="000305DD" w:rsidP="000305DD">
            <w:pPr>
              <w:pStyle w:val="TableText"/>
              <w:rPr>
                <w:rFonts w:cs="Arial"/>
              </w:rPr>
            </w:pPr>
            <w:r w:rsidRPr="00F24972">
              <w:rPr>
                <w:rFonts w:cs="Arial"/>
              </w:rPr>
              <w:t>Positive</w:t>
            </w:r>
          </w:p>
        </w:tc>
        <w:tc>
          <w:tcPr>
            <w:tcW w:w="900" w:type="dxa"/>
          </w:tcPr>
          <w:p w:rsidR="000305DD" w:rsidRPr="00F24972" w:rsidRDefault="000305DD" w:rsidP="000305DD">
            <w:pPr>
              <w:pStyle w:val="TableText"/>
              <w:jc w:val="center"/>
              <w:rPr>
                <w:rFonts w:cs="Arial"/>
              </w:rPr>
            </w:pPr>
            <w:r w:rsidRPr="00F24972">
              <w:rPr>
                <w:rFonts w:cs="Arial"/>
              </w:rPr>
              <w:t>M</w:t>
            </w:r>
          </w:p>
        </w:tc>
        <w:tc>
          <w:tcPr>
            <w:tcW w:w="4123" w:type="dxa"/>
          </w:tcPr>
          <w:p w:rsidR="000305DD" w:rsidRPr="00F24972" w:rsidRDefault="000305DD" w:rsidP="000305DD">
            <w:pPr>
              <w:pStyle w:val="TableText"/>
              <w:rPr>
                <w:rFonts w:cs="Arial"/>
              </w:rPr>
            </w:pPr>
            <w:r w:rsidRPr="00F24972">
              <w:rPr>
                <w:rFonts w:cs="Arial"/>
              </w:rPr>
              <w:t>Accrue workload when a lot number of any type of reagent is logged into the system.</w:t>
            </w:r>
            <w:r>
              <w:rPr>
                <w:rFonts w:cs="Arial"/>
              </w:rPr>
              <w:t xml:space="preserve"> </w:t>
            </w:r>
            <w:r w:rsidRPr="00F24972">
              <w:rPr>
                <w:rFonts w:cs="Arial"/>
              </w:rPr>
              <w:t>When multiple lot numbers are processed in a batch, each lot number’s workload is counted.</w:t>
            </w:r>
          </w:p>
        </w:tc>
      </w:tr>
      <w:tr w:rsidR="000305DD" w:rsidRPr="00F24972">
        <w:tblPrEx>
          <w:tblCellMar>
            <w:top w:w="0" w:type="dxa"/>
            <w:bottom w:w="0" w:type="dxa"/>
          </w:tblCellMar>
        </w:tblPrEx>
        <w:trPr>
          <w:cantSplit/>
        </w:trPr>
        <w:tc>
          <w:tcPr>
            <w:tcW w:w="1733" w:type="dxa"/>
          </w:tcPr>
          <w:p w:rsidR="000305DD" w:rsidRPr="00F24972" w:rsidRDefault="000305DD" w:rsidP="000305DD">
            <w:pPr>
              <w:pStyle w:val="TableText"/>
              <w:rPr>
                <w:rFonts w:cs="Arial"/>
              </w:rPr>
            </w:pPr>
            <w:r w:rsidRPr="00F24972">
              <w:rPr>
                <w:rFonts w:cs="Arial"/>
              </w:rPr>
              <w:t>Login Supply</w:t>
            </w:r>
          </w:p>
        </w:tc>
        <w:tc>
          <w:tcPr>
            <w:tcW w:w="1165" w:type="dxa"/>
          </w:tcPr>
          <w:p w:rsidR="000305DD" w:rsidRPr="00F24972" w:rsidRDefault="000305DD" w:rsidP="000305DD">
            <w:pPr>
              <w:pStyle w:val="TableText"/>
              <w:rPr>
                <w:rFonts w:cs="Arial"/>
              </w:rPr>
            </w:pPr>
            <w:r>
              <w:rPr>
                <w:rFonts w:cs="Arial"/>
                <w:snapToGrid w:val="0"/>
              </w:rPr>
              <w:t>Supply, Login</w:t>
            </w:r>
          </w:p>
        </w:tc>
        <w:tc>
          <w:tcPr>
            <w:tcW w:w="1080" w:type="dxa"/>
          </w:tcPr>
          <w:p w:rsidR="000305DD" w:rsidRPr="00F24972" w:rsidRDefault="000305DD" w:rsidP="000305DD">
            <w:pPr>
              <w:pStyle w:val="TableText"/>
              <w:rPr>
                <w:rFonts w:cs="Arial"/>
              </w:rPr>
            </w:pPr>
            <w:r w:rsidRPr="00F24972">
              <w:rPr>
                <w:rFonts w:cs="Arial"/>
              </w:rPr>
              <w:t>Positive</w:t>
            </w:r>
          </w:p>
        </w:tc>
        <w:tc>
          <w:tcPr>
            <w:tcW w:w="900" w:type="dxa"/>
          </w:tcPr>
          <w:p w:rsidR="000305DD" w:rsidRPr="00F24972" w:rsidRDefault="000305DD" w:rsidP="000305DD">
            <w:pPr>
              <w:pStyle w:val="TableText"/>
              <w:jc w:val="center"/>
              <w:rPr>
                <w:rFonts w:cs="Arial"/>
              </w:rPr>
            </w:pPr>
            <w:r w:rsidRPr="00F24972">
              <w:rPr>
                <w:rFonts w:cs="Arial"/>
              </w:rPr>
              <w:t>M</w:t>
            </w:r>
          </w:p>
        </w:tc>
        <w:tc>
          <w:tcPr>
            <w:tcW w:w="4123" w:type="dxa"/>
          </w:tcPr>
          <w:p w:rsidR="000305DD" w:rsidRPr="00F24972" w:rsidRDefault="000305DD" w:rsidP="000305DD">
            <w:pPr>
              <w:pStyle w:val="TableText"/>
              <w:rPr>
                <w:rFonts w:cs="Arial"/>
              </w:rPr>
            </w:pPr>
            <w:r w:rsidRPr="00F24972">
              <w:rPr>
                <w:rFonts w:cs="Arial"/>
              </w:rPr>
              <w:t>Accrue workload when a lot number of any type of supply is logged into the system.</w:t>
            </w:r>
            <w:r>
              <w:rPr>
                <w:rFonts w:cs="Arial"/>
              </w:rPr>
              <w:t xml:space="preserve"> </w:t>
            </w:r>
            <w:r w:rsidRPr="00F24972">
              <w:rPr>
                <w:rFonts w:cs="Arial"/>
              </w:rPr>
              <w:t>When multiple lot numbers are processed in a batch, each lot number’s workload is counted.</w:t>
            </w:r>
          </w:p>
        </w:tc>
      </w:tr>
      <w:tr w:rsidR="000305DD" w:rsidRPr="00F24972">
        <w:tblPrEx>
          <w:tblCellMar>
            <w:top w:w="0" w:type="dxa"/>
            <w:bottom w:w="0" w:type="dxa"/>
          </w:tblCellMar>
        </w:tblPrEx>
        <w:trPr>
          <w:cantSplit/>
        </w:trPr>
        <w:tc>
          <w:tcPr>
            <w:tcW w:w="1733"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Maintain Specimen</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0305DD" w:rsidRPr="00F24972" w:rsidRDefault="000305DD" w:rsidP="000305DD">
            <w:pPr>
              <w:pStyle w:val="TableText"/>
              <w:rPr>
                <w:rFonts w:cs="Arial"/>
              </w:rPr>
            </w:pPr>
            <w:r>
              <w:rPr>
                <w:rFonts w:cs="Arial"/>
              </w:rPr>
              <w:t>Maintain Specimen</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305DD" w:rsidRPr="00F24972" w:rsidRDefault="000305DD" w:rsidP="000305DD">
            <w:pPr>
              <w:pStyle w:val="TableText"/>
              <w:jc w:val="center"/>
              <w:rPr>
                <w:rFonts w:cs="Arial"/>
              </w:rPr>
            </w:pPr>
            <w:r w:rsidRPr="00F24972">
              <w:rPr>
                <w:rFonts w:cs="Arial"/>
              </w:rPr>
              <w:t>M</w:t>
            </w:r>
          </w:p>
        </w:tc>
        <w:tc>
          <w:tcPr>
            <w:tcW w:w="4123" w:type="dxa"/>
            <w:tcBorders>
              <w:top w:val="single" w:sz="4" w:space="0" w:color="auto"/>
              <w:left w:val="single" w:sz="4" w:space="0" w:color="auto"/>
              <w:bottom w:val="single" w:sz="4" w:space="0" w:color="auto"/>
              <w:right w:val="single" w:sz="4" w:space="0" w:color="auto"/>
            </w:tcBorders>
            <w:shd w:val="clear" w:color="auto" w:fill="auto"/>
          </w:tcPr>
          <w:p w:rsidR="000305DD" w:rsidRPr="00F24972" w:rsidRDefault="000305DD" w:rsidP="000305DD">
            <w:pPr>
              <w:pStyle w:val="TableText"/>
              <w:rPr>
                <w:rFonts w:cs="Arial"/>
              </w:rPr>
            </w:pPr>
            <w:r w:rsidRPr="00F24972">
              <w:rPr>
                <w:rFonts w:cs="Arial"/>
              </w:rPr>
              <w:t>Accrue workload when a specimen is maintained during order acceptance when a specimen is requirement for the order.</w:t>
            </w:r>
          </w:p>
          <w:p w:rsidR="000305DD" w:rsidRPr="00F24972" w:rsidRDefault="000305DD" w:rsidP="000305DD">
            <w:pPr>
              <w:pStyle w:val="TableText"/>
              <w:rPr>
                <w:rFonts w:cs="Arial"/>
              </w:rPr>
            </w:pPr>
            <w:r w:rsidRPr="00F24972">
              <w:rPr>
                <w:rFonts w:cs="Arial"/>
              </w:rPr>
              <w:t xml:space="preserve">Note: This event is accrued when the specimen is maintained in </w:t>
            </w:r>
            <w:r>
              <w:rPr>
                <w:rFonts w:cs="Arial"/>
              </w:rPr>
              <w:t>Maintain Specimen</w:t>
            </w:r>
            <w:r w:rsidRPr="00F24972">
              <w:rPr>
                <w:rFonts w:cs="Arial"/>
              </w:rPr>
              <w:t xml:space="preserve">. This is collected in addition to the accept order workload accrued by </w:t>
            </w:r>
            <w:r>
              <w:rPr>
                <w:rFonts w:cs="Arial"/>
              </w:rPr>
              <w:t>Accept Order</w:t>
            </w:r>
            <w:r w:rsidRPr="00F24972">
              <w:rPr>
                <w:rFonts w:cs="Arial"/>
              </w:rPr>
              <w:t>. Marking a specimen unacceptable does not create a negative workload event.</w:t>
            </w:r>
          </w:p>
        </w:tc>
      </w:tr>
      <w:tr w:rsidR="000305DD" w:rsidRPr="00F24972">
        <w:tblPrEx>
          <w:tblCellMar>
            <w:top w:w="0" w:type="dxa"/>
            <w:bottom w:w="0" w:type="dxa"/>
          </w:tblCellMar>
        </w:tblPrEx>
        <w:trPr>
          <w:cantSplit/>
        </w:trPr>
        <w:tc>
          <w:tcPr>
            <w:tcW w:w="1733" w:type="dxa"/>
            <w:vMerge w:val="restart"/>
          </w:tcPr>
          <w:p w:rsidR="000305DD" w:rsidRPr="0028710D" w:rsidRDefault="000305DD" w:rsidP="000305DD">
            <w:pPr>
              <w:pStyle w:val="TableText"/>
              <w:rPr>
                <w:rFonts w:cs="Arial"/>
                <w:lang w:val="fr-FR"/>
              </w:rPr>
            </w:pPr>
            <w:r w:rsidRPr="0028710D">
              <w:rPr>
                <w:rFonts w:cs="Arial"/>
                <w:lang w:val="fr-FR"/>
              </w:rPr>
              <w:t>Patient antigen phenotype (multiple phases)</w:t>
            </w:r>
          </w:p>
        </w:tc>
        <w:tc>
          <w:tcPr>
            <w:tcW w:w="1165" w:type="dxa"/>
          </w:tcPr>
          <w:p w:rsidR="000305DD" w:rsidRPr="00F24972" w:rsidRDefault="000305DD" w:rsidP="000305DD">
            <w:pPr>
              <w:pStyle w:val="TableText"/>
              <w:rPr>
                <w:rFonts w:cs="Arial"/>
              </w:rPr>
            </w:pPr>
            <w:r>
              <w:rPr>
                <w:rFonts w:cs="Arial"/>
              </w:rPr>
              <w:t>Patient Antigen typing</w:t>
            </w:r>
          </w:p>
          <w:p w:rsidR="000305DD" w:rsidRPr="00F24972" w:rsidRDefault="000305DD" w:rsidP="000305DD">
            <w:pPr>
              <w:pStyle w:val="TableText"/>
              <w:rPr>
                <w:rFonts w:cs="Arial"/>
              </w:rPr>
            </w:pPr>
          </w:p>
        </w:tc>
        <w:tc>
          <w:tcPr>
            <w:tcW w:w="1080" w:type="dxa"/>
          </w:tcPr>
          <w:p w:rsidR="000305DD" w:rsidRPr="00F24972" w:rsidRDefault="000305DD" w:rsidP="000305DD">
            <w:pPr>
              <w:pStyle w:val="TableText"/>
              <w:rPr>
                <w:rFonts w:cs="Arial"/>
              </w:rPr>
            </w:pPr>
            <w:r w:rsidRPr="00F24972">
              <w:rPr>
                <w:rFonts w:cs="Arial"/>
              </w:rPr>
              <w:t>Positive</w:t>
            </w:r>
          </w:p>
        </w:tc>
        <w:tc>
          <w:tcPr>
            <w:tcW w:w="900" w:type="dxa"/>
          </w:tcPr>
          <w:p w:rsidR="000305DD" w:rsidRPr="00F24972" w:rsidRDefault="000305DD" w:rsidP="000305DD">
            <w:pPr>
              <w:pStyle w:val="TableText"/>
              <w:jc w:val="center"/>
              <w:rPr>
                <w:rFonts w:cs="Arial"/>
              </w:rPr>
            </w:pPr>
            <w:r w:rsidRPr="00F24972">
              <w:rPr>
                <w:rFonts w:cs="Arial"/>
              </w:rPr>
              <w:t>P</w:t>
            </w:r>
          </w:p>
        </w:tc>
        <w:tc>
          <w:tcPr>
            <w:tcW w:w="4123" w:type="dxa"/>
          </w:tcPr>
          <w:p w:rsidR="000305DD" w:rsidRPr="00F24972" w:rsidRDefault="000305DD" w:rsidP="000305DD">
            <w:pPr>
              <w:pStyle w:val="TableText"/>
              <w:rPr>
                <w:rFonts w:cs="Arial"/>
              </w:rPr>
            </w:pPr>
            <w:r w:rsidRPr="00F24972">
              <w:rPr>
                <w:rFonts w:cs="Arial"/>
              </w:rPr>
              <w:t xml:space="preserve">Accrue workload when a patient antigen phenotype test [specificity (tab)] with IS/RT or IS/37 phases is completed and saved (when completed and saved via </w:t>
            </w:r>
            <w:r>
              <w:rPr>
                <w:rFonts w:cs="Arial"/>
              </w:rPr>
              <w:t>Record Testing</w:t>
            </w:r>
            <w:r w:rsidRPr="00F24972">
              <w:rPr>
                <w:rFonts w:cs="Arial"/>
              </w:rPr>
              <w:t>). One workload event is collected per completed tab for repeat or regular antigen tests.</w:t>
            </w:r>
          </w:p>
        </w:tc>
      </w:tr>
      <w:tr w:rsidR="000305DD" w:rsidRPr="00F24972">
        <w:tblPrEx>
          <w:tblCellMar>
            <w:top w:w="0" w:type="dxa"/>
            <w:bottom w:w="0" w:type="dxa"/>
          </w:tblCellMar>
        </w:tblPrEx>
        <w:trPr>
          <w:cantSplit/>
        </w:trPr>
        <w:tc>
          <w:tcPr>
            <w:tcW w:w="1733" w:type="dxa"/>
            <w:vMerge/>
          </w:tcPr>
          <w:p w:rsidR="000305DD" w:rsidRPr="00F24972" w:rsidRDefault="000305DD" w:rsidP="000305DD">
            <w:pPr>
              <w:pStyle w:val="TableText"/>
              <w:rPr>
                <w:rFonts w:cs="Arial"/>
              </w:rPr>
            </w:pPr>
          </w:p>
        </w:tc>
        <w:tc>
          <w:tcPr>
            <w:tcW w:w="1165" w:type="dxa"/>
          </w:tcPr>
          <w:p w:rsidR="000305DD" w:rsidRPr="00F24972" w:rsidRDefault="000305DD" w:rsidP="000305DD">
            <w:pPr>
              <w:pStyle w:val="TableText"/>
              <w:rPr>
                <w:rFonts w:cs="Arial"/>
              </w:rPr>
            </w:pPr>
            <w:r>
              <w:rPr>
                <w:rFonts w:cs="Arial"/>
              </w:rPr>
              <w:t>Invalidate, Patient Antigen typing</w:t>
            </w:r>
          </w:p>
          <w:p w:rsidR="000305DD" w:rsidRPr="00F24972" w:rsidRDefault="000305DD" w:rsidP="000305DD">
            <w:pPr>
              <w:pStyle w:val="TableText"/>
              <w:rPr>
                <w:rFonts w:cs="Arial"/>
              </w:rPr>
            </w:pPr>
          </w:p>
          <w:p w:rsidR="000305DD" w:rsidRPr="00F24972" w:rsidRDefault="000305DD" w:rsidP="000305DD">
            <w:pPr>
              <w:pStyle w:val="TableText"/>
              <w:rPr>
                <w:rFonts w:cs="Arial"/>
              </w:rPr>
            </w:pPr>
          </w:p>
        </w:tc>
        <w:tc>
          <w:tcPr>
            <w:tcW w:w="1080" w:type="dxa"/>
          </w:tcPr>
          <w:p w:rsidR="000305DD" w:rsidRPr="00F24972" w:rsidRDefault="000305DD" w:rsidP="000305DD">
            <w:pPr>
              <w:pStyle w:val="TableText"/>
              <w:rPr>
                <w:rFonts w:cs="Arial"/>
                <w:b/>
              </w:rPr>
            </w:pPr>
            <w:r w:rsidRPr="00F24972">
              <w:rPr>
                <w:rFonts w:cs="Arial"/>
                <w:b/>
              </w:rPr>
              <w:t>Negative</w:t>
            </w:r>
          </w:p>
        </w:tc>
        <w:tc>
          <w:tcPr>
            <w:tcW w:w="900" w:type="dxa"/>
          </w:tcPr>
          <w:p w:rsidR="000305DD" w:rsidRPr="00F24972" w:rsidRDefault="000305DD" w:rsidP="000305DD">
            <w:pPr>
              <w:pStyle w:val="TableText"/>
              <w:jc w:val="center"/>
              <w:rPr>
                <w:rFonts w:cs="Arial"/>
              </w:rPr>
            </w:pPr>
            <w:r w:rsidRPr="00F24972">
              <w:rPr>
                <w:rFonts w:cs="Arial"/>
              </w:rPr>
              <w:t>P</w:t>
            </w:r>
          </w:p>
        </w:tc>
        <w:tc>
          <w:tcPr>
            <w:tcW w:w="4123" w:type="dxa"/>
          </w:tcPr>
          <w:p w:rsidR="000305DD" w:rsidRPr="00F24972" w:rsidRDefault="000305DD" w:rsidP="000305DD">
            <w:pPr>
              <w:pStyle w:val="TableText"/>
              <w:rPr>
                <w:rFonts w:cs="Arial"/>
              </w:rPr>
            </w:pPr>
            <w:r w:rsidRPr="00F24972">
              <w:rPr>
                <w:rFonts w:cs="Arial"/>
              </w:rPr>
              <w:t xml:space="preserve">Accrue workload when a patient antigen phenotype test as defined by the antiserum specificity tested with any phases is invalidated. </w:t>
            </w:r>
          </w:p>
        </w:tc>
      </w:tr>
      <w:tr w:rsidR="000305DD" w:rsidRPr="00F24972">
        <w:tblPrEx>
          <w:tblCellMar>
            <w:top w:w="0" w:type="dxa"/>
            <w:bottom w:w="0" w:type="dxa"/>
          </w:tblCellMar>
        </w:tblPrEx>
        <w:trPr>
          <w:cantSplit/>
        </w:trPr>
        <w:tc>
          <w:tcPr>
            <w:tcW w:w="1733" w:type="dxa"/>
            <w:vMerge w:val="restart"/>
          </w:tcPr>
          <w:p w:rsidR="000305DD" w:rsidRPr="00F24972" w:rsidRDefault="000305DD" w:rsidP="000305DD">
            <w:pPr>
              <w:pStyle w:val="TableText"/>
              <w:rPr>
                <w:rFonts w:cs="Arial"/>
              </w:rPr>
            </w:pPr>
            <w:r w:rsidRPr="00F24972">
              <w:rPr>
                <w:rFonts w:cs="Arial"/>
              </w:rPr>
              <w:t>Patient antigen phenotype (single phase)</w:t>
            </w:r>
          </w:p>
        </w:tc>
        <w:tc>
          <w:tcPr>
            <w:tcW w:w="1165" w:type="dxa"/>
          </w:tcPr>
          <w:p w:rsidR="000305DD" w:rsidRPr="00F24972" w:rsidRDefault="000305DD" w:rsidP="000305DD">
            <w:pPr>
              <w:pStyle w:val="TableText"/>
              <w:rPr>
                <w:rFonts w:cs="Arial"/>
              </w:rPr>
            </w:pPr>
            <w:r>
              <w:rPr>
                <w:rFonts w:cs="Arial"/>
              </w:rPr>
              <w:t>Patient Antigen typing</w:t>
            </w:r>
          </w:p>
          <w:p w:rsidR="000305DD" w:rsidRPr="00F24972" w:rsidRDefault="000305DD" w:rsidP="000305DD">
            <w:pPr>
              <w:pStyle w:val="TableText"/>
              <w:rPr>
                <w:rFonts w:cs="Arial"/>
              </w:rPr>
            </w:pPr>
          </w:p>
        </w:tc>
        <w:tc>
          <w:tcPr>
            <w:tcW w:w="1080" w:type="dxa"/>
          </w:tcPr>
          <w:p w:rsidR="000305DD" w:rsidRPr="00F24972" w:rsidRDefault="000305DD" w:rsidP="000305DD">
            <w:pPr>
              <w:pStyle w:val="TableText"/>
              <w:rPr>
                <w:rFonts w:cs="Arial"/>
              </w:rPr>
            </w:pPr>
            <w:r w:rsidRPr="00F24972">
              <w:rPr>
                <w:rFonts w:cs="Arial"/>
              </w:rPr>
              <w:t>Positive</w:t>
            </w:r>
          </w:p>
        </w:tc>
        <w:tc>
          <w:tcPr>
            <w:tcW w:w="900" w:type="dxa"/>
          </w:tcPr>
          <w:p w:rsidR="000305DD" w:rsidRPr="00F24972" w:rsidRDefault="000305DD" w:rsidP="000305DD">
            <w:pPr>
              <w:pStyle w:val="TableText"/>
              <w:jc w:val="center"/>
              <w:rPr>
                <w:rFonts w:cs="Arial"/>
              </w:rPr>
            </w:pPr>
            <w:r w:rsidRPr="00F24972">
              <w:rPr>
                <w:rFonts w:cs="Arial"/>
              </w:rPr>
              <w:t>P</w:t>
            </w:r>
          </w:p>
        </w:tc>
        <w:tc>
          <w:tcPr>
            <w:tcW w:w="4123" w:type="dxa"/>
          </w:tcPr>
          <w:p w:rsidR="000305DD" w:rsidRPr="00F24972" w:rsidRDefault="000305DD" w:rsidP="000305DD">
            <w:pPr>
              <w:pStyle w:val="TableText"/>
              <w:rPr>
                <w:rFonts w:cs="Arial"/>
              </w:rPr>
            </w:pPr>
            <w:r w:rsidRPr="00F24972">
              <w:rPr>
                <w:rFonts w:cs="Arial"/>
              </w:rPr>
              <w:t xml:space="preserve">Accrue workload when a patient antigen phenotype test [specificity (tab)] with AHG or IS phase is completed and saved (when completed and saved via </w:t>
            </w:r>
            <w:r>
              <w:rPr>
                <w:rFonts w:cs="Arial"/>
              </w:rPr>
              <w:t>Record Testing</w:t>
            </w:r>
            <w:r w:rsidRPr="00F24972">
              <w:rPr>
                <w:rFonts w:cs="Arial"/>
              </w:rPr>
              <w:t>). One workload event is collected per completed tab for repeat or regular antigen tests.</w:t>
            </w:r>
          </w:p>
        </w:tc>
      </w:tr>
      <w:tr w:rsidR="000305DD" w:rsidRPr="00F24972">
        <w:tblPrEx>
          <w:tblCellMar>
            <w:top w:w="0" w:type="dxa"/>
            <w:bottom w:w="0" w:type="dxa"/>
          </w:tblCellMar>
        </w:tblPrEx>
        <w:trPr>
          <w:cantSplit/>
        </w:trPr>
        <w:tc>
          <w:tcPr>
            <w:tcW w:w="1733" w:type="dxa"/>
            <w:vMerge/>
            <w:tcBorders>
              <w:bottom w:val="single" w:sz="4" w:space="0" w:color="auto"/>
            </w:tcBorders>
          </w:tcPr>
          <w:p w:rsidR="000305DD" w:rsidRPr="00F24972" w:rsidRDefault="000305DD" w:rsidP="000305DD">
            <w:pPr>
              <w:pStyle w:val="TableText"/>
              <w:rPr>
                <w:rFonts w:cs="Arial"/>
              </w:rPr>
            </w:pPr>
          </w:p>
        </w:tc>
        <w:tc>
          <w:tcPr>
            <w:tcW w:w="1165" w:type="dxa"/>
            <w:tcBorders>
              <w:top w:val="single" w:sz="4" w:space="0" w:color="auto"/>
              <w:bottom w:val="single" w:sz="4" w:space="0" w:color="auto"/>
              <w:right w:val="single" w:sz="4" w:space="0" w:color="auto"/>
            </w:tcBorders>
          </w:tcPr>
          <w:p w:rsidR="000305DD" w:rsidRPr="00F24972" w:rsidRDefault="000305DD" w:rsidP="000305DD">
            <w:pPr>
              <w:pStyle w:val="TableText"/>
              <w:rPr>
                <w:rFonts w:cs="Arial"/>
              </w:rPr>
            </w:pPr>
            <w:r>
              <w:rPr>
                <w:rFonts w:cs="Arial"/>
              </w:rPr>
              <w:t>Invalidate, Patient Antigen typing</w:t>
            </w:r>
          </w:p>
          <w:p w:rsidR="000305DD" w:rsidRPr="00F24972" w:rsidRDefault="000305DD" w:rsidP="000305DD">
            <w:pPr>
              <w:pStyle w:val="TableText"/>
              <w:rPr>
                <w:rFonts w:cs="Arial"/>
              </w:rPr>
            </w:pPr>
          </w:p>
          <w:p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jc w:val="center"/>
              <w:rPr>
                <w:rFonts w:cs="Arial"/>
              </w:rPr>
            </w:pPr>
            <w:r w:rsidRPr="00F24972">
              <w:rPr>
                <w:rFonts w:cs="Arial"/>
              </w:rPr>
              <w:t>P</w:t>
            </w:r>
          </w:p>
        </w:tc>
        <w:tc>
          <w:tcPr>
            <w:tcW w:w="4123"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 xml:space="preserve">Accrue workload when a patient antigen phenotype test as defined by the antiserum specificity tested with a single phases is invalidated. </w:t>
            </w:r>
          </w:p>
        </w:tc>
      </w:tr>
      <w:tr w:rsidR="000305DD" w:rsidRPr="00F24972">
        <w:tblPrEx>
          <w:tblCellMar>
            <w:top w:w="0" w:type="dxa"/>
            <w:bottom w:w="0" w:type="dxa"/>
          </w:tblCellMar>
        </w:tblPrEx>
        <w:trPr>
          <w:cantSplit/>
        </w:trPr>
        <w:tc>
          <w:tcPr>
            <w:tcW w:w="1733" w:type="dxa"/>
            <w:vMerge w:val="restart"/>
            <w:tcBorders>
              <w:top w:val="single" w:sz="4" w:space="0" w:color="auto"/>
              <w:left w:val="single" w:sz="4" w:space="0" w:color="auto"/>
              <w:right w:val="single" w:sz="4" w:space="0" w:color="auto"/>
            </w:tcBorders>
          </w:tcPr>
          <w:p w:rsidR="000305DD" w:rsidRPr="00F24972" w:rsidRDefault="000305DD" w:rsidP="000305DD">
            <w:pPr>
              <w:pStyle w:val="TableText"/>
              <w:rPr>
                <w:rFonts w:cs="Arial"/>
              </w:rPr>
            </w:pPr>
            <w:r w:rsidRPr="00F24972">
              <w:rPr>
                <w:rFonts w:cs="Arial"/>
              </w:rPr>
              <w:lastRenderedPageBreak/>
              <w:t>Pool unit</w:t>
            </w:r>
          </w:p>
          <w:p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Pr>
                <w:rFonts w:cs="Arial"/>
              </w:rPr>
              <w:t>Modify, Pool</w:t>
            </w:r>
          </w:p>
        </w:tc>
        <w:tc>
          <w:tcPr>
            <w:tcW w:w="108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Accrue workload when a pooled unit is created and a single workload event is recorded regardless of the number of units included in the pooled unit. This applies to modification type: Pool. Add/Remove unit from a pool does not accrue any workload.</w:t>
            </w:r>
            <w:r w:rsidRPr="00F24972">
              <w:rPr>
                <w:rFonts w:cs="Arial"/>
                <w:i/>
              </w:rPr>
              <w:t xml:space="preserve"> </w:t>
            </w:r>
          </w:p>
          <w:p w:rsidR="000305DD" w:rsidRPr="00F24972" w:rsidRDefault="000305DD" w:rsidP="000305DD">
            <w:pPr>
              <w:pStyle w:val="TableText"/>
              <w:rPr>
                <w:rFonts w:cs="Arial"/>
                <w:i/>
              </w:rPr>
            </w:pPr>
            <w:r w:rsidRPr="00F24972">
              <w:rPr>
                <w:rFonts w:cs="Arial"/>
                <w:i/>
              </w:rPr>
              <w:t>Note: Workload is not accrued when a patient assignment is processed and VBECS releases all other patient assignments. Workload is not accrued when VBECS is required to quarantine the unit.</w:t>
            </w:r>
          </w:p>
          <w:p w:rsidR="000305DD" w:rsidRPr="00F24972" w:rsidRDefault="000305DD" w:rsidP="000305DD">
            <w:pPr>
              <w:pStyle w:val="TableText"/>
              <w:rPr>
                <w:rFonts w:cs="Arial"/>
                <w:i/>
              </w:rPr>
            </w:pPr>
            <w:r w:rsidRPr="00F24972">
              <w:rPr>
                <w:rFonts w:cs="Arial"/>
                <w:i/>
              </w:rPr>
              <w:t xml:space="preserve">Workload accrued by Pooling is invalidated in </w:t>
            </w:r>
            <w:r>
              <w:rPr>
                <w:rFonts w:cs="Arial"/>
                <w:i/>
              </w:rPr>
              <w:t>Edit Unit Processing Information</w:t>
            </w:r>
            <w:r w:rsidRPr="00F24972">
              <w:rPr>
                <w:rFonts w:cs="Arial"/>
                <w:i/>
              </w:rPr>
              <w:t xml:space="preserve"> with the inactivation of the pooled unit.</w:t>
            </w:r>
          </w:p>
        </w:tc>
      </w:tr>
      <w:tr w:rsidR="000305DD" w:rsidRPr="00F24972">
        <w:tblPrEx>
          <w:tblCellMar>
            <w:top w:w="0" w:type="dxa"/>
            <w:bottom w:w="0" w:type="dxa"/>
          </w:tblCellMar>
        </w:tblPrEx>
        <w:trPr>
          <w:cantSplit/>
        </w:trPr>
        <w:tc>
          <w:tcPr>
            <w:tcW w:w="1733" w:type="dxa"/>
            <w:vMerge/>
            <w:tcBorders>
              <w:left w:val="single" w:sz="4" w:space="0" w:color="auto"/>
              <w:right w:val="single" w:sz="4" w:space="0" w:color="auto"/>
            </w:tcBorders>
          </w:tcPr>
          <w:p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Pr>
                <w:rFonts w:cs="Arial"/>
              </w:rPr>
              <w:t>Edit Unit, Inactive Unit (that was in a Pool)</w:t>
            </w:r>
          </w:p>
        </w:tc>
        <w:tc>
          <w:tcPr>
            <w:tcW w:w="108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Accrue workload when a unit is inactivated (unit record inactivated) when the pooled unit was created in VBECS.</w:t>
            </w:r>
            <w:r>
              <w:rPr>
                <w:rFonts w:cs="Arial"/>
              </w:rPr>
              <w:t xml:space="preserve"> </w:t>
            </w:r>
          </w:p>
        </w:tc>
      </w:tr>
      <w:tr w:rsidR="000305DD" w:rsidRPr="00F24972">
        <w:tblPrEx>
          <w:tblCellMar>
            <w:top w:w="0" w:type="dxa"/>
            <w:bottom w:w="0" w:type="dxa"/>
          </w:tblCellMar>
        </w:tblPrEx>
        <w:trPr>
          <w:cantSplit/>
        </w:trPr>
        <w:tc>
          <w:tcPr>
            <w:tcW w:w="1733" w:type="dxa"/>
            <w:vMerge/>
            <w:tcBorders>
              <w:left w:val="single" w:sz="4" w:space="0" w:color="auto"/>
              <w:bottom w:val="single" w:sz="4" w:space="0" w:color="auto"/>
              <w:right w:val="single" w:sz="4" w:space="0" w:color="auto"/>
            </w:tcBorders>
          </w:tcPr>
          <w:p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Pr>
                <w:rFonts w:cs="Arial"/>
              </w:rPr>
              <w:t>Invalidate unit status,  Pool</w:t>
            </w:r>
          </w:p>
        </w:tc>
        <w:tc>
          <w:tcPr>
            <w:tcW w:w="108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b/>
              </w:rPr>
            </w:pPr>
            <w:r w:rsidRPr="00F24972">
              <w:rPr>
                <w:rFonts w:cs="Arial"/>
                <w:b/>
              </w:rPr>
              <w:t>None</w:t>
            </w:r>
          </w:p>
        </w:tc>
        <w:tc>
          <w:tcPr>
            <w:tcW w:w="90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jc w:val="center"/>
              <w:rPr>
                <w:rFonts w:cs="Arial"/>
              </w:rPr>
            </w:pPr>
            <w:r w:rsidRPr="00F24972">
              <w:rPr>
                <w:rFonts w:cs="Arial"/>
              </w:rPr>
              <w:t>N/A</w:t>
            </w:r>
          </w:p>
        </w:tc>
        <w:tc>
          <w:tcPr>
            <w:tcW w:w="4123"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 xml:space="preserve">No effect on workload accrual when a unit is removed from a modified status that was included in a pool. </w:t>
            </w:r>
          </w:p>
        </w:tc>
      </w:tr>
      <w:tr w:rsidR="000305DD" w:rsidRPr="00F24972">
        <w:tblPrEx>
          <w:tblCellMar>
            <w:top w:w="0" w:type="dxa"/>
            <w:bottom w:w="0" w:type="dxa"/>
          </w:tblCellMar>
        </w:tblPrEx>
        <w:trPr>
          <w:cantSplit/>
        </w:trPr>
        <w:tc>
          <w:tcPr>
            <w:tcW w:w="1733" w:type="dxa"/>
          </w:tcPr>
          <w:p w:rsidR="000305DD" w:rsidRPr="00F24972" w:rsidRDefault="000305DD" w:rsidP="000305DD">
            <w:pPr>
              <w:pStyle w:val="TableText"/>
              <w:rPr>
                <w:rFonts w:cs="Arial"/>
              </w:rPr>
            </w:pPr>
            <w:r w:rsidRPr="00F24972">
              <w:rPr>
                <w:rFonts w:cs="Arial"/>
              </w:rPr>
              <w:t>Quarantine unit</w:t>
            </w:r>
          </w:p>
        </w:tc>
        <w:tc>
          <w:tcPr>
            <w:tcW w:w="1165" w:type="dxa"/>
          </w:tcPr>
          <w:p w:rsidR="000305DD" w:rsidRPr="00F24972" w:rsidRDefault="000305DD" w:rsidP="000305DD">
            <w:pPr>
              <w:pStyle w:val="TableText"/>
              <w:rPr>
                <w:rFonts w:cs="Arial"/>
              </w:rPr>
            </w:pPr>
            <w:r>
              <w:rPr>
                <w:rFonts w:cs="Arial"/>
              </w:rPr>
              <w:t>Discard/Quarantine, Quarantine unit</w:t>
            </w:r>
          </w:p>
        </w:tc>
        <w:tc>
          <w:tcPr>
            <w:tcW w:w="1080" w:type="dxa"/>
          </w:tcPr>
          <w:p w:rsidR="000305DD" w:rsidRPr="00F24972" w:rsidRDefault="000305DD" w:rsidP="000305DD">
            <w:pPr>
              <w:pStyle w:val="TableText"/>
              <w:rPr>
                <w:rFonts w:cs="Arial"/>
              </w:rPr>
            </w:pPr>
            <w:r w:rsidRPr="00F24972">
              <w:rPr>
                <w:rFonts w:cs="Arial"/>
              </w:rPr>
              <w:t>Positive</w:t>
            </w:r>
          </w:p>
        </w:tc>
        <w:tc>
          <w:tcPr>
            <w:tcW w:w="900" w:type="dxa"/>
          </w:tcPr>
          <w:p w:rsidR="000305DD" w:rsidRPr="00F24972" w:rsidRDefault="000305DD" w:rsidP="000305DD">
            <w:pPr>
              <w:pStyle w:val="TableText"/>
              <w:jc w:val="center"/>
              <w:rPr>
                <w:rFonts w:cs="Arial"/>
              </w:rPr>
            </w:pPr>
            <w:r w:rsidRPr="00F24972">
              <w:rPr>
                <w:rFonts w:cs="Arial"/>
              </w:rPr>
              <w:t>U</w:t>
            </w:r>
          </w:p>
        </w:tc>
        <w:tc>
          <w:tcPr>
            <w:tcW w:w="4123" w:type="dxa"/>
          </w:tcPr>
          <w:p w:rsidR="000305DD" w:rsidRPr="00F24972" w:rsidRDefault="000305DD" w:rsidP="000305DD">
            <w:pPr>
              <w:pStyle w:val="TableText"/>
              <w:rPr>
                <w:rFonts w:cs="Arial"/>
              </w:rPr>
            </w:pPr>
            <w:r w:rsidRPr="00F24972">
              <w:rPr>
                <w:rFonts w:cs="Arial"/>
              </w:rPr>
              <w:t>Accrue workload when a unit is marked for quarantine. When a batch of units is selected, each unit accrues workload.</w:t>
            </w:r>
          </w:p>
        </w:tc>
      </w:tr>
      <w:tr w:rsidR="000305DD" w:rsidRPr="00F24972">
        <w:tblPrEx>
          <w:tblCellMar>
            <w:top w:w="0" w:type="dxa"/>
            <w:bottom w:w="0" w:type="dxa"/>
          </w:tblCellMar>
        </w:tblPrEx>
        <w:trPr>
          <w:cantSplit/>
        </w:trPr>
        <w:tc>
          <w:tcPr>
            <w:tcW w:w="1733" w:type="dxa"/>
          </w:tcPr>
          <w:p w:rsidR="000305DD" w:rsidRPr="00F24972" w:rsidRDefault="000305DD" w:rsidP="000305DD">
            <w:pPr>
              <w:pStyle w:val="TableText"/>
              <w:rPr>
                <w:rFonts w:cs="Arial"/>
              </w:rPr>
            </w:pPr>
            <w:r w:rsidRPr="00F24972">
              <w:rPr>
                <w:rFonts w:cs="Arial"/>
              </w:rPr>
              <w:t>Release directed unit</w:t>
            </w:r>
          </w:p>
        </w:tc>
        <w:tc>
          <w:tcPr>
            <w:tcW w:w="1165" w:type="dxa"/>
          </w:tcPr>
          <w:p w:rsidR="000305DD" w:rsidRPr="00F24972" w:rsidRDefault="000305DD" w:rsidP="000305DD">
            <w:pPr>
              <w:pStyle w:val="TableText"/>
              <w:rPr>
                <w:rFonts w:cs="Arial"/>
              </w:rPr>
            </w:pPr>
            <w:r>
              <w:rPr>
                <w:rFonts w:cs="Arial"/>
              </w:rPr>
              <w:t>Free Directed Unit</w:t>
            </w:r>
          </w:p>
        </w:tc>
        <w:tc>
          <w:tcPr>
            <w:tcW w:w="1080" w:type="dxa"/>
          </w:tcPr>
          <w:p w:rsidR="000305DD" w:rsidRPr="00F24972" w:rsidRDefault="000305DD" w:rsidP="000305DD">
            <w:pPr>
              <w:pStyle w:val="TableText"/>
              <w:rPr>
                <w:rFonts w:cs="Arial"/>
              </w:rPr>
            </w:pPr>
            <w:r w:rsidRPr="00F24972">
              <w:rPr>
                <w:rFonts w:cs="Arial"/>
              </w:rPr>
              <w:t>Positive</w:t>
            </w:r>
          </w:p>
        </w:tc>
        <w:tc>
          <w:tcPr>
            <w:tcW w:w="900" w:type="dxa"/>
          </w:tcPr>
          <w:p w:rsidR="000305DD" w:rsidRPr="00F24972" w:rsidRDefault="000305DD" w:rsidP="000305DD">
            <w:pPr>
              <w:pStyle w:val="TableText"/>
              <w:jc w:val="center"/>
              <w:rPr>
                <w:rFonts w:cs="Arial"/>
              </w:rPr>
            </w:pPr>
            <w:r w:rsidRPr="00F24972">
              <w:rPr>
                <w:rFonts w:cs="Arial"/>
              </w:rPr>
              <w:t>U</w:t>
            </w:r>
          </w:p>
        </w:tc>
        <w:tc>
          <w:tcPr>
            <w:tcW w:w="4123" w:type="dxa"/>
          </w:tcPr>
          <w:p w:rsidR="000305DD" w:rsidRPr="00F24972" w:rsidRDefault="000305DD" w:rsidP="000305DD">
            <w:pPr>
              <w:pStyle w:val="TableText"/>
              <w:rPr>
                <w:rFonts w:cs="Arial"/>
              </w:rPr>
            </w:pPr>
            <w:r w:rsidRPr="00F24972">
              <w:rPr>
                <w:rFonts w:cs="Arial"/>
              </w:rPr>
              <w:t>Accrue workload when an individual blood unit with the restriction type of directed is released for use as an allogeneic unit.</w:t>
            </w:r>
          </w:p>
        </w:tc>
      </w:tr>
      <w:tr w:rsidR="000305DD" w:rsidRPr="00F24972">
        <w:tblPrEx>
          <w:tblCellMar>
            <w:top w:w="0" w:type="dxa"/>
            <w:bottom w:w="0" w:type="dxa"/>
          </w:tblCellMar>
        </w:tblPrEx>
        <w:trPr>
          <w:cantSplit/>
        </w:trPr>
        <w:tc>
          <w:tcPr>
            <w:tcW w:w="1733"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Release unit from patient back to inventory</w:t>
            </w:r>
          </w:p>
        </w:tc>
        <w:tc>
          <w:tcPr>
            <w:tcW w:w="1165"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Pr>
                <w:rFonts w:cs="Arial"/>
              </w:rPr>
              <w:t>Release Unit from Patient Assignment</w:t>
            </w:r>
          </w:p>
        </w:tc>
        <w:tc>
          <w:tcPr>
            <w:tcW w:w="108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jc w:val="center"/>
              <w:rPr>
                <w:rFonts w:cs="Arial"/>
              </w:rPr>
            </w:pPr>
            <w:r>
              <w:rPr>
                <w:rFonts w:cs="Arial"/>
              </w:rPr>
              <w:t>U</w:t>
            </w:r>
          </w:p>
        </w:tc>
        <w:tc>
          <w:tcPr>
            <w:tcW w:w="4123"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Accrue workload when an individual unit is released from patient assignment. When a multiple units are selected, each unit accrues workload.</w:t>
            </w:r>
          </w:p>
        </w:tc>
      </w:tr>
      <w:tr w:rsidR="000305DD" w:rsidRPr="00F24972">
        <w:tblPrEx>
          <w:tblCellMar>
            <w:top w:w="0" w:type="dxa"/>
            <w:bottom w:w="0" w:type="dxa"/>
          </w:tblCellMar>
        </w:tblPrEx>
        <w:trPr>
          <w:cantSplit/>
        </w:trPr>
        <w:tc>
          <w:tcPr>
            <w:tcW w:w="1733" w:type="dxa"/>
          </w:tcPr>
          <w:p w:rsidR="000305DD" w:rsidRPr="00F24972" w:rsidRDefault="000305DD" w:rsidP="000305DD">
            <w:pPr>
              <w:pStyle w:val="TableText"/>
              <w:rPr>
                <w:rFonts w:cs="Arial"/>
              </w:rPr>
            </w:pPr>
            <w:r w:rsidRPr="00F24972">
              <w:rPr>
                <w:rFonts w:cs="Arial"/>
              </w:rPr>
              <w:t xml:space="preserve">Release unit from Quarantine </w:t>
            </w:r>
          </w:p>
        </w:tc>
        <w:tc>
          <w:tcPr>
            <w:tcW w:w="1165" w:type="dxa"/>
          </w:tcPr>
          <w:p w:rsidR="000305DD" w:rsidRPr="00F24972" w:rsidRDefault="000305DD" w:rsidP="000305DD">
            <w:pPr>
              <w:pStyle w:val="TableText"/>
              <w:rPr>
                <w:rFonts w:cs="Arial"/>
              </w:rPr>
            </w:pPr>
            <w:r>
              <w:rPr>
                <w:rFonts w:cs="Arial"/>
              </w:rPr>
              <w:t xml:space="preserve">Discard/Quarantine, Release Unit from Quarantine </w:t>
            </w:r>
          </w:p>
        </w:tc>
        <w:tc>
          <w:tcPr>
            <w:tcW w:w="1080" w:type="dxa"/>
          </w:tcPr>
          <w:p w:rsidR="000305DD" w:rsidRPr="00F24972" w:rsidRDefault="000305DD" w:rsidP="000305DD">
            <w:pPr>
              <w:pStyle w:val="TableText"/>
              <w:rPr>
                <w:rFonts w:cs="Arial"/>
              </w:rPr>
            </w:pPr>
            <w:r w:rsidRPr="00F24972">
              <w:rPr>
                <w:rFonts w:cs="Arial"/>
              </w:rPr>
              <w:t>Positive</w:t>
            </w:r>
          </w:p>
        </w:tc>
        <w:tc>
          <w:tcPr>
            <w:tcW w:w="900" w:type="dxa"/>
          </w:tcPr>
          <w:p w:rsidR="000305DD" w:rsidRPr="00F24972" w:rsidRDefault="000305DD" w:rsidP="000305DD">
            <w:pPr>
              <w:pStyle w:val="TableText"/>
              <w:jc w:val="center"/>
              <w:rPr>
                <w:rFonts w:cs="Arial"/>
              </w:rPr>
            </w:pPr>
            <w:r w:rsidRPr="00F24972">
              <w:rPr>
                <w:rFonts w:cs="Arial"/>
              </w:rPr>
              <w:t>U</w:t>
            </w:r>
          </w:p>
        </w:tc>
        <w:tc>
          <w:tcPr>
            <w:tcW w:w="4123" w:type="dxa"/>
          </w:tcPr>
          <w:p w:rsidR="000305DD" w:rsidRPr="00F24972" w:rsidRDefault="000305DD" w:rsidP="000305DD">
            <w:pPr>
              <w:pStyle w:val="TableText"/>
              <w:rPr>
                <w:rFonts w:cs="Arial"/>
              </w:rPr>
            </w:pPr>
            <w:r w:rsidRPr="00F24972">
              <w:rPr>
                <w:rFonts w:cs="Arial"/>
              </w:rPr>
              <w:t>Accrue workload when a unit is released from quarantine. When a batch of units is selected, each unit accrues workload.</w:t>
            </w:r>
          </w:p>
        </w:tc>
      </w:tr>
      <w:tr w:rsidR="000305DD" w:rsidRPr="00F24972">
        <w:tblPrEx>
          <w:tblCellMar>
            <w:top w:w="0" w:type="dxa"/>
            <w:bottom w:w="0" w:type="dxa"/>
          </w:tblCellMar>
        </w:tblPrEx>
        <w:trPr>
          <w:cantSplit/>
        </w:trPr>
        <w:tc>
          <w:tcPr>
            <w:tcW w:w="1733"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Return Issued unit</w:t>
            </w:r>
          </w:p>
        </w:tc>
        <w:tc>
          <w:tcPr>
            <w:tcW w:w="1165"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Pr>
                <w:rFonts w:cs="Arial"/>
              </w:rPr>
              <w:t>Return Issued unit to Inventory</w:t>
            </w:r>
          </w:p>
        </w:tc>
        <w:tc>
          <w:tcPr>
            <w:tcW w:w="108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jc w:val="center"/>
              <w:rPr>
                <w:rFonts w:cs="Arial"/>
              </w:rPr>
            </w:pPr>
            <w:r>
              <w:rPr>
                <w:rFonts w:cs="Arial"/>
              </w:rPr>
              <w:t>U</w:t>
            </w:r>
          </w:p>
        </w:tc>
        <w:tc>
          <w:tcPr>
            <w:tcW w:w="4123"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 xml:space="preserve">Accrue workload when a unit is returned from issue status. </w:t>
            </w:r>
          </w:p>
        </w:tc>
      </w:tr>
      <w:tr w:rsidR="000305DD" w:rsidRPr="00F24972">
        <w:tblPrEx>
          <w:tblCellMar>
            <w:top w:w="0" w:type="dxa"/>
            <w:bottom w:w="0" w:type="dxa"/>
          </w:tblCellMar>
        </w:tblPrEx>
        <w:trPr>
          <w:cantSplit/>
        </w:trPr>
        <w:tc>
          <w:tcPr>
            <w:tcW w:w="1733"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i/>
              </w:rPr>
            </w:pPr>
            <w:r w:rsidRPr="00F24972">
              <w:rPr>
                <w:rFonts w:cs="Arial"/>
                <w:i/>
              </w:rPr>
              <w:t xml:space="preserve">See </w:t>
            </w:r>
            <w:r>
              <w:rPr>
                <w:rFonts w:cs="Arial"/>
                <w:i/>
              </w:rPr>
              <w:t>Serologic Crossmatch, Patient ABO/Rh, Patient ABS, Patient DAT, Patient Antigen Typing</w:t>
            </w:r>
            <w:r w:rsidRPr="00F24972">
              <w:rPr>
                <w:rFonts w:cs="Arial"/>
                <w:i/>
              </w:rPr>
              <w:t xml:space="preserve"> </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0305DD" w:rsidRPr="00F24972" w:rsidRDefault="000305DD" w:rsidP="000305DD">
            <w:pPr>
              <w:pStyle w:val="TableText"/>
              <w:rPr>
                <w:rFonts w:cs="Arial"/>
                <w:i/>
                <w:snapToGrid w:val="0"/>
              </w:rPr>
            </w:pPr>
            <w:r>
              <w:rPr>
                <w:rFonts w:cs="Arial"/>
                <w:i/>
                <w:snapToGrid w:val="0"/>
              </w:rPr>
              <w:t>Patient Testing</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305DD" w:rsidRPr="00F24972" w:rsidRDefault="000305DD" w:rsidP="000305DD">
            <w:pPr>
              <w:pStyle w:val="TableText"/>
              <w:rPr>
                <w:rFonts w:cs="Arial"/>
                <w:i/>
              </w:rPr>
            </w:pPr>
            <w:r w:rsidRPr="00F24972">
              <w:rPr>
                <w:rFonts w:cs="Arial"/>
                <w:i/>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305DD" w:rsidRPr="00F24972" w:rsidRDefault="000305DD" w:rsidP="000305DD">
            <w:pPr>
              <w:pStyle w:val="TableText"/>
              <w:jc w:val="center"/>
              <w:rPr>
                <w:rFonts w:cs="Arial"/>
                <w:i/>
              </w:rPr>
            </w:pPr>
            <w:r w:rsidRPr="00F24972">
              <w:rPr>
                <w:rFonts w:cs="Arial"/>
                <w:i/>
              </w:rPr>
              <w:t>Various</w:t>
            </w:r>
          </w:p>
        </w:tc>
        <w:tc>
          <w:tcPr>
            <w:tcW w:w="4123" w:type="dxa"/>
            <w:tcBorders>
              <w:top w:val="single" w:sz="4" w:space="0" w:color="auto"/>
              <w:left w:val="single" w:sz="4" w:space="0" w:color="auto"/>
              <w:bottom w:val="single" w:sz="4" w:space="0" w:color="auto"/>
              <w:right w:val="single" w:sz="4" w:space="0" w:color="auto"/>
            </w:tcBorders>
            <w:shd w:val="clear" w:color="auto" w:fill="auto"/>
          </w:tcPr>
          <w:p w:rsidR="000305DD" w:rsidRPr="00F24972" w:rsidRDefault="000305DD" w:rsidP="000305DD">
            <w:pPr>
              <w:pStyle w:val="TableText"/>
              <w:rPr>
                <w:rFonts w:cs="Arial"/>
                <w:i/>
              </w:rPr>
            </w:pPr>
            <w:r>
              <w:rPr>
                <w:rFonts w:cs="Arial"/>
                <w:i/>
              </w:rPr>
              <w:t>Patient Testing</w:t>
            </w:r>
            <w:r w:rsidRPr="00F24972">
              <w:rPr>
                <w:rFonts w:cs="Arial"/>
                <w:i/>
              </w:rPr>
              <w:t xml:space="preserve"> encapsulates </w:t>
            </w:r>
            <w:r>
              <w:rPr>
                <w:rFonts w:cs="Arial"/>
                <w:i/>
              </w:rPr>
              <w:t>Serologic Crossmatch, Patient ABO/Rh, Patient ABS, Patient DAT, Patient Antigen Typing. Patient Testing</w:t>
            </w:r>
            <w:r w:rsidRPr="00F24972">
              <w:rPr>
                <w:rFonts w:cs="Arial"/>
                <w:i/>
              </w:rPr>
              <w:t xml:space="preserve"> does not in and of itself accrue workload, but accrues workload for the various testing grids for which it controls the data save. See the various </w:t>
            </w:r>
            <w:r>
              <w:rPr>
                <w:rFonts w:cs="Arial"/>
                <w:i/>
              </w:rPr>
              <w:t>options</w:t>
            </w:r>
            <w:r w:rsidRPr="00F24972">
              <w:rPr>
                <w:rFonts w:cs="Arial"/>
                <w:i/>
              </w:rPr>
              <w:t xml:space="preserve"> in this list for more information.</w:t>
            </w:r>
          </w:p>
        </w:tc>
      </w:tr>
      <w:tr w:rsidR="000305DD" w:rsidRPr="00F24972">
        <w:tblPrEx>
          <w:tblCellMar>
            <w:top w:w="0" w:type="dxa"/>
            <w:bottom w:w="0" w:type="dxa"/>
          </w:tblCellMar>
        </w:tblPrEx>
        <w:trPr>
          <w:cantSplit/>
          <w:trHeight w:val="1970"/>
        </w:trPr>
        <w:tc>
          <w:tcPr>
            <w:tcW w:w="1733" w:type="dxa"/>
            <w:vMerge w:val="restart"/>
          </w:tcPr>
          <w:p w:rsidR="000305DD" w:rsidRPr="00F24972" w:rsidRDefault="000305DD" w:rsidP="000305DD">
            <w:pPr>
              <w:pStyle w:val="TableText"/>
              <w:rPr>
                <w:rFonts w:cs="Arial"/>
              </w:rPr>
            </w:pPr>
            <w:r w:rsidRPr="00F24972">
              <w:rPr>
                <w:rFonts w:cs="Arial"/>
              </w:rPr>
              <w:lastRenderedPageBreak/>
              <w:t>Thaw/pool Cryo</w:t>
            </w:r>
          </w:p>
        </w:tc>
        <w:tc>
          <w:tcPr>
            <w:tcW w:w="1165" w:type="dxa"/>
          </w:tcPr>
          <w:p w:rsidR="000305DD" w:rsidRPr="00F24972" w:rsidRDefault="000305DD" w:rsidP="000305DD">
            <w:pPr>
              <w:pStyle w:val="TableText"/>
              <w:rPr>
                <w:rFonts w:cs="Arial"/>
              </w:rPr>
            </w:pPr>
            <w:r>
              <w:rPr>
                <w:rFonts w:cs="Arial"/>
              </w:rPr>
              <w:t>Modify Unit, Thaw/Pool</w:t>
            </w:r>
          </w:p>
        </w:tc>
        <w:tc>
          <w:tcPr>
            <w:tcW w:w="1080" w:type="dxa"/>
          </w:tcPr>
          <w:p w:rsidR="000305DD" w:rsidRPr="00F24972" w:rsidRDefault="000305DD" w:rsidP="000305DD">
            <w:pPr>
              <w:pStyle w:val="TableText"/>
              <w:rPr>
                <w:rFonts w:cs="Arial"/>
              </w:rPr>
            </w:pPr>
            <w:r w:rsidRPr="00F24972">
              <w:rPr>
                <w:rFonts w:cs="Arial"/>
              </w:rPr>
              <w:t>Positive</w:t>
            </w:r>
          </w:p>
        </w:tc>
        <w:tc>
          <w:tcPr>
            <w:tcW w:w="900" w:type="dxa"/>
          </w:tcPr>
          <w:p w:rsidR="000305DD" w:rsidRPr="00F24972" w:rsidRDefault="000305DD" w:rsidP="000305DD">
            <w:pPr>
              <w:pStyle w:val="TableText"/>
              <w:jc w:val="center"/>
              <w:rPr>
                <w:rFonts w:cs="Arial"/>
              </w:rPr>
            </w:pPr>
            <w:r w:rsidRPr="00F24972">
              <w:rPr>
                <w:rFonts w:cs="Arial"/>
              </w:rPr>
              <w:t>U</w:t>
            </w:r>
          </w:p>
        </w:tc>
        <w:tc>
          <w:tcPr>
            <w:tcW w:w="4123" w:type="dxa"/>
          </w:tcPr>
          <w:p w:rsidR="000305DD" w:rsidRPr="00F24972" w:rsidRDefault="000305DD" w:rsidP="000305DD">
            <w:pPr>
              <w:pStyle w:val="TableText"/>
              <w:rPr>
                <w:rFonts w:cs="Arial"/>
              </w:rPr>
            </w:pPr>
            <w:r w:rsidRPr="00F24972">
              <w:rPr>
                <w:rFonts w:cs="Arial"/>
              </w:rPr>
              <w:t>Accrue workload when an individual unit modification of Thaw/Pool Cryo. A single workload event is recorded regardless of the number of units included in the pooled unit.</w:t>
            </w:r>
          </w:p>
          <w:p w:rsidR="000305DD" w:rsidRPr="00F24972" w:rsidRDefault="000305DD" w:rsidP="000305DD">
            <w:pPr>
              <w:pStyle w:val="TableText"/>
              <w:rPr>
                <w:rFonts w:cs="Arial"/>
                <w:i/>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tblPrEx>
          <w:tblCellMar>
            <w:top w:w="0" w:type="dxa"/>
            <w:bottom w:w="0" w:type="dxa"/>
          </w:tblCellMar>
        </w:tblPrEx>
        <w:trPr>
          <w:cantSplit/>
        </w:trPr>
        <w:tc>
          <w:tcPr>
            <w:tcW w:w="1733" w:type="dxa"/>
            <w:vMerge/>
          </w:tcPr>
          <w:p w:rsidR="000305DD" w:rsidRPr="00F24972" w:rsidRDefault="000305DD" w:rsidP="000305DD">
            <w:pPr>
              <w:pStyle w:val="TableText"/>
              <w:rPr>
                <w:rFonts w:cs="Arial"/>
              </w:rPr>
            </w:pPr>
          </w:p>
        </w:tc>
        <w:tc>
          <w:tcPr>
            <w:tcW w:w="1165" w:type="dxa"/>
          </w:tcPr>
          <w:p w:rsidR="000305DD" w:rsidRPr="00F24972" w:rsidRDefault="000305DD" w:rsidP="000305DD">
            <w:pPr>
              <w:pStyle w:val="TableText"/>
              <w:rPr>
                <w:rFonts w:cs="Arial"/>
              </w:rPr>
            </w:pPr>
            <w:r>
              <w:rPr>
                <w:rFonts w:cs="Arial"/>
              </w:rPr>
              <w:t>Edit, Unit, Inactivate Unit (that was in a  Thaw/Pool)</w:t>
            </w:r>
          </w:p>
        </w:tc>
        <w:tc>
          <w:tcPr>
            <w:tcW w:w="1080" w:type="dxa"/>
          </w:tcPr>
          <w:p w:rsidR="000305DD" w:rsidRPr="00F24972" w:rsidRDefault="000305DD" w:rsidP="000305DD">
            <w:pPr>
              <w:pStyle w:val="TableText"/>
              <w:rPr>
                <w:rFonts w:cs="Arial"/>
                <w:b/>
              </w:rPr>
            </w:pPr>
            <w:r w:rsidRPr="00F24972">
              <w:rPr>
                <w:rFonts w:cs="Arial"/>
                <w:b/>
              </w:rPr>
              <w:t>Negative</w:t>
            </w:r>
          </w:p>
        </w:tc>
        <w:tc>
          <w:tcPr>
            <w:tcW w:w="900" w:type="dxa"/>
          </w:tcPr>
          <w:p w:rsidR="000305DD" w:rsidRPr="00F24972" w:rsidRDefault="000305DD" w:rsidP="000305DD">
            <w:pPr>
              <w:pStyle w:val="TableText"/>
              <w:jc w:val="center"/>
              <w:rPr>
                <w:rFonts w:cs="Arial"/>
              </w:rPr>
            </w:pPr>
            <w:r w:rsidRPr="00F24972">
              <w:rPr>
                <w:rFonts w:cs="Arial"/>
              </w:rPr>
              <w:t>U</w:t>
            </w:r>
          </w:p>
        </w:tc>
        <w:tc>
          <w:tcPr>
            <w:tcW w:w="4123" w:type="dxa"/>
          </w:tcPr>
          <w:p w:rsidR="000305DD" w:rsidRPr="00F24972" w:rsidRDefault="000305DD" w:rsidP="000305DD">
            <w:pPr>
              <w:pStyle w:val="TableText"/>
              <w:rPr>
                <w:rFonts w:cs="Arial"/>
              </w:rPr>
            </w:pPr>
            <w:r w:rsidRPr="00F24972">
              <w:rPr>
                <w:rFonts w:cs="Arial"/>
              </w:rPr>
              <w:t>Accrue workload when a unit is inactivated (unit record inactivated) when the pooled unit was created in VBECS.</w:t>
            </w:r>
            <w:r>
              <w:rPr>
                <w:rFonts w:cs="Arial"/>
              </w:rPr>
              <w:t xml:space="preserve"> </w:t>
            </w:r>
          </w:p>
        </w:tc>
      </w:tr>
      <w:tr w:rsidR="000305DD" w:rsidRPr="00F24972">
        <w:tblPrEx>
          <w:tblCellMar>
            <w:top w:w="0" w:type="dxa"/>
            <w:bottom w:w="0" w:type="dxa"/>
          </w:tblCellMar>
        </w:tblPrEx>
        <w:trPr>
          <w:cantSplit/>
        </w:trPr>
        <w:tc>
          <w:tcPr>
            <w:tcW w:w="1733" w:type="dxa"/>
            <w:vMerge/>
          </w:tcPr>
          <w:p w:rsidR="000305DD" w:rsidRPr="00F24972" w:rsidRDefault="000305DD" w:rsidP="000305DD">
            <w:pPr>
              <w:pStyle w:val="TableText"/>
              <w:rPr>
                <w:rFonts w:cs="Arial"/>
              </w:rPr>
            </w:pPr>
          </w:p>
        </w:tc>
        <w:tc>
          <w:tcPr>
            <w:tcW w:w="1165" w:type="dxa"/>
          </w:tcPr>
          <w:p w:rsidR="000305DD" w:rsidRPr="00F24972" w:rsidRDefault="000305DD" w:rsidP="000305DD">
            <w:pPr>
              <w:pStyle w:val="TableText"/>
              <w:rPr>
                <w:rFonts w:cs="Arial"/>
              </w:rPr>
            </w:pPr>
            <w:r>
              <w:rPr>
                <w:rFonts w:cs="Arial"/>
              </w:rPr>
              <w:t>Invalidate Unit status, Thaw/Pool</w:t>
            </w:r>
          </w:p>
        </w:tc>
        <w:tc>
          <w:tcPr>
            <w:tcW w:w="1080" w:type="dxa"/>
          </w:tcPr>
          <w:p w:rsidR="000305DD" w:rsidRPr="00F24972" w:rsidRDefault="000305DD" w:rsidP="000305DD">
            <w:pPr>
              <w:pStyle w:val="TableText"/>
              <w:rPr>
                <w:rFonts w:cs="Arial"/>
                <w:b/>
              </w:rPr>
            </w:pPr>
            <w:r w:rsidRPr="00F24972">
              <w:rPr>
                <w:rFonts w:cs="Arial"/>
                <w:b/>
              </w:rPr>
              <w:t>None</w:t>
            </w:r>
          </w:p>
        </w:tc>
        <w:tc>
          <w:tcPr>
            <w:tcW w:w="900" w:type="dxa"/>
          </w:tcPr>
          <w:p w:rsidR="000305DD" w:rsidRPr="00F24972" w:rsidRDefault="000305DD" w:rsidP="000305DD">
            <w:pPr>
              <w:pStyle w:val="TableText"/>
              <w:jc w:val="center"/>
              <w:rPr>
                <w:rFonts w:cs="Arial"/>
              </w:rPr>
            </w:pPr>
            <w:r w:rsidRPr="00F24972">
              <w:rPr>
                <w:rFonts w:cs="Arial"/>
              </w:rPr>
              <w:t>N/A</w:t>
            </w:r>
          </w:p>
        </w:tc>
        <w:tc>
          <w:tcPr>
            <w:tcW w:w="4123" w:type="dxa"/>
          </w:tcPr>
          <w:p w:rsidR="000305DD" w:rsidRPr="00F24972" w:rsidRDefault="000305DD" w:rsidP="000305DD">
            <w:pPr>
              <w:pStyle w:val="TableText"/>
              <w:rPr>
                <w:rFonts w:cs="Arial"/>
              </w:rPr>
            </w:pPr>
            <w:r w:rsidRPr="00F24972">
              <w:rPr>
                <w:rFonts w:cs="Arial"/>
              </w:rPr>
              <w:t xml:space="preserve">No effect on workload accrual when a unit is removed from a modified status that was included in a Thaw/pool Cryo pool. </w:t>
            </w:r>
          </w:p>
        </w:tc>
      </w:tr>
      <w:tr w:rsidR="000305DD" w:rsidRPr="00F24972">
        <w:tblPrEx>
          <w:tblCellMar>
            <w:top w:w="0" w:type="dxa"/>
            <w:bottom w:w="0" w:type="dxa"/>
          </w:tblCellMar>
        </w:tblPrEx>
        <w:trPr>
          <w:cantSplit/>
        </w:trPr>
        <w:tc>
          <w:tcPr>
            <w:tcW w:w="1733" w:type="dxa"/>
            <w:vMerge w:val="restart"/>
            <w:tcBorders>
              <w:top w:val="single" w:sz="4" w:space="0" w:color="auto"/>
              <w:left w:val="single" w:sz="4" w:space="0" w:color="auto"/>
              <w:right w:val="single" w:sz="4" w:space="0" w:color="auto"/>
            </w:tcBorders>
          </w:tcPr>
          <w:p w:rsidR="000305DD" w:rsidRPr="00F24972" w:rsidRDefault="000305DD" w:rsidP="000305DD">
            <w:pPr>
              <w:pStyle w:val="TableText"/>
              <w:rPr>
                <w:rFonts w:cs="Arial"/>
              </w:rPr>
            </w:pPr>
            <w:r w:rsidRPr="00F24972">
              <w:rPr>
                <w:rFonts w:cs="Arial"/>
              </w:rPr>
              <w:t>Transfuse Unit</w:t>
            </w:r>
          </w:p>
        </w:tc>
        <w:tc>
          <w:tcPr>
            <w:tcW w:w="1165"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Pr>
                <w:rFonts w:cs="Arial"/>
              </w:rPr>
              <w:t>Enter Post Transfusion Data</w:t>
            </w:r>
          </w:p>
        </w:tc>
        <w:tc>
          <w:tcPr>
            <w:tcW w:w="108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i/>
              </w:rPr>
            </w:pPr>
            <w:r w:rsidRPr="00F24972">
              <w:rPr>
                <w:rFonts w:cs="Arial"/>
              </w:rPr>
              <w:t xml:space="preserve">Accrue workload when an individual blood unit’s status is updated to transfused by </w:t>
            </w:r>
            <w:r>
              <w:rPr>
                <w:rFonts w:cs="Arial"/>
              </w:rPr>
              <w:t>Enter Post-Transfusion Details</w:t>
            </w:r>
            <w:r w:rsidRPr="00F24972">
              <w:rPr>
                <w:rFonts w:cs="Arial"/>
              </w:rPr>
              <w:t xml:space="preserve"> basic flow or Alt Flow A. </w:t>
            </w:r>
          </w:p>
        </w:tc>
      </w:tr>
      <w:tr w:rsidR="000305DD" w:rsidRPr="00F24972">
        <w:tblPrEx>
          <w:tblCellMar>
            <w:top w:w="0" w:type="dxa"/>
            <w:bottom w:w="0" w:type="dxa"/>
          </w:tblCellMar>
        </w:tblPrEx>
        <w:trPr>
          <w:cantSplit/>
        </w:trPr>
        <w:tc>
          <w:tcPr>
            <w:tcW w:w="1733" w:type="dxa"/>
            <w:vMerge/>
            <w:tcBorders>
              <w:left w:val="single" w:sz="4" w:space="0" w:color="auto"/>
              <w:right w:val="single" w:sz="4" w:space="0" w:color="auto"/>
            </w:tcBorders>
          </w:tcPr>
          <w:p w:rsidR="000305DD" w:rsidRPr="00F24972" w:rsidRDefault="000305DD" w:rsidP="000305DD">
            <w:pPr>
              <w:pStyle w:val="TableText"/>
              <w:rPr>
                <w:rFonts w:cs="Arial"/>
              </w:rPr>
            </w:pPr>
          </w:p>
        </w:tc>
        <w:tc>
          <w:tcPr>
            <w:tcW w:w="1165" w:type="dxa"/>
            <w:tcBorders>
              <w:left w:val="single" w:sz="4" w:space="0" w:color="auto"/>
            </w:tcBorders>
          </w:tcPr>
          <w:p w:rsidR="000305DD" w:rsidRPr="00F24972" w:rsidRDefault="000305DD" w:rsidP="000305DD">
            <w:pPr>
              <w:pStyle w:val="TableText"/>
              <w:rPr>
                <w:rFonts w:cs="Arial"/>
              </w:rPr>
            </w:pPr>
            <w:r>
              <w:rPr>
                <w:rFonts w:cs="Arial"/>
              </w:rPr>
              <w:t>Invalidate Unit Status, Transfused</w:t>
            </w:r>
          </w:p>
        </w:tc>
        <w:tc>
          <w:tcPr>
            <w:tcW w:w="1080" w:type="dxa"/>
          </w:tcPr>
          <w:p w:rsidR="000305DD" w:rsidRPr="00F24972" w:rsidRDefault="000305DD" w:rsidP="000305DD">
            <w:pPr>
              <w:pStyle w:val="TableText"/>
              <w:rPr>
                <w:rFonts w:cs="Arial"/>
                <w:b/>
              </w:rPr>
            </w:pPr>
            <w:r w:rsidRPr="00F24972">
              <w:rPr>
                <w:rFonts w:cs="Arial"/>
                <w:b/>
              </w:rPr>
              <w:t>Negative</w:t>
            </w:r>
          </w:p>
        </w:tc>
        <w:tc>
          <w:tcPr>
            <w:tcW w:w="900" w:type="dxa"/>
          </w:tcPr>
          <w:p w:rsidR="000305DD" w:rsidRPr="00F24972" w:rsidRDefault="000305DD" w:rsidP="000305DD">
            <w:pPr>
              <w:pStyle w:val="TableText"/>
              <w:jc w:val="center"/>
              <w:rPr>
                <w:rFonts w:cs="Arial"/>
              </w:rPr>
            </w:pPr>
            <w:r w:rsidRPr="00F24972">
              <w:rPr>
                <w:rFonts w:cs="Arial"/>
              </w:rPr>
              <w:t>U</w:t>
            </w:r>
          </w:p>
        </w:tc>
        <w:tc>
          <w:tcPr>
            <w:tcW w:w="4123" w:type="dxa"/>
          </w:tcPr>
          <w:p w:rsidR="000305DD" w:rsidRPr="00F24972" w:rsidRDefault="000305DD" w:rsidP="000305DD">
            <w:pPr>
              <w:pStyle w:val="TableText"/>
              <w:rPr>
                <w:rFonts w:cs="Arial"/>
              </w:rPr>
            </w:pPr>
            <w:r w:rsidRPr="00F24972">
              <w:rPr>
                <w:rFonts w:cs="Arial"/>
              </w:rPr>
              <w:t>An individual blood unit’s status is invalided when the unit was in a status of transfused.</w:t>
            </w:r>
          </w:p>
        </w:tc>
      </w:tr>
      <w:tr w:rsidR="000305DD" w:rsidRPr="00F24972">
        <w:tblPrEx>
          <w:tblCellMar>
            <w:top w:w="0" w:type="dxa"/>
            <w:bottom w:w="0" w:type="dxa"/>
          </w:tblCellMar>
        </w:tblPrEx>
        <w:trPr>
          <w:cantSplit/>
        </w:trPr>
        <w:tc>
          <w:tcPr>
            <w:tcW w:w="1733" w:type="dxa"/>
            <w:vMerge w:val="restart"/>
          </w:tcPr>
          <w:p w:rsidR="000305DD" w:rsidRPr="00F24972" w:rsidRDefault="000305DD" w:rsidP="000305DD">
            <w:pPr>
              <w:pStyle w:val="TableText"/>
              <w:rPr>
                <w:rFonts w:cs="Arial"/>
              </w:rPr>
            </w:pPr>
            <w:r w:rsidRPr="00F24972">
              <w:rPr>
                <w:rFonts w:cs="Arial"/>
              </w:rPr>
              <w:t>Transfusion Reaction Investigation</w:t>
            </w:r>
          </w:p>
        </w:tc>
        <w:tc>
          <w:tcPr>
            <w:tcW w:w="1165" w:type="dxa"/>
            <w:tcBorders>
              <w:bottom w:val="single" w:sz="4" w:space="0" w:color="auto"/>
            </w:tcBorders>
          </w:tcPr>
          <w:p w:rsidR="000305DD" w:rsidRPr="00F24972" w:rsidRDefault="000305DD" w:rsidP="000305DD">
            <w:pPr>
              <w:pStyle w:val="TableText"/>
              <w:rPr>
                <w:rFonts w:cs="Arial"/>
              </w:rPr>
            </w:pPr>
            <w:r>
              <w:rPr>
                <w:rFonts w:cs="Arial"/>
              </w:rPr>
              <w:t>Patient Testing, TRW</w:t>
            </w:r>
          </w:p>
          <w:p w:rsidR="000305DD" w:rsidRPr="00F24972" w:rsidRDefault="000305DD" w:rsidP="000305DD">
            <w:pPr>
              <w:pStyle w:val="TableText"/>
              <w:rPr>
                <w:rFonts w:cs="Arial"/>
              </w:rPr>
            </w:pPr>
          </w:p>
          <w:p w:rsidR="000305DD" w:rsidRPr="00F24972" w:rsidRDefault="000305DD" w:rsidP="000305DD">
            <w:pPr>
              <w:pStyle w:val="TableText"/>
              <w:rPr>
                <w:rFonts w:cs="Arial"/>
              </w:rPr>
            </w:pPr>
          </w:p>
        </w:tc>
        <w:tc>
          <w:tcPr>
            <w:tcW w:w="1080" w:type="dxa"/>
            <w:tcBorders>
              <w:bottom w:val="single" w:sz="4" w:space="0" w:color="auto"/>
            </w:tcBorders>
          </w:tcPr>
          <w:p w:rsidR="000305DD" w:rsidRPr="00F24972" w:rsidRDefault="000305DD" w:rsidP="000305DD">
            <w:pPr>
              <w:pStyle w:val="TableText"/>
              <w:rPr>
                <w:rFonts w:cs="Arial"/>
              </w:rPr>
            </w:pPr>
            <w:r w:rsidRPr="00F24972">
              <w:rPr>
                <w:rFonts w:cs="Arial"/>
              </w:rPr>
              <w:t>Positive</w:t>
            </w:r>
          </w:p>
        </w:tc>
        <w:tc>
          <w:tcPr>
            <w:tcW w:w="900" w:type="dxa"/>
            <w:tcBorders>
              <w:bottom w:val="single" w:sz="4" w:space="0" w:color="auto"/>
            </w:tcBorders>
          </w:tcPr>
          <w:p w:rsidR="000305DD" w:rsidRPr="00F24972" w:rsidRDefault="000305DD" w:rsidP="000305DD">
            <w:pPr>
              <w:pStyle w:val="TableText"/>
              <w:jc w:val="center"/>
              <w:rPr>
                <w:rFonts w:cs="Arial"/>
              </w:rPr>
            </w:pPr>
            <w:r w:rsidRPr="00F24972">
              <w:rPr>
                <w:rFonts w:cs="Arial"/>
              </w:rPr>
              <w:t>P</w:t>
            </w:r>
          </w:p>
        </w:tc>
        <w:tc>
          <w:tcPr>
            <w:tcW w:w="4123" w:type="dxa"/>
            <w:tcBorders>
              <w:bottom w:val="single" w:sz="4" w:space="0" w:color="auto"/>
            </w:tcBorders>
          </w:tcPr>
          <w:p w:rsidR="000305DD" w:rsidRPr="00F24972" w:rsidRDefault="000305DD" w:rsidP="000305DD">
            <w:pPr>
              <w:pStyle w:val="TableText"/>
              <w:rPr>
                <w:rFonts w:cs="Arial"/>
                <w:i/>
              </w:rPr>
            </w:pPr>
            <w:r w:rsidRPr="00F24972">
              <w:rPr>
                <w:rFonts w:cs="Arial"/>
              </w:rPr>
              <w:t xml:space="preserve">Accrue workload when a transfusion reaction investigation is saved by </w:t>
            </w:r>
            <w:r>
              <w:rPr>
                <w:rFonts w:cs="Arial"/>
              </w:rPr>
              <w:t>Record Transfusion Reaction Workup</w:t>
            </w:r>
            <w:r w:rsidRPr="00F24972">
              <w:rPr>
                <w:rFonts w:cs="Arial"/>
              </w:rPr>
              <w:t xml:space="preserve">. </w:t>
            </w:r>
            <w:r w:rsidRPr="00F24972">
              <w:rPr>
                <w:rFonts w:cs="Arial"/>
                <w:i/>
              </w:rPr>
              <w:t xml:space="preserve">This does </w:t>
            </w:r>
            <w:r w:rsidRPr="00F24972">
              <w:rPr>
                <w:rFonts w:cs="Arial"/>
              </w:rPr>
              <w:t>not</w:t>
            </w:r>
            <w:r w:rsidRPr="00F24972">
              <w:rPr>
                <w:rFonts w:cs="Arial"/>
                <w:i/>
              </w:rPr>
              <w:t xml:space="preserve"> include workload accrued by the optional TRW serologic testing.</w:t>
            </w:r>
          </w:p>
          <w:p w:rsidR="000305DD" w:rsidRPr="00F24972" w:rsidRDefault="000305DD" w:rsidP="000305DD">
            <w:pPr>
              <w:pStyle w:val="TableText"/>
              <w:rPr>
                <w:rFonts w:cs="Arial"/>
              </w:rPr>
            </w:pPr>
            <w:r w:rsidRPr="00F24972">
              <w:rPr>
                <w:rFonts w:cs="Arial"/>
              </w:rPr>
              <w:t xml:space="preserve">Note: The </w:t>
            </w:r>
            <w:r>
              <w:rPr>
                <w:rFonts w:cs="Arial"/>
              </w:rPr>
              <w:t>Division Workload Report</w:t>
            </w:r>
            <w:r w:rsidRPr="00F24972">
              <w:rPr>
                <w:rFonts w:cs="Arial"/>
              </w:rPr>
              <w:t xml:space="preserve"> workload report reports the sum of Workload Events recorded in </w:t>
            </w:r>
            <w:r>
              <w:rPr>
                <w:rFonts w:cs="Arial"/>
              </w:rPr>
              <w:t>Record Transfusion Reaction Workup</w:t>
            </w:r>
            <w:r w:rsidRPr="00F24972">
              <w:rPr>
                <w:rFonts w:cs="Arial"/>
              </w:rPr>
              <w:t xml:space="preserve"> for an individual TRW.</w:t>
            </w:r>
          </w:p>
        </w:tc>
      </w:tr>
      <w:tr w:rsidR="000305DD" w:rsidRPr="00F24972">
        <w:tblPrEx>
          <w:tblCellMar>
            <w:top w:w="0" w:type="dxa"/>
            <w:bottom w:w="0" w:type="dxa"/>
          </w:tblCellMar>
        </w:tblPrEx>
        <w:trPr>
          <w:cantSplit/>
        </w:trPr>
        <w:tc>
          <w:tcPr>
            <w:tcW w:w="1733" w:type="dxa"/>
            <w:vMerge/>
            <w:tcBorders>
              <w:bottom w:val="single" w:sz="4" w:space="0" w:color="auto"/>
            </w:tcBorders>
          </w:tcPr>
          <w:p w:rsidR="000305DD" w:rsidRPr="00F24972" w:rsidRDefault="000305DD" w:rsidP="000305DD">
            <w:pPr>
              <w:pStyle w:val="TableText"/>
              <w:rPr>
                <w:rFonts w:cs="Arial"/>
              </w:rPr>
            </w:pPr>
          </w:p>
        </w:tc>
        <w:tc>
          <w:tcPr>
            <w:tcW w:w="1165" w:type="dxa"/>
            <w:tcBorders>
              <w:top w:val="single" w:sz="4" w:space="0" w:color="auto"/>
              <w:bottom w:val="single" w:sz="4" w:space="0" w:color="auto"/>
              <w:right w:val="single" w:sz="4" w:space="0" w:color="auto"/>
            </w:tcBorders>
          </w:tcPr>
          <w:p w:rsidR="000305DD" w:rsidRPr="00F24972" w:rsidRDefault="000305DD" w:rsidP="000305DD">
            <w:pPr>
              <w:pStyle w:val="TableText"/>
              <w:rPr>
                <w:rFonts w:cs="Arial"/>
              </w:rPr>
            </w:pPr>
            <w:r>
              <w:rPr>
                <w:rFonts w:cs="Arial"/>
              </w:rPr>
              <w:t>Invalidate Patient Testing, TRW</w:t>
            </w:r>
          </w:p>
        </w:tc>
        <w:tc>
          <w:tcPr>
            <w:tcW w:w="108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jc w:val="center"/>
              <w:rPr>
                <w:rFonts w:cs="Arial"/>
              </w:rPr>
            </w:pPr>
            <w:r w:rsidRPr="00F24972">
              <w:rPr>
                <w:rFonts w:cs="Arial"/>
              </w:rPr>
              <w:t>P</w:t>
            </w:r>
          </w:p>
        </w:tc>
        <w:tc>
          <w:tcPr>
            <w:tcW w:w="4123"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 xml:space="preserve">Accrue workload when a transfusion reaction investigation previously saved by </w:t>
            </w:r>
            <w:r>
              <w:rPr>
                <w:rFonts w:cs="Arial"/>
              </w:rPr>
              <w:t>Record Transfusion Reaction Workup</w:t>
            </w:r>
            <w:r w:rsidRPr="00F24972">
              <w:rPr>
                <w:rFonts w:cs="Arial"/>
              </w:rPr>
              <w:t xml:space="preserve"> is invalidated. The workload for the transfusion reaction, as well as all of the workload accrued by the optional TRW serologic testing (pre- and post-ABO/Rh, pre- and post-ABS, pre- and post-DAT) are invalidated, as included in selected TRW (</w:t>
            </w:r>
            <w:r>
              <w:rPr>
                <w:rFonts w:cs="Arial"/>
              </w:rPr>
              <w:t>Record Transfusion Reaction Workup</w:t>
            </w:r>
            <w:r w:rsidRPr="00F24972">
              <w:rPr>
                <w:rFonts w:cs="Arial"/>
              </w:rPr>
              <w:t>).</w:t>
            </w:r>
          </w:p>
          <w:p w:rsidR="000305DD" w:rsidRPr="00F24972" w:rsidRDefault="000305DD" w:rsidP="000305DD">
            <w:pPr>
              <w:pStyle w:val="TableText"/>
              <w:rPr>
                <w:rFonts w:cs="Arial"/>
              </w:rPr>
            </w:pPr>
            <w:r w:rsidRPr="00F24972">
              <w:rPr>
                <w:rFonts w:cs="Arial"/>
                <w:i/>
              </w:rPr>
              <w:t>Note: Any pre- or post-crossmatch tests performed as part of the TRW must be invalidated individually.</w:t>
            </w:r>
          </w:p>
        </w:tc>
      </w:tr>
      <w:tr w:rsidR="000305DD" w:rsidRPr="00F24972">
        <w:tblPrEx>
          <w:tblCellMar>
            <w:top w:w="0" w:type="dxa"/>
            <w:bottom w:w="0" w:type="dxa"/>
          </w:tblCellMar>
        </w:tblPrEx>
        <w:trPr>
          <w:cantSplit/>
        </w:trPr>
        <w:tc>
          <w:tcPr>
            <w:tcW w:w="1733" w:type="dxa"/>
            <w:vMerge w:val="restart"/>
          </w:tcPr>
          <w:p w:rsidR="000305DD" w:rsidRPr="00F24972" w:rsidRDefault="000305DD" w:rsidP="000305DD">
            <w:pPr>
              <w:pStyle w:val="TableText"/>
              <w:rPr>
                <w:rFonts w:cs="Arial"/>
              </w:rPr>
            </w:pPr>
            <w:r w:rsidRPr="00F24972">
              <w:rPr>
                <w:rFonts w:cs="Arial"/>
              </w:rPr>
              <w:t>Unit Antigen phenotyping, Multiple Test phases</w:t>
            </w:r>
          </w:p>
        </w:tc>
        <w:tc>
          <w:tcPr>
            <w:tcW w:w="1165" w:type="dxa"/>
          </w:tcPr>
          <w:p w:rsidR="000305DD" w:rsidRPr="00F24972" w:rsidRDefault="000305DD" w:rsidP="000305DD">
            <w:pPr>
              <w:pStyle w:val="TableText"/>
              <w:rPr>
                <w:rFonts w:cs="Arial"/>
              </w:rPr>
            </w:pPr>
            <w:r>
              <w:rPr>
                <w:rFonts w:cs="Arial"/>
              </w:rPr>
              <w:t>Unit Antigen typing</w:t>
            </w:r>
          </w:p>
          <w:p w:rsidR="000305DD" w:rsidRPr="00F24972" w:rsidRDefault="000305DD" w:rsidP="000305DD">
            <w:pPr>
              <w:pStyle w:val="TableText"/>
              <w:rPr>
                <w:rFonts w:cs="Arial"/>
              </w:rPr>
            </w:pPr>
          </w:p>
        </w:tc>
        <w:tc>
          <w:tcPr>
            <w:tcW w:w="1080" w:type="dxa"/>
          </w:tcPr>
          <w:p w:rsidR="000305DD" w:rsidRPr="00F24972" w:rsidRDefault="000305DD" w:rsidP="000305DD">
            <w:pPr>
              <w:pStyle w:val="TableText"/>
              <w:rPr>
                <w:rFonts w:cs="Arial"/>
              </w:rPr>
            </w:pPr>
            <w:r w:rsidRPr="00F24972">
              <w:rPr>
                <w:rFonts w:cs="Arial"/>
              </w:rPr>
              <w:t>Positive</w:t>
            </w:r>
          </w:p>
        </w:tc>
        <w:tc>
          <w:tcPr>
            <w:tcW w:w="900" w:type="dxa"/>
          </w:tcPr>
          <w:p w:rsidR="000305DD" w:rsidRPr="00F24972" w:rsidRDefault="000305DD" w:rsidP="000305DD">
            <w:pPr>
              <w:pStyle w:val="TableText"/>
              <w:jc w:val="center"/>
              <w:rPr>
                <w:rFonts w:cs="Arial"/>
              </w:rPr>
            </w:pPr>
            <w:r w:rsidRPr="00F24972">
              <w:rPr>
                <w:rFonts w:cs="Arial"/>
              </w:rPr>
              <w:t>U</w:t>
            </w:r>
          </w:p>
        </w:tc>
        <w:tc>
          <w:tcPr>
            <w:tcW w:w="4123" w:type="dxa"/>
          </w:tcPr>
          <w:p w:rsidR="000305DD" w:rsidRPr="00F24972" w:rsidRDefault="000305DD" w:rsidP="000305DD">
            <w:pPr>
              <w:pStyle w:val="TableText"/>
              <w:rPr>
                <w:rFonts w:cs="Arial"/>
              </w:rPr>
            </w:pPr>
            <w:r w:rsidRPr="00F24972">
              <w:rPr>
                <w:rFonts w:cs="Arial"/>
              </w:rPr>
              <w:t>Accrue workload when a unit antigen phenotype test [specificity (tab)] with IS/RT or IS/37 phases is selected and completed for an individual blood unit (row).</w:t>
            </w:r>
          </w:p>
          <w:p w:rsidR="000305DD" w:rsidRPr="00F24972" w:rsidRDefault="000305DD" w:rsidP="000305DD">
            <w:pPr>
              <w:pStyle w:val="TableText"/>
              <w:rPr>
                <w:rFonts w:cs="Arial"/>
              </w:rPr>
            </w:pPr>
            <w:r w:rsidRPr="00F24972">
              <w:rPr>
                <w:rFonts w:cs="Arial"/>
              </w:rPr>
              <w:t>No special handling for workload collection for additional repeat antigen typing tests on a unit.</w:t>
            </w:r>
          </w:p>
        </w:tc>
      </w:tr>
      <w:tr w:rsidR="000305DD" w:rsidRPr="00F24972">
        <w:tblPrEx>
          <w:tblCellMar>
            <w:top w:w="0" w:type="dxa"/>
            <w:bottom w:w="0" w:type="dxa"/>
          </w:tblCellMar>
        </w:tblPrEx>
        <w:trPr>
          <w:cantSplit/>
        </w:trPr>
        <w:tc>
          <w:tcPr>
            <w:tcW w:w="1733" w:type="dxa"/>
            <w:vMerge/>
          </w:tcPr>
          <w:p w:rsidR="000305DD" w:rsidRPr="00F24972" w:rsidRDefault="000305DD" w:rsidP="000305DD">
            <w:pPr>
              <w:pStyle w:val="TableText"/>
              <w:rPr>
                <w:rFonts w:cs="Arial"/>
              </w:rPr>
            </w:pPr>
          </w:p>
        </w:tc>
        <w:tc>
          <w:tcPr>
            <w:tcW w:w="1165" w:type="dxa"/>
          </w:tcPr>
          <w:p w:rsidR="000305DD" w:rsidRPr="00F24972" w:rsidRDefault="000305DD" w:rsidP="000305DD">
            <w:pPr>
              <w:pStyle w:val="TableText"/>
              <w:rPr>
                <w:rFonts w:cs="Arial"/>
              </w:rPr>
            </w:pPr>
            <w:r>
              <w:rPr>
                <w:rFonts w:cs="Arial"/>
              </w:rPr>
              <w:t>Edit Unit, Invalidate Unit Antigen Typing</w:t>
            </w:r>
          </w:p>
        </w:tc>
        <w:tc>
          <w:tcPr>
            <w:tcW w:w="1080" w:type="dxa"/>
          </w:tcPr>
          <w:p w:rsidR="000305DD" w:rsidRPr="00F24972" w:rsidRDefault="000305DD" w:rsidP="000305DD">
            <w:pPr>
              <w:pStyle w:val="TableText"/>
              <w:rPr>
                <w:rFonts w:cs="Arial"/>
                <w:b/>
              </w:rPr>
            </w:pPr>
            <w:r w:rsidRPr="00F24972">
              <w:rPr>
                <w:rFonts w:cs="Arial"/>
                <w:b/>
              </w:rPr>
              <w:t>Negative</w:t>
            </w:r>
          </w:p>
        </w:tc>
        <w:tc>
          <w:tcPr>
            <w:tcW w:w="900" w:type="dxa"/>
          </w:tcPr>
          <w:p w:rsidR="000305DD" w:rsidRPr="00F24972" w:rsidRDefault="000305DD" w:rsidP="000305DD">
            <w:pPr>
              <w:pStyle w:val="TableText"/>
              <w:jc w:val="center"/>
              <w:rPr>
                <w:rFonts w:cs="Arial"/>
              </w:rPr>
            </w:pPr>
            <w:r w:rsidRPr="00F24972">
              <w:rPr>
                <w:rFonts w:cs="Arial"/>
              </w:rPr>
              <w:t>U</w:t>
            </w:r>
          </w:p>
        </w:tc>
        <w:tc>
          <w:tcPr>
            <w:tcW w:w="4123" w:type="dxa"/>
          </w:tcPr>
          <w:p w:rsidR="000305DD" w:rsidRPr="00F24972" w:rsidRDefault="000305DD" w:rsidP="000305DD">
            <w:pPr>
              <w:pStyle w:val="TableText"/>
              <w:rPr>
                <w:rFonts w:cs="Arial"/>
              </w:rPr>
            </w:pPr>
            <w:r w:rsidRPr="00F24972">
              <w:rPr>
                <w:rFonts w:cs="Arial"/>
              </w:rPr>
              <w:t>Accrue workload when a unit antigen phenotype test (specificity) with Multiple Test phases is invalidated for an individual blood unit.</w:t>
            </w:r>
          </w:p>
        </w:tc>
      </w:tr>
      <w:tr w:rsidR="000305DD" w:rsidRPr="00F24972">
        <w:tblPrEx>
          <w:tblCellMar>
            <w:top w:w="0" w:type="dxa"/>
            <w:bottom w:w="0" w:type="dxa"/>
          </w:tblCellMar>
        </w:tblPrEx>
        <w:trPr>
          <w:cantSplit/>
        </w:trPr>
        <w:tc>
          <w:tcPr>
            <w:tcW w:w="1733" w:type="dxa"/>
            <w:vMerge w:val="restart"/>
            <w:tcBorders>
              <w:top w:val="single" w:sz="4" w:space="0" w:color="auto"/>
              <w:left w:val="single" w:sz="4" w:space="0" w:color="auto"/>
              <w:right w:val="single" w:sz="4" w:space="0" w:color="auto"/>
            </w:tcBorders>
          </w:tcPr>
          <w:p w:rsidR="000305DD" w:rsidRPr="00F24972" w:rsidRDefault="000305DD" w:rsidP="000305DD">
            <w:pPr>
              <w:pStyle w:val="TableText"/>
              <w:rPr>
                <w:rFonts w:cs="Arial"/>
              </w:rPr>
            </w:pPr>
            <w:r w:rsidRPr="00F24972">
              <w:rPr>
                <w:rFonts w:cs="Arial"/>
              </w:rPr>
              <w:t>Unit Antigen phenotyping, Single Test phase</w:t>
            </w:r>
          </w:p>
        </w:tc>
        <w:tc>
          <w:tcPr>
            <w:tcW w:w="1165"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Pr>
                <w:rFonts w:cs="Arial"/>
              </w:rPr>
              <w:t>Unit Antigen typing</w:t>
            </w:r>
          </w:p>
          <w:p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 xml:space="preserve">A unit (row) antigen phenotype test [specificity (tab)] with AHG or IS phase is selected and completed for an individual blood unit (row). </w:t>
            </w:r>
          </w:p>
          <w:p w:rsidR="000305DD" w:rsidRPr="00F24972" w:rsidRDefault="000305DD" w:rsidP="000305DD">
            <w:pPr>
              <w:pStyle w:val="TableText"/>
              <w:rPr>
                <w:rFonts w:cs="Arial"/>
              </w:rPr>
            </w:pPr>
            <w:r w:rsidRPr="00F24972">
              <w:rPr>
                <w:rFonts w:cs="Arial"/>
              </w:rPr>
              <w:t>No special handling for workload collection for additional repeat antigen typing tests on a unit.</w:t>
            </w:r>
          </w:p>
        </w:tc>
      </w:tr>
      <w:tr w:rsidR="000305DD" w:rsidRPr="00F24972">
        <w:tblPrEx>
          <w:tblCellMar>
            <w:top w:w="0" w:type="dxa"/>
            <w:bottom w:w="0" w:type="dxa"/>
          </w:tblCellMar>
        </w:tblPrEx>
        <w:trPr>
          <w:cantSplit/>
        </w:trPr>
        <w:tc>
          <w:tcPr>
            <w:tcW w:w="1733" w:type="dxa"/>
            <w:vMerge/>
            <w:tcBorders>
              <w:left w:val="single" w:sz="4" w:space="0" w:color="auto"/>
              <w:right w:val="single" w:sz="4" w:space="0" w:color="auto"/>
            </w:tcBorders>
          </w:tcPr>
          <w:p w:rsidR="000305DD" w:rsidRPr="00F24972" w:rsidRDefault="000305DD" w:rsidP="000305DD">
            <w:pPr>
              <w:pStyle w:val="TableText"/>
              <w:rPr>
                <w:rFonts w:cs="Arial"/>
              </w:rPr>
            </w:pPr>
          </w:p>
        </w:tc>
        <w:tc>
          <w:tcPr>
            <w:tcW w:w="1165" w:type="dxa"/>
            <w:tcBorders>
              <w:left w:val="single" w:sz="4" w:space="0" w:color="auto"/>
            </w:tcBorders>
          </w:tcPr>
          <w:p w:rsidR="000305DD" w:rsidRPr="00F24972" w:rsidRDefault="000305DD" w:rsidP="000305DD">
            <w:pPr>
              <w:pStyle w:val="TableText"/>
              <w:rPr>
                <w:rFonts w:cs="Arial"/>
              </w:rPr>
            </w:pPr>
            <w:r>
              <w:rPr>
                <w:rFonts w:cs="Arial"/>
              </w:rPr>
              <w:t>Edit Unit, Invalidate Unit Antigen Typing</w:t>
            </w:r>
          </w:p>
        </w:tc>
        <w:tc>
          <w:tcPr>
            <w:tcW w:w="1080" w:type="dxa"/>
          </w:tcPr>
          <w:p w:rsidR="000305DD" w:rsidRPr="00F24972" w:rsidRDefault="000305DD" w:rsidP="000305DD">
            <w:pPr>
              <w:pStyle w:val="TableText"/>
              <w:rPr>
                <w:rFonts w:cs="Arial"/>
                <w:b/>
              </w:rPr>
            </w:pPr>
            <w:r w:rsidRPr="00F24972">
              <w:rPr>
                <w:rFonts w:cs="Arial"/>
                <w:b/>
              </w:rPr>
              <w:t>Negative</w:t>
            </w:r>
          </w:p>
        </w:tc>
        <w:tc>
          <w:tcPr>
            <w:tcW w:w="900" w:type="dxa"/>
          </w:tcPr>
          <w:p w:rsidR="000305DD" w:rsidRPr="00F24972" w:rsidRDefault="000305DD" w:rsidP="000305DD">
            <w:pPr>
              <w:pStyle w:val="TableText"/>
              <w:jc w:val="center"/>
              <w:rPr>
                <w:rFonts w:cs="Arial"/>
              </w:rPr>
            </w:pPr>
            <w:r w:rsidRPr="00F24972">
              <w:rPr>
                <w:rFonts w:cs="Arial"/>
              </w:rPr>
              <w:t>U</w:t>
            </w:r>
          </w:p>
        </w:tc>
        <w:tc>
          <w:tcPr>
            <w:tcW w:w="4123" w:type="dxa"/>
          </w:tcPr>
          <w:p w:rsidR="000305DD" w:rsidRPr="00F24972" w:rsidRDefault="000305DD" w:rsidP="000305DD">
            <w:pPr>
              <w:pStyle w:val="TableText"/>
              <w:rPr>
                <w:rFonts w:cs="Arial"/>
              </w:rPr>
            </w:pPr>
            <w:r w:rsidRPr="00F24972">
              <w:rPr>
                <w:rFonts w:cs="Arial"/>
              </w:rPr>
              <w:t>Accrue workload when a unit antigen phenotype test (specificity) with Single Test phase is invalidated for an individual blood unit.</w:t>
            </w:r>
          </w:p>
        </w:tc>
      </w:tr>
      <w:tr w:rsidR="000305DD" w:rsidRPr="00F24972">
        <w:tblPrEx>
          <w:tblCellMar>
            <w:top w:w="0" w:type="dxa"/>
            <w:bottom w:w="0" w:type="dxa"/>
          </w:tblCellMar>
        </w:tblPrEx>
        <w:trPr>
          <w:cantSplit/>
        </w:trPr>
        <w:tc>
          <w:tcPr>
            <w:tcW w:w="1733" w:type="dxa"/>
            <w:vMerge w:val="restart"/>
            <w:tcBorders>
              <w:top w:val="single" w:sz="4" w:space="0" w:color="auto"/>
              <w:left w:val="single" w:sz="4" w:space="0" w:color="auto"/>
              <w:right w:val="single" w:sz="4" w:space="0" w:color="auto"/>
            </w:tcBorders>
          </w:tcPr>
          <w:p w:rsidR="000305DD" w:rsidRPr="00F24972" w:rsidRDefault="000305DD" w:rsidP="000305DD">
            <w:pPr>
              <w:pStyle w:val="TableText"/>
              <w:rPr>
                <w:rFonts w:cs="Arial"/>
              </w:rPr>
            </w:pPr>
            <w:r w:rsidRPr="00F24972">
              <w:rPr>
                <w:rFonts w:cs="Arial"/>
              </w:rPr>
              <w:t>Unit login</w:t>
            </w:r>
          </w:p>
          <w:p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Pr>
                <w:rFonts w:cs="Arial"/>
              </w:rPr>
              <w:t>Incoming Shipment</w:t>
            </w:r>
          </w:p>
        </w:tc>
        <w:tc>
          <w:tcPr>
            <w:tcW w:w="108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An individual unit record is activated as saved to an incoming shipment invoice. When a multiple units are entered, each unit added to the database accrues workload.</w:t>
            </w:r>
          </w:p>
        </w:tc>
      </w:tr>
      <w:tr w:rsidR="000305DD" w:rsidRPr="00F24972">
        <w:tblPrEx>
          <w:tblCellMar>
            <w:top w:w="0" w:type="dxa"/>
            <w:bottom w:w="0" w:type="dxa"/>
          </w:tblCellMar>
        </w:tblPrEx>
        <w:trPr>
          <w:cantSplit/>
        </w:trPr>
        <w:tc>
          <w:tcPr>
            <w:tcW w:w="1733" w:type="dxa"/>
            <w:vMerge/>
            <w:tcBorders>
              <w:left w:val="single" w:sz="4" w:space="0" w:color="auto"/>
              <w:right w:val="single" w:sz="4" w:space="0" w:color="auto"/>
            </w:tcBorders>
          </w:tcPr>
          <w:p w:rsidR="000305DD" w:rsidRPr="00F24972" w:rsidRDefault="000305DD" w:rsidP="000305DD">
            <w:pPr>
              <w:pStyle w:val="TableText"/>
              <w:rPr>
                <w:rFonts w:cs="Arial"/>
              </w:rPr>
            </w:pPr>
          </w:p>
        </w:tc>
        <w:tc>
          <w:tcPr>
            <w:tcW w:w="1165" w:type="dxa"/>
            <w:tcBorders>
              <w:left w:val="single" w:sz="4" w:space="0" w:color="auto"/>
            </w:tcBorders>
          </w:tcPr>
          <w:p w:rsidR="000305DD" w:rsidRPr="00F24972" w:rsidRDefault="000305DD" w:rsidP="000305DD">
            <w:pPr>
              <w:pStyle w:val="TableText"/>
              <w:rPr>
                <w:rFonts w:cs="Arial"/>
              </w:rPr>
            </w:pPr>
            <w:r>
              <w:rPr>
                <w:rFonts w:cs="Arial"/>
              </w:rPr>
              <w:t>Edit Unit, Invalidate Unit Antigen Typing</w:t>
            </w:r>
          </w:p>
        </w:tc>
        <w:tc>
          <w:tcPr>
            <w:tcW w:w="1080" w:type="dxa"/>
          </w:tcPr>
          <w:p w:rsidR="000305DD" w:rsidRPr="00F24972" w:rsidRDefault="000305DD" w:rsidP="000305DD">
            <w:pPr>
              <w:pStyle w:val="TableText"/>
              <w:rPr>
                <w:rFonts w:cs="Arial"/>
                <w:b/>
              </w:rPr>
            </w:pPr>
            <w:r w:rsidRPr="00F24972">
              <w:rPr>
                <w:rFonts w:cs="Arial"/>
                <w:b/>
              </w:rPr>
              <w:t>Negative</w:t>
            </w:r>
          </w:p>
        </w:tc>
        <w:tc>
          <w:tcPr>
            <w:tcW w:w="900" w:type="dxa"/>
          </w:tcPr>
          <w:p w:rsidR="000305DD" w:rsidRPr="00F24972" w:rsidRDefault="000305DD" w:rsidP="000305DD">
            <w:pPr>
              <w:pStyle w:val="TableText"/>
              <w:jc w:val="center"/>
              <w:rPr>
                <w:rFonts w:cs="Arial"/>
              </w:rPr>
            </w:pPr>
            <w:r w:rsidRPr="00F24972">
              <w:rPr>
                <w:rFonts w:cs="Arial"/>
              </w:rPr>
              <w:t>U</w:t>
            </w:r>
          </w:p>
        </w:tc>
        <w:tc>
          <w:tcPr>
            <w:tcW w:w="4123" w:type="dxa"/>
          </w:tcPr>
          <w:p w:rsidR="000305DD" w:rsidRPr="00F24972" w:rsidRDefault="000305DD" w:rsidP="000305DD">
            <w:pPr>
              <w:pStyle w:val="TableText"/>
              <w:rPr>
                <w:rFonts w:cs="Arial"/>
              </w:rPr>
            </w:pPr>
            <w:r w:rsidRPr="00F24972">
              <w:rPr>
                <w:rFonts w:cs="Arial"/>
              </w:rPr>
              <w:t>Accrue workload when a unit is inactivated (unit record inactivated) when logged in thru incoming shipment or is a pooled unit created in VBECS.</w:t>
            </w:r>
            <w:r>
              <w:rPr>
                <w:rFonts w:cs="Arial"/>
              </w:rPr>
              <w:t xml:space="preserve"> </w:t>
            </w:r>
            <w:r w:rsidRPr="00F24972">
              <w:rPr>
                <w:rFonts w:cs="Arial"/>
              </w:rPr>
              <w:t xml:space="preserve">When the unit was created by split modification no workload is invalidated in this option. </w:t>
            </w:r>
          </w:p>
        </w:tc>
      </w:tr>
      <w:tr w:rsidR="000305DD" w:rsidRPr="00F24972">
        <w:tblPrEx>
          <w:tblCellMar>
            <w:top w:w="0" w:type="dxa"/>
            <w:bottom w:w="0" w:type="dxa"/>
          </w:tblCellMar>
        </w:tblPrEx>
        <w:trPr>
          <w:cantSplit/>
        </w:trPr>
        <w:tc>
          <w:tcPr>
            <w:tcW w:w="1733" w:type="dxa"/>
            <w:vMerge w:val="restart"/>
            <w:tcBorders>
              <w:top w:val="single" w:sz="4" w:space="0" w:color="auto"/>
              <w:left w:val="single" w:sz="4" w:space="0" w:color="auto"/>
              <w:right w:val="single" w:sz="4" w:space="0" w:color="auto"/>
            </w:tcBorders>
          </w:tcPr>
          <w:p w:rsidR="000305DD" w:rsidRPr="00F24972" w:rsidRDefault="000305DD" w:rsidP="000305DD">
            <w:pPr>
              <w:pStyle w:val="TableText"/>
              <w:rPr>
                <w:rFonts w:cs="Arial"/>
              </w:rPr>
            </w:pPr>
            <w:r w:rsidRPr="00F24972">
              <w:rPr>
                <w:rFonts w:cs="Arial"/>
              </w:rPr>
              <w:t>Unit logout</w:t>
            </w:r>
          </w:p>
        </w:tc>
        <w:tc>
          <w:tcPr>
            <w:tcW w:w="1165"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Pr>
                <w:rFonts w:cs="Arial"/>
              </w:rPr>
              <w:t>Outgoing Shipment</w:t>
            </w:r>
          </w:p>
        </w:tc>
        <w:tc>
          <w:tcPr>
            <w:tcW w:w="108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 xml:space="preserve">An individual unit’s status is updated to </w:t>
            </w:r>
            <w:r w:rsidRPr="00F24972">
              <w:rPr>
                <w:rFonts w:cs="Arial"/>
                <w:i/>
              </w:rPr>
              <w:t>transferred</w:t>
            </w:r>
            <w:r w:rsidRPr="00F24972">
              <w:rPr>
                <w:rFonts w:cs="Arial"/>
              </w:rPr>
              <w:t xml:space="preserve"> on a confirmed outgoing shipment invoice.</w:t>
            </w:r>
            <w:r>
              <w:rPr>
                <w:rFonts w:cs="Arial"/>
              </w:rPr>
              <w:t xml:space="preserve"> </w:t>
            </w:r>
            <w:r w:rsidRPr="00F24972">
              <w:rPr>
                <w:rFonts w:cs="Arial"/>
              </w:rPr>
              <w:t>When a multiple units are selected, each unit accrues workload.</w:t>
            </w:r>
          </w:p>
          <w:p w:rsidR="000305DD" w:rsidRPr="00F24972" w:rsidRDefault="000305DD" w:rsidP="000305DD">
            <w:pPr>
              <w:pStyle w:val="TableText"/>
              <w:rPr>
                <w:rFonts w:cs="Arial"/>
              </w:rPr>
            </w:pPr>
            <w:r w:rsidRPr="00F24972">
              <w:rPr>
                <w:rFonts w:cs="Arial"/>
              </w:rPr>
              <w:t>Accrue workload upon the confirmation of the invoice, not the addition of a unit to a temporary outgoing shipment invoice as an invoice may be confirmed only once.</w:t>
            </w:r>
          </w:p>
        </w:tc>
      </w:tr>
      <w:tr w:rsidR="000305DD" w:rsidRPr="00F24972">
        <w:tblPrEx>
          <w:tblCellMar>
            <w:top w:w="0" w:type="dxa"/>
            <w:bottom w:w="0" w:type="dxa"/>
          </w:tblCellMar>
        </w:tblPrEx>
        <w:trPr>
          <w:cantSplit/>
        </w:trPr>
        <w:tc>
          <w:tcPr>
            <w:tcW w:w="1733" w:type="dxa"/>
            <w:vMerge/>
            <w:tcBorders>
              <w:left w:val="single" w:sz="4" w:space="0" w:color="auto"/>
              <w:bottom w:val="single" w:sz="4" w:space="0" w:color="auto"/>
              <w:right w:val="single" w:sz="4" w:space="0" w:color="auto"/>
            </w:tcBorders>
          </w:tcPr>
          <w:p w:rsidR="000305DD" w:rsidRPr="00F24972" w:rsidRDefault="000305DD" w:rsidP="000305DD">
            <w:pPr>
              <w:pStyle w:val="TableText"/>
              <w:rPr>
                <w:rFonts w:cs="Arial"/>
              </w:rPr>
            </w:pPr>
          </w:p>
        </w:tc>
        <w:tc>
          <w:tcPr>
            <w:tcW w:w="1165"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Pr>
                <w:rFonts w:cs="Arial"/>
              </w:rPr>
              <w:t>Invalidate Unit Status, Transferred</w:t>
            </w:r>
          </w:p>
        </w:tc>
        <w:tc>
          <w:tcPr>
            <w:tcW w:w="108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jc w:val="center"/>
              <w:rPr>
                <w:rFonts w:cs="Arial"/>
              </w:rPr>
            </w:pPr>
            <w:r w:rsidRPr="00F24972">
              <w:rPr>
                <w:rFonts w:cs="Arial"/>
              </w:rPr>
              <w:t>U</w:t>
            </w:r>
          </w:p>
        </w:tc>
        <w:tc>
          <w:tcPr>
            <w:tcW w:w="4123" w:type="dxa"/>
            <w:tcBorders>
              <w:top w:val="single" w:sz="4" w:space="0" w:color="auto"/>
              <w:left w:val="single" w:sz="4" w:space="0" w:color="auto"/>
              <w:bottom w:val="single" w:sz="4" w:space="0" w:color="auto"/>
              <w:right w:val="single" w:sz="4" w:space="0" w:color="auto"/>
            </w:tcBorders>
          </w:tcPr>
          <w:p w:rsidR="000305DD" w:rsidRPr="00F24972" w:rsidRDefault="000305DD" w:rsidP="000305DD">
            <w:pPr>
              <w:pStyle w:val="TableText"/>
              <w:rPr>
                <w:rFonts w:cs="Arial"/>
              </w:rPr>
            </w:pPr>
            <w:r w:rsidRPr="00F24972">
              <w:rPr>
                <w:rFonts w:cs="Arial"/>
              </w:rPr>
              <w:t>An individual unit status is invalidated when the unit had a previous unit status of transferred.</w:t>
            </w:r>
          </w:p>
        </w:tc>
      </w:tr>
      <w:tr w:rsidR="000305DD" w:rsidRPr="00F24972">
        <w:tblPrEx>
          <w:tblCellMar>
            <w:top w:w="0" w:type="dxa"/>
            <w:bottom w:w="0" w:type="dxa"/>
          </w:tblCellMar>
        </w:tblPrEx>
        <w:trPr>
          <w:cantSplit/>
        </w:trPr>
        <w:tc>
          <w:tcPr>
            <w:tcW w:w="1733" w:type="dxa"/>
            <w:tcBorders>
              <w:bottom w:val="single" w:sz="4" w:space="0" w:color="auto"/>
            </w:tcBorders>
          </w:tcPr>
          <w:p w:rsidR="000305DD" w:rsidRPr="00F24972" w:rsidRDefault="000305DD" w:rsidP="000305DD">
            <w:pPr>
              <w:pStyle w:val="TableText"/>
              <w:rPr>
                <w:rFonts w:cs="Arial"/>
              </w:rPr>
            </w:pPr>
            <w:r w:rsidRPr="00F24972">
              <w:rPr>
                <w:rFonts w:cs="Arial"/>
              </w:rPr>
              <w:t>Update Equipment Record</w:t>
            </w:r>
          </w:p>
        </w:tc>
        <w:tc>
          <w:tcPr>
            <w:tcW w:w="1165" w:type="dxa"/>
            <w:tcBorders>
              <w:bottom w:val="single" w:sz="4" w:space="0" w:color="auto"/>
            </w:tcBorders>
          </w:tcPr>
          <w:p w:rsidR="000305DD" w:rsidRPr="00F24972" w:rsidRDefault="000305DD" w:rsidP="000305DD">
            <w:pPr>
              <w:pStyle w:val="TableText"/>
              <w:rPr>
                <w:rFonts w:cs="Arial"/>
              </w:rPr>
            </w:pPr>
            <w:r>
              <w:rPr>
                <w:rFonts w:cs="Arial"/>
                <w:snapToGrid w:val="0"/>
              </w:rPr>
              <w:t>Equipment, Update</w:t>
            </w:r>
          </w:p>
        </w:tc>
        <w:tc>
          <w:tcPr>
            <w:tcW w:w="1080" w:type="dxa"/>
            <w:tcBorders>
              <w:bottom w:val="single" w:sz="4" w:space="0" w:color="auto"/>
            </w:tcBorders>
          </w:tcPr>
          <w:p w:rsidR="000305DD" w:rsidRPr="00F24972" w:rsidRDefault="000305DD" w:rsidP="000305DD">
            <w:pPr>
              <w:pStyle w:val="TableText"/>
              <w:rPr>
                <w:rFonts w:cs="Arial"/>
              </w:rPr>
            </w:pPr>
            <w:r w:rsidRPr="00F24972">
              <w:rPr>
                <w:rFonts w:cs="Arial"/>
              </w:rPr>
              <w:t>Positive</w:t>
            </w:r>
          </w:p>
        </w:tc>
        <w:tc>
          <w:tcPr>
            <w:tcW w:w="900" w:type="dxa"/>
            <w:tcBorders>
              <w:bottom w:val="single" w:sz="4" w:space="0" w:color="auto"/>
            </w:tcBorders>
          </w:tcPr>
          <w:p w:rsidR="000305DD" w:rsidRPr="00F24972" w:rsidRDefault="000305DD" w:rsidP="000305DD">
            <w:pPr>
              <w:pStyle w:val="TableText"/>
              <w:jc w:val="center"/>
              <w:rPr>
                <w:rFonts w:cs="Arial"/>
              </w:rPr>
            </w:pPr>
            <w:r w:rsidRPr="00F24972">
              <w:rPr>
                <w:rFonts w:cs="Arial"/>
              </w:rPr>
              <w:t>M</w:t>
            </w:r>
          </w:p>
        </w:tc>
        <w:tc>
          <w:tcPr>
            <w:tcW w:w="4123" w:type="dxa"/>
            <w:tcBorders>
              <w:bottom w:val="single" w:sz="4" w:space="0" w:color="auto"/>
            </w:tcBorders>
          </w:tcPr>
          <w:p w:rsidR="000305DD" w:rsidRPr="00F24972" w:rsidRDefault="000305DD" w:rsidP="000305DD">
            <w:pPr>
              <w:pStyle w:val="TableText"/>
              <w:rPr>
                <w:rFonts w:cs="Arial"/>
              </w:rPr>
            </w:pPr>
            <w:r w:rsidRPr="00F24972">
              <w:rPr>
                <w:rFonts w:cs="Arial"/>
              </w:rPr>
              <w:t>Accrue workload when a lot number of any type of equipment is updated in the system.</w:t>
            </w:r>
            <w:r>
              <w:rPr>
                <w:rFonts w:cs="Arial"/>
              </w:rPr>
              <w:t xml:space="preserve"> </w:t>
            </w:r>
          </w:p>
        </w:tc>
      </w:tr>
      <w:tr w:rsidR="000305DD" w:rsidRPr="00F24972">
        <w:tblPrEx>
          <w:tblCellMar>
            <w:top w:w="0" w:type="dxa"/>
            <w:bottom w:w="0" w:type="dxa"/>
          </w:tblCellMar>
        </w:tblPrEx>
        <w:trPr>
          <w:cantSplit/>
        </w:trPr>
        <w:tc>
          <w:tcPr>
            <w:tcW w:w="1733" w:type="dxa"/>
            <w:tcBorders>
              <w:bottom w:val="single" w:sz="4" w:space="0" w:color="auto"/>
            </w:tcBorders>
          </w:tcPr>
          <w:p w:rsidR="000305DD" w:rsidRPr="00F24972" w:rsidRDefault="000305DD" w:rsidP="000305DD">
            <w:pPr>
              <w:pStyle w:val="TableText"/>
              <w:rPr>
                <w:rFonts w:cs="Arial"/>
              </w:rPr>
            </w:pPr>
            <w:r w:rsidRPr="00F24972">
              <w:rPr>
                <w:rFonts w:cs="Arial"/>
              </w:rPr>
              <w:t>Update Reagent Inventory</w:t>
            </w:r>
          </w:p>
        </w:tc>
        <w:tc>
          <w:tcPr>
            <w:tcW w:w="1165" w:type="dxa"/>
            <w:tcBorders>
              <w:bottom w:val="single" w:sz="4" w:space="0" w:color="auto"/>
            </w:tcBorders>
          </w:tcPr>
          <w:p w:rsidR="000305DD" w:rsidRPr="00F24972" w:rsidRDefault="000305DD" w:rsidP="000305DD">
            <w:pPr>
              <w:pStyle w:val="TableText"/>
              <w:rPr>
                <w:rFonts w:cs="Arial"/>
              </w:rPr>
            </w:pPr>
            <w:r>
              <w:rPr>
                <w:rFonts w:cs="Arial"/>
                <w:snapToGrid w:val="0"/>
              </w:rPr>
              <w:t>Reagents, Update</w:t>
            </w:r>
          </w:p>
        </w:tc>
        <w:tc>
          <w:tcPr>
            <w:tcW w:w="1080" w:type="dxa"/>
            <w:tcBorders>
              <w:bottom w:val="single" w:sz="4" w:space="0" w:color="auto"/>
            </w:tcBorders>
          </w:tcPr>
          <w:p w:rsidR="000305DD" w:rsidRPr="00F24972" w:rsidRDefault="000305DD" w:rsidP="000305DD">
            <w:pPr>
              <w:pStyle w:val="TableText"/>
              <w:rPr>
                <w:rFonts w:cs="Arial"/>
              </w:rPr>
            </w:pPr>
            <w:r w:rsidRPr="00F24972">
              <w:rPr>
                <w:rFonts w:cs="Arial"/>
              </w:rPr>
              <w:t>Positive</w:t>
            </w:r>
          </w:p>
        </w:tc>
        <w:tc>
          <w:tcPr>
            <w:tcW w:w="900" w:type="dxa"/>
            <w:tcBorders>
              <w:bottom w:val="single" w:sz="4" w:space="0" w:color="auto"/>
            </w:tcBorders>
          </w:tcPr>
          <w:p w:rsidR="000305DD" w:rsidRPr="00F24972" w:rsidRDefault="000305DD" w:rsidP="000305DD">
            <w:pPr>
              <w:pStyle w:val="TableText"/>
              <w:jc w:val="center"/>
              <w:rPr>
                <w:rFonts w:cs="Arial"/>
              </w:rPr>
            </w:pPr>
            <w:r w:rsidRPr="00F24972">
              <w:rPr>
                <w:rFonts w:cs="Arial"/>
              </w:rPr>
              <w:t>M</w:t>
            </w:r>
          </w:p>
        </w:tc>
        <w:tc>
          <w:tcPr>
            <w:tcW w:w="4123" w:type="dxa"/>
            <w:tcBorders>
              <w:bottom w:val="single" w:sz="4" w:space="0" w:color="auto"/>
            </w:tcBorders>
          </w:tcPr>
          <w:p w:rsidR="000305DD" w:rsidRPr="00F24972" w:rsidRDefault="000305DD" w:rsidP="000305DD">
            <w:pPr>
              <w:pStyle w:val="TableText"/>
              <w:rPr>
                <w:rFonts w:cs="Arial"/>
              </w:rPr>
            </w:pPr>
            <w:r w:rsidRPr="00F24972">
              <w:rPr>
                <w:rFonts w:cs="Arial"/>
              </w:rPr>
              <w:t>Accrue workload when a lot number of any type of reagent is updated in the system.</w:t>
            </w:r>
            <w:r>
              <w:rPr>
                <w:rFonts w:cs="Arial"/>
              </w:rPr>
              <w:t xml:space="preserve"> </w:t>
            </w:r>
            <w:r w:rsidRPr="00F24972">
              <w:rPr>
                <w:rFonts w:cs="Arial"/>
              </w:rPr>
              <w:t>When multiple lot numbers are processed in a batch, each lot number’s workload is counted.</w:t>
            </w:r>
          </w:p>
        </w:tc>
      </w:tr>
      <w:tr w:rsidR="000305DD" w:rsidRPr="00F24972" w:rsidTr="000037E8">
        <w:tblPrEx>
          <w:tblCellMar>
            <w:top w:w="0" w:type="dxa"/>
            <w:bottom w:w="0" w:type="dxa"/>
          </w:tblCellMar>
        </w:tblPrEx>
        <w:trPr>
          <w:cantSplit/>
        </w:trPr>
        <w:tc>
          <w:tcPr>
            <w:tcW w:w="1733" w:type="dxa"/>
          </w:tcPr>
          <w:p w:rsidR="000305DD" w:rsidRPr="000037E8" w:rsidRDefault="000305DD" w:rsidP="000305DD">
            <w:pPr>
              <w:pStyle w:val="TableText"/>
              <w:rPr>
                <w:rFonts w:cs="Arial"/>
                <w:szCs w:val="18"/>
              </w:rPr>
            </w:pPr>
            <w:r w:rsidRPr="000037E8">
              <w:rPr>
                <w:rFonts w:cs="Arial"/>
                <w:szCs w:val="18"/>
              </w:rPr>
              <w:t>Update Supply Inventory</w:t>
            </w:r>
          </w:p>
        </w:tc>
        <w:tc>
          <w:tcPr>
            <w:tcW w:w="1165" w:type="dxa"/>
          </w:tcPr>
          <w:p w:rsidR="000305DD" w:rsidRPr="000037E8" w:rsidRDefault="000305DD" w:rsidP="000305DD">
            <w:pPr>
              <w:pStyle w:val="TableText"/>
              <w:rPr>
                <w:rFonts w:cs="Arial"/>
                <w:snapToGrid w:val="0"/>
                <w:szCs w:val="18"/>
              </w:rPr>
            </w:pPr>
            <w:r w:rsidRPr="000037E8">
              <w:rPr>
                <w:rFonts w:cs="Arial"/>
                <w:snapToGrid w:val="0"/>
                <w:szCs w:val="18"/>
              </w:rPr>
              <w:t>Supplies, Update</w:t>
            </w:r>
          </w:p>
        </w:tc>
        <w:tc>
          <w:tcPr>
            <w:tcW w:w="1080" w:type="dxa"/>
          </w:tcPr>
          <w:p w:rsidR="000305DD" w:rsidRPr="000037E8" w:rsidRDefault="000305DD" w:rsidP="000305DD">
            <w:pPr>
              <w:pStyle w:val="TableText"/>
              <w:rPr>
                <w:rFonts w:cs="Arial"/>
                <w:szCs w:val="18"/>
              </w:rPr>
            </w:pPr>
            <w:r w:rsidRPr="000037E8">
              <w:rPr>
                <w:rFonts w:cs="Arial"/>
                <w:szCs w:val="18"/>
              </w:rPr>
              <w:t>Positive</w:t>
            </w:r>
          </w:p>
        </w:tc>
        <w:tc>
          <w:tcPr>
            <w:tcW w:w="900" w:type="dxa"/>
          </w:tcPr>
          <w:p w:rsidR="000305DD" w:rsidRPr="000037E8" w:rsidRDefault="000305DD" w:rsidP="000305DD">
            <w:pPr>
              <w:pStyle w:val="TableText"/>
              <w:jc w:val="center"/>
              <w:rPr>
                <w:rFonts w:cs="Arial"/>
                <w:szCs w:val="18"/>
              </w:rPr>
            </w:pPr>
            <w:r w:rsidRPr="000037E8">
              <w:rPr>
                <w:rFonts w:cs="Arial"/>
                <w:szCs w:val="18"/>
              </w:rPr>
              <w:t>M</w:t>
            </w:r>
          </w:p>
        </w:tc>
        <w:tc>
          <w:tcPr>
            <w:tcW w:w="4123" w:type="dxa"/>
          </w:tcPr>
          <w:p w:rsidR="000305DD" w:rsidRPr="000037E8" w:rsidRDefault="000305DD" w:rsidP="000305DD">
            <w:pPr>
              <w:pStyle w:val="TableText"/>
              <w:rPr>
                <w:rFonts w:cs="Arial"/>
                <w:szCs w:val="18"/>
              </w:rPr>
            </w:pPr>
            <w:r w:rsidRPr="000037E8">
              <w:rPr>
                <w:rFonts w:cs="Arial"/>
                <w:szCs w:val="18"/>
              </w:rPr>
              <w:t>Accrue workload when a lot number of any type of supply is updated in the system. When multiple lot numbers are processed in a batch, each lot number’s workload is counted.</w:t>
            </w:r>
          </w:p>
        </w:tc>
      </w:tr>
      <w:tr w:rsidR="000037E8" w:rsidRPr="00F24972" w:rsidTr="000037E8">
        <w:tblPrEx>
          <w:tblCellMar>
            <w:top w:w="0" w:type="dxa"/>
            <w:bottom w:w="0" w:type="dxa"/>
          </w:tblCellMar>
        </w:tblPrEx>
        <w:trPr>
          <w:cantSplit/>
        </w:trPr>
        <w:tc>
          <w:tcPr>
            <w:tcW w:w="1733" w:type="dxa"/>
            <w:vMerge w:val="restart"/>
          </w:tcPr>
          <w:p w:rsidR="000037E8" w:rsidRPr="000037E8" w:rsidRDefault="000037E8" w:rsidP="00A42CB6">
            <w:pPr>
              <w:pStyle w:val="TableText"/>
              <w:rPr>
                <w:rFonts w:cs="Arial"/>
                <w:szCs w:val="18"/>
              </w:rPr>
            </w:pPr>
            <w:r w:rsidRPr="000037E8">
              <w:rPr>
                <w:rFonts w:cs="Arial"/>
                <w:szCs w:val="18"/>
              </w:rPr>
              <w:t>Patient ABO Automated</w:t>
            </w:r>
          </w:p>
        </w:tc>
        <w:tc>
          <w:tcPr>
            <w:tcW w:w="1165" w:type="dxa"/>
          </w:tcPr>
          <w:p w:rsidR="000037E8" w:rsidRPr="000037E8" w:rsidRDefault="001676C5" w:rsidP="00A42CB6">
            <w:pPr>
              <w:pStyle w:val="TableText"/>
              <w:rPr>
                <w:rFonts w:cs="Arial"/>
                <w:snapToGrid w:val="0"/>
                <w:szCs w:val="18"/>
              </w:rPr>
            </w:pPr>
            <w:r>
              <w:rPr>
                <w:rFonts w:cs="Arial"/>
                <w:snapToGrid w:val="0"/>
                <w:szCs w:val="18"/>
              </w:rPr>
              <w:t>Automated Interface</w:t>
            </w:r>
          </w:p>
        </w:tc>
        <w:tc>
          <w:tcPr>
            <w:tcW w:w="1080" w:type="dxa"/>
          </w:tcPr>
          <w:p w:rsidR="000037E8" w:rsidRPr="000037E8" w:rsidRDefault="000037E8" w:rsidP="00A42CB6">
            <w:pPr>
              <w:pStyle w:val="TableText"/>
              <w:rPr>
                <w:rFonts w:cs="Arial"/>
                <w:szCs w:val="18"/>
              </w:rPr>
            </w:pPr>
            <w:r w:rsidRPr="000037E8">
              <w:rPr>
                <w:rFonts w:cs="Arial"/>
                <w:szCs w:val="18"/>
              </w:rPr>
              <w:t>Positive</w:t>
            </w:r>
          </w:p>
        </w:tc>
        <w:tc>
          <w:tcPr>
            <w:tcW w:w="900" w:type="dxa"/>
          </w:tcPr>
          <w:p w:rsidR="000037E8" w:rsidRPr="000037E8" w:rsidRDefault="000037E8" w:rsidP="00A42CB6">
            <w:pPr>
              <w:pStyle w:val="TableText"/>
              <w:jc w:val="center"/>
              <w:rPr>
                <w:rFonts w:cs="Arial"/>
                <w:szCs w:val="18"/>
              </w:rPr>
            </w:pPr>
            <w:r w:rsidRPr="000037E8">
              <w:rPr>
                <w:rFonts w:cs="Arial"/>
                <w:szCs w:val="18"/>
              </w:rPr>
              <w:t>P</w:t>
            </w:r>
          </w:p>
        </w:tc>
        <w:tc>
          <w:tcPr>
            <w:tcW w:w="4123" w:type="dxa"/>
          </w:tcPr>
          <w:p w:rsidR="000037E8" w:rsidRPr="000037E8" w:rsidRDefault="000037E8" w:rsidP="00A42CB6">
            <w:pPr>
              <w:pStyle w:val="TableText"/>
              <w:rPr>
                <w:rFonts w:cs="Arial"/>
                <w:szCs w:val="18"/>
              </w:rPr>
            </w:pPr>
            <w:r w:rsidRPr="000037E8">
              <w:rPr>
                <w:rFonts w:cs="Arial"/>
                <w:szCs w:val="18"/>
              </w:rPr>
              <w:t>Accrue workload when an ABO/Rh test, primary or reflex, is reviewed, and saved.</w:t>
            </w:r>
          </w:p>
        </w:tc>
      </w:tr>
      <w:tr w:rsidR="000037E8" w:rsidRPr="00F24972" w:rsidTr="000037E8">
        <w:tblPrEx>
          <w:tblCellMar>
            <w:top w:w="0" w:type="dxa"/>
            <w:bottom w:w="0" w:type="dxa"/>
          </w:tblCellMar>
        </w:tblPrEx>
        <w:trPr>
          <w:cantSplit/>
        </w:trPr>
        <w:tc>
          <w:tcPr>
            <w:tcW w:w="1733" w:type="dxa"/>
            <w:vMerge/>
          </w:tcPr>
          <w:p w:rsidR="000037E8" w:rsidRPr="000037E8" w:rsidRDefault="000037E8" w:rsidP="00A42CB6">
            <w:pPr>
              <w:pStyle w:val="TableText"/>
              <w:rPr>
                <w:rFonts w:cs="Arial"/>
                <w:szCs w:val="18"/>
              </w:rPr>
            </w:pPr>
          </w:p>
        </w:tc>
        <w:tc>
          <w:tcPr>
            <w:tcW w:w="1165" w:type="dxa"/>
          </w:tcPr>
          <w:p w:rsidR="000037E8" w:rsidRPr="000037E8" w:rsidRDefault="001676C5" w:rsidP="00A42CB6">
            <w:pPr>
              <w:pStyle w:val="TableText"/>
              <w:rPr>
                <w:rFonts w:cs="Arial"/>
                <w:snapToGrid w:val="0"/>
                <w:szCs w:val="18"/>
              </w:rPr>
            </w:pPr>
            <w:r>
              <w:rPr>
                <w:rFonts w:cs="Arial"/>
                <w:snapToGrid w:val="0"/>
                <w:szCs w:val="18"/>
              </w:rPr>
              <w:t>Invalidate patient testing, ABO/Rh</w:t>
            </w:r>
          </w:p>
        </w:tc>
        <w:tc>
          <w:tcPr>
            <w:tcW w:w="1080" w:type="dxa"/>
          </w:tcPr>
          <w:p w:rsidR="000037E8" w:rsidRPr="000037E8" w:rsidRDefault="000037E8" w:rsidP="00A42CB6">
            <w:pPr>
              <w:pStyle w:val="TableText"/>
              <w:rPr>
                <w:rFonts w:cs="Arial"/>
                <w:szCs w:val="18"/>
              </w:rPr>
            </w:pPr>
            <w:r w:rsidRPr="000037E8">
              <w:rPr>
                <w:rFonts w:cs="Arial"/>
                <w:b/>
                <w:szCs w:val="18"/>
              </w:rPr>
              <w:t>Negative</w:t>
            </w:r>
          </w:p>
        </w:tc>
        <w:tc>
          <w:tcPr>
            <w:tcW w:w="900" w:type="dxa"/>
          </w:tcPr>
          <w:p w:rsidR="000037E8" w:rsidRPr="000037E8" w:rsidRDefault="000037E8" w:rsidP="00A42CB6">
            <w:pPr>
              <w:pStyle w:val="TableText"/>
              <w:jc w:val="center"/>
              <w:rPr>
                <w:rFonts w:cs="Arial"/>
                <w:szCs w:val="18"/>
              </w:rPr>
            </w:pPr>
            <w:r w:rsidRPr="000037E8">
              <w:rPr>
                <w:rFonts w:cs="Arial"/>
                <w:szCs w:val="18"/>
              </w:rPr>
              <w:t>P</w:t>
            </w:r>
          </w:p>
        </w:tc>
        <w:tc>
          <w:tcPr>
            <w:tcW w:w="4123" w:type="dxa"/>
          </w:tcPr>
          <w:p w:rsidR="000037E8" w:rsidRPr="000037E8" w:rsidRDefault="000037E8" w:rsidP="00A42CB6">
            <w:pPr>
              <w:pStyle w:val="TableText"/>
              <w:rPr>
                <w:rFonts w:cs="Arial"/>
                <w:szCs w:val="18"/>
              </w:rPr>
            </w:pPr>
            <w:r w:rsidRPr="000037E8">
              <w:rPr>
                <w:rFonts w:cs="Arial"/>
                <w:szCs w:val="18"/>
              </w:rPr>
              <w:t>Accrue workload when a reviewed ABO/Rh test is invalidated.</w:t>
            </w:r>
          </w:p>
        </w:tc>
      </w:tr>
      <w:tr w:rsidR="001676C5" w:rsidRPr="00F24972" w:rsidTr="000037E8">
        <w:tblPrEx>
          <w:tblCellMar>
            <w:top w:w="0" w:type="dxa"/>
            <w:bottom w:w="0" w:type="dxa"/>
          </w:tblCellMar>
        </w:tblPrEx>
        <w:trPr>
          <w:cantSplit/>
        </w:trPr>
        <w:tc>
          <w:tcPr>
            <w:tcW w:w="1733" w:type="dxa"/>
            <w:vMerge w:val="restart"/>
          </w:tcPr>
          <w:p w:rsidR="001676C5" w:rsidRPr="000037E8" w:rsidRDefault="001676C5" w:rsidP="00A42CB6">
            <w:pPr>
              <w:pStyle w:val="TableText"/>
              <w:rPr>
                <w:rFonts w:cs="Arial"/>
                <w:szCs w:val="18"/>
              </w:rPr>
            </w:pPr>
            <w:r w:rsidRPr="000037E8">
              <w:rPr>
                <w:rFonts w:cs="Arial"/>
                <w:szCs w:val="18"/>
              </w:rPr>
              <w:t>Antibody Screen/Indirect Coombs Automated</w:t>
            </w:r>
          </w:p>
        </w:tc>
        <w:tc>
          <w:tcPr>
            <w:tcW w:w="1165" w:type="dxa"/>
          </w:tcPr>
          <w:p w:rsidR="001676C5" w:rsidRPr="000037E8" w:rsidRDefault="001676C5" w:rsidP="0038583A">
            <w:pPr>
              <w:pStyle w:val="TableText"/>
              <w:rPr>
                <w:rFonts w:cs="Arial"/>
                <w:snapToGrid w:val="0"/>
                <w:szCs w:val="18"/>
              </w:rPr>
            </w:pPr>
            <w:r>
              <w:rPr>
                <w:rFonts w:cs="Arial"/>
                <w:snapToGrid w:val="0"/>
                <w:szCs w:val="18"/>
              </w:rPr>
              <w:t>Automated Interface</w:t>
            </w:r>
          </w:p>
        </w:tc>
        <w:tc>
          <w:tcPr>
            <w:tcW w:w="1080" w:type="dxa"/>
          </w:tcPr>
          <w:p w:rsidR="001676C5" w:rsidRPr="000037E8" w:rsidRDefault="001676C5" w:rsidP="00A42CB6">
            <w:pPr>
              <w:pStyle w:val="TableText"/>
              <w:rPr>
                <w:rFonts w:cs="Arial"/>
                <w:b/>
                <w:szCs w:val="18"/>
              </w:rPr>
            </w:pPr>
            <w:r w:rsidRPr="000037E8">
              <w:rPr>
                <w:rFonts w:cs="Arial"/>
                <w:szCs w:val="18"/>
              </w:rPr>
              <w:t>Positive</w:t>
            </w:r>
          </w:p>
        </w:tc>
        <w:tc>
          <w:tcPr>
            <w:tcW w:w="900" w:type="dxa"/>
          </w:tcPr>
          <w:p w:rsidR="001676C5" w:rsidRPr="000037E8" w:rsidRDefault="001676C5" w:rsidP="00A42CB6">
            <w:pPr>
              <w:pStyle w:val="TableText"/>
              <w:jc w:val="center"/>
              <w:rPr>
                <w:rFonts w:cs="Arial"/>
                <w:szCs w:val="18"/>
              </w:rPr>
            </w:pPr>
            <w:r w:rsidRPr="000037E8">
              <w:rPr>
                <w:rFonts w:cs="Arial"/>
                <w:szCs w:val="18"/>
              </w:rPr>
              <w:t>P</w:t>
            </w:r>
          </w:p>
        </w:tc>
        <w:tc>
          <w:tcPr>
            <w:tcW w:w="4123" w:type="dxa"/>
          </w:tcPr>
          <w:p w:rsidR="001676C5" w:rsidRPr="000037E8" w:rsidRDefault="001676C5" w:rsidP="00A42CB6">
            <w:pPr>
              <w:pStyle w:val="TableText"/>
              <w:rPr>
                <w:rFonts w:cs="Arial"/>
                <w:szCs w:val="18"/>
              </w:rPr>
            </w:pPr>
            <w:r w:rsidRPr="000037E8">
              <w:rPr>
                <w:rFonts w:cs="Arial"/>
                <w:szCs w:val="18"/>
              </w:rPr>
              <w:t>Accrue workload when an ordered ABS test, primary or reflex, is reviewed, and saved.</w:t>
            </w:r>
          </w:p>
          <w:p w:rsidR="001676C5" w:rsidRPr="000037E8" w:rsidRDefault="001676C5" w:rsidP="00A42CB6">
            <w:pPr>
              <w:pStyle w:val="TableText"/>
              <w:rPr>
                <w:rFonts w:cs="Arial"/>
                <w:szCs w:val="18"/>
              </w:rPr>
            </w:pPr>
            <w:r w:rsidRPr="000037E8">
              <w:rPr>
                <w:rFonts w:cs="Arial"/>
                <w:szCs w:val="18"/>
              </w:rPr>
              <w:t>Apply to primary or reflex tests.</w:t>
            </w:r>
          </w:p>
        </w:tc>
      </w:tr>
      <w:tr w:rsidR="001676C5" w:rsidRPr="00F24972" w:rsidTr="000037E8">
        <w:tblPrEx>
          <w:tblCellMar>
            <w:top w:w="0" w:type="dxa"/>
            <w:bottom w:w="0" w:type="dxa"/>
          </w:tblCellMar>
        </w:tblPrEx>
        <w:trPr>
          <w:cantSplit/>
        </w:trPr>
        <w:tc>
          <w:tcPr>
            <w:tcW w:w="1733" w:type="dxa"/>
            <w:vMerge/>
          </w:tcPr>
          <w:p w:rsidR="001676C5" w:rsidRPr="000037E8" w:rsidRDefault="001676C5" w:rsidP="00A42CB6">
            <w:pPr>
              <w:pStyle w:val="TableText"/>
              <w:rPr>
                <w:rFonts w:cs="Arial"/>
                <w:szCs w:val="18"/>
              </w:rPr>
            </w:pPr>
          </w:p>
        </w:tc>
        <w:tc>
          <w:tcPr>
            <w:tcW w:w="1165" w:type="dxa"/>
          </w:tcPr>
          <w:p w:rsidR="001676C5" w:rsidRPr="000037E8" w:rsidRDefault="001676C5" w:rsidP="0038583A">
            <w:pPr>
              <w:pStyle w:val="TableText"/>
              <w:rPr>
                <w:rFonts w:cs="Arial"/>
                <w:snapToGrid w:val="0"/>
                <w:szCs w:val="18"/>
              </w:rPr>
            </w:pPr>
            <w:r>
              <w:rPr>
                <w:rFonts w:cs="Arial"/>
                <w:snapToGrid w:val="0"/>
                <w:szCs w:val="18"/>
              </w:rPr>
              <w:t>Invalidate patient testing, Antibody Screen</w:t>
            </w:r>
          </w:p>
        </w:tc>
        <w:tc>
          <w:tcPr>
            <w:tcW w:w="1080" w:type="dxa"/>
          </w:tcPr>
          <w:p w:rsidR="001676C5" w:rsidRPr="000037E8" w:rsidRDefault="001676C5" w:rsidP="00A42CB6">
            <w:pPr>
              <w:pStyle w:val="TableText"/>
              <w:rPr>
                <w:rFonts w:cs="Arial"/>
                <w:szCs w:val="18"/>
              </w:rPr>
            </w:pPr>
            <w:r w:rsidRPr="000037E8">
              <w:rPr>
                <w:rFonts w:cs="Arial"/>
                <w:b/>
                <w:szCs w:val="18"/>
              </w:rPr>
              <w:t>Negative</w:t>
            </w:r>
          </w:p>
        </w:tc>
        <w:tc>
          <w:tcPr>
            <w:tcW w:w="900" w:type="dxa"/>
          </w:tcPr>
          <w:p w:rsidR="001676C5" w:rsidRPr="000037E8" w:rsidRDefault="001676C5" w:rsidP="00A42CB6">
            <w:pPr>
              <w:pStyle w:val="TableText"/>
              <w:jc w:val="center"/>
              <w:rPr>
                <w:rFonts w:cs="Arial"/>
                <w:szCs w:val="18"/>
              </w:rPr>
            </w:pPr>
            <w:r w:rsidRPr="000037E8">
              <w:rPr>
                <w:rFonts w:cs="Arial"/>
                <w:szCs w:val="18"/>
              </w:rPr>
              <w:t>P</w:t>
            </w:r>
          </w:p>
        </w:tc>
        <w:tc>
          <w:tcPr>
            <w:tcW w:w="4123" w:type="dxa"/>
          </w:tcPr>
          <w:p w:rsidR="001676C5" w:rsidRPr="000037E8" w:rsidRDefault="001676C5" w:rsidP="00A42CB6">
            <w:pPr>
              <w:pStyle w:val="TableText"/>
              <w:rPr>
                <w:rFonts w:cs="Arial"/>
                <w:szCs w:val="18"/>
              </w:rPr>
            </w:pPr>
            <w:r w:rsidRPr="000037E8">
              <w:rPr>
                <w:rFonts w:cs="Arial"/>
                <w:szCs w:val="18"/>
              </w:rPr>
              <w:t>Accrue workload when a completed ABS test is invalidated.</w:t>
            </w:r>
          </w:p>
        </w:tc>
      </w:tr>
      <w:tr w:rsidR="001676C5" w:rsidRPr="00F24972" w:rsidTr="000037E8">
        <w:tblPrEx>
          <w:tblCellMar>
            <w:top w:w="0" w:type="dxa"/>
            <w:bottom w:w="0" w:type="dxa"/>
          </w:tblCellMar>
        </w:tblPrEx>
        <w:trPr>
          <w:cantSplit/>
        </w:trPr>
        <w:tc>
          <w:tcPr>
            <w:tcW w:w="1733" w:type="dxa"/>
            <w:vMerge w:val="restart"/>
          </w:tcPr>
          <w:p w:rsidR="001676C5" w:rsidRPr="000037E8" w:rsidRDefault="001676C5" w:rsidP="00A42CB6">
            <w:pPr>
              <w:pStyle w:val="TableText"/>
              <w:rPr>
                <w:rFonts w:cs="Arial"/>
                <w:szCs w:val="18"/>
              </w:rPr>
            </w:pPr>
            <w:r w:rsidRPr="000037E8">
              <w:rPr>
                <w:rFonts w:cs="Arial"/>
                <w:szCs w:val="18"/>
              </w:rPr>
              <w:t>Serologic Crossmatch, Major, Automated </w:t>
            </w:r>
          </w:p>
        </w:tc>
        <w:tc>
          <w:tcPr>
            <w:tcW w:w="1165" w:type="dxa"/>
          </w:tcPr>
          <w:p w:rsidR="001676C5" w:rsidRPr="000037E8" w:rsidRDefault="001676C5" w:rsidP="0038583A">
            <w:pPr>
              <w:pStyle w:val="TableText"/>
              <w:rPr>
                <w:rFonts w:cs="Arial"/>
                <w:snapToGrid w:val="0"/>
                <w:szCs w:val="18"/>
              </w:rPr>
            </w:pPr>
            <w:r>
              <w:rPr>
                <w:rFonts w:cs="Arial"/>
                <w:snapToGrid w:val="0"/>
                <w:szCs w:val="18"/>
              </w:rPr>
              <w:t>Automated Interface</w:t>
            </w:r>
          </w:p>
        </w:tc>
        <w:tc>
          <w:tcPr>
            <w:tcW w:w="1080" w:type="dxa"/>
          </w:tcPr>
          <w:p w:rsidR="001676C5" w:rsidRPr="000037E8" w:rsidRDefault="001676C5" w:rsidP="00A42CB6">
            <w:pPr>
              <w:pStyle w:val="TableText"/>
              <w:rPr>
                <w:rFonts w:cs="Arial"/>
                <w:b/>
                <w:szCs w:val="18"/>
              </w:rPr>
            </w:pPr>
            <w:r w:rsidRPr="000037E8">
              <w:rPr>
                <w:rFonts w:cs="Arial"/>
                <w:szCs w:val="18"/>
              </w:rPr>
              <w:t>Positive</w:t>
            </w:r>
          </w:p>
        </w:tc>
        <w:tc>
          <w:tcPr>
            <w:tcW w:w="900" w:type="dxa"/>
          </w:tcPr>
          <w:p w:rsidR="001676C5" w:rsidRPr="000037E8" w:rsidRDefault="001676C5" w:rsidP="00A42CB6">
            <w:pPr>
              <w:pStyle w:val="TableText"/>
              <w:jc w:val="center"/>
              <w:rPr>
                <w:rFonts w:cs="Arial"/>
                <w:szCs w:val="18"/>
              </w:rPr>
            </w:pPr>
            <w:r w:rsidRPr="000037E8">
              <w:rPr>
                <w:rFonts w:cs="Arial"/>
                <w:szCs w:val="18"/>
              </w:rPr>
              <w:t>P</w:t>
            </w:r>
          </w:p>
        </w:tc>
        <w:tc>
          <w:tcPr>
            <w:tcW w:w="4123" w:type="dxa"/>
          </w:tcPr>
          <w:p w:rsidR="001676C5" w:rsidRPr="000037E8" w:rsidRDefault="001676C5" w:rsidP="00A42CB6">
            <w:pPr>
              <w:pStyle w:val="TableText"/>
              <w:rPr>
                <w:rFonts w:cs="Arial"/>
                <w:szCs w:val="18"/>
              </w:rPr>
            </w:pPr>
            <w:r w:rsidRPr="000037E8">
              <w:rPr>
                <w:rFonts w:cs="Arial"/>
                <w:szCs w:val="18"/>
              </w:rPr>
              <w:t>Accrue workload when an individual unit (row) crossmatch, selected to include all phases or only AHG phase, primary or reflex, is reviewed, and saved. When a multiple units are selected, each unit (row) accrues workload.</w:t>
            </w:r>
          </w:p>
        </w:tc>
      </w:tr>
      <w:tr w:rsidR="001676C5" w:rsidRPr="00F24972" w:rsidTr="000037E8">
        <w:tblPrEx>
          <w:tblCellMar>
            <w:top w:w="0" w:type="dxa"/>
            <w:bottom w:w="0" w:type="dxa"/>
          </w:tblCellMar>
        </w:tblPrEx>
        <w:trPr>
          <w:cantSplit/>
        </w:trPr>
        <w:tc>
          <w:tcPr>
            <w:tcW w:w="1733" w:type="dxa"/>
            <w:vMerge/>
          </w:tcPr>
          <w:p w:rsidR="001676C5" w:rsidRPr="000037E8" w:rsidRDefault="001676C5" w:rsidP="00A42CB6">
            <w:pPr>
              <w:pStyle w:val="TableText"/>
              <w:rPr>
                <w:rFonts w:cs="Arial"/>
                <w:szCs w:val="18"/>
              </w:rPr>
            </w:pPr>
          </w:p>
        </w:tc>
        <w:tc>
          <w:tcPr>
            <w:tcW w:w="1165" w:type="dxa"/>
          </w:tcPr>
          <w:p w:rsidR="001676C5" w:rsidRPr="000037E8" w:rsidRDefault="001676C5" w:rsidP="0038583A">
            <w:pPr>
              <w:pStyle w:val="TableText"/>
              <w:rPr>
                <w:rFonts w:cs="Arial"/>
                <w:snapToGrid w:val="0"/>
                <w:szCs w:val="18"/>
              </w:rPr>
            </w:pPr>
            <w:r>
              <w:rPr>
                <w:rFonts w:cs="Arial"/>
                <w:snapToGrid w:val="0"/>
                <w:szCs w:val="18"/>
              </w:rPr>
              <w:t>Invalidate patient testing, crossmatch</w:t>
            </w:r>
          </w:p>
        </w:tc>
        <w:tc>
          <w:tcPr>
            <w:tcW w:w="1080" w:type="dxa"/>
          </w:tcPr>
          <w:p w:rsidR="001676C5" w:rsidRPr="000037E8" w:rsidRDefault="001676C5" w:rsidP="00A42CB6">
            <w:pPr>
              <w:pStyle w:val="TableText"/>
              <w:rPr>
                <w:rFonts w:cs="Arial"/>
                <w:szCs w:val="18"/>
              </w:rPr>
            </w:pPr>
            <w:r w:rsidRPr="000037E8">
              <w:rPr>
                <w:rFonts w:cs="Arial"/>
                <w:b/>
                <w:szCs w:val="18"/>
              </w:rPr>
              <w:t>Negative</w:t>
            </w:r>
          </w:p>
        </w:tc>
        <w:tc>
          <w:tcPr>
            <w:tcW w:w="900" w:type="dxa"/>
          </w:tcPr>
          <w:p w:rsidR="001676C5" w:rsidRPr="000037E8" w:rsidRDefault="001676C5" w:rsidP="00A42CB6">
            <w:pPr>
              <w:pStyle w:val="TableText"/>
              <w:jc w:val="center"/>
              <w:rPr>
                <w:rFonts w:cs="Arial"/>
                <w:szCs w:val="18"/>
              </w:rPr>
            </w:pPr>
            <w:r w:rsidRPr="000037E8">
              <w:rPr>
                <w:rFonts w:cs="Arial"/>
                <w:szCs w:val="18"/>
              </w:rPr>
              <w:t>P</w:t>
            </w:r>
          </w:p>
        </w:tc>
        <w:tc>
          <w:tcPr>
            <w:tcW w:w="4123" w:type="dxa"/>
          </w:tcPr>
          <w:p w:rsidR="001676C5" w:rsidRPr="000037E8" w:rsidRDefault="001676C5" w:rsidP="00A42CB6">
            <w:pPr>
              <w:pStyle w:val="TableText"/>
              <w:rPr>
                <w:rFonts w:cs="Arial"/>
                <w:szCs w:val="18"/>
              </w:rPr>
            </w:pPr>
            <w:r w:rsidRPr="000037E8">
              <w:rPr>
                <w:rFonts w:cs="Arial"/>
                <w:szCs w:val="18"/>
              </w:rPr>
              <w:t>Accrue workload when a reviewed crossmatch test is invalidated. The workload originally saved with the test, serological Coombs.</w:t>
            </w:r>
          </w:p>
        </w:tc>
      </w:tr>
      <w:tr w:rsidR="001676C5" w:rsidRPr="00F24972" w:rsidTr="000037E8">
        <w:tblPrEx>
          <w:tblCellMar>
            <w:top w:w="0" w:type="dxa"/>
            <w:bottom w:w="0" w:type="dxa"/>
          </w:tblCellMar>
        </w:tblPrEx>
        <w:trPr>
          <w:cantSplit/>
        </w:trPr>
        <w:tc>
          <w:tcPr>
            <w:tcW w:w="1733" w:type="dxa"/>
            <w:vMerge w:val="restart"/>
          </w:tcPr>
          <w:p w:rsidR="001676C5" w:rsidRPr="000037E8" w:rsidRDefault="001676C5" w:rsidP="00A42CB6">
            <w:pPr>
              <w:pStyle w:val="TableText"/>
              <w:rPr>
                <w:rFonts w:cs="Arial"/>
                <w:szCs w:val="18"/>
              </w:rPr>
            </w:pPr>
            <w:r w:rsidRPr="000037E8">
              <w:rPr>
                <w:rFonts w:cs="Arial"/>
                <w:szCs w:val="18"/>
              </w:rPr>
              <w:t>Direct Antiglobulin Test Automated</w:t>
            </w:r>
          </w:p>
        </w:tc>
        <w:tc>
          <w:tcPr>
            <w:tcW w:w="1165" w:type="dxa"/>
          </w:tcPr>
          <w:p w:rsidR="001676C5" w:rsidRPr="000037E8" w:rsidRDefault="001676C5" w:rsidP="0038583A">
            <w:pPr>
              <w:pStyle w:val="TableText"/>
              <w:rPr>
                <w:rFonts w:cs="Arial"/>
                <w:snapToGrid w:val="0"/>
                <w:szCs w:val="18"/>
              </w:rPr>
            </w:pPr>
            <w:r>
              <w:rPr>
                <w:rFonts w:cs="Arial"/>
                <w:snapToGrid w:val="0"/>
                <w:szCs w:val="18"/>
              </w:rPr>
              <w:t>Automated Interface</w:t>
            </w:r>
          </w:p>
        </w:tc>
        <w:tc>
          <w:tcPr>
            <w:tcW w:w="1080" w:type="dxa"/>
          </w:tcPr>
          <w:p w:rsidR="001676C5" w:rsidRPr="000037E8" w:rsidRDefault="001676C5" w:rsidP="00A42CB6">
            <w:pPr>
              <w:pStyle w:val="TableText"/>
              <w:rPr>
                <w:rFonts w:cs="Arial"/>
                <w:b/>
                <w:szCs w:val="18"/>
              </w:rPr>
            </w:pPr>
            <w:r w:rsidRPr="000037E8">
              <w:rPr>
                <w:rFonts w:cs="Arial"/>
                <w:szCs w:val="18"/>
              </w:rPr>
              <w:t>Positive</w:t>
            </w:r>
          </w:p>
        </w:tc>
        <w:tc>
          <w:tcPr>
            <w:tcW w:w="900" w:type="dxa"/>
          </w:tcPr>
          <w:p w:rsidR="001676C5" w:rsidRPr="000037E8" w:rsidRDefault="001676C5" w:rsidP="00A42CB6">
            <w:pPr>
              <w:pStyle w:val="TableText"/>
              <w:jc w:val="center"/>
              <w:rPr>
                <w:rFonts w:cs="Arial"/>
                <w:szCs w:val="18"/>
              </w:rPr>
            </w:pPr>
            <w:r w:rsidRPr="000037E8">
              <w:rPr>
                <w:rFonts w:cs="Arial"/>
                <w:szCs w:val="18"/>
              </w:rPr>
              <w:t>P</w:t>
            </w:r>
          </w:p>
        </w:tc>
        <w:tc>
          <w:tcPr>
            <w:tcW w:w="4123" w:type="dxa"/>
          </w:tcPr>
          <w:p w:rsidR="001676C5" w:rsidRPr="000037E8" w:rsidRDefault="001676C5" w:rsidP="00A42CB6">
            <w:pPr>
              <w:pStyle w:val="TableText"/>
              <w:rPr>
                <w:rFonts w:cs="Arial"/>
                <w:szCs w:val="18"/>
              </w:rPr>
            </w:pPr>
            <w:r w:rsidRPr="000037E8">
              <w:rPr>
                <w:rFonts w:cs="Arial"/>
                <w:szCs w:val="18"/>
              </w:rPr>
              <w:t>Accrue workload when a DAT, primary or reflex, is reviewed, and saved.</w:t>
            </w:r>
          </w:p>
        </w:tc>
      </w:tr>
      <w:tr w:rsidR="001676C5" w:rsidRPr="00F24972" w:rsidTr="000037E8">
        <w:tblPrEx>
          <w:tblCellMar>
            <w:top w:w="0" w:type="dxa"/>
            <w:bottom w:w="0" w:type="dxa"/>
          </w:tblCellMar>
        </w:tblPrEx>
        <w:trPr>
          <w:cantSplit/>
        </w:trPr>
        <w:tc>
          <w:tcPr>
            <w:tcW w:w="1733" w:type="dxa"/>
            <w:vMerge/>
            <w:tcBorders>
              <w:bottom w:val="single" w:sz="4" w:space="0" w:color="auto"/>
            </w:tcBorders>
          </w:tcPr>
          <w:p w:rsidR="001676C5" w:rsidRPr="000037E8" w:rsidRDefault="001676C5" w:rsidP="00A42CB6">
            <w:pPr>
              <w:pStyle w:val="TableText"/>
              <w:rPr>
                <w:rFonts w:cs="Arial"/>
                <w:szCs w:val="18"/>
              </w:rPr>
            </w:pPr>
          </w:p>
        </w:tc>
        <w:tc>
          <w:tcPr>
            <w:tcW w:w="1165" w:type="dxa"/>
          </w:tcPr>
          <w:p w:rsidR="001676C5" w:rsidRPr="000037E8" w:rsidRDefault="001676C5" w:rsidP="0038583A">
            <w:pPr>
              <w:pStyle w:val="TableText"/>
              <w:rPr>
                <w:rFonts w:cs="Arial"/>
                <w:snapToGrid w:val="0"/>
                <w:szCs w:val="18"/>
              </w:rPr>
            </w:pPr>
            <w:r>
              <w:rPr>
                <w:rFonts w:cs="Arial"/>
                <w:snapToGrid w:val="0"/>
                <w:szCs w:val="18"/>
              </w:rPr>
              <w:t>Invalidate patient testing, Direct Antiglobulin test</w:t>
            </w:r>
          </w:p>
        </w:tc>
        <w:tc>
          <w:tcPr>
            <w:tcW w:w="1080" w:type="dxa"/>
          </w:tcPr>
          <w:p w:rsidR="001676C5" w:rsidRPr="000037E8" w:rsidRDefault="001676C5" w:rsidP="00A42CB6">
            <w:pPr>
              <w:pStyle w:val="TableText"/>
              <w:rPr>
                <w:rFonts w:cs="Arial"/>
                <w:szCs w:val="18"/>
              </w:rPr>
            </w:pPr>
            <w:r w:rsidRPr="000037E8">
              <w:rPr>
                <w:rFonts w:cs="Arial"/>
                <w:b/>
                <w:szCs w:val="18"/>
              </w:rPr>
              <w:t>Negative</w:t>
            </w:r>
          </w:p>
        </w:tc>
        <w:tc>
          <w:tcPr>
            <w:tcW w:w="900" w:type="dxa"/>
          </w:tcPr>
          <w:p w:rsidR="001676C5" w:rsidRPr="000037E8" w:rsidRDefault="001676C5" w:rsidP="00A42CB6">
            <w:pPr>
              <w:pStyle w:val="TableText"/>
              <w:jc w:val="center"/>
              <w:rPr>
                <w:rFonts w:cs="Arial"/>
                <w:szCs w:val="18"/>
              </w:rPr>
            </w:pPr>
            <w:r w:rsidRPr="000037E8">
              <w:rPr>
                <w:rFonts w:cs="Arial"/>
                <w:szCs w:val="18"/>
              </w:rPr>
              <w:t>P</w:t>
            </w:r>
          </w:p>
        </w:tc>
        <w:tc>
          <w:tcPr>
            <w:tcW w:w="4123" w:type="dxa"/>
          </w:tcPr>
          <w:p w:rsidR="001676C5" w:rsidRPr="000037E8" w:rsidRDefault="001676C5" w:rsidP="00A42CB6">
            <w:pPr>
              <w:pStyle w:val="TableText"/>
              <w:rPr>
                <w:rFonts w:cs="Arial"/>
                <w:szCs w:val="18"/>
              </w:rPr>
            </w:pPr>
            <w:r w:rsidRPr="000037E8">
              <w:rPr>
                <w:rFonts w:cs="Arial"/>
                <w:szCs w:val="18"/>
              </w:rPr>
              <w:t xml:space="preserve">Accrue workload when a reviewed DAT is invalidated. </w:t>
            </w:r>
          </w:p>
        </w:tc>
      </w:tr>
      <w:tr w:rsidR="001676C5" w:rsidRPr="00F24972" w:rsidTr="000037E8">
        <w:tblPrEx>
          <w:tblCellMar>
            <w:top w:w="0" w:type="dxa"/>
            <w:bottom w:w="0" w:type="dxa"/>
          </w:tblCellMar>
        </w:tblPrEx>
        <w:trPr>
          <w:cantSplit/>
        </w:trPr>
        <w:tc>
          <w:tcPr>
            <w:tcW w:w="1733" w:type="dxa"/>
            <w:vMerge w:val="restart"/>
          </w:tcPr>
          <w:p w:rsidR="001676C5" w:rsidRPr="000037E8" w:rsidRDefault="001676C5" w:rsidP="00A42CB6">
            <w:pPr>
              <w:pStyle w:val="TableText"/>
              <w:rPr>
                <w:rFonts w:cs="Arial"/>
                <w:szCs w:val="18"/>
              </w:rPr>
            </w:pPr>
            <w:r w:rsidRPr="000037E8">
              <w:rPr>
                <w:rFonts w:cs="Arial"/>
                <w:szCs w:val="18"/>
              </w:rPr>
              <w:t>Patient Antigen Typing Automated</w:t>
            </w:r>
          </w:p>
        </w:tc>
        <w:tc>
          <w:tcPr>
            <w:tcW w:w="1165" w:type="dxa"/>
          </w:tcPr>
          <w:p w:rsidR="001676C5" w:rsidRPr="000037E8" w:rsidRDefault="001676C5" w:rsidP="0038583A">
            <w:pPr>
              <w:pStyle w:val="TableText"/>
              <w:rPr>
                <w:rFonts w:cs="Arial"/>
                <w:snapToGrid w:val="0"/>
                <w:szCs w:val="18"/>
              </w:rPr>
            </w:pPr>
            <w:r>
              <w:rPr>
                <w:rFonts w:cs="Arial"/>
                <w:snapToGrid w:val="0"/>
                <w:szCs w:val="18"/>
              </w:rPr>
              <w:t>Automated Interface</w:t>
            </w:r>
          </w:p>
        </w:tc>
        <w:tc>
          <w:tcPr>
            <w:tcW w:w="1080" w:type="dxa"/>
          </w:tcPr>
          <w:p w:rsidR="001676C5" w:rsidRPr="000037E8" w:rsidRDefault="001676C5" w:rsidP="00A42CB6">
            <w:pPr>
              <w:pStyle w:val="TableText"/>
              <w:rPr>
                <w:rFonts w:cs="Arial"/>
                <w:b/>
                <w:szCs w:val="18"/>
              </w:rPr>
            </w:pPr>
            <w:r w:rsidRPr="000037E8">
              <w:rPr>
                <w:rFonts w:cs="Arial"/>
                <w:szCs w:val="18"/>
              </w:rPr>
              <w:t>Positive</w:t>
            </w:r>
          </w:p>
        </w:tc>
        <w:tc>
          <w:tcPr>
            <w:tcW w:w="900" w:type="dxa"/>
          </w:tcPr>
          <w:p w:rsidR="001676C5" w:rsidRPr="000037E8" w:rsidRDefault="001676C5" w:rsidP="00A42CB6">
            <w:pPr>
              <w:pStyle w:val="TableText"/>
              <w:jc w:val="center"/>
              <w:rPr>
                <w:rFonts w:cs="Arial"/>
                <w:szCs w:val="18"/>
              </w:rPr>
            </w:pPr>
            <w:r w:rsidRPr="000037E8">
              <w:rPr>
                <w:rFonts w:cs="Arial"/>
                <w:szCs w:val="18"/>
              </w:rPr>
              <w:t>P</w:t>
            </w:r>
          </w:p>
        </w:tc>
        <w:tc>
          <w:tcPr>
            <w:tcW w:w="4123" w:type="dxa"/>
          </w:tcPr>
          <w:p w:rsidR="001676C5" w:rsidRPr="000037E8" w:rsidRDefault="001676C5" w:rsidP="00A42CB6">
            <w:pPr>
              <w:pStyle w:val="TableText"/>
              <w:rPr>
                <w:rFonts w:cs="Arial"/>
                <w:szCs w:val="18"/>
              </w:rPr>
            </w:pPr>
            <w:r w:rsidRPr="000037E8">
              <w:rPr>
                <w:rFonts w:cs="Arial"/>
                <w:szCs w:val="18"/>
              </w:rPr>
              <w:t xml:space="preserve">Accrue workload when a patient antigen phenotype test (tab) is reviewed and saved. </w:t>
            </w:r>
          </w:p>
        </w:tc>
      </w:tr>
      <w:tr w:rsidR="001676C5" w:rsidRPr="00F24972" w:rsidTr="000037E8">
        <w:tblPrEx>
          <w:tblCellMar>
            <w:top w:w="0" w:type="dxa"/>
            <w:bottom w:w="0" w:type="dxa"/>
          </w:tblCellMar>
        </w:tblPrEx>
        <w:trPr>
          <w:cantSplit/>
        </w:trPr>
        <w:tc>
          <w:tcPr>
            <w:tcW w:w="1733" w:type="dxa"/>
            <w:vMerge/>
          </w:tcPr>
          <w:p w:rsidR="001676C5" w:rsidRPr="000037E8" w:rsidRDefault="001676C5" w:rsidP="00A42CB6">
            <w:pPr>
              <w:pStyle w:val="TableText"/>
              <w:rPr>
                <w:rFonts w:cs="Arial"/>
                <w:szCs w:val="18"/>
              </w:rPr>
            </w:pPr>
          </w:p>
        </w:tc>
        <w:tc>
          <w:tcPr>
            <w:tcW w:w="1165" w:type="dxa"/>
          </w:tcPr>
          <w:p w:rsidR="001676C5" w:rsidRPr="000037E8" w:rsidRDefault="001676C5" w:rsidP="0038583A">
            <w:pPr>
              <w:pStyle w:val="TableText"/>
              <w:rPr>
                <w:rFonts w:cs="Arial"/>
                <w:snapToGrid w:val="0"/>
                <w:szCs w:val="18"/>
              </w:rPr>
            </w:pPr>
            <w:r>
              <w:rPr>
                <w:rFonts w:cs="Arial"/>
                <w:snapToGrid w:val="0"/>
                <w:szCs w:val="18"/>
              </w:rPr>
              <w:t>Invalidate patient testing, patient antigen typing</w:t>
            </w:r>
          </w:p>
        </w:tc>
        <w:tc>
          <w:tcPr>
            <w:tcW w:w="1080" w:type="dxa"/>
          </w:tcPr>
          <w:p w:rsidR="001676C5" w:rsidRPr="000037E8" w:rsidRDefault="001676C5" w:rsidP="00A42CB6">
            <w:pPr>
              <w:pStyle w:val="TableText"/>
              <w:rPr>
                <w:rFonts w:cs="Arial"/>
                <w:b/>
                <w:szCs w:val="18"/>
              </w:rPr>
            </w:pPr>
            <w:r w:rsidRPr="000037E8">
              <w:rPr>
                <w:rFonts w:cs="Arial"/>
                <w:b/>
                <w:szCs w:val="18"/>
              </w:rPr>
              <w:t>Negative</w:t>
            </w:r>
          </w:p>
        </w:tc>
        <w:tc>
          <w:tcPr>
            <w:tcW w:w="900" w:type="dxa"/>
          </w:tcPr>
          <w:p w:rsidR="001676C5" w:rsidRPr="000037E8" w:rsidRDefault="001676C5" w:rsidP="00A42CB6">
            <w:pPr>
              <w:pStyle w:val="TableText"/>
              <w:jc w:val="center"/>
              <w:rPr>
                <w:rFonts w:cs="Arial"/>
                <w:szCs w:val="18"/>
              </w:rPr>
            </w:pPr>
            <w:r w:rsidRPr="000037E8">
              <w:rPr>
                <w:rFonts w:cs="Arial"/>
                <w:szCs w:val="18"/>
              </w:rPr>
              <w:t>P</w:t>
            </w:r>
          </w:p>
        </w:tc>
        <w:tc>
          <w:tcPr>
            <w:tcW w:w="4123" w:type="dxa"/>
          </w:tcPr>
          <w:p w:rsidR="001676C5" w:rsidRPr="000037E8" w:rsidRDefault="001676C5" w:rsidP="00A42CB6">
            <w:pPr>
              <w:pStyle w:val="TableText"/>
              <w:rPr>
                <w:rFonts w:cs="Arial"/>
                <w:szCs w:val="18"/>
              </w:rPr>
            </w:pPr>
            <w:r w:rsidRPr="000037E8">
              <w:rPr>
                <w:rFonts w:cs="Arial"/>
                <w:szCs w:val="18"/>
              </w:rPr>
              <w:t>Accrue workload when a reviewed patient antigen test (phenotype) is invalidated.</w:t>
            </w:r>
          </w:p>
        </w:tc>
      </w:tr>
      <w:tr w:rsidR="001676C5" w:rsidRPr="00F24972" w:rsidTr="000037E8">
        <w:tblPrEx>
          <w:tblCellMar>
            <w:top w:w="0" w:type="dxa"/>
            <w:bottom w:w="0" w:type="dxa"/>
          </w:tblCellMar>
        </w:tblPrEx>
        <w:trPr>
          <w:cantSplit/>
        </w:trPr>
        <w:tc>
          <w:tcPr>
            <w:tcW w:w="1733" w:type="dxa"/>
            <w:vMerge w:val="restart"/>
          </w:tcPr>
          <w:p w:rsidR="001676C5" w:rsidRPr="000037E8" w:rsidRDefault="001676C5" w:rsidP="00A42CB6">
            <w:pPr>
              <w:pStyle w:val="TableText"/>
              <w:rPr>
                <w:rFonts w:cs="Arial"/>
                <w:szCs w:val="18"/>
              </w:rPr>
            </w:pPr>
            <w:r w:rsidRPr="000037E8">
              <w:rPr>
                <w:rFonts w:cs="Arial"/>
                <w:szCs w:val="18"/>
              </w:rPr>
              <w:t>Blood Unit ABO Confirmation Test Automated</w:t>
            </w:r>
          </w:p>
        </w:tc>
        <w:tc>
          <w:tcPr>
            <w:tcW w:w="1165" w:type="dxa"/>
          </w:tcPr>
          <w:p w:rsidR="001676C5" w:rsidRPr="000037E8" w:rsidRDefault="001676C5" w:rsidP="0038583A">
            <w:pPr>
              <w:pStyle w:val="TableText"/>
              <w:rPr>
                <w:rFonts w:cs="Arial"/>
                <w:snapToGrid w:val="0"/>
                <w:szCs w:val="18"/>
              </w:rPr>
            </w:pPr>
            <w:r>
              <w:rPr>
                <w:rFonts w:cs="Arial"/>
                <w:snapToGrid w:val="0"/>
                <w:szCs w:val="18"/>
              </w:rPr>
              <w:t>Automated Interface</w:t>
            </w:r>
          </w:p>
        </w:tc>
        <w:tc>
          <w:tcPr>
            <w:tcW w:w="1080" w:type="dxa"/>
          </w:tcPr>
          <w:p w:rsidR="001676C5" w:rsidRPr="000037E8" w:rsidRDefault="001676C5" w:rsidP="00A42CB6">
            <w:pPr>
              <w:pStyle w:val="TableText"/>
              <w:rPr>
                <w:rFonts w:cs="Arial"/>
                <w:szCs w:val="18"/>
              </w:rPr>
            </w:pPr>
            <w:r w:rsidRPr="000037E8">
              <w:rPr>
                <w:rFonts w:cs="Arial"/>
                <w:szCs w:val="18"/>
              </w:rPr>
              <w:t>Positive</w:t>
            </w:r>
          </w:p>
        </w:tc>
        <w:tc>
          <w:tcPr>
            <w:tcW w:w="900" w:type="dxa"/>
          </w:tcPr>
          <w:p w:rsidR="001676C5" w:rsidRPr="000037E8" w:rsidRDefault="001676C5" w:rsidP="00A42CB6">
            <w:pPr>
              <w:pStyle w:val="TableText"/>
              <w:jc w:val="center"/>
              <w:rPr>
                <w:rFonts w:cs="Arial"/>
                <w:szCs w:val="18"/>
              </w:rPr>
            </w:pPr>
            <w:r w:rsidRPr="000037E8">
              <w:rPr>
                <w:rFonts w:cs="Arial"/>
                <w:szCs w:val="18"/>
              </w:rPr>
              <w:t>U</w:t>
            </w:r>
          </w:p>
        </w:tc>
        <w:tc>
          <w:tcPr>
            <w:tcW w:w="4123" w:type="dxa"/>
          </w:tcPr>
          <w:p w:rsidR="001676C5" w:rsidRPr="000037E8" w:rsidRDefault="001676C5" w:rsidP="00A42CB6">
            <w:pPr>
              <w:pStyle w:val="TableText"/>
              <w:rPr>
                <w:rFonts w:cs="Arial"/>
                <w:szCs w:val="18"/>
              </w:rPr>
            </w:pPr>
            <w:r w:rsidRPr="000037E8">
              <w:rPr>
                <w:rFonts w:cs="Arial"/>
                <w:szCs w:val="18"/>
              </w:rPr>
              <w:t xml:space="preserve">An ABO confirmation test, primary or repeat, is reviewed, and saved. When multiple units are selected in a batch, each unit in the batch accrues a workload event. </w:t>
            </w:r>
          </w:p>
          <w:p w:rsidR="001676C5" w:rsidRPr="000037E8" w:rsidRDefault="001676C5" w:rsidP="00A42CB6">
            <w:pPr>
              <w:pStyle w:val="TableText"/>
              <w:rPr>
                <w:rFonts w:cs="Arial"/>
                <w:szCs w:val="18"/>
              </w:rPr>
            </w:pPr>
          </w:p>
          <w:p w:rsidR="001676C5" w:rsidRPr="000037E8" w:rsidRDefault="001676C5" w:rsidP="00A42CB6">
            <w:pPr>
              <w:pStyle w:val="TableTextBullet"/>
              <w:rPr>
                <w:rFonts w:cs="Arial"/>
                <w:szCs w:val="18"/>
              </w:rPr>
            </w:pPr>
            <w:r w:rsidRPr="000037E8">
              <w:rPr>
                <w:rFonts w:cs="Arial"/>
                <w:szCs w:val="18"/>
              </w:rPr>
              <w:t>Note: Workload generated when Anti-D testing is not included in the unit’s confirmation test.</w:t>
            </w:r>
            <w:r w:rsidRPr="000037E8">
              <w:rPr>
                <w:rFonts w:cs="Arial"/>
                <w:color w:val="0000FF"/>
                <w:szCs w:val="18"/>
              </w:rPr>
              <w:t xml:space="preserve"> </w:t>
            </w:r>
            <w:r w:rsidRPr="000037E8">
              <w:rPr>
                <w:rFonts w:cs="Arial"/>
                <w:szCs w:val="18"/>
              </w:rPr>
              <w:t xml:space="preserve">Workload is </w:t>
            </w:r>
            <w:r w:rsidRPr="000037E8">
              <w:rPr>
                <w:rFonts w:cs="Arial"/>
                <w:b/>
                <w:szCs w:val="18"/>
              </w:rPr>
              <w:t xml:space="preserve">not </w:t>
            </w:r>
            <w:r w:rsidRPr="000037E8">
              <w:rPr>
                <w:rFonts w:cs="Arial"/>
                <w:szCs w:val="18"/>
              </w:rPr>
              <w:t>accrued when VBECS quarantines the unit due to a discrepancy. No special handling for workload collection for additional confirmation tests on a unit.</w:t>
            </w:r>
          </w:p>
        </w:tc>
      </w:tr>
      <w:tr w:rsidR="001676C5" w:rsidRPr="00F24972" w:rsidTr="000037E8">
        <w:tblPrEx>
          <w:tblCellMar>
            <w:top w:w="0" w:type="dxa"/>
            <w:bottom w:w="0" w:type="dxa"/>
          </w:tblCellMar>
        </w:tblPrEx>
        <w:trPr>
          <w:cantSplit/>
        </w:trPr>
        <w:tc>
          <w:tcPr>
            <w:tcW w:w="1733" w:type="dxa"/>
            <w:vMerge/>
          </w:tcPr>
          <w:p w:rsidR="001676C5" w:rsidRPr="000037E8" w:rsidRDefault="001676C5" w:rsidP="00A42CB6">
            <w:pPr>
              <w:pStyle w:val="TableText"/>
              <w:rPr>
                <w:rFonts w:cs="Arial"/>
                <w:szCs w:val="18"/>
              </w:rPr>
            </w:pPr>
          </w:p>
        </w:tc>
        <w:tc>
          <w:tcPr>
            <w:tcW w:w="1165" w:type="dxa"/>
          </w:tcPr>
          <w:p w:rsidR="001676C5" w:rsidRPr="000037E8" w:rsidRDefault="001676C5" w:rsidP="001676C5">
            <w:pPr>
              <w:pStyle w:val="TableText"/>
              <w:rPr>
                <w:rFonts w:cs="Arial"/>
                <w:snapToGrid w:val="0"/>
                <w:szCs w:val="18"/>
              </w:rPr>
            </w:pPr>
            <w:r>
              <w:rPr>
                <w:rFonts w:cs="Arial"/>
                <w:snapToGrid w:val="0"/>
                <w:szCs w:val="18"/>
              </w:rPr>
              <w:t>Invalidate unit testing, ABO Test</w:t>
            </w:r>
          </w:p>
        </w:tc>
        <w:tc>
          <w:tcPr>
            <w:tcW w:w="1080" w:type="dxa"/>
          </w:tcPr>
          <w:p w:rsidR="001676C5" w:rsidRPr="000037E8" w:rsidRDefault="001676C5" w:rsidP="00A42CB6">
            <w:pPr>
              <w:pStyle w:val="TableText"/>
              <w:rPr>
                <w:rFonts w:cs="Arial"/>
                <w:szCs w:val="18"/>
              </w:rPr>
            </w:pPr>
            <w:r w:rsidRPr="000037E8">
              <w:rPr>
                <w:rFonts w:cs="Arial"/>
                <w:b/>
                <w:szCs w:val="18"/>
              </w:rPr>
              <w:t>Negative</w:t>
            </w:r>
          </w:p>
        </w:tc>
        <w:tc>
          <w:tcPr>
            <w:tcW w:w="900" w:type="dxa"/>
          </w:tcPr>
          <w:p w:rsidR="001676C5" w:rsidRPr="000037E8" w:rsidRDefault="001676C5" w:rsidP="00A42CB6">
            <w:pPr>
              <w:pStyle w:val="TableText"/>
              <w:jc w:val="center"/>
              <w:rPr>
                <w:rFonts w:cs="Arial"/>
                <w:szCs w:val="18"/>
              </w:rPr>
            </w:pPr>
            <w:r w:rsidRPr="000037E8">
              <w:rPr>
                <w:rFonts w:cs="Arial"/>
                <w:szCs w:val="18"/>
              </w:rPr>
              <w:t>U</w:t>
            </w:r>
          </w:p>
        </w:tc>
        <w:tc>
          <w:tcPr>
            <w:tcW w:w="4123" w:type="dxa"/>
          </w:tcPr>
          <w:p w:rsidR="001676C5" w:rsidRPr="000037E8" w:rsidRDefault="001676C5" w:rsidP="00A42CB6">
            <w:pPr>
              <w:pStyle w:val="TableText"/>
              <w:rPr>
                <w:rFonts w:cs="Arial"/>
                <w:szCs w:val="18"/>
              </w:rPr>
            </w:pPr>
            <w:r w:rsidRPr="000037E8">
              <w:rPr>
                <w:rFonts w:cs="Arial"/>
                <w:szCs w:val="18"/>
              </w:rPr>
              <w:t>Accrue workload when an ABO confirmation test is invalidated</w:t>
            </w:r>
          </w:p>
        </w:tc>
      </w:tr>
      <w:tr w:rsidR="001676C5" w:rsidRPr="00F24972" w:rsidTr="000037E8">
        <w:tblPrEx>
          <w:tblCellMar>
            <w:top w:w="0" w:type="dxa"/>
            <w:bottom w:w="0" w:type="dxa"/>
          </w:tblCellMar>
        </w:tblPrEx>
        <w:trPr>
          <w:cantSplit/>
        </w:trPr>
        <w:tc>
          <w:tcPr>
            <w:tcW w:w="1733" w:type="dxa"/>
            <w:vMerge w:val="restart"/>
          </w:tcPr>
          <w:p w:rsidR="001676C5" w:rsidRPr="000037E8" w:rsidRDefault="001676C5" w:rsidP="00A42CB6">
            <w:pPr>
              <w:pStyle w:val="TableText"/>
              <w:rPr>
                <w:rFonts w:cs="Arial"/>
                <w:szCs w:val="18"/>
              </w:rPr>
            </w:pPr>
            <w:r w:rsidRPr="000037E8">
              <w:rPr>
                <w:rFonts w:cs="Arial"/>
                <w:szCs w:val="18"/>
              </w:rPr>
              <w:t>Blood Unit ABO/Rh Confirmation Test Automated</w:t>
            </w:r>
          </w:p>
        </w:tc>
        <w:tc>
          <w:tcPr>
            <w:tcW w:w="1165" w:type="dxa"/>
          </w:tcPr>
          <w:p w:rsidR="001676C5" w:rsidRPr="000037E8" w:rsidRDefault="001676C5" w:rsidP="0038583A">
            <w:pPr>
              <w:pStyle w:val="TableText"/>
              <w:rPr>
                <w:rFonts w:cs="Arial"/>
                <w:snapToGrid w:val="0"/>
                <w:szCs w:val="18"/>
              </w:rPr>
            </w:pPr>
            <w:r>
              <w:rPr>
                <w:rFonts w:cs="Arial"/>
                <w:snapToGrid w:val="0"/>
                <w:szCs w:val="18"/>
              </w:rPr>
              <w:t>Automated Interface</w:t>
            </w:r>
          </w:p>
        </w:tc>
        <w:tc>
          <w:tcPr>
            <w:tcW w:w="1080" w:type="dxa"/>
          </w:tcPr>
          <w:p w:rsidR="001676C5" w:rsidRPr="000037E8" w:rsidRDefault="001676C5" w:rsidP="00A42CB6">
            <w:pPr>
              <w:pStyle w:val="TableText"/>
              <w:rPr>
                <w:rFonts w:cs="Arial"/>
                <w:b/>
                <w:szCs w:val="18"/>
              </w:rPr>
            </w:pPr>
            <w:r w:rsidRPr="000037E8">
              <w:rPr>
                <w:rFonts w:cs="Arial"/>
                <w:szCs w:val="18"/>
              </w:rPr>
              <w:t>Positive</w:t>
            </w:r>
          </w:p>
        </w:tc>
        <w:tc>
          <w:tcPr>
            <w:tcW w:w="900" w:type="dxa"/>
          </w:tcPr>
          <w:p w:rsidR="001676C5" w:rsidRPr="000037E8" w:rsidRDefault="001676C5" w:rsidP="00A42CB6">
            <w:pPr>
              <w:pStyle w:val="TableText"/>
              <w:jc w:val="center"/>
              <w:rPr>
                <w:rFonts w:cs="Arial"/>
                <w:szCs w:val="18"/>
              </w:rPr>
            </w:pPr>
            <w:r w:rsidRPr="000037E8">
              <w:rPr>
                <w:rFonts w:cs="Arial"/>
                <w:szCs w:val="18"/>
              </w:rPr>
              <w:t>U</w:t>
            </w:r>
          </w:p>
        </w:tc>
        <w:tc>
          <w:tcPr>
            <w:tcW w:w="4123" w:type="dxa"/>
          </w:tcPr>
          <w:p w:rsidR="001676C5" w:rsidRPr="000037E8" w:rsidRDefault="001676C5" w:rsidP="00A42CB6">
            <w:pPr>
              <w:pStyle w:val="TableText"/>
              <w:rPr>
                <w:rFonts w:cs="Arial"/>
                <w:szCs w:val="18"/>
              </w:rPr>
            </w:pPr>
            <w:r w:rsidRPr="000037E8">
              <w:rPr>
                <w:rFonts w:cs="Arial"/>
                <w:szCs w:val="18"/>
              </w:rPr>
              <w:t>An ABO/Rh confirmation test, primary or repeat, is reviewed, and saved. When multiple units are selected in a batch, each unit in the batch accrues a workload event.</w:t>
            </w:r>
          </w:p>
          <w:p w:rsidR="001676C5" w:rsidRPr="000037E8" w:rsidRDefault="001676C5" w:rsidP="00A42CB6">
            <w:pPr>
              <w:pStyle w:val="TableText"/>
              <w:rPr>
                <w:rFonts w:cs="Arial"/>
                <w:szCs w:val="18"/>
              </w:rPr>
            </w:pPr>
          </w:p>
          <w:p w:rsidR="001676C5" w:rsidRPr="000037E8" w:rsidRDefault="001676C5" w:rsidP="00A42CB6">
            <w:pPr>
              <w:pStyle w:val="TableText"/>
              <w:rPr>
                <w:rFonts w:cs="Arial"/>
                <w:szCs w:val="18"/>
              </w:rPr>
            </w:pPr>
            <w:r w:rsidRPr="000037E8">
              <w:rPr>
                <w:rFonts w:cs="Arial"/>
                <w:szCs w:val="18"/>
              </w:rPr>
              <w:t>Any unit successfully confirmed accrues workload.</w:t>
            </w:r>
          </w:p>
          <w:p w:rsidR="001676C5" w:rsidRPr="000037E8" w:rsidRDefault="001676C5" w:rsidP="00A42CB6">
            <w:pPr>
              <w:pStyle w:val="TableTextBullet"/>
              <w:rPr>
                <w:rFonts w:cs="Arial"/>
                <w:szCs w:val="18"/>
              </w:rPr>
            </w:pPr>
            <w:r w:rsidRPr="000037E8">
              <w:rPr>
                <w:rFonts w:cs="Arial"/>
                <w:szCs w:val="18"/>
              </w:rPr>
              <w:t xml:space="preserve">Note: Workload is </w:t>
            </w:r>
            <w:r w:rsidRPr="000037E8">
              <w:rPr>
                <w:rFonts w:cs="Arial"/>
                <w:b/>
                <w:szCs w:val="18"/>
              </w:rPr>
              <w:t xml:space="preserve">not </w:t>
            </w:r>
            <w:r w:rsidRPr="000037E8">
              <w:rPr>
                <w:rFonts w:cs="Arial"/>
                <w:szCs w:val="18"/>
              </w:rPr>
              <w:t xml:space="preserve">accrued when VBECS quarantines the unit due to a discrepancy. </w:t>
            </w:r>
          </w:p>
        </w:tc>
      </w:tr>
      <w:tr w:rsidR="001676C5" w:rsidRPr="00F24972" w:rsidTr="000037E8">
        <w:tblPrEx>
          <w:tblCellMar>
            <w:top w:w="0" w:type="dxa"/>
            <w:bottom w:w="0" w:type="dxa"/>
          </w:tblCellMar>
        </w:tblPrEx>
        <w:trPr>
          <w:cantSplit/>
        </w:trPr>
        <w:tc>
          <w:tcPr>
            <w:tcW w:w="1733" w:type="dxa"/>
            <w:vMerge/>
          </w:tcPr>
          <w:p w:rsidR="001676C5" w:rsidRPr="000037E8" w:rsidRDefault="001676C5" w:rsidP="00A42CB6">
            <w:pPr>
              <w:pStyle w:val="TableText"/>
              <w:rPr>
                <w:rFonts w:cs="Arial"/>
                <w:szCs w:val="18"/>
              </w:rPr>
            </w:pPr>
          </w:p>
        </w:tc>
        <w:tc>
          <w:tcPr>
            <w:tcW w:w="1165" w:type="dxa"/>
          </w:tcPr>
          <w:p w:rsidR="001676C5" w:rsidRPr="000037E8" w:rsidRDefault="001676C5" w:rsidP="0038583A">
            <w:pPr>
              <w:pStyle w:val="TableText"/>
              <w:rPr>
                <w:rFonts w:cs="Arial"/>
                <w:snapToGrid w:val="0"/>
                <w:szCs w:val="18"/>
              </w:rPr>
            </w:pPr>
            <w:r>
              <w:rPr>
                <w:rFonts w:cs="Arial"/>
                <w:snapToGrid w:val="0"/>
                <w:szCs w:val="18"/>
              </w:rPr>
              <w:t>Invalidate unit testing, ABO/Rh</w:t>
            </w:r>
          </w:p>
        </w:tc>
        <w:tc>
          <w:tcPr>
            <w:tcW w:w="1080" w:type="dxa"/>
          </w:tcPr>
          <w:p w:rsidR="001676C5" w:rsidRPr="000037E8" w:rsidRDefault="001676C5" w:rsidP="00A42CB6">
            <w:pPr>
              <w:pStyle w:val="TableText"/>
              <w:rPr>
                <w:rFonts w:cs="Arial"/>
                <w:szCs w:val="18"/>
              </w:rPr>
            </w:pPr>
            <w:r w:rsidRPr="000037E8">
              <w:rPr>
                <w:rFonts w:cs="Arial"/>
                <w:b/>
                <w:szCs w:val="18"/>
              </w:rPr>
              <w:t>Negative</w:t>
            </w:r>
          </w:p>
        </w:tc>
        <w:tc>
          <w:tcPr>
            <w:tcW w:w="900" w:type="dxa"/>
          </w:tcPr>
          <w:p w:rsidR="001676C5" w:rsidRPr="000037E8" w:rsidRDefault="001676C5" w:rsidP="00A42CB6">
            <w:pPr>
              <w:pStyle w:val="TableText"/>
              <w:jc w:val="center"/>
              <w:rPr>
                <w:rFonts w:cs="Arial"/>
                <w:szCs w:val="18"/>
              </w:rPr>
            </w:pPr>
            <w:r w:rsidRPr="000037E8">
              <w:rPr>
                <w:rFonts w:cs="Arial"/>
                <w:szCs w:val="18"/>
              </w:rPr>
              <w:t>U</w:t>
            </w:r>
          </w:p>
        </w:tc>
        <w:tc>
          <w:tcPr>
            <w:tcW w:w="4123" w:type="dxa"/>
          </w:tcPr>
          <w:p w:rsidR="001676C5" w:rsidRPr="000037E8" w:rsidRDefault="001676C5" w:rsidP="00A42CB6">
            <w:pPr>
              <w:pStyle w:val="TableText"/>
              <w:rPr>
                <w:rFonts w:cs="Arial"/>
                <w:szCs w:val="18"/>
              </w:rPr>
            </w:pPr>
            <w:r w:rsidRPr="000037E8">
              <w:rPr>
                <w:rFonts w:cs="Arial"/>
                <w:szCs w:val="18"/>
              </w:rPr>
              <w:t>Accrue workload when an ABO/Rh confirmation test is invalidated</w:t>
            </w:r>
          </w:p>
        </w:tc>
      </w:tr>
      <w:tr w:rsidR="001676C5" w:rsidRPr="00F24972" w:rsidTr="000037E8">
        <w:tblPrEx>
          <w:tblCellMar>
            <w:top w:w="0" w:type="dxa"/>
            <w:bottom w:w="0" w:type="dxa"/>
          </w:tblCellMar>
        </w:tblPrEx>
        <w:trPr>
          <w:cantSplit/>
        </w:trPr>
        <w:tc>
          <w:tcPr>
            <w:tcW w:w="1733" w:type="dxa"/>
            <w:vMerge w:val="restart"/>
          </w:tcPr>
          <w:p w:rsidR="001676C5" w:rsidRPr="000037E8" w:rsidRDefault="001676C5" w:rsidP="00A42CB6">
            <w:pPr>
              <w:pStyle w:val="TableText"/>
              <w:rPr>
                <w:rFonts w:cs="Arial"/>
                <w:szCs w:val="18"/>
              </w:rPr>
            </w:pPr>
            <w:r w:rsidRPr="000037E8">
              <w:rPr>
                <w:rFonts w:cs="Arial"/>
                <w:szCs w:val="18"/>
              </w:rPr>
              <w:t>Blood Unit Antigen Typing Automated</w:t>
            </w:r>
          </w:p>
        </w:tc>
        <w:tc>
          <w:tcPr>
            <w:tcW w:w="1165" w:type="dxa"/>
          </w:tcPr>
          <w:p w:rsidR="001676C5" w:rsidRPr="000037E8" w:rsidRDefault="001676C5" w:rsidP="0038583A">
            <w:pPr>
              <w:pStyle w:val="TableText"/>
              <w:rPr>
                <w:rFonts w:cs="Arial"/>
                <w:snapToGrid w:val="0"/>
                <w:szCs w:val="18"/>
              </w:rPr>
            </w:pPr>
            <w:r>
              <w:rPr>
                <w:rFonts w:cs="Arial"/>
                <w:snapToGrid w:val="0"/>
                <w:szCs w:val="18"/>
              </w:rPr>
              <w:t>Automated Interface</w:t>
            </w:r>
          </w:p>
        </w:tc>
        <w:tc>
          <w:tcPr>
            <w:tcW w:w="1080" w:type="dxa"/>
          </w:tcPr>
          <w:p w:rsidR="001676C5" w:rsidRPr="000037E8" w:rsidRDefault="001676C5" w:rsidP="00A42CB6">
            <w:pPr>
              <w:pStyle w:val="TableText"/>
              <w:rPr>
                <w:rFonts w:cs="Arial"/>
                <w:b/>
                <w:szCs w:val="18"/>
              </w:rPr>
            </w:pPr>
            <w:r w:rsidRPr="000037E8">
              <w:rPr>
                <w:rFonts w:cs="Arial"/>
                <w:szCs w:val="18"/>
              </w:rPr>
              <w:t>Positive</w:t>
            </w:r>
          </w:p>
        </w:tc>
        <w:tc>
          <w:tcPr>
            <w:tcW w:w="900" w:type="dxa"/>
          </w:tcPr>
          <w:p w:rsidR="001676C5" w:rsidRPr="000037E8" w:rsidRDefault="001676C5" w:rsidP="00A42CB6">
            <w:pPr>
              <w:pStyle w:val="TableText"/>
              <w:jc w:val="center"/>
              <w:rPr>
                <w:rFonts w:cs="Arial"/>
                <w:szCs w:val="18"/>
              </w:rPr>
            </w:pPr>
            <w:r w:rsidRPr="000037E8">
              <w:rPr>
                <w:rFonts w:cs="Arial"/>
                <w:szCs w:val="18"/>
              </w:rPr>
              <w:t>U</w:t>
            </w:r>
          </w:p>
        </w:tc>
        <w:tc>
          <w:tcPr>
            <w:tcW w:w="4123" w:type="dxa"/>
          </w:tcPr>
          <w:p w:rsidR="001676C5" w:rsidRPr="000037E8" w:rsidRDefault="001676C5" w:rsidP="00A42CB6">
            <w:pPr>
              <w:pStyle w:val="TableText"/>
              <w:rPr>
                <w:rFonts w:cs="Arial"/>
                <w:szCs w:val="18"/>
              </w:rPr>
            </w:pPr>
            <w:r w:rsidRPr="000037E8">
              <w:rPr>
                <w:rFonts w:cs="Arial"/>
                <w:szCs w:val="18"/>
              </w:rPr>
              <w:t xml:space="preserve">A unit (row) antigen phenotype test, primary or repeat, is reviewed, and saved for an individual blood unit (row). </w:t>
            </w:r>
          </w:p>
          <w:p w:rsidR="001676C5" w:rsidRPr="000037E8" w:rsidRDefault="001676C5" w:rsidP="00A42CB6">
            <w:pPr>
              <w:pStyle w:val="TableText"/>
              <w:rPr>
                <w:rFonts w:cs="Arial"/>
                <w:szCs w:val="18"/>
              </w:rPr>
            </w:pPr>
          </w:p>
          <w:p w:rsidR="001676C5" w:rsidRPr="000037E8" w:rsidRDefault="001676C5" w:rsidP="00A42CB6">
            <w:pPr>
              <w:pStyle w:val="TableText"/>
              <w:rPr>
                <w:rFonts w:cs="Arial"/>
                <w:szCs w:val="18"/>
              </w:rPr>
            </w:pPr>
            <w:r w:rsidRPr="000037E8">
              <w:rPr>
                <w:rFonts w:cs="Arial"/>
                <w:szCs w:val="18"/>
              </w:rPr>
              <w:t>No special handling for workload collection for additional repeat antigen typing tests on a unit.</w:t>
            </w:r>
          </w:p>
        </w:tc>
      </w:tr>
      <w:tr w:rsidR="001676C5" w:rsidRPr="00F24972" w:rsidTr="000037E8">
        <w:tblPrEx>
          <w:tblCellMar>
            <w:top w:w="0" w:type="dxa"/>
            <w:bottom w:w="0" w:type="dxa"/>
          </w:tblCellMar>
        </w:tblPrEx>
        <w:trPr>
          <w:cantSplit/>
        </w:trPr>
        <w:tc>
          <w:tcPr>
            <w:tcW w:w="1733" w:type="dxa"/>
            <w:vMerge/>
          </w:tcPr>
          <w:p w:rsidR="001676C5" w:rsidRPr="000037E8" w:rsidRDefault="001676C5" w:rsidP="00A42CB6">
            <w:pPr>
              <w:pStyle w:val="TableText"/>
              <w:rPr>
                <w:rFonts w:cs="Arial"/>
                <w:szCs w:val="18"/>
              </w:rPr>
            </w:pPr>
          </w:p>
        </w:tc>
        <w:tc>
          <w:tcPr>
            <w:tcW w:w="1165" w:type="dxa"/>
          </w:tcPr>
          <w:p w:rsidR="001676C5" w:rsidRPr="000037E8" w:rsidRDefault="001676C5" w:rsidP="0038583A">
            <w:pPr>
              <w:pStyle w:val="TableText"/>
              <w:rPr>
                <w:rFonts w:cs="Arial"/>
                <w:snapToGrid w:val="0"/>
                <w:szCs w:val="18"/>
              </w:rPr>
            </w:pPr>
            <w:r>
              <w:rPr>
                <w:rFonts w:cs="Arial"/>
                <w:snapToGrid w:val="0"/>
                <w:szCs w:val="18"/>
              </w:rPr>
              <w:t>Invalidate unit testing, Antigen Typing</w:t>
            </w:r>
          </w:p>
        </w:tc>
        <w:tc>
          <w:tcPr>
            <w:tcW w:w="1080" w:type="dxa"/>
          </w:tcPr>
          <w:p w:rsidR="001676C5" w:rsidRPr="000037E8" w:rsidRDefault="001676C5" w:rsidP="00A42CB6">
            <w:pPr>
              <w:pStyle w:val="TableText"/>
              <w:rPr>
                <w:rFonts w:cs="Arial"/>
                <w:szCs w:val="18"/>
              </w:rPr>
            </w:pPr>
            <w:r w:rsidRPr="000037E8">
              <w:rPr>
                <w:rFonts w:cs="Arial"/>
                <w:b/>
                <w:szCs w:val="18"/>
              </w:rPr>
              <w:t>Negative</w:t>
            </w:r>
          </w:p>
        </w:tc>
        <w:tc>
          <w:tcPr>
            <w:tcW w:w="900" w:type="dxa"/>
          </w:tcPr>
          <w:p w:rsidR="001676C5" w:rsidRPr="000037E8" w:rsidRDefault="001676C5" w:rsidP="00A42CB6">
            <w:pPr>
              <w:pStyle w:val="TableText"/>
              <w:jc w:val="center"/>
              <w:rPr>
                <w:rFonts w:cs="Arial"/>
                <w:szCs w:val="18"/>
              </w:rPr>
            </w:pPr>
            <w:r w:rsidRPr="000037E8">
              <w:rPr>
                <w:rFonts w:cs="Arial"/>
                <w:szCs w:val="18"/>
              </w:rPr>
              <w:t>U</w:t>
            </w:r>
          </w:p>
        </w:tc>
        <w:tc>
          <w:tcPr>
            <w:tcW w:w="4123" w:type="dxa"/>
          </w:tcPr>
          <w:p w:rsidR="001676C5" w:rsidRPr="000037E8" w:rsidRDefault="001676C5" w:rsidP="00A42CB6">
            <w:pPr>
              <w:pStyle w:val="TableText"/>
              <w:rPr>
                <w:rFonts w:cs="Arial"/>
                <w:szCs w:val="18"/>
              </w:rPr>
            </w:pPr>
            <w:r w:rsidRPr="000037E8">
              <w:rPr>
                <w:rFonts w:cs="Arial"/>
                <w:szCs w:val="18"/>
              </w:rPr>
              <w:t>Accrue workload when a unit antigen test is invalidated for an individual blood unit.</w:t>
            </w:r>
          </w:p>
        </w:tc>
      </w:tr>
    </w:tbl>
    <w:p w:rsidR="0038450D" w:rsidRPr="00BC4A37" w:rsidRDefault="0038450D" w:rsidP="000037E8">
      <w:pPr>
        <w:jc w:val="center"/>
      </w:pPr>
    </w:p>
    <w:p w:rsidR="0045199E" w:rsidRDefault="0045199E" w:rsidP="0045199E">
      <w:r>
        <w:t xml:space="preserve">*Transaction type: Patient (P), Unit (U), Misc (M), </w:t>
      </w:r>
      <w:r w:rsidR="005A7651">
        <w:t>(N/A) N</w:t>
      </w:r>
      <w:r>
        <w:t>o donor workload types in VBECS at this time.</w:t>
      </w:r>
    </w:p>
    <w:p w:rsidR="008A42DA" w:rsidRPr="00D67E13" w:rsidRDefault="0038450D" w:rsidP="00D67E13">
      <w:pPr>
        <w:pStyle w:val="BodyText"/>
        <w:jc w:val="center"/>
      </w:pPr>
      <w:r w:rsidRPr="00D67E13">
        <w:br w:type="page"/>
      </w:r>
      <w:r w:rsidR="008A42DA" w:rsidRPr="00D67E13">
        <w:lastRenderedPageBreak/>
        <w:t>This page intentionally left blank.</w:t>
      </w:r>
    </w:p>
    <w:p w:rsidR="002A21AE" w:rsidRDefault="008A42DA" w:rsidP="008A42DA">
      <w:pPr>
        <w:pStyle w:val="Heading2"/>
      </w:pPr>
      <w:r>
        <w:br w:type="page"/>
      </w:r>
      <w:bookmarkStart w:id="704" w:name="_Toc459900211"/>
      <w:r w:rsidR="002A21AE">
        <w:lastRenderedPageBreak/>
        <w:t xml:space="preserve">Appendix </w:t>
      </w:r>
      <w:r w:rsidR="002A21AE">
        <w:fldChar w:fldCharType="begin"/>
      </w:r>
      <w:r w:rsidR="002A21AE">
        <w:instrText xml:space="preserve"> SEQ Appendix \* ALPHABETIC </w:instrText>
      </w:r>
      <w:r w:rsidR="002A21AE">
        <w:fldChar w:fldCharType="separate"/>
      </w:r>
      <w:r w:rsidR="005F38BC">
        <w:rPr>
          <w:noProof/>
        </w:rPr>
        <w:t>C</w:t>
      </w:r>
      <w:r w:rsidR="002A21AE">
        <w:fldChar w:fldCharType="end"/>
      </w:r>
      <w:r w:rsidR="002A21AE">
        <w:t>: VBECS Work Flow</w:t>
      </w:r>
      <w:bookmarkEnd w:id="704"/>
      <w:r w:rsidR="002A21AE">
        <w:fldChar w:fldCharType="begin"/>
      </w:r>
      <w:r w:rsidR="002A21AE">
        <w:instrText xml:space="preserve"> XE </w:instrText>
      </w:r>
      <w:r w:rsidR="00FA7E65">
        <w:instrText>“</w:instrText>
      </w:r>
      <w:r w:rsidR="002A21AE">
        <w:instrText>VBECS Work Flow</w:instrText>
      </w:r>
      <w:r w:rsidR="00FA7E65">
        <w:instrText>”</w:instrText>
      </w:r>
      <w:r w:rsidR="002A21AE">
        <w:instrText xml:space="preserve"> </w:instrText>
      </w:r>
      <w:r w:rsidR="002A21AE">
        <w:fldChar w:fldCharType="end"/>
      </w:r>
      <w:r w:rsidR="002A21AE">
        <w:fldChar w:fldCharType="begin"/>
      </w:r>
      <w:r w:rsidR="002A21AE">
        <w:instrText xml:space="preserve"> XE </w:instrText>
      </w:r>
      <w:r w:rsidR="00FA7E65">
        <w:instrText>“</w:instrText>
      </w:r>
      <w:r w:rsidR="002A21AE">
        <w:instrText>Figures:VBECS Work Flow</w:instrText>
      </w:r>
      <w:r w:rsidR="00FA7E65">
        <w:instrText>”</w:instrText>
      </w:r>
      <w:r w:rsidR="002A21AE">
        <w:instrText xml:space="preserve"> </w:instrText>
      </w:r>
      <w:r w:rsidR="002A21AE">
        <w:fldChar w:fldCharType="end"/>
      </w:r>
    </w:p>
    <w:p w:rsidR="00C81AB4" w:rsidRDefault="00C81AB4" w:rsidP="00C81AB4">
      <w:pPr>
        <w:pStyle w:val="BodyText"/>
        <w:rPr>
          <w:snapToGrid w:val="0"/>
        </w:rPr>
      </w:pPr>
      <w:r>
        <w:t>Each of the six user roles is associated with a</w:t>
      </w:r>
      <w:r>
        <w:rPr>
          <w:snapToGrid w:val="0"/>
        </w:rPr>
        <w:t xml:space="preserve"> security level (see </w:t>
      </w:r>
      <w:r w:rsidR="00CF5477">
        <w:rPr>
          <w:snapToGrid w:val="0"/>
        </w:rPr>
        <w:fldChar w:fldCharType="begin"/>
      </w:r>
      <w:r w:rsidR="00CF5477">
        <w:rPr>
          <w:snapToGrid w:val="0"/>
        </w:rPr>
        <w:instrText xml:space="preserve"> REF _Ref126468477 \h </w:instrText>
      </w:r>
      <w:r w:rsidR="0087272D" w:rsidRPr="00CF5477">
        <w:rPr>
          <w:snapToGrid w:val="0"/>
        </w:rPr>
      </w:r>
      <w:r w:rsidR="00CF5477">
        <w:rPr>
          <w:snapToGrid w:val="0"/>
        </w:rPr>
        <w:fldChar w:fldCharType="separate"/>
      </w:r>
      <w:r w:rsidR="005F38BC">
        <w:t xml:space="preserve">Table </w:t>
      </w:r>
      <w:r w:rsidR="005F38BC">
        <w:rPr>
          <w:noProof/>
        </w:rPr>
        <w:t>1</w:t>
      </w:r>
      <w:r w:rsidR="00CF5477">
        <w:rPr>
          <w:snapToGrid w:val="0"/>
        </w:rPr>
        <w:fldChar w:fldCharType="end"/>
      </w:r>
      <w:r>
        <w:rPr>
          <w:snapToGrid w:val="0"/>
        </w:rPr>
        <w:t xml:space="preserve">). </w:t>
      </w:r>
      <w:r w:rsidR="00B439DD">
        <w:rPr>
          <w:snapToGrid w:val="0"/>
        </w:rPr>
        <w:t xml:space="preserve">Privileges </w:t>
      </w:r>
      <w:r w:rsidR="007370E3">
        <w:rPr>
          <w:snapToGrid w:val="0"/>
        </w:rPr>
        <w:t>accumulate</w:t>
      </w:r>
      <w:r w:rsidR="00B439DD">
        <w:rPr>
          <w:snapToGrid w:val="0"/>
        </w:rPr>
        <w:t xml:space="preserve"> as the security level increases. For example, a Lead Technologist’s privileges include those of a Blood Bank Technologist and Enhanced Technologist. </w:t>
      </w:r>
    </w:p>
    <w:p w:rsidR="00543C20" w:rsidRPr="00543C20" w:rsidRDefault="00543C20" w:rsidP="00543C20">
      <w:pPr>
        <w:pStyle w:val="Caption"/>
      </w:pPr>
      <w:r>
        <w:lastRenderedPageBreak/>
        <w:t xml:space="preserve">Figure </w:t>
      </w:r>
      <w:r>
        <w:fldChar w:fldCharType="begin"/>
      </w:r>
      <w:r>
        <w:instrText xml:space="preserve"> SEQ Figure \* ARABIC </w:instrText>
      </w:r>
      <w:r>
        <w:fldChar w:fldCharType="separate"/>
      </w:r>
      <w:r w:rsidR="005F38BC">
        <w:rPr>
          <w:noProof/>
        </w:rPr>
        <w:t>139</w:t>
      </w:r>
      <w:r>
        <w:fldChar w:fldCharType="end"/>
      </w:r>
      <w:r>
        <w:t>: VBECS Work Flow (left)</w:t>
      </w:r>
    </w:p>
    <w:p w:rsidR="002A21AE" w:rsidRDefault="00417CFD" w:rsidP="000969E3">
      <w:pPr>
        <w:pStyle w:val="BodyText"/>
        <w:sectPr w:rsidR="002A21AE" w:rsidSect="00EE771C">
          <w:footerReference w:type="default" r:id="rId243"/>
          <w:pgSz w:w="12240" w:h="15840" w:code="1"/>
          <w:pgMar w:top="1440" w:right="1440" w:bottom="1440" w:left="1440" w:header="720" w:footer="720" w:gutter="0"/>
          <w:cols w:space="720"/>
          <w:docGrid w:linePitch="360"/>
        </w:sectPr>
      </w:pPr>
      <w:r>
        <w:object w:dxaOrig="12139" w:dyaOrig="15265">
          <v:shape id="_x0000_i1031" type="#_x0000_t75" style="width:467.7pt;height:588.5pt" o:ole="">
            <v:imagedata r:id="rId244" o:title=""/>
          </v:shape>
          <o:OLEObject Type="Embed" ProgID="Visio.Drawing.11" ShapeID="_x0000_i1031" DrawAspect="Content" ObjectID="_1538556484" r:id="rId245"/>
        </w:object>
      </w:r>
    </w:p>
    <w:p w:rsidR="00543C20" w:rsidRPr="00543C20" w:rsidRDefault="00543C20" w:rsidP="00543C20">
      <w:pPr>
        <w:pStyle w:val="Caption"/>
      </w:pPr>
      <w:r>
        <w:lastRenderedPageBreak/>
        <w:t xml:space="preserve">Figure </w:t>
      </w:r>
      <w:r>
        <w:fldChar w:fldCharType="begin"/>
      </w:r>
      <w:r>
        <w:instrText xml:space="preserve"> SEQ Figure \* ARABIC </w:instrText>
      </w:r>
      <w:r>
        <w:fldChar w:fldCharType="separate"/>
      </w:r>
      <w:r w:rsidR="005F38BC">
        <w:rPr>
          <w:noProof/>
        </w:rPr>
        <w:t>140</w:t>
      </w:r>
      <w:r>
        <w:fldChar w:fldCharType="end"/>
      </w:r>
      <w:r>
        <w:t>: VBECS Work Flow (right)</w:t>
      </w:r>
    </w:p>
    <w:p w:rsidR="003955C7" w:rsidRDefault="0008169A" w:rsidP="000969E3">
      <w:pPr>
        <w:pStyle w:val="BodyText"/>
      </w:pPr>
      <w:r>
        <w:object w:dxaOrig="11845" w:dyaOrig="15265">
          <v:shape id="_x0000_i1032" type="#_x0000_t75" style="width:455.8pt;height:588.5pt" o:ole="">
            <v:imagedata r:id="rId246" o:title=""/>
          </v:shape>
          <o:OLEObject Type="Embed" ProgID="Visio.Drawing.11" ShapeID="_x0000_i1032" DrawAspect="Content" ObjectID="_1538556485" r:id="rId247"/>
        </w:object>
      </w:r>
    </w:p>
    <w:p w:rsidR="00F97B06" w:rsidRDefault="006B60EF" w:rsidP="00ED3C7A">
      <w:pPr>
        <w:jc w:val="center"/>
      </w:pPr>
      <w:r>
        <w:br w:type="page"/>
      </w:r>
      <w:bookmarkStart w:id="705" w:name="_Ref402936446"/>
      <w:r w:rsidR="00F97B06" w:rsidRPr="00F97B06">
        <w:lastRenderedPageBreak/>
        <w:t>This page intentionally left blank.</w:t>
      </w:r>
    </w:p>
    <w:p w:rsidR="00064E16" w:rsidRDefault="00F97B06" w:rsidP="00F97B06">
      <w:pPr>
        <w:pStyle w:val="Heading2"/>
      </w:pPr>
      <w:r>
        <w:rPr>
          <w:rFonts w:ascii="Times New Roman" w:hAnsi="Times New Roman" w:cs="Times New Roman"/>
          <w:b w:val="0"/>
          <w:i w:val="0"/>
          <w:sz w:val="22"/>
          <w:szCs w:val="22"/>
        </w:rPr>
        <w:br w:type="page"/>
      </w:r>
      <w:bookmarkStart w:id="706" w:name="_Toc459900212"/>
      <w:r w:rsidR="002A21AE">
        <w:lastRenderedPageBreak/>
        <w:t xml:space="preserve">Appendix </w:t>
      </w:r>
      <w:r w:rsidR="002A21AE">
        <w:fldChar w:fldCharType="begin"/>
      </w:r>
      <w:r w:rsidR="002A21AE">
        <w:instrText xml:space="preserve"> SEQ Appendix \* ALPHABETIC </w:instrText>
      </w:r>
      <w:r w:rsidR="002A21AE">
        <w:fldChar w:fldCharType="separate"/>
      </w:r>
      <w:r w:rsidR="005F38BC">
        <w:t>D</w:t>
      </w:r>
      <w:r w:rsidR="002A21AE">
        <w:fldChar w:fldCharType="end"/>
      </w:r>
      <w:r w:rsidR="002A21AE">
        <w:t>: Limitations</w:t>
      </w:r>
      <w:r w:rsidR="00304382">
        <w:t xml:space="preserve"> and Restrictions</w:t>
      </w:r>
      <w:bookmarkEnd w:id="705"/>
      <w:bookmarkEnd w:id="706"/>
      <w:r w:rsidR="00103E20">
        <w:fldChar w:fldCharType="begin"/>
      </w:r>
      <w:r w:rsidR="00103E20">
        <w:instrText xml:space="preserve"> XE "Limitations</w:instrText>
      </w:r>
      <w:r w:rsidR="00304382">
        <w:instrText xml:space="preserve"> and Restrictions</w:instrText>
      </w:r>
      <w:r w:rsidR="00103E20">
        <w:instrText xml:space="preserve">" </w:instrText>
      </w:r>
      <w:r w:rsidR="00103E20">
        <w:fldChar w:fldCharType="end"/>
      </w:r>
    </w:p>
    <w:p w:rsidR="00805EFD" w:rsidRDefault="005215D6" w:rsidP="00805EFD">
      <w:pPr>
        <w:pStyle w:val="BodyText"/>
      </w:pPr>
      <w:r>
        <w:t>L</w:t>
      </w:r>
      <w:r w:rsidR="0028137A">
        <w:t xml:space="preserve">imitations and restrictions are listed by the options in which they occur. </w:t>
      </w:r>
    </w:p>
    <w:p w:rsidR="00D914A9" w:rsidRDefault="00D914A9" w:rsidP="00D914A9">
      <w:pPr>
        <w:pStyle w:val="Caption"/>
      </w:pPr>
      <w:r>
        <w:t xml:space="preserve">Table </w:t>
      </w:r>
      <w:r>
        <w:fldChar w:fldCharType="begin"/>
      </w:r>
      <w:r>
        <w:instrText xml:space="preserve"> SEQ Table \* ARABIC </w:instrText>
      </w:r>
      <w:r>
        <w:fldChar w:fldCharType="separate"/>
      </w:r>
      <w:r w:rsidR="005F38BC">
        <w:rPr>
          <w:noProof/>
        </w:rPr>
        <w:t>28</w:t>
      </w:r>
      <w:r>
        <w:fldChar w:fldCharType="end"/>
      </w:r>
      <w:r>
        <w:t>: Limitations</w:t>
      </w:r>
      <w:r w:rsidR="00304382">
        <w:t xml:space="preserve"> and Restrictions</w:t>
      </w: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45199A" w:rsidRPr="00D65A81" w:rsidTr="00543B0D">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45199A" w:rsidRPr="00EC673F" w:rsidRDefault="0045199A" w:rsidP="00543B0D">
            <w:pPr>
              <w:pStyle w:val="TableText"/>
              <w:rPr>
                <w:rFonts w:cs="Arial"/>
                <w:b/>
              </w:rPr>
            </w:pPr>
            <w:r w:rsidRPr="00EC673F">
              <w:rPr>
                <w:rFonts w:cs="Arial"/>
                <w:b/>
              </w:rPr>
              <w:t xml:space="preserve">Functions Not Supported </w:t>
            </w:r>
            <w:r w:rsidRPr="00EC673F">
              <w:rPr>
                <w:rFonts w:cs="Arial"/>
                <w:b/>
                <w:vanish/>
              </w:rPr>
              <w:t>DR 5105</w:t>
            </w:r>
          </w:p>
        </w:tc>
      </w:tr>
      <w:tr w:rsidR="0045199A" w:rsidRPr="00725902"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45199A" w:rsidRPr="00EC673F" w:rsidRDefault="0045199A" w:rsidP="00543B0D">
            <w:pPr>
              <w:pStyle w:val="TableText"/>
              <w:rPr>
                <w:rFonts w:cs="Arial"/>
              </w:rPr>
            </w:pPr>
            <w:r w:rsidRPr="00EC673F">
              <w:rPr>
                <w:rFonts w:cs="Arial"/>
              </w:rPr>
              <w:t>Blood donor collection activities (donor module)</w:t>
            </w:r>
          </w:p>
        </w:tc>
      </w:tr>
      <w:tr w:rsidR="0045199A" w:rsidRPr="00725902"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45199A" w:rsidRPr="00EC673F" w:rsidRDefault="0045199A" w:rsidP="00543B0D">
            <w:pPr>
              <w:pStyle w:val="TableText"/>
              <w:rPr>
                <w:rFonts w:cs="Arial"/>
              </w:rPr>
            </w:pPr>
            <w:r w:rsidRPr="00EC673F">
              <w:rPr>
                <w:rFonts w:cs="Arial"/>
              </w:rPr>
              <w:t>Direct data entry of antibody identification</w:t>
            </w:r>
          </w:p>
        </w:tc>
      </w:tr>
      <w:tr w:rsidR="0045199A" w:rsidRPr="00725902"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45199A" w:rsidRPr="00EC673F" w:rsidRDefault="0045199A" w:rsidP="00543B0D">
            <w:pPr>
              <w:pStyle w:val="TableText"/>
              <w:rPr>
                <w:rFonts w:cs="Arial"/>
              </w:rPr>
            </w:pPr>
            <w:r w:rsidRPr="00EC673F">
              <w:rPr>
                <w:rFonts w:cs="Arial"/>
              </w:rPr>
              <w:t xml:space="preserve">Direct data entry of transfusion reaction workups </w:t>
            </w:r>
          </w:p>
        </w:tc>
      </w:tr>
      <w:tr w:rsidR="0045199A" w:rsidRPr="00725902"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45199A" w:rsidRPr="00EC673F" w:rsidRDefault="0045199A" w:rsidP="00543B0D">
            <w:pPr>
              <w:pStyle w:val="TableText"/>
              <w:rPr>
                <w:rFonts w:cs="Arial"/>
              </w:rPr>
            </w:pPr>
            <w:r w:rsidRPr="00EC673F">
              <w:rPr>
                <w:rFonts w:cs="Arial"/>
              </w:rPr>
              <w:t>Patient testing, transfusions, and blood components recorded in Legacy VistA are not available in VBECS</w:t>
            </w:r>
          </w:p>
        </w:tc>
      </w:tr>
      <w:tr w:rsidR="0045199A" w:rsidRPr="00725902"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45199A" w:rsidRPr="00EC673F" w:rsidRDefault="0045199A" w:rsidP="00543B0D">
            <w:pPr>
              <w:pStyle w:val="TableText"/>
              <w:rPr>
                <w:rFonts w:cs="Arial"/>
              </w:rPr>
            </w:pPr>
            <w:r w:rsidRPr="00EC673F">
              <w:rPr>
                <w:rFonts w:cs="Arial"/>
              </w:rPr>
              <w:t>Pediatric blood product preparation</w:t>
            </w:r>
          </w:p>
        </w:tc>
      </w:tr>
      <w:tr w:rsidR="0045199A"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45199A" w:rsidRPr="00EC673F" w:rsidRDefault="0045199A" w:rsidP="00543B0D">
            <w:pPr>
              <w:pStyle w:val="TableText"/>
              <w:rPr>
                <w:rFonts w:cs="Arial"/>
              </w:rPr>
            </w:pPr>
            <w:r w:rsidRPr="00EC673F">
              <w:rPr>
                <w:rFonts w:cs="Arial"/>
              </w:rPr>
              <w:t>Printing of blood product labels</w:t>
            </w:r>
          </w:p>
        </w:tc>
      </w:tr>
      <w:tr w:rsidR="0045199A" w:rsidRPr="009B07A5"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45199A" w:rsidRPr="00EC673F" w:rsidRDefault="0045199A" w:rsidP="00543B0D">
            <w:pPr>
              <w:pStyle w:val="TableText"/>
              <w:rPr>
                <w:rFonts w:cs="Arial"/>
                <w:sz w:val="22"/>
                <w:szCs w:val="22"/>
              </w:rPr>
            </w:pPr>
            <w:r w:rsidRPr="00EC673F">
              <w:rPr>
                <w:rFonts w:cs="Arial"/>
              </w:rPr>
              <w:t>User defined customized queries or reports</w:t>
            </w:r>
          </w:p>
        </w:tc>
      </w:tr>
      <w:tr w:rsidR="0045199A" w:rsidRPr="00725902" w:rsidTr="00543B0D">
        <w:trPr>
          <w:cantSplit/>
          <w:trHeight w:val="312"/>
        </w:trPr>
        <w:tc>
          <w:tcPr>
            <w:tcW w:w="9360" w:type="dxa"/>
            <w:tcBorders>
              <w:top w:val="single" w:sz="6" w:space="0" w:color="000000"/>
              <w:left w:val="single" w:sz="6" w:space="0" w:color="000000"/>
              <w:bottom w:val="single" w:sz="6" w:space="0" w:color="000000"/>
              <w:right w:val="single" w:sz="6" w:space="0" w:color="000000"/>
            </w:tcBorders>
            <w:vAlign w:val="bottom"/>
          </w:tcPr>
          <w:p w:rsidR="0045199A" w:rsidRPr="00EC673F" w:rsidRDefault="0045199A" w:rsidP="00543B0D">
            <w:pPr>
              <w:pStyle w:val="TableText"/>
              <w:rPr>
                <w:rFonts w:cs="Arial"/>
              </w:rPr>
            </w:pPr>
            <w:r w:rsidRPr="00EC673F">
              <w:rPr>
                <w:rFonts w:cs="Arial"/>
              </w:rPr>
              <w:t>User editing blood product, antigen, antibody, or transfusion reaction tables</w:t>
            </w:r>
          </w:p>
        </w:tc>
      </w:tr>
      <w:tr w:rsidR="0045199A" w:rsidRPr="00725902"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45199A" w:rsidRPr="00EC673F" w:rsidRDefault="0045199A" w:rsidP="00543B0D">
            <w:pPr>
              <w:pStyle w:val="TableText"/>
              <w:rPr>
                <w:rFonts w:cs="Arial"/>
              </w:rPr>
            </w:pPr>
            <w:r w:rsidRPr="00EC673F">
              <w:rPr>
                <w:rFonts w:cs="Arial"/>
              </w:rPr>
              <w:t>Validation record storage</w:t>
            </w:r>
          </w:p>
        </w:tc>
      </w:tr>
    </w:tbl>
    <w:p w:rsidR="0045199A" w:rsidRPr="0045199A" w:rsidRDefault="0045199A" w:rsidP="0045199A">
      <w:pPr>
        <w:pStyle w:val="BodyText"/>
        <w:spacing w:after="0"/>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D01896">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D01896" w:rsidRDefault="003F0440" w:rsidP="002D126B">
            <w:pPr>
              <w:pStyle w:val="TableText"/>
              <w:rPr>
                <w:b/>
              </w:rPr>
            </w:pPr>
            <w:r>
              <w:rPr>
                <w:b/>
              </w:rPr>
              <w:t>Throughout VBECS</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Default="003F0440" w:rsidP="002D126B">
            <w:pPr>
              <w:pStyle w:val="TableText"/>
            </w:pPr>
            <w:r>
              <w:t xml:space="preserve">After entering a canned or free-text comment in the testing comment field of the testing grid, the user must press </w:t>
            </w:r>
            <w:r w:rsidRPr="00E755C0">
              <w:rPr>
                <w:b/>
              </w:rPr>
              <w:t>Enter</w:t>
            </w:r>
            <w:r>
              <w:t xml:space="preserve"> to store the comment.</w:t>
            </w:r>
          </w:p>
        </w:tc>
      </w:tr>
      <w:tr w:rsidR="00096EDC" w:rsidRPr="00696FA6">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rsidR="00096EDC" w:rsidRPr="00696FA6" w:rsidRDefault="00096EDC" w:rsidP="002D126B">
            <w:pPr>
              <w:pStyle w:val="TableText"/>
            </w:pPr>
            <w:r>
              <w:t>Although t</w:t>
            </w:r>
            <w:r w:rsidRPr="002B06B2">
              <w:t>he copy-and-paste function is enabled</w:t>
            </w:r>
            <w:r>
              <w:t>, do</w:t>
            </w:r>
            <w:r w:rsidRPr="002B06B2">
              <w:t xml:space="preserve"> not use it to enter patient identification information. </w:t>
            </w:r>
            <w:r>
              <w:t>It is highly</w:t>
            </w:r>
            <w:r w:rsidRPr="002B06B2">
              <w:t xml:space="preserve"> recommend</w:t>
            </w:r>
            <w:r>
              <w:t>ed</w:t>
            </w:r>
            <w:r w:rsidRPr="002B06B2">
              <w:t xml:space="preserve"> that the user scan this information when possible</w:t>
            </w:r>
            <w:r>
              <w:t>;</w:t>
            </w:r>
            <w:r w:rsidRPr="002B06B2">
              <w:t xml:space="preserve"> otherwise</w:t>
            </w:r>
            <w:r>
              <w:t xml:space="preserve">, enter it </w:t>
            </w:r>
            <w:r w:rsidRPr="002B06B2">
              <w:rPr>
                <w:vanish/>
              </w:rPr>
              <w:t>(DR 2,519)</w:t>
            </w:r>
            <w:r w:rsidRPr="002B06B2">
              <w:t>.</w:t>
            </w:r>
          </w:p>
        </w:tc>
      </w:tr>
      <w:tr w:rsidR="003F0440" w:rsidRPr="00696FA6">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rsidR="003F0440" w:rsidRPr="00696FA6" w:rsidRDefault="003F0440" w:rsidP="002D126B">
            <w:pPr>
              <w:pStyle w:val="TableText"/>
            </w:pPr>
            <w:r w:rsidRPr="00696FA6">
              <w:t>Data retrieval from VBECS is available only by approved database integration agreement.</w:t>
            </w:r>
          </w:p>
        </w:tc>
      </w:tr>
      <w:tr w:rsidR="003F0440" w:rsidRPr="00696FA6">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rsidR="003F0440" w:rsidRPr="00696FA6" w:rsidRDefault="003F0440" w:rsidP="002D126B">
            <w:pPr>
              <w:pStyle w:val="TableText"/>
            </w:pPr>
            <w:r w:rsidRPr="00696FA6">
              <w:t xml:space="preserve">Information may not be transferred from one window to another without refreshing the screen. When a window is partially displayed or freezes; or when you move from one window to another, enter information, return to the original window, and the entered information is not available, minimize then maximize the window to refresh it. </w:t>
            </w:r>
            <w:r w:rsidRPr="00A10483">
              <w:rPr>
                <w:vanish/>
                <w:szCs w:val="18"/>
              </w:rPr>
              <w:t>UserDoc Task 1086</w:t>
            </w:r>
          </w:p>
        </w:tc>
      </w:tr>
      <w:tr w:rsidR="003F0440" w:rsidRPr="00696FA6">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rsidR="003F0440" w:rsidRPr="00696FA6" w:rsidRDefault="003F0440" w:rsidP="002D126B">
            <w:pPr>
              <w:pStyle w:val="TableText"/>
            </w:pPr>
            <w:r w:rsidRPr="00696FA6">
              <w:t>Initial blood orders must be placed in CPRS. Tests and products may be added to existing orders in VBECS.</w:t>
            </w:r>
          </w:p>
        </w:tc>
      </w:tr>
      <w:tr w:rsidR="00DF4846" w:rsidRPr="00696FA6">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rsidR="00DF4846" w:rsidRPr="00696FA6" w:rsidRDefault="00DF4846" w:rsidP="002D126B">
            <w:pPr>
              <w:pStyle w:val="TableText"/>
            </w:pPr>
            <w:r>
              <w:t>Maximize option windows</w:t>
            </w:r>
            <w:r w:rsidRPr="00DF4846">
              <w:t xml:space="preserve"> to display safety-critical information</w:t>
            </w:r>
            <w:r>
              <w:t xml:space="preserve"> in full.</w:t>
            </w:r>
          </w:p>
        </w:tc>
      </w:tr>
      <w:tr w:rsidR="00A51F68" w:rsidRPr="00696FA6">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rsidR="00A51F68" w:rsidRPr="00AF0F0D" w:rsidRDefault="00A51F68" w:rsidP="002D126B">
            <w:pPr>
              <w:pStyle w:val="TableText"/>
            </w:pPr>
            <w:r w:rsidRPr="00AF0F0D">
              <w:t>The date and time displayed in VBECS depend on the date and time set on the server. Sites are not notified when an administrator changes the date or time on the server. Users must contact their System Administrator when the date or time is incorrect.</w:t>
            </w:r>
          </w:p>
        </w:tc>
      </w:tr>
      <w:tr w:rsidR="003F0440" w:rsidRPr="00696FA6">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rsidR="003F0440" w:rsidRPr="00696FA6" w:rsidRDefault="003F0440" w:rsidP="002D126B">
            <w:pPr>
              <w:pStyle w:val="TableText"/>
            </w:pPr>
            <w:r w:rsidRPr="00696FA6">
              <w:t>VBECS depends on a connection to VistA and CPRS to retrieve patient information and orders, respectively.</w:t>
            </w:r>
          </w:p>
        </w:tc>
      </w:tr>
      <w:tr w:rsidR="003F0440" w:rsidRPr="00696FA6">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rsidR="003F0440" w:rsidRPr="00696FA6" w:rsidRDefault="003F0440" w:rsidP="002D126B">
            <w:pPr>
              <w:pStyle w:val="TableText"/>
            </w:pPr>
            <w:r w:rsidRPr="00696FA6">
              <w:t xml:space="preserve">When a message window requires a user response and VBECS displays it behind the active window, the user must minimize the active window or click and drag dialog boxes to expose the message window. </w:t>
            </w:r>
          </w:p>
        </w:tc>
      </w:tr>
      <w:tr w:rsidR="003F0440" w:rsidRPr="00696FA6">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rsidR="003F0440" w:rsidRPr="00696FA6" w:rsidRDefault="003F0440" w:rsidP="002D126B">
            <w:pPr>
              <w:pStyle w:val="TableText"/>
            </w:pPr>
            <w:r w:rsidRPr="00696FA6">
              <w:t>When the default screen resolution is changed, division or VistALink information may not be entirely visible.</w:t>
            </w:r>
          </w:p>
        </w:tc>
      </w:tr>
      <w:tr w:rsidR="003F0440" w:rsidRPr="00C05FB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rsidR="003F0440" w:rsidRPr="00C05FB7" w:rsidRDefault="003F0440" w:rsidP="002D126B">
            <w:pPr>
              <w:pStyle w:val="TableText"/>
              <w:rPr>
                <w:b/>
              </w:rPr>
            </w:pPr>
            <w:r>
              <w:t xml:space="preserve">When the user does not enter a full or partial unit ID and clicks the </w:t>
            </w:r>
            <w:r w:rsidR="00A6373D">
              <w:rPr>
                <w:b/>
              </w:rPr>
              <w:t>find</w:t>
            </w:r>
            <w:r>
              <w:t xml:space="preserve"> button in the Unit Search Screen, response time will vary based on the size of the database.</w:t>
            </w:r>
          </w:p>
        </w:tc>
      </w:tr>
    </w:tbl>
    <w:p w:rsidR="00BF4964" w:rsidRDefault="00BF4964" w:rsidP="00BF49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C05FB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C05FB7" w:rsidRDefault="003F0440" w:rsidP="002D126B">
            <w:pPr>
              <w:pStyle w:val="TableText"/>
              <w:rPr>
                <w:b/>
              </w:rPr>
            </w:pPr>
            <w:r w:rsidRPr="00C05FB7">
              <w:rPr>
                <w:b/>
              </w:rPr>
              <w:t>ABO/Rh Confirmation</w:t>
            </w:r>
          </w:p>
        </w:tc>
      </w:tr>
      <w:tr w:rsidR="003F0440" w:rsidRPr="00725902">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rPr>
                <w:rFonts w:cs="Arial"/>
                <w:vanish/>
              </w:rPr>
              <w:t xml:space="preserve">BR_2.04 </w:t>
            </w:r>
            <w:r w:rsidR="007D535F">
              <w:t>When building a worklist by invoice number, only invoiced units not previously tested and confirmed appear on the worklist. The user may deselect or add additional units.</w:t>
            </w:r>
          </w:p>
        </w:tc>
      </w:tr>
      <w:tr w:rsidR="003F0440" w:rsidRPr="00725902">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rPr>
                <w:rFonts w:cs="Arial"/>
                <w:vanish/>
              </w:rPr>
              <w:lastRenderedPageBreak/>
              <w:t xml:space="preserve">BR_27.09 </w:t>
            </w:r>
            <w:r>
              <w:t xml:space="preserve">For batch processing, </w:t>
            </w:r>
            <w:r w:rsidR="000E5D74">
              <w:t xml:space="preserve">the user can select </w:t>
            </w:r>
            <w:r>
              <w:t xml:space="preserve">incoming shipment invoices from </w:t>
            </w:r>
            <w:r w:rsidR="000E5D74">
              <w:t xml:space="preserve">his division, processed within </w:t>
            </w:r>
            <w:r>
              <w:t>the previous five days</w:t>
            </w:r>
            <w:r w:rsidRPr="008631E9">
              <w:t>.</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t xml:space="preserve">VBECS does not display product </w:t>
            </w:r>
            <w:r w:rsidRPr="008631E9">
              <w:t>code</w:t>
            </w:r>
            <w:r>
              <w:t xml:space="preserve">s associated with unit IDs in ABO/Rh Confirmation. Therefore, do not create ABO/Rh confirmation worklists containing units with the same unit ID. </w:t>
            </w:r>
          </w:p>
        </w:tc>
      </w:tr>
    </w:tbl>
    <w:p w:rsidR="00BF4964" w:rsidRDefault="00BF4964" w:rsidP="00BF49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023AD">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7023AD" w:rsidRDefault="003F0440" w:rsidP="002D126B">
            <w:pPr>
              <w:pStyle w:val="TableText"/>
              <w:rPr>
                <w:b/>
              </w:rPr>
            </w:pPr>
            <w:r w:rsidRPr="007023AD">
              <w:rPr>
                <w:b/>
              </w:rPr>
              <w:t xml:space="preserve">Accept Orders: Accept an Order </w:t>
            </w:r>
          </w:p>
        </w:tc>
      </w:tr>
      <w:tr w:rsidR="00C4014D"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C4014D" w:rsidRDefault="007B38A2" w:rsidP="002D126B">
            <w:pPr>
              <w:pStyle w:val="TableText"/>
            </w:pPr>
            <w:r>
              <w:t>An order for TAS must be accepted before the component order if the user wants to include the component request to the Inappropriate Transfusion Request Report. Accepting the TAS after the component order is marked inappropriate and accepted clears the user’s indication that this is an inappropriate request</w:t>
            </w:r>
            <w:r w:rsidR="00C425B6">
              <w:t xml:space="preserve">. </w:t>
            </w:r>
            <w:r w:rsidR="00C425B6" w:rsidRPr="00C425B6">
              <w:rPr>
                <w:vanish/>
              </w:rPr>
              <w:t>DR 4854</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Default="003F0440" w:rsidP="002D126B">
            <w:pPr>
              <w:pStyle w:val="TableText"/>
            </w:pPr>
            <w:r>
              <w:t>When no CPRS order exists, the user must process the specimen offline.</w:t>
            </w:r>
          </w:p>
        </w:tc>
      </w:tr>
      <w:tr w:rsidR="009E2EF4" w:rsidRPr="00725902">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rsidR="009E2EF4" w:rsidRDefault="009E2EF4" w:rsidP="009E2EF4">
            <w:pPr>
              <w:pStyle w:val="TableText"/>
            </w:pPr>
            <w:r w:rsidRPr="009E2EF4">
              <w:rPr>
                <w:vanish/>
              </w:rPr>
              <w:t>DR 2,811</w:t>
            </w:r>
            <w:r>
              <w:t>The user must accept the Type &amp; Screen (TAS) before he accepts other diagnostic tests or component orders.</w:t>
            </w:r>
          </w:p>
        </w:tc>
      </w:tr>
      <w:tr w:rsidR="009E2EF4"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9E2EF4" w:rsidRDefault="009E2EF4" w:rsidP="009E2EF4">
            <w:pPr>
              <w:pStyle w:val="TableText"/>
            </w:pPr>
            <w:r>
              <w:t>T</w:t>
            </w:r>
            <w:r w:rsidRPr="00AB4ABB">
              <w:t>he</w:t>
            </w:r>
            <w:r>
              <w:t xml:space="preserve"> user cannot click </w:t>
            </w:r>
            <w:r w:rsidR="00634BFC">
              <w:rPr>
                <w:noProof/>
              </w:rPr>
              <w:drawing>
                <wp:inline distT="0" distB="0" distL="0" distR="0">
                  <wp:extent cx="152400" cy="152400"/>
                  <wp:effectExtent l="0" t="0" r="0" b="0"/>
                  <wp:docPr id="261" name="Picture 261" descr="small_patientselected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small_patientselectedunits"/>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(Restricted or Assigned Units) to access information on autologous or directed units that may be restricted to a patient.</w:t>
            </w:r>
          </w:p>
        </w:tc>
      </w:tr>
      <w:tr w:rsidR="001C50C2"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1C50C2" w:rsidRDefault="0055788D" w:rsidP="009E2EF4">
            <w:pPr>
              <w:pStyle w:val="TableText"/>
            </w:pPr>
            <w:r>
              <w:t>Orders placed for patient</w:t>
            </w:r>
            <w:r w:rsidR="001C50C2" w:rsidRPr="00DD022C">
              <w:t>s with names that exceed the database standard for File #2 (30 characters) or do not have a first or last name in VistA are rejected and do not appear in VBECS. The VBECS System Administrator is notified of each rejection via an email to the address entered in VBECS Administrator “Interface Failure Alert Recipient” field.</w:t>
            </w:r>
          </w:p>
        </w:tc>
      </w:tr>
      <w:tr w:rsidR="00F801AC"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F801AC" w:rsidRDefault="00F801AC" w:rsidP="009E2EF4">
            <w:pPr>
              <w:pStyle w:val="TableText"/>
            </w:pPr>
            <w:r>
              <w:t>A VBECS order on a Collection List has to be received with a date and time in VistA to make the specimen available in VBECS.</w:t>
            </w:r>
          </w:p>
        </w:tc>
      </w:tr>
    </w:tbl>
    <w:p w:rsidR="00BA0F42" w:rsidRDefault="00BA0F42" w:rsidP="00BF49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AF5480">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AF5480" w:rsidRDefault="003F0440" w:rsidP="002D126B">
            <w:pPr>
              <w:pStyle w:val="TableText"/>
              <w:rPr>
                <w:b/>
              </w:rPr>
            </w:pPr>
            <w:r w:rsidRPr="00AF5480">
              <w:rPr>
                <w:b/>
              </w:rPr>
              <w:t>Accept Orders: Cancel a Pending Order</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Default="003F0440" w:rsidP="002D126B">
            <w:pPr>
              <w:pStyle w:val="TableText"/>
            </w:pPr>
            <w:r>
              <w:t>Cancellation of one order does not affect other orders placed with it.</w:t>
            </w:r>
          </w:p>
        </w:tc>
      </w:tr>
    </w:tbl>
    <w:p w:rsidR="00BF4964" w:rsidRDefault="00BF4964" w:rsidP="00BF4964">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pct25" w:color="auto" w:fill="auto"/>
        <w:tblLayout w:type="fixed"/>
        <w:tblCellMar>
          <w:top w:w="60" w:type="dxa"/>
          <w:left w:w="60" w:type="dxa"/>
          <w:bottom w:w="60" w:type="dxa"/>
          <w:right w:w="60" w:type="dxa"/>
        </w:tblCellMar>
        <w:tblLook w:val="0000" w:firstRow="0" w:lastRow="0" w:firstColumn="0" w:lastColumn="0" w:noHBand="0" w:noVBand="0"/>
      </w:tblPr>
      <w:tblGrid>
        <w:gridCol w:w="9360"/>
      </w:tblGrid>
      <w:tr w:rsidR="00A1725C" w:rsidRPr="007023AD">
        <w:trPr>
          <w:cantSplit/>
        </w:trPr>
        <w:tc>
          <w:tcPr>
            <w:tcW w:w="9360" w:type="dxa"/>
            <w:tcBorders>
              <w:bottom w:val="single" w:sz="6" w:space="0" w:color="000000"/>
            </w:tcBorders>
            <w:shd w:val="pct25" w:color="auto" w:fill="auto"/>
            <w:vAlign w:val="bottom"/>
          </w:tcPr>
          <w:p w:rsidR="00A1725C" w:rsidRPr="00A1725C" w:rsidRDefault="00A1725C" w:rsidP="00E01F4B">
            <w:pPr>
              <w:pStyle w:val="TableText"/>
              <w:rPr>
                <w:b/>
              </w:rPr>
            </w:pPr>
            <w:r w:rsidRPr="00A1725C">
              <w:rPr>
                <w:b/>
              </w:rPr>
              <w:t xml:space="preserve">Accept Orders: Pending Order List </w:t>
            </w:r>
          </w:p>
        </w:tc>
      </w:tr>
      <w:tr w:rsidR="00A1725C" w:rsidRPr="00725902">
        <w:trPr>
          <w:cantSplit/>
        </w:trPr>
        <w:tc>
          <w:tcPr>
            <w:tcW w:w="9360" w:type="dxa"/>
            <w:shd w:val="clear" w:color="auto" w:fill="auto"/>
            <w:vAlign w:val="bottom"/>
          </w:tcPr>
          <w:p w:rsidR="00A1725C" w:rsidRPr="00DD022C" w:rsidRDefault="00A1725C" w:rsidP="00E01F4B">
            <w:pPr>
              <w:pStyle w:val="TableText"/>
            </w:pPr>
            <w:r w:rsidRPr="00DD022C">
              <w:t>Orders placed for patient’s with names that exceed the database standard for File #2 (30 characters) or do not have a first or last name in VistA are rejected and do not appear in VBECS. The VBECS System Administrator is notified of each rejection via an email to the address entered in VBECS Administrator “Interface Failure Alert Recipient” field.</w:t>
            </w:r>
          </w:p>
        </w:tc>
      </w:tr>
    </w:tbl>
    <w:p w:rsidR="00A1725C" w:rsidRDefault="00A1725C" w:rsidP="00BF49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C05FB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C05FB7" w:rsidRDefault="003F0440" w:rsidP="002D126B">
            <w:pPr>
              <w:pStyle w:val="TableText"/>
              <w:rPr>
                <w:b/>
              </w:rPr>
            </w:pPr>
            <w:r w:rsidRPr="00C05FB7">
              <w:rPr>
                <w:b/>
              </w:rPr>
              <w:t>Add/Remove Units from a Pool</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t>See Modify Units.</w:t>
            </w:r>
          </w:p>
        </w:tc>
      </w:tr>
    </w:tbl>
    <w:p w:rsidR="003F44A2" w:rsidRDefault="003F44A2"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AD7C44">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AD7C44" w:rsidRDefault="003F0440" w:rsidP="002D126B">
            <w:pPr>
              <w:pStyle w:val="TableText"/>
              <w:rPr>
                <w:b/>
              </w:rPr>
            </w:pPr>
            <w:r>
              <w:rPr>
                <w:b/>
              </w:rPr>
              <w:t>Audit Trail</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B97396" w:rsidP="005753B8">
            <w:pPr>
              <w:pStyle w:val="TableText"/>
            </w:pPr>
            <w:r>
              <w:t>VBECS does not accommodate online review (verification, signature) of reports.</w:t>
            </w:r>
          </w:p>
        </w:tc>
      </w:tr>
    </w:tbl>
    <w:p w:rsidR="003F44A2" w:rsidRDefault="003F44A2"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DC5F89" w:rsidRPr="00AD7C44" w:rsidTr="00E40CDE">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DC5F89" w:rsidRPr="00AD7C44" w:rsidRDefault="00DC5F89" w:rsidP="00E40CDE">
            <w:pPr>
              <w:pStyle w:val="TableText"/>
              <w:rPr>
                <w:b/>
              </w:rPr>
            </w:pPr>
            <w:r>
              <w:rPr>
                <w:b/>
              </w:rPr>
              <w:t>Automated Testing Interface</w:t>
            </w:r>
          </w:p>
        </w:tc>
      </w:tr>
      <w:tr w:rsidR="003D2BAD" w:rsidRPr="00725902"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D2BAD" w:rsidRPr="00DC5F89" w:rsidRDefault="003D2BAD" w:rsidP="00E40CDE">
            <w:pPr>
              <w:pStyle w:val="TableText"/>
            </w:pPr>
            <w:r w:rsidRPr="003D2BAD">
              <w:t>VBECS has only been tested with one automated instrument connected.</w:t>
            </w:r>
          </w:p>
        </w:tc>
      </w:tr>
      <w:tr w:rsidR="00DC5F89" w:rsidRPr="00725902"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DC5F89" w:rsidRPr="00725902" w:rsidRDefault="00DC5F89" w:rsidP="00E40CDE">
            <w:pPr>
              <w:pStyle w:val="TableText"/>
            </w:pPr>
            <w:r w:rsidRPr="00DC5F89">
              <w:t>Not available for transmission to Transfusion only facilities from a blood center due to constraints of VA’s security software.</w:t>
            </w:r>
          </w:p>
        </w:tc>
      </w:tr>
      <w:tr w:rsidR="00DC5F89" w:rsidRPr="00725902"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DC5F89" w:rsidRPr="00DC5F89" w:rsidRDefault="00E43DE4" w:rsidP="00E40CDE">
            <w:pPr>
              <w:pStyle w:val="TableText"/>
            </w:pPr>
            <w:r>
              <w:t xml:space="preserve">The </w:t>
            </w:r>
            <w:r w:rsidRPr="00E43DE4">
              <w:t>results of Antibody Panels (ABID) will not be accepted by the VBECS Automated Interface.</w:t>
            </w:r>
          </w:p>
        </w:tc>
      </w:tr>
      <w:tr w:rsidR="00DC5F89" w:rsidRPr="00725902"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DC5F89" w:rsidRPr="00DC5F89" w:rsidRDefault="00E43DE4" w:rsidP="00E40CDE">
            <w:pPr>
              <w:pStyle w:val="TableText"/>
            </w:pPr>
            <w:r>
              <w:t xml:space="preserve">The </w:t>
            </w:r>
            <w:r w:rsidRPr="00E43DE4">
              <w:t>results of QC information from automated instruments will not be accepted by the VBECS Automated Interface.</w:t>
            </w:r>
          </w:p>
        </w:tc>
      </w:tr>
      <w:tr w:rsidR="00DC5F89" w:rsidRPr="00725902"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DC5F89" w:rsidRPr="00DC5F89" w:rsidRDefault="00E43DE4" w:rsidP="00E40CDE">
            <w:pPr>
              <w:pStyle w:val="TableText"/>
            </w:pPr>
            <w:r>
              <w:lastRenderedPageBreak/>
              <w:t xml:space="preserve">Time </w:t>
            </w:r>
            <w:r w:rsidRPr="00E43DE4">
              <w:t>zone will not be included in HL7 message date time from the broadcasting application (Instrument Manager). The time zone is determined from the division code contained in the message header (MSH) segment of the message.</w:t>
            </w:r>
          </w:p>
        </w:tc>
      </w:tr>
    </w:tbl>
    <w:p w:rsidR="00DC5F89" w:rsidRDefault="00DC5F89"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E43DE4" w:rsidRPr="00AD7C44" w:rsidTr="00E40CDE">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E43DE4" w:rsidRPr="00AD7C44" w:rsidRDefault="00E43DE4" w:rsidP="00E40CDE">
            <w:pPr>
              <w:pStyle w:val="TableText"/>
              <w:rPr>
                <w:b/>
              </w:rPr>
            </w:pPr>
            <w:r>
              <w:rPr>
                <w:b/>
              </w:rPr>
              <w:t>Automated Testing Review for Blood Units</w:t>
            </w:r>
          </w:p>
        </w:tc>
      </w:tr>
      <w:tr w:rsidR="00E43DE4" w:rsidRPr="00725902"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E43DE4" w:rsidRPr="00725902" w:rsidRDefault="00E43DE4" w:rsidP="00E40CDE">
            <w:pPr>
              <w:pStyle w:val="TableText"/>
            </w:pPr>
            <w:r>
              <w:t xml:space="preserve">VBECS </w:t>
            </w:r>
            <w:r w:rsidRPr="00E43DE4">
              <w:t xml:space="preserve">does not accept inconclusive ABO/Rh test results.  </w:t>
            </w:r>
          </w:p>
        </w:tc>
      </w:tr>
      <w:tr w:rsidR="00E43DE4" w:rsidRPr="00DC5F89"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E43DE4" w:rsidRPr="00DC5F89" w:rsidRDefault="00E43DE4" w:rsidP="00E40CDE">
            <w:pPr>
              <w:pStyle w:val="TableText"/>
            </w:pPr>
            <w:r>
              <w:t xml:space="preserve">Pooled </w:t>
            </w:r>
            <w:r w:rsidRPr="00E43DE4">
              <w:t>Product Types labeled with an Rh type of “Pooled” is considered an Rh Positive unit which does not require confirmation testing.</w:t>
            </w:r>
          </w:p>
        </w:tc>
      </w:tr>
      <w:tr w:rsidR="00E43DE4" w:rsidRPr="00DC5F89"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E43DE4" w:rsidRPr="00DC5F89" w:rsidRDefault="00E43DE4" w:rsidP="00E40CDE">
            <w:pPr>
              <w:pStyle w:val="TableText"/>
            </w:pPr>
            <w:r>
              <w:t xml:space="preserve">Pooled </w:t>
            </w:r>
            <w:r w:rsidRPr="00E43DE4">
              <w:t>Product Types</w:t>
            </w:r>
            <w:r w:rsidRPr="00E43DE4" w:rsidDel="00922FC4">
              <w:t xml:space="preserve"> </w:t>
            </w:r>
            <w:r w:rsidRPr="00E43DE4">
              <w:t>that require confirmation, labeled with an ABO group of “Pooled” cannot be confirmed. A blood component unit received as “POOLED ABO” will have to be transfused using the Supervisory option, Document ABO Incompatible Transfusion.</w:t>
            </w:r>
          </w:p>
        </w:tc>
      </w:tr>
      <w:tr w:rsidR="003A6D3F" w:rsidRPr="00DC5F89"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A6D3F" w:rsidRDefault="003A6D3F" w:rsidP="00E40CDE">
            <w:pPr>
              <w:pStyle w:val="TableText"/>
            </w:pPr>
            <w:r>
              <w:t xml:space="preserve">Users </w:t>
            </w:r>
            <w:r w:rsidRPr="00E43DE4">
              <w:t>can select and assign multiple units with the same DIN and different product codes for crossmatch. Users can only process one DIN (e.g., W123400345345) on the Automated Instrument at a time. It is incumbent on the user to verify that the crossmatch result from the Automated Instrument matches the product code (e.g., E0134V00) associated with the patient in VBECS. To decrease the risk of a mislabeled unit at issue, local practice may want to have only one on the units selected in VBECS at a time when crossmatch testing is being performed on the automated instrument.</w:t>
            </w:r>
            <w:r>
              <w:t xml:space="preserve"> </w:t>
            </w:r>
            <w:r w:rsidRPr="003A6D3F">
              <w:rPr>
                <w:vanish/>
              </w:rPr>
              <w:t>Defect 357490</w:t>
            </w:r>
          </w:p>
        </w:tc>
      </w:tr>
      <w:tr w:rsidR="00DA27C7" w:rsidRPr="00DC5F89"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DA27C7" w:rsidRDefault="00DA27C7" w:rsidP="00E40CDE">
            <w:pPr>
              <w:pStyle w:val="TableText"/>
            </w:pPr>
            <w:r w:rsidRPr="00DA27C7">
              <w:t>Order Rejection comment entry is required but is not visible on a report.</w:t>
            </w:r>
          </w:p>
        </w:tc>
      </w:tr>
    </w:tbl>
    <w:p w:rsidR="00DC5F89" w:rsidRDefault="00DC5F89"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E43DE4" w:rsidRPr="00AD7C44" w:rsidTr="00E40CDE">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E43DE4" w:rsidRPr="00AD7C44" w:rsidRDefault="00E43DE4" w:rsidP="00E40CDE">
            <w:pPr>
              <w:pStyle w:val="TableText"/>
              <w:rPr>
                <w:b/>
              </w:rPr>
            </w:pPr>
            <w:r>
              <w:rPr>
                <w:b/>
              </w:rPr>
              <w:t>Automated Testing Review for Patients</w:t>
            </w:r>
          </w:p>
        </w:tc>
      </w:tr>
      <w:tr w:rsidR="00E43DE4" w:rsidRPr="00725902"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E43DE4" w:rsidRPr="00725902" w:rsidRDefault="00243084" w:rsidP="00E40CDE">
            <w:pPr>
              <w:pStyle w:val="TableText"/>
            </w:pPr>
            <w:r>
              <w:t xml:space="preserve">VBECS </w:t>
            </w:r>
            <w:r w:rsidRPr="00243084">
              <w:t>does not accept inconclusive ABO/Rh test results.</w:t>
            </w:r>
          </w:p>
        </w:tc>
      </w:tr>
      <w:tr w:rsidR="00E43DE4" w:rsidRPr="00DC5F89"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E43DE4" w:rsidRPr="00DC5F89" w:rsidRDefault="00243084" w:rsidP="00E40CDE">
            <w:pPr>
              <w:pStyle w:val="TableText"/>
            </w:pPr>
            <w:r>
              <w:t xml:space="preserve">VBECS </w:t>
            </w:r>
            <w:r w:rsidRPr="00243084">
              <w:t>does not accept inconclusive interpretations for antibody screen tests.</w:t>
            </w:r>
          </w:p>
        </w:tc>
      </w:tr>
      <w:tr w:rsidR="00E43DE4" w:rsidRPr="00DC5F89"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E43DE4" w:rsidRPr="00DC5F89" w:rsidRDefault="00243084" w:rsidP="00E40CDE">
            <w:pPr>
              <w:pStyle w:val="TableText"/>
            </w:pPr>
            <w:r>
              <w:t xml:space="preserve">Immediate </w:t>
            </w:r>
            <w:r w:rsidRPr="00243084">
              <w:t>spin crossmatch is not allowed via automated test entry.</w:t>
            </w:r>
          </w:p>
        </w:tc>
      </w:tr>
      <w:tr w:rsidR="00243084" w:rsidRPr="00DC5F89"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243084" w:rsidRPr="00DC5F89" w:rsidRDefault="00243084" w:rsidP="00E40CDE">
            <w:pPr>
              <w:pStyle w:val="TableText"/>
            </w:pPr>
            <w:r>
              <w:t xml:space="preserve">Patient </w:t>
            </w:r>
            <w:r w:rsidRPr="00243084">
              <w:t>Antigen typing applies only to patient specimens that contain red blood cells.</w:t>
            </w:r>
          </w:p>
        </w:tc>
      </w:tr>
      <w:tr w:rsidR="00243084" w:rsidRPr="00DC5F89"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243084" w:rsidRPr="00243084" w:rsidRDefault="00243084" w:rsidP="00E40CDE">
            <w:pPr>
              <w:pStyle w:val="TableText"/>
              <w:rPr>
                <w:rFonts w:ascii="Times New Roman" w:hAnsi="Times New Roman"/>
                <w:spacing w:val="-5"/>
                <w:sz w:val="22"/>
                <w:szCs w:val="22"/>
              </w:rPr>
            </w:pPr>
            <w:r>
              <w:t xml:space="preserve">The </w:t>
            </w:r>
            <w:r w:rsidRPr="00243084">
              <w:t>system does not check the specificity of a patient’s antibody against an existing patient antigen typing.</w:t>
            </w:r>
          </w:p>
        </w:tc>
      </w:tr>
      <w:tr w:rsidR="00243084" w:rsidRPr="00DC5F89"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243084" w:rsidRPr="00DC5F89" w:rsidRDefault="00243084" w:rsidP="00E40CDE">
            <w:pPr>
              <w:pStyle w:val="TableText"/>
            </w:pPr>
            <w:r>
              <w:t xml:space="preserve">The </w:t>
            </w:r>
            <w:r w:rsidRPr="00243084">
              <w:t>patient antigen typing result is not reported to the CPRS record.</w:t>
            </w:r>
          </w:p>
        </w:tc>
      </w:tr>
      <w:tr w:rsidR="00DA27C7" w:rsidRPr="00DC5F89"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DA27C7" w:rsidRDefault="00DA27C7" w:rsidP="00E155EF">
            <w:pPr>
              <w:pStyle w:val="TableText"/>
            </w:pPr>
            <w:r w:rsidRPr="00DA27C7">
              <w:t>Order Rejection comment entry is required but is not visible on a report.</w:t>
            </w:r>
          </w:p>
        </w:tc>
      </w:tr>
    </w:tbl>
    <w:p w:rsidR="00DC5F89" w:rsidRDefault="00DC5F89"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D96C4E">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D96C4E" w:rsidRDefault="003F0440" w:rsidP="002D126B">
            <w:pPr>
              <w:pStyle w:val="TableText"/>
              <w:rPr>
                <w:b/>
              </w:rPr>
            </w:pPr>
            <w:r w:rsidRPr="00D96C4E">
              <w:rPr>
                <w:b/>
              </w:rPr>
              <w:t>Blood Products</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Default="003F0440" w:rsidP="002D126B">
            <w:pPr>
              <w:pStyle w:val="TableText"/>
            </w:pPr>
            <w:r>
              <w:t xml:space="preserve">Blood product records distributed through VBECS are national standards. </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Default="003F0440" w:rsidP="002D126B">
            <w:pPr>
              <w:pStyle w:val="TableText"/>
            </w:pPr>
            <w:r>
              <w:t>The division must have activated the valid target blood products for modification.</w:t>
            </w:r>
          </w:p>
        </w:tc>
      </w:tr>
    </w:tbl>
    <w:p w:rsidR="003F44A2" w:rsidRDefault="003F44A2"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0D1C4A">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0D1C4A" w:rsidRDefault="003F0440" w:rsidP="002D126B">
            <w:pPr>
              <w:pStyle w:val="TableText"/>
              <w:rPr>
                <w:b/>
              </w:rPr>
            </w:pPr>
            <w:r w:rsidRPr="000D1C4A">
              <w:rPr>
                <w:b/>
              </w:rPr>
              <w:t>Canned Comments</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Default="003F0440" w:rsidP="002D126B">
            <w:pPr>
              <w:pStyle w:val="TableText"/>
            </w:pPr>
            <w:r>
              <w:t>The user may not edit comments provided with VBECS, but may create additional comments.</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Default="003F0440" w:rsidP="002D126B">
            <w:pPr>
              <w:pStyle w:val="TableText"/>
            </w:pPr>
            <w:r>
              <w:t>Site personnel must enter comments in accordance with local policy and procedures.</w:t>
            </w:r>
          </w:p>
        </w:tc>
      </w:tr>
    </w:tbl>
    <w:p w:rsidR="003F44A2" w:rsidRDefault="003F44A2"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EB10C4">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EB10C4" w:rsidRDefault="003F0440" w:rsidP="002D126B">
            <w:pPr>
              <w:pStyle w:val="TableText"/>
              <w:rPr>
                <w:b/>
              </w:rPr>
            </w:pPr>
            <w:r w:rsidRPr="00EB10C4">
              <w:rPr>
                <w:b/>
              </w:rPr>
              <w:t>Component Classes</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Default="003F0440" w:rsidP="002D126B">
            <w:pPr>
              <w:pStyle w:val="TableText"/>
            </w:pPr>
            <w:r>
              <w:t xml:space="preserve">The user may not change the specimen requirement for a component class when there are incomplete orders for that component class. </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Default="003F0440" w:rsidP="002D126B">
            <w:pPr>
              <w:pStyle w:val="TableText"/>
            </w:pPr>
            <w:r>
              <w:t>There is no retrospective data entry or user selection for th</w:t>
            </w:r>
            <w:r w:rsidR="00932460">
              <w:t>is</w:t>
            </w:r>
            <w:r>
              <w:t xml:space="preserve"> </w:t>
            </w:r>
            <w:r w:rsidR="00932460">
              <w:t>option</w:t>
            </w:r>
            <w:r>
              <w:t>.</w:t>
            </w:r>
          </w:p>
        </w:tc>
      </w:tr>
    </w:tbl>
    <w:p w:rsidR="005333AF" w:rsidRDefault="005333AF"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D01ED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D01ED7" w:rsidRDefault="003F0440" w:rsidP="002D126B">
            <w:pPr>
              <w:pStyle w:val="TableText"/>
              <w:rPr>
                <w:b/>
              </w:rPr>
            </w:pPr>
            <w:r w:rsidRPr="00D01ED7">
              <w:rPr>
                <w:b/>
              </w:rPr>
              <w:lastRenderedPageBreak/>
              <w:t>Configure Daily QC</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Default="003F0440" w:rsidP="002D126B">
            <w:pPr>
              <w:pStyle w:val="TableText"/>
            </w:pPr>
            <w:r>
              <w:t xml:space="preserve">This option pertains only to routine reagents. </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Default="003F0440" w:rsidP="002D126B">
            <w:pPr>
              <w:pStyle w:val="TableText"/>
            </w:pPr>
            <w:r>
              <w:t xml:space="preserve">When there are partially or currently QC’d racks in the system, the user may not change the QC template. </w:t>
            </w:r>
          </w:p>
        </w:tc>
      </w:tr>
    </w:tbl>
    <w:p w:rsidR="00FD6164" w:rsidRDefault="00FD6164" w:rsidP="00093E5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DA6312" w:rsidRPr="00D01ED7" w:rsidTr="00F002ED">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DA6312" w:rsidRPr="00D01ED7" w:rsidRDefault="00DA6312" w:rsidP="00DA6312">
            <w:pPr>
              <w:pStyle w:val="TableText"/>
              <w:rPr>
                <w:b/>
              </w:rPr>
            </w:pPr>
            <w:r w:rsidRPr="00D01ED7">
              <w:rPr>
                <w:b/>
              </w:rPr>
              <w:t xml:space="preserve">Configure </w:t>
            </w:r>
            <w:r>
              <w:rPr>
                <w:b/>
              </w:rPr>
              <w:t>Division</w:t>
            </w:r>
          </w:p>
        </w:tc>
      </w:tr>
      <w:tr w:rsidR="00DA6312" w:rsidTr="00F002E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DA6312" w:rsidRPr="00DA6312" w:rsidRDefault="00DA6312" w:rsidP="00F002ED">
            <w:pPr>
              <w:pStyle w:val="TableText"/>
              <w:rPr>
                <w:vanish/>
              </w:rPr>
            </w:pPr>
            <w:r w:rsidRPr="00DA6312">
              <w:t>Changes made to the division setting are not applied to a user until they re-connect to VBECS after the change is made. It is highly recommended that all users log off VBECS prior to any configuration setting change.</w:t>
            </w:r>
            <w:r>
              <w:rPr>
                <w:vanish/>
              </w:rPr>
              <w:t xml:space="preserve"> DR 4136</w:t>
            </w:r>
          </w:p>
        </w:tc>
      </w:tr>
    </w:tbl>
    <w:p w:rsidR="00DA6312" w:rsidRDefault="00DA6312" w:rsidP="00093E5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DD7CAF" w:rsidRPr="00E95A54">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DD7CAF" w:rsidRPr="00E95A54" w:rsidRDefault="00DD7CAF" w:rsidP="005E39DA">
            <w:pPr>
              <w:pStyle w:val="TableText"/>
              <w:rPr>
                <w:b/>
              </w:rPr>
            </w:pPr>
            <w:r>
              <w:rPr>
                <w:b/>
              </w:rPr>
              <w:t>Discard or Quarantine</w:t>
            </w:r>
          </w:p>
        </w:tc>
      </w:tr>
      <w:tr w:rsidR="00DD7CAF" w:rsidRPr="00C06411">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DD7CAF" w:rsidRPr="00C06411" w:rsidRDefault="00DD7CAF" w:rsidP="00DD7CAF">
            <w:pPr>
              <w:pStyle w:val="TableText"/>
            </w:pPr>
            <w:r>
              <w:t xml:space="preserve">When a user retroactively updates a unit status through this option, the Unit History Report displays the updated information, but does not display the date the change was made. </w:t>
            </w:r>
          </w:p>
        </w:tc>
      </w:tr>
    </w:tbl>
    <w:p w:rsidR="00D139EE" w:rsidRDefault="00D139EE" w:rsidP="00093E5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E95A54">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E95A54" w:rsidRDefault="003F0440" w:rsidP="002D126B">
            <w:pPr>
              <w:pStyle w:val="TableText"/>
              <w:rPr>
                <w:b/>
              </w:rPr>
            </w:pPr>
            <w:r w:rsidRPr="00E95A54">
              <w:rPr>
                <w:b/>
              </w:rPr>
              <w:t>Display Order Alerts</w:t>
            </w:r>
          </w:p>
        </w:tc>
      </w:tr>
      <w:tr w:rsidR="003F0440" w:rsidRPr="00C06411">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C06411" w:rsidRDefault="003F0440" w:rsidP="002D126B">
            <w:pPr>
              <w:pStyle w:val="TableText"/>
            </w:pPr>
            <w:r>
              <w:t>VBECS issues no notifications for order cancellations.</w:t>
            </w:r>
          </w:p>
        </w:tc>
      </w:tr>
    </w:tbl>
    <w:p w:rsidR="00FC3666" w:rsidRDefault="00FC3666" w:rsidP="00FC366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6347F2">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6347F2" w:rsidRDefault="003F0440" w:rsidP="002D126B">
            <w:pPr>
              <w:pStyle w:val="TableText"/>
              <w:rPr>
                <w:b/>
              </w:rPr>
            </w:pPr>
            <w:r w:rsidRPr="006347F2">
              <w:rPr>
                <w:b/>
              </w:rPr>
              <w:t xml:space="preserve">Display Patient </w:t>
            </w:r>
            <w:r>
              <w:rPr>
                <w:b/>
              </w:rPr>
              <w:t>Merge</w:t>
            </w:r>
            <w:r w:rsidRPr="006347F2">
              <w:rPr>
                <w:b/>
              </w:rPr>
              <w:t xml:space="preserve"> Alerts</w:t>
            </w:r>
          </w:p>
        </w:tc>
      </w:tr>
      <w:tr w:rsidR="004F17EB" w:rsidRPr="00C06411">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4F17EB" w:rsidRPr="004F17EB" w:rsidRDefault="004F17EB" w:rsidP="004F17EB">
            <w:pPr>
              <w:pStyle w:val="TableText"/>
            </w:pPr>
            <w:r>
              <w:t xml:space="preserve">VBECS does not notify users of additional VistA patient updates or merges while the icon is displayed. </w:t>
            </w:r>
            <w:r>
              <w:rPr>
                <w:rFonts w:cs="Arial"/>
                <w:vanish/>
              </w:rPr>
              <w:t xml:space="preserve">DR 2,525 </w:t>
            </w:r>
            <w:r>
              <w:t xml:space="preserve">When a user views an update and there is an unprocessed VistA patient merge, the Patient Alert icon remains on the screen until the Traditional Supervisor updates the patient records and clears the icon. </w:t>
            </w:r>
          </w:p>
        </w:tc>
      </w:tr>
    </w:tbl>
    <w:p w:rsidR="00BA0F42" w:rsidRDefault="00BA0F42" w:rsidP="00FC366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B31E5A" w:rsidRPr="006347F2">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B31E5A" w:rsidRPr="006347F2" w:rsidRDefault="00B31E5A" w:rsidP="00FE4D07">
            <w:pPr>
              <w:pStyle w:val="TableText"/>
              <w:rPr>
                <w:b/>
              </w:rPr>
            </w:pPr>
            <w:r w:rsidRPr="006347F2">
              <w:rPr>
                <w:b/>
              </w:rPr>
              <w:t xml:space="preserve">Display Patient </w:t>
            </w:r>
            <w:r>
              <w:rPr>
                <w:b/>
              </w:rPr>
              <w:t>Update</w:t>
            </w:r>
            <w:r w:rsidRPr="006347F2">
              <w:rPr>
                <w:b/>
              </w:rPr>
              <w:t xml:space="preserve"> Alerts</w:t>
            </w:r>
          </w:p>
        </w:tc>
      </w:tr>
      <w:tr w:rsidR="00B31E5A" w:rsidRPr="00C06411">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B31E5A" w:rsidRDefault="004F17EB" w:rsidP="004F17EB">
            <w:pPr>
              <w:pStyle w:val="TableText"/>
            </w:pPr>
            <w:r>
              <w:t xml:space="preserve">VBECS does not notify users of additional VistA patient updates or merges while the icon is displayed. </w:t>
            </w:r>
            <w:r>
              <w:rPr>
                <w:rFonts w:cs="Arial"/>
                <w:vanish/>
              </w:rPr>
              <w:t xml:space="preserve">DR 2,525 </w:t>
            </w:r>
            <w:r>
              <w:t xml:space="preserve">When a user views an update and there is an unprocessed VistA patient merge, the Patient Alert icon remains on the screen until the Traditional Supervisor updates the patient records and clears the icon. </w:t>
            </w:r>
          </w:p>
        </w:tc>
      </w:tr>
      <w:tr w:rsidR="00562E66" w:rsidRPr="00C06411">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562E66" w:rsidRDefault="00562E66" w:rsidP="00562E66">
            <w:pPr>
              <w:pStyle w:val="TableText"/>
            </w:pPr>
            <w:r>
              <w:t>Patient updates involving</w:t>
            </w:r>
            <w:r w:rsidRPr="00DD022C">
              <w:t xml:space="preserve"> patient’s with names that exceed the database standard for File #2 (30 characters) or do not have a first or last name in VistA are rejected and do not appear in VBECS. The VBECS System Administrator is notified of each rejection via an email to the address entered in VBECS Administrator “Interface Failure Alert Recipient” field.</w:t>
            </w:r>
          </w:p>
        </w:tc>
      </w:tr>
    </w:tbl>
    <w:p w:rsidR="00B31E5A" w:rsidRDefault="00B31E5A" w:rsidP="00FC366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4146C8">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4146C8" w:rsidRDefault="003F0440" w:rsidP="002D126B">
            <w:pPr>
              <w:pStyle w:val="TableText"/>
              <w:rPr>
                <w:b/>
              </w:rPr>
            </w:pPr>
            <w:r w:rsidRPr="004146C8">
              <w:rPr>
                <w:b/>
                <w:snapToGrid w:val="0"/>
              </w:rPr>
              <w:t>Document ABO Incompatible Transfusions</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t>VBECS does not enforce compatibility checks between the patient and the unit.</w:t>
            </w:r>
          </w:p>
        </w:tc>
      </w:tr>
    </w:tbl>
    <w:p w:rsidR="00FD0D9D" w:rsidRDefault="00FD0D9D" w:rsidP="00FC366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D4567F" w:rsidRPr="004146C8" w:rsidTr="000D08F0">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D4567F" w:rsidRPr="004146C8" w:rsidRDefault="00D05F0F" w:rsidP="000D08F0">
            <w:pPr>
              <w:pStyle w:val="TableText"/>
              <w:rPr>
                <w:b/>
              </w:rPr>
            </w:pPr>
            <w:r>
              <w:rPr>
                <w:b/>
                <w:snapToGrid w:val="0"/>
              </w:rPr>
              <w:t>Edit Financial Data</w:t>
            </w:r>
          </w:p>
        </w:tc>
      </w:tr>
      <w:tr w:rsidR="00D4567F" w:rsidRPr="00725902" w:rsidTr="000D08F0">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D4567F" w:rsidRPr="00725902" w:rsidRDefault="00D05F0F" w:rsidP="000D08F0">
            <w:pPr>
              <w:pStyle w:val="TableText"/>
            </w:pPr>
            <w:r>
              <w:t>When a Technologist enters a unit ID and product code for a unit that is not in final status, VBECS does not enable the Special Test Cost field. An Enhanced Technologist or higher access can change the Special Test Cost field in the Edit Financial Data option.</w:t>
            </w:r>
            <w:r w:rsidR="005333AF">
              <w:t xml:space="preserve"> </w:t>
            </w:r>
            <w:r w:rsidR="005333AF" w:rsidRPr="005333AF">
              <w:rPr>
                <w:vanish/>
              </w:rPr>
              <w:t>DR 5012</w:t>
            </w:r>
          </w:p>
        </w:tc>
      </w:tr>
    </w:tbl>
    <w:p w:rsidR="00D4567F" w:rsidRDefault="00D4567F" w:rsidP="00FC366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4146C8" w:rsidRDefault="003F0440" w:rsidP="002D126B">
            <w:pPr>
              <w:pStyle w:val="TableText"/>
              <w:rPr>
                <w:b/>
              </w:rPr>
            </w:pPr>
            <w:r w:rsidRPr="004146C8">
              <w:rPr>
                <w:b/>
              </w:rPr>
              <w:t>Edit Unit Information</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t xml:space="preserve">The user may correct a limited amount of unit information. </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t>VBECS does not limit the discarded plasma volume.</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D20331" w:rsidP="00D20331">
            <w:pPr>
              <w:pStyle w:val="TableText"/>
            </w:pPr>
            <w:r>
              <w:rPr>
                <w:rFonts w:eastAsia="Arial Unicode MS"/>
              </w:rPr>
              <w:t>If errors are found in the unit’s product code</w:t>
            </w:r>
            <w:r>
              <w:t xml:space="preserve">, division or blood type at login, </w:t>
            </w:r>
            <w:r>
              <w:rPr>
                <w:rFonts w:eastAsia="Arial Unicode MS"/>
              </w:rPr>
              <w:t>supplier, or donation type, the user must inactivate the unit and reenter it correctly</w:t>
            </w:r>
            <w:r>
              <w:t>.</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t xml:space="preserve">When a unit does not have a patient association, editable fields are available to an </w:t>
            </w:r>
            <w:r w:rsidR="00D03BCF" w:rsidRPr="00EC7489">
              <w:rPr>
                <w:rFonts w:ascii="Wingdings 3" w:hAnsi="Wingdings 3" w:cs="Wingdings"/>
              </w:rPr>
              <w:t></w:t>
            </w:r>
            <w:r w:rsidR="00D03BCF" w:rsidRPr="00EC7489">
              <w:rPr>
                <w:rFonts w:ascii="Wingdings 3" w:hAnsi="Wingdings 3" w:cs="Wingdings"/>
              </w:rPr>
              <w:t></w:t>
            </w:r>
            <w:r w:rsidR="00D03BCF" w:rsidRPr="00AA7C58">
              <w:t xml:space="preserve"> </w:t>
            </w:r>
            <w:r>
              <w:t>Enhanced Technologist.</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lastRenderedPageBreak/>
              <w:t>ABO/Rh confirmation and antigen type testing cannot be inactivated when the unit is in a final unit status.</w:t>
            </w:r>
          </w:p>
        </w:tc>
      </w:tr>
    </w:tbl>
    <w:p w:rsidR="00C1162B" w:rsidRDefault="00C1162B" w:rsidP="00E039E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3657B4">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3657B4" w:rsidRDefault="003F0440" w:rsidP="002D126B">
            <w:pPr>
              <w:pStyle w:val="TableText"/>
              <w:rPr>
                <w:b/>
              </w:rPr>
            </w:pPr>
            <w:r w:rsidRPr="003657B4">
              <w:rPr>
                <w:b/>
              </w:rPr>
              <w:t>Enter Daily QC Results</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t xml:space="preserve">Additional user-defined reagent types not available in Configure Daily QC or Enter Daily QC Results are not part of a reagent rack’s daily QC testing. </w:t>
            </w:r>
          </w:p>
        </w:tc>
      </w:tr>
    </w:tbl>
    <w:p w:rsidR="00A04F10" w:rsidRDefault="00A04F10" w:rsidP="00E039E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D65A81" w:rsidRDefault="003F0440" w:rsidP="002D126B">
            <w:pPr>
              <w:pStyle w:val="TableText"/>
              <w:rPr>
                <w:b/>
              </w:rPr>
            </w:pPr>
            <w:r w:rsidRPr="00D65A81">
              <w:rPr>
                <w:b/>
              </w:rPr>
              <w:t>Equipment</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t>VBECS does not check for duplicate entries of equipment names and identifiers.</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t>There is no retrospective data entry or user selection for th</w:t>
            </w:r>
            <w:r w:rsidR="00932460">
              <w:t>is option</w:t>
            </w:r>
            <w:r>
              <w:t>.</w:t>
            </w:r>
          </w:p>
        </w:tc>
      </w:tr>
    </w:tbl>
    <w:p w:rsidR="00E039E6" w:rsidRDefault="00E039E6" w:rsidP="00E039E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CD7E2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CD7E27" w:rsidRDefault="003F0440" w:rsidP="002D126B">
            <w:pPr>
              <w:pStyle w:val="TableText"/>
              <w:rPr>
                <w:b/>
              </w:rPr>
            </w:pPr>
            <w:r w:rsidRPr="00CD7E27">
              <w:rPr>
                <w:b/>
              </w:rPr>
              <w:t>Exception Report</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B97396" w:rsidP="002D126B">
            <w:pPr>
              <w:pStyle w:val="TableText"/>
            </w:pPr>
            <w:r>
              <w:t>VBECS does not accommodate online review (verification, signature) of reports.</w:t>
            </w:r>
          </w:p>
        </w:tc>
      </w:tr>
    </w:tbl>
    <w:p w:rsidR="00E039E6" w:rsidRDefault="00E039E6" w:rsidP="00E039E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484"/>
        <w:gridCol w:w="5336"/>
        <w:gridCol w:w="3056"/>
        <w:gridCol w:w="484"/>
      </w:tblGrid>
      <w:tr w:rsidR="003F0440" w:rsidRPr="00725902">
        <w:trPr>
          <w:cantSplit/>
          <w:tblHeader/>
        </w:trPr>
        <w:tc>
          <w:tcPr>
            <w:tcW w:w="9360" w:type="dxa"/>
            <w:gridSpan w:val="4"/>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D65A81" w:rsidRDefault="003F0440" w:rsidP="002D126B">
            <w:pPr>
              <w:pStyle w:val="TableText"/>
              <w:rPr>
                <w:b/>
              </w:rPr>
            </w:pPr>
            <w:r w:rsidRPr="00D65A81">
              <w:rPr>
                <w:b/>
              </w:rPr>
              <w:t>Finalize/Print TRW</w:t>
            </w:r>
          </w:p>
        </w:tc>
      </w:tr>
      <w:tr w:rsidR="003F0440" w:rsidRPr="00725902">
        <w:trPr>
          <w:cantSplit/>
        </w:trPr>
        <w:tc>
          <w:tcPr>
            <w:tcW w:w="9360" w:type="dxa"/>
            <w:gridSpan w:val="4"/>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t>The user cannot</w:t>
            </w:r>
            <w:r w:rsidRPr="00D23EF9">
              <w:t xml:space="preserve"> invalidate </w:t>
            </w:r>
            <w:r>
              <w:t xml:space="preserve">or change </w:t>
            </w:r>
            <w:r w:rsidRPr="00D23EF9">
              <w:t>a finalized TRW.</w:t>
            </w:r>
            <w:r>
              <w:t xml:space="preserve"> </w:t>
            </w:r>
          </w:p>
        </w:tc>
      </w:tr>
      <w:tr w:rsidR="003F0440" w:rsidRPr="00725902">
        <w:trPr>
          <w:cantSplit/>
        </w:trPr>
        <w:tc>
          <w:tcPr>
            <w:tcW w:w="9360" w:type="dxa"/>
            <w:gridSpan w:val="4"/>
            <w:tcBorders>
              <w:top w:val="single" w:sz="6" w:space="0" w:color="000000"/>
              <w:left w:val="single" w:sz="6" w:space="0" w:color="000000"/>
              <w:bottom w:val="single" w:sz="6" w:space="0" w:color="000000"/>
              <w:right w:val="single" w:sz="6" w:space="0" w:color="000000"/>
            </w:tcBorders>
            <w:shd w:val="clear" w:color="auto" w:fill="auto"/>
            <w:vAlign w:val="bottom"/>
          </w:tcPr>
          <w:p w:rsidR="003F0440" w:rsidRDefault="003F0440" w:rsidP="002D126B">
            <w:pPr>
              <w:pStyle w:val="TableText"/>
            </w:pPr>
            <w:r>
              <w:t>Transfusion reaction reports are not available to clinicians through CPRS: they must be printed and filed with patient charts.</w:t>
            </w:r>
          </w:p>
        </w:tc>
      </w:tr>
      <w:tr w:rsidR="00C26EE9" w:rsidRPr="00725902">
        <w:trPr>
          <w:cantSplit/>
        </w:trPr>
        <w:tc>
          <w:tcPr>
            <w:tcW w:w="9360" w:type="dxa"/>
            <w:gridSpan w:val="4"/>
            <w:tcBorders>
              <w:top w:val="single" w:sz="6" w:space="0" w:color="000000"/>
              <w:left w:val="single" w:sz="6" w:space="0" w:color="000000"/>
              <w:bottom w:val="nil"/>
              <w:right w:val="single" w:sz="6" w:space="0" w:color="000000"/>
            </w:tcBorders>
            <w:shd w:val="clear" w:color="auto" w:fill="auto"/>
            <w:vAlign w:val="bottom"/>
          </w:tcPr>
          <w:p w:rsidR="00C26EE9" w:rsidRDefault="00C26EE9" w:rsidP="002D126B">
            <w:pPr>
              <w:pStyle w:val="TableText"/>
            </w:pPr>
            <w:r>
              <w:t>VBECS displays these default values for transfusion reactions converted from VistA to VBECS. They do not reflect actual interpretations or results:</w:t>
            </w:r>
            <w:r>
              <w:rPr>
                <w:vanish/>
              </w:rPr>
              <w:t xml:space="preserve"> (DR 2,</w:t>
            </w:r>
            <w:r w:rsidRPr="00FF5006">
              <w:rPr>
                <w:vanish/>
              </w:rPr>
              <w:t>724)</w:t>
            </w:r>
          </w:p>
        </w:tc>
      </w:tr>
      <w:tr w:rsidR="00C26EE9" w:rsidRPr="00725902">
        <w:trPr>
          <w:cantSplit/>
        </w:trPr>
        <w:tc>
          <w:tcPr>
            <w:tcW w:w="484" w:type="dxa"/>
            <w:vMerge w:val="restart"/>
            <w:tcBorders>
              <w:top w:val="nil"/>
              <w:left w:val="single" w:sz="6" w:space="0" w:color="000000"/>
              <w:bottom w:val="single" w:sz="6" w:space="0" w:color="000000"/>
              <w:right w:val="single" w:sz="6" w:space="0" w:color="000000"/>
            </w:tcBorders>
            <w:shd w:val="clear" w:color="auto" w:fill="auto"/>
          </w:tcPr>
          <w:p w:rsidR="00C26EE9" w:rsidRPr="00FF5006" w:rsidRDefault="00C26EE9" w:rsidP="003F40DD">
            <w:pPr>
              <w:pStyle w:val="TableText"/>
              <w:rPr>
                <w:b/>
              </w:rPr>
            </w:pPr>
          </w:p>
        </w:tc>
        <w:tc>
          <w:tcPr>
            <w:tcW w:w="5336" w:type="dxa"/>
            <w:tcBorders>
              <w:top w:val="single" w:sz="6" w:space="0" w:color="000000"/>
              <w:left w:val="single" w:sz="6" w:space="0" w:color="000000"/>
              <w:bottom w:val="single" w:sz="6" w:space="0" w:color="000000"/>
              <w:right w:val="single" w:sz="6" w:space="0" w:color="000000"/>
            </w:tcBorders>
            <w:shd w:val="clear" w:color="auto" w:fill="B3B3B3"/>
          </w:tcPr>
          <w:p w:rsidR="00C26EE9" w:rsidRPr="00FF5006" w:rsidRDefault="00C26EE9" w:rsidP="003F40DD">
            <w:pPr>
              <w:pStyle w:val="TableText"/>
              <w:rPr>
                <w:b/>
              </w:rPr>
            </w:pPr>
            <w:r w:rsidRPr="00FF5006">
              <w:rPr>
                <w:b/>
              </w:rPr>
              <w:t>Converted Transfusion Reaction</w:t>
            </w:r>
          </w:p>
        </w:tc>
        <w:tc>
          <w:tcPr>
            <w:tcW w:w="3056" w:type="dxa"/>
            <w:tcBorders>
              <w:top w:val="single" w:sz="6" w:space="0" w:color="000000"/>
              <w:left w:val="single" w:sz="6" w:space="0" w:color="000000"/>
              <w:bottom w:val="single" w:sz="6" w:space="0" w:color="000000"/>
              <w:right w:val="single" w:sz="6" w:space="0" w:color="000000"/>
            </w:tcBorders>
            <w:shd w:val="clear" w:color="auto" w:fill="B3B3B3"/>
          </w:tcPr>
          <w:p w:rsidR="00C26EE9" w:rsidRPr="00FF5006" w:rsidRDefault="00C26EE9" w:rsidP="003F40DD">
            <w:pPr>
              <w:pStyle w:val="TableText"/>
              <w:rPr>
                <w:b/>
              </w:rPr>
            </w:pPr>
            <w:r w:rsidRPr="00FF5006">
              <w:rPr>
                <w:b/>
              </w:rPr>
              <w:t>Default</w:t>
            </w:r>
          </w:p>
        </w:tc>
        <w:tc>
          <w:tcPr>
            <w:tcW w:w="484" w:type="dxa"/>
            <w:vMerge w:val="restart"/>
            <w:tcBorders>
              <w:top w:val="nil"/>
              <w:left w:val="single" w:sz="6" w:space="0" w:color="000000"/>
              <w:bottom w:val="single" w:sz="6" w:space="0" w:color="000000"/>
              <w:right w:val="single" w:sz="6" w:space="0" w:color="000000"/>
            </w:tcBorders>
            <w:shd w:val="clear" w:color="auto" w:fill="auto"/>
          </w:tcPr>
          <w:p w:rsidR="00C26EE9" w:rsidRPr="00FF5006" w:rsidRDefault="00C26EE9" w:rsidP="003F40DD">
            <w:pPr>
              <w:pStyle w:val="TableText"/>
              <w:rPr>
                <w:b/>
              </w:rPr>
            </w:pPr>
          </w:p>
        </w:tc>
      </w:tr>
      <w:tr w:rsidR="00C26EE9" w:rsidRPr="00725902">
        <w:trPr>
          <w:cantSplit/>
        </w:trPr>
        <w:tc>
          <w:tcPr>
            <w:tcW w:w="484" w:type="dxa"/>
            <w:vMerge/>
            <w:tcBorders>
              <w:top w:val="nil"/>
              <w:left w:val="single" w:sz="6" w:space="0" w:color="000000"/>
              <w:bottom w:val="single" w:sz="6" w:space="0" w:color="000000"/>
              <w:right w:val="single" w:sz="6" w:space="0" w:color="000000"/>
            </w:tcBorders>
            <w:shd w:val="clear" w:color="auto" w:fill="auto"/>
          </w:tcPr>
          <w:p w:rsidR="00C26EE9" w:rsidRDefault="00C26EE9"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rsidR="00C26EE9" w:rsidRDefault="00C26EE9" w:rsidP="003F40DD">
            <w:pPr>
              <w:pStyle w:val="TableText"/>
            </w:pPr>
            <w:r>
              <w:t xml:space="preserve">Pre-Transfusion Specimen Checks, Hemolysis Checks OK? </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rsidR="00C26EE9" w:rsidRDefault="00C26EE9" w:rsidP="003F40DD">
            <w:pPr>
              <w:pStyle w:val="TableText"/>
            </w:pPr>
            <w:r>
              <w:t>Yes</w:t>
            </w:r>
          </w:p>
        </w:tc>
        <w:tc>
          <w:tcPr>
            <w:tcW w:w="484" w:type="dxa"/>
            <w:vMerge/>
            <w:tcBorders>
              <w:top w:val="nil"/>
              <w:left w:val="single" w:sz="6" w:space="0" w:color="000000"/>
              <w:bottom w:val="single" w:sz="6" w:space="0" w:color="000000"/>
              <w:right w:val="single" w:sz="6" w:space="0" w:color="000000"/>
            </w:tcBorders>
            <w:shd w:val="clear" w:color="auto" w:fill="auto"/>
          </w:tcPr>
          <w:p w:rsidR="00C26EE9" w:rsidRDefault="00C26EE9" w:rsidP="003F40DD">
            <w:pPr>
              <w:pStyle w:val="TableText"/>
            </w:pPr>
          </w:p>
        </w:tc>
      </w:tr>
      <w:tr w:rsidR="00C26EE9" w:rsidRPr="00725902">
        <w:trPr>
          <w:cantSplit/>
        </w:trPr>
        <w:tc>
          <w:tcPr>
            <w:tcW w:w="484" w:type="dxa"/>
            <w:vMerge/>
            <w:tcBorders>
              <w:top w:val="nil"/>
              <w:left w:val="single" w:sz="6" w:space="0" w:color="000000"/>
              <w:bottom w:val="single" w:sz="6" w:space="0" w:color="000000"/>
              <w:right w:val="single" w:sz="6" w:space="0" w:color="000000"/>
            </w:tcBorders>
            <w:shd w:val="clear" w:color="auto" w:fill="auto"/>
          </w:tcPr>
          <w:p w:rsidR="00C26EE9" w:rsidRDefault="00C26EE9"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rsidR="00C26EE9" w:rsidRDefault="00C26EE9" w:rsidP="003F40DD">
            <w:pPr>
              <w:pStyle w:val="TableText"/>
            </w:pPr>
            <w:r>
              <w:t xml:space="preserve">Post-Transfusion Specimen Checks, Hemolysis Checks OK? </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rsidR="00C26EE9" w:rsidRDefault="00C26EE9" w:rsidP="003F40DD">
            <w:pPr>
              <w:pStyle w:val="TableText"/>
            </w:pPr>
            <w:r>
              <w:t>Yes</w:t>
            </w:r>
          </w:p>
        </w:tc>
        <w:tc>
          <w:tcPr>
            <w:tcW w:w="484" w:type="dxa"/>
            <w:vMerge/>
            <w:tcBorders>
              <w:top w:val="nil"/>
              <w:left w:val="single" w:sz="6" w:space="0" w:color="000000"/>
              <w:bottom w:val="single" w:sz="6" w:space="0" w:color="000000"/>
              <w:right w:val="single" w:sz="6" w:space="0" w:color="000000"/>
            </w:tcBorders>
            <w:shd w:val="clear" w:color="auto" w:fill="auto"/>
          </w:tcPr>
          <w:p w:rsidR="00C26EE9" w:rsidRDefault="00C26EE9" w:rsidP="003F40DD">
            <w:pPr>
              <w:pStyle w:val="TableText"/>
            </w:pPr>
          </w:p>
        </w:tc>
      </w:tr>
      <w:tr w:rsidR="00C26EE9" w:rsidRPr="00725902">
        <w:trPr>
          <w:cantSplit/>
        </w:trPr>
        <w:tc>
          <w:tcPr>
            <w:tcW w:w="484" w:type="dxa"/>
            <w:vMerge/>
            <w:tcBorders>
              <w:top w:val="nil"/>
              <w:left w:val="single" w:sz="6" w:space="0" w:color="000000"/>
              <w:bottom w:val="single" w:sz="6" w:space="0" w:color="000000"/>
              <w:right w:val="single" w:sz="6" w:space="0" w:color="000000"/>
            </w:tcBorders>
            <w:shd w:val="clear" w:color="auto" w:fill="auto"/>
          </w:tcPr>
          <w:p w:rsidR="00C26EE9" w:rsidRDefault="00C26EE9"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rsidR="00C26EE9" w:rsidRDefault="00D35B68" w:rsidP="003F40DD">
            <w:pPr>
              <w:pStyle w:val="TableText"/>
            </w:pPr>
            <w:r>
              <w:t>Symptom</w:t>
            </w:r>
            <w:r w:rsidR="00C26EE9">
              <w:t>s</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rsidR="00C26EE9" w:rsidRDefault="00C26EE9" w:rsidP="003F40DD">
            <w:pPr>
              <w:pStyle w:val="TableText"/>
            </w:pPr>
            <w:r>
              <w:t>No symptoms identified.</w:t>
            </w:r>
          </w:p>
        </w:tc>
        <w:tc>
          <w:tcPr>
            <w:tcW w:w="484" w:type="dxa"/>
            <w:vMerge/>
            <w:tcBorders>
              <w:top w:val="nil"/>
              <w:left w:val="single" w:sz="6" w:space="0" w:color="000000"/>
              <w:bottom w:val="single" w:sz="6" w:space="0" w:color="000000"/>
              <w:right w:val="single" w:sz="6" w:space="0" w:color="000000"/>
            </w:tcBorders>
            <w:shd w:val="clear" w:color="auto" w:fill="auto"/>
          </w:tcPr>
          <w:p w:rsidR="00C26EE9" w:rsidRDefault="00C26EE9" w:rsidP="003F40DD">
            <w:pPr>
              <w:pStyle w:val="TableText"/>
            </w:pPr>
          </w:p>
        </w:tc>
      </w:tr>
      <w:tr w:rsidR="00C26EE9" w:rsidRPr="00725902">
        <w:trPr>
          <w:cantSplit/>
        </w:trPr>
        <w:tc>
          <w:tcPr>
            <w:tcW w:w="484" w:type="dxa"/>
            <w:vMerge/>
            <w:tcBorders>
              <w:top w:val="nil"/>
              <w:left w:val="single" w:sz="6" w:space="0" w:color="000000"/>
              <w:bottom w:val="single" w:sz="6" w:space="0" w:color="000000"/>
              <w:right w:val="single" w:sz="6" w:space="0" w:color="000000"/>
            </w:tcBorders>
            <w:shd w:val="clear" w:color="auto" w:fill="auto"/>
          </w:tcPr>
          <w:p w:rsidR="00C26EE9" w:rsidRDefault="00C26EE9"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rsidR="00C26EE9" w:rsidRDefault="00C26EE9" w:rsidP="003F40DD">
            <w:pPr>
              <w:pStyle w:val="TableText"/>
            </w:pPr>
            <w:r>
              <w:t>Implicated units</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rsidR="00C26EE9" w:rsidRDefault="00C26EE9" w:rsidP="003F40DD">
            <w:pPr>
              <w:pStyle w:val="TableText"/>
            </w:pPr>
            <w:r>
              <w:t>No units implicated in reaction.</w:t>
            </w:r>
          </w:p>
        </w:tc>
        <w:tc>
          <w:tcPr>
            <w:tcW w:w="484" w:type="dxa"/>
            <w:vMerge/>
            <w:tcBorders>
              <w:top w:val="nil"/>
              <w:left w:val="single" w:sz="6" w:space="0" w:color="000000"/>
              <w:bottom w:val="single" w:sz="6" w:space="0" w:color="000000"/>
              <w:right w:val="single" w:sz="6" w:space="0" w:color="000000"/>
            </w:tcBorders>
            <w:shd w:val="clear" w:color="auto" w:fill="auto"/>
          </w:tcPr>
          <w:p w:rsidR="00C26EE9" w:rsidRDefault="00C26EE9" w:rsidP="003F40DD">
            <w:pPr>
              <w:pStyle w:val="TableText"/>
            </w:pPr>
          </w:p>
        </w:tc>
      </w:tr>
      <w:tr w:rsidR="00C26EE9" w:rsidRPr="00725902">
        <w:trPr>
          <w:cantSplit/>
        </w:trPr>
        <w:tc>
          <w:tcPr>
            <w:tcW w:w="484" w:type="dxa"/>
            <w:vMerge/>
            <w:tcBorders>
              <w:top w:val="nil"/>
              <w:left w:val="single" w:sz="6" w:space="0" w:color="000000"/>
              <w:bottom w:val="single" w:sz="6" w:space="0" w:color="000000"/>
              <w:right w:val="single" w:sz="6" w:space="0" w:color="000000"/>
            </w:tcBorders>
            <w:shd w:val="clear" w:color="auto" w:fill="auto"/>
          </w:tcPr>
          <w:p w:rsidR="00C26EE9" w:rsidRDefault="00C26EE9"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rsidR="00C26EE9" w:rsidRDefault="00C26EE9" w:rsidP="003F40DD">
            <w:pPr>
              <w:pStyle w:val="TableText"/>
            </w:pPr>
            <w:r>
              <w:t>Serologic tests</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rsidR="00C26EE9" w:rsidRDefault="00C26EE9" w:rsidP="003F40DD">
            <w:pPr>
              <w:pStyle w:val="TableText"/>
            </w:pPr>
            <w:r>
              <w:t>No serologic tests performed.</w:t>
            </w:r>
          </w:p>
        </w:tc>
        <w:tc>
          <w:tcPr>
            <w:tcW w:w="484" w:type="dxa"/>
            <w:vMerge/>
            <w:tcBorders>
              <w:top w:val="nil"/>
              <w:left w:val="single" w:sz="6" w:space="0" w:color="000000"/>
              <w:bottom w:val="single" w:sz="6" w:space="0" w:color="000000"/>
              <w:right w:val="single" w:sz="6" w:space="0" w:color="000000"/>
            </w:tcBorders>
            <w:shd w:val="clear" w:color="auto" w:fill="auto"/>
          </w:tcPr>
          <w:p w:rsidR="00C26EE9" w:rsidRDefault="00C26EE9" w:rsidP="003F40DD">
            <w:pPr>
              <w:pStyle w:val="TableText"/>
            </w:pPr>
          </w:p>
        </w:tc>
      </w:tr>
    </w:tbl>
    <w:p w:rsidR="00BF2429" w:rsidRDefault="00BF2429" w:rsidP="00BF2429">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D65A81" w:rsidRDefault="003F0440" w:rsidP="002D126B">
            <w:pPr>
              <w:pStyle w:val="TableText"/>
              <w:rPr>
                <w:b/>
              </w:rPr>
            </w:pPr>
            <w:r w:rsidRPr="00D65A81">
              <w:rPr>
                <w:b/>
              </w:rPr>
              <w:t>Free Directed Unit For Crossover</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t xml:space="preserve">The unit must not be in a final status to release the restriction. </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t>This option does not allow the removal of patient restrictions for most of the ISBT donation types that are eligible for crossover.</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t>This option cannot process multiple directed units simultaneously.</w:t>
            </w:r>
          </w:p>
        </w:tc>
      </w:tr>
    </w:tbl>
    <w:p w:rsidR="00BF2429" w:rsidRDefault="00BF2429" w:rsidP="00BF2429">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7540C1" w:rsidRDefault="003F0440" w:rsidP="002D126B">
            <w:pPr>
              <w:pStyle w:val="TableText"/>
              <w:rPr>
                <w:b/>
              </w:rPr>
            </w:pPr>
            <w:r w:rsidRPr="007540C1">
              <w:rPr>
                <w:b/>
              </w:rPr>
              <w:t>Incoming Shipment</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t>VBECS d</w:t>
            </w:r>
            <w:r w:rsidRPr="00F862E5">
              <w:t xml:space="preserve">oes not </w:t>
            </w:r>
            <w:r>
              <w:t>compare</w:t>
            </w:r>
            <w:r w:rsidRPr="00F862E5">
              <w:t xml:space="preserve"> </w:t>
            </w:r>
            <w:r>
              <w:t xml:space="preserve">the ABO/Rh </w:t>
            </w:r>
            <w:r w:rsidRPr="00F862E5">
              <w:t xml:space="preserve">of </w:t>
            </w:r>
            <w:r>
              <w:t>an</w:t>
            </w:r>
            <w:r w:rsidRPr="00F862E5">
              <w:t xml:space="preserve"> </w:t>
            </w:r>
            <w:r>
              <w:t>a</w:t>
            </w:r>
            <w:r w:rsidRPr="00F862E5">
              <w:t xml:space="preserve">utologous unit </w:t>
            </w:r>
            <w:r>
              <w:t xml:space="preserve">or display a message when the ABO/Rh </w:t>
            </w:r>
            <w:r w:rsidRPr="00F862E5">
              <w:t xml:space="preserve">is incompatible with the </w:t>
            </w:r>
            <w:r>
              <w:t>r</w:t>
            </w:r>
            <w:r w:rsidRPr="00F862E5">
              <w:t xml:space="preserve">estricted </w:t>
            </w:r>
            <w:r>
              <w:t>f</w:t>
            </w:r>
            <w:r w:rsidRPr="00F862E5">
              <w:t>or patient</w:t>
            </w:r>
            <w:r>
              <w:t>.</w:t>
            </w:r>
          </w:p>
        </w:tc>
      </w:tr>
      <w:tr w:rsidR="00A06C7F"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A06C7F" w:rsidRPr="009212B0" w:rsidRDefault="00A06C7F" w:rsidP="002D126B">
            <w:pPr>
              <w:pStyle w:val="TableText"/>
            </w:pPr>
            <w:r w:rsidRPr="009A667D">
              <w:t>When a product type, code, or</w:t>
            </w:r>
            <w:r w:rsidRPr="009A667D">
              <w:rPr>
                <w:i/>
              </w:rPr>
              <w:t xml:space="preserve"> </w:t>
            </w:r>
            <w:r w:rsidRPr="009A667D">
              <w:t>local code is not in</w:t>
            </w:r>
            <w:r>
              <w:t xml:space="preserve"> VBECS or a blood supplier creates a product code, contact the Help Desk. See Customer Support for contact information.</w:t>
            </w:r>
          </w:p>
        </w:tc>
      </w:tr>
      <w:tr w:rsidR="00E57D56"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E57D56" w:rsidRPr="009212B0" w:rsidRDefault="00E57D56" w:rsidP="00E57D56">
            <w:pPr>
              <w:pStyle w:val="TableText"/>
            </w:pPr>
            <w:r>
              <w:lastRenderedPageBreak/>
              <w:t>T</w:t>
            </w:r>
            <w:r w:rsidRPr="008C1BD3">
              <w:t xml:space="preserve">he </w:t>
            </w:r>
            <w:r>
              <w:t>unit expiration [</w:t>
            </w:r>
            <w:r w:rsidRPr="008C1BD3">
              <w:t>Maximum Storage Time (MST)</w:t>
            </w:r>
            <w:r>
              <w:t>]</w:t>
            </w:r>
            <w:r w:rsidRPr="008C1BD3">
              <w:t xml:space="preserve"> is set to the longest possible storage time based on product type, core condition,  attributes, and available references as a guide. The MST is set at a higher leve</w:t>
            </w:r>
            <w:r>
              <w:t>l</w:t>
            </w:r>
            <w:r w:rsidRPr="008C1BD3">
              <w:t xml:space="preserve"> than an individual collection product code. VBECS does not know the specific collection details.  It is the </w:t>
            </w:r>
            <w:r w:rsidR="004E2AB6" w:rsidRPr="008C1BD3">
              <w:t>responsibility</w:t>
            </w:r>
            <w:r w:rsidRPr="008C1BD3">
              <w:t xml:space="preserve"> of each user to accurately enter and process any one blood unit based on its expiration date/time as labeled by the collection facility.</w:t>
            </w:r>
            <w:r w:rsidRPr="00E57D56">
              <w:t xml:space="preserve"> </w:t>
            </w:r>
            <w:r w:rsidRPr="00E57D56">
              <w:rPr>
                <w:vanish/>
              </w:rPr>
              <w:t>Task 1280</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rsidRPr="009212B0">
              <w:t>The user must enter the donation type for Codabar-labeled units.</w:t>
            </w:r>
          </w:p>
        </w:tc>
      </w:tr>
      <w:tr w:rsidR="0000455C"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00455C" w:rsidRPr="009212B0" w:rsidRDefault="0000455C" w:rsidP="0000455C">
            <w:pPr>
              <w:pStyle w:val="TableText"/>
            </w:pPr>
            <w:r>
              <w:t>When a user inadvertently enters a unit ID that is longer than seven characters for a Codabar unit, or 13 characters for an ISBT 128 unit, VBECS accepts the entry but will not associate it with the scanned unit ID.</w:t>
            </w:r>
            <w:r w:rsidRPr="0000455C">
              <w:rPr>
                <w:vanish/>
              </w:rPr>
              <w:t xml:space="preserve"> DR 2,671</w:t>
            </w:r>
          </w:p>
        </w:tc>
      </w:tr>
      <w:tr w:rsidR="002F3BCC"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2F3BCC" w:rsidRDefault="002F3BCC" w:rsidP="002F3BCC">
            <w:pPr>
              <w:pStyle w:val="TableText"/>
            </w:pPr>
            <w:r>
              <w:t>The display of Special Testing for a unit is limited to 253 characters in Incoming Shipment. All of the special testing is saved in VBECS and is available on reports.</w:t>
            </w:r>
            <w:r w:rsidRPr="002F3BCC">
              <w:rPr>
                <w:vanish/>
              </w:rPr>
              <w:t xml:space="preserve"> DR 3781</w:t>
            </w:r>
          </w:p>
        </w:tc>
      </w:tr>
      <w:tr w:rsidR="004D0C24"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4D0C24" w:rsidRPr="004D0C24" w:rsidRDefault="004D0C24" w:rsidP="002D126B">
            <w:pPr>
              <w:pStyle w:val="TableText"/>
            </w:pPr>
            <w:r>
              <w:t xml:space="preserve">The display label that is built when logging a blood product into VBECS does not change from volunteer donor to autologous when the donation type is changed. </w:t>
            </w:r>
            <w:r>
              <w:rPr>
                <w:vanish/>
              </w:rPr>
              <w:t>DR 3041</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rsidRPr="009212B0">
              <w:t>When blood products intended for quarantine are scanned, VBECS does not automatically quarantine them: the user must do so.</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9212B0" w:rsidRDefault="003F0440" w:rsidP="002D126B">
            <w:pPr>
              <w:pStyle w:val="TableText"/>
            </w:pPr>
            <w:r w:rsidRPr="00E032D7">
              <w:t xml:space="preserve">VBECS </w:t>
            </w:r>
            <w:r>
              <w:t xml:space="preserve">does not accept scanned information for some modified ISBT 128 </w:t>
            </w:r>
            <w:r w:rsidRPr="00E032D7">
              <w:t>blood units</w:t>
            </w:r>
            <w:r>
              <w:t>. VBECS accepts entered information in these instances.</w:t>
            </w:r>
            <w:r w:rsidRPr="00E032D7">
              <w:rPr>
                <w:vanish/>
              </w:rPr>
              <w:t>UserDoc Task 1085, based on CR 1594 (deferred)</w:t>
            </w:r>
            <w:r w:rsidRPr="006805FF">
              <w:rPr>
                <w:vanish/>
              </w:rPr>
              <w:t xml:space="preserve"> UserDoc Task 1091, based on DR 1922</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rsidRPr="009212B0">
              <w:t xml:space="preserve">The user may not scan labels for </w:t>
            </w:r>
            <w:r>
              <w:t>para-Bombay or B</w:t>
            </w:r>
            <w:r w:rsidRPr="009212B0">
              <w:t>ombay ISBT units.</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rsidRPr="009212B0">
              <w:t>VBECS does not check whether blood products with the same unit ID and different product codes are the same blood type.</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rsidRPr="009212B0">
              <w:t>A site may receive duplicate unit IDs. VBECS cannot ensure that these IDs represent products from the same donor.</w:t>
            </w:r>
          </w:p>
        </w:tc>
      </w:tr>
      <w:tr w:rsidR="00DE7D08"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DE7D08" w:rsidRPr="009212B0" w:rsidRDefault="00DE7D08" w:rsidP="00DE7D08">
            <w:pPr>
              <w:pStyle w:val="TableText"/>
            </w:pPr>
            <w:r>
              <w:t>VBECS reads Codabar prefixes and translates them into digits. When this results in identical Codabar unit IDs, keep the original unit and return the other unit to the supplier.</w:t>
            </w:r>
            <w:r w:rsidRPr="00DE7D08">
              <w:rPr>
                <w:vanish/>
              </w:rPr>
              <w:t xml:space="preserve"> DR 2,540</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t>When a user scans a p</w:t>
            </w:r>
            <w:r w:rsidRPr="00452BA4">
              <w:t xml:space="preserve">roduct </w:t>
            </w:r>
            <w:r>
              <w:t>c</w:t>
            </w:r>
            <w:r w:rsidRPr="00452BA4">
              <w:t xml:space="preserve">ode </w:t>
            </w:r>
            <w:r>
              <w:t>or</w:t>
            </w:r>
            <w:r w:rsidRPr="00452BA4">
              <w:t xml:space="preserve"> </w:t>
            </w:r>
            <w:r>
              <w:t>e</w:t>
            </w:r>
            <w:r w:rsidRPr="00452BA4">
              <w:t xml:space="preserve">xpiration </w:t>
            </w:r>
            <w:r>
              <w:t>d</w:t>
            </w:r>
            <w:r w:rsidRPr="00452BA4">
              <w:t>ate barcode in the Unit ID field</w:t>
            </w:r>
            <w:r>
              <w:t>, VBECS does not display the entered information or an</w:t>
            </w:r>
            <w:r w:rsidRPr="00452BA4">
              <w:t xml:space="preserve"> error icon. </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rsidRPr="00DC22C9">
              <w:t xml:space="preserve">When </w:t>
            </w:r>
            <w:r>
              <w:t>a user scans an ISBT product ID with “0” as the donation type (sixth character), VBECS indicates that the donation type is not specified. When the user selects a donation type from</w:t>
            </w:r>
            <w:r w:rsidRPr="00DC22C9">
              <w:t xml:space="preserve"> the </w:t>
            </w:r>
            <w:r w:rsidR="005131BC">
              <w:t>drop-down</w:t>
            </w:r>
            <w:r w:rsidRPr="00DC22C9">
              <w:t xml:space="preserve"> </w:t>
            </w:r>
            <w:r>
              <w:t xml:space="preserve">menu, VBECS replaces “0” with a recognizable </w:t>
            </w:r>
            <w:r w:rsidRPr="00DC22C9">
              <w:t>character in the product code text box and store</w:t>
            </w:r>
            <w:r>
              <w:t>s it as such</w:t>
            </w:r>
            <w:r w:rsidRPr="00DC22C9">
              <w:t xml:space="preserve">. </w:t>
            </w:r>
            <w:r>
              <w:t xml:space="preserve">When the user rescans the product ID, he must </w:t>
            </w:r>
            <w:r w:rsidRPr="00DC22C9">
              <w:t xml:space="preserve">manually </w:t>
            </w:r>
            <w:r>
              <w:t>replace</w:t>
            </w:r>
            <w:r w:rsidRPr="00DC22C9">
              <w:t xml:space="preserve"> </w:t>
            </w:r>
            <w:r>
              <w:t>“0” or search using the unit ID alone, or the unit ID and the first five characters of the product ID</w:t>
            </w:r>
            <w:r w:rsidRPr="00DC22C9">
              <w:t>.</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DC22C9" w:rsidRDefault="003F0440" w:rsidP="002D126B">
            <w:pPr>
              <w:pStyle w:val="TableText"/>
            </w:pPr>
            <w:r>
              <w:t>Blood product code entries in the blood product table include those from ICCBBA for ISBT 128 and from the AABB Codabar table. Product codes created after the release of VBECS cannot be entered until the updated tables are incorporated through patches to VBECS. Refuse acceptance of the unit, if possible.</w:t>
            </w:r>
            <w:r w:rsidR="003D71A3">
              <w:t xml:space="preserve"> </w:t>
            </w:r>
            <w:r>
              <w:t>U</w:t>
            </w:r>
            <w:r w:rsidRPr="009212B0">
              <w:t>ser</w:t>
            </w:r>
            <w:r>
              <w:t>s</w:t>
            </w:r>
            <w:r w:rsidRPr="009212B0">
              <w:t xml:space="preserve"> may not </w:t>
            </w:r>
            <w:r>
              <w:t>edit the blood product table.</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rsidR="003F0440" w:rsidRPr="002F6D2F" w:rsidRDefault="003F0440" w:rsidP="002D126B">
            <w:pPr>
              <w:pStyle w:val="TableText"/>
            </w:pPr>
            <w:r>
              <w:t>ISBT 128 tables include blood product codes labeled as not for manufacturing or transfusion. VBECS does not restrict such products from being entered, issued, or transferred (l</w:t>
            </w:r>
            <w:r w:rsidR="00AA54D2">
              <w:t>ocal policy controls their use) and</w:t>
            </w:r>
            <w:r>
              <w:t xml:space="preserve"> does not accommodate blood modification for these products.</w:t>
            </w:r>
          </w:p>
        </w:tc>
      </w:tr>
    </w:tbl>
    <w:p w:rsidR="00BF2429" w:rsidRDefault="00BF2429" w:rsidP="00BF2429">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534C65" w:rsidRDefault="003F0440" w:rsidP="002D126B">
            <w:pPr>
              <w:pStyle w:val="TableText"/>
              <w:rPr>
                <w:b/>
              </w:rPr>
            </w:pPr>
            <w:r>
              <w:rPr>
                <w:b/>
              </w:rPr>
              <w:t>Invalidate Test Results</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rsidR="003F0440" w:rsidRPr="00A610E7" w:rsidRDefault="003F0440" w:rsidP="002D126B">
            <w:pPr>
              <w:pStyle w:val="TableText"/>
            </w:pPr>
            <w:r>
              <w:t>A user may not inactivate a component task in this option.</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rsidR="003F0440" w:rsidRPr="00A610E7" w:rsidRDefault="003F0440" w:rsidP="002D126B">
            <w:pPr>
              <w:pStyle w:val="TableText"/>
            </w:pPr>
            <w:r>
              <w:t>This option does not release units from patient assignment. The user must release “assigned” units before invalidating the test results.</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rsidR="003F0440" w:rsidRPr="00A610E7" w:rsidRDefault="003F0440" w:rsidP="002D126B">
            <w:pPr>
              <w:pStyle w:val="TableText"/>
            </w:pPr>
            <w:r>
              <w:t>T</w:t>
            </w:r>
            <w:r w:rsidRPr="001B2013">
              <w:t xml:space="preserve">o </w:t>
            </w:r>
            <w:r>
              <w:t>maintain</w:t>
            </w:r>
            <w:r w:rsidRPr="001B2013">
              <w:t xml:space="preserve"> a clear record</w:t>
            </w:r>
            <w:r>
              <w:t xml:space="preserve"> and system checks, the user must invalidate both original and repeat ABO/Rh tests</w:t>
            </w:r>
            <w:r w:rsidRPr="001B2013">
              <w:t xml:space="preserve">. </w:t>
            </w:r>
          </w:p>
        </w:tc>
      </w:tr>
      <w:tr w:rsidR="00C4014D" w:rsidRPr="00725902">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rsidR="00C4014D" w:rsidRDefault="007B38A2" w:rsidP="002D126B">
            <w:pPr>
              <w:pStyle w:val="TableText"/>
            </w:pPr>
            <w:r>
              <w:lastRenderedPageBreak/>
              <w:t>Do not invalidate part of the configured test. Doing this will put the specimen into a state where it cannot be processed; invalidate all tests configured as part of the TAS regardless of which sub test (ABO/Rh, ABS or DAT) is the problem</w:t>
            </w:r>
            <w:r w:rsidR="00C4014D">
              <w:t xml:space="preserve">. </w:t>
            </w:r>
            <w:r w:rsidR="00C4014D" w:rsidRPr="00C4014D">
              <w:rPr>
                <w:vanish/>
              </w:rPr>
              <w:t>DR 4854</w:t>
            </w:r>
          </w:p>
        </w:tc>
      </w:tr>
    </w:tbl>
    <w:p w:rsidR="00BF2429" w:rsidRDefault="00BF2429" w:rsidP="00BF2429">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534C65" w:rsidRDefault="003F0440" w:rsidP="002D126B">
            <w:pPr>
              <w:pStyle w:val="TableText"/>
              <w:rPr>
                <w:b/>
              </w:rPr>
            </w:pPr>
            <w:r w:rsidRPr="00534C65">
              <w:rPr>
                <w:b/>
              </w:rPr>
              <w:t>Issue Blood Components</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t xml:space="preserve">VBECS does not check </w:t>
            </w:r>
            <w:r w:rsidRPr="00F26B72">
              <w:t xml:space="preserve">for </w:t>
            </w:r>
            <w:r>
              <w:t>restricted</w:t>
            </w:r>
            <w:r w:rsidRPr="00F26B72">
              <w:t xml:space="preserve"> units </w:t>
            </w:r>
            <w:r>
              <w:t>(not</w:t>
            </w:r>
            <w:r w:rsidRPr="00F26B72">
              <w:t xml:space="preserve"> assigned to the patient</w:t>
            </w:r>
            <w:r>
              <w:t>)</w:t>
            </w:r>
            <w:r w:rsidRPr="00F26B72">
              <w:t xml:space="preserve"> received </w:t>
            </w:r>
            <w:r>
              <w:t>between selection and issue.</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t xml:space="preserve">All issue-to locations must be valid entries in the </w:t>
            </w:r>
            <w:r w:rsidRPr="00CA0045">
              <w:rPr>
                <w:bCs/>
              </w:rPr>
              <w:t>VistA</w:t>
            </w:r>
            <w:r>
              <w:t xml:space="preserve"> hospital location file, including home transfusion. </w:t>
            </w:r>
          </w:p>
        </w:tc>
      </w:tr>
      <w:tr w:rsidR="0066693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666930" w:rsidRDefault="00666930" w:rsidP="002D126B">
            <w:pPr>
              <w:pStyle w:val="TableText"/>
            </w:pPr>
            <w:r>
              <w:t xml:space="preserve">If VistA link is not available, the user may proceed with the issue process but the current issue-to hospital location is not recorded. All of the associated report records display “VistALink Down” in the Issue To location field. </w:t>
            </w:r>
            <w:r w:rsidRPr="00666930">
              <w:rPr>
                <w:vanish/>
              </w:rPr>
              <w:t>DR 5073</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rsidR="003F0440" w:rsidRPr="002F6D2F" w:rsidRDefault="003F0440" w:rsidP="002D126B">
            <w:pPr>
              <w:pStyle w:val="TableText"/>
            </w:pPr>
            <w:r>
              <w:t>ISBT 128 tables include blood product codes labeled as not for manufacturing or transfusion. VBECS does not restrict such products from being entered, issued, or transferred (local policy controls their use), but does not accommodate blood modification for these products.</w:t>
            </w:r>
          </w:p>
        </w:tc>
      </w:tr>
      <w:tr w:rsidR="007E1B6B" w:rsidRPr="00725902">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rsidR="007E1B6B" w:rsidRDefault="007E1B6B" w:rsidP="002D126B">
            <w:pPr>
              <w:pStyle w:val="TableText"/>
            </w:pPr>
            <w:r>
              <w:t>W</w:t>
            </w:r>
            <w:r w:rsidRPr="007E1B6B">
              <w:t xml:space="preserve">hen a site has configured </w:t>
            </w:r>
            <w:r w:rsidR="00E57947" w:rsidRPr="007E1B6B">
              <w:t>subservient</w:t>
            </w:r>
            <w:r w:rsidRPr="007E1B6B">
              <w:t xml:space="preserve"> VistA ins</w:t>
            </w:r>
            <w:r>
              <w:t xml:space="preserve">titutions to the VBECS division, users </w:t>
            </w:r>
            <w:r w:rsidRPr="007E1B6B">
              <w:t xml:space="preserve">can only issue </w:t>
            </w:r>
            <w:r>
              <w:t xml:space="preserve">units </w:t>
            </w:r>
            <w:r w:rsidRPr="007E1B6B">
              <w:t xml:space="preserve">to locations in the primary VistA. Sites may add locations to VistA to account for the relocations to the </w:t>
            </w:r>
            <w:r w:rsidR="00E57947" w:rsidRPr="007E1B6B">
              <w:t>subservient</w:t>
            </w:r>
            <w:r w:rsidRPr="007E1B6B">
              <w:t xml:space="preserve"> VistA institutions</w:t>
            </w:r>
            <w:r w:rsidR="00432F57">
              <w:t>.</w:t>
            </w:r>
          </w:p>
        </w:tc>
      </w:tr>
      <w:tr w:rsidR="00432F57" w:rsidRPr="00725902">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rsidR="00432F57" w:rsidRDefault="00432F57" w:rsidP="002D126B">
            <w:pPr>
              <w:pStyle w:val="TableText"/>
            </w:pPr>
            <w:r>
              <w:t xml:space="preserve">BCE information </w:t>
            </w:r>
            <w:r w:rsidRPr="00C01E45">
              <w:t>applies ONLY when a BCE COTS product is available for communication and is configured.</w:t>
            </w:r>
          </w:p>
        </w:tc>
      </w:tr>
      <w:tr w:rsidR="00432F57" w:rsidRPr="00725902">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rsidR="00432F57" w:rsidRDefault="00432F57" w:rsidP="002D126B">
            <w:pPr>
              <w:pStyle w:val="TableText"/>
            </w:pPr>
            <w:r>
              <w:t xml:space="preserve">Changing a </w:t>
            </w:r>
            <w:r w:rsidRPr="00633316">
              <w:t>patient's</w:t>
            </w:r>
            <w:r>
              <w:t xml:space="preserve"> transfusion requirements</w:t>
            </w:r>
            <w:r w:rsidRPr="00633316">
              <w:t xml:space="preserve"> </w:t>
            </w:r>
            <w:r>
              <w:t xml:space="preserve">(component requirements, </w:t>
            </w:r>
            <w:r w:rsidRPr="00633316">
              <w:t>antigen negative requirement or antibody identified</w:t>
            </w:r>
            <w:r>
              <w:t>)</w:t>
            </w:r>
            <w:r w:rsidRPr="00633316">
              <w:t xml:space="preserve"> after a unit is crossmatched does not provide an alert at Issue Unit regarding the type of crossmatch </w:t>
            </w:r>
            <w:r>
              <w:t xml:space="preserve">(electronic or serologic) </w:t>
            </w:r>
            <w:r w:rsidRPr="00633316">
              <w:t xml:space="preserve">performed on </w:t>
            </w:r>
            <w:r>
              <w:t xml:space="preserve">a </w:t>
            </w:r>
            <w:r w:rsidRPr="00633316">
              <w:t>unit</w:t>
            </w:r>
            <w:r>
              <w:t xml:space="preserve"> available for issue</w:t>
            </w:r>
            <w:r w:rsidRPr="00633316">
              <w:t>.</w:t>
            </w:r>
          </w:p>
        </w:tc>
      </w:tr>
    </w:tbl>
    <w:p w:rsidR="00BF2429" w:rsidRDefault="00BF2429" w:rsidP="00BF2429">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534C65" w:rsidRDefault="003F0440" w:rsidP="002D126B">
            <w:pPr>
              <w:pStyle w:val="TableText"/>
              <w:rPr>
                <w:b/>
              </w:rPr>
            </w:pPr>
            <w:r w:rsidRPr="00534C65">
              <w:rPr>
                <w:b/>
              </w:rPr>
              <w:t>Justify ABO/Rh Change</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t>VBECS does not allow the selection or issue of certain blood components that may appear ABO/Rh compatible when discrepant ABO/Rh results are not justified.</w:t>
            </w:r>
          </w:p>
        </w:tc>
      </w:tr>
    </w:tbl>
    <w:p w:rsidR="0045199A" w:rsidRDefault="0045199A"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34C65">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534C65" w:rsidRDefault="0045199A" w:rsidP="002D126B">
            <w:pPr>
              <w:pStyle w:val="TableText"/>
              <w:rPr>
                <w:b/>
              </w:rPr>
            </w:pPr>
            <w:r>
              <w:br w:type="page"/>
            </w:r>
            <w:r w:rsidR="003F0440" w:rsidRPr="00534C65">
              <w:rPr>
                <w:b/>
              </w:rPr>
              <w:t>Local Facilities</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Default="003F0440" w:rsidP="002D126B">
            <w:pPr>
              <w:pStyle w:val="TableText"/>
            </w:pPr>
            <w:r>
              <w:t>A user may:</w:t>
            </w:r>
          </w:p>
          <w:p w:rsidR="003F0440" w:rsidRPr="00DA2271" w:rsidRDefault="003F0440" w:rsidP="00DA2271">
            <w:pPr>
              <w:pStyle w:val="TableTextBullet"/>
              <w:tabs>
                <w:tab w:val="clear" w:pos="288"/>
              </w:tabs>
            </w:pPr>
            <w:r w:rsidRPr="00DA2271">
              <w:t>Activate and edit collection facility records distributed with VBECS.</w:t>
            </w:r>
          </w:p>
          <w:p w:rsidR="003F0440" w:rsidRPr="00DA2271" w:rsidRDefault="003F0440" w:rsidP="00DA2271">
            <w:pPr>
              <w:pStyle w:val="TableTextBullet"/>
              <w:tabs>
                <w:tab w:val="clear" w:pos="288"/>
              </w:tabs>
            </w:pPr>
            <w:r w:rsidRPr="00DA2271">
              <w:t>Add and locally edit active collection facilities.</w:t>
            </w:r>
          </w:p>
          <w:p w:rsidR="00A65139" w:rsidRPr="00DA2271" w:rsidRDefault="003F0440" w:rsidP="00DA2271">
            <w:pPr>
              <w:pStyle w:val="TableTextBullet"/>
              <w:tabs>
                <w:tab w:val="clear" w:pos="288"/>
              </w:tabs>
            </w:pPr>
            <w:r w:rsidRPr="00DA2271">
              <w:t xml:space="preserve">Activate and/or deactivate local collection facilities. </w:t>
            </w:r>
          </w:p>
          <w:p w:rsidR="00A65139" w:rsidRPr="00B157B4" w:rsidRDefault="00A65139" w:rsidP="00DA2271">
            <w:pPr>
              <w:pStyle w:val="TableTextBullet"/>
              <w:tabs>
                <w:tab w:val="clear" w:pos="288"/>
              </w:tabs>
            </w:pPr>
            <w:r w:rsidRPr="00DA2271">
              <w:t>Edit a division</w:t>
            </w:r>
            <w:r>
              <w:t xml:space="preserve"> name, which may result in a mismatch between VistA and VBECS division names. </w:t>
            </w:r>
            <w:r w:rsidRPr="00A65139">
              <w:rPr>
                <w:vanish/>
              </w:rPr>
              <w:t>(DR 2,113)</w:t>
            </w:r>
          </w:p>
          <w:p w:rsidR="00B157B4" w:rsidRPr="00725902" w:rsidRDefault="00B157B4" w:rsidP="00AE19A0">
            <w:pPr>
              <w:pStyle w:val="TableTextBullet"/>
              <w:tabs>
                <w:tab w:val="clear" w:pos="288"/>
              </w:tabs>
            </w:pPr>
            <w:r w:rsidRPr="005705B4">
              <w:t>The Local Facility Address maximum length is 45 characters</w:t>
            </w:r>
            <w:r w:rsidR="00AE19A0">
              <w:t xml:space="preserve"> including spaces</w:t>
            </w:r>
            <w:r w:rsidRPr="005705B4">
              <w:t xml:space="preserve"> to allow the address to display on VBECS repo</w:t>
            </w:r>
            <w:r>
              <w:t xml:space="preserve">rts. The third line of the facility address is not displayed on VBECS reports. </w:t>
            </w:r>
            <w:r w:rsidRPr="00B157B4">
              <w:rPr>
                <w:vanish/>
              </w:rPr>
              <w:t>DR 4980</w:t>
            </w:r>
          </w:p>
        </w:tc>
      </w:tr>
    </w:tbl>
    <w:p w:rsidR="00220D0D" w:rsidRDefault="00220D0D"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3657B4">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3657B4" w:rsidRDefault="003F0440" w:rsidP="002D126B">
            <w:pPr>
              <w:pStyle w:val="TableText"/>
              <w:rPr>
                <w:b/>
              </w:rPr>
            </w:pPr>
            <w:r w:rsidRPr="003657B4">
              <w:rPr>
                <w:b/>
              </w:rPr>
              <w:t>Log In Reagents, Update Inventory, View/Print Inventory, Maintain Minimum Levels</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3657B4" w:rsidRDefault="003F0440" w:rsidP="002D126B">
            <w:pPr>
              <w:pStyle w:val="TableText"/>
            </w:pPr>
            <w:r>
              <w:t>VBECS does not display a reagent report by invoice number.</w:t>
            </w:r>
            <w:r w:rsidRPr="00F759ED">
              <w:rPr>
                <w:vanish/>
              </w:rPr>
              <w:t xml:space="preserve"> (UserDoc Task 1083)</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3657B4" w:rsidRDefault="003F0440" w:rsidP="002D126B">
            <w:pPr>
              <w:pStyle w:val="TableText"/>
            </w:pPr>
            <w:r>
              <w:t>The unsatisfactory portion of a shipment must be recorded individually.</w:t>
            </w:r>
          </w:p>
        </w:tc>
      </w:tr>
      <w:tr w:rsidR="00BE53DD"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BE53DD" w:rsidRDefault="00BE53DD" w:rsidP="002D126B">
            <w:pPr>
              <w:pStyle w:val="TableText"/>
            </w:pPr>
            <w:r>
              <w:t xml:space="preserve">There is no retrospective data entry </w:t>
            </w:r>
            <w:r w:rsidR="005C7504">
              <w:t xml:space="preserve">or user selection for </w:t>
            </w:r>
            <w:r w:rsidR="0061702F">
              <w:t>these options</w:t>
            </w:r>
            <w:r>
              <w:t>.</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3657B4" w:rsidRDefault="003F0440" w:rsidP="002D126B">
            <w:pPr>
              <w:pStyle w:val="TableText"/>
            </w:pPr>
            <w:r>
              <w:t xml:space="preserve">Each site must set a standard for recording quantity: it may use the number of cases or the number of units within the cases. </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Default="003F0440" w:rsidP="002D126B">
            <w:pPr>
              <w:pStyle w:val="TableText"/>
              <w:rPr>
                <w:vanish/>
              </w:rPr>
            </w:pPr>
            <w:r>
              <w:t xml:space="preserve">When a user enters a lot number in the Lot # field and clicks the </w:t>
            </w:r>
            <w:r>
              <w:rPr>
                <w:b/>
              </w:rPr>
              <w:t>magnifying glass</w:t>
            </w:r>
            <w:r>
              <w:t>, VBECS displays only the first instance of a duplicate lot number.</w:t>
            </w:r>
          </w:p>
        </w:tc>
      </w:tr>
    </w:tbl>
    <w:p w:rsidR="00ED3C7A" w:rsidRDefault="00ED3C7A" w:rsidP="00220D0D">
      <w:pPr>
        <w:pStyle w:val="TableText"/>
      </w:pPr>
    </w:p>
    <w:p w:rsidR="00220D0D" w:rsidRDefault="00ED3C7A" w:rsidP="00220D0D">
      <w:pPr>
        <w:pStyle w:val="TableText"/>
      </w:pPr>
      <w:r>
        <w:br w:type="page"/>
      </w: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534C65" w:rsidRDefault="003F0440" w:rsidP="002D126B">
            <w:pPr>
              <w:pStyle w:val="TableText"/>
              <w:rPr>
                <w:b/>
              </w:rPr>
            </w:pPr>
            <w:r w:rsidRPr="00534C65">
              <w:rPr>
                <w:b/>
              </w:rPr>
              <w:lastRenderedPageBreak/>
              <w:t>Log Into VBECS and VistA</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t>VBECS automatically logs a</w:t>
            </w:r>
            <w:r w:rsidRPr="00BF7321">
              <w:t xml:space="preserve"> </w:t>
            </w:r>
            <w:r>
              <w:rPr>
                <w:vanish/>
              </w:rPr>
              <w:t xml:space="preserve">BR_18.05 </w:t>
            </w:r>
            <w:r>
              <w:t>user with access to only one division into that division.</w:t>
            </w:r>
          </w:p>
        </w:tc>
      </w:tr>
    </w:tbl>
    <w:p w:rsidR="00220D0D" w:rsidRDefault="00220D0D"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7951E4" w:rsidRDefault="003F0440" w:rsidP="002D126B">
            <w:pPr>
              <w:pStyle w:val="TableText"/>
              <w:rPr>
                <w:b/>
              </w:rPr>
            </w:pPr>
            <w:r w:rsidRPr="007951E4">
              <w:rPr>
                <w:b/>
              </w:rPr>
              <w:t>Maintain Specimen</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t xml:space="preserve">When a search by UID causes VBECS to time out, repeat the search by UID and patient name or by patient name only. </w:t>
            </w:r>
            <w:r w:rsidRPr="009303DE">
              <w:rPr>
                <w:vanish/>
              </w:rPr>
              <w:t>(UserDoc Tasks 1089 and 1090)</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t>Specimen recollection requests must be made offline.</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t>Designating a specimen as “unacceptable” after accepting a CPRS order closes that order and requires a new CPRS order and sample.</w:t>
            </w:r>
          </w:p>
        </w:tc>
      </w:tr>
    </w:tbl>
    <w:p w:rsidR="00220D0D" w:rsidRDefault="00220D0D"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7951E4" w:rsidRDefault="003F0440" w:rsidP="002D126B">
            <w:pPr>
              <w:pStyle w:val="TableText"/>
              <w:rPr>
                <w:b/>
              </w:rPr>
            </w:pPr>
            <w:r w:rsidRPr="007951E4">
              <w:rPr>
                <w:b/>
              </w:rPr>
              <w:t>Modify Units</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t>VBECS allows modification of units only in limited, assigned, crossmatched, and available statuses.</w:t>
            </w:r>
          </w:p>
        </w:tc>
      </w:tr>
      <w:tr w:rsidR="00E57D56"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E57D56" w:rsidRDefault="00E57D56" w:rsidP="00E57D56">
            <w:pPr>
              <w:pStyle w:val="TableText"/>
            </w:pPr>
            <w:r>
              <w:t xml:space="preserve">VBECS presents the conservative expiration date for target units. VBECS does not know the specific collection details.  It is the </w:t>
            </w:r>
            <w:r w:rsidR="004E2AB6">
              <w:t>responsibility</w:t>
            </w:r>
            <w:r>
              <w:t xml:space="preserve"> of each user to accurately enter and process any one blood unit based on its expiration date/time as labeled by the collection facility.</w:t>
            </w:r>
            <w:r w:rsidRPr="00E57D56">
              <w:t xml:space="preserve"> </w:t>
            </w:r>
            <w:r w:rsidRPr="00E57D56">
              <w:rPr>
                <w:vanish/>
              </w:rPr>
              <w:t>Task 1324</w:t>
            </w:r>
          </w:p>
        </w:tc>
      </w:tr>
    </w:tbl>
    <w:p w:rsidR="00D139EE" w:rsidRDefault="00D139EE"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7951E4" w:rsidRDefault="003F0440" w:rsidP="002D126B">
            <w:pPr>
              <w:pStyle w:val="TableText"/>
              <w:rPr>
                <w:b/>
              </w:rPr>
            </w:pPr>
            <w:r w:rsidRPr="007951E4">
              <w:rPr>
                <w:b/>
              </w:rPr>
              <w:t>Modify Units: Pool Units</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t>VBECS allows modification of units only in limited, assigned, crossmatched, and available statuses.</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Default="006F51AC" w:rsidP="002D126B">
            <w:pPr>
              <w:pStyle w:val="TableText"/>
            </w:pPr>
            <w:r w:rsidRPr="00D47D4A">
              <w:t>When a</w:t>
            </w:r>
            <w:r>
              <w:t xml:space="preserve"> user adds a</w:t>
            </w:r>
            <w:r w:rsidRPr="00D47D4A">
              <w:t xml:space="preserve"> biohazardous unit to a pool, </w:t>
            </w:r>
            <w:r>
              <w:t xml:space="preserve">VBECS does not designate the </w:t>
            </w:r>
            <w:r w:rsidRPr="00D47D4A">
              <w:t xml:space="preserve">pool </w:t>
            </w:r>
            <w:r>
              <w:t>as</w:t>
            </w:r>
            <w:r w:rsidRPr="00D47D4A">
              <w:t xml:space="preserve"> biohazardous</w:t>
            </w:r>
            <w:r>
              <w:t xml:space="preserve"> on the Blood Transfusion Record Form (BTRF) or Caution Tag</w:t>
            </w:r>
            <w:r w:rsidRPr="00D47D4A">
              <w:t>.</w:t>
            </w:r>
          </w:p>
        </w:tc>
      </w:tr>
    </w:tbl>
    <w:p w:rsidR="00220D0D" w:rsidRDefault="00220D0D"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A76671" w:rsidRDefault="003F0440" w:rsidP="002D126B">
            <w:pPr>
              <w:pStyle w:val="TableText"/>
              <w:rPr>
                <w:b/>
              </w:rPr>
            </w:pPr>
            <w:r w:rsidRPr="00A76671">
              <w:rPr>
                <w:b/>
              </w:rPr>
              <w:t>Modify Units: Split a Unit</w:t>
            </w:r>
          </w:p>
        </w:tc>
      </w:tr>
      <w:tr w:rsidR="003F0440" w:rsidRPr="00725902">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4248F5">
            <w:pPr>
              <w:pStyle w:val="TableText"/>
            </w:pPr>
            <w:r w:rsidRPr="004248F5">
              <w:rPr>
                <w:vanish/>
              </w:rPr>
              <w:t xml:space="preserve">BR_25.21 </w:t>
            </w:r>
            <w:r w:rsidR="004248F5">
              <w:t>A unit previously split in VBECS cannot be split again. A unit pooled in VBECS may not be split.</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t xml:space="preserve">This option appends alphabetical characters to the Codabar unit ID of split units created from original units. This prevents scanning the unit ID barcode with the split indicator. </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t xml:space="preserve">By ISBT 128 convention, split units created from an ISBT 128 original unit will have identical unit ID and five-digit product codes. </w:t>
            </w:r>
          </w:p>
        </w:tc>
      </w:tr>
    </w:tbl>
    <w:p w:rsidR="00DD7CAF" w:rsidRDefault="00DD7CAF"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4372A3">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4372A3" w:rsidRDefault="003F0440" w:rsidP="002D126B">
            <w:pPr>
              <w:pStyle w:val="TableText"/>
              <w:rPr>
                <w:b/>
              </w:rPr>
            </w:pPr>
            <w:r w:rsidRPr="004372A3">
              <w:rPr>
                <w:b/>
              </w:rPr>
              <w:t>Order Alerts</w:t>
            </w:r>
          </w:p>
        </w:tc>
      </w:tr>
      <w:tr w:rsidR="00BB0EAB"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BB0EAB" w:rsidRDefault="00BB0EAB" w:rsidP="002D126B">
            <w:pPr>
              <w:pStyle w:val="TableText"/>
            </w:pPr>
            <w:r>
              <w:t>This is an alert only and contains limited information from the CPRS order.</w:t>
            </w:r>
            <w:r w:rsidR="00D53DC3">
              <w:t xml:space="preserve"> </w:t>
            </w:r>
            <w:r w:rsidR="00D53DC3" w:rsidRPr="00D53DC3">
              <w:rPr>
                <w:vanish/>
              </w:rPr>
              <w:t>Defect 368207</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t>This option does not create a mechanism to accept or reject orders or specimens or define reports for viewing orders.</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t>The user may select the option to display printer alerts only when the designated printer is configured and available.</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t>The printer</w:t>
            </w:r>
            <w:r w:rsidRPr="006C2ED3">
              <w:t xml:space="preserve"> </w:t>
            </w:r>
            <w:r>
              <w:t>must be configured by the System Administrator.</w:t>
            </w:r>
          </w:p>
        </w:tc>
      </w:tr>
      <w:tr w:rsidR="00F07DC8"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F07DC8" w:rsidRDefault="00F07DC8" w:rsidP="002D126B">
            <w:pPr>
              <w:pStyle w:val="TableText"/>
            </w:pPr>
            <w:r w:rsidRPr="00F07DC8">
              <w:t>Order Alerts for Component Orders do not contain information abou</w:t>
            </w:r>
            <w:r>
              <w:t>t urgency of the order. S</w:t>
            </w:r>
            <w:r w:rsidRPr="00F07DC8">
              <w:t xml:space="preserve">ee </w:t>
            </w:r>
            <w:r>
              <w:t xml:space="preserve">the </w:t>
            </w:r>
            <w:r w:rsidRPr="00F07DC8">
              <w:t>Pending</w:t>
            </w:r>
            <w:r>
              <w:t xml:space="preserve"> Order List (POL) to check the u</w:t>
            </w:r>
            <w:r w:rsidRPr="00F07DC8">
              <w:t xml:space="preserve">rgency of </w:t>
            </w:r>
            <w:r>
              <w:t>an</w:t>
            </w:r>
            <w:r w:rsidRPr="00F07DC8">
              <w:t xml:space="preserve"> order.</w:t>
            </w:r>
          </w:p>
        </w:tc>
      </w:tr>
    </w:tbl>
    <w:p w:rsidR="00BA0F42" w:rsidRDefault="00BA0F42" w:rsidP="006272C5">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A76671" w:rsidRDefault="003F0440" w:rsidP="002D126B">
            <w:pPr>
              <w:pStyle w:val="TableText"/>
              <w:rPr>
                <w:b/>
              </w:rPr>
            </w:pPr>
            <w:r w:rsidRPr="00A76671">
              <w:rPr>
                <w:b/>
              </w:rPr>
              <w:t>Order Reflex Tests</w:t>
            </w:r>
          </w:p>
        </w:tc>
      </w:tr>
      <w:tr w:rsidR="003F0440" w:rsidRPr="00725902">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rsidRPr="009C34E7">
              <w:rPr>
                <w:rFonts w:cs="Arial"/>
                <w:vanish/>
              </w:rPr>
              <w:t>BR_45.10</w:t>
            </w:r>
            <w:r>
              <w:rPr>
                <w:rFonts w:cs="Arial"/>
                <w:vanish/>
              </w:rPr>
              <w:t xml:space="preserve"> </w:t>
            </w:r>
            <w:r>
              <w:t>A crossmatch (XM) and a repeat XM cannot be ordered unless they are associated with a specimen with a future expiration date and a phlebotomist is associated with that specimen.</w:t>
            </w:r>
            <w:r>
              <w:rPr>
                <w:rFonts w:cs="Arial"/>
                <w:vanish/>
              </w:rPr>
              <w:t xml:space="preserve">BR_98.02 </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t>When a user selects weak D for the antigen typing test and the selected patient is Rh positive, VBECS warns that weak D testing cannot be performed. There is no override and VBECS does not add the test.</w:t>
            </w:r>
          </w:p>
        </w:tc>
      </w:tr>
    </w:tbl>
    <w:p w:rsidR="006272C5" w:rsidRDefault="006272C5" w:rsidP="006272C5">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3B3B3"/>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E4113">
        <w:trPr>
          <w:cantSplit/>
          <w:tblHeader/>
        </w:trPr>
        <w:tc>
          <w:tcPr>
            <w:tcW w:w="9360" w:type="dxa"/>
            <w:shd w:val="clear" w:color="auto" w:fill="B3B3B3"/>
            <w:vAlign w:val="bottom"/>
          </w:tcPr>
          <w:p w:rsidR="003F0440" w:rsidRPr="005E4113" w:rsidRDefault="003F0440" w:rsidP="002D126B">
            <w:pPr>
              <w:pStyle w:val="TableText"/>
              <w:rPr>
                <w:b/>
              </w:rPr>
            </w:pPr>
            <w:r>
              <w:rPr>
                <w:b/>
              </w:rPr>
              <w:t>Outgoing Shipment</w:t>
            </w:r>
          </w:p>
        </w:tc>
      </w:tr>
      <w:tr w:rsidR="003F0440" w:rsidRPr="00725902">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t>A user may edit only unconfirmed invoices.</w:t>
            </w:r>
          </w:p>
        </w:tc>
      </w:tr>
      <w:tr w:rsidR="003F0440" w:rsidRPr="00725902">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Default="003F0440" w:rsidP="002D126B">
            <w:pPr>
              <w:pStyle w:val="TableText"/>
            </w:pPr>
            <w:r>
              <w:t xml:space="preserve">The number of tests </w:t>
            </w:r>
            <w:r w:rsidRPr="007F1742">
              <w:t xml:space="preserve">displayed on </w:t>
            </w:r>
            <w:r>
              <w:t>an</w:t>
            </w:r>
            <w:r w:rsidRPr="007F1742">
              <w:t xml:space="preserve"> invoice is limited to 8</w:t>
            </w:r>
            <w:r>
              <w:t>,000 characters per unit.</w:t>
            </w:r>
          </w:p>
        </w:tc>
      </w:tr>
      <w:tr w:rsidR="003F0440" w:rsidRPr="00725902">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Default="003F0440" w:rsidP="002D126B">
            <w:pPr>
              <w:pStyle w:val="TableText"/>
            </w:pPr>
            <w:r>
              <w:t>When the user creates an invoice and cancels before saving it, VBECS excludes the invoice number from use.</w:t>
            </w:r>
          </w:p>
        </w:tc>
      </w:tr>
    </w:tbl>
    <w:p w:rsidR="00590248" w:rsidRDefault="00590248"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484"/>
        <w:gridCol w:w="5336"/>
        <w:gridCol w:w="3056"/>
        <w:gridCol w:w="484"/>
      </w:tblGrid>
      <w:tr w:rsidR="003F0440" w:rsidRPr="001E53C1">
        <w:trPr>
          <w:cantSplit/>
          <w:tblHeader/>
        </w:trPr>
        <w:tc>
          <w:tcPr>
            <w:tcW w:w="9360" w:type="dxa"/>
            <w:gridSpan w:val="4"/>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1E53C1" w:rsidRDefault="003F0440" w:rsidP="002D126B">
            <w:pPr>
              <w:pStyle w:val="TableText"/>
              <w:rPr>
                <w:b/>
              </w:rPr>
            </w:pPr>
            <w:r w:rsidRPr="001E53C1">
              <w:rPr>
                <w:b/>
              </w:rPr>
              <w:t>Patient History Report</w:t>
            </w:r>
          </w:p>
        </w:tc>
      </w:tr>
      <w:tr w:rsidR="003F0440" w:rsidRPr="00725902">
        <w:trPr>
          <w:cantSplit/>
        </w:trPr>
        <w:tc>
          <w:tcPr>
            <w:tcW w:w="9360" w:type="dxa"/>
            <w:gridSpan w:val="4"/>
            <w:tcBorders>
              <w:top w:val="single" w:sz="6" w:space="0" w:color="000000"/>
              <w:left w:val="single" w:sz="6" w:space="0" w:color="000000"/>
              <w:bottom w:val="single" w:sz="6" w:space="0" w:color="000000"/>
              <w:right w:val="single" w:sz="6" w:space="0" w:color="000000"/>
            </w:tcBorders>
            <w:vAlign w:val="bottom"/>
          </w:tcPr>
          <w:p w:rsidR="003F0440" w:rsidRDefault="003F0440" w:rsidP="002D126B">
            <w:pPr>
              <w:pStyle w:val="TableText"/>
            </w:pPr>
            <w:r>
              <w:t>When units are restricted for a patient during Incoming Shipment, VBECS does not display them on the Patient History Report.</w:t>
            </w:r>
          </w:p>
        </w:tc>
      </w:tr>
      <w:tr w:rsidR="00E07645" w:rsidRPr="00725902">
        <w:trPr>
          <w:cantSplit/>
        </w:trPr>
        <w:tc>
          <w:tcPr>
            <w:tcW w:w="9360" w:type="dxa"/>
            <w:gridSpan w:val="4"/>
            <w:tcBorders>
              <w:top w:val="single" w:sz="6" w:space="0" w:color="000000"/>
              <w:left w:val="single" w:sz="6" w:space="0" w:color="000000"/>
              <w:bottom w:val="nil"/>
              <w:right w:val="single" w:sz="6" w:space="0" w:color="000000"/>
            </w:tcBorders>
            <w:shd w:val="clear" w:color="auto" w:fill="auto"/>
            <w:vAlign w:val="bottom"/>
          </w:tcPr>
          <w:p w:rsidR="00E07645" w:rsidRDefault="00E07645" w:rsidP="003F40DD">
            <w:pPr>
              <w:pStyle w:val="TableText"/>
            </w:pPr>
            <w:r>
              <w:t>VBECS displays these default values for transfusion reactions converted from VistA to VBECS. They do not reflect actual interpretations or results:</w:t>
            </w:r>
            <w:r>
              <w:rPr>
                <w:vanish/>
              </w:rPr>
              <w:t xml:space="preserve"> (DR 2,</w:t>
            </w:r>
            <w:r w:rsidRPr="00FF5006">
              <w:rPr>
                <w:vanish/>
              </w:rPr>
              <w:t>724)</w:t>
            </w:r>
          </w:p>
        </w:tc>
      </w:tr>
      <w:tr w:rsidR="00E07645" w:rsidRPr="00725902">
        <w:trPr>
          <w:cantSplit/>
        </w:trPr>
        <w:tc>
          <w:tcPr>
            <w:tcW w:w="484" w:type="dxa"/>
            <w:vMerge w:val="restart"/>
            <w:tcBorders>
              <w:top w:val="nil"/>
              <w:left w:val="single" w:sz="6" w:space="0" w:color="000000"/>
              <w:bottom w:val="single" w:sz="6" w:space="0" w:color="000000"/>
              <w:right w:val="single" w:sz="6" w:space="0" w:color="000000"/>
            </w:tcBorders>
            <w:shd w:val="clear" w:color="auto" w:fill="auto"/>
          </w:tcPr>
          <w:p w:rsidR="00E07645" w:rsidRPr="00FF5006" w:rsidRDefault="00E07645" w:rsidP="003F40DD">
            <w:pPr>
              <w:pStyle w:val="TableText"/>
              <w:rPr>
                <w:b/>
              </w:rPr>
            </w:pPr>
          </w:p>
        </w:tc>
        <w:tc>
          <w:tcPr>
            <w:tcW w:w="5336" w:type="dxa"/>
            <w:tcBorders>
              <w:top w:val="single" w:sz="6" w:space="0" w:color="000000"/>
              <w:left w:val="single" w:sz="6" w:space="0" w:color="000000"/>
              <w:bottom w:val="single" w:sz="6" w:space="0" w:color="000000"/>
              <w:right w:val="single" w:sz="6" w:space="0" w:color="000000"/>
            </w:tcBorders>
            <w:shd w:val="clear" w:color="auto" w:fill="B3B3B3"/>
          </w:tcPr>
          <w:p w:rsidR="00E07645" w:rsidRPr="00FF5006" w:rsidRDefault="00E07645" w:rsidP="003F40DD">
            <w:pPr>
              <w:pStyle w:val="TableText"/>
              <w:rPr>
                <w:b/>
              </w:rPr>
            </w:pPr>
            <w:r w:rsidRPr="00FF5006">
              <w:rPr>
                <w:b/>
              </w:rPr>
              <w:t>Converted Transfusion Reaction</w:t>
            </w:r>
          </w:p>
        </w:tc>
        <w:tc>
          <w:tcPr>
            <w:tcW w:w="3056" w:type="dxa"/>
            <w:tcBorders>
              <w:top w:val="single" w:sz="6" w:space="0" w:color="000000"/>
              <w:left w:val="single" w:sz="6" w:space="0" w:color="000000"/>
              <w:bottom w:val="single" w:sz="6" w:space="0" w:color="000000"/>
              <w:right w:val="single" w:sz="6" w:space="0" w:color="000000"/>
            </w:tcBorders>
            <w:shd w:val="clear" w:color="auto" w:fill="B3B3B3"/>
          </w:tcPr>
          <w:p w:rsidR="00E07645" w:rsidRPr="00FF5006" w:rsidRDefault="00E07645" w:rsidP="003F40DD">
            <w:pPr>
              <w:pStyle w:val="TableText"/>
              <w:rPr>
                <w:b/>
              </w:rPr>
            </w:pPr>
            <w:r w:rsidRPr="00FF5006">
              <w:rPr>
                <w:b/>
              </w:rPr>
              <w:t>Default</w:t>
            </w:r>
          </w:p>
        </w:tc>
        <w:tc>
          <w:tcPr>
            <w:tcW w:w="484" w:type="dxa"/>
            <w:vMerge w:val="restart"/>
            <w:tcBorders>
              <w:top w:val="nil"/>
              <w:left w:val="single" w:sz="6" w:space="0" w:color="000000"/>
              <w:bottom w:val="single" w:sz="6" w:space="0" w:color="000000"/>
              <w:right w:val="single" w:sz="6" w:space="0" w:color="000000"/>
            </w:tcBorders>
            <w:shd w:val="clear" w:color="auto" w:fill="auto"/>
          </w:tcPr>
          <w:p w:rsidR="00E07645" w:rsidRPr="00FF5006" w:rsidRDefault="00E07645" w:rsidP="003F40DD">
            <w:pPr>
              <w:pStyle w:val="TableText"/>
              <w:rPr>
                <w:b/>
              </w:rPr>
            </w:pPr>
          </w:p>
        </w:tc>
      </w:tr>
      <w:tr w:rsidR="00E07645" w:rsidRPr="00725902">
        <w:trPr>
          <w:cantSplit/>
        </w:trPr>
        <w:tc>
          <w:tcPr>
            <w:tcW w:w="484" w:type="dxa"/>
            <w:vMerge/>
            <w:tcBorders>
              <w:top w:val="nil"/>
              <w:left w:val="single" w:sz="6" w:space="0" w:color="000000"/>
              <w:bottom w:val="single" w:sz="6" w:space="0" w:color="000000"/>
              <w:right w:val="single" w:sz="6" w:space="0" w:color="000000"/>
            </w:tcBorders>
            <w:shd w:val="clear" w:color="auto" w:fill="auto"/>
          </w:tcPr>
          <w:p w:rsidR="00E07645" w:rsidRDefault="00E07645"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rsidR="00E07645" w:rsidRDefault="00E07645" w:rsidP="003F40DD">
            <w:pPr>
              <w:pStyle w:val="TableText"/>
            </w:pPr>
            <w:r>
              <w:t xml:space="preserve">Pre-Transfusion Specimen Checks, Hemolysis Checks OK? </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rsidR="00E07645" w:rsidRDefault="00E07645" w:rsidP="003F40DD">
            <w:pPr>
              <w:pStyle w:val="TableText"/>
            </w:pPr>
            <w:r>
              <w:t>Yes</w:t>
            </w:r>
          </w:p>
        </w:tc>
        <w:tc>
          <w:tcPr>
            <w:tcW w:w="484" w:type="dxa"/>
            <w:vMerge/>
            <w:tcBorders>
              <w:top w:val="nil"/>
              <w:left w:val="single" w:sz="6" w:space="0" w:color="000000"/>
              <w:bottom w:val="single" w:sz="6" w:space="0" w:color="000000"/>
              <w:right w:val="single" w:sz="6" w:space="0" w:color="000000"/>
            </w:tcBorders>
            <w:shd w:val="clear" w:color="auto" w:fill="auto"/>
          </w:tcPr>
          <w:p w:rsidR="00E07645" w:rsidRDefault="00E07645" w:rsidP="003F40DD">
            <w:pPr>
              <w:pStyle w:val="TableText"/>
            </w:pPr>
          </w:p>
        </w:tc>
      </w:tr>
      <w:tr w:rsidR="00E07645" w:rsidRPr="00725902">
        <w:trPr>
          <w:cantSplit/>
        </w:trPr>
        <w:tc>
          <w:tcPr>
            <w:tcW w:w="484" w:type="dxa"/>
            <w:vMerge/>
            <w:tcBorders>
              <w:top w:val="nil"/>
              <w:left w:val="single" w:sz="6" w:space="0" w:color="000000"/>
              <w:bottom w:val="single" w:sz="6" w:space="0" w:color="000000"/>
              <w:right w:val="single" w:sz="6" w:space="0" w:color="000000"/>
            </w:tcBorders>
            <w:shd w:val="clear" w:color="auto" w:fill="auto"/>
          </w:tcPr>
          <w:p w:rsidR="00E07645" w:rsidRDefault="00E07645"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rsidR="00E07645" w:rsidRDefault="00E07645" w:rsidP="003F40DD">
            <w:pPr>
              <w:pStyle w:val="TableText"/>
            </w:pPr>
            <w:r>
              <w:t xml:space="preserve">Post-Transfusion Specimen Checks, Hemolysis Checks OK? </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rsidR="00E07645" w:rsidRDefault="00E07645" w:rsidP="003F40DD">
            <w:pPr>
              <w:pStyle w:val="TableText"/>
            </w:pPr>
            <w:r>
              <w:t>Yes</w:t>
            </w:r>
          </w:p>
        </w:tc>
        <w:tc>
          <w:tcPr>
            <w:tcW w:w="484" w:type="dxa"/>
            <w:vMerge/>
            <w:tcBorders>
              <w:top w:val="nil"/>
              <w:left w:val="single" w:sz="6" w:space="0" w:color="000000"/>
              <w:bottom w:val="single" w:sz="6" w:space="0" w:color="000000"/>
              <w:right w:val="single" w:sz="6" w:space="0" w:color="000000"/>
            </w:tcBorders>
            <w:shd w:val="clear" w:color="auto" w:fill="auto"/>
          </w:tcPr>
          <w:p w:rsidR="00E07645" w:rsidRDefault="00E07645" w:rsidP="003F40DD">
            <w:pPr>
              <w:pStyle w:val="TableText"/>
            </w:pPr>
          </w:p>
        </w:tc>
      </w:tr>
      <w:tr w:rsidR="00E07645" w:rsidRPr="00725902">
        <w:trPr>
          <w:cantSplit/>
        </w:trPr>
        <w:tc>
          <w:tcPr>
            <w:tcW w:w="484" w:type="dxa"/>
            <w:vMerge/>
            <w:tcBorders>
              <w:top w:val="nil"/>
              <w:left w:val="single" w:sz="6" w:space="0" w:color="000000"/>
              <w:bottom w:val="single" w:sz="6" w:space="0" w:color="000000"/>
              <w:right w:val="single" w:sz="6" w:space="0" w:color="000000"/>
            </w:tcBorders>
            <w:shd w:val="clear" w:color="auto" w:fill="auto"/>
          </w:tcPr>
          <w:p w:rsidR="00E07645" w:rsidRDefault="00E07645"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rsidR="00E07645" w:rsidRDefault="00E07645" w:rsidP="003F40DD">
            <w:pPr>
              <w:pStyle w:val="TableText"/>
            </w:pPr>
            <w:r>
              <w:t>Symptoms</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rsidR="00E07645" w:rsidRDefault="00E07645" w:rsidP="003F40DD">
            <w:pPr>
              <w:pStyle w:val="TableText"/>
            </w:pPr>
            <w:r>
              <w:t>No symptoms identified.</w:t>
            </w:r>
          </w:p>
        </w:tc>
        <w:tc>
          <w:tcPr>
            <w:tcW w:w="484" w:type="dxa"/>
            <w:vMerge/>
            <w:tcBorders>
              <w:top w:val="nil"/>
              <w:left w:val="single" w:sz="6" w:space="0" w:color="000000"/>
              <w:bottom w:val="single" w:sz="6" w:space="0" w:color="000000"/>
              <w:right w:val="single" w:sz="6" w:space="0" w:color="000000"/>
            </w:tcBorders>
            <w:shd w:val="clear" w:color="auto" w:fill="auto"/>
          </w:tcPr>
          <w:p w:rsidR="00E07645" w:rsidRDefault="00E07645" w:rsidP="003F40DD">
            <w:pPr>
              <w:pStyle w:val="TableText"/>
            </w:pPr>
          </w:p>
        </w:tc>
      </w:tr>
      <w:tr w:rsidR="00E07645" w:rsidRPr="00725902">
        <w:trPr>
          <w:cantSplit/>
        </w:trPr>
        <w:tc>
          <w:tcPr>
            <w:tcW w:w="484" w:type="dxa"/>
            <w:vMerge/>
            <w:tcBorders>
              <w:top w:val="nil"/>
              <w:left w:val="single" w:sz="6" w:space="0" w:color="000000"/>
              <w:bottom w:val="single" w:sz="6" w:space="0" w:color="000000"/>
              <w:right w:val="single" w:sz="6" w:space="0" w:color="000000"/>
            </w:tcBorders>
            <w:shd w:val="clear" w:color="auto" w:fill="auto"/>
          </w:tcPr>
          <w:p w:rsidR="00E07645" w:rsidRDefault="00E07645"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rsidR="00E07645" w:rsidRDefault="00E07645" w:rsidP="003F40DD">
            <w:pPr>
              <w:pStyle w:val="TableText"/>
            </w:pPr>
            <w:r>
              <w:t>Implicated units</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rsidR="00E07645" w:rsidRDefault="00E07645" w:rsidP="003F40DD">
            <w:pPr>
              <w:pStyle w:val="TableText"/>
            </w:pPr>
            <w:r>
              <w:t>No units implicated in reaction.</w:t>
            </w:r>
          </w:p>
        </w:tc>
        <w:tc>
          <w:tcPr>
            <w:tcW w:w="484" w:type="dxa"/>
            <w:vMerge/>
            <w:tcBorders>
              <w:top w:val="nil"/>
              <w:left w:val="single" w:sz="6" w:space="0" w:color="000000"/>
              <w:bottom w:val="single" w:sz="6" w:space="0" w:color="000000"/>
              <w:right w:val="single" w:sz="6" w:space="0" w:color="000000"/>
            </w:tcBorders>
            <w:shd w:val="clear" w:color="auto" w:fill="auto"/>
          </w:tcPr>
          <w:p w:rsidR="00E07645" w:rsidRDefault="00E07645" w:rsidP="003F40DD">
            <w:pPr>
              <w:pStyle w:val="TableText"/>
            </w:pPr>
          </w:p>
        </w:tc>
      </w:tr>
      <w:tr w:rsidR="00E07645" w:rsidRPr="00725902">
        <w:trPr>
          <w:cantSplit/>
        </w:trPr>
        <w:tc>
          <w:tcPr>
            <w:tcW w:w="484" w:type="dxa"/>
            <w:vMerge/>
            <w:tcBorders>
              <w:top w:val="nil"/>
              <w:left w:val="single" w:sz="6" w:space="0" w:color="000000"/>
              <w:bottom w:val="single" w:sz="6" w:space="0" w:color="000000"/>
              <w:right w:val="single" w:sz="6" w:space="0" w:color="000000"/>
            </w:tcBorders>
            <w:shd w:val="clear" w:color="auto" w:fill="auto"/>
          </w:tcPr>
          <w:p w:rsidR="00E07645" w:rsidRDefault="00E07645"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rsidR="00E07645" w:rsidRDefault="00E07645" w:rsidP="003F40DD">
            <w:pPr>
              <w:pStyle w:val="TableText"/>
            </w:pPr>
            <w:r>
              <w:t>Serologic tests</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rsidR="00E07645" w:rsidRDefault="00E07645" w:rsidP="003F40DD">
            <w:pPr>
              <w:pStyle w:val="TableText"/>
            </w:pPr>
            <w:r>
              <w:t>No serologic tests performed.</w:t>
            </w:r>
          </w:p>
        </w:tc>
        <w:tc>
          <w:tcPr>
            <w:tcW w:w="484" w:type="dxa"/>
            <w:vMerge/>
            <w:tcBorders>
              <w:top w:val="nil"/>
              <w:left w:val="single" w:sz="6" w:space="0" w:color="000000"/>
              <w:bottom w:val="single" w:sz="6" w:space="0" w:color="000000"/>
              <w:right w:val="single" w:sz="6" w:space="0" w:color="000000"/>
            </w:tcBorders>
            <w:shd w:val="clear" w:color="auto" w:fill="auto"/>
          </w:tcPr>
          <w:p w:rsidR="00E07645" w:rsidRDefault="00E07645" w:rsidP="003F40DD">
            <w:pPr>
              <w:pStyle w:val="TableText"/>
            </w:pPr>
          </w:p>
        </w:tc>
      </w:tr>
    </w:tbl>
    <w:p w:rsidR="00E07645" w:rsidRDefault="00E07645"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D53DC3" w:rsidRPr="001E53C1" w:rsidTr="00DB7466">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D53DC3" w:rsidRPr="001E53C1" w:rsidRDefault="00D53DC3" w:rsidP="00DB7466">
            <w:pPr>
              <w:pStyle w:val="TableText"/>
              <w:rPr>
                <w:b/>
              </w:rPr>
            </w:pPr>
            <w:r>
              <w:rPr>
                <w:b/>
              </w:rPr>
              <w:t>Patient Testing: Record a Patient ABO/Rh</w:t>
            </w:r>
          </w:p>
        </w:tc>
      </w:tr>
      <w:tr w:rsidR="00D53DC3" w:rsidTr="00DB7466">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D53DC3" w:rsidRDefault="00D53DC3" w:rsidP="00D53DC3">
            <w:pPr>
              <w:pStyle w:val="PlainText"/>
            </w:pPr>
            <w:r w:rsidRPr="00D53DC3">
              <w:rPr>
                <w:rFonts w:ascii="Arial" w:eastAsia="Times New Roman" w:hAnsi="Arial"/>
                <w:sz w:val="18"/>
                <w:szCs w:val="24"/>
              </w:rPr>
              <w:t>VBECS does not allow entry of ABO or Rh subgroups as a 'group' and/or  'type' when the previous blood group/type is "NR", indicating no record of previous testing.  Please see the FAQ: ABO Subgroup Interpretation and contact the National Service Desk for assistance, prior to adding patient transfusion records in VBECS, when possible.</w:t>
            </w:r>
            <w:r>
              <w:rPr>
                <w:rFonts w:ascii="Arial" w:eastAsia="Times New Roman" w:hAnsi="Arial"/>
                <w:sz w:val="18"/>
                <w:szCs w:val="24"/>
              </w:rPr>
              <w:t xml:space="preserve"> </w:t>
            </w:r>
            <w:r w:rsidRPr="00D53DC3">
              <w:rPr>
                <w:rFonts w:ascii="Arial" w:eastAsia="Times New Roman" w:hAnsi="Arial"/>
                <w:vanish/>
                <w:sz w:val="18"/>
                <w:szCs w:val="24"/>
              </w:rPr>
              <w:t>Defect 368207</w:t>
            </w:r>
            <w:r w:rsidRPr="00C43421">
              <w:rPr>
                <w:vanish/>
              </w:rPr>
              <w:t xml:space="preserve"> DR 3766</w:t>
            </w:r>
          </w:p>
        </w:tc>
      </w:tr>
    </w:tbl>
    <w:p w:rsidR="00D53DC3" w:rsidRDefault="00D53DC3"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C43421" w:rsidRPr="001E53C1" w:rsidTr="00722DBF">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C43421" w:rsidRPr="001E53C1" w:rsidRDefault="00C43421" w:rsidP="00722DBF">
            <w:pPr>
              <w:pStyle w:val="TableText"/>
              <w:rPr>
                <w:b/>
              </w:rPr>
            </w:pPr>
            <w:r>
              <w:rPr>
                <w:b/>
              </w:rPr>
              <w:t>Order</w:t>
            </w:r>
            <w:r w:rsidRPr="001E53C1">
              <w:rPr>
                <w:b/>
              </w:rPr>
              <w:t xml:space="preserve"> History Report</w:t>
            </w:r>
          </w:p>
        </w:tc>
      </w:tr>
      <w:tr w:rsidR="00C43421" w:rsidTr="00722DBF">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C43421" w:rsidRDefault="00C43421" w:rsidP="00C43421">
            <w:pPr>
              <w:pStyle w:val="TableText"/>
            </w:pPr>
            <w:r>
              <w:t>VBECS does not display the identity of the CPRS user who discontinues a signed order in CPRS.</w:t>
            </w:r>
            <w:r w:rsidRPr="00C43421">
              <w:rPr>
                <w:vanish/>
              </w:rPr>
              <w:t xml:space="preserve"> DR 3766</w:t>
            </w:r>
          </w:p>
        </w:tc>
      </w:tr>
    </w:tbl>
    <w:p w:rsidR="00C43421" w:rsidRDefault="00C43421" w:rsidP="00726BF3">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3B3B3"/>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E4113">
        <w:trPr>
          <w:cantSplit/>
          <w:tblHeader/>
        </w:trPr>
        <w:tc>
          <w:tcPr>
            <w:tcW w:w="9360" w:type="dxa"/>
            <w:shd w:val="clear" w:color="auto" w:fill="B3B3B3"/>
            <w:vAlign w:val="bottom"/>
          </w:tcPr>
          <w:p w:rsidR="003F0440" w:rsidRPr="005E4113" w:rsidRDefault="003F0440" w:rsidP="002D126B">
            <w:pPr>
              <w:pStyle w:val="TableText"/>
              <w:rPr>
                <w:b/>
              </w:rPr>
            </w:pPr>
            <w:r w:rsidRPr="005E4113">
              <w:rPr>
                <w:b/>
              </w:rPr>
              <w:t>Patient Merge</w:t>
            </w:r>
          </w:p>
        </w:tc>
      </w:tr>
      <w:tr w:rsidR="00D139EE" w:rsidRPr="00725902">
        <w:tblPrEx>
          <w:tblBorders>
            <w:insideH w:val="none" w:sz="0" w:space="0" w:color="auto"/>
            <w:insideV w:val="none" w:sz="0" w:space="0" w:color="auto"/>
          </w:tblBorders>
          <w:shd w:val="clear" w:color="auto" w:fill="auto"/>
        </w:tblPrEx>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rsidR="00D139EE" w:rsidRPr="00D139EE" w:rsidRDefault="00D139EE" w:rsidP="00D139EE">
            <w:pPr>
              <w:pStyle w:val="TableText"/>
            </w:pPr>
            <w:r w:rsidRPr="00D62E7A">
              <w:rPr>
                <w:vanish/>
              </w:rPr>
              <w:t>DR 2,527</w:t>
            </w:r>
            <w:r>
              <w:rPr>
                <w:vanish/>
              </w:rPr>
              <w:t xml:space="preserve"> </w:t>
            </w:r>
            <w:r>
              <w:t>The Traditional Supervisor or above must update patient records manually.</w:t>
            </w:r>
          </w:p>
        </w:tc>
      </w:tr>
      <w:tr w:rsidR="00D139EE" w:rsidRPr="00725902">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D139EE" w:rsidRPr="00D139EE" w:rsidRDefault="00D139EE" w:rsidP="00D139EE">
            <w:pPr>
              <w:pStyle w:val="TableText"/>
            </w:pPr>
            <w:r>
              <w:t xml:space="preserve">VBECS does not notify users of additional VistA patient updates or merges while the icon is displayed. When a user views an update and there is an unprocessed patient merge, the Patient Alert icon remains on the screen until the Traditional Supervisor completes the update and clears the icon. </w:t>
            </w:r>
          </w:p>
        </w:tc>
      </w:tr>
      <w:tr w:rsidR="00562E66" w:rsidRPr="00725902">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562E66" w:rsidRDefault="00562E66" w:rsidP="00562E66">
            <w:pPr>
              <w:pStyle w:val="TableText"/>
            </w:pPr>
            <w:r>
              <w:t>Patient merges involving</w:t>
            </w:r>
            <w:r w:rsidRPr="00DD022C">
              <w:t xml:space="preserve"> patient’s with names that exceed the database standard for File #2 (30 characters) or do not have a first or last name in VistA are rejected and do not appear in VBECS. The VBECS System Administrator is notified of each rejection via an email to the address entered in VBECS Administrator “Interface Failure Alert Recipient” field.</w:t>
            </w:r>
          </w:p>
        </w:tc>
      </w:tr>
    </w:tbl>
    <w:p w:rsidR="00726BF3" w:rsidRDefault="00726BF3"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808B9">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5808B9" w:rsidRDefault="003F0440" w:rsidP="002D126B">
            <w:pPr>
              <w:pStyle w:val="TableText"/>
              <w:rPr>
                <w:b/>
              </w:rPr>
            </w:pPr>
            <w:r w:rsidRPr="005808B9">
              <w:rPr>
                <w:b/>
              </w:rPr>
              <w:t>Patient Testing: Cancel an Active Order</w:t>
            </w:r>
          </w:p>
        </w:tc>
      </w:tr>
      <w:tr w:rsidR="003F0440" w:rsidRPr="001C59D2">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rsidR="003F0440" w:rsidRPr="005808B9" w:rsidRDefault="003F0440" w:rsidP="002D126B">
            <w:pPr>
              <w:pStyle w:val="TableText"/>
            </w:pPr>
            <w:r>
              <w:t>Cancellation of one order does not affect other orders placed with it.</w:t>
            </w:r>
          </w:p>
        </w:tc>
      </w:tr>
      <w:tr w:rsidR="003F0440" w:rsidRPr="001C59D2">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rsidR="003F0440" w:rsidRPr="001C59D2" w:rsidRDefault="003F0440" w:rsidP="002D126B">
            <w:pPr>
              <w:pStyle w:val="TableText"/>
              <w:rPr>
                <w:b/>
              </w:rPr>
            </w:pPr>
            <w:r>
              <w:t>Before a user may cancel a partially completed task, he must invalidate the results for that task, thereby changing its status to “not started.”</w:t>
            </w:r>
          </w:p>
        </w:tc>
      </w:tr>
    </w:tbl>
    <w:p w:rsidR="003E754E" w:rsidRDefault="003E754E"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033B76">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033B76" w:rsidRDefault="003E754E" w:rsidP="002D126B">
            <w:pPr>
              <w:pStyle w:val="TableText"/>
              <w:rPr>
                <w:b/>
              </w:rPr>
            </w:pPr>
            <w:r>
              <w:br w:type="page"/>
            </w:r>
            <w:r w:rsidR="003F0440" w:rsidRPr="00033B76">
              <w:rPr>
                <w:b/>
              </w:rPr>
              <w:t>Patient Testing: Enter Antibody Identification Results</w:t>
            </w:r>
          </w:p>
        </w:tc>
      </w:tr>
      <w:tr w:rsidR="003F0440" w:rsidRPr="001C59D2">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rsidR="003F0440" w:rsidRDefault="003F0440" w:rsidP="002D126B">
            <w:pPr>
              <w:pStyle w:val="TableText"/>
            </w:pPr>
            <w:r>
              <w:lastRenderedPageBreak/>
              <w:t>When an antigen negative requirement is not configured for an antibody, the user may enter the requirement for a patient through Special Instructions &amp; Transfusion Requirements: Enter a Transfusion Requirement.</w:t>
            </w:r>
          </w:p>
        </w:tc>
      </w:tr>
    </w:tbl>
    <w:p w:rsidR="00726BF3" w:rsidRDefault="00726BF3"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986D0E">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986D0E" w:rsidRDefault="003F0440" w:rsidP="002D126B">
            <w:pPr>
              <w:pStyle w:val="TableText"/>
              <w:rPr>
                <w:b/>
              </w:rPr>
            </w:pPr>
            <w:r w:rsidRPr="00986D0E">
              <w:rPr>
                <w:b/>
              </w:rPr>
              <w:t>Patient Testing: General Instructions</w:t>
            </w:r>
          </w:p>
        </w:tc>
      </w:tr>
      <w:tr w:rsidR="003F0440" w:rsidRPr="001C59D2">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rsidR="003F0440" w:rsidRDefault="003F0440" w:rsidP="002D126B">
            <w:pPr>
              <w:pStyle w:val="TableText"/>
            </w:pPr>
            <w:r>
              <w:t>This test record is not editable after the user completes a test and saves it to the database. When a correction needs to be filed, a corrected report must be generated, as described in Invalidating Patient Test Results.</w:t>
            </w:r>
          </w:p>
        </w:tc>
      </w:tr>
      <w:tr w:rsidR="00B90645" w:rsidRPr="001C59D2">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rsidR="00B90645" w:rsidRDefault="00B90645" w:rsidP="00B90645">
            <w:pPr>
              <w:pStyle w:val="TableText"/>
            </w:pPr>
            <w:r>
              <w:t>User selection of partially completed testing grids with different phases of testing creates a testing discrepancy in VBECS. Batch testing is limited to testing at the same phases.</w:t>
            </w:r>
            <w:r w:rsidRPr="00B90645">
              <w:rPr>
                <w:vanish/>
              </w:rPr>
              <w:t xml:space="preserve"> DR 4218</w:t>
            </w:r>
          </w:p>
        </w:tc>
      </w:tr>
    </w:tbl>
    <w:p w:rsidR="00726BF3" w:rsidRDefault="00726BF3" w:rsidP="00726BF3">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3B3B3"/>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E4113">
        <w:trPr>
          <w:cantSplit/>
          <w:tblHeader/>
        </w:trPr>
        <w:tc>
          <w:tcPr>
            <w:tcW w:w="9360" w:type="dxa"/>
            <w:shd w:val="clear" w:color="auto" w:fill="B3B3B3"/>
            <w:vAlign w:val="bottom"/>
          </w:tcPr>
          <w:p w:rsidR="003F0440" w:rsidRPr="005E4113" w:rsidRDefault="003F0440" w:rsidP="002D126B">
            <w:pPr>
              <w:pStyle w:val="TableText"/>
              <w:rPr>
                <w:b/>
              </w:rPr>
            </w:pPr>
            <w:r w:rsidRPr="005E4113">
              <w:rPr>
                <w:b/>
              </w:rPr>
              <w:t>Patient Testing: Pending Task List</w:t>
            </w:r>
          </w:p>
        </w:tc>
      </w:tr>
      <w:tr w:rsidR="003F0440" w:rsidRPr="00725902">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t>This option is for diagnostic, blood component, and reflex test orders placed in or directed to the user’s division.</w:t>
            </w:r>
          </w:p>
        </w:tc>
      </w:tr>
      <w:tr w:rsidR="003F0440" w:rsidRPr="00725902">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t>The PTL does not include daily quality control, equipment maintenance schedules, or pending ABO/Rh confirmation and auxiliary tests on red blood cell units.</w:t>
            </w:r>
          </w:p>
        </w:tc>
      </w:tr>
      <w:tr w:rsidR="00B16403" w:rsidRPr="00725902">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B16403" w:rsidRDefault="00B16403" w:rsidP="002D126B">
            <w:pPr>
              <w:pStyle w:val="TableText"/>
            </w:pPr>
            <w:r w:rsidRPr="00696FA6">
              <w:t xml:space="preserve">Users may perform testing for no more than four patients in one </w:t>
            </w:r>
            <w:r>
              <w:t>VBECS</w:t>
            </w:r>
            <w:r w:rsidRPr="00696FA6">
              <w:t xml:space="preserve"> session.</w:t>
            </w:r>
          </w:p>
        </w:tc>
      </w:tr>
    </w:tbl>
    <w:p w:rsidR="00726BF3" w:rsidRDefault="00726BF3" w:rsidP="00726BF3">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3B3B3"/>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D61D3">
        <w:trPr>
          <w:cantSplit/>
          <w:tblHeader/>
        </w:trPr>
        <w:tc>
          <w:tcPr>
            <w:tcW w:w="9360" w:type="dxa"/>
            <w:shd w:val="clear" w:color="auto" w:fill="B3B3B3"/>
            <w:vAlign w:val="bottom"/>
          </w:tcPr>
          <w:p w:rsidR="003F0440" w:rsidRPr="005D61D3" w:rsidRDefault="003F0440" w:rsidP="002D126B">
            <w:pPr>
              <w:pStyle w:val="TableText"/>
              <w:rPr>
                <w:b/>
              </w:rPr>
            </w:pPr>
            <w:r w:rsidRPr="005D61D3">
              <w:rPr>
                <w:b/>
              </w:rPr>
              <w:t>Patient Testing: Record a Crossmatch</w:t>
            </w:r>
          </w:p>
        </w:tc>
      </w:tr>
      <w:tr w:rsidR="003F0440" w:rsidRPr="00725902">
        <w:tblPrEx>
          <w:tblBorders>
            <w:insideH w:val="none" w:sz="0" w:space="0" w:color="auto"/>
            <w:insideV w:val="none" w:sz="0" w:space="0" w:color="auto"/>
          </w:tblBorders>
          <w:shd w:val="clear" w:color="auto" w:fill="auto"/>
        </w:tblPrEx>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rPr>
                <w:rFonts w:cs="Arial"/>
                <w:vanish/>
              </w:rPr>
              <w:t xml:space="preserve">BR_40.01 </w:t>
            </w:r>
            <w:r>
              <w:t>The specimen associated with testing must have an expiration date and time that are later than the testing date and time entered in Patient Testing: Record Patient Test Results. When this is not the case, VBECS warns that the patient specimen expired. There is no override.</w:t>
            </w:r>
          </w:p>
        </w:tc>
      </w:tr>
      <w:tr w:rsidR="003F0440" w:rsidRPr="00725902">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t>This option does not include electronic crossmatch (eXM).</w:t>
            </w:r>
          </w:p>
        </w:tc>
      </w:tr>
    </w:tbl>
    <w:p w:rsidR="00FD0D9D" w:rsidRDefault="00FD0D9D" w:rsidP="00726BF3">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3B3B3"/>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092276">
        <w:trPr>
          <w:cantSplit/>
          <w:tblHeader/>
        </w:trPr>
        <w:tc>
          <w:tcPr>
            <w:tcW w:w="9360" w:type="dxa"/>
            <w:shd w:val="clear" w:color="auto" w:fill="B3B3B3"/>
            <w:vAlign w:val="bottom"/>
          </w:tcPr>
          <w:p w:rsidR="003F0440" w:rsidRPr="00092276" w:rsidRDefault="003F0440" w:rsidP="002D126B">
            <w:pPr>
              <w:pStyle w:val="TableText"/>
              <w:rPr>
                <w:b/>
              </w:rPr>
            </w:pPr>
            <w:r w:rsidRPr="00092276">
              <w:rPr>
                <w:b/>
              </w:rPr>
              <w:t>Patient Testing: Record a Direct Antiglobulin Test</w:t>
            </w:r>
          </w:p>
        </w:tc>
      </w:tr>
      <w:tr w:rsidR="003F0440" w:rsidRPr="00725902">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t>VBECS does not check whether the lot and vial numbers selected for the positive control cells are different from those of the negative control cells.</w:t>
            </w:r>
          </w:p>
        </w:tc>
      </w:tr>
    </w:tbl>
    <w:p w:rsidR="00726BF3" w:rsidRDefault="00726BF3"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2171BE">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2171BE" w:rsidRDefault="003F0440" w:rsidP="002D126B">
            <w:pPr>
              <w:pStyle w:val="TableText"/>
              <w:rPr>
                <w:b/>
              </w:rPr>
            </w:pPr>
            <w:r w:rsidRPr="002171BE">
              <w:rPr>
                <w:b/>
              </w:rPr>
              <w:t>Patient Testing: Record a Patient Antibody Screen</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Default="003F0440" w:rsidP="002D126B">
            <w:pPr>
              <w:pStyle w:val="TableText"/>
            </w:pPr>
            <w:r>
              <w:t xml:space="preserve">This </w:t>
            </w:r>
            <w:r>
              <w:rPr>
                <w:szCs w:val="20"/>
              </w:rPr>
              <w:t>option is for patient testing only</w:t>
            </w:r>
            <w:r w:rsidR="001E7158">
              <w:rPr>
                <w:szCs w:val="20"/>
              </w:rPr>
              <w:t>.</w:t>
            </w:r>
          </w:p>
        </w:tc>
      </w:tr>
    </w:tbl>
    <w:p w:rsidR="0045199A" w:rsidRDefault="0045199A"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C03DD5">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B16403" w:rsidRDefault="003F0440" w:rsidP="002D126B">
            <w:pPr>
              <w:pStyle w:val="TableText"/>
              <w:rPr>
                <w:b/>
              </w:rPr>
            </w:pPr>
            <w:r w:rsidRPr="00B16403">
              <w:rPr>
                <w:b/>
              </w:rPr>
              <w:t>Patient Testing: Record a Patient Antigen Typing</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45199A" w:rsidRDefault="003F0440" w:rsidP="002D126B">
            <w:pPr>
              <w:pStyle w:val="TableText"/>
            </w:pPr>
            <w:r w:rsidRPr="0045199A">
              <w:t>Antigen typing applies only to red blood cell antigens. [This option does not address platelet, histocompatibility locus antigen (HLA), or Immunoglobulin A (IgA) antigens.]</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45199A" w:rsidRDefault="003F0440" w:rsidP="002D126B">
            <w:pPr>
              <w:pStyle w:val="TableText"/>
            </w:pPr>
            <w:r w:rsidRPr="0045199A">
              <w:t>VBECS does not check:</w:t>
            </w:r>
          </w:p>
          <w:p w:rsidR="003F0440" w:rsidRPr="0045199A" w:rsidRDefault="00B84DA4" w:rsidP="002D126B">
            <w:pPr>
              <w:pStyle w:val="TableTextBullet"/>
            </w:pPr>
            <w:r w:rsidRPr="0045199A">
              <w:t>The patient antigen typing with the specificity of any patient’s antibodies entered</w:t>
            </w:r>
            <w:r w:rsidR="005C1078" w:rsidRPr="0045199A">
              <w:t>.</w:t>
            </w:r>
          </w:p>
          <w:p w:rsidR="003F0440" w:rsidRPr="0045199A" w:rsidRDefault="003F0440" w:rsidP="002D126B">
            <w:pPr>
              <w:pStyle w:val="TableTextBullet"/>
            </w:pPr>
            <w:r w:rsidRPr="0045199A">
              <w:t>Whether the lot and vial numbers selected for the positive control cells differ from those of the negative control cells</w:t>
            </w:r>
            <w:r w:rsidR="005C1078" w:rsidRPr="0045199A">
              <w:t>.</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45199A" w:rsidRDefault="003F0440" w:rsidP="002D126B">
            <w:pPr>
              <w:pStyle w:val="TableText"/>
            </w:pPr>
            <w:r w:rsidRPr="0045199A">
              <w:t>The patient antigen typing result is not available to CPRS.</w:t>
            </w:r>
          </w:p>
        </w:tc>
      </w:tr>
    </w:tbl>
    <w:p w:rsidR="00ED3C7A" w:rsidRDefault="00ED3C7A" w:rsidP="00726BF3">
      <w:pPr>
        <w:pStyle w:val="TableText"/>
      </w:pPr>
    </w:p>
    <w:p w:rsidR="00726BF3" w:rsidRDefault="00ED3C7A" w:rsidP="00726BF3">
      <w:pPr>
        <w:pStyle w:val="TableText"/>
      </w:pPr>
      <w:r>
        <w:br w:type="page"/>
      </w: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1C59D2">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1C59D2" w:rsidRDefault="003F0440" w:rsidP="002D126B">
            <w:pPr>
              <w:pStyle w:val="TableText"/>
              <w:rPr>
                <w:b/>
              </w:rPr>
            </w:pPr>
            <w:r w:rsidRPr="001C59D2">
              <w:rPr>
                <w:b/>
              </w:rPr>
              <w:lastRenderedPageBreak/>
              <w:t>Patient Testing: Record a Transfusion Reaction Workup</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814F27" w:rsidP="00814F27">
            <w:pPr>
              <w:pStyle w:val="TableText"/>
            </w:pPr>
            <w:r>
              <w:t xml:space="preserve">Adverse reactions to transfusion detected at a later time (disease transmission) are not recorded through this option. Refer </w:t>
            </w:r>
            <w:r w:rsidR="00357A19">
              <w:t>to Transfusion</w:t>
            </w:r>
            <w:r>
              <w:t xml:space="preserve"> Complications Report.</w:t>
            </w:r>
          </w:p>
        </w:tc>
      </w:tr>
    </w:tbl>
    <w:p w:rsidR="00726BF3" w:rsidRDefault="00726BF3"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966663">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966663" w:rsidRDefault="003F0440" w:rsidP="002D126B">
            <w:pPr>
              <w:pStyle w:val="TableText"/>
              <w:rPr>
                <w:b/>
              </w:rPr>
            </w:pPr>
            <w:r w:rsidRPr="00966663">
              <w:rPr>
                <w:b/>
              </w:rPr>
              <w:t>Patient Testing Worklist and Testing Worklist Reports</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Default="003F0440" w:rsidP="002D126B">
            <w:pPr>
              <w:pStyle w:val="TableText"/>
            </w:pPr>
            <w:r>
              <w:t>Reports do not include Transfusion Reaction Workup (TRW) test results.</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Default="00B97396" w:rsidP="002D126B">
            <w:pPr>
              <w:pStyle w:val="TableText"/>
            </w:pPr>
            <w:r>
              <w:t>VBECS does not accommodate online review (verification, signature) of reports.</w:t>
            </w:r>
          </w:p>
        </w:tc>
      </w:tr>
    </w:tbl>
    <w:p w:rsidR="00590248" w:rsidRDefault="00590248"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6D40D4" w:rsidRPr="001C59D2">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6D40D4" w:rsidRPr="001C59D2" w:rsidRDefault="006D40D4" w:rsidP="009532BE">
            <w:pPr>
              <w:pStyle w:val="TableText"/>
              <w:rPr>
                <w:b/>
              </w:rPr>
            </w:pPr>
            <w:r>
              <w:rPr>
                <w:b/>
              </w:rPr>
              <w:t>Post-Transfusion Information</w:t>
            </w:r>
          </w:p>
        </w:tc>
      </w:tr>
      <w:tr w:rsidR="006D40D4"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6D40D4" w:rsidRPr="00725902" w:rsidRDefault="006D40D4" w:rsidP="006D40D4">
            <w:pPr>
              <w:pStyle w:val="TableText"/>
            </w:pPr>
            <w:r>
              <w:t xml:space="preserve">VBECS cannot update a unit record to presumed transfused when a </w:t>
            </w:r>
            <w:r w:rsidRPr="004D0C24">
              <w:t xml:space="preserve">user has </w:t>
            </w:r>
            <w:r>
              <w:t xml:space="preserve">that </w:t>
            </w:r>
            <w:r w:rsidRPr="004D0C24">
              <w:t>unit record open (locked) in Enter Post Transfusion Information</w:t>
            </w:r>
            <w:r>
              <w:t xml:space="preserve">. VBECS will attempt to update the unit the next </w:t>
            </w:r>
            <w:r w:rsidRPr="004D0C24">
              <w:t xml:space="preserve">time the </w:t>
            </w:r>
            <w:r>
              <w:t xml:space="preserve">presumed transfused background routing </w:t>
            </w:r>
            <w:r w:rsidRPr="004D0C24">
              <w:t>runs if the unit remains in an issued status.</w:t>
            </w:r>
            <w:r>
              <w:t xml:space="preserve"> </w:t>
            </w:r>
            <w:r>
              <w:rPr>
                <w:vanish/>
              </w:rPr>
              <w:t>DR 3089</w:t>
            </w:r>
            <w:r w:rsidRPr="004D0C24" w:rsidDel="004D0C24">
              <w:t xml:space="preserve"> </w:t>
            </w:r>
          </w:p>
        </w:tc>
      </w:tr>
      <w:tr w:rsidR="00F20C8C"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F20C8C" w:rsidRDefault="00F20C8C" w:rsidP="006D40D4">
            <w:pPr>
              <w:pStyle w:val="TableText"/>
            </w:pPr>
            <w:r>
              <w:t>If post-transfusion information is not transmitted to VBECS, the user will need to enter that information to update the record from presumed transfused to transfused.</w:t>
            </w:r>
          </w:p>
        </w:tc>
      </w:tr>
      <w:tr w:rsidR="000E2D6A"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0E2D6A" w:rsidRDefault="006822AA" w:rsidP="006822AA">
            <w:pPr>
              <w:pStyle w:val="TableText"/>
            </w:pPr>
            <w:r>
              <w:t>The transfusion comments and volume transfused entered in the Transfusion Verification application as an update to a completed transfusion are not sent to VBECS.</w:t>
            </w:r>
            <w:r w:rsidRPr="006822AA">
              <w:rPr>
                <w:vanish/>
              </w:rPr>
              <w:t xml:space="preserve"> DR 4173 </w:t>
            </w:r>
          </w:p>
        </w:tc>
      </w:tr>
      <w:tr w:rsidR="00D26DD7"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D26DD7" w:rsidRDefault="00D26DD7" w:rsidP="00D26DD7">
            <w:pPr>
              <w:pStyle w:val="TableText"/>
            </w:pPr>
            <w:r>
              <w:t>Transfusion reaction symptoms are not sent to VBECS by the Transfusion Verification application unless a transfusion reaction has also been indicated for that event.</w:t>
            </w:r>
            <w:r w:rsidRPr="00D26DD7">
              <w:rPr>
                <w:vanish/>
              </w:rPr>
              <w:t xml:space="preserve"> DR 4217</w:t>
            </w:r>
          </w:p>
        </w:tc>
      </w:tr>
    </w:tbl>
    <w:p w:rsidR="006D40D4" w:rsidRDefault="006D40D4"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1C59D2">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1C59D2" w:rsidRDefault="003F0440" w:rsidP="002D126B">
            <w:pPr>
              <w:pStyle w:val="TableText"/>
              <w:rPr>
                <w:b/>
              </w:rPr>
            </w:pPr>
            <w:r w:rsidRPr="001C59D2">
              <w:rPr>
                <w:b/>
              </w:rPr>
              <w:t>Print Unit Caution Tag &amp; Transfusion Record Form</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t>VBECS cannot reprint a Caution Tag on an expired unit or expired patient order.</w:t>
            </w:r>
          </w:p>
        </w:tc>
      </w:tr>
      <w:tr w:rsidR="003226D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226D0" w:rsidRDefault="003226D0" w:rsidP="002D126B">
            <w:pPr>
              <w:pStyle w:val="TableText"/>
            </w:pPr>
            <w:r>
              <w:t xml:space="preserve">VBECS does not print a unit’s </w:t>
            </w:r>
            <w:r w:rsidRPr="00D47D4A">
              <w:t>biohazardous</w:t>
            </w:r>
            <w:r>
              <w:t xml:space="preserve"> status on the BTRF or Caution Tag</w:t>
            </w:r>
            <w:r w:rsidRPr="00D47D4A">
              <w:t>.</w:t>
            </w:r>
          </w:p>
        </w:tc>
      </w:tr>
    </w:tbl>
    <w:p w:rsidR="00726BF3" w:rsidRDefault="00726BF3"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326430">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326430" w:rsidRDefault="003F0440" w:rsidP="002D126B">
            <w:pPr>
              <w:pStyle w:val="TableText"/>
              <w:rPr>
                <w:b/>
              </w:rPr>
            </w:pPr>
            <w:r w:rsidRPr="00326430">
              <w:rPr>
                <w:b/>
              </w:rPr>
              <w:t>Pro</w:t>
            </w:r>
            <w:r>
              <w:rPr>
                <w:b/>
              </w:rPr>
              <w:t>longed Transfusion Time Report</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Default="003F0440" w:rsidP="002D126B">
            <w:pPr>
              <w:pStyle w:val="TableText"/>
            </w:pPr>
            <w:r>
              <w:t>This report does not include p</w:t>
            </w:r>
            <w:r w:rsidR="00042B1F">
              <w:rPr>
                <w:rStyle w:val="ListBulletChar"/>
              </w:rPr>
              <w:t>r</w:t>
            </w:r>
            <w:r>
              <w:t>esumed transfused units or units issued to a remote storage location.</w:t>
            </w:r>
          </w:p>
        </w:tc>
      </w:tr>
    </w:tbl>
    <w:p w:rsidR="00BE53DD" w:rsidRDefault="00BE53DD" w:rsidP="0015235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042B1F" w:rsidRPr="00326430" w:rsidTr="00D9331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042B1F" w:rsidRPr="00326430" w:rsidRDefault="00042B1F" w:rsidP="00D93317">
            <w:pPr>
              <w:pStyle w:val="TableText"/>
              <w:rPr>
                <w:b/>
              </w:rPr>
            </w:pPr>
            <w:r>
              <w:rPr>
                <w:b/>
              </w:rPr>
              <w:t>Reagents</w:t>
            </w:r>
          </w:p>
        </w:tc>
      </w:tr>
      <w:tr w:rsidR="00042B1F" w:rsidTr="00D9331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042B1F" w:rsidRPr="00042B1F" w:rsidRDefault="00042B1F" w:rsidP="00042B1F">
            <w:pPr>
              <w:pStyle w:val="ListBullet"/>
              <w:numPr>
                <w:ilvl w:val="0"/>
                <w:numId w:val="0"/>
              </w:numPr>
              <w:rPr>
                <w:rFonts w:ascii="Arial" w:hAnsi="Arial" w:cs="Arial"/>
                <w:sz w:val="18"/>
                <w:szCs w:val="18"/>
              </w:rPr>
            </w:pPr>
            <w:r w:rsidRPr="00042B1F">
              <w:rPr>
                <w:rFonts w:ascii="Arial" w:hAnsi="Arial" w:cs="Arial"/>
                <w:sz w:val="18"/>
                <w:szCs w:val="18"/>
              </w:rPr>
              <w:t>VBECS does not display a reagent report by invoice number.</w:t>
            </w:r>
          </w:p>
        </w:tc>
      </w:tr>
      <w:tr w:rsidR="00042B1F" w:rsidTr="00D9331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042B1F" w:rsidRPr="00042B1F" w:rsidRDefault="00042B1F" w:rsidP="00042B1F">
            <w:pPr>
              <w:pStyle w:val="ListBullet"/>
              <w:numPr>
                <w:ilvl w:val="0"/>
                <w:numId w:val="0"/>
              </w:numPr>
              <w:rPr>
                <w:rFonts w:ascii="Arial" w:hAnsi="Arial" w:cs="Arial"/>
                <w:sz w:val="18"/>
                <w:szCs w:val="18"/>
              </w:rPr>
            </w:pPr>
            <w:r w:rsidRPr="00042B1F">
              <w:rPr>
                <w:rFonts w:ascii="Arial" w:hAnsi="Arial" w:cs="Arial"/>
                <w:sz w:val="18"/>
                <w:szCs w:val="18"/>
              </w:rPr>
              <w:t>The unsatisfactory portion of a shipment must be recorded individually.</w:t>
            </w:r>
          </w:p>
        </w:tc>
      </w:tr>
      <w:tr w:rsidR="00042B1F" w:rsidTr="00D9331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042B1F" w:rsidRPr="00042B1F" w:rsidRDefault="00042B1F" w:rsidP="00042B1F">
            <w:pPr>
              <w:pStyle w:val="ListBullet"/>
              <w:numPr>
                <w:ilvl w:val="0"/>
                <w:numId w:val="0"/>
              </w:numPr>
              <w:rPr>
                <w:rFonts w:ascii="Arial" w:hAnsi="Arial" w:cs="Arial"/>
                <w:sz w:val="18"/>
                <w:szCs w:val="18"/>
              </w:rPr>
            </w:pPr>
            <w:r w:rsidRPr="00042B1F">
              <w:rPr>
                <w:rFonts w:ascii="Arial" w:hAnsi="Arial" w:cs="Arial"/>
                <w:sz w:val="18"/>
                <w:szCs w:val="18"/>
              </w:rPr>
              <w:t>There is no retrospective data entry or user selection for these options.</w:t>
            </w:r>
          </w:p>
        </w:tc>
      </w:tr>
      <w:tr w:rsidR="00042B1F" w:rsidTr="00D9331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042B1F" w:rsidRPr="00042B1F" w:rsidRDefault="00042B1F" w:rsidP="00042B1F">
            <w:pPr>
              <w:pStyle w:val="ListBullet"/>
              <w:numPr>
                <w:ilvl w:val="0"/>
                <w:numId w:val="0"/>
              </w:numPr>
            </w:pPr>
            <w:r w:rsidRPr="00042B1F">
              <w:rPr>
                <w:rFonts w:ascii="Arial" w:hAnsi="Arial" w:cs="Arial"/>
                <w:sz w:val="18"/>
                <w:szCs w:val="18"/>
              </w:rPr>
              <w:t>Each site must set a standard for recording quantity: it may use the number of cases or the number of units within the cases.</w:t>
            </w:r>
          </w:p>
        </w:tc>
      </w:tr>
      <w:tr w:rsidR="00042B1F" w:rsidTr="00D9331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042B1F" w:rsidRPr="00042B1F" w:rsidRDefault="00042B1F" w:rsidP="00042B1F">
            <w:pPr>
              <w:pStyle w:val="ListBullet"/>
              <w:numPr>
                <w:ilvl w:val="0"/>
                <w:numId w:val="0"/>
              </w:numPr>
            </w:pPr>
            <w:r w:rsidRPr="00042B1F">
              <w:rPr>
                <w:rFonts w:ascii="Arial" w:hAnsi="Arial" w:cs="Arial"/>
                <w:sz w:val="18"/>
                <w:szCs w:val="18"/>
              </w:rPr>
              <w:t>When a user enters a lot number in the Lot # field and clicks the magnifying glass, VBECS displays only the first instance of a duplicate lot number.</w:t>
            </w:r>
            <w:r>
              <w:t xml:space="preserve"> </w:t>
            </w:r>
            <w:r w:rsidRPr="00F759ED">
              <w:rPr>
                <w:vanish/>
              </w:rPr>
              <w:t>(UserDoc Task 1083)</w:t>
            </w:r>
          </w:p>
        </w:tc>
      </w:tr>
      <w:tr w:rsidR="00042B1F" w:rsidTr="00D9331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042B1F" w:rsidRPr="00042B1F" w:rsidRDefault="00042B1F" w:rsidP="00042B1F">
            <w:pPr>
              <w:pStyle w:val="ListBullet"/>
              <w:numPr>
                <w:ilvl w:val="0"/>
                <w:numId w:val="0"/>
              </w:numPr>
              <w:rPr>
                <w:rFonts w:ascii="Arial" w:hAnsi="Arial" w:cs="Arial"/>
                <w:sz w:val="18"/>
                <w:szCs w:val="18"/>
              </w:rPr>
            </w:pPr>
            <w:r w:rsidRPr="00042B1F">
              <w:rPr>
                <w:rFonts w:ascii="Arial" w:hAnsi="Arial" w:cs="Arial"/>
                <w:sz w:val="18"/>
                <w:szCs w:val="18"/>
              </w:rPr>
              <w:t xml:space="preserve">Free text details can be added only when “Other” is selected as the canned comment. </w:t>
            </w:r>
            <w:r w:rsidRPr="005F1427">
              <w:rPr>
                <w:rFonts w:ascii="Arial" w:hAnsi="Arial" w:cs="Arial"/>
                <w:vanish/>
                <w:sz w:val="18"/>
                <w:szCs w:val="18"/>
              </w:rPr>
              <w:t>DR 2218</w:t>
            </w:r>
          </w:p>
        </w:tc>
      </w:tr>
    </w:tbl>
    <w:p w:rsidR="00042B1F" w:rsidRDefault="00042B1F" w:rsidP="0015235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4C386A">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4C386A" w:rsidRDefault="003F0440" w:rsidP="002D126B">
            <w:pPr>
              <w:pStyle w:val="TableText"/>
              <w:rPr>
                <w:b/>
              </w:rPr>
            </w:pPr>
            <w:r w:rsidRPr="004C386A">
              <w:rPr>
                <w:b/>
              </w:rPr>
              <w:t>Release Units From Patient Assignment</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Default="003F0440" w:rsidP="002D126B">
            <w:pPr>
              <w:pStyle w:val="TableText"/>
            </w:pPr>
            <w:r>
              <w:t>This option does not apply to the release of patient restrictions (autologous and directed).</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Default="003F0440" w:rsidP="002D126B">
            <w:pPr>
              <w:pStyle w:val="TableText"/>
            </w:pPr>
            <w:r>
              <w:t>When a patient, specimen</w:t>
            </w:r>
            <w:r w:rsidR="00112C24">
              <w:t>,</w:t>
            </w:r>
            <w:r>
              <w:t xml:space="preserve"> or blood unit expires, VBECS does not automatically release an assigned blood unit: a user must release the unit.</w:t>
            </w:r>
          </w:p>
        </w:tc>
      </w:tr>
    </w:tbl>
    <w:p w:rsidR="00152357" w:rsidRDefault="00152357" w:rsidP="0015235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1C59D2">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1C59D2" w:rsidRDefault="003F0440" w:rsidP="002D126B">
            <w:pPr>
              <w:pStyle w:val="TableText"/>
              <w:rPr>
                <w:b/>
              </w:rPr>
            </w:pPr>
            <w:r w:rsidRPr="001C59D2">
              <w:rPr>
                <w:b/>
              </w:rPr>
              <w:lastRenderedPageBreak/>
              <w:t>Remove Final Status</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t>This option applies only to the release of units in final statuses.</w:t>
            </w:r>
          </w:p>
        </w:tc>
      </w:tr>
    </w:tbl>
    <w:p w:rsidR="0074084F" w:rsidRDefault="0074084F" w:rsidP="0015235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2B0F1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2B0F17" w:rsidRDefault="003F0440" w:rsidP="002D126B">
            <w:pPr>
              <w:pStyle w:val="TableText"/>
              <w:rPr>
                <w:b/>
              </w:rPr>
            </w:pPr>
            <w:r>
              <w:rPr>
                <w:b/>
              </w:rPr>
              <w:t>Screen Settings</w:t>
            </w:r>
          </w:p>
        </w:tc>
      </w:tr>
      <w:tr w:rsidR="003F0440" w:rsidRPr="002B0F1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rsidR="003F0440" w:rsidRPr="002B0F17" w:rsidRDefault="003F0440" w:rsidP="002D126B">
            <w:pPr>
              <w:pStyle w:val="TableText"/>
              <w:rPr>
                <w:b/>
              </w:rPr>
            </w:pPr>
            <w:r>
              <w:t>VBECS was designed to operate with the settings described in this section to display complete screens. Failure to maintain these settings may result in partial display of safety-critical information.</w:t>
            </w:r>
          </w:p>
        </w:tc>
      </w:tr>
    </w:tbl>
    <w:p w:rsidR="00320DAE" w:rsidRDefault="00320DAE" w:rsidP="00320DAE">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20DAE" w:rsidRPr="002B0F1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20DAE" w:rsidRPr="002B0F17" w:rsidRDefault="00320DAE" w:rsidP="004F5220">
            <w:pPr>
              <w:pStyle w:val="TableText"/>
              <w:rPr>
                <w:b/>
              </w:rPr>
            </w:pPr>
            <w:r>
              <w:rPr>
                <w:b/>
              </w:rPr>
              <w:t>Select Units</w:t>
            </w:r>
          </w:p>
        </w:tc>
      </w:tr>
      <w:tr w:rsidR="00320DAE" w:rsidRPr="002B0F17">
        <w:trPr>
          <w:cantSplit/>
          <w:hidden/>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rsidR="00320DAE" w:rsidRPr="00320DAE" w:rsidRDefault="00320DAE" w:rsidP="00320DAE">
            <w:pPr>
              <w:pStyle w:val="TableText"/>
            </w:pPr>
            <w:r>
              <w:rPr>
                <w:vanish/>
              </w:rPr>
              <w:t>Task 1,126</w:t>
            </w:r>
            <w:r>
              <w:t>When a u</w:t>
            </w:r>
            <w:r w:rsidRPr="00320DAE">
              <w:t>ser check</w:t>
            </w:r>
            <w:r>
              <w:t>s</w:t>
            </w:r>
            <w:r w:rsidRPr="00320DAE">
              <w:t xml:space="preserve"> the </w:t>
            </w:r>
            <w:r>
              <w:t>“</w:t>
            </w:r>
            <w:r w:rsidRPr="00320DAE">
              <w:t xml:space="preserve">D </w:t>
            </w:r>
            <w:r>
              <w:t>P</w:t>
            </w:r>
            <w:r w:rsidRPr="00320DAE">
              <w:t>os</w:t>
            </w:r>
            <w:r>
              <w:t>”</w:t>
            </w:r>
            <w:r w:rsidRPr="00320DAE">
              <w:t xml:space="preserve"> or </w:t>
            </w:r>
            <w:r>
              <w:t>“</w:t>
            </w:r>
            <w:r w:rsidRPr="00320DAE">
              <w:t xml:space="preserve">D </w:t>
            </w:r>
            <w:r>
              <w:t>N</w:t>
            </w:r>
            <w:r w:rsidRPr="00320DAE">
              <w:t>eg</w:t>
            </w:r>
            <w:r>
              <w:t>”</w:t>
            </w:r>
            <w:r w:rsidRPr="00320DAE">
              <w:t xml:space="preserve"> check box to modify a search for blood</w:t>
            </w:r>
            <w:r>
              <w:t>, VBECS returns no units, regardless of the availability of units</w:t>
            </w:r>
            <w:r w:rsidRPr="00320DAE">
              <w:t xml:space="preserve">. </w:t>
            </w:r>
          </w:p>
        </w:tc>
      </w:tr>
      <w:tr w:rsidR="004E75A5" w:rsidRPr="002B0F17">
        <w:trPr>
          <w:cantSplit/>
          <w:hidden/>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rsidR="004E75A5" w:rsidRPr="004E75A5" w:rsidRDefault="004E75A5" w:rsidP="004E75A5">
            <w:pPr>
              <w:pStyle w:val="TableText"/>
            </w:pPr>
            <w:r w:rsidRPr="002338BC">
              <w:rPr>
                <w:vanish/>
              </w:rPr>
              <w:t xml:space="preserve">DR 2,578 </w:t>
            </w:r>
            <w:r>
              <w:t>VBECS does not allow a user to select a pool of mixed ABO/Rh units for a patient. Instead, the user must select random units for the patient and pool the mixed ABO/Rh units to allow</w:t>
            </w:r>
            <w:r w:rsidRPr="00971928">
              <w:t xml:space="preserve"> issue</w:t>
            </w:r>
            <w:r>
              <w:t>.</w:t>
            </w:r>
          </w:p>
        </w:tc>
      </w:tr>
      <w:tr w:rsidR="002D4F18" w:rsidRPr="002B0F17">
        <w:trPr>
          <w:cantSplit/>
          <w:hidden/>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rsidR="002D4F18" w:rsidRPr="002D4F18" w:rsidRDefault="002D4F18" w:rsidP="00505F89">
            <w:pPr>
              <w:pStyle w:val="TableText"/>
            </w:pPr>
            <w:r>
              <w:rPr>
                <w:vanish/>
              </w:rPr>
              <w:t>DR 2,808</w:t>
            </w:r>
            <w:r w:rsidR="00505F89" w:rsidRPr="004E4368">
              <w:t>VBECS displays a</w:t>
            </w:r>
            <w:r w:rsidR="00505F89">
              <w:t xml:space="preserve"> component</w:t>
            </w:r>
            <w:r w:rsidR="00505F89" w:rsidRPr="004E4368">
              <w:t xml:space="preserve"> order </w:t>
            </w:r>
            <w:r w:rsidR="00505F89">
              <w:t xml:space="preserve">as “filled” </w:t>
            </w:r>
            <w:r w:rsidR="00505F89" w:rsidRPr="004E4368">
              <w:t xml:space="preserve">when the number of units </w:t>
            </w:r>
            <w:r w:rsidR="00505F89">
              <w:t>transfused</w:t>
            </w:r>
            <w:r w:rsidR="00505F89" w:rsidRPr="004E4368">
              <w:t xml:space="preserve"> and the number of units ordered are the same.</w:t>
            </w:r>
            <w:r w:rsidR="00505F89">
              <w:t xml:space="preserve"> CPRS displays a component order as “completed” when the number of units ready for issue and the number of units ordered are the same. Therefore, CPRS displays the order as “completed” before VBECS displays the order as “filled.”</w:t>
            </w:r>
          </w:p>
        </w:tc>
      </w:tr>
    </w:tbl>
    <w:p w:rsidR="00C909C1" w:rsidRDefault="00C909C1" w:rsidP="0015235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2B0F1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2B0F17" w:rsidRDefault="003F0440" w:rsidP="002D126B">
            <w:pPr>
              <w:pStyle w:val="TableText"/>
              <w:rPr>
                <w:b/>
              </w:rPr>
            </w:pPr>
            <w:r w:rsidRPr="002B0F17">
              <w:rPr>
                <w:b/>
              </w:rPr>
              <w:t>Special Instructions &amp; Transfusion Requirements: Enter a Transfusion Requirement</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Default="003F0440" w:rsidP="002D126B">
            <w:pPr>
              <w:pStyle w:val="TableText"/>
            </w:pPr>
            <w:r>
              <w:t>Inactivation is defined and restricted by security level.</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rsidRPr="00CA6E27">
              <w:rPr>
                <w:bCs/>
              </w:rPr>
              <w:t>VistA</w:t>
            </w:r>
            <w:r>
              <w:t xml:space="preserve"> Special Instructions (SIs) from database conversion do not become Transfusion Requirements (TRs): they remain SIs. SIs are information only and are not enforced unless entered in the Component Requirements tab in Special Instructions &amp; Transfusion Requirements.</w:t>
            </w:r>
          </w:p>
        </w:tc>
      </w:tr>
    </w:tbl>
    <w:p w:rsidR="00152357" w:rsidRDefault="00152357" w:rsidP="0015235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FE21D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FE21D7" w:rsidRDefault="003F0440" w:rsidP="002D126B">
            <w:pPr>
              <w:pStyle w:val="TableText"/>
              <w:rPr>
                <w:b/>
              </w:rPr>
            </w:pPr>
            <w:r w:rsidRPr="00FE21D7">
              <w:rPr>
                <w:b/>
              </w:rPr>
              <w:t>Special Instructions &amp; Transfusion Requirements: Enter and Remove Special Instructions</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Default="00DD6B21" w:rsidP="00DD6B21">
            <w:pPr>
              <w:pStyle w:val="TableText"/>
            </w:pPr>
            <w:r>
              <w:t>VBECS does not enforce Transfusion Requirements (TRs) or antigen negative requirements entered through this option.</w:t>
            </w:r>
          </w:p>
        </w:tc>
      </w:tr>
      <w:tr w:rsidR="00DD6B21"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DD6B21" w:rsidRDefault="00DD6B21" w:rsidP="00DD6B21">
            <w:pPr>
              <w:pStyle w:val="TableText"/>
            </w:pPr>
            <w:r>
              <w:t>SIs moved to VBECS during the database conversion may contain information that must be entered as TRs in VBECS. Inactivate the old SI and create a TR and new updated SI: the database conversion software cannot automatically translate the SI from database conversion into a rule-based TR.</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Default="003F0440" w:rsidP="002D126B">
            <w:pPr>
              <w:pStyle w:val="TableText"/>
            </w:pPr>
            <w:r>
              <w:t>VBECS will truncate SI text longer than 255 characters from the VistA database conversion.</w:t>
            </w:r>
          </w:p>
        </w:tc>
      </w:tr>
    </w:tbl>
    <w:p w:rsidR="0045199A" w:rsidRDefault="0045199A" w:rsidP="0015235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355A2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355A27" w:rsidRDefault="003F0440" w:rsidP="002D126B">
            <w:pPr>
              <w:pStyle w:val="TableText"/>
              <w:rPr>
                <w:b/>
              </w:rPr>
            </w:pPr>
            <w:r w:rsidRPr="00355A27">
              <w:rPr>
                <w:b/>
              </w:rPr>
              <w:t>Supplies</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t xml:space="preserve">The division’s modification processes may allow or require the user to select previously entered supplies for association with a blood unit’s modification. An inventory of containers (transfer bags) and sterile connection device (SCD) wafers is </w:t>
            </w:r>
            <w:r>
              <w:rPr>
                <w:i/>
              </w:rPr>
              <w:t>required</w:t>
            </w:r>
            <w:r>
              <w:t xml:space="preserve"> for various modification processes. </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t>There is no retrospective data entry or user selection for th</w:t>
            </w:r>
            <w:r w:rsidR="00932460">
              <w:t>is option</w:t>
            </w:r>
            <w:r>
              <w:t>.</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t>The unsatisfactory portion of a shipment must be recorded individually.</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t>Each site must set a standard for recording quantity: it may use the number of cases or the number of units within the cases.</w:t>
            </w:r>
          </w:p>
        </w:tc>
      </w:tr>
    </w:tbl>
    <w:p w:rsidR="00DA5F37" w:rsidRDefault="00DA5F37" w:rsidP="00DA5F3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D01896">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D01896" w:rsidRDefault="003F0440" w:rsidP="002D126B">
            <w:pPr>
              <w:pStyle w:val="TableText"/>
              <w:rPr>
                <w:b/>
              </w:rPr>
            </w:pPr>
            <w:r w:rsidRPr="00D01896">
              <w:rPr>
                <w:b/>
              </w:rPr>
              <w:t>Transfusion Complications</w:t>
            </w:r>
            <w:r>
              <w:rPr>
                <w:b/>
              </w:rPr>
              <w:t xml:space="preserve"> Report</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t>The report does not include units in an issued status.</w:t>
            </w:r>
          </w:p>
        </w:tc>
      </w:tr>
    </w:tbl>
    <w:p w:rsidR="00C1162B" w:rsidRDefault="00C1162B" w:rsidP="00DA5F3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01AF4">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501AF4" w:rsidRDefault="003F0440" w:rsidP="002D126B">
            <w:pPr>
              <w:pStyle w:val="TableText"/>
              <w:rPr>
                <w:b/>
              </w:rPr>
            </w:pPr>
            <w:r>
              <w:rPr>
                <w:b/>
              </w:rPr>
              <w:t>Transfusion Effectiveness Report</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lastRenderedPageBreak/>
              <w:t>The report does not include VBECS diagnostic tests.</w:t>
            </w:r>
          </w:p>
        </w:tc>
      </w:tr>
    </w:tbl>
    <w:p w:rsidR="00DA5F37" w:rsidRDefault="00DA5F37" w:rsidP="00DA5F3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01AF4">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501AF4" w:rsidRDefault="003F0440" w:rsidP="002D126B">
            <w:pPr>
              <w:pStyle w:val="TableText"/>
              <w:rPr>
                <w:b/>
              </w:rPr>
            </w:pPr>
            <w:r>
              <w:rPr>
                <w:b/>
              </w:rPr>
              <w:t>Transfusion Requirements Report</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934D16" w:rsidP="00934D16">
            <w:pPr>
              <w:pStyle w:val="TableText"/>
            </w:pPr>
            <w:r w:rsidRPr="00B93109">
              <w:t xml:space="preserve">Deceased patient records do not appear on the report when </w:t>
            </w:r>
            <w:r>
              <w:t xml:space="preserve">they are </w:t>
            </w:r>
            <w:r w:rsidRPr="00B93109">
              <w:t>generated after the patient has been marked</w:t>
            </w:r>
            <w:r>
              <w:t xml:space="preserve"> as deceased</w:t>
            </w:r>
            <w:r w:rsidRPr="00B93109">
              <w:t xml:space="preserve"> in the VBECS database via a VistA Death Notification Update.</w:t>
            </w:r>
          </w:p>
        </w:tc>
      </w:tr>
    </w:tbl>
    <w:p w:rsidR="00590248" w:rsidRDefault="00590248" w:rsidP="00DA5F3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725902" w:rsidRDefault="003F0440" w:rsidP="002D126B">
            <w:pPr>
              <w:pStyle w:val="TableText"/>
            </w:pPr>
            <w:r w:rsidRPr="00501AF4">
              <w:rPr>
                <w:b/>
              </w:rPr>
              <w:t>Unit Antigen Typing</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t>Antigen typing applies only to blood products that contain red blood cells. This option does not address platelet, HLAs, or IgA antigenicity.</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t>VBECS does not check whether the lot and vial numbers selected for the positive control cells differ from those of the negative control cells.</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t>D antigen typing must not be combined in batch testing of Rh positive units.</w:t>
            </w:r>
          </w:p>
        </w:tc>
      </w:tr>
    </w:tbl>
    <w:p w:rsidR="00C84564" w:rsidRDefault="00C84564" w:rsidP="00C845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402919" w:rsidRDefault="003F0440" w:rsidP="002D126B">
            <w:pPr>
              <w:pStyle w:val="TableText"/>
              <w:rPr>
                <w:b/>
              </w:rPr>
            </w:pPr>
            <w:r>
              <w:rPr>
                <w:b/>
              </w:rPr>
              <w:t>Unit History Report</w:t>
            </w:r>
          </w:p>
        </w:tc>
      </w:tr>
      <w:tr w:rsidR="003F0440">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Default="003F0440" w:rsidP="002D126B">
            <w:pPr>
              <w:pStyle w:val="TableText"/>
            </w:pPr>
            <w:r>
              <w:t>The report is not multidivisional.</w:t>
            </w:r>
          </w:p>
        </w:tc>
      </w:tr>
      <w:tr w:rsidR="00DD7CAF" w:rsidRPr="00C06411">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DD7CAF" w:rsidRPr="00C06411" w:rsidRDefault="00DD7CAF" w:rsidP="005E39DA">
            <w:pPr>
              <w:pStyle w:val="TableText"/>
            </w:pPr>
            <w:r>
              <w:t xml:space="preserve">When a user retroactively updates a unit status through Discard or Quarantine, the Unit History Report displays the updated information, but does not display the date the change was made. </w:t>
            </w:r>
          </w:p>
        </w:tc>
      </w:tr>
    </w:tbl>
    <w:p w:rsidR="00DD7CAF" w:rsidRDefault="00DD7CAF" w:rsidP="00C845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DA7DE2">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DA7DE2" w:rsidRDefault="003F0440" w:rsidP="002D126B">
            <w:pPr>
              <w:pStyle w:val="TableText"/>
              <w:rPr>
                <w:b/>
              </w:rPr>
            </w:pPr>
            <w:r w:rsidRPr="00DA7DE2">
              <w:rPr>
                <w:b/>
              </w:rPr>
              <w:t>Update User Roles</w:t>
            </w:r>
          </w:p>
        </w:tc>
      </w:tr>
      <w:tr w:rsidR="003F0440" w:rsidRPr="00725902">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Default="003F0440" w:rsidP="002D126B">
            <w:pPr>
              <w:pStyle w:val="TableText"/>
            </w:pPr>
            <w:r>
              <w:rPr>
                <w:vanish/>
              </w:rPr>
              <w:t xml:space="preserve">BR_19.01, BR_19.03 </w:t>
            </w:r>
            <w:r>
              <w:t>One role at a time may be assigned to a user at a division. The role may be reset.</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Default="00DD0BFD" w:rsidP="00DD0BFD">
            <w:pPr>
              <w:pStyle w:val="TableText"/>
            </w:pPr>
            <w:r>
              <w:t xml:space="preserve">VBECS does not allow users </w:t>
            </w:r>
            <w:r w:rsidR="00AB565A">
              <w:rPr>
                <w:vanish/>
              </w:rPr>
              <w:t xml:space="preserve">BR_19.06 </w:t>
            </w:r>
            <w:r>
              <w:t>to edit or delete the sole Administrator/Supervisor.</w:t>
            </w:r>
          </w:p>
        </w:tc>
      </w:tr>
    </w:tbl>
    <w:p w:rsidR="00C84564" w:rsidRDefault="00C84564" w:rsidP="00C845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F506D">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7F506D" w:rsidRDefault="003F0440" w:rsidP="002D126B">
            <w:pPr>
              <w:pStyle w:val="TableText"/>
              <w:rPr>
                <w:b/>
              </w:rPr>
            </w:pPr>
            <w:r w:rsidRPr="007F506D">
              <w:rPr>
                <w:b/>
              </w:rPr>
              <w:t>Updated Patients and Deceased Patients</w:t>
            </w:r>
          </w:p>
        </w:tc>
      </w:tr>
      <w:tr w:rsidR="00D139EE"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D139EE" w:rsidRDefault="00D139EE" w:rsidP="00D139EE">
            <w:pPr>
              <w:pStyle w:val="TableText"/>
            </w:pPr>
            <w:r>
              <w:t>Demographic and death event updates do not display information for patients without pending or active orders in VBECS. Updates will occur without user input.</w:t>
            </w:r>
          </w:p>
        </w:tc>
      </w:tr>
      <w:tr w:rsidR="00D139EE"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D139EE" w:rsidRDefault="00D139EE" w:rsidP="00D139EE">
            <w:pPr>
              <w:pStyle w:val="TableText"/>
            </w:pPr>
            <w:r>
              <w:t xml:space="preserve">VBECS does not notify users of additional VistA patient updates or merges while the icon is displayed. When a user views an update and there is an unprocessed patient merge, the Patient Alert icon remains on the screen until the Traditional Supervisor completes the update and clears the icon. </w:t>
            </w:r>
          </w:p>
        </w:tc>
      </w:tr>
      <w:tr w:rsidR="00D139EE"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D139EE" w:rsidRDefault="00D139EE" w:rsidP="00D139EE">
            <w:pPr>
              <w:pStyle w:val="TableText"/>
            </w:pPr>
            <w:r>
              <w:t>When VBECS notifies a user of an update to a patient’s prefix or suffix, VBECS does not display the updated information: the user must access VistA to view the updated information.</w:t>
            </w:r>
            <w:r w:rsidRPr="00C805FB">
              <w:rPr>
                <w:vanish/>
              </w:rPr>
              <w:t xml:space="preserve"> </w:t>
            </w:r>
            <w:r>
              <w:rPr>
                <w:vanish/>
              </w:rPr>
              <w:t>DR 2,714</w:t>
            </w:r>
          </w:p>
        </w:tc>
      </w:tr>
    </w:tbl>
    <w:p w:rsidR="00C84564" w:rsidRDefault="00C84564" w:rsidP="00C845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FA7720">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3F0440" w:rsidRPr="00FA7720" w:rsidRDefault="003F0440" w:rsidP="002D126B">
            <w:pPr>
              <w:pStyle w:val="TableText"/>
              <w:rPr>
                <w:b/>
              </w:rPr>
            </w:pPr>
            <w:r w:rsidRPr="00FA7720">
              <w:rPr>
                <w:b/>
              </w:rPr>
              <w:t>Workload Codes</w:t>
            </w:r>
          </w:p>
        </w:tc>
      </w:tr>
      <w:tr w:rsidR="003F0440" w:rsidRPr="00725902">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rsidR="003F0440" w:rsidRPr="00725902" w:rsidRDefault="003F0440" w:rsidP="002D126B">
            <w:pPr>
              <w:pStyle w:val="TableText"/>
            </w:pPr>
            <w:r>
              <w:t>Transfusion-only sites must not map workload codes to processes such as ABO/Rh testing not performed on site.</w:t>
            </w:r>
          </w:p>
        </w:tc>
      </w:tr>
    </w:tbl>
    <w:p w:rsidR="00BF2E8B" w:rsidRDefault="00BF2E8B" w:rsidP="00DD75E5">
      <w:pPr>
        <w:pStyle w:val="BodyText"/>
      </w:pPr>
    </w:p>
    <w:p w:rsidR="00024989" w:rsidRDefault="00BF2E8B" w:rsidP="00BF2E8B">
      <w:pPr>
        <w:pStyle w:val="BodyText"/>
        <w:jc w:val="center"/>
      </w:pPr>
      <w:r>
        <w:br w:type="page"/>
      </w:r>
      <w:r>
        <w:lastRenderedPageBreak/>
        <w:t>This page intentionally left blank.</w:t>
      </w:r>
    </w:p>
    <w:p w:rsidR="000E07D2" w:rsidRDefault="000E07D2" w:rsidP="004776BB">
      <w:pPr>
        <w:pStyle w:val="BodyText"/>
        <w:jc w:val="center"/>
      </w:pPr>
    </w:p>
    <w:p w:rsidR="00D9569F" w:rsidRDefault="00024989" w:rsidP="00AF2D0E">
      <w:pPr>
        <w:pStyle w:val="Heading2"/>
      </w:pPr>
      <w:r>
        <w:br w:type="page"/>
      </w:r>
      <w:bookmarkStart w:id="707" w:name="_Toc459900213"/>
      <w:r w:rsidR="00D9569F">
        <w:lastRenderedPageBreak/>
        <w:t xml:space="preserve">Appendix </w:t>
      </w:r>
      <w:r w:rsidR="00D9569F">
        <w:fldChar w:fldCharType="begin"/>
      </w:r>
      <w:r w:rsidR="00D9569F">
        <w:instrText xml:space="preserve"> SEQ Appendix \* ALPHABETIC </w:instrText>
      </w:r>
      <w:r w:rsidR="00D9569F">
        <w:fldChar w:fldCharType="separate"/>
      </w:r>
      <w:r w:rsidR="005F38BC">
        <w:rPr>
          <w:noProof/>
        </w:rPr>
        <w:t>E</w:t>
      </w:r>
      <w:r w:rsidR="00D9569F">
        <w:fldChar w:fldCharType="end"/>
      </w:r>
      <w:r w:rsidR="00D9569F">
        <w:t>: Known Defects and Anomalies</w:t>
      </w:r>
      <w:bookmarkEnd w:id="707"/>
      <w:r w:rsidR="00681D23">
        <w:fldChar w:fldCharType="begin"/>
      </w:r>
      <w:r w:rsidR="00681D23">
        <w:instrText xml:space="preserve"> XE "</w:instrText>
      </w:r>
      <w:r w:rsidR="00681D23" w:rsidRPr="00FB2A0A">
        <w:instrText>Known Defects and Anomalies</w:instrText>
      </w:r>
      <w:r w:rsidR="00681D23">
        <w:instrText xml:space="preserve">" </w:instrText>
      </w:r>
      <w:r w:rsidR="00681D23">
        <w:fldChar w:fldCharType="end"/>
      </w:r>
    </w:p>
    <w:p w:rsidR="00D9569F" w:rsidRDefault="00D9569F" w:rsidP="00D9569F">
      <w:pPr>
        <w:pStyle w:val="BodyText"/>
      </w:pPr>
      <w:r>
        <w:t xml:space="preserve">Copies of </w:t>
      </w:r>
      <w:r>
        <w:rPr>
          <w:i/>
        </w:rPr>
        <w:t>Known Defects and Anomalies</w:t>
      </w:r>
      <w:r>
        <w:t xml:space="preserve"> may be obtained from </w:t>
      </w:r>
      <w:r w:rsidR="00F20C8C">
        <w:t>the</w:t>
      </w:r>
      <w:r w:rsidR="00802EE9">
        <w:t xml:space="preserve"> VA Software Document Library W</w:t>
      </w:r>
      <w:r w:rsidR="00F20C8C">
        <w:t>eb site.</w:t>
      </w:r>
    </w:p>
    <w:p w:rsidR="000C342D" w:rsidRDefault="00D9569F" w:rsidP="000C342D">
      <w:pPr>
        <w:pStyle w:val="BodyText"/>
        <w:jc w:val="center"/>
      </w:pPr>
      <w:r>
        <w:br w:type="page"/>
      </w:r>
      <w:r w:rsidR="000C342D">
        <w:lastRenderedPageBreak/>
        <w:t>This page intentionally left blank.</w:t>
      </w:r>
    </w:p>
    <w:p w:rsidR="002A21AE" w:rsidRDefault="000C342D">
      <w:pPr>
        <w:pStyle w:val="Heading2"/>
      </w:pPr>
      <w:r>
        <w:br w:type="page"/>
      </w:r>
      <w:bookmarkStart w:id="708" w:name="_Toc459900214"/>
      <w:r w:rsidR="002A21AE">
        <w:lastRenderedPageBreak/>
        <w:t xml:space="preserve">Appendix </w:t>
      </w:r>
      <w:r w:rsidR="002A21AE">
        <w:fldChar w:fldCharType="begin"/>
      </w:r>
      <w:r w:rsidR="002A21AE">
        <w:instrText xml:space="preserve"> SEQ Appendix \* ALPHABETIC </w:instrText>
      </w:r>
      <w:r w:rsidR="002A21AE">
        <w:fldChar w:fldCharType="separate"/>
      </w:r>
      <w:r w:rsidR="005F38BC">
        <w:rPr>
          <w:noProof/>
        </w:rPr>
        <w:t>F</w:t>
      </w:r>
      <w:r w:rsidR="002A21AE">
        <w:fldChar w:fldCharType="end"/>
      </w:r>
      <w:r w:rsidR="002A21AE">
        <w:t>: System Validation</w:t>
      </w:r>
      <w:bookmarkEnd w:id="708"/>
      <w:r w:rsidR="002A21AE">
        <w:fldChar w:fldCharType="begin"/>
      </w:r>
      <w:r w:rsidR="002A21AE">
        <w:instrText xml:space="preserve"> XE </w:instrText>
      </w:r>
      <w:r w:rsidR="00FA7E65">
        <w:instrText>“</w:instrText>
      </w:r>
      <w:r w:rsidR="002A21AE">
        <w:instrText>System Validation</w:instrText>
      </w:r>
      <w:r w:rsidR="00FA7E65">
        <w:instrText>”</w:instrText>
      </w:r>
      <w:r w:rsidR="002A21AE">
        <w:instrText xml:space="preserve"> </w:instrText>
      </w:r>
      <w:r w:rsidR="002A21AE">
        <w:fldChar w:fldCharType="end"/>
      </w:r>
    </w:p>
    <w:p w:rsidR="002E3C00" w:rsidRDefault="002E3C00" w:rsidP="002E3C00">
      <w:pPr>
        <w:pStyle w:val="Heading3"/>
      </w:pPr>
      <w:bookmarkStart w:id="709" w:name="_Toc114462089"/>
      <w:bookmarkStart w:id="710" w:name="_Toc459900215"/>
      <w:r>
        <w:t>Introduction</w:t>
      </w:r>
      <w:bookmarkEnd w:id="709"/>
      <w:bookmarkEnd w:id="710"/>
      <w:r w:rsidR="00E21F36">
        <w:fldChar w:fldCharType="begin"/>
      </w:r>
      <w:r w:rsidR="00E21F36">
        <w:instrText xml:space="preserve"> XE " System Validation:</w:instrText>
      </w:r>
      <w:r w:rsidR="00E21F36" w:rsidRPr="0081226B">
        <w:instrText>Introduction</w:instrText>
      </w:r>
      <w:r w:rsidR="00E21F36">
        <w:instrText xml:space="preserve">" </w:instrText>
      </w:r>
      <w:r w:rsidR="00E21F36">
        <w:fldChar w:fldCharType="end"/>
      </w:r>
    </w:p>
    <w:p w:rsidR="00AB21DA" w:rsidRDefault="00AB21DA" w:rsidP="00AB21DA">
      <w:pPr>
        <w:pStyle w:val="BodyText"/>
      </w:pPr>
      <w:r>
        <w:t>Each facility is responsible for validating</w:t>
      </w:r>
      <w:r w:rsidRPr="00437093">
        <w:t xml:space="preserve"> </w:t>
      </w:r>
      <w:r>
        <w:t xml:space="preserve">the VBECS </w:t>
      </w:r>
      <w:r w:rsidRPr="00437093">
        <w:t xml:space="preserve">installation, operation, and </w:t>
      </w:r>
      <w:r>
        <w:t>performance</w:t>
      </w:r>
      <w:r w:rsidRPr="00437093">
        <w:t xml:space="preserve"> </w:t>
      </w:r>
      <w:r>
        <w:t>before</w:t>
      </w:r>
      <w:r w:rsidRPr="00437093">
        <w:t xml:space="preserve"> using </w:t>
      </w:r>
      <w:r>
        <w:t xml:space="preserve">VBECS </w:t>
      </w:r>
      <w:r w:rsidRPr="00437093">
        <w:t>in a live (production) environment.</w:t>
      </w:r>
      <w:r>
        <w:t xml:space="preserve"> This includes evaluating</w:t>
      </w:r>
      <w:r w:rsidRPr="00437093">
        <w:t xml:space="preserve"> local intend</w:t>
      </w:r>
      <w:r>
        <w:t>ed uses of the software and</w:t>
      </w:r>
      <w:r w:rsidR="00503461">
        <w:t xml:space="preserve"> changing settings </w:t>
      </w:r>
      <w:r w:rsidRPr="00437093">
        <w:t xml:space="preserve">to conform to </w:t>
      </w:r>
      <w:r>
        <w:t>the</w:t>
      </w:r>
      <w:r w:rsidRPr="00437093">
        <w:t xml:space="preserve"> facility’s procedures, processes, and policies. Use internal operating procedures and policies to validate that the software </w:t>
      </w:r>
      <w:r>
        <w:t>performs</w:t>
      </w:r>
      <w:r w:rsidRPr="00437093">
        <w:t xml:space="preserve"> in accordan</w:t>
      </w:r>
      <w:r>
        <w:t>c</w:t>
      </w:r>
      <w:r w:rsidRPr="00437093">
        <w:t>e with your site’s parameters.</w:t>
      </w:r>
      <w:r w:rsidR="00066BE2">
        <w:t xml:space="preserve"> </w:t>
      </w:r>
      <w:r w:rsidR="00EF39BA">
        <w:t>Determine the level of validation required for c</w:t>
      </w:r>
      <w:r w:rsidR="00066BE2">
        <w:t>hanges to h</w:t>
      </w:r>
      <w:r w:rsidR="00EF39BA">
        <w:t>ardware and software</w:t>
      </w:r>
      <w:r w:rsidR="00066BE2">
        <w:t>.</w:t>
      </w:r>
    </w:p>
    <w:p w:rsidR="0096773B" w:rsidRDefault="0096773B" w:rsidP="0096773B">
      <w:pPr>
        <w:pStyle w:val="Caution"/>
        <w:rPr>
          <w:szCs w:val="15"/>
        </w:rPr>
      </w:pPr>
      <w:r w:rsidRPr="009830A4">
        <w:t xml:space="preserve">This section describes only basic system validation. Sample test scripts are available from the </w:t>
      </w:r>
      <w:r w:rsidRPr="004002F6">
        <w:t>National Training &amp; Education Office</w:t>
      </w:r>
      <w:r w:rsidRPr="009830A4">
        <w:t xml:space="preserve"> </w:t>
      </w:r>
      <w:r>
        <w:t>(</w:t>
      </w:r>
      <w:r w:rsidRPr="009830A4">
        <w:t>NT&amp;EO</w:t>
      </w:r>
      <w:r>
        <w:t>)</w:t>
      </w:r>
      <w:r w:rsidRPr="009830A4">
        <w:t>.</w:t>
      </w:r>
    </w:p>
    <w:p w:rsidR="009D2266" w:rsidRDefault="009D2266" w:rsidP="009D2266">
      <w:pPr>
        <w:pStyle w:val="Heading3"/>
      </w:pPr>
      <w:bookmarkStart w:id="711" w:name="_Toc459900216"/>
      <w:r>
        <w:t>Validation Plan</w:t>
      </w:r>
      <w:bookmarkEnd w:id="711"/>
      <w:r w:rsidR="00AB21DA">
        <w:fldChar w:fldCharType="begin"/>
      </w:r>
      <w:r w:rsidR="00AB21DA">
        <w:instrText xml:space="preserve"> XE " System Validation:Validation Plan" </w:instrText>
      </w:r>
      <w:r w:rsidR="00AB21DA">
        <w:fldChar w:fldCharType="end"/>
      </w:r>
    </w:p>
    <w:p w:rsidR="001F3C29" w:rsidRDefault="009D2266" w:rsidP="001F3C29">
      <w:pPr>
        <w:pStyle w:val="BodyText"/>
      </w:pPr>
      <w:r w:rsidRPr="00437093">
        <w:t xml:space="preserve">Write a </w:t>
      </w:r>
      <w:r>
        <w:t>validation</w:t>
      </w:r>
      <w:r w:rsidRPr="00437093">
        <w:t xml:space="preserve"> plan</w:t>
      </w:r>
      <w:r>
        <w:t xml:space="preserve"> with clearly stated goals and strategies</w:t>
      </w:r>
      <w:r w:rsidRPr="00437093">
        <w:t xml:space="preserve"> to demonstrate that </w:t>
      </w:r>
      <w:r>
        <w:t xml:space="preserve">the system hardware, application, </w:t>
      </w:r>
      <w:r w:rsidRPr="00437093">
        <w:t>new feature</w:t>
      </w:r>
      <w:r>
        <w:t>s,</w:t>
      </w:r>
      <w:r w:rsidRPr="00437093">
        <w:t xml:space="preserve"> </w:t>
      </w:r>
      <w:r>
        <w:t>and</w:t>
      </w:r>
      <w:r w:rsidRPr="00437093">
        <w:t xml:space="preserve"> software patch</w:t>
      </w:r>
      <w:r>
        <w:t>es</w:t>
      </w:r>
      <w:r w:rsidRPr="00437093">
        <w:t xml:space="preserve"> function as expected in your facility’s environment.</w:t>
      </w:r>
      <w:r>
        <w:t xml:space="preserve"> Include descriptions of documents, hardware and software Verification &amp; Validation (V&amp;V) tools, techniques, methods, and operating and test environments to be used. </w:t>
      </w:r>
      <w:r w:rsidR="001F3C29" w:rsidRPr="00437093">
        <w:t xml:space="preserve">Determine </w:t>
      </w:r>
      <w:r w:rsidR="001F3C29">
        <w:t xml:space="preserve">and document </w:t>
      </w:r>
      <w:r w:rsidR="001F3C29" w:rsidRPr="00437093">
        <w:t>when an option is not applicable to your facilit</w:t>
      </w:r>
      <w:r w:rsidR="001F3C29">
        <w:t>y and does not require testing.</w:t>
      </w:r>
    </w:p>
    <w:p w:rsidR="009D2266" w:rsidRDefault="009D2266" w:rsidP="001F3C29">
      <w:pPr>
        <w:pStyle w:val="BodyText"/>
      </w:pPr>
      <w:r>
        <w:t xml:space="preserve">You may separate this plan into three major sections: </w:t>
      </w:r>
    </w:p>
    <w:p w:rsidR="009D2266" w:rsidRPr="009D2266" w:rsidRDefault="009D2266" w:rsidP="009D2266">
      <w:pPr>
        <w:pStyle w:val="Heading4"/>
        <w:rPr>
          <w:vertAlign w:val="superscript"/>
        </w:rPr>
      </w:pPr>
      <w:r>
        <w:t xml:space="preserve">Installation Qualification </w:t>
      </w:r>
      <w:r w:rsidR="00AB21DA">
        <w:fldChar w:fldCharType="begin"/>
      </w:r>
      <w:r w:rsidR="00AB21DA">
        <w:instrText xml:space="preserve"> XE " System Validation:Installation Qualification" </w:instrText>
      </w:r>
      <w:r w:rsidR="00AB21DA">
        <w:fldChar w:fldCharType="end"/>
      </w:r>
    </w:p>
    <w:p w:rsidR="009D2266" w:rsidRPr="009D2266" w:rsidRDefault="00AB21DA" w:rsidP="009D2266">
      <w:pPr>
        <w:pStyle w:val="BodyText"/>
        <w:rPr>
          <w:vertAlign w:val="superscript"/>
        </w:rPr>
      </w:pPr>
      <w:r>
        <w:t xml:space="preserve">The Installation Qualification (IQ) section includes </w:t>
      </w:r>
      <w:r w:rsidR="009D2266" w:rsidRPr="00437093">
        <w:t>system identification, definition of physical properties, interfaces and peripheral devices</w:t>
      </w:r>
      <w:r w:rsidR="009D2266">
        <w:t>,</w:t>
      </w:r>
      <w:r w:rsidR="009D2266" w:rsidRPr="00437093">
        <w:t xml:space="preserve"> and general functionality.</w:t>
      </w:r>
      <w:r w:rsidR="009D2266">
        <w:t xml:space="preserve"> Determine what types of testing must be done</w:t>
      </w:r>
      <w:r w:rsidR="003A7C77">
        <w:t>. C</w:t>
      </w:r>
      <w:r w:rsidR="009D2266">
        <w:t>reate test cases</w:t>
      </w:r>
      <w:r w:rsidR="009D2266" w:rsidRPr="00437093">
        <w:t xml:space="preserve"> in accordance with your </w:t>
      </w:r>
      <w:r w:rsidR="009D2266">
        <w:t>internal procedures</w:t>
      </w:r>
      <w:r w:rsidR="00F1479E">
        <w:t xml:space="preserve"> and intended use</w:t>
      </w:r>
      <w:r w:rsidR="009D2266">
        <w:t xml:space="preserve">. </w:t>
      </w:r>
    </w:p>
    <w:p w:rsidR="009D2266" w:rsidRPr="009D2266" w:rsidRDefault="009D2266" w:rsidP="009D2266">
      <w:pPr>
        <w:pStyle w:val="BodyText"/>
        <w:rPr>
          <w:vertAlign w:val="superscript"/>
        </w:rPr>
      </w:pPr>
      <w:r>
        <w:t xml:space="preserve">Apply </w:t>
      </w:r>
      <w:r w:rsidRPr="00437093">
        <w:t xml:space="preserve">review, analysis, and testing techniques to determine whether </w:t>
      </w:r>
      <w:r>
        <w:t>VBECS hardware and peripheral components co</w:t>
      </w:r>
      <w:r w:rsidRPr="00437093">
        <w:t>mply with requirements</w:t>
      </w:r>
      <w:r>
        <w:t>, including</w:t>
      </w:r>
      <w:r w:rsidRPr="00437093">
        <w:t xml:space="preserve"> functionality and attributes such as consistency, safety, and security.</w:t>
      </w:r>
      <w:r>
        <w:t xml:space="preserve"> </w:t>
      </w:r>
    </w:p>
    <w:p w:rsidR="009D2266" w:rsidRDefault="009D2266" w:rsidP="009D2266">
      <w:pPr>
        <w:pStyle w:val="Heading4"/>
      </w:pPr>
      <w:r>
        <w:t>Operational Qualificati</w:t>
      </w:r>
      <w:r w:rsidR="00AB21DA">
        <w:t>on</w:t>
      </w:r>
      <w:r w:rsidR="00AB21DA">
        <w:fldChar w:fldCharType="begin"/>
      </w:r>
      <w:r w:rsidR="00AB21DA">
        <w:instrText xml:space="preserve"> XE " System Validation:Operational Qualification" </w:instrText>
      </w:r>
      <w:r w:rsidR="00AB21DA">
        <w:fldChar w:fldCharType="end"/>
      </w:r>
    </w:p>
    <w:p w:rsidR="008F2FBA" w:rsidRDefault="00AB21DA" w:rsidP="009D2266">
      <w:pPr>
        <w:pStyle w:val="BodyText"/>
      </w:pPr>
      <w:r>
        <w:t>The Operational Qualification (OQ) section includes</w:t>
      </w:r>
      <w:r w:rsidR="009D2266">
        <w:t xml:space="preserve"> testing the software</w:t>
      </w:r>
      <w:r w:rsidR="009C7E9A">
        <w:t xml:space="preserve"> (</w:t>
      </w:r>
      <w:r w:rsidR="009C4EA7" w:rsidRPr="00437093">
        <w:t xml:space="preserve">the </w:t>
      </w:r>
      <w:r w:rsidR="009C4EA7">
        <w:t>primary validation</w:t>
      </w:r>
      <w:r w:rsidR="009C4EA7" w:rsidRPr="00437093">
        <w:t xml:space="preserve"> activity</w:t>
      </w:r>
      <w:r w:rsidR="009C7E9A">
        <w:t>)</w:t>
      </w:r>
      <w:r w:rsidR="009D2266">
        <w:t>. Use your OQ to</w:t>
      </w:r>
      <w:r w:rsidR="009D2266" w:rsidRPr="00437093">
        <w:t xml:space="preserve"> challenge </w:t>
      </w:r>
      <w:r w:rsidR="0025598B">
        <w:t xml:space="preserve">VBECS </w:t>
      </w:r>
      <w:r w:rsidR="009D2266" w:rsidRPr="00437093">
        <w:t xml:space="preserve">and </w:t>
      </w:r>
      <w:r w:rsidR="0025598B">
        <w:t>the connection to VistA</w:t>
      </w:r>
      <w:r w:rsidR="005857F1">
        <w:t>.</w:t>
      </w:r>
      <w:r w:rsidR="009D2266" w:rsidRPr="00437093">
        <w:t xml:space="preserve"> </w:t>
      </w:r>
      <w:r w:rsidR="009D2266">
        <w:t>Base t</w:t>
      </w:r>
      <w:r w:rsidR="009D2266" w:rsidRPr="00437093">
        <w:t xml:space="preserve">he number and types of tests on the criticality of the </w:t>
      </w:r>
      <w:r w:rsidR="009D2266">
        <w:t>software function. The focus of this validation is to test the limits of what the system allows you to do, not how the system will be used.</w:t>
      </w:r>
      <w:r w:rsidR="009D2266" w:rsidRPr="009D2266">
        <w:t xml:space="preserve"> </w:t>
      </w:r>
      <w:r w:rsidR="008F2FBA">
        <w:t xml:space="preserve">Each facility will have a different level of validation based on local </w:t>
      </w:r>
      <w:r w:rsidR="00066BE2">
        <w:t>practices</w:t>
      </w:r>
      <w:r w:rsidR="008F2FBA">
        <w:t>.</w:t>
      </w:r>
    </w:p>
    <w:p w:rsidR="008F2FBA" w:rsidRDefault="009D2266" w:rsidP="009D2266">
      <w:pPr>
        <w:pStyle w:val="BodyText"/>
      </w:pPr>
      <w:r>
        <w:t>Analyze risks to ensure that</w:t>
      </w:r>
      <w:r w:rsidRPr="00437093">
        <w:t xml:space="preserve"> the scope and degree of validation</w:t>
      </w:r>
      <w:r>
        <w:t xml:space="preserve"> are</w:t>
      </w:r>
      <w:r w:rsidRPr="00437093">
        <w:t xml:space="preserve"> </w:t>
      </w:r>
      <w:r w:rsidR="00F1479E">
        <w:t>appropriate</w:t>
      </w:r>
      <w:r w:rsidRPr="00437093">
        <w:t xml:space="preserve">. </w:t>
      </w:r>
      <w:r>
        <w:t>(A</w:t>
      </w:r>
      <w:r w:rsidRPr="00437093">
        <w:t xml:space="preserve"> system </w:t>
      </w:r>
      <w:r>
        <w:t>error that may</w:t>
      </w:r>
      <w:r w:rsidRPr="00437093">
        <w:t xml:space="preserve"> result in direct and severe patient harm require</w:t>
      </w:r>
      <w:r>
        <w:t>s</w:t>
      </w:r>
      <w:r w:rsidRPr="00437093">
        <w:t xml:space="preserve"> more </w:t>
      </w:r>
      <w:r>
        <w:t>detailed and rigorous</w:t>
      </w:r>
      <w:r w:rsidRPr="00437093">
        <w:t xml:space="preserve"> </w:t>
      </w:r>
      <w:r>
        <w:t>testing than one</w:t>
      </w:r>
      <w:r w:rsidRPr="00437093">
        <w:t xml:space="preserve"> that </w:t>
      </w:r>
      <w:r>
        <w:t>may have</w:t>
      </w:r>
      <w:r w:rsidRPr="00437093">
        <w:t xml:space="preserve"> minor consequences.</w:t>
      </w:r>
      <w:r>
        <w:t xml:space="preserve">) </w:t>
      </w:r>
    </w:p>
    <w:p w:rsidR="009D2266" w:rsidRDefault="009D2266" w:rsidP="009D2266">
      <w:pPr>
        <w:pStyle w:val="BodyText"/>
      </w:pPr>
      <w:r>
        <w:t>Create a t</w:t>
      </w:r>
      <w:r w:rsidRPr="00437093">
        <w:t xml:space="preserve">esting environment as </w:t>
      </w:r>
      <w:r>
        <w:t>much like</w:t>
      </w:r>
      <w:r w:rsidRPr="00437093">
        <w:t xml:space="preserve"> the production environment as possible.</w:t>
      </w:r>
      <w:r>
        <w:t xml:space="preserve"> Design t</w:t>
      </w:r>
      <w:r w:rsidRPr="00437093">
        <w:t>est case</w:t>
      </w:r>
      <w:r>
        <w:t>s to:</w:t>
      </w:r>
    </w:p>
    <w:p w:rsidR="009D2266" w:rsidRPr="003409A2" w:rsidRDefault="009D2266" w:rsidP="009D2266">
      <w:pPr>
        <w:pStyle w:val="ListBullet"/>
      </w:pPr>
      <w:r w:rsidRPr="003409A2">
        <w:t>Address critical software functions.</w:t>
      </w:r>
    </w:p>
    <w:p w:rsidR="009D2266" w:rsidRPr="007108E9" w:rsidRDefault="009D2266" w:rsidP="009D2266">
      <w:pPr>
        <w:pStyle w:val="ListBullet"/>
      </w:pPr>
      <w:r w:rsidRPr="007108E9">
        <w:t>Detect failures and flaws.</w:t>
      </w:r>
    </w:p>
    <w:p w:rsidR="009D2266" w:rsidRPr="00437093" w:rsidRDefault="009D2266" w:rsidP="009D2266">
      <w:pPr>
        <w:pStyle w:val="ListBullet"/>
      </w:pPr>
      <w:r w:rsidRPr="007108E9">
        <w:t xml:space="preserve">Verify and challenge system </w:t>
      </w:r>
      <w:r w:rsidR="00803E72">
        <w:t>functions and limitations</w:t>
      </w:r>
      <w:r w:rsidRPr="007108E9">
        <w:t>,</w:t>
      </w:r>
      <w:r w:rsidR="00A41AB9">
        <w:t xml:space="preserve"> and user documentation.</w:t>
      </w:r>
    </w:p>
    <w:p w:rsidR="009D2266" w:rsidRPr="009D2266" w:rsidRDefault="009D2266" w:rsidP="009D2266">
      <w:pPr>
        <w:pStyle w:val="BodyText"/>
      </w:pPr>
      <w:r w:rsidRPr="009D2266">
        <w:lastRenderedPageBreak/>
        <w:t xml:space="preserve">Verify data from VistA displayed in VBECS and data from VBECS displayed in VistA. </w:t>
      </w:r>
      <w:r w:rsidR="00BE2EB7">
        <w:t>(</w:t>
      </w:r>
      <w:r w:rsidRPr="009D2266">
        <w:t>Results will vary based on your VBECS settings.</w:t>
      </w:r>
      <w:r w:rsidR="00BE2EB7">
        <w:t>)</w:t>
      </w:r>
      <w:r w:rsidRPr="009D2266">
        <w:t xml:space="preserve"> Evaluate the output of the testing and determine whether the test passed or failed.</w:t>
      </w:r>
    </w:p>
    <w:p w:rsidR="009D2266" w:rsidRPr="009D2266" w:rsidRDefault="009D2266" w:rsidP="009D2266">
      <w:pPr>
        <w:pStyle w:val="BodyText"/>
      </w:pPr>
      <w:r w:rsidRPr="009D2266">
        <w:t>Maintain evidence of software testing, as part of the validation record, in accordance with standards established by accrediting agencies associated with the blood bank and laboratory. Include, at minimum, your inputs, outputs, and evidence that tests performed were satisfactory or unsatisfactory. (You may record input manually, make copies of unit labels or patient information, capture screen shots</w:t>
      </w:r>
      <w:r w:rsidR="00BE2EB7">
        <w:rPr>
          <w:rStyle w:val="FootnoteReference"/>
        </w:rPr>
        <w:footnoteReference w:id="7"/>
      </w:r>
      <w:r w:rsidRPr="009D2266">
        <w:t xml:space="preserve"> from VistA and VBECS, print various reports, etc.)</w:t>
      </w:r>
    </w:p>
    <w:p w:rsidR="009D2266" w:rsidRDefault="00AB21DA" w:rsidP="009D2266">
      <w:pPr>
        <w:pStyle w:val="Heading4"/>
      </w:pPr>
      <w:r>
        <w:t>Performance Qualification</w:t>
      </w:r>
      <w:r>
        <w:fldChar w:fldCharType="begin"/>
      </w:r>
      <w:r>
        <w:instrText xml:space="preserve"> XE " System Validation:Performance Qualification" </w:instrText>
      </w:r>
      <w:r>
        <w:fldChar w:fldCharType="end"/>
      </w:r>
    </w:p>
    <w:p w:rsidR="009D2266" w:rsidRDefault="00AB21DA" w:rsidP="009D2266">
      <w:pPr>
        <w:pStyle w:val="BodyText"/>
      </w:pPr>
      <w:r>
        <w:t>The Performance Qualification (PQ) section focuses</w:t>
      </w:r>
      <w:r w:rsidR="009D2266">
        <w:t xml:space="preserve"> on the integration of the application and processes into your facility. This begins with the revision of Standard Operation Procedures (SOPs) and policies to include the proper use of the new system. Once the SOPs are in place and validated, train the users. Ensure that training materials and records are complete before allowing users to operate the system. Document the validation, including:</w:t>
      </w:r>
    </w:p>
    <w:p w:rsidR="009D2266" w:rsidRPr="001124B5" w:rsidRDefault="009D2266" w:rsidP="009D2266">
      <w:pPr>
        <w:pStyle w:val="ListBullet"/>
      </w:pPr>
      <w:r>
        <w:t>P</w:t>
      </w:r>
      <w:r w:rsidRPr="001124B5">
        <w:t>ersonnel participating in validation activities</w:t>
      </w:r>
    </w:p>
    <w:p w:rsidR="009D2266" w:rsidRDefault="009D2266" w:rsidP="009D2266">
      <w:pPr>
        <w:pStyle w:val="ListBullet"/>
      </w:pPr>
      <w:r>
        <w:t>H</w:t>
      </w:r>
      <w:r w:rsidRPr="001124B5">
        <w:t xml:space="preserve">ardware and software change </w:t>
      </w:r>
      <w:r>
        <w:t>controls</w:t>
      </w:r>
    </w:p>
    <w:p w:rsidR="009D2266" w:rsidRDefault="009D2266" w:rsidP="009D2266">
      <w:pPr>
        <w:pStyle w:val="ListBullet"/>
      </w:pPr>
      <w:r>
        <w:t>Testing results</w:t>
      </w:r>
    </w:p>
    <w:p w:rsidR="009D2266" w:rsidRPr="001124B5" w:rsidRDefault="009D2266" w:rsidP="009D2266">
      <w:pPr>
        <w:pStyle w:val="ListBullet"/>
      </w:pPr>
      <w:r w:rsidRPr="001124B5">
        <w:t>SOP reviews, training plans, installation and implementation</w:t>
      </w:r>
    </w:p>
    <w:p w:rsidR="009D2266" w:rsidRPr="001124B5" w:rsidRDefault="009D2266" w:rsidP="009D2266">
      <w:pPr>
        <w:pStyle w:val="ListBullet"/>
      </w:pPr>
      <w:r>
        <w:t>Evaluation and acceptance</w:t>
      </w:r>
    </w:p>
    <w:p w:rsidR="009D2266" w:rsidRDefault="009D2266" w:rsidP="009D2266">
      <w:pPr>
        <w:pStyle w:val="ListBullet"/>
      </w:pPr>
      <w:r>
        <w:t>R</w:t>
      </w:r>
      <w:r w:rsidRPr="001124B5">
        <w:t>eview a</w:t>
      </w:r>
      <w:r>
        <w:t>nd approval authority and dates</w:t>
      </w:r>
    </w:p>
    <w:p w:rsidR="005556BB" w:rsidRPr="00437093" w:rsidRDefault="005556BB" w:rsidP="005556BB">
      <w:pPr>
        <w:pStyle w:val="Heading3"/>
      </w:pPr>
      <w:bookmarkStart w:id="712" w:name="_Toc459900217"/>
      <w:r w:rsidRPr="00437093">
        <w:t>Prerequisites</w:t>
      </w:r>
      <w:bookmarkEnd w:id="712"/>
      <w:r>
        <w:fldChar w:fldCharType="begin"/>
      </w:r>
      <w:r>
        <w:instrText xml:space="preserve"> XE " System Validation:Prerequisites" </w:instrText>
      </w:r>
      <w:r>
        <w:fldChar w:fldCharType="end"/>
      </w:r>
    </w:p>
    <w:p w:rsidR="005556BB" w:rsidRPr="00437093" w:rsidRDefault="005556BB" w:rsidP="005556BB">
      <w:pPr>
        <w:pStyle w:val="BodyText"/>
      </w:pPr>
      <w:r w:rsidRPr="00437093">
        <w:t xml:space="preserve">Perform these tasks for test and production environments in VBECS before </w:t>
      </w:r>
      <w:r>
        <w:t>you test</w:t>
      </w:r>
      <w:r w:rsidRPr="00437093">
        <w:t xml:space="preserve"> the application:</w:t>
      </w:r>
    </w:p>
    <w:p w:rsidR="005556BB" w:rsidRPr="009D2266" w:rsidRDefault="005556BB" w:rsidP="005556BB">
      <w:pPr>
        <w:pStyle w:val="ListBullet"/>
      </w:pPr>
      <w:r w:rsidRPr="009D2266">
        <w:t>Install required patches in your VistA test and production environments.</w:t>
      </w:r>
    </w:p>
    <w:p w:rsidR="005556BB" w:rsidRPr="009D2266" w:rsidRDefault="005556BB" w:rsidP="005556BB">
      <w:pPr>
        <w:pStyle w:val="ListBullet"/>
      </w:pPr>
      <w:r w:rsidRPr="009D2266">
        <w:t>Install VBECS.</w:t>
      </w:r>
    </w:p>
    <w:p w:rsidR="005556BB" w:rsidRDefault="005556BB" w:rsidP="005556BB">
      <w:pPr>
        <w:pStyle w:val="ListBullet"/>
      </w:pPr>
      <w:r w:rsidRPr="009D2266">
        <w:t>Complet</w:t>
      </w:r>
      <w:r w:rsidRPr="00437093">
        <w:t>e the database conversion.</w:t>
      </w:r>
    </w:p>
    <w:p w:rsidR="005556BB" w:rsidRPr="001124B5" w:rsidRDefault="005556BB" w:rsidP="005556BB">
      <w:pPr>
        <w:pStyle w:val="ListBullet"/>
      </w:pPr>
      <w:r>
        <w:t>Record system settings.</w:t>
      </w:r>
    </w:p>
    <w:p w:rsidR="005556BB" w:rsidRDefault="00BE2EB7" w:rsidP="005556BB">
      <w:pPr>
        <w:pStyle w:val="Heading3"/>
      </w:pPr>
      <w:r>
        <w:br w:type="page"/>
      </w:r>
      <w:bookmarkStart w:id="713" w:name="_Toc459900218"/>
      <w:r w:rsidR="005556BB">
        <w:lastRenderedPageBreak/>
        <w:t>Record System Settings</w:t>
      </w:r>
      <w:bookmarkEnd w:id="713"/>
      <w:r w:rsidR="005556BB">
        <w:fldChar w:fldCharType="begin"/>
      </w:r>
      <w:r w:rsidR="005556BB">
        <w:instrText xml:space="preserve"> XE " System Validation:Record System Settings" </w:instrText>
      </w:r>
      <w:r w:rsidR="005556BB">
        <w:fldChar w:fldCharType="end"/>
      </w:r>
    </w:p>
    <w:p w:rsidR="00AB21DA" w:rsidRDefault="00AB21DA" w:rsidP="00AB21DA">
      <w:pPr>
        <w:pStyle w:val="BodyText"/>
        <w:rPr>
          <w:szCs w:val="15"/>
        </w:rPr>
      </w:pPr>
      <w:r>
        <w:rPr>
          <w:szCs w:val="15"/>
        </w:rPr>
        <w:t>These sections describe how to capture system settings in preparation for validation.</w:t>
      </w:r>
    </w:p>
    <w:p w:rsidR="002E3C00" w:rsidRDefault="002E3C00" w:rsidP="002E3C00">
      <w:pPr>
        <w:pStyle w:val="Heading3"/>
      </w:pPr>
      <w:bookmarkStart w:id="714" w:name="_Toc114462094"/>
      <w:bookmarkStart w:id="715" w:name="_Toc459900219"/>
      <w:r>
        <w:t>Configure Division</w:t>
      </w:r>
      <w:bookmarkEnd w:id="714"/>
      <w:bookmarkEnd w:id="715"/>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Configure Division</w:instrText>
      </w:r>
      <w:r w:rsidR="00992E88">
        <w:instrText xml:space="preserve">" </w:instrText>
      </w:r>
      <w:r w:rsidR="00992E88">
        <w:fldChar w:fldCharType="end"/>
      </w:r>
    </w:p>
    <w:p w:rsidR="002E3C00" w:rsidRDefault="002E3C00" w:rsidP="002E3C00">
      <w:pPr>
        <w:pStyle w:val="BodyText"/>
      </w:pPr>
      <w:r>
        <w:t xml:space="preserve">A user defines site parameters that affect how VBECS behaves at a specific division. VBECS may be configured to function differently at each division within a consolidated database. Site parameters may be redefined. </w:t>
      </w:r>
    </w:p>
    <w:p w:rsidR="002E3C00" w:rsidRDefault="002E3C00" w:rsidP="002E3C00">
      <w:pPr>
        <w:pStyle w:val="Heading4"/>
        <w:rPr>
          <w:b w:val="0"/>
        </w:rPr>
      </w:pPr>
      <w:r>
        <w:t>User Roles with Access to This Option</w:t>
      </w:r>
      <w:r>
        <w:rPr>
          <w:b w:val="0"/>
        </w:rPr>
        <w:t xml:space="preserve"> </w:t>
      </w:r>
    </w:p>
    <w:p w:rsidR="002E3C00" w:rsidRDefault="002E3C00" w:rsidP="002E3C00">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rsidR="002E3C00" w:rsidRDefault="00B74754" w:rsidP="002E3C00">
      <w:pPr>
        <w:pStyle w:val="Heading4"/>
      </w:pPr>
      <w:r>
        <w:t>Preparation for Testing</w:t>
      </w:r>
    </w:p>
    <w:p w:rsidR="004635C9" w:rsidRDefault="002E3C00" w:rsidP="002F6D7B">
      <w:pPr>
        <w:pStyle w:val="ListNumber"/>
        <w:numPr>
          <w:ilvl w:val="0"/>
          <w:numId w:val="21"/>
        </w:numPr>
        <w:tabs>
          <w:tab w:val="clear" w:pos="720"/>
          <w:tab w:val="num" w:pos="360"/>
        </w:tabs>
        <w:ind w:left="360"/>
      </w:pPr>
      <w:r>
        <w:t xml:space="preserve">Select </w:t>
      </w:r>
      <w:r w:rsidRPr="00600497">
        <w:rPr>
          <w:b/>
        </w:rPr>
        <w:t>Configure Division</w:t>
      </w:r>
      <w:r>
        <w:t xml:space="preserve">. </w:t>
      </w:r>
    </w:p>
    <w:p w:rsidR="002E3C00" w:rsidRDefault="002E3C00" w:rsidP="002F6D7B">
      <w:pPr>
        <w:pStyle w:val="ListNumber"/>
        <w:numPr>
          <w:ilvl w:val="0"/>
          <w:numId w:val="21"/>
        </w:numPr>
        <w:tabs>
          <w:tab w:val="clear" w:pos="720"/>
          <w:tab w:val="num" w:pos="360"/>
        </w:tabs>
        <w:ind w:left="360"/>
      </w:pPr>
      <w:r>
        <w:t>Record:</w:t>
      </w:r>
    </w:p>
    <w:p w:rsidR="00F8408D" w:rsidRPr="00010A5B" w:rsidRDefault="00F8408D" w:rsidP="009329C1">
      <w:pPr>
        <w:pStyle w:val="ListBullet"/>
        <w:tabs>
          <w:tab w:val="right" w:leader="underscore" w:pos="9360"/>
        </w:tabs>
      </w:pPr>
      <w:r w:rsidRPr="00010A5B">
        <w:t>ICCBBA registration number:</w:t>
      </w:r>
      <w:r w:rsidR="002C2290">
        <w:tab/>
      </w:r>
    </w:p>
    <w:p w:rsidR="00010A5B" w:rsidRPr="00010A5B" w:rsidRDefault="002E3C00" w:rsidP="009329C1">
      <w:pPr>
        <w:pStyle w:val="ListBullet"/>
        <w:tabs>
          <w:tab w:val="right" w:leader="underscore" w:pos="9360"/>
        </w:tabs>
      </w:pPr>
      <w:r w:rsidRPr="00010A5B">
        <w:t>Blood Bank Medical Director</w:t>
      </w:r>
      <w:r w:rsidR="004C67FE" w:rsidRPr="00010A5B">
        <w:t>’s name</w:t>
      </w:r>
      <w:r w:rsidRPr="00010A5B">
        <w:t xml:space="preserve"> as you</w:t>
      </w:r>
      <w:r w:rsidR="00F8408D" w:rsidRPr="00010A5B">
        <w:t xml:space="preserve"> want it to appear on reports:</w:t>
      </w:r>
      <w:r w:rsidR="009329C1">
        <w:tab/>
      </w:r>
    </w:p>
    <w:p w:rsidR="002E3C00" w:rsidRDefault="002E3C00" w:rsidP="009329C1">
      <w:pPr>
        <w:pStyle w:val="ListBullet"/>
        <w:tabs>
          <w:tab w:val="right" w:leader="underscore" w:pos="9360"/>
        </w:tabs>
      </w:pPr>
      <w:r>
        <w:t>Latest expiration date (default: three days) for specimens, in accordance with l</w:t>
      </w:r>
      <w:r w:rsidR="00F8408D">
        <w:t xml:space="preserve">ocal policies and procedures: </w:t>
      </w:r>
      <w:r w:rsidR="00F8408D">
        <w:tab/>
      </w:r>
    </w:p>
    <w:p w:rsidR="00F8408D" w:rsidRDefault="002E3C00" w:rsidP="002F6D7B">
      <w:pPr>
        <w:pStyle w:val="ListNumber"/>
        <w:numPr>
          <w:ilvl w:val="0"/>
          <w:numId w:val="21"/>
        </w:numPr>
        <w:tabs>
          <w:tab w:val="clear" w:pos="720"/>
          <w:tab w:val="num" w:pos="360"/>
          <w:tab w:val="right" w:leader="underscore" w:pos="9360"/>
        </w:tabs>
        <w:ind w:left="360"/>
      </w:pPr>
      <w:r>
        <w:t>Is your division full service (FS) or transfusion only (TO)?</w:t>
      </w:r>
      <w:r>
        <w:tab/>
      </w:r>
    </w:p>
    <w:p w:rsidR="00F8408D" w:rsidRDefault="002E3C00" w:rsidP="002F6D7B">
      <w:pPr>
        <w:pStyle w:val="ListNumber"/>
        <w:numPr>
          <w:ilvl w:val="0"/>
          <w:numId w:val="21"/>
        </w:numPr>
        <w:tabs>
          <w:tab w:val="clear" w:pos="720"/>
          <w:tab w:val="num" w:pos="360"/>
          <w:tab w:val="right" w:leader="underscore" w:pos="9360"/>
        </w:tabs>
        <w:ind w:left="360"/>
      </w:pPr>
      <w:r>
        <w:t xml:space="preserve">If your site does not perform </w:t>
      </w:r>
      <w:r w:rsidRPr="00FB7F8D">
        <w:t>on-site testing</w:t>
      </w:r>
      <w:r>
        <w:t>, continue at Order Alerts.</w:t>
      </w:r>
    </w:p>
    <w:p w:rsidR="002E3C00" w:rsidRDefault="002E3C00" w:rsidP="002F6D7B">
      <w:pPr>
        <w:pStyle w:val="ListNumber"/>
        <w:numPr>
          <w:ilvl w:val="0"/>
          <w:numId w:val="21"/>
        </w:numPr>
        <w:tabs>
          <w:tab w:val="clear" w:pos="720"/>
          <w:tab w:val="num" w:pos="360"/>
          <w:tab w:val="right" w:leader="underscore" w:pos="9360"/>
        </w:tabs>
        <w:ind w:left="360"/>
      </w:pPr>
      <w:r>
        <w:t>If your division is full service, do you want to enable electronic crossmatch?</w:t>
      </w:r>
      <w:r>
        <w:tab/>
      </w:r>
    </w:p>
    <w:p w:rsidR="002E3C00" w:rsidRPr="00FB7F8D" w:rsidRDefault="002E3C00" w:rsidP="002F6D7B">
      <w:pPr>
        <w:pStyle w:val="ListNumber"/>
        <w:numPr>
          <w:ilvl w:val="0"/>
          <w:numId w:val="21"/>
        </w:numPr>
        <w:tabs>
          <w:tab w:val="clear" w:pos="720"/>
          <w:tab w:val="num" w:pos="360"/>
          <w:tab w:val="right" w:leader="underscore" w:pos="9360"/>
        </w:tabs>
        <w:ind w:left="360"/>
      </w:pPr>
      <w:r w:rsidRPr="00FB7F8D">
        <w:t>Print</w:t>
      </w:r>
      <w:r w:rsidR="00EB160D">
        <w:t>, sign, date,</w:t>
      </w:r>
      <w:r w:rsidRPr="00FB7F8D">
        <w:t xml:space="preserve"> and save an </w:t>
      </w:r>
      <w:r>
        <w:t>A</w:t>
      </w:r>
      <w:r w:rsidRPr="00FB7F8D">
        <w:t xml:space="preserve">udit </w:t>
      </w:r>
      <w:r>
        <w:t>Trail R</w:t>
      </w:r>
      <w:r w:rsidRPr="00FB7F8D">
        <w:t>e</w:t>
      </w:r>
      <w:r w:rsidR="00600497">
        <w:t>port for your validation record.</w:t>
      </w:r>
    </w:p>
    <w:p w:rsidR="002E3C00" w:rsidRDefault="002E3C00" w:rsidP="002E3C00">
      <w:pPr>
        <w:pStyle w:val="Heading3"/>
      </w:pPr>
      <w:bookmarkStart w:id="716" w:name="_Toc85895784"/>
      <w:bookmarkStart w:id="717" w:name="_Toc113264241"/>
      <w:bookmarkStart w:id="718" w:name="_Toc114462095"/>
      <w:bookmarkStart w:id="719" w:name="_Toc459900220"/>
      <w:r w:rsidRPr="00FB7F8D">
        <w:t>Configure Testi</w:t>
      </w:r>
      <w:r>
        <w:t>ng: Full Service</w:t>
      </w:r>
      <w:bookmarkEnd w:id="716"/>
      <w:bookmarkEnd w:id="717"/>
      <w:bookmarkEnd w:id="718"/>
      <w:bookmarkEnd w:id="719"/>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Configure Testing\: Full Service</w:instrText>
      </w:r>
      <w:r w:rsidR="00992E88">
        <w:instrText xml:space="preserve">" </w:instrText>
      </w:r>
      <w:r w:rsidR="00992E88">
        <w:fldChar w:fldCharType="end"/>
      </w:r>
    </w:p>
    <w:p w:rsidR="002E3C00" w:rsidRPr="007970BE" w:rsidRDefault="002E3C00" w:rsidP="002E3C00">
      <w:pPr>
        <w:pStyle w:val="BodyText"/>
      </w:pPr>
      <w:r>
        <w:t>The user sets testing preferences in accordance with a division’s medical policies.</w:t>
      </w:r>
    </w:p>
    <w:p w:rsidR="002E3C00" w:rsidRDefault="002E3C00" w:rsidP="002E3C00">
      <w:pPr>
        <w:pStyle w:val="Heading4"/>
        <w:rPr>
          <w:b w:val="0"/>
        </w:rPr>
      </w:pPr>
      <w:r>
        <w:t>User Roles with Access to This Option</w:t>
      </w:r>
      <w:r>
        <w:rPr>
          <w:b w:val="0"/>
        </w:rPr>
        <w:t xml:space="preserve"> </w:t>
      </w:r>
    </w:p>
    <w:p w:rsidR="002E3C00"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r>
        <w:rPr>
          <w:snapToGrid w:val="0"/>
        </w:rPr>
        <w:t xml:space="preserve"> </w:t>
      </w:r>
    </w:p>
    <w:p w:rsidR="002E3C00" w:rsidRDefault="00B74754" w:rsidP="002E3C00">
      <w:pPr>
        <w:pStyle w:val="Heading4"/>
      </w:pPr>
      <w:r>
        <w:t>Preparation for Testing</w:t>
      </w:r>
    </w:p>
    <w:p w:rsidR="002E3C00" w:rsidRPr="00600497" w:rsidRDefault="002E3C00" w:rsidP="002F6D7B">
      <w:pPr>
        <w:pStyle w:val="ListNumber"/>
        <w:numPr>
          <w:ilvl w:val="0"/>
          <w:numId w:val="22"/>
        </w:numPr>
        <w:tabs>
          <w:tab w:val="clear" w:pos="720"/>
          <w:tab w:val="num" w:pos="360"/>
        </w:tabs>
        <w:ind w:left="360"/>
      </w:pPr>
      <w:r>
        <w:t>S</w:t>
      </w:r>
      <w:r w:rsidRPr="00600497">
        <w:t>et testing preferences.</w:t>
      </w:r>
    </w:p>
    <w:p w:rsidR="002E3C00" w:rsidRPr="00600497" w:rsidRDefault="002E3C00" w:rsidP="002F6D7B">
      <w:pPr>
        <w:pStyle w:val="ListNumber"/>
        <w:numPr>
          <w:ilvl w:val="0"/>
          <w:numId w:val="22"/>
        </w:numPr>
        <w:tabs>
          <w:tab w:val="clear" w:pos="720"/>
          <w:tab w:val="num" w:pos="360"/>
        </w:tabs>
        <w:ind w:left="360"/>
      </w:pPr>
      <w:r w:rsidRPr="00600497">
        <w:t>Capture and save a screen shot of each piece of information.</w:t>
      </w:r>
    </w:p>
    <w:p w:rsidR="00232E43" w:rsidRPr="00FB7F8D" w:rsidRDefault="00232E43" w:rsidP="002F6D7B">
      <w:pPr>
        <w:pStyle w:val="ListNumber"/>
        <w:numPr>
          <w:ilvl w:val="0"/>
          <w:numId w:val="22"/>
        </w:numPr>
        <w:tabs>
          <w:tab w:val="clear" w:pos="720"/>
          <w:tab w:val="num" w:pos="360"/>
        </w:tabs>
        <w:ind w:left="360"/>
      </w:pPr>
      <w:bookmarkStart w:id="720" w:name="_Toc85895785"/>
      <w:bookmarkStart w:id="721" w:name="_Toc113264242"/>
      <w:bookmarkStart w:id="722" w:name="_Toc85895786"/>
      <w:bookmarkStart w:id="723" w:name="_Toc113264243"/>
      <w:bookmarkStart w:id="724" w:name="_Toc114462096"/>
      <w:r w:rsidRPr="00600497">
        <w:t xml:space="preserve">Print, </w:t>
      </w:r>
      <w:r>
        <w:t>sign, date,</w:t>
      </w:r>
      <w:r w:rsidRPr="00FB7F8D">
        <w:t xml:space="preserve"> and save an </w:t>
      </w:r>
      <w:r>
        <w:t>A</w:t>
      </w:r>
      <w:r w:rsidRPr="00FB7F8D">
        <w:t xml:space="preserve">udit </w:t>
      </w:r>
      <w:r>
        <w:t>Trail R</w:t>
      </w:r>
      <w:r w:rsidRPr="00FB7F8D">
        <w:t>eport for your validation record.</w:t>
      </w:r>
    </w:p>
    <w:p w:rsidR="002E3C00" w:rsidRDefault="007F0132" w:rsidP="002E3C00">
      <w:pPr>
        <w:pStyle w:val="Heading3"/>
      </w:pPr>
      <w:r>
        <w:br w:type="page"/>
      </w:r>
      <w:bookmarkStart w:id="725" w:name="_Toc459900221"/>
      <w:r w:rsidR="002E3C00">
        <w:lastRenderedPageBreak/>
        <w:t>Product Modifications</w:t>
      </w:r>
      <w:bookmarkEnd w:id="722"/>
      <w:bookmarkEnd w:id="723"/>
      <w:r w:rsidR="002E3C00">
        <w:t>: Full Service</w:t>
      </w:r>
      <w:bookmarkEnd w:id="724"/>
      <w:bookmarkEnd w:id="725"/>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Product Modifications\: Full Service</w:instrText>
      </w:r>
      <w:r w:rsidR="00992E88">
        <w:instrText xml:space="preserve">" </w:instrText>
      </w:r>
      <w:r w:rsidR="00992E88">
        <w:fldChar w:fldCharType="end"/>
      </w:r>
    </w:p>
    <w:p w:rsidR="002E3C00" w:rsidRPr="007970BE" w:rsidRDefault="002E3C00" w:rsidP="002E3C00">
      <w:pPr>
        <w:pStyle w:val="BodyText"/>
      </w:pPr>
      <w:r>
        <w:t>The user enables the types of modifications made at a division.</w:t>
      </w:r>
    </w:p>
    <w:p w:rsidR="002E3C00" w:rsidRDefault="002E3C00" w:rsidP="002E3C00">
      <w:pPr>
        <w:pStyle w:val="Heading4"/>
        <w:rPr>
          <w:b w:val="0"/>
        </w:rPr>
      </w:pPr>
      <w:r>
        <w:t>User Roles with Access to This Option</w:t>
      </w:r>
      <w:r>
        <w:rPr>
          <w:b w:val="0"/>
        </w:rPr>
        <w:t xml:space="preserve"> </w:t>
      </w:r>
    </w:p>
    <w:p w:rsidR="002E3C00" w:rsidRPr="00B22CCD"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r>
        <w:rPr>
          <w:snapToGrid w:val="0"/>
        </w:rPr>
        <w:t xml:space="preserve"> </w:t>
      </w:r>
    </w:p>
    <w:p w:rsidR="002E3C00" w:rsidRDefault="00B74754" w:rsidP="002E3C00">
      <w:pPr>
        <w:pStyle w:val="Heading4"/>
      </w:pPr>
      <w:r>
        <w:t>Preparation for Testing</w:t>
      </w:r>
    </w:p>
    <w:p w:rsidR="002E3C00" w:rsidRDefault="002E3C00" w:rsidP="002E3C00">
      <w:pPr>
        <w:pStyle w:val="BodyText"/>
      </w:pPr>
      <w:r>
        <w:t>Modification processes are disabled by default. You must activate modification types performed at your facility. You may select none, some, or all. Enter a processing cost for each modification type, as applicable. You may update these settings later.</w:t>
      </w:r>
    </w:p>
    <w:p w:rsidR="002E3C00" w:rsidRDefault="002E3C00" w:rsidP="00AD60CF">
      <w:pPr>
        <w:pStyle w:val="Caption"/>
        <w:ind w:left="288" w:hanging="288"/>
      </w:pPr>
      <w:r>
        <w:t xml:space="preserve">Table </w:t>
      </w:r>
      <w:r>
        <w:fldChar w:fldCharType="begin"/>
      </w:r>
      <w:r>
        <w:instrText xml:space="preserve"> SEQ Table \* ARABIC </w:instrText>
      </w:r>
      <w:r>
        <w:fldChar w:fldCharType="separate"/>
      </w:r>
      <w:r w:rsidR="005F38BC">
        <w:rPr>
          <w:noProof/>
        </w:rPr>
        <w:t>29</w:t>
      </w:r>
      <w:r>
        <w:fldChar w:fldCharType="end"/>
      </w:r>
      <w:r>
        <w:t>: Modification Types and Costs</w:t>
      </w:r>
      <w:r w:rsidR="00AD60CF">
        <w:fldChar w:fldCharType="begin"/>
      </w:r>
      <w:r w:rsidR="00AD60CF">
        <w:instrText xml:space="preserve"> XE "Tables:</w:instrText>
      </w:r>
      <w:r w:rsidR="00AD60CF" w:rsidRPr="0046419F">
        <w:instrText>Modification Types and Costs</w:instrText>
      </w:r>
      <w:r w:rsidR="00AD60CF">
        <w:instrText xml:space="preserve">" </w:instrText>
      </w:r>
      <w:r w:rsidR="00AD60CF">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440"/>
        <w:gridCol w:w="1440"/>
        <w:gridCol w:w="1440"/>
      </w:tblGrid>
      <w:tr w:rsidR="002E3C00" w:rsidRPr="00020DA9">
        <w:tblPrEx>
          <w:tblCellMar>
            <w:top w:w="0" w:type="dxa"/>
            <w:bottom w:w="0" w:type="dxa"/>
          </w:tblCellMar>
        </w:tblPrEx>
        <w:trPr>
          <w:cantSplit/>
          <w:tblHeader/>
        </w:trPr>
        <w:tc>
          <w:tcPr>
            <w:tcW w:w="2160" w:type="dxa"/>
            <w:vMerge w:val="restart"/>
            <w:shd w:val="clear" w:color="auto" w:fill="B3B3B3"/>
            <w:vAlign w:val="bottom"/>
          </w:tcPr>
          <w:p w:rsidR="002E3C00" w:rsidRPr="00020DA9" w:rsidRDefault="002E3C00" w:rsidP="002E3C00">
            <w:pPr>
              <w:pStyle w:val="TableText"/>
              <w:rPr>
                <w:b/>
              </w:rPr>
            </w:pPr>
            <w:r w:rsidRPr="00020DA9">
              <w:rPr>
                <w:b/>
              </w:rPr>
              <w:t>Modification Type</w:t>
            </w:r>
          </w:p>
        </w:tc>
        <w:tc>
          <w:tcPr>
            <w:tcW w:w="1440" w:type="dxa"/>
            <w:gridSpan w:val="2"/>
            <w:shd w:val="clear" w:color="auto" w:fill="B3B3B3"/>
            <w:vAlign w:val="bottom"/>
          </w:tcPr>
          <w:p w:rsidR="002E3C00" w:rsidRPr="00020DA9" w:rsidRDefault="002E3C00" w:rsidP="003B2CDC">
            <w:pPr>
              <w:pStyle w:val="TableText"/>
              <w:jc w:val="center"/>
              <w:rPr>
                <w:b/>
              </w:rPr>
            </w:pPr>
            <w:r>
              <w:rPr>
                <w:b/>
              </w:rPr>
              <w:t>Modification Processes</w:t>
            </w:r>
          </w:p>
        </w:tc>
        <w:tc>
          <w:tcPr>
            <w:tcW w:w="1440" w:type="dxa"/>
            <w:vMerge w:val="restart"/>
            <w:shd w:val="clear" w:color="auto" w:fill="B3B3B3"/>
            <w:vAlign w:val="bottom"/>
          </w:tcPr>
          <w:p w:rsidR="002E3C00" w:rsidRPr="00020DA9" w:rsidRDefault="002E3C00" w:rsidP="002E3C00">
            <w:pPr>
              <w:pStyle w:val="TableText"/>
              <w:rPr>
                <w:b/>
              </w:rPr>
            </w:pPr>
            <w:r>
              <w:rPr>
                <w:b/>
              </w:rPr>
              <w:t xml:space="preserve">Processing </w:t>
            </w:r>
            <w:r w:rsidRPr="00020DA9">
              <w:rPr>
                <w:b/>
              </w:rPr>
              <w:t>Cost</w:t>
            </w:r>
          </w:p>
        </w:tc>
      </w:tr>
      <w:tr w:rsidR="002E3C00" w:rsidRPr="00020DA9">
        <w:tblPrEx>
          <w:tblCellMar>
            <w:top w:w="0" w:type="dxa"/>
            <w:bottom w:w="0" w:type="dxa"/>
          </w:tblCellMar>
        </w:tblPrEx>
        <w:trPr>
          <w:cantSplit/>
          <w:tblHeader/>
        </w:trPr>
        <w:tc>
          <w:tcPr>
            <w:tcW w:w="2160" w:type="dxa"/>
            <w:vMerge/>
            <w:shd w:val="clear" w:color="auto" w:fill="B3B3B3"/>
          </w:tcPr>
          <w:p w:rsidR="002E3C00" w:rsidRPr="00020DA9" w:rsidRDefault="002E3C00" w:rsidP="002E3C00">
            <w:pPr>
              <w:pStyle w:val="TableText"/>
              <w:rPr>
                <w:b/>
              </w:rPr>
            </w:pPr>
          </w:p>
        </w:tc>
        <w:tc>
          <w:tcPr>
            <w:tcW w:w="1440" w:type="dxa"/>
            <w:shd w:val="clear" w:color="auto" w:fill="B3B3B3"/>
          </w:tcPr>
          <w:p w:rsidR="002E3C00" w:rsidRPr="00020DA9" w:rsidRDefault="002E3C00" w:rsidP="002E3C00">
            <w:pPr>
              <w:pStyle w:val="TableText"/>
              <w:rPr>
                <w:b/>
              </w:rPr>
            </w:pPr>
            <w:r w:rsidRPr="00020DA9">
              <w:rPr>
                <w:b/>
              </w:rPr>
              <w:t>Enabled</w:t>
            </w:r>
          </w:p>
        </w:tc>
        <w:tc>
          <w:tcPr>
            <w:tcW w:w="1440" w:type="dxa"/>
            <w:shd w:val="clear" w:color="auto" w:fill="B3B3B3"/>
          </w:tcPr>
          <w:p w:rsidR="002E3C00" w:rsidRPr="00020DA9" w:rsidRDefault="002E3C00" w:rsidP="002E3C00">
            <w:pPr>
              <w:pStyle w:val="TableText"/>
              <w:rPr>
                <w:b/>
              </w:rPr>
            </w:pPr>
            <w:r w:rsidRPr="00020DA9">
              <w:rPr>
                <w:b/>
              </w:rPr>
              <w:t>Disabled</w:t>
            </w:r>
          </w:p>
        </w:tc>
        <w:tc>
          <w:tcPr>
            <w:tcW w:w="1440" w:type="dxa"/>
            <w:vMerge/>
            <w:shd w:val="clear" w:color="auto" w:fill="B3B3B3"/>
          </w:tcPr>
          <w:p w:rsidR="002E3C00" w:rsidRPr="00020DA9" w:rsidRDefault="002E3C00" w:rsidP="002E3C00">
            <w:pPr>
              <w:pStyle w:val="TableText"/>
              <w:rPr>
                <w:b/>
              </w:rPr>
            </w:pPr>
          </w:p>
        </w:tc>
      </w:tr>
      <w:tr w:rsidR="002E3C00">
        <w:tblPrEx>
          <w:tblCellMar>
            <w:top w:w="0" w:type="dxa"/>
            <w:bottom w:w="0" w:type="dxa"/>
          </w:tblCellMar>
        </w:tblPrEx>
        <w:trPr>
          <w:cantSplit/>
        </w:trPr>
        <w:tc>
          <w:tcPr>
            <w:tcW w:w="2160" w:type="dxa"/>
          </w:tcPr>
          <w:p w:rsidR="002E3C00" w:rsidRDefault="002E3C00" w:rsidP="002E3C00">
            <w:pPr>
              <w:pStyle w:val="TableText"/>
            </w:pPr>
            <w:r>
              <w:t>Thaw</w:t>
            </w:r>
          </w:p>
        </w:tc>
        <w:tc>
          <w:tcPr>
            <w:tcW w:w="1440" w:type="dxa"/>
          </w:tcPr>
          <w:p w:rsidR="002E3C00" w:rsidRDefault="002E3C00" w:rsidP="002E3C00">
            <w:pPr>
              <w:pStyle w:val="TableText"/>
            </w:pPr>
          </w:p>
        </w:tc>
        <w:tc>
          <w:tcPr>
            <w:tcW w:w="1440" w:type="dxa"/>
          </w:tcPr>
          <w:p w:rsidR="002E3C00" w:rsidRDefault="002E3C00" w:rsidP="002E3C00">
            <w:pPr>
              <w:pStyle w:val="TableText"/>
            </w:pPr>
          </w:p>
        </w:tc>
        <w:tc>
          <w:tcPr>
            <w:tcW w:w="1440" w:type="dxa"/>
          </w:tcPr>
          <w:p w:rsidR="002E3C00" w:rsidRDefault="002E3C00" w:rsidP="002E3C00">
            <w:pPr>
              <w:pStyle w:val="TableText"/>
            </w:pPr>
          </w:p>
        </w:tc>
      </w:tr>
      <w:tr w:rsidR="002E3C00">
        <w:tblPrEx>
          <w:tblCellMar>
            <w:top w:w="0" w:type="dxa"/>
            <w:bottom w:w="0" w:type="dxa"/>
          </w:tblCellMar>
        </w:tblPrEx>
        <w:trPr>
          <w:cantSplit/>
        </w:trPr>
        <w:tc>
          <w:tcPr>
            <w:tcW w:w="2160" w:type="dxa"/>
          </w:tcPr>
          <w:p w:rsidR="002E3C00" w:rsidRDefault="002E3C00" w:rsidP="002E3C00">
            <w:pPr>
              <w:pStyle w:val="TableText"/>
            </w:pPr>
            <w:r>
              <w:t xml:space="preserve">Pool </w:t>
            </w:r>
          </w:p>
        </w:tc>
        <w:tc>
          <w:tcPr>
            <w:tcW w:w="1440" w:type="dxa"/>
          </w:tcPr>
          <w:p w:rsidR="002E3C00" w:rsidRDefault="002E3C00" w:rsidP="002E3C00">
            <w:pPr>
              <w:pStyle w:val="TableText"/>
            </w:pPr>
          </w:p>
        </w:tc>
        <w:tc>
          <w:tcPr>
            <w:tcW w:w="1440" w:type="dxa"/>
          </w:tcPr>
          <w:p w:rsidR="002E3C00" w:rsidRDefault="002E3C00" w:rsidP="002E3C00">
            <w:pPr>
              <w:pStyle w:val="TableText"/>
            </w:pPr>
          </w:p>
        </w:tc>
        <w:tc>
          <w:tcPr>
            <w:tcW w:w="1440" w:type="dxa"/>
          </w:tcPr>
          <w:p w:rsidR="002E3C00" w:rsidRDefault="002E3C00" w:rsidP="002E3C00">
            <w:pPr>
              <w:pStyle w:val="TableText"/>
            </w:pPr>
          </w:p>
        </w:tc>
      </w:tr>
      <w:tr w:rsidR="002E3C00">
        <w:tblPrEx>
          <w:tblCellMar>
            <w:top w:w="0" w:type="dxa"/>
            <w:bottom w:w="0" w:type="dxa"/>
          </w:tblCellMar>
        </w:tblPrEx>
        <w:trPr>
          <w:cantSplit/>
        </w:trPr>
        <w:tc>
          <w:tcPr>
            <w:tcW w:w="2160" w:type="dxa"/>
          </w:tcPr>
          <w:p w:rsidR="002E3C00" w:rsidRDefault="002E3C00" w:rsidP="002E3C00">
            <w:pPr>
              <w:pStyle w:val="TableText"/>
            </w:pPr>
            <w:r>
              <w:t>Thaw/Pool Cryo</w:t>
            </w:r>
          </w:p>
        </w:tc>
        <w:tc>
          <w:tcPr>
            <w:tcW w:w="1440" w:type="dxa"/>
          </w:tcPr>
          <w:p w:rsidR="002E3C00" w:rsidRDefault="002E3C00" w:rsidP="002E3C00">
            <w:pPr>
              <w:pStyle w:val="TableText"/>
            </w:pPr>
          </w:p>
        </w:tc>
        <w:tc>
          <w:tcPr>
            <w:tcW w:w="1440" w:type="dxa"/>
          </w:tcPr>
          <w:p w:rsidR="002E3C00" w:rsidRDefault="002E3C00" w:rsidP="002E3C00">
            <w:pPr>
              <w:pStyle w:val="TableText"/>
            </w:pPr>
          </w:p>
        </w:tc>
        <w:tc>
          <w:tcPr>
            <w:tcW w:w="1440" w:type="dxa"/>
          </w:tcPr>
          <w:p w:rsidR="002E3C00" w:rsidRDefault="002E3C00" w:rsidP="002E3C00">
            <w:pPr>
              <w:pStyle w:val="TableText"/>
            </w:pPr>
          </w:p>
        </w:tc>
      </w:tr>
      <w:tr w:rsidR="002E3C00">
        <w:tblPrEx>
          <w:tblCellMar>
            <w:top w:w="0" w:type="dxa"/>
            <w:bottom w:w="0" w:type="dxa"/>
          </w:tblCellMar>
        </w:tblPrEx>
        <w:trPr>
          <w:cantSplit/>
        </w:trPr>
        <w:tc>
          <w:tcPr>
            <w:tcW w:w="2160" w:type="dxa"/>
          </w:tcPr>
          <w:p w:rsidR="002E3C00" w:rsidRDefault="002E3C00" w:rsidP="002E3C00">
            <w:pPr>
              <w:pStyle w:val="TableText"/>
            </w:pPr>
            <w:r>
              <w:t>Split/Divide</w:t>
            </w:r>
          </w:p>
        </w:tc>
        <w:tc>
          <w:tcPr>
            <w:tcW w:w="1440" w:type="dxa"/>
          </w:tcPr>
          <w:p w:rsidR="002E3C00" w:rsidRDefault="002E3C00" w:rsidP="002E3C00">
            <w:pPr>
              <w:pStyle w:val="TableText"/>
            </w:pPr>
          </w:p>
        </w:tc>
        <w:tc>
          <w:tcPr>
            <w:tcW w:w="1440" w:type="dxa"/>
          </w:tcPr>
          <w:p w:rsidR="002E3C00" w:rsidRDefault="002E3C00" w:rsidP="002E3C00">
            <w:pPr>
              <w:pStyle w:val="TableText"/>
            </w:pPr>
          </w:p>
        </w:tc>
        <w:tc>
          <w:tcPr>
            <w:tcW w:w="1440" w:type="dxa"/>
          </w:tcPr>
          <w:p w:rsidR="002E3C00" w:rsidRDefault="002E3C00" w:rsidP="002E3C00">
            <w:pPr>
              <w:pStyle w:val="TableText"/>
            </w:pPr>
          </w:p>
        </w:tc>
      </w:tr>
      <w:tr w:rsidR="002E3C00">
        <w:tblPrEx>
          <w:tblCellMar>
            <w:top w:w="0" w:type="dxa"/>
            <w:bottom w:w="0" w:type="dxa"/>
          </w:tblCellMar>
        </w:tblPrEx>
        <w:trPr>
          <w:cantSplit/>
        </w:trPr>
        <w:tc>
          <w:tcPr>
            <w:tcW w:w="2160" w:type="dxa"/>
          </w:tcPr>
          <w:p w:rsidR="002E3C00" w:rsidRDefault="002E3C00" w:rsidP="002E3C00">
            <w:pPr>
              <w:pStyle w:val="TableText"/>
            </w:pPr>
            <w:r>
              <w:t>Irradiate</w:t>
            </w:r>
          </w:p>
        </w:tc>
        <w:tc>
          <w:tcPr>
            <w:tcW w:w="1440" w:type="dxa"/>
          </w:tcPr>
          <w:p w:rsidR="002E3C00" w:rsidRDefault="002E3C00" w:rsidP="002E3C00">
            <w:pPr>
              <w:pStyle w:val="TableText"/>
            </w:pPr>
          </w:p>
        </w:tc>
        <w:tc>
          <w:tcPr>
            <w:tcW w:w="1440" w:type="dxa"/>
          </w:tcPr>
          <w:p w:rsidR="002E3C00" w:rsidRDefault="002E3C00" w:rsidP="002E3C00">
            <w:pPr>
              <w:pStyle w:val="TableText"/>
            </w:pPr>
          </w:p>
        </w:tc>
        <w:tc>
          <w:tcPr>
            <w:tcW w:w="1440" w:type="dxa"/>
          </w:tcPr>
          <w:p w:rsidR="002E3C00" w:rsidRDefault="002E3C00" w:rsidP="002E3C00">
            <w:pPr>
              <w:pStyle w:val="TableText"/>
            </w:pPr>
          </w:p>
        </w:tc>
      </w:tr>
      <w:tr w:rsidR="002E3C00">
        <w:tblPrEx>
          <w:tblCellMar>
            <w:top w:w="0" w:type="dxa"/>
            <w:bottom w:w="0" w:type="dxa"/>
          </w:tblCellMar>
        </w:tblPrEx>
        <w:trPr>
          <w:cantSplit/>
        </w:trPr>
        <w:tc>
          <w:tcPr>
            <w:tcW w:w="2160" w:type="dxa"/>
          </w:tcPr>
          <w:p w:rsidR="002E3C00" w:rsidRDefault="002E3C00" w:rsidP="002E3C00">
            <w:pPr>
              <w:pStyle w:val="TableText"/>
            </w:pPr>
            <w:r>
              <w:t xml:space="preserve">Leukoreduce </w:t>
            </w:r>
          </w:p>
        </w:tc>
        <w:tc>
          <w:tcPr>
            <w:tcW w:w="1440" w:type="dxa"/>
          </w:tcPr>
          <w:p w:rsidR="002E3C00" w:rsidRDefault="002E3C00" w:rsidP="002E3C00">
            <w:pPr>
              <w:pStyle w:val="TableText"/>
            </w:pPr>
          </w:p>
        </w:tc>
        <w:tc>
          <w:tcPr>
            <w:tcW w:w="1440" w:type="dxa"/>
          </w:tcPr>
          <w:p w:rsidR="002E3C00" w:rsidRDefault="002E3C00" w:rsidP="002E3C00">
            <w:pPr>
              <w:pStyle w:val="TableText"/>
            </w:pPr>
          </w:p>
        </w:tc>
        <w:tc>
          <w:tcPr>
            <w:tcW w:w="1440" w:type="dxa"/>
          </w:tcPr>
          <w:p w:rsidR="002E3C00" w:rsidRDefault="002E3C00" w:rsidP="002E3C00">
            <w:pPr>
              <w:pStyle w:val="TableText"/>
            </w:pPr>
          </w:p>
        </w:tc>
      </w:tr>
      <w:tr w:rsidR="002E3C00">
        <w:tblPrEx>
          <w:tblCellMar>
            <w:top w:w="0" w:type="dxa"/>
            <w:bottom w:w="0" w:type="dxa"/>
          </w:tblCellMar>
        </w:tblPrEx>
        <w:trPr>
          <w:cantSplit/>
        </w:trPr>
        <w:tc>
          <w:tcPr>
            <w:tcW w:w="2160" w:type="dxa"/>
          </w:tcPr>
          <w:p w:rsidR="002E3C00" w:rsidRDefault="002E3C00" w:rsidP="002E3C00">
            <w:pPr>
              <w:pStyle w:val="TableText"/>
            </w:pPr>
            <w:r>
              <w:t xml:space="preserve">Volume </w:t>
            </w:r>
            <w:r w:rsidR="007F68C7">
              <w:t>R</w:t>
            </w:r>
            <w:r>
              <w:t>educe</w:t>
            </w:r>
          </w:p>
        </w:tc>
        <w:tc>
          <w:tcPr>
            <w:tcW w:w="1440" w:type="dxa"/>
          </w:tcPr>
          <w:p w:rsidR="002E3C00" w:rsidRDefault="002E3C00" w:rsidP="002E3C00">
            <w:pPr>
              <w:pStyle w:val="TableText"/>
            </w:pPr>
          </w:p>
        </w:tc>
        <w:tc>
          <w:tcPr>
            <w:tcW w:w="1440" w:type="dxa"/>
          </w:tcPr>
          <w:p w:rsidR="002E3C00" w:rsidRDefault="002E3C00" w:rsidP="002E3C00">
            <w:pPr>
              <w:pStyle w:val="TableText"/>
            </w:pPr>
          </w:p>
        </w:tc>
        <w:tc>
          <w:tcPr>
            <w:tcW w:w="1440" w:type="dxa"/>
          </w:tcPr>
          <w:p w:rsidR="002E3C00" w:rsidRDefault="002E3C00" w:rsidP="002E3C00">
            <w:pPr>
              <w:pStyle w:val="TableText"/>
            </w:pPr>
          </w:p>
        </w:tc>
      </w:tr>
      <w:tr w:rsidR="002E3C00">
        <w:tblPrEx>
          <w:tblCellMar>
            <w:top w:w="0" w:type="dxa"/>
            <w:bottom w:w="0" w:type="dxa"/>
          </w:tblCellMar>
        </w:tblPrEx>
        <w:trPr>
          <w:cantSplit/>
        </w:trPr>
        <w:tc>
          <w:tcPr>
            <w:tcW w:w="2160" w:type="dxa"/>
          </w:tcPr>
          <w:p w:rsidR="002E3C00" w:rsidRDefault="002E3C00" w:rsidP="002E3C00">
            <w:pPr>
              <w:pStyle w:val="TableText"/>
            </w:pPr>
            <w:r>
              <w:t>Wash</w:t>
            </w:r>
          </w:p>
        </w:tc>
        <w:tc>
          <w:tcPr>
            <w:tcW w:w="1440" w:type="dxa"/>
          </w:tcPr>
          <w:p w:rsidR="002E3C00" w:rsidRDefault="002E3C00" w:rsidP="002E3C00">
            <w:pPr>
              <w:pStyle w:val="TableText"/>
            </w:pPr>
          </w:p>
        </w:tc>
        <w:tc>
          <w:tcPr>
            <w:tcW w:w="1440" w:type="dxa"/>
          </w:tcPr>
          <w:p w:rsidR="002E3C00" w:rsidRDefault="002E3C00" w:rsidP="002E3C00">
            <w:pPr>
              <w:pStyle w:val="TableText"/>
            </w:pPr>
          </w:p>
        </w:tc>
        <w:tc>
          <w:tcPr>
            <w:tcW w:w="1440" w:type="dxa"/>
          </w:tcPr>
          <w:p w:rsidR="002E3C00" w:rsidRDefault="002E3C00" w:rsidP="002E3C00">
            <w:pPr>
              <w:pStyle w:val="TableText"/>
            </w:pPr>
          </w:p>
        </w:tc>
      </w:tr>
      <w:tr w:rsidR="002E3C00">
        <w:tblPrEx>
          <w:tblCellMar>
            <w:top w:w="0" w:type="dxa"/>
            <w:bottom w:w="0" w:type="dxa"/>
          </w:tblCellMar>
        </w:tblPrEx>
        <w:trPr>
          <w:cantSplit/>
        </w:trPr>
        <w:tc>
          <w:tcPr>
            <w:tcW w:w="2160" w:type="dxa"/>
          </w:tcPr>
          <w:p w:rsidR="002E3C00" w:rsidRDefault="002E3C00" w:rsidP="002E3C00">
            <w:pPr>
              <w:pStyle w:val="TableText"/>
            </w:pPr>
            <w:r>
              <w:t>Rejuvenate</w:t>
            </w:r>
          </w:p>
        </w:tc>
        <w:tc>
          <w:tcPr>
            <w:tcW w:w="1440" w:type="dxa"/>
          </w:tcPr>
          <w:p w:rsidR="002E3C00" w:rsidRDefault="002E3C00" w:rsidP="002E3C00">
            <w:pPr>
              <w:pStyle w:val="TableText"/>
            </w:pPr>
          </w:p>
        </w:tc>
        <w:tc>
          <w:tcPr>
            <w:tcW w:w="1440" w:type="dxa"/>
          </w:tcPr>
          <w:p w:rsidR="002E3C00" w:rsidRDefault="002E3C00" w:rsidP="002E3C00">
            <w:pPr>
              <w:pStyle w:val="TableText"/>
            </w:pPr>
          </w:p>
        </w:tc>
        <w:tc>
          <w:tcPr>
            <w:tcW w:w="1440" w:type="dxa"/>
          </w:tcPr>
          <w:p w:rsidR="002E3C00" w:rsidRDefault="002E3C00" w:rsidP="002E3C00">
            <w:pPr>
              <w:pStyle w:val="TableText"/>
            </w:pPr>
          </w:p>
        </w:tc>
      </w:tr>
      <w:tr w:rsidR="002E3C00">
        <w:tblPrEx>
          <w:tblCellMar>
            <w:top w:w="0" w:type="dxa"/>
            <w:bottom w:w="0" w:type="dxa"/>
          </w:tblCellMar>
        </w:tblPrEx>
        <w:trPr>
          <w:cantSplit/>
        </w:trPr>
        <w:tc>
          <w:tcPr>
            <w:tcW w:w="2160" w:type="dxa"/>
          </w:tcPr>
          <w:p w:rsidR="002E3C00" w:rsidRDefault="002E3C00" w:rsidP="002E3C00">
            <w:pPr>
              <w:pStyle w:val="TableText"/>
            </w:pPr>
            <w:r>
              <w:t>Freeze</w:t>
            </w:r>
          </w:p>
        </w:tc>
        <w:tc>
          <w:tcPr>
            <w:tcW w:w="1440" w:type="dxa"/>
          </w:tcPr>
          <w:p w:rsidR="002E3C00" w:rsidRDefault="002E3C00" w:rsidP="002E3C00">
            <w:pPr>
              <w:pStyle w:val="TableText"/>
            </w:pPr>
          </w:p>
        </w:tc>
        <w:tc>
          <w:tcPr>
            <w:tcW w:w="1440" w:type="dxa"/>
          </w:tcPr>
          <w:p w:rsidR="002E3C00" w:rsidRDefault="002E3C00" w:rsidP="002E3C00">
            <w:pPr>
              <w:pStyle w:val="TableText"/>
            </w:pPr>
          </w:p>
        </w:tc>
        <w:tc>
          <w:tcPr>
            <w:tcW w:w="1440" w:type="dxa"/>
          </w:tcPr>
          <w:p w:rsidR="002E3C00" w:rsidRDefault="002E3C00" w:rsidP="002E3C00">
            <w:pPr>
              <w:pStyle w:val="TableText"/>
            </w:pPr>
          </w:p>
        </w:tc>
      </w:tr>
      <w:tr w:rsidR="002E3C00">
        <w:tblPrEx>
          <w:tblCellMar>
            <w:top w:w="0" w:type="dxa"/>
            <w:bottom w:w="0" w:type="dxa"/>
          </w:tblCellMar>
        </w:tblPrEx>
        <w:trPr>
          <w:cantSplit/>
        </w:trPr>
        <w:tc>
          <w:tcPr>
            <w:tcW w:w="2160" w:type="dxa"/>
          </w:tcPr>
          <w:p w:rsidR="002E3C00" w:rsidRDefault="002E3C00" w:rsidP="002E3C00">
            <w:pPr>
              <w:pStyle w:val="TableText"/>
            </w:pPr>
            <w:r>
              <w:t>Deglycerolize</w:t>
            </w:r>
          </w:p>
        </w:tc>
        <w:tc>
          <w:tcPr>
            <w:tcW w:w="1440" w:type="dxa"/>
          </w:tcPr>
          <w:p w:rsidR="002E3C00" w:rsidRDefault="002E3C00" w:rsidP="002E3C00">
            <w:pPr>
              <w:pStyle w:val="TableText"/>
            </w:pPr>
          </w:p>
        </w:tc>
        <w:tc>
          <w:tcPr>
            <w:tcW w:w="1440" w:type="dxa"/>
          </w:tcPr>
          <w:p w:rsidR="002E3C00" w:rsidRDefault="002E3C00" w:rsidP="002E3C00">
            <w:pPr>
              <w:pStyle w:val="TableText"/>
            </w:pPr>
          </w:p>
        </w:tc>
        <w:tc>
          <w:tcPr>
            <w:tcW w:w="1440" w:type="dxa"/>
          </w:tcPr>
          <w:p w:rsidR="002E3C00" w:rsidRDefault="002E3C00" w:rsidP="002E3C00">
            <w:pPr>
              <w:pStyle w:val="TableText"/>
            </w:pPr>
          </w:p>
        </w:tc>
      </w:tr>
    </w:tbl>
    <w:p w:rsidR="002E3C00" w:rsidRDefault="002E3C00" w:rsidP="002E3C00">
      <w:pPr>
        <w:rPr>
          <w:sz w:val="15"/>
          <w:szCs w:val="15"/>
        </w:rPr>
      </w:pPr>
    </w:p>
    <w:p w:rsidR="002E3C00" w:rsidRPr="00600497" w:rsidRDefault="002E3C00" w:rsidP="002F6D7B">
      <w:pPr>
        <w:pStyle w:val="ListNumber"/>
        <w:numPr>
          <w:ilvl w:val="0"/>
          <w:numId w:val="23"/>
        </w:numPr>
        <w:tabs>
          <w:tab w:val="clear" w:pos="720"/>
          <w:tab w:val="num" w:pos="360"/>
        </w:tabs>
        <w:ind w:left="360"/>
      </w:pPr>
      <w:r w:rsidRPr="00600497">
        <w:t xml:space="preserve">Capture and save a screen shot of each piece of information. </w:t>
      </w:r>
    </w:p>
    <w:p w:rsidR="00232E43" w:rsidRPr="00FB7F8D" w:rsidRDefault="00232E43" w:rsidP="002F6D7B">
      <w:pPr>
        <w:pStyle w:val="ListNumber"/>
        <w:numPr>
          <w:ilvl w:val="0"/>
          <w:numId w:val="23"/>
        </w:numPr>
        <w:tabs>
          <w:tab w:val="clear" w:pos="720"/>
          <w:tab w:val="num" w:pos="360"/>
        </w:tabs>
        <w:ind w:left="360"/>
      </w:pPr>
      <w:bookmarkStart w:id="726" w:name="_Toc114462097"/>
      <w:r w:rsidRPr="00600497">
        <w:t>Pri</w:t>
      </w:r>
      <w:r w:rsidRPr="00FB7F8D">
        <w:t>nt</w:t>
      </w:r>
      <w:r>
        <w:t>, sign, date,</w:t>
      </w:r>
      <w:r w:rsidRPr="00FB7F8D">
        <w:t xml:space="preserve"> and save an </w:t>
      </w:r>
      <w:r>
        <w:t>A</w:t>
      </w:r>
      <w:r w:rsidRPr="00FB7F8D">
        <w:t xml:space="preserve">udit </w:t>
      </w:r>
      <w:r>
        <w:t>Trail R</w:t>
      </w:r>
      <w:r w:rsidRPr="00FB7F8D">
        <w:t>eport for your validation record.</w:t>
      </w:r>
    </w:p>
    <w:p w:rsidR="002E3C00" w:rsidRDefault="007F0132" w:rsidP="002E3C00">
      <w:pPr>
        <w:pStyle w:val="Heading3"/>
      </w:pPr>
      <w:r>
        <w:br w:type="page"/>
      </w:r>
      <w:bookmarkStart w:id="727" w:name="_Toc459900222"/>
      <w:r w:rsidR="002E3C00">
        <w:lastRenderedPageBreak/>
        <w:t>Order Alerts</w:t>
      </w:r>
      <w:bookmarkEnd w:id="726"/>
      <w:bookmarkEnd w:id="727"/>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Order Alerts</w:instrText>
      </w:r>
      <w:r w:rsidR="00992E88">
        <w:instrText xml:space="preserve">" </w:instrText>
      </w:r>
      <w:r w:rsidR="00992E88">
        <w:fldChar w:fldCharType="end"/>
      </w:r>
    </w:p>
    <w:p w:rsidR="00283731" w:rsidRDefault="00283731" w:rsidP="00283731">
      <w:pPr>
        <w:pStyle w:val="BodyText"/>
      </w:pPr>
      <w:r>
        <w:t xml:space="preserve">The user configures diagnostic test or component order alerts that appear at login, and turns them on or off. The alerts notify users when new orders are entered, updated, or canceled in </w:t>
      </w:r>
      <w:r w:rsidRPr="00CA0045">
        <w:rPr>
          <w:bCs/>
        </w:rPr>
        <w:t>VistA</w:t>
      </w:r>
      <w:r>
        <w:rPr>
          <w:bCs/>
        </w:rPr>
        <w:t>.</w:t>
      </w:r>
    </w:p>
    <w:p w:rsidR="002E3C00" w:rsidRDefault="002E3C00" w:rsidP="002E3C00">
      <w:pPr>
        <w:pStyle w:val="Heading4"/>
        <w:rPr>
          <w:b w:val="0"/>
        </w:rPr>
      </w:pPr>
      <w:r>
        <w:t>User Roles with Access to This Option</w:t>
      </w:r>
      <w:r>
        <w:rPr>
          <w:b w:val="0"/>
        </w:rPr>
        <w:t xml:space="preserve"> </w:t>
      </w:r>
    </w:p>
    <w:p w:rsidR="002E3C00" w:rsidRPr="008F337A"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r>
        <w:rPr>
          <w:snapToGrid w:val="0"/>
        </w:rPr>
        <w:t xml:space="preserve"> </w:t>
      </w:r>
    </w:p>
    <w:p w:rsidR="002E3C00" w:rsidRDefault="00B74754" w:rsidP="002E3C00">
      <w:pPr>
        <w:pStyle w:val="Heading4"/>
      </w:pPr>
      <w:r>
        <w:t>Preparation for Testing</w:t>
      </w:r>
    </w:p>
    <w:p w:rsidR="002E3C00" w:rsidRPr="00600497" w:rsidRDefault="002E3C00" w:rsidP="002F6D7B">
      <w:pPr>
        <w:pStyle w:val="ListNumber"/>
        <w:numPr>
          <w:ilvl w:val="0"/>
          <w:numId w:val="24"/>
        </w:numPr>
        <w:tabs>
          <w:tab w:val="clear" w:pos="720"/>
          <w:tab w:val="num" w:pos="360"/>
        </w:tabs>
        <w:ind w:left="360"/>
      </w:pPr>
      <w:r w:rsidRPr="00600497">
        <w:t xml:space="preserve">Capture and save a screen shot of each piece of information. </w:t>
      </w:r>
    </w:p>
    <w:p w:rsidR="00232E43" w:rsidRPr="00FB7F8D" w:rsidRDefault="00232E43" w:rsidP="002F6D7B">
      <w:pPr>
        <w:pStyle w:val="ListNumber"/>
        <w:numPr>
          <w:ilvl w:val="0"/>
          <w:numId w:val="24"/>
        </w:numPr>
        <w:tabs>
          <w:tab w:val="clear" w:pos="720"/>
          <w:tab w:val="num" w:pos="360"/>
        </w:tabs>
        <w:ind w:left="360"/>
      </w:pPr>
      <w:r w:rsidRPr="00600497">
        <w:t>P</w:t>
      </w:r>
      <w:r w:rsidRPr="00FB7F8D">
        <w:t>rint</w:t>
      </w:r>
      <w:r>
        <w:t>, sign, date,</w:t>
      </w:r>
      <w:r w:rsidRPr="00FB7F8D">
        <w:t xml:space="preserve"> and save an </w:t>
      </w:r>
      <w:r>
        <w:t>A</w:t>
      </w:r>
      <w:r w:rsidRPr="00FB7F8D">
        <w:t xml:space="preserve">udit </w:t>
      </w:r>
      <w:r>
        <w:t>Trail R</w:t>
      </w:r>
      <w:r w:rsidRPr="00FB7F8D">
        <w:t>eport for your validation record.</w:t>
      </w:r>
    </w:p>
    <w:p w:rsidR="002E3C00" w:rsidRDefault="007F0132" w:rsidP="002E3C00">
      <w:pPr>
        <w:pStyle w:val="Heading3"/>
      </w:pPr>
      <w:bookmarkStart w:id="728" w:name="_Toc114462098"/>
      <w:r>
        <w:br w:type="page"/>
      </w:r>
      <w:bookmarkStart w:id="729" w:name="_Toc459900223"/>
      <w:r w:rsidR="002E3C00">
        <w:lastRenderedPageBreak/>
        <w:t>Configure Daily QC: Full Service</w:t>
      </w:r>
      <w:bookmarkEnd w:id="720"/>
      <w:bookmarkEnd w:id="721"/>
      <w:bookmarkEnd w:id="728"/>
      <w:bookmarkEnd w:id="729"/>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Configure Daily QC\: Full Service</w:instrText>
      </w:r>
      <w:r w:rsidR="00992E88">
        <w:instrText xml:space="preserve">" </w:instrText>
      </w:r>
      <w:r w:rsidR="00992E88">
        <w:fldChar w:fldCharType="end"/>
      </w:r>
    </w:p>
    <w:p w:rsidR="002E3C00" w:rsidRDefault="002E3C00" w:rsidP="002E3C00">
      <w:pPr>
        <w:pStyle w:val="BodyText"/>
      </w:pPr>
      <w:r>
        <w:t>The user sets up the routine reagent racks and QC template for the division before performing daily reagent QC.</w:t>
      </w:r>
    </w:p>
    <w:p w:rsidR="002E3C00" w:rsidRDefault="002E3C00" w:rsidP="002E3C00">
      <w:pPr>
        <w:pStyle w:val="Heading4"/>
        <w:rPr>
          <w:b w:val="0"/>
        </w:rPr>
      </w:pPr>
      <w:r>
        <w:t>User Roles with Access to This Option</w:t>
      </w:r>
      <w:r>
        <w:rPr>
          <w:b w:val="0"/>
        </w:rPr>
        <w:t xml:space="preserve"> </w:t>
      </w:r>
    </w:p>
    <w:p w:rsidR="002E3C00" w:rsidRPr="00B22CCD"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r>
        <w:rPr>
          <w:snapToGrid w:val="0"/>
        </w:rPr>
        <w:t xml:space="preserve"> </w:t>
      </w:r>
    </w:p>
    <w:p w:rsidR="002E3C00" w:rsidRDefault="00B74754" w:rsidP="002E3C00">
      <w:pPr>
        <w:pStyle w:val="Heading4"/>
      </w:pPr>
      <w:r>
        <w:t>Preparation for Testing</w:t>
      </w:r>
    </w:p>
    <w:p w:rsidR="00717BAF" w:rsidRDefault="002E3C00" w:rsidP="002F6D7B">
      <w:pPr>
        <w:pStyle w:val="ListNumber"/>
        <w:numPr>
          <w:ilvl w:val="0"/>
          <w:numId w:val="34"/>
        </w:numPr>
        <w:tabs>
          <w:tab w:val="clear" w:pos="720"/>
          <w:tab w:val="num" w:pos="360"/>
          <w:tab w:val="right" w:leader="underscore" w:pos="9360"/>
        </w:tabs>
        <w:ind w:left="360"/>
      </w:pPr>
      <w:r>
        <w:t>If you perform daily reagent rack quality control using a commercial kit, select the commercial kit template. If not, select the non-commercial k</w:t>
      </w:r>
      <w:r w:rsidR="00717BAF">
        <w:t>it template. Template selected:</w:t>
      </w:r>
      <w:r w:rsidR="00717BAF">
        <w:tab/>
      </w:r>
    </w:p>
    <w:p w:rsidR="00717BAF" w:rsidRDefault="002E3C00" w:rsidP="002F6D7B">
      <w:pPr>
        <w:pStyle w:val="ListNumber"/>
        <w:numPr>
          <w:ilvl w:val="0"/>
          <w:numId w:val="34"/>
        </w:numPr>
        <w:tabs>
          <w:tab w:val="clear" w:pos="720"/>
          <w:tab w:val="num" w:pos="360"/>
          <w:tab w:val="right" w:leader="underscore" w:pos="9360"/>
        </w:tabs>
        <w:ind w:left="360"/>
      </w:pPr>
      <w:r>
        <w:t>Daily alert time at which users will be prompted to perform QC:</w:t>
      </w:r>
      <w:r w:rsidR="001D1E93">
        <w:tab/>
      </w:r>
    </w:p>
    <w:p w:rsidR="00717BAF" w:rsidRDefault="002E3C00" w:rsidP="002F6D7B">
      <w:pPr>
        <w:pStyle w:val="ListNumber"/>
        <w:numPr>
          <w:ilvl w:val="0"/>
          <w:numId w:val="34"/>
        </w:numPr>
        <w:tabs>
          <w:tab w:val="clear" w:pos="720"/>
          <w:tab w:val="num" w:pos="360"/>
          <w:tab w:val="right" w:leader="underscore" w:pos="9360"/>
        </w:tabs>
        <w:ind w:left="360"/>
      </w:pPr>
      <w:r>
        <w:t>Do you want to use letters or n</w:t>
      </w:r>
      <w:r w:rsidR="00717BAF">
        <w:t>umbers as rack names?</w:t>
      </w:r>
      <w:r w:rsidR="001D1E93">
        <w:tab/>
      </w:r>
    </w:p>
    <w:p w:rsidR="00717BAF" w:rsidRDefault="002E3C00" w:rsidP="002F6D7B">
      <w:pPr>
        <w:pStyle w:val="ListNumber"/>
        <w:numPr>
          <w:ilvl w:val="0"/>
          <w:numId w:val="34"/>
        </w:numPr>
        <w:tabs>
          <w:tab w:val="clear" w:pos="720"/>
          <w:tab w:val="num" w:pos="360"/>
          <w:tab w:val="right" w:leader="underscore" w:pos="9360"/>
        </w:tabs>
        <w:ind w:left="360"/>
      </w:pPr>
      <w:r>
        <w:t xml:space="preserve">Maximum number </w:t>
      </w:r>
      <w:r w:rsidR="00717BAF">
        <w:t>of reagent racks for daily use:</w:t>
      </w:r>
      <w:r w:rsidR="001D1E93">
        <w:tab/>
      </w:r>
    </w:p>
    <w:p w:rsidR="00717BAF" w:rsidRDefault="00717BAF" w:rsidP="002F6D7B">
      <w:pPr>
        <w:pStyle w:val="ListNumber"/>
        <w:numPr>
          <w:ilvl w:val="0"/>
          <w:numId w:val="34"/>
        </w:numPr>
        <w:tabs>
          <w:tab w:val="clear" w:pos="720"/>
          <w:tab w:val="num" w:pos="360"/>
          <w:tab w:val="right" w:leader="underscore" w:pos="9360"/>
        </w:tabs>
        <w:ind w:left="360"/>
      </w:pPr>
      <w:r>
        <w:t>Primary enhancement medium:</w:t>
      </w:r>
      <w:r w:rsidR="001D1E93">
        <w:tab/>
      </w:r>
    </w:p>
    <w:p w:rsidR="00717BAF" w:rsidRDefault="00717BAF" w:rsidP="002F6D7B">
      <w:pPr>
        <w:pStyle w:val="ListNumber"/>
        <w:numPr>
          <w:ilvl w:val="0"/>
          <w:numId w:val="34"/>
        </w:numPr>
        <w:tabs>
          <w:tab w:val="clear" w:pos="720"/>
          <w:tab w:val="num" w:pos="360"/>
          <w:tab w:val="right" w:leader="underscore" w:pos="9360"/>
        </w:tabs>
        <w:ind w:left="360"/>
      </w:pPr>
      <w:r>
        <w:t>Secondary enhancement medium:</w:t>
      </w:r>
      <w:r w:rsidR="001D1E93">
        <w:tab/>
      </w:r>
    </w:p>
    <w:p w:rsidR="00717BAF" w:rsidRDefault="002E3C00" w:rsidP="001D1E93">
      <w:pPr>
        <w:pStyle w:val="BodyText"/>
      </w:pPr>
      <w:r>
        <w:t>The template contains the minimum number of tests required to test the reagents. Select additional tests that are part of your daily reagent rack QC, in accordance with local policies and procedures.</w:t>
      </w:r>
      <w:bookmarkStart w:id="730" w:name="_Toc85895787"/>
      <w:bookmarkStart w:id="731" w:name="_Toc113264244"/>
    </w:p>
    <w:p w:rsidR="00717BAF" w:rsidRDefault="002E3C00" w:rsidP="002F6D7B">
      <w:pPr>
        <w:pStyle w:val="ListNumber"/>
        <w:numPr>
          <w:ilvl w:val="0"/>
          <w:numId w:val="34"/>
        </w:numPr>
        <w:tabs>
          <w:tab w:val="clear" w:pos="720"/>
          <w:tab w:val="num" w:pos="360"/>
          <w:tab w:val="right" w:leader="underscore" w:pos="9360"/>
        </w:tabs>
        <w:ind w:left="360"/>
      </w:pPr>
      <w:r>
        <w:t>Capture and save</w:t>
      </w:r>
      <w:r w:rsidRPr="00FB7F8D">
        <w:t xml:space="preserve"> a screen shot of </w:t>
      </w:r>
      <w:r>
        <w:t>each piece of</w:t>
      </w:r>
      <w:r w:rsidRPr="00FB7F8D">
        <w:t xml:space="preserve"> information. </w:t>
      </w:r>
    </w:p>
    <w:p w:rsidR="00232E43" w:rsidRPr="00FB7F8D" w:rsidRDefault="00232E43" w:rsidP="002F6D7B">
      <w:pPr>
        <w:pStyle w:val="ListNumber"/>
        <w:numPr>
          <w:ilvl w:val="0"/>
          <w:numId w:val="34"/>
        </w:numPr>
        <w:tabs>
          <w:tab w:val="clear" w:pos="720"/>
          <w:tab w:val="num" w:pos="360"/>
          <w:tab w:val="right" w:leader="underscore" w:pos="9360"/>
        </w:tabs>
        <w:ind w:left="360"/>
      </w:pPr>
      <w:r w:rsidRPr="00FB7F8D">
        <w:t>Print</w:t>
      </w:r>
      <w:r>
        <w:t>, sign, date,</w:t>
      </w:r>
      <w:r w:rsidRPr="00FB7F8D">
        <w:t xml:space="preserve"> and save an </w:t>
      </w:r>
      <w:r>
        <w:t>A</w:t>
      </w:r>
      <w:r w:rsidRPr="00FB7F8D">
        <w:t xml:space="preserve">udit </w:t>
      </w:r>
      <w:r>
        <w:t>Trail R</w:t>
      </w:r>
      <w:r w:rsidRPr="00FB7F8D">
        <w:t>eport for your validation record.</w:t>
      </w:r>
    </w:p>
    <w:p w:rsidR="002E3C00" w:rsidRDefault="007F0132" w:rsidP="002E3C00">
      <w:pPr>
        <w:pStyle w:val="Heading3"/>
      </w:pPr>
      <w:bookmarkStart w:id="732" w:name="_Toc114462099"/>
      <w:r>
        <w:br w:type="page"/>
      </w:r>
      <w:bookmarkStart w:id="733" w:name="_Toc459900224"/>
      <w:r w:rsidR="002E3C00">
        <w:lastRenderedPageBreak/>
        <w:t xml:space="preserve">Maintain </w:t>
      </w:r>
      <w:r w:rsidR="002E3C00" w:rsidRPr="00BD1428">
        <w:t>Minimum Levels</w:t>
      </w:r>
      <w:bookmarkEnd w:id="730"/>
      <w:bookmarkEnd w:id="731"/>
      <w:r w:rsidR="002E3C00">
        <w:t>: Full Service</w:t>
      </w:r>
      <w:bookmarkEnd w:id="732"/>
      <w:bookmarkEnd w:id="733"/>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Maintain Minimum Levels\: Full Service</w:instrText>
      </w:r>
      <w:r w:rsidR="00992E88">
        <w:instrText xml:space="preserve">" </w:instrText>
      </w:r>
      <w:r w:rsidR="00992E88">
        <w:fldChar w:fldCharType="end"/>
      </w:r>
    </w:p>
    <w:p w:rsidR="002E3C00" w:rsidRPr="00CF3293" w:rsidRDefault="002E3C00" w:rsidP="002E3C00">
      <w:pPr>
        <w:pStyle w:val="BodyText"/>
        <w:rPr>
          <w:rFonts w:cs="Arial"/>
          <w:snapToGrid w:val="0"/>
          <w:color w:val="000000"/>
          <w:szCs w:val="18"/>
        </w:rPr>
      </w:pPr>
      <w:r>
        <w:t>The user sets minimum stock levels for reagent types used in the division.</w:t>
      </w:r>
    </w:p>
    <w:p w:rsidR="002E3C00" w:rsidRDefault="002E3C00" w:rsidP="002E3C00">
      <w:pPr>
        <w:pStyle w:val="Heading4"/>
        <w:rPr>
          <w:b w:val="0"/>
        </w:rPr>
      </w:pPr>
      <w:r>
        <w:t>User Roles with Access to This Option</w:t>
      </w:r>
      <w:r>
        <w:rPr>
          <w:b w:val="0"/>
        </w:rPr>
        <w:t xml:space="preserve"> </w:t>
      </w:r>
    </w:p>
    <w:p w:rsidR="002E3C00" w:rsidRDefault="002E3C00" w:rsidP="002E3C00">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Traditional Supervisor</w:t>
      </w:r>
    </w:p>
    <w:p w:rsidR="002E3C00" w:rsidRDefault="00B74754" w:rsidP="002E3C00">
      <w:pPr>
        <w:pStyle w:val="Heading4"/>
      </w:pPr>
      <w:r>
        <w:t>Preparation for Testing</w:t>
      </w:r>
    </w:p>
    <w:p w:rsidR="002E3C00" w:rsidRDefault="002E3C00" w:rsidP="002E3C00">
      <w:pPr>
        <w:pStyle w:val="BodyText"/>
      </w:pPr>
      <w:r>
        <w:t>You may enter the minimum number of vials for each reagent type that your blood bank stocks to alert staff when it reaches a critical level.</w:t>
      </w:r>
    </w:p>
    <w:p w:rsidR="002E3C00" w:rsidRPr="00600497" w:rsidRDefault="002E3C00" w:rsidP="002F6D7B">
      <w:pPr>
        <w:pStyle w:val="ListNumber"/>
        <w:numPr>
          <w:ilvl w:val="0"/>
          <w:numId w:val="25"/>
        </w:numPr>
      </w:pPr>
      <w:bookmarkStart w:id="734" w:name="_Toc113264245"/>
      <w:r w:rsidRPr="00600497">
        <w:t xml:space="preserve">Capture and save a screen shot of each piece of information. </w:t>
      </w:r>
    </w:p>
    <w:p w:rsidR="00232E43" w:rsidRPr="00FB7F8D" w:rsidRDefault="00232E43" w:rsidP="002F6D7B">
      <w:pPr>
        <w:pStyle w:val="ListNumber"/>
        <w:numPr>
          <w:ilvl w:val="0"/>
          <w:numId w:val="25"/>
        </w:numPr>
      </w:pPr>
      <w:r w:rsidRPr="00600497">
        <w:t>Pr</w:t>
      </w:r>
      <w:r w:rsidRPr="00FB7F8D">
        <w:t>int</w:t>
      </w:r>
      <w:r>
        <w:t>, sign, date,</w:t>
      </w:r>
      <w:r w:rsidRPr="00FB7F8D">
        <w:t xml:space="preserve"> and save an </w:t>
      </w:r>
      <w:r>
        <w:t>A</w:t>
      </w:r>
      <w:r w:rsidRPr="00FB7F8D">
        <w:t xml:space="preserve">udit </w:t>
      </w:r>
      <w:r>
        <w:t>Trail R</w:t>
      </w:r>
      <w:r w:rsidRPr="00FB7F8D">
        <w:t>eport for your validation record.</w:t>
      </w:r>
    </w:p>
    <w:p w:rsidR="002E3C00" w:rsidRDefault="009E1D3B" w:rsidP="002E3C00">
      <w:pPr>
        <w:pStyle w:val="Heading3"/>
      </w:pPr>
      <w:bookmarkStart w:id="735" w:name="_Toc114462100"/>
      <w:r>
        <w:br w:type="page"/>
      </w:r>
      <w:bookmarkStart w:id="736" w:name="_Toc459900225"/>
      <w:r w:rsidR="002E3C00" w:rsidRPr="00515B51">
        <w:lastRenderedPageBreak/>
        <w:t>Log In Reagent</w:t>
      </w:r>
      <w:bookmarkEnd w:id="734"/>
      <w:r w:rsidR="002E3C00">
        <w:t>s: Full Service</w:t>
      </w:r>
      <w:bookmarkEnd w:id="735"/>
      <w:bookmarkEnd w:id="736"/>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Log In Reagents\: Full Service</w:instrText>
      </w:r>
      <w:r w:rsidR="00992E88">
        <w:instrText xml:space="preserve">" </w:instrText>
      </w:r>
      <w:r w:rsidR="00992E88">
        <w:fldChar w:fldCharType="end"/>
      </w:r>
    </w:p>
    <w:p w:rsidR="002E3C00" w:rsidRPr="00FA7E65" w:rsidRDefault="002E3C00" w:rsidP="002E3C00">
      <w:pPr>
        <w:pStyle w:val="BodyText"/>
      </w:pPr>
      <w:r w:rsidRPr="00FA7E65">
        <w:t>A user records the receipt of specific reagents by type. The reagent record includes the date the shipment was received, reagent name, lot number, expiration date, manufacturer, and number of vials received in a shipment.</w:t>
      </w:r>
    </w:p>
    <w:p w:rsidR="002E3C00" w:rsidRDefault="002E3C00" w:rsidP="002E3C00">
      <w:pPr>
        <w:pStyle w:val="Heading4"/>
      </w:pPr>
      <w:r>
        <w:t>User Roles with Access to This Option</w:t>
      </w:r>
    </w:p>
    <w:p w:rsidR="002E3C00" w:rsidRPr="00FC5C6B" w:rsidRDefault="002E3C00" w:rsidP="002E3C00">
      <w:pPr>
        <w:pStyle w:val="Roles"/>
      </w:pPr>
      <w:r>
        <w:t>All users</w:t>
      </w:r>
    </w:p>
    <w:p w:rsidR="002E3C00" w:rsidRDefault="00B74754" w:rsidP="002E3C00">
      <w:pPr>
        <w:pStyle w:val="Heading4"/>
      </w:pPr>
      <w:r>
        <w:t>Preparation for Testing</w:t>
      </w:r>
    </w:p>
    <w:p w:rsidR="002E3C00" w:rsidRPr="00600497" w:rsidRDefault="00387ADD" w:rsidP="002F6D7B">
      <w:pPr>
        <w:pStyle w:val="ListNumber"/>
        <w:numPr>
          <w:ilvl w:val="0"/>
          <w:numId w:val="26"/>
        </w:numPr>
        <w:tabs>
          <w:tab w:val="clear" w:pos="720"/>
          <w:tab w:val="num" w:pos="360"/>
        </w:tabs>
        <w:ind w:left="360"/>
      </w:pPr>
      <w:r>
        <w:t>Enter reagent types</w:t>
      </w:r>
      <w:r w:rsidRPr="00600497">
        <w:t xml:space="preserve"> and quantities used</w:t>
      </w:r>
      <w:r w:rsidR="002E3C00" w:rsidRPr="00600497">
        <w:t>.</w:t>
      </w:r>
      <w:r w:rsidRPr="00600497">
        <w:t xml:space="preserve"> (</w:t>
      </w:r>
      <w:r w:rsidR="002E3C00" w:rsidRPr="00600497">
        <w:t xml:space="preserve">For QC validation, </w:t>
      </w:r>
      <w:r w:rsidRPr="00600497">
        <w:t>enter</w:t>
      </w:r>
      <w:r w:rsidR="002E3C00" w:rsidRPr="00600497">
        <w:t xml:space="preserve"> a lot number that was received and found unsatisfactory, and a lot number that expires at 23:59 on the day that you test the reagent rack QC.</w:t>
      </w:r>
      <w:r w:rsidRPr="00600497">
        <w:t>)</w:t>
      </w:r>
    </w:p>
    <w:p w:rsidR="002E3C00" w:rsidRPr="00600497" w:rsidRDefault="00675FB9" w:rsidP="002F6D7B">
      <w:pPr>
        <w:pStyle w:val="ListNumber"/>
        <w:numPr>
          <w:ilvl w:val="0"/>
          <w:numId w:val="26"/>
        </w:numPr>
        <w:tabs>
          <w:tab w:val="clear" w:pos="720"/>
          <w:tab w:val="num" w:pos="360"/>
        </w:tabs>
        <w:ind w:left="360"/>
      </w:pPr>
      <w:r>
        <w:t>C</w:t>
      </w:r>
      <w:r w:rsidR="002E3C00" w:rsidRPr="00600497">
        <w:t xml:space="preserve">apture and save a screen shot of all entries. </w:t>
      </w:r>
    </w:p>
    <w:p w:rsidR="00232E43" w:rsidRPr="00FB7F8D" w:rsidRDefault="002E3C00" w:rsidP="002F6D7B">
      <w:pPr>
        <w:pStyle w:val="ListNumber"/>
        <w:numPr>
          <w:ilvl w:val="0"/>
          <w:numId w:val="26"/>
        </w:numPr>
        <w:tabs>
          <w:tab w:val="clear" w:pos="720"/>
          <w:tab w:val="num" w:pos="360"/>
        </w:tabs>
        <w:ind w:left="360"/>
      </w:pPr>
      <w:r w:rsidRPr="00600497">
        <w:t>Print</w:t>
      </w:r>
      <w:r w:rsidR="009A1A60" w:rsidRPr="00600497">
        <w:t>, sign, date,</w:t>
      </w:r>
      <w:r w:rsidRPr="00600497">
        <w:t xml:space="preserve"> and</w:t>
      </w:r>
      <w:r>
        <w:t xml:space="preserve"> save the </w:t>
      </w:r>
      <w:r w:rsidR="009A1A60">
        <w:t>View/Print Inventory (R</w:t>
      </w:r>
      <w:r>
        <w:t>eagent</w:t>
      </w:r>
      <w:r w:rsidR="009A1A60">
        <w:t>) R</w:t>
      </w:r>
      <w:r>
        <w:t>eport for your validation record.</w:t>
      </w:r>
    </w:p>
    <w:p w:rsidR="002E3C00" w:rsidRDefault="007F0132" w:rsidP="002E3C00">
      <w:pPr>
        <w:pStyle w:val="Heading3"/>
      </w:pPr>
      <w:bookmarkStart w:id="737" w:name="_Toc85895788"/>
      <w:bookmarkStart w:id="738" w:name="_Toc113264246"/>
      <w:bookmarkStart w:id="739" w:name="_Toc114462101"/>
      <w:r>
        <w:br w:type="page"/>
      </w:r>
      <w:bookmarkStart w:id="740" w:name="_Toc459900226"/>
      <w:r w:rsidR="002E3C00">
        <w:lastRenderedPageBreak/>
        <w:t>Blood Products</w:t>
      </w:r>
      <w:bookmarkEnd w:id="737"/>
      <w:bookmarkEnd w:id="738"/>
      <w:bookmarkEnd w:id="739"/>
      <w:bookmarkEnd w:id="740"/>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Blood Products</w:instrText>
      </w:r>
      <w:r w:rsidR="00992E88">
        <w:instrText xml:space="preserve">" </w:instrText>
      </w:r>
      <w:r w:rsidR="00992E88">
        <w:fldChar w:fldCharType="end"/>
      </w:r>
    </w:p>
    <w:p w:rsidR="002E3C00" w:rsidRPr="0094769F" w:rsidRDefault="002E3C00" w:rsidP="002E3C00">
      <w:pPr>
        <w:pStyle w:val="BodyText"/>
      </w:pPr>
      <w:r>
        <w:t>The user activates, deactivates, and edits a limited number of variables for an existing blood product site parameter. VBECS provides a Codabar and an ISBT 128 Blood Product reference table to facilitate these and other actions.</w:t>
      </w:r>
    </w:p>
    <w:p w:rsidR="002E3C00" w:rsidRDefault="002E3C00" w:rsidP="002E3C00">
      <w:pPr>
        <w:pStyle w:val="Heading4"/>
      </w:pPr>
      <w:r>
        <w:t>User Roles with Access to This Option</w:t>
      </w:r>
    </w:p>
    <w:p w:rsidR="002E3C00" w:rsidRPr="00FC5C6B" w:rsidRDefault="002E3C00" w:rsidP="002E3C00">
      <w:pPr>
        <w:pStyle w:val="Roles"/>
      </w:pPr>
      <w:r>
        <w:t>All users</w:t>
      </w:r>
    </w:p>
    <w:p w:rsidR="002E3C00" w:rsidRDefault="00B74754" w:rsidP="002E3C00">
      <w:pPr>
        <w:pStyle w:val="Heading4"/>
      </w:pPr>
      <w:r>
        <w:t>Preparation for Testing</w:t>
      </w:r>
    </w:p>
    <w:p w:rsidR="002E3C00" w:rsidRDefault="002E3C00" w:rsidP="002E3C00">
      <w:pPr>
        <w:pStyle w:val="BodyText"/>
      </w:pPr>
      <w:r>
        <w:t>Activate blood products here or during incoming shipment. It may be helpful to set up your most common products</w:t>
      </w:r>
      <w:r w:rsidR="00CC08BC">
        <w:t xml:space="preserve"> before </w:t>
      </w:r>
      <w:r>
        <w:t>e</w:t>
      </w:r>
      <w:r w:rsidR="002C235F">
        <w:t>ntering blood inventory in</w:t>
      </w:r>
      <w:r>
        <w:t xml:space="preserve"> the system.</w:t>
      </w:r>
    </w:p>
    <w:p w:rsidR="002E3C00" w:rsidRDefault="002C235F" w:rsidP="002E3C00">
      <w:pPr>
        <w:pStyle w:val="BodyText"/>
      </w:pPr>
      <w:r>
        <w:t xml:space="preserve">Healthcare Common Procedure Coding System (HCPCS) </w:t>
      </w:r>
      <w:r w:rsidR="002E3C00">
        <w:t>codes are provided by your hospital’s VistA file</w:t>
      </w:r>
      <w:r w:rsidR="00CC08BC">
        <w:t>. S</w:t>
      </w:r>
      <w:r w:rsidR="002E3C00">
        <w:t>elect the code that is associated with the blood product.</w:t>
      </w:r>
    </w:p>
    <w:p w:rsidR="00061FCF" w:rsidRPr="00600497" w:rsidRDefault="00061FCF" w:rsidP="002F6D7B">
      <w:pPr>
        <w:pStyle w:val="ListNumber"/>
        <w:numPr>
          <w:ilvl w:val="0"/>
          <w:numId w:val="27"/>
        </w:numPr>
      </w:pPr>
      <w:r w:rsidRPr="00600497">
        <w:t>Use the sample worksheet to record information.</w:t>
      </w:r>
    </w:p>
    <w:p w:rsidR="002E3C00" w:rsidRPr="00600497" w:rsidRDefault="002E3C00" w:rsidP="002F6D7B">
      <w:pPr>
        <w:pStyle w:val="ListNumber"/>
        <w:numPr>
          <w:ilvl w:val="0"/>
          <w:numId w:val="27"/>
        </w:numPr>
      </w:pPr>
      <w:r w:rsidRPr="00600497">
        <w:t xml:space="preserve">Capture and save a screen shot of each piece of information before continuing. </w:t>
      </w:r>
    </w:p>
    <w:p w:rsidR="00232E43" w:rsidRPr="00FB7F8D" w:rsidRDefault="00232E43" w:rsidP="002F6D7B">
      <w:pPr>
        <w:pStyle w:val="ListNumber"/>
        <w:numPr>
          <w:ilvl w:val="0"/>
          <w:numId w:val="27"/>
        </w:numPr>
      </w:pPr>
      <w:r w:rsidRPr="00600497">
        <w:t>Pr</w:t>
      </w:r>
      <w:r w:rsidRPr="00FB7F8D">
        <w:t>int</w:t>
      </w:r>
      <w:r>
        <w:t>, sign, date,</w:t>
      </w:r>
      <w:r w:rsidRPr="00FB7F8D">
        <w:t xml:space="preserve"> and save an </w:t>
      </w:r>
      <w:r>
        <w:t>A</w:t>
      </w:r>
      <w:r w:rsidRPr="00FB7F8D">
        <w:t xml:space="preserve">udit </w:t>
      </w:r>
      <w:r>
        <w:t>Trail R</w:t>
      </w:r>
      <w:r w:rsidRPr="00FB7F8D">
        <w:t>eport for your validation record.</w:t>
      </w:r>
    </w:p>
    <w:p w:rsidR="002E3C00" w:rsidRDefault="002E3C00" w:rsidP="002E3C00">
      <w:pPr>
        <w:pStyle w:val="Caption"/>
      </w:pPr>
      <w:r>
        <w:t xml:space="preserve">Table </w:t>
      </w:r>
      <w:r>
        <w:fldChar w:fldCharType="begin"/>
      </w:r>
      <w:r>
        <w:instrText xml:space="preserve"> SEQ Table \* ARABIC </w:instrText>
      </w:r>
      <w:r>
        <w:fldChar w:fldCharType="separate"/>
      </w:r>
      <w:r w:rsidR="005F38BC">
        <w:rPr>
          <w:noProof/>
        </w:rPr>
        <w:t>30</w:t>
      </w:r>
      <w:r>
        <w:fldChar w:fldCharType="end"/>
      </w:r>
      <w:r>
        <w:t>: Sample Blood Products Worksheet</w:t>
      </w:r>
      <w:r w:rsidR="00AD60CF">
        <w:fldChar w:fldCharType="begin"/>
      </w:r>
      <w:r w:rsidR="00F272D5">
        <w:instrText xml:space="preserve"> XE "Tables:</w:instrText>
      </w:r>
      <w:r w:rsidR="00AD60CF" w:rsidRPr="0046419F">
        <w:instrText>Sample Blood Products Worksheet</w:instrText>
      </w:r>
      <w:r w:rsidR="00AD60CF">
        <w:instrText xml:space="preserve">" </w:instrText>
      </w:r>
      <w:r w:rsidR="00AD60CF">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4"/>
        <w:gridCol w:w="1222"/>
        <w:gridCol w:w="7"/>
        <w:gridCol w:w="1223"/>
        <w:gridCol w:w="6"/>
        <w:gridCol w:w="2008"/>
        <w:gridCol w:w="1224"/>
        <w:gridCol w:w="1223"/>
        <w:gridCol w:w="1223"/>
      </w:tblGrid>
      <w:tr w:rsidR="00AF76D5" w:rsidRPr="00B562A7">
        <w:tblPrEx>
          <w:tblCellMar>
            <w:top w:w="0" w:type="dxa"/>
            <w:bottom w:w="0" w:type="dxa"/>
          </w:tblCellMar>
        </w:tblPrEx>
        <w:trPr>
          <w:tblHeader/>
        </w:trPr>
        <w:tc>
          <w:tcPr>
            <w:tcW w:w="2446" w:type="dxa"/>
            <w:gridSpan w:val="2"/>
            <w:tcBorders>
              <w:top w:val="single" w:sz="4" w:space="0" w:color="auto"/>
              <w:left w:val="single" w:sz="4" w:space="0" w:color="auto"/>
              <w:bottom w:val="single" w:sz="4" w:space="0" w:color="auto"/>
              <w:right w:val="single" w:sz="4" w:space="0" w:color="auto"/>
            </w:tcBorders>
            <w:shd w:val="clear" w:color="auto" w:fill="B3B3B3"/>
            <w:vAlign w:val="bottom"/>
          </w:tcPr>
          <w:p w:rsidR="00AF76D5" w:rsidRPr="00B562A7" w:rsidRDefault="00AF76D5" w:rsidP="009E1D3B">
            <w:pPr>
              <w:pStyle w:val="TableText"/>
              <w:jc w:val="center"/>
              <w:rPr>
                <w:b/>
              </w:rPr>
            </w:pPr>
            <w:r>
              <w:rPr>
                <w:b/>
              </w:rPr>
              <w:t>Blood Product</w:t>
            </w:r>
          </w:p>
        </w:tc>
        <w:tc>
          <w:tcPr>
            <w:tcW w:w="1236" w:type="dxa"/>
            <w:gridSpan w:val="3"/>
            <w:tcBorders>
              <w:top w:val="single" w:sz="4" w:space="0" w:color="auto"/>
              <w:left w:val="single" w:sz="4" w:space="0" w:color="auto"/>
              <w:bottom w:val="single" w:sz="4" w:space="0" w:color="auto"/>
              <w:right w:val="single" w:sz="4" w:space="0" w:color="auto"/>
            </w:tcBorders>
            <w:shd w:val="clear" w:color="auto" w:fill="B3B3B3"/>
            <w:vAlign w:val="bottom"/>
          </w:tcPr>
          <w:p w:rsidR="00AF76D5" w:rsidRPr="00B562A7" w:rsidRDefault="00AF76D5" w:rsidP="009C7C13">
            <w:pPr>
              <w:pStyle w:val="TableText"/>
              <w:rPr>
                <w:b/>
              </w:rPr>
            </w:pPr>
            <w:r>
              <w:rPr>
                <w:b/>
              </w:rPr>
              <w:t>HCPCS</w:t>
            </w:r>
          </w:p>
        </w:tc>
        <w:tc>
          <w:tcPr>
            <w:tcW w:w="5678" w:type="dxa"/>
            <w:gridSpan w:val="4"/>
            <w:tcBorders>
              <w:top w:val="single" w:sz="4" w:space="0" w:color="auto"/>
              <w:left w:val="single" w:sz="4" w:space="0" w:color="auto"/>
              <w:bottom w:val="single" w:sz="4" w:space="0" w:color="auto"/>
              <w:right w:val="single" w:sz="4" w:space="0" w:color="auto"/>
            </w:tcBorders>
            <w:shd w:val="clear" w:color="auto" w:fill="B3B3B3"/>
            <w:vAlign w:val="bottom"/>
          </w:tcPr>
          <w:p w:rsidR="00AF76D5" w:rsidRPr="00B562A7" w:rsidRDefault="00AF76D5" w:rsidP="009E1D3B">
            <w:pPr>
              <w:pStyle w:val="TableText"/>
              <w:jc w:val="center"/>
              <w:rPr>
                <w:b/>
              </w:rPr>
            </w:pPr>
            <w:r>
              <w:rPr>
                <w:b/>
              </w:rPr>
              <w:t>Product Shippers</w:t>
            </w:r>
          </w:p>
        </w:tc>
      </w:tr>
      <w:tr w:rsidR="00AF76D5" w:rsidRPr="00B562A7">
        <w:tblPrEx>
          <w:tblCellMar>
            <w:top w:w="0" w:type="dxa"/>
            <w:bottom w:w="0" w:type="dxa"/>
          </w:tblCellMar>
        </w:tblPrEx>
        <w:trPr>
          <w:tblHeader/>
        </w:trPr>
        <w:tc>
          <w:tcPr>
            <w:tcW w:w="1224" w:type="dxa"/>
            <w:shd w:val="clear" w:color="auto" w:fill="B3B3B3"/>
            <w:vAlign w:val="bottom"/>
          </w:tcPr>
          <w:p w:rsidR="002E3C00" w:rsidRPr="00B562A7" w:rsidRDefault="002E3C00" w:rsidP="002E3C00">
            <w:pPr>
              <w:pStyle w:val="TableText"/>
              <w:rPr>
                <w:b/>
              </w:rPr>
            </w:pPr>
            <w:r w:rsidRPr="00B562A7">
              <w:rPr>
                <w:b/>
              </w:rPr>
              <w:t xml:space="preserve">Product </w:t>
            </w:r>
            <w:r w:rsidRPr="00B562A7">
              <w:rPr>
                <w:b/>
              </w:rPr>
              <w:br/>
              <w:t>Code</w:t>
            </w:r>
          </w:p>
        </w:tc>
        <w:tc>
          <w:tcPr>
            <w:tcW w:w="1229" w:type="dxa"/>
            <w:gridSpan w:val="2"/>
            <w:shd w:val="clear" w:color="auto" w:fill="B3B3B3"/>
            <w:vAlign w:val="bottom"/>
          </w:tcPr>
          <w:p w:rsidR="002E3C00" w:rsidRPr="00B562A7" w:rsidRDefault="002E3C00" w:rsidP="002E3C00">
            <w:pPr>
              <w:pStyle w:val="TableText"/>
              <w:rPr>
                <w:b/>
              </w:rPr>
            </w:pPr>
            <w:r w:rsidRPr="00B562A7">
              <w:rPr>
                <w:b/>
              </w:rPr>
              <w:t>Short Product Name</w:t>
            </w:r>
          </w:p>
        </w:tc>
        <w:tc>
          <w:tcPr>
            <w:tcW w:w="1223" w:type="dxa"/>
            <w:shd w:val="clear" w:color="auto" w:fill="B3B3B3"/>
            <w:vAlign w:val="bottom"/>
          </w:tcPr>
          <w:p w:rsidR="002E3C00" w:rsidRPr="00B562A7" w:rsidRDefault="00AF76D5" w:rsidP="002E3C00">
            <w:pPr>
              <w:pStyle w:val="TableText"/>
              <w:rPr>
                <w:b/>
              </w:rPr>
            </w:pPr>
            <w:r>
              <w:rPr>
                <w:b/>
              </w:rPr>
              <w:t>HCPCS C</w:t>
            </w:r>
            <w:r w:rsidR="002E3C00" w:rsidRPr="00B562A7">
              <w:rPr>
                <w:b/>
              </w:rPr>
              <w:t>ode</w:t>
            </w:r>
          </w:p>
        </w:tc>
        <w:tc>
          <w:tcPr>
            <w:tcW w:w="2014" w:type="dxa"/>
            <w:gridSpan w:val="2"/>
            <w:shd w:val="clear" w:color="auto" w:fill="B3B3B3"/>
            <w:vAlign w:val="bottom"/>
          </w:tcPr>
          <w:p w:rsidR="002E3C00" w:rsidRPr="00B562A7" w:rsidRDefault="002E3C00" w:rsidP="002E3C00">
            <w:pPr>
              <w:pStyle w:val="TableText"/>
              <w:rPr>
                <w:b/>
              </w:rPr>
            </w:pPr>
            <w:r w:rsidRPr="00B562A7">
              <w:rPr>
                <w:b/>
              </w:rPr>
              <w:t>Shipper</w:t>
            </w:r>
            <w:r>
              <w:rPr>
                <w:b/>
              </w:rPr>
              <w:t xml:space="preserve"> Name</w:t>
            </w:r>
          </w:p>
        </w:tc>
        <w:tc>
          <w:tcPr>
            <w:tcW w:w="1224" w:type="dxa"/>
            <w:shd w:val="clear" w:color="auto" w:fill="B3B3B3"/>
            <w:vAlign w:val="bottom"/>
          </w:tcPr>
          <w:p w:rsidR="002E3C00" w:rsidRPr="00B562A7" w:rsidRDefault="002E3C00" w:rsidP="002E3C00">
            <w:pPr>
              <w:pStyle w:val="TableText"/>
              <w:rPr>
                <w:b/>
              </w:rPr>
            </w:pPr>
            <w:r w:rsidRPr="00B562A7">
              <w:rPr>
                <w:b/>
              </w:rPr>
              <w:t xml:space="preserve">FDA </w:t>
            </w:r>
            <w:r w:rsidR="00D54264">
              <w:rPr>
                <w:b/>
              </w:rPr>
              <w:t>Reg. #</w:t>
            </w:r>
          </w:p>
        </w:tc>
        <w:tc>
          <w:tcPr>
            <w:tcW w:w="1223" w:type="dxa"/>
            <w:shd w:val="clear" w:color="auto" w:fill="B3B3B3"/>
            <w:vAlign w:val="bottom"/>
          </w:tcPr>
          <w:p w:rsidR="002E3C00" w:rsidRPr="00B562A7" w:rsidRDefault="002E3C00" w:rsidP="002E3C00">
            <w:pPr>
              <w:pStyle w:val="TableText"/>
              <w:rPr>
                <w:b/>
              </w:rPr>
            </w:pPr>
            <w:r w:rsidRPr="00B562A7">
              <w:rPr>
                <w:b/>
              </w:rPr>
              <w:t xml:space="preserve">Cost </w:t>
            </w:r>
            <w:r>
              <w:rPr>
                <w:b/>
              </w:rPr>
              <w:t>($)</w:t>
            </w:r>
          </w:p>
        </w:tc>
        <w:tc>
          <w:tcPr>
            <w:tcW w:w="1223" w:type="dxa"/>
            <w:shd w:val="clear" w:color="auto" w:fill="B3B3B3"/>
            <w:vAlign w:val="bottom"/>
          </w:tcPr>
          <w:p w:rsidR="002E3C00" w:rsidRPr="00B562A7" w:rsidRDefault="002E3C00" w:rsidP="002E3C00">
            <w:pPr>
              <w:pStyle w:val="TableText"/>
              <w:rPr>
                <w:b/>
              </w:rPr>
            </w:pPr>
            <w:r w:rsidRPr="00B562A7">
              <w:rPr>
                <w:b/>
              </w:rPr>
              <w:t xml:space="preserve">Return </w:t>
            </w:r>
            <w:r>
              <w:rPr>
                <w:b/>
              </w:rPr>
              <w:t>Credit %</w:t>
            </w:r>
          </w:p>
        </w:tc>
      </w:tr>
      <w:tr w:rsidR="00AF76D5">
        <w:tblPrEx>
          <w:tblCellMar>
            <w:top w:w="0" w:type="dxa"/>
            <w:bottom w:w="0" w:type="dxa"/>
          </w:tblCellMar>
        </w:tblPrEx>
        <w:tc>
          <w:tcPr>
            <w:tcW w:w="1224" w:type="dxa"/>
          </w:tcPr>
          <w:p w:rsidR="002E3C00" w:rsidRDefault="002E3C00" w:rsidP="002E3C00">
            <w:pPr>
              <w:pStyle w:val="TableText"/>
            </w:pPr>
            <w:r>
              <w:t>04020</w:t>
            </w:r>
          </w:p>
        </w:tc>
        <w:tc>
          <w:tcPr>
            <w:tcW w:w="1229" w:type="dxa"/>
            <w:gridSpan w:val="2"/>
          </w:tcPr>
          <w:p w:rsidR="002E3C00" w:rsidRDefault="002E3C00" w:rsidP="002E3C00">
            <w:pPr>
              <w:pStyle w:val="TableText"/>
            </w:pPr>
            <w:r>
              <w:t>RBC</w:t>
            </w:r>
            <w:r w:rsidR="0017175D">
              <w:t xml:space="preserve"> ACD-A</w:t>
            </w:r>
          </w:p>
        </w:tc>
        <w:tc>
          <w:tcPr>
            <w:tcW w:w="1223" w:type="dxa"/>
          </w:tcPr>
          <w:p w:rsidR="002E3C00" w:rsidRDefault="00D54264" w:rsidP="002E3C00">
            <w:pPr>
              <w:pStyle w:val="TableText"/>
            </w:pPr>
            <w:r>
              <w:t>P2028</w:t>
            </w:r>
          </w:p>
        </w:tc>
        <w:tc>
          <w:tcPr>
            <w:tcW w:w="2014" w:type="dxa"/>
            <w:gridSpan w:val="2"/>
          </w:tcPr>
          <w:p w:rsidR="002E3C00" w:rsidRDefault="00D54264" w:rsidP="002E3C00">
            <w:pPr>
              <w:pStyle w:val="TableText"/>
            </w:pPr>
            <w:r>
              <w:t>Abington Memorial Hospital</w:t>
            </w:r>
          </w:p>
        </w:tc>
        <w:tc>
          <w:tcPr>
            <w:tcW w:w="1224" w:type="dxa"/>
          </w:tcPr>
          <w:p w:rsidR="002E3C00" w:rsidRDefault="00D54264" w:rsidP="002E3C00">
            <w:pPr>
              <w:pStyle w:val="TableText"/>
            </w:pPr>
            <w:r>
              <w:t>2577690</w:t>
            </w:r>
          </w:p>
        </w:tc>
        <w:tc>
          <w:tcPr>
            <w:tcW w:w="1223" w:type="dxa"/>
          </w:tcPr>
          <w:p w:rsidR="002E3C00" w:rsidRDefault="002E3C00" w:rsidP="002E3C00">
            <w:pPr>
              <w:pStyle w:val="TableText"/>
            </w:pPr>
            <w:r>
              <w:t>$150.00</w:t>
            </w:r>
          </w:p>
        </w:tc>
        <w:tc>
          <w:tcPr>
            <w:tcW w:w="1223" w:type="dxa"/>
          </w:tcPr>
          <w:p w:rsidR="002E3C00" w:rsidRDefault="002E3C00" w:rsidP="002E3C00">
            <w:pPr>
              <w:pStyle w:val="TableText"/>
            </w:pPr>
            <w:r>
              <w:t>0</w:t>
            </w:r>
          </w:p>
        </w:tc>
      </w:tr>
    </w:tbl>
    <w:p w:rsidR="00B24B8C" w:rsidRDefault="00B24B8C" w:rsidP="00B24B8C">
      <w:pPr>
        <w:pStyle w:val="Caption"/>
      </w:pPr>
      <w:bookmarkStart w:id="741" w:name="_Toc85895789"/>
      <w:bookmarkStart w:id="742" w:name="_Toc113264247"/>
      <w:bookmarkStart w:id="743" w:name="_Toc114462102"/>
      <w:r>
        <w:t xml:space="preserve">Table </w:t>
      </w:r>
      <w:r>
        <w:fldChar w:fldCharType="begin"/>
      </w:r>
      <w:r>
        <w:instrText xml:space="preserve"> SEQ Table \* ARABIC </w:instrText>
      </w:r>
      <w:r>
        <w:fldChar w:fldCharType="separate"/>
      </w:r>
      <w:r w:rsidR="005F38BC">
        <w:rPr>
          <w:noProof/>
        </w:rPr>
        <w:t>31</w:t>
      </w:r>
      <w:r>
        <w:fldChar w:fldCharType="end"/>
      </w:r>
      <w:r>
        <w:t>: Blood Products Worksheet</w:t>
      </w:r>
      <w:r>
        <w:fldChar w:fldCharType="begin"/>
      </w:r>
      <w:r>
        <w:instrText xml:space="preserve"> XE "Tables:</w:instrText>
      </w:r>
      <w:r w:rsidRPr="0046419F">
        <w:instrText>Blood Products Worksheet</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4"/>
        <w:gridCol w:w="1222"/>
        <w:gridCol w:w="7"/>
        <w:gridCol w:w="1223"/>
        <w:gridCol w:w="6"/>
        <w:gridCol w:w="2008"/>
        <w:gridCol w:w="1224"/>
        <w:gridCol w:w="1223"/>
        <w:gridCol w:w="1223"/>
      </w:tblGrid>
      <w:tr w:rsidR="00B24B8C" w:rsidRPr="00B562A7">
        <w:tblPrEx>
          <w:tblCellMar>
            <w:top w:w="0" w:type="dxa"/>
            <w:bottom w:w="0" w:type="dxa"/>
          </w:tblCellMar>
        </w:tblPrEx>
        <w:trPr>
          <w:tblHeader/>
        </w:trPr>
        <w:tc>
          <w:tcPr>
            <w:tcW w:w="2446" w:type="dxa"/>
            <w:gridSpan w:val="2"/>
            <w:tcBorders>
              <w:top w:val="single" w:sz="4" w:space="0" w:color="auto"/>
              <w:left w:val="single" w:sz="4" w:space="0" w:color="auto"/>
              <w:bottom w:val="single" w:sz="4" w:space="0" w:color="auto"/>
              <w:right w:val="single" w:sz="4" w:space="0" w:color="auto"/>
            </w:tcBorders>
            <w:shd w:val="clear" w:color="auto" w:fill="B3B3B3"/>
          </w:tcPr>
          <w:p w:rsidR="00B24B8C" w:rsidRPr="00B562A7" w:rsidRDefault="00B24B8C" w:rsidP="009E1D3B">
            <w:pPr>
              <w:pStyle w:val="TableText"/>
              <w:jc w:val="center"/>
              <w:rPr>
                <w:b/>
              </w:rPr>
            </w:pPr>
            <w:r>
              <w:rPr>
                <w:b/>
              </w:rPr>
              <w:t>Blood Product</w:t>
            </w:r>
          </w:p>
        </w:tc>
        <w:tc>
          <w:tcPr>
            <w:tcW w:w="1236" w:type="dxa"/>
            <w:gridSpan w:val="3"/>
            <w:tcBorders>
              <w:top w:val="single" w:sz="4" w:space="0" w:color="auto"/>
              <w:left w:val="single" w:sz="4" w:space="0" w:color="auto"/>
              <w:bottom w:val="single" w:sz="4" w:space="0" w:color="auto"/>
              <w:right w:val="single" w:sz="4" w:space="0" w:color="auto"/>
            </w:tcBorders>
            <w:shd w:val="clear" w:color="auto" w:fill="B3B3B3"/>
          </w:tcPr>
          <w:p w:rsidR="00B24B8C" w:rsidRPr="00B562A7" w:rsidRDefault="00B24B8C" w:rsidP="009C7C13">
            <w:pPr>
              <w:pStyle w:val="TableText"/>
              <w:rPr>
                <w:b/>
              </w:rPr>
            </w:pPr>
            <w:r>
              <w:rPr>
                <w:b/>
              </w:rPr>
              <w:t>HCPCS</w:t>
            </w:r>
          </w:p>
        </w:tc>
        <w:tc>
          <w:tcPr>
            <w:tcW w:w="5678" w:type="dxa"/>
            <w:gridSpan w:val="4"/>
            <w:tcBorders>
              <w:top w:val="single" w:sz="4" w:space="0" w:color="auto"/>
              <w:left w:val="single" w:sz="4" w:space="0" w:color="auto"/>
              <w:bottom w:val="single" w:sz="4" w:space="0" w:color="auto"/>
              <w:right w:val="single" w:sz="4" w:space="0" w:color="auto"/>
            </w:tcBorders>
            <w:shd w:val="clear" w:color="auto" w:fill="B3B3B3"/>
          </w:tcPr>
          <w:p w:rsidR="00B24B8C" w:rsidRPr="00B562A7" w:rsidRDefault="00B24B8C" w:rsidP="009E1D3B">
            <w:pPr>
              <w:pStyle w:val="TableText"/>
              <w:jc w:val="center"/>
              <w:rPr>
                <w:b/>
              </w:rPr>
            </w:pPr>
            <w:r>
              <w:rPr>
                <w:b/>
              </w:rPr>
              <w:t>Product Shippers</w:t>
            </w:r>
          </w:p>
        </w:tc>
      </w:tr>
      <w:tr w:rsidR="00B24B8C" w:rsidRPr="00B562A7">
        <w:tblPrEx>
          <w:tblCellMar>
            <w:top w:w="0" w:type="dxa"/>
            <w:bottom w:w="0" w:type="dxa"/>
          </w:tblCellMar>
        </w:tblPrEx>
        <w:trPr>
          <w:tblHeader/>
        </w:trPr>
        <w:tc>
          <w:tcPr>
            <w:tcW w:w="1224" w:type="dxa"/>
            <w:shd w:val="clear" w:color="auto" w:fill="B3B3B3"/>
            <w:vAlign w:val="bottom"/>
          </w:tcPr>
          <w:p w:rsidR="00B24B8C" w:rsidRPr="00B562A7" w:rsidRDefault="00B24B8C" w:rsidP="001D706D">
            <w:pPr>
              <w:pStyle w:val="TableText"/>
              <w:rPr>
                <w:b/>
              </w:rPr>
            </w:pPr>
            <w:r w:rsidRPr="00B562A7">
              <w:rPr>
                <w:b/>
              </w:rPr>
              <w:t xml:space="preserve">Product </w:t>
            </w:r>
            <w:r w:rsidRPr="00B562A7">
              <w:rPr>
                <w:b/>
              </w:rPr>
              <w:br/>
              <w:t>Code</w:t>
            </w:r>
          </w:p>
        </w:tc>
        <w:tc>
          <w:tcPr>
            <w:tcW w:w="1229" w:type="dxa"/>
            <w:gridSpan w:val="2"/>
            <w:shd w:val="clear" w:color="auto" w:fill="B3B3B3"/>
            <w:vAlign w:val="bottom"/>
          </w:tcPr>
          <w:p w:rsidR="00B24B8C" w:rsidRPr="00B562A7" w:rsidRDefault="00B24B8C" w:rsidP="001D706D">
            <w:pPr>
              <w:pStyle w:val="TableText"/>
              <w:rPr>
                <w:b/>
              </w:rPr>
            </w:pPr>
            <w:r w:rsidRPr="00B562A7">
              <w:rPr>
                <w:b/>
              </w:rPr>
              <w:t>Short Product Name</w:t>
            </w:r>
          </w:p>
        </w:tc>
        <w:tc>
          <w:tcPr>
            <w:tcW w:w="1223" w:type="dxa"/>
            <w:shd w:val="clear" w:color="auto" w:fill="B3B3B3"/>
            <w:vAlign w:val="bottom"/>
          </w:tcPr>
          <w:p w:rsidR="00B24B8C" w:rsidRPr="00B562A7" w:rsidRDefault="00B24B8C" w:rsidP="001D706D">
            <w:pPr>
              <w:pStyle w:val="TableText"/>
              <w:rPr>
                <w:b/>
              </w:rPr>
            </w:pPr>
            <w:r>
              <w:rPr>
                <w:b/>
              </w:rPr>
              <w:t>HCPCS C</w:t>
            </w:r>
            <w:r w:rsidRPr="00B562A7">
              <w:rPr>
                <w:b/>
              </w:rPr>
              <w:t>ode</w:t>
            </w:r>
          </w:p>
        </w:tc>
        <w:tc>
          <w:tcPr>
            <w:tcW w:w="2014" w:type="dxa"/>
            <w:gridSpan w:val="2"/>
            <w:shd w:val="clear" w:color="auto" w:fill="B3B3B3"/>
            <w:vAlign w:val="bottom"/>
          </w:tcPr>
          <w:p w:rsidR="00B24B8C" w:rsidRPr="00B562A7" w:rsidRDefault="00B24B8C" w:rsidP="001D706D">
            <w:pPr>
              <w:pStyle w:val="TableText"/>
              <w:rPr>
                <w:b/>
              </w:rPr>
            </w:pPr>
            <w:r w:rsidRPr="00B562A7">
              <w:rPr>
                <w:b/>
              </w:rPr>
              <w:t>Shipper</w:t>
            </w:r>
            <w:r>
              <w:rPr>
                <w:b/>
              </w:rPr>
              <w:t xml:space="preserve"> Name</w:t>
            </w:r>
          </w:p>
        </w:tc>
        <w:tc>
          <w:tcPr>
            <w:tcW w:w="1224" w:type="dxa"/>
            <w:shd w:val="clear" w:color="auto" w:fill="B3B3B3"/>
            <w:vAlign w:val="bottom"/>
          </w:tcPr>
          <w:p w:rsidR="00B24B8C" w:rsidRPr="00B562A7" w:rsidRDefault="00B24B8C" w:rsidP="001D706D">
            <w:pPr>
              <w:pStyle w:val="TableText"/>
              <w:rPr>
                <w:b/>
              </w:rPr>
            </w:pPr>
            <w:r w:rsidRPr="00B562A7">
              <w:rPr>
                <w:b/>
              </w:rPr>
              <w:t xml:space="preserve">FDA </w:t>
            </w:r>
            <w:r>
              <w:rPr>
                <w:b/>
              </w:rPr>
              <w:t>Reg. #</w:t>
            </w:r>
          </w:p>
        </w:tc>
        <w:tc>
          <w:tcPr>
            <w:tcW w:w="1223" w:type="dxa"/>
            <w:shd w:val="clear" w:color="auto" w:fill="B3B3B3"/>
            <w:vAlign w:val="bottom"/>
          </w:tcPr>
          <w:p w:rsidR="00B24B8C" w:rsidRPr="00B562A7" w:rsidRDefault="00B24B8C" w:rsidP="001D706D">
            <w:pPr>
              <w:pStyle w:val="TableText"/>
              <w:rPr>
                <w:b/>
              </w:rPr>
            </w:pPr>
            <w:r w:rsidRPr="00B562A7">
              <w:rPr>
                <w:b/>
              </w:rPr>
              <w:t xml:space="preserve">Cost </w:t>
            </w:r>
            <w:r>
              <w:rPr>
                <w:b/>
              </w:rPr>
              <w:t>($)</w:t>
            </w:r>
          </w:p>
        </w:tc>
        <w:tc>
          <w:tcPr>
            <w:tcW w:w="1223" w:type="dxa"/>
            <w:shd w:val="clear" w:color="auto" w:fill="B3B3B3"/>
            <w:vAlign w:val="bottom"/>
          </w:tcPr>
          <w:p w:rsidR="00B24B8C" w:rsidRPr="00B562A7" w:rsidRDefault="00B24B8C" w:rsidP="001D706D">
            <w:pPr>
              <w:pStyle w:val="TableText"/>
              <w:rPr>
                <w:b/>
              </w:rPr>
            </w:pPr>
            <w:r w:rsidRPr="00B562A7">
              <w:rPr>
                <w:b/>
              </w:rPr>
              <w:t xml:space="preserve">Return </w:t>
            </w:r>
            <w:r>
              <w:rPr>
                <w:b/>
              </w:rPr>
              <w:t>Credit %</w:t>
            </w:r>
          </w:p>
        </w:tc>
      </w:tr>
      <w:tr w:rsidR="00B24B8C">
        <w:tblPrEx>
          <w:tblCellMar>
            <w:top w:w="0" w:type="dxa"/>
            <w:bottom w:w="0" w:type="dxa"/>
          </w:tblCellMar>
        </w:tblPrEx>
        <w:tc>
          <w:tcPr>
            <w:tcW w:w="1224" w:type="dxa"/>
          </w:tcPr>
          <w:p w:rsidR="00B24B8C" w:rsidRDefault="00B24B8C" w:rsidP="001D706D">
            <w:pPr>
              <w:pStyle w:val="TableText"/>
            </w:pPr>
          </w:p>
        </w:tc>
        <w:tc>
          <w:tcPr>
            <w:tcW w:w="1229" w:type="dxa"/>
            <w:gridSpan w:val="2"/>
          </w:tcPr>
          <w:p w:rsidR="00B24B8C" w:rsidRDefault="00B24B8C" w:rsidP="001D706D">
            <w:pPr>
              <w:pStyle w:val="TableText"/>
            </w:pPr>
          </w:p>
        </w:tc>
        <w:tc>
          <w:tcPr>
            <w:tcW w:w="1223" w:type="dxa"/>
          </w:tcPr>
          <w:p w:rsidR="00B24B8C" w:rsidRDefault="00B24B8C" w:rsidP="001D706D">
            <w:pPr>
              <w:pStyle w:val="TableText"/>
            </w:pPr>
          </w:p>
        </w:tc>
        <w:tc>
          <w:tcPr>
            <w:tcW w:w="2014" w:type="dxa"/>
            <w:gridSpan w:val="2"/>
          </w:tcPr>
          <w:p w:rsidR="00B24B8C" w:rsidRDefault="00B24B8C" w:rsidP="001D706D">
            <w:pPr>
              <w:pStyle w:val="TableText"/>
            </w:pPr>
          </w:p>
        </w:tc>
        <w:tc>
          <w:tcPr>
            <w:tcW w:w="1224" w:type="dxa"/>
          </w:tcPr>
          <w:p w:rsidR="00B24B8C" w:rsidRDefault="00B24B8C" w:rsidP="001D706D">
            <w:pPr>
              <w:pStyle w:val="TableText"/>
            </w:pPr>
          </w:p>
        </w:tc>
        <w:tc>
          <w:tcPr>
            <w:tcW w:w="1223" w:type="dxa"/>
          </w:tcPr>
          <w:p w:rsidR="00B24B8C" w:rsidRDefault="00B24B8C" w:rsidP="001D706D">
            <w:pPr>
              <w:pStyle w:val="TableText"/>
            </w:pPr>
          </w:p>
        </w:tc>
        <w:tc>
          <w:tcPr>
            <w:tcW w:w="1223" w:type="dxa"/>
          </w:tcPr>
          <w:p w:rsidR="00B24B8C" w:rsidRDefault="00B24B8C" w:rsidP="001D706D">
            <w:pPr>
              <w:pStyle w:val="TableText"/>
            </w:pPr>
          </w:p>
        </w:tc>
      </w:tr>
      <w:tr w:rsidR="00B24B8C">
        <w:tblPrEx>
          <w:tblCellMar>
            <w:top w:w="0" w:type="dxa"/>
            <w:bottom w:w="0" w:type="dxa"/>
          </w:tblCellMar>
        </w:tblPrEx>
        <w:tc>
          <w:tcPr>
            <w:tcW w:w="1224" w:type="dxa"/>
          </w:tcPr>
          <w:p w:rsidR="00B24B8C" w:rsidRDefault="00B24B8C" w:rsidP="001D706D">
            <w:pPr>
              <w:pStyle w:val="TableText"/>
            </w:pPr>
          </w:p>
        </w:tc>
        <w:tc>
          <w:tcPr>
            <w:tcW w:w="1229" w:type="dxa"/>
            <w:gridSpan w:val="2"/>
          </w:tcPr>
          <w:p w:rsidR="00B24B8C" w:rsidRDefault="00B24B8C" w:rsidP="001D706D">
            <w:pPr>
              <w:pStyle w:val="TableText"/>
            </w:pPr>
          </w:p>
        </w:tc>
        <w:tc>
          <w:tcPr>
            <w:tcW w:w="1223" w:type="dxa"/>
          </w:tcPr>
          <w:p w:rsidR="00B24B8C" w:rsidRDefault="00B24B8C" w:rsidP="001D706D">
            <w:pPr>
              <w:pStyle w:val="TableText"/>
            </w:pPr>
          </w:p>
        </w:tc>
        <w:tc>
          <w:tcPr>
            <w:tcW w:w="2014" w:type="dxa"/>
            <w:gridSpan w:val="2"/>
          </w:tcPr>
          <w:p w:rsidR="00B24B8C" w:rsidRDefault="00B24B8C" w:rsidP="001D706D">
            <w:pPr>
              <w:pStyle w:val="TableText"/>
            </w:pPr>
          </w:p>
        </w:tc>
        <w:tc>
          <w:tcPr>
            <w:tcW w:w="1224" w:type="dxa"/>
          </w:tcPr>
          <w:p w:rsidR="00B24B8C" w:rsidRDefault="00B24B8C" w:rsidP="001D706D">
            <w:pPr>
              <w:pStyle w:val="TableText"/>
            </w:pPr>
          </w:p>
        </w:tc>
        <w:tc>
          <w:tcPr>
            <w:tcW w:w="1223" w:type="dxa"/>
          </w:tcPr>
          <w:p w:rsidR="00B24B8C" w:rsidRDefault="00B24B8C" w:rsidP="001D706D">
            <w:pPr>
              <w:pStyle w:val="TableText"/>
            </w:pPr>
          </w:p>
        </w:tc>
        <w:tc>
          <w:tcPr>
            <w:tcW w:w="1223" w:type="dxa"/>
          </w:tcPr>
          <w:p w:rsidR="00B24B8C" w:rsidRDefault="00B24B8C" w:rsidP="001D706D">
            <w:pPr>
              <w:pStyle w:val="TableText"/>
            </w:pPr>
          </w:p>
        </w:tc>
      </w:tr>
      <w:tr w:rsidR="00B24B8C">
        <w:tblPrEx>
          <w:tblCellMar>
            <w:top w:w="0" w:type="dxa"/>
            <w:bottom w:w="0" w:type="dxa"/>
          </w:tblCellMar>
        </w:tblPrEx>
        <w:tc>
          <w:tcPr>
            <w:tcW w:w="1224" w:type="dxa"/>
          </w:tcPr>
          <w:p w:rsidR="00B24B8C" w:rsidRDefault="00B24B8C" w:rsidP="001D706D">
            <w:pPr>
              <w:pStyle w:val="TableText"/>
            </w:pPr>
          </w:p>
        </w:tc>
        <w:tc>
          <w:tcPr>
            <w:tcW w:w="1229" w:type="dxa"/>
            <w:gridSpan w:val="2"/>
          </w:tcPr>
          <w:p w:rsidR="00B24B8C" w:rsidRDefault="00B24B8C" w:rsidP="001D706D">
            <w:pPr>
              <w:pStyle w:val="TableText"/>
            </w:pPr>
          </w:p>
        </w:tc>
        <w:tc>
          <w:tcPr>
            <w:tcW w:w="1223" w:type="dxa"/>
          </w:tcPr>
          <w:p w:rsidR="00B24B8C" w:rsidRDefault="00B24B8C" w:rsidP="001D706D">
            <w:pPr>
              <w:pStyle w:val="TableText"/>
            </w:pPr>
          </w:p>
        </w:tc>
        <w:tc>
          <w:tcPr>
            <w:tcW w:w="2014" w:type="dxa"/>
            <w:gridSpan w:val="2"/>
          </w:tcPr>
          <w:p w:rsidR="00B24B8C" w:rsidRDefault="00B24B8C" w:rsidP="001D706D">
            <w:pPr>
              <w:pStyle w:val="TableText"/>
            </w:pPr>
          </w:p>
        </w:tc>
        <w:tc>
          <w:tcPr>
            <w:tcW w:w="1224" w:type="dxa"/>
          </w:tcPr>
          <w:p w:rsidR="00B24B8C" w:rsidRDefault="00B24B8C" w:rsidP="001D706D">
            <w:pPr>
              <w:pStyle w:val="TableText"/>
            </w:pPr>
          </w:p>
        </w:tc>
        <w:tc>
          <w:tcPr>
            <w:tcW w:w="1223" w:type="dxa"/>
          </w:tcPr>
          <w:p w:rsidR="00B24B8C" w:rsidRDefault="00B24B8C" w:rsidP="001D706D">
            <w:pPr>
              <w:pStyle w:val="TableText"/>
            </w:pPr>
          </w:p>
        </w:tc>
        <w:tc>
          <w:tcPr>
            <w:tcW w:w="1223" w:type="dxa"/>
          </w:tcPr>
          <w:p w:rsidR="00B24B8C" w:rsidRDefault="00B24B8C" w:rsidP="001D706D">
            <w:pPr>
              <w:pStyle w:val="TableText"/>
            </w:pPr>
          </w:p>
        </w:tc>
      </w:tr>
      <w:tr w:rsidR="00B24B8C">
        <w:tblPrEx>
          <w:tblCellMar>
            <w:top w:w="0" w:type="dxa"/>
            <w:bottom w:w="0" w:type="dxa"/>
          </w:tblCellMar>
        </w:tblPrEx>
        <w:tc>
          <w:tcPr>
            <w:tcW w:w="1224" w:type="dxa"/>
          </w:tcPr>
          <w:p w:rsidR="00B24B8C" w:rsidRDefault="00B24B8C" w:rsidP="001D706D">
            <w:pPr>
              <w:pStyle w:val="TableText"/>
            </w:pPr>
          </w:p>
        </w:tc>
        <w:tc>
          <w:tcPr>
            <w:tcW w:w="1229" w:type="dxa"/>
            <w:gridSpan w:val="2"/>
          </w:tcPr>
          <w:p w:rsidR="00B24B8C" w:rsidRDefault="00B24B8C" w:rsidP="001D706D">
            <w:pPr>
              <w:pStyle w:val="TableText"/>
            </w:pPr>
          </w:p>
        </w:tc>
        <w:tc>
          <w:tcPr>
            <w:tcW w:w="1223" w:type="dxa"/>
          </w:tcPr>
          <w:p w:rsidR="00B24B8C" w:rsidRDefault="00B24B8C" w:rsidP="001D706D">
            <w:pPr>
              <w:pStyle w:val="TableText"/>
            </w:pPr>
          </w:p>
        </w:tc>
        <w:tc>
          <w:tcPr>
            <w:tcW w:w="2014" w:type="dxa"/>
            <w:gridSpan w:val="2"/>
          </w:tcPr>
          <w:p w:rsidR="00B24B8C" w:rsidRDefault="00B24B8C" w:rsidP="001D706D">
            <w:pPr>
              <w:pStyle w:val="TableText"/>
            </w:pPr>
          </w:p>
        </w:tc>
        <w:tc>
          <w:tcPr>
            <w:tcW w:w="1224" w:type="dxa"/>
          </w:tcPr>
          <w:p w:rsidR="00B24B8C" w:rsidRDefault="00B24B8C" w:rsidP="001D706D">
            <w:pPr>
              <w:pStyle w:val="TableText"/>
            </w:pPr>
          </w:p>
        </w:tc>
        <w:tc>
          <w:tcPr>
            <w:tcW w:w="1223" w:type="dxa"/>
          </w:tcPr>
          <w:p w:rsidR="00B24B8C" w:rsidRDefault="00B24B8C" w:rsidP="001D706D">
            <w:pPr>
              <w:pStyle w:val="TableText"/>
            </w:pPr>
          </w:p>
        </w:tc>
        <w:tc>
          <w:tcPr>
            <w:tcW w:w="1223" w:type="dxa"/>
          </w:tcPr>
          <w:p w:rsidR="00B24B8C" w:rsidRDefault="00B24B8C" w:rsidP="001D706D">
            <w:pPr>
              <w:pStyle w:val="TableText"/>
            </w:pPr>
          </w:p>
        </w:tc>
      </w:tr>
      <w:tr w:rsidR="00B24B8C">
        <w:tblPrEx>
          <w:tblCellMar>
            <w:top w:w="0" w:type="dxa"/>
            <w:bottom w:w="0" w:type="dxa"/>
          </w:tblCellMar>
        </w:tblPrEx>
        <w:tc>
          <w:tcPr>
            <w:tcW w:w="1224" w:type="dxa"/>
          </w:tcPr>
          <w:p w:rsidR="00B24B8C" w:rsidRDefault="00B24B8C" w:rsidP="001D706D">
            <w:pPr>
              <w:pStyle w:val="TableText"/>
            </w:pPr>
          </w:p>
        </w:tc>
        <w:tc>
          <w:tcPr>
            <w:tcW w:w="1229" w:type="dxa"/>
            <w:gridSpan w:val="2"/>
          </w:tcPr>
          <w:p w:rsidR="00B24B8C" w:rsidRDefault="00B24B8C" w:rsidP="001D706D">
            <w:pPr>
              <w:pStyle w:val="TableText"/>
            </w:pPr>
          </w:p>
        </w:tc>
        <w:tc>
          <w:tcPr>
            <w:tcW w:w="1223" w:type="dxa"/>
          </w:tcPr>
          <w:p w:rsidR="00B24B8C" w:rsidRDefault="00B24B8C" w:rsidP="001D706D">
            <w:pPr>
              <w:pStyle w:val="TableText"/>
            </w:pPr>
          </w:p>
        </w:tc>
        <w:tc>
          <w:tcPr>
            <w:tcW w:w="2014" w:type="dxa"/>
            <w:gridSpan w:val="2"/>
          </w:tcPr>
          <w:p w:rsidR="00B24B8C" w:rsidRDefault="00B24B8C" w:rsidP="001D706D">
            <w:pPr>
              <w:pStyle w:val="TableText"/>
            </w:pPr>
          </w:p>
        </w:tc>
        <w:tc>
          <w:tcPr>
            <w:tcW w:w="1224" w:type="dxa"/>
          </w:tcPr>
          <w:p w:rsidR="00B24B8C" w:rsidRDefault="00B24B8C" w:rsidP="001D706D">
            <w:pPr>
              <w:pStyle w:val="TableText"/>
            </w:pPr>
          </w:p>
        </w:tc>
        <w:tc>
          <w:tcPr>
            <w:tcW w:w="1223" w:type="dxa"/>
          </w:tcPr>
          <w:p w:rsidR="00B24B8C" w:rsidRDefault="00B24B8C" w:rsidP="001D706D">
            <w:pPr>
              <w:pStyle w:val="TableText"/>
            </w:pPr>
          </w:p>
        </w:tc>
        <w:tc>
          <w:tcPr>
            <w:tcW w:w="1223" w:type="dxa"/>
          </w:tcPr>
          <w:p w:rsidR="00B24B8C" w:rsidRDefault="00B24B8C" w:rsidP="001D706D">
            <w:pPr>
              <w:pStyle w:val="TableText"/>
            </w:pPr>
          </w:p>
        </w:tc>
      </w:tr>
      <w:tr w:rsidR="00B24B8C">
        <w:tblPrEx>
          <w:tblCellMar>
            <w:top w:w="0" w:type="dxa"/>
            <w:bottom w:w="0" w:type="dxa"/>
          </w:tblCellMar>
        </w:tblPrEx>
        <w:tc>
          <w:tcPr>
            <w:tcW w:w="1224" w:type="dxa"/>
          </w:tcPr>
          <w:p w:rsidR="00B24B8C" w:rsidRDefault="00B24B8C" w:rsidP="001D706D">
            <w:pPr>
              <w:pStyle w:val="TableText"/>
            </w:pPr>
          </w:p>
        </w:tc>
        <w:tc>
          <w:tcPr>
            <w:tcW w:w="1229" w:type="dxa"/>
            <w:gridSpan w:val="2"/>
          </w:tcPr>
          <w:p w:rsidR="00B24B8C" w:rsidRDefault="00B24B8C" w:rsidP="001D706D">
            <w:pPr>
              <w:pStyle w:val="TableText"/>
            </w:pPr>
          </w:p>
        </w:tc>
        <w:tc>
          <w:tcPr>
            <w:tcW w:w="1223" w:type="dxa"/>
          </w:tcPr>
          <w:p w:rsidR="00B24B8C" w:rsidRDefault="00B24B8C" w:rsidP="001D706D">
            <w:pPr>
              <w:pStyle w:val="TableText"/>
            </w:pPr>
          </w:p>
        </w:tc>
        <w:tc>
          <w:tcPr>
            <w:tcW w:w="2014" w:type="dxa"/>
            <w:gridSpan w:val="2"/>
          </w:tcPr>
          <w:p w:rsidR="00B24B8C" w:rsidRDefault="00B24B8C" w:rsidP="001D706D">
            <w:pPr>
              <w:pStyle w:val="TableText"/>
            </w:pPr>
          </w:p>
        </w:tc>
        <w:tc>
          <w:tcPr>
            <w:tcW w:w="1224" w:type="dxa"/>
          </w:tcPr>
          <w:p w:rsidR="00B24B8C" w:rsidRDefault="00B24B8C" w:rsidP="001D706D">
            <w:pPr>
              <w:pStyle w:val="TableText"/>
            </w:pPr>
          </w:p>
        </w:tc>
        <w:tc>
          <w:tcPr>
            <w:tcW w:w="1223" w:type="dxa"/>
          </w:tcPr>
          <w:p w:rsidR="00B24B8C" w:rsidRDefault="00B24B8C" w:rsidP="001D706D">
            <w:pPr>
              <w:pStyle w:val="TableText"/>
            </w:pPr>
          </w:p>
        </w:tc>
        <w:tc>
          <w:tcPr>
            <w:tcW w:w="1223" w:type="dxa"/>
          </w:tcPr>
          <w:p w:rsidR="00B24B8C" w:rsidRDefault="00B24B8C" w:rsidP="001D706D">
            <w:pPr>
              <w:pStyle w:val="TableText"/>
            </w:pPr>
          </w:p>
        </w:tc>
      </w:tr>
      <w:tr w:rsidR="00B24B8C">
        <w:tblPrEx>
          <w:tblCellMar>
            <w:top w:w="0" w:type="dxa"/>
            <w:bottom w:w="0" w:type="dxa"/>
          </w:tblCellMar>
        </w:tblPrEx>
        <w:tc>
          <w:tcPr>
            <w:tcW w:w="1224" w:type="dxa"/>
          </w:tcPr>
          <w:p w:rsidR="00B24B8C" w:rsidRDefault="00B24B8C" w:rsidP="001D706D">
            <w:pPr>
              <w:pStyle w:val="TableText"/>
            </w:pPr>
          </w:p>
        </w:tc>
        <w:tc>
          <w:tcPr>
            <w:tcW w:w="1229" w:type="dxa"/>
            <w:gridSpan w:val="2"/>
          </w:tcPr>
          <w:p w:rsidR="00B24B8C" w:rsidRDefault="00B24B8C" w:rsidP="001D706D">
            <w:pPr>
              <w:pStyle w:val="TableText"/>
            </w:pPr>
          </w:p>
        </w:tc>
        <w:tc>
          <w:tcPr>
            <w:tcW w:w="1223" w:type="dxa"/>
          </w:tcPr>
          <w:p w:rsidR="00B24B8C" w:rsidRDefault="00B24B8C" w:rsidP="001D706D">
            <w:pPr>
              <w:pStyle w:val="TableText"/>
            </w:pPr>
          </w:p>
        </w:tc>
        <w:tc>
          <w:tcPr>
            <w:tcW w:w="2014" w:type="dxa"/>
            <w:gridSpan w:val="2"/>
          </w:tcPr>
          <w:p w:rsidR="00B24B8C" w:rsidRDefault="00B24B8C" w:rsidP="001D706D">
            <w:pPr>
              <w:pStyle w:val="TableText"/>
            </w:pPr>
          </w:p>
        </w:tc>
        <w:tc>
          <w:tcPr>
            <w:tcW w:w="1224" w:type="dxa"/>
          </w:tcPr>
          <w:p w:rsidR="00B24B8C" w:rsidRDefault="00B24B8C" w:rsidP="001D706D">
            <w:pPr>
              <w:pStyle w:val="TableText"/>
            </w:pPr>
          </w:p>
        </w:tc>
        <w:tc>
          <w:tcPr>
            <w:tcW w:w="1223" w:type="dxa"/>
          </w:tcPr>
          <w:p w:rsidR="00B24B8C" w:rsidRDefault="00B24B8C" w:rsidP="001D706D">
            <w:pPr>
              <w:pStyle w:val="TableText"/>
            </w:pPr>
          </w:p>
        </w:tc>
        <w:tc>
          <w:tcPr>
            <w:tcW w:w="1223" w:type="dxa"/>
          </w:tcPr>
          <w:p w:rsidR="00B24B8C" w:rsidRDefault="00B24B8C" w:rsidP="001D706D">
            <w:pPr>
              <w:pStyle w:val="TableText"/>
            </w:pPr>
          </w:p>
        </w:tc>
      </w:tr>
    </w:tbl>
    <w:p w:rsidR="007F0132" w:rsidRDefault="007F0132" w:rsidP="002E3C00">
      <w:pPr>
        <w:pStyle w:val="Heading3"/>
      </w:pPr>
    </w:p>
    <w:p w:rsidR="002E3C00" w:rsidRDefault="007F0132" w:rsidP="002E3C00">
      <w:pPr>
        <w:pStyle w:val="Heading3"/>
      </w:pPr>
      <w:r>
        <w:br w:type="page"/>
      </w:r>
      <w:bookmarkStart w:id="744" w:name="_Toc459900227"/>
      <w:r w:rsidR="002E3C00">
        <w:lastRenderedPageBreak/>
        <w:t>Local Facilities</w:t>
      </w:r>
      <w:bookmarkEnd w:id="741"/>
      <w:bookmarkEnd w:id="742"/>
      <w:bookmarkEnd w:id="743"/>
      <w:bookmarkEnd w:id="744"/>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Local Facilities</w:instrText>
      </w:r>
      <w:r w:rsidR="00992E88">
        <w:instrText xml:space="preserve">" </w:instrText>
      </w:r>
      <w:r w:rsidR="00992E88">
        <w:fldChar w:fldCharType="end"/>
      </w:r>
    </w:p>
    <w:p w:rsidR="002E3C00" w:rsidRDefault="002E3C00" w:rsidP="002E3C00">
      <w:pPr>
        <w:pStyle w:val="BodyText"/>
      </w:pPr>
      <w:r>
        <w:t>The user customizes collection facility information.</w:t>
      </w:r>
    </w:p>
    <w:p w:rsidR="002E3C00" w:rsidRDefault="002E3C00" w:rsidP="002E3C00">
      <w:pPr>
        <w:pStyle w:val="Heading4"/>
      </w:pPr>
      <w:r>
        <w:t>User Roles with Access to This Option</w:t>
      </w:r>
    </w:p>
    <w:p w:rsidR="002E3C00" w:rsidRDefault="002E3C00" w:rsidP="002E3C00">
      <w:pPr>
        <w:pStyle w:val="Roles"/>
      </w:pPr>
      <w:r>
        <w:t>All users (activate a facility)</w:t>
      </w:r>
    </w:p>
    <w:p w:rsidR="002E3C00" w:rsidRPr="00FC5C6B" w:rsidRDefault="002E3C00" w:rsidP="002E3C00">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 (add a facility)</w:t>
      </w:r>
    </w:p>
    <w:p w:rsidR="002E3C00" w:rsidRDefault="00B74754" w:rsidP="002E3C00">
      <w:pPr>
        <w:pStyle w:val="Heading4"/>
      </w:pPr>
      <w:r>
        <w:t>Preparation for Testing</w:t>
      </w:r>
    </w:p>
    <w:p w:rsidR="00061FCF" w:rsidRPr="00600497" w:rsidRDefault="00061FCF" w:rsidP="002F6D7B">
      <w:pPr>
        <w:pStyle w:val="ListNumber"/>
        <w:numPr>
          <w:ilvl w:val="0"/>
          <w:numId w:val="28"/>
        </w:numPr>
        <w:tabs>
          <w:tab w:val="clear" w:pos="720"/>
          <w:tab w:val="num" w:pos="360"/>
        </w:tabs>
        <w:ind w:left="360"/>
      </w:pPr>
      <w:r w:rsidRPr="00600497">
        <w:t>Use the sample worksheet to record information.</w:t>
      </w:r>
    </w:p>
    <w:p w:rsidR="002E3C00" w:rsidRPr="00600497" w:rsidRDefault="002E3C00" w:rsidP="002F6D7B">
      <w:pPr>
        <w:pStyle w:val="ListNumber"/>
        <w:numPr>
          <w:ilvl w:val="0"/>
          <w:numId w:val="28"/>
        </w:numPr>
        <w:tabs>
          <w:tab w:val="clear" w:pos="720"/>
          <w:tab w:val="num" w:pos="360"/>
        </w:tabs>
        <w:ind w:left="360"/>
      </w:pPr>
      <w:r w:rsidRPr="00600497">
        <w:t xml:space="preserve">Capture and save a screen shot of each piece of information. </w:t>
      </w:r>
    </w:p>
    <w:p w:rsidR="00232E43" w:rsidRPr="00FB7F8D" w:rsidRDefault="00232E43" w:rsidP="002F6D7B">
      <w:pPr>
        <w:pStyle w:val="ListNumber"/>
        <w:numPr>
          <w:ilvl w:val="0"/>
          <w:numId w:val="28"/>
        </w:numPr>
        <w:tabs>
          <w:tab w:val="clear" w:pos="720"/>
          <w:tab w:val="num" w:pos="360"/>
        </w:tabs>
        <w:ind w:left="360"/>
      </w:pPr>
      <w:r w:rsidRPr="00600497">
        <w:t>Print, sign, date, and save an Audit Trail Report for your v</w:t>
      </w:r>
      <w:r w:rsidRPr="00FB7F8D">
        <w:t>alidation record.</w:t>
      </w:r>
    </w:p>
    <w:p w:rsidR="002E3C00" w:rsidRDefault="002E3C00" w:rsidP="002E3C00">
      <w:pPr>
        <w:pStyle w:val="Caption"/>
      </w:pPr>
      <w:r>
        <w:t xml:space="preserve">Table </w:t>
      </w:r>
      <w:r>
        <w:fldChar w:fldCharType="begin"/>
      </w:r>
      <w:r>
        <w:instrText xml:space="preserve"> SEQ Table \* ARABIC </w:instrText>
      </w:r>
      <w:r>
        <w:fldChar w:fldCharType="separate"/>
      </w:r>
      <w:r w:rsidR="005F38BC">
        <w:rPr>
          <w:noProof/>
        </w:rPr>
        <w:t>32</w:t>
      </w:r>
      <w:r>
        <w:fldChar w:fldCharType="end"/>
      </w:r>
      <w:r>
        <w:t>: Sample Local Facilities Worksheet</w:t>
      </w:r>
      <w:r w:rsidR="00AD60CF">
        <w:fldChar w:fldCharType="begin"/>
      </w:r>
      <w:r w:rsidR="00292A7B">
        <w:instrText xml:space="preserve"> XE "Tables:</w:instrText>
      </w:r>
      <w:r w:rsidR="00AD60CF" w:rsidRPr="0046419F">
        <w:instrText>Sample Local Facilities Worksheet</w:instrText>
      </w:r>
      <w:r w:rsidR="00AD60CF">
        <w:instrText xml:space="preserve">" </w:instrText>
      </w:r>
      <w:r w:rsidR="00AD60CF">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2160"/>
        <w:gridCol w:w="1440"/>
        <w:gridCol w:w="1440"/>
        <w:gridCol w:w="1440"/>
        <w:gridCol w:w="1440"/>
      </w:tblGrid>
      <w:tr w:rsidR="00400E39" w:rsidRPr="00B562A7">
        <w:tblPrEx>
          <w:tblCellMar>
            <w:top w:w="0" w:type="dxa"/>
            <w:bottom w:w="0" w:type="dxa"/>
          </w:tblCellMar>
        </w:tblPrEx>
        <w:trPr>
          <w:tblHeader/>
        </w:trPr>
        <w:tc>
          <w:tcPr>
            <w:tcW w:w="1440" w:type="dxa"/>
            <w:vMerge w:val="restart"/>
            <w:shd w:val="clear" w:color="auto" w:fill="B3B3B3"/>
            <w:vAlign w:val="bottom"/>
          </w:tcPr>
          <w:p w:rsidR="00400E39" w:rsidRPr="00B562A7" w:rsidRDefault="00400E39" w:rsidP="002E3C00">
            <w:pPr>
              <w:pStyle w:val="TableText"/>
              <w:rPr>
                <w:b/>
              </w:rPr>
            </w:pPr>
            <w:r>
              <w:rPr>
                <w:b/>
              </w:rPr>
              <w:t>FDA Reg. No.</w:t>
            </w:r>
          </w:p>
        </w:tc>
        <w:tc>
          <w:tcPr>
            <w:tcW w:w="2160" w:type="dxa"/>
            <w:vMerge w:val="restart"/>
            <w:shd w:val="clear" w:color="auto" w:fill="B3B3B3"/>
            <w:vAlign w:val="bottom"/>
          </w:tcPr>
          <w:p w:rsidR="00400E39" w:rsidRPr="00B562A7" w:rsidRDefault="00400E39" w:rsidP="002E3C00">
            <w:pPr>
              <w:pStyle w:val="TableText"/>
              <w:rPr>
                <w:b/>
              </w:rPr>
            </w:pPr>
            <w:r>
              <w:rPr>
                <w:b/>
              </w:rPr>
              <w:t>Facility Name</w:t>
            </w:r>
          </w:p>
        </w:tc>
        <w:tc>
          <w:tcPr>
            <w:tcW w:w="1440" w:type="dxa"/>
            <w:vMerge w:val="restart"/>
            <w:shd w:val="clear" w:color="auto" w:fill="B3B3B3"/>
            <w:vAlign w:val="bottom"/>
          </w:tcPr>
          <w:p w:rsidR="00400E39" w:rsidRPr="00B562A7" w:rsidRDefault="00400E39" w:rsidP="002E3C00">
            <w:pPr>
              <w:pStyle w:val="TableText"/>
              <w:rPr>
                <w:b/>
              </w:rPr>
            </w:pPr>
            <w:r>
              <w:rPr>
                <w:b/>
              </w:rPr>
              <w:t>ICCBBA Reg. No.</w:t>
            </w:r>
          </w:p>
        </w:tc>
        <w:tc>
          <w:tcPr>
            <w:tcW w:w="2880" w:type="dxa"/>
            <w:gridSpan w:val="2"/>
            <w:shd w:val="clear" w:color="auto" w:fill="B3B3B3"/>
            <w:vAlign w:val="bottom"/>
          </w:tcPr>
          <w:p w:rsidR="00400E39" w:rsidRPr="00B562A7" w:rsidRDefault="00400E39" w:rsidP="001E4018">
            <w:pPr>
              <w:pStyle w:val="TableText"/>
              <w:jc w:val="center"/>
              <w:rPr>
                <w:b/>
              </w:rPr>
            </w:pPr>
            <w:r>
              <w:rPr>
                <w:b/>
              </w:rPr>
              <w:t>Facility Type</w:t>
            </w:r>
          </w:p>
        </w:tc>
        <w:tc>
          <w:tcPr>
            <w:tcW w:w="1440" w:type="dxa"/>
            <w:vMerge w:val="restart"/>
            <w:shd w:val="clear" w:color="auto" w:fill="B3B3B3"/>
            <w:vAlign w:val="bottom"/>
          </w:tcPr>
          <w:p w:rsidR="00400E39" w:rsidRPr="00B562A7" w:rsidRDefault="00400E39" w:rsidP="002E3C00">
            <w:pPr>
              <w:pStyle w:val="TableText"/>
              <w:rPr>
                <w:b/>
              </w:rPr>
            </w:pPr>
            <w:r>
              <w:rPr>
                <w:b/>
              </w:rPr>
              <w:t>Active Facility?</w:t>
            </w:r>
          </w:p>
        </w:tc>
      </w:tr>
      <w:tr w:rsidR="00400E39" w:rsidRPr="00B562A7">
        <w:tblPrEx>
          <w:tblCellMar>
            <w:top w:w="0" w:type="dxa"/>
            <w:bottom w:w="0" w:type="dxa"/>
          </w:tblCellMar>
        </w:tblPrEx>
        <w:trPr>
          <w:tblHeader/>
        </w:trPr>
        <w:tc>
          <w:tcPr>
            <w:tcW w:w="1440" w:type="dxa"/>
            <w:vMerge/>
            <w:shd w:val="clear" w:color="auto" w:fill="B3B3B3"/>
          </w:tcPr>
          <w:p w:rsidR="00400E39" w:rsidRPr="00B562A7" w:rsidRDefault="00400E39" w:rsidP="002E3C00">
            <w:pPr>
              <w:pStyle w:val="TableText"/>
              <w:rPr>
                <w:b/>
              </w:rPr>
            </w:pPr>
          </w:p>
        </w:tc>
        <w:tc>
          <w:tcPr>
            <w:tcW w:w="2160" w:type="dxa"/>
            <w:vMerge/>
            <w:shd w:val="clear" w:color="auto" w:fill="B3B3B3"/>
          </w:tcPr>
          <w:p w:rsidR="00400E39" w:rsidRPr="00B562A7" w:rsidRDefault="00400E39" w:rsidP="002E3C00">
            <w:pPr>
              <w:pStyle w:val="TableText"/>
              <w:rPr>
                <w:b/>
              </w:rPr>
            </w:pPr>
          </w:p>
        </w:tc>
        <w:tc>
          <w:tcPr>
            <w:tcW w:w="1440" w:type="dxa"/>
            <w:vMerge/>
            <w:shd w:val="clear" w:color="auto" w:fill="B3B3B3"/>
          </w:tcPr>
          <w:p w:rsidR="00400E39" w:rsidRPr="00B562A7" w:rsidRDefault="00400E39" w:rsidP="002E3C00">
            <w:pPr>
              <w:pStyle w:val="TableText"/>
              <w:rPr>
                <w:b/>
              </w:rPr>
            </w:pPr>
          </w:p>
        </w:tc>
        <w:tc>
          <w:tcPr>
            <w:tcW w:w="1440" w:type="dxa"/>
            <w:shd w:val="clear" w:color="auto" w:fill="B3B3B3"/>
            <w:vAlign w:val="bottom"/>
          </w:tcPr>
          <w:p w:rsidR="00400E39" w:rsidRPr="00B562A7" w:rsidRDefault="00400E39" w:rsidP="002E3C00">
            <w:pPr>
              <w:pStyle w:val="TableText"/>
              <w:rPr>
                <w:b/>
              </w:rPr>
            </w:pPr>
            <w:r>
              <w:rPr>
                <w:b/>
              </w:rPr>
              <w:t>Collection Facility?</w:t>
            </w:r>
          </w:p>
        </w:tc>
        <w:tc>
          <w:tcPr>
            <w:tcW w:w="1440" w:type="dxa"/>
            <w:shd w:val="clear" w:color="auto" w:fill="B3B3B3"/>
            <w:vAlign w:val="bottom"/>
          </w:tcPr>
          <w:p w:rsidR="00400E39" w:rsidRPr="00B562A7" w:rsidRDefault="00400E39" w:rsidP="002E3C00">
            <w:pPr>
              <w:pStyle w:val="TableText"/>
              <w:rPr>
                <w:b/>
              </w:rPr>
            </w:pPr>
            <w:r>
              <w:rPr>
                <w:b/>
              </w:rPr>
              <w:t>Testing Facility?</w:t>
            </w:r>
          </w:p>
        </w:tc>
        <w:tc>
          <w:tcPr>
            <w:tcW w:w="1440" w:type="dxa"/>
            <w:vMerge/>
            <w:shd w:val="clear" w:color="auto" w:fill="B3B3B3"/>
          </w:tcPr>
          <w:p w:rsidR="00400E39" w:rsidRPr="00B562A7" w:rsidRDefault="00400E39" w:rsidP="002E3C00">
            <w:pPr>
              <w:pStyle w:val="TableText"/>
              <w:rPr>
                <w:b/>
              </w:rPr>
            </w:pPr>
          </w:p>
        </w:tc>
      </w:tr>
      <w:tr w:rsidR="00400E39">
        <w:tblPrEx>
          <w:tblCellMar>
            <w:top w:w="0" w:type="dxa"/>
            <w:bottom w:w="0" w:type="dxa"/>
          </w:tblCellMar>
        </w:tblPrEx>
        <w:tc>
          <w:tcPr>
            <w:tcW w:w="1440" w:type="dxa"/>
          </w:tcPr>
          <w:p w:rsidR="00400E39" w:rsidRDefault="009E20D1" w:rsidP="002E3C00">
            <w:pPr>
              <w:pStyle w:val="TableText"/>
            </w:pPr>
            <w:r>
              <w:t>2577690</w:t>
            </w:r>
          </w:p>
        </w:tc>
        <w:tc>
          <w:tcPr>
            <w:tcW w:w="2160" w:type="dxa"/>
          </w:tcPr>
          <w:p w:rsidR="00400E39" w:rsidRDefault="009E20D1" w:rsidP="002E3C00">
            <w:pPr>
              <w:pStyle w:val="TableText"/>
            </w:pPr>
            <w:r>
              <w:t>Abington Memorial Hospital</w:t>
            </w:r>
          </w:p>
        </w:tc>
        <w:tc>
          <w:tcPr>
            <w:tcW w:w="1440" w:type="dxa"/>
          </w:tcPr>
          <w:p w:rsidR="00400E39" w:rsidRDefault="009E20D1" w:rsidP="002E3C00">
            <w:pPr>
              <w:pStyle w:val="TableText"/>
            </w:pPr>
            <w:r>
              <w:t>W0002</w:t>
            </w:r>
          </w:p>
        </w:tc>
        <w:tc>
          <w:tcPr>
            <w:tcW w:w="1440" w:type="dxa"/>
          </w:tcPr>
          <w:p w:rsidR="00400E39" w:rsidRDefault="009E20D1" w:rsidP="002E3C00">
            <w:pPr>
              <w:pStyle w:val="TableText"/>
            </w:pPr>
            <w:r>
              <w:sym w:font="Wingdings" w:char="F0FC"/>
            </w:r>
          </w:p>
        </w:tc>
        <w:tc>
          <w:tcPr>
            <w:tcW w:w="1440" w:type="dxa"/>
          </w:tcPr>
          <w:p w:rsidR="00400E39" w:rsidRDefault="00400E39" w:rsidP="002E3C00">
            <w:pPr>
              <w:pStyle w:val="TableText"/>
            </w:pPr>
          </w:p>
        </w:tc>
        <w:tc>
          <w:tcPr>
            <w:tcW w:w="1440" w:type="dxa"/>
          </w:tcPr>
          <w:p w:rsidR="00400E39" w:rsidRDefault="009E20D1" w:rsidP="002E3C00">
            <w:pPr>
              <w:pStyle w:val="TableText"/>
            </w:pPr>
            <w:r>
              <w:sym w:font="Wingdings" w:char="F0FC"/>
            </w:r>
          </w:p>
        </w:tc>
      </w:tr>
    </w:tbl>
    <w:p w:rsidR="00B24B8C" w:rsidRDefault="00B24B8C" w:rsidP="00B24B8C">
      <w:pPr>
        <w:pStyle w:val="Caption"/>
      </w:pPr>
      <w:bookmarkStart w:id="745" w:name="_Toc85895790"/>
      <w:bookmarkStart w:id="746" w:name="_Toc113264248"/>
      <w:bookmarkStart w:id="747" w:name="_Toc114462103"/>
      <w:r>
        <w:t xml:space="preserve">Table </w:t>
      </w:r>
      <w:r>
        <w:fldChar w:fldCharType="begin"/>
      </w:r>
      <w:r>
        <w:instrText xml:space="preserve"> SEQ Table \* ARABIC </w:instrText>
      </w:r>
      <w:r>
        <w:fldChar w:fldCharType="separate"/>
      </w:r>
      <w:r w:rsidR="005F38BC">
        <w:rPr>
          <w:noProof/>
        </w:rPr>
        <w:t>33</w:t>
      </w:r>
      <w:r>
        <w:fldChar w:fldCharType="end"/>
      </w:r>
      <w:r>
        <w:t>: Local Facilities Worksheet</w:t>
      </w:r>
      <w:r>
        <w:fldChar w:fldCharType="begin"/>
      </w:r>
      <w:r>
        <w:instrText xml:space="preserve"> XE "Tables:</w:instrText>
      </w:r>
      <w:r w:rsidRPr="0046419F">
        <w:instrText>Local Facilities Worksheet</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2160"/>
        <w:gridCol w:w="1440"/>
        <w:gridCol w:w="1440"/>
        <w:gridCol w:w="1440"/>
        <w:gridCol w:w="1440"/>
      </w:tblGrid>
      <w:tr w:rsidR="00B24B8C" w:rsidRPr="00B562A7">
        <w:tblPrEx>
          <w:tblCellMar>
            <w:top w:w="0" w:type="dxa"/>
            <w:bottom w:w="0" w:type="dxa"/>
          </w:tblCellMar>
        </w:tblPrEx>
        <w:trPr>
          <w:tblHeader/>
        </w:trPr>
        <w:tc>
          <w:tcPr>
            <w:tcW w:w="1440" w:type="dxa"/>
            <w:vMerge w:val="restart"/>
            <w:shd w:val="clear" w:color="auto" w:fill="B3B3B3"/>
            <w:vAlign w:val="bottom"/>
          </w:tcPr>
          <w:p w:rsidR="00B24B8C" w:rsidRPr="00B562A7" w:rsidRDefault="00B24B8C" w:rsidP="001D706D">
            <w:pPr>
              <w:pStyle w:val="TableText"/>
              <w:rPr>
                <w:b/>
              </w:rPr>
            </w:pPr>
            <w:r>
              <w:rPr>
                <w:b/>
              </w:rPr>
              <w:t>FDA Reg. No.</w:t>
            </w:r>
          </w:p>
        </w:tc>
        <w:tc>
          <w:tcPr>
            <w:tcW w:w="2160" w:type="dxa"/>
            <w:vMerge w:val="restart"/>
            <w:shd w:val="clear" w:color="auto" w:fill="B3B3B3"/>
            <w:vAlign w:val="bottom"/>
          </w:tcPr>
          <w:p w:rsidR="00B24B8C" w:rsidRPr="00B562A7" w:rsidRDefault="00B24B8C" w:rsidP="001D706D">
            <w:pPr>
              <w:pStyle w:val="TableText"/>
              <w:rPr>
                <w:b/>
              </w:rPr>
            </w:pPr>
            <w:r>
              <w:rPr>
                <w:b/>
              </w:rPr>
              <w:t>Facility Name</w:t>
            </w:r>
          </w:p>
        </w:tc>
        <w:tc>
          <w:tcPr>
            <w:tcW w:w="1440" w:type="dxa"/>
            <w:vMerge w:val="restart"/>
            <w:shd w:val="clear" w:color="auto" w:fill="B3B3B3"/>
            <w:vAlign w:val="bottom"/>
          </w:tcPr>
          <w:p w:rsidR="00B24B8C" w:rsidRPr="00B562A7" w:rsidRDefault="00B24B8C" w:rsidP="001D706D">
            <w:pPr>
              <w:pStyle w:val="TableText"/>
              <w:rPr>
                <w:b/>
              </w:rPr>
            </w:pPr>
            <w:r>
              <w:rPr>
                <w:b/>
              </w:rPr>
              <w:t>ICCBBA Reg. No.</w:t>
            </w:r>
          </w:p>
        </w:tc>
        <w:tc>
          <w:tcPr>
            <w:tcW w:w="1440" w:type="dxa"/>
            <w:gridSpan w:val="2"/>
            <w:shd w:val="clear" w:color="auto" w:fill="B3B3B3"/>
            <w:vAlign w:val="bottom"/>
          </w:tcPr>
          <w:p w:rsidR="00B24B8C" w:rsidRPr="00B562A7" w:rsidRDefault="00B24B8C" w:rsidP="001E4018">
            <w:pPr>
              <w:pStyle w:val="TableText"/>
              <w:jc w:val="center"/>
              <w:rPr>
                <w:b/>
              </w:rPr>
            </w:pPr>
            <w:r>
              <w:rPr>
                <w:b/>
              </w:rPr>
              <w:t>Facility Type</w:t>
            </w:r>
          </w:p>
        </w:tc>
        <w:tc>
          <w:tcPr>
            <w:tcW w:w="1440" w:type="dxa"/>
            <w:vMerge w:val="restart"/>
            <w:shd w:val="clear" w:color="auto" w:fill="B3B3B3"/>
            <w:vAlign w:val="bottom"/>
          </w:tcPr>
          <w:p w:rsidR="00B24B8C" w:rsidRPr="00B562A7" w:rsidRDefault="00B24B8C" w:rsidP="001D706D">
            <w:pPr>
              <w:pStyle w:val="TableText"/>
              <w:rPr>
                <w:b/>
              </w:rPr>
            </w:pPr>
            <w:r>
              <w:rPr>
                <w:b/>
              </w:rPr>
              <w:t>Active Facility?</w:t>
            </w:r>
          </w:p>
        </w:tc>
      </w:tr>
      <w:tr w:rsidR="00B24B8C" w:rsidRPr="00B562A7">
        <w:tblPrEx>
          <w:tblCellMar>
            <w:top w:w="0" w:type="dxa"/>
            <w:bottom w:w="0" w:type="dxa"/>
          </w:tblCellMar>
        </w:tblPrEx>
        <w:trPr>
          <w:tblHeader/>
        </w:trPr>
        <w:tc>
          <w:tcPr>
            <w:tcW w:w="1440" w:type="dxa"/>
            <w:vMerge/>
            <w:shd w:val="clear" w:color="auto" w:fill="B3B3B3"/>
          </w:tcPr>
          <w:p w:rsidR="00B24B8C" w:rsidRPr="00B562A7" w:rsidRDefault="00B24B8C" w:rsidP="001D706D">
            <w:pPr>
              <w:pStyle w:val="TableText"/>
              <w:rPr>
                <w:b/>
              </w:rPr>
            </w:pPr>
          </w:p>
        </w:tc>
        <w:tc>
          <w:tcPr>
            <w:tcW w:w="2160" w:type="dxa"/>
            <w:vMerge/>
            <w:shd w:val="clear" w:color="auto" w:fill="B3B3B3"/>
          </w:tcPr>
          <w:p w:rsidR="00B24B8C" w:rsidRPr="00B562A7" w:rsidRDefault="00B24B8C" w:rsidP="001D706D">
            <w:pPr>
              <w:pStyle w:val="TableText"/>
              <w:rPr>
                <w:b/>
              </w:rPr>
            </w:pPr>
          </w:p>
        </w:tc>
        <w:tc>
          <w:tcPr>
            <w:tcW w:w="1440" w:type="dxa"/>
            <w:vMerge/>
            <w:shd w:val="clear" w:color="auto" w:fill="B3B3B3"/>
          </w:tcPr>
          <w:p w:rsidR="00B24B8C" w:rsidRPr="00B562A7" w:rsidRDefault="00B24B8C" w:rsidP="001D706D">
            <w:pPr>
              <w:pStyle w:val="TableText"/>
              <w:rPr>
                <w:b/>
              </w:rPr>
            </w:pPr>
          </w:p>
        </w:tc>
        <w:tc>
          <w:tcPr>
            <w:tcW w:w="1440" w:type="dxa"/>
            <w:shd w:val="clear" w:color="auto" w:fill="B3B3B3"/>
          </w:tcPr>
          <w:p w:rsidR="00B24B8C" w:rsidRPr="00B562A7" w:rsidRDefault="00B24B8C" w:rsidP="001D706D">
            <w:pPr>
              <w:pStyle w:val="TableText"/>
              <w:rPr>
                <w:b/>
              </w:rPr>
            </w:pPr>
            <w:r>
              <w:rPr>
                <w:b/>
              </w:rPr>
              <w:t>Collection Facility?</w:t>
            </w:r>
          </w:p>
        </w:tc>
        <w:tc>
          <w:tcPr>
            <w:tcW w:w="1440" w:type="dxa"/>
            <w:shd w:val="clear" w:color="auto" w:fill="B3B3B3"/>
          </w:tcPr>
          <w:p w:rsidR="00B24B8C" w:rsidRPr="00B562A7" w:rsidRDefault="00B24B8C" w:rsidP="001D706D">
            <w:pPr>
              <w:pStyle w:val="TableText"/>
              <w:rPr>
                <w:b/>
              </w:rPr>
            </w:pPr>
            <w:r>
              <w:rPr>
                <w:b/>
              </w:rPr>
              <w:t>Testing Facility?</w:t>
            </w:r>
          </w:p>
        </w:tc>
        <w:tc>
          <w:tcPr>
            <w:tcW w:w="1440" w:type="dxa"/>
            <w:vMerge/>
            <w:shd w:val="clear" w:color="auto" w:fill="B3B3B3"/>
          </w:tcPr>
          <w:p w:rsidR="00B24B8C" w:rsidRPr="00B562A7" w:rsidRDefault="00B24B8C" w:rsidP="001D706D">
            <w:pPr>
              <w:pStyle w:val="TableText"/>
              <w:rPr>
                <w:b/>
              </w:rPr>
            </w:pPr>
          </w:p>
        </w:tc>
      </w:tr>
      <w:tr w:rsidR="00B24B8C">
        <w:tblPrEx>
          <w:tblCellMar>
            <w:top w:w="0" w:type="dxa"/>
            <w:bottom w:w="0" w:type="dxa"/>
          </w:tblCellMar>
        </w:tblPrEx>
        <w:tc>
          <w:tcPr>
            <w:tcW w:w="1440" w:type="dxa"/>
          </w:tcPr>
          <w:p w:rsidR="00B24B8C" w:rsidRDefault="00B24B8C" w:rsidP="001D706D">
            <w:pPr>
              <w:pStyle w:val="TableText"/>
            </w:pPr>
          </w:p>
        </w:tc>
        <w:tc>
          <w:tcPr>
            <w:tcW w:w="2160" w:type="dxa"/>
          </w:tcPr>
          <w:p w:rsidR="00B24B8C" w:rsidRDefault="00B24B8C" w:rsidP="001D706D">
            <w:pPr>
              <w:pStyle w:val="TableText"/>
            </w:pPr>
          </w:p>
        </w:tc>
        <w:tc>
          <w:tcPr>
            <w:tcW w:w="1440" w:type="dxa"/>
          </w:tcPr>
          <w:p w:rsidR="00B24B8C" w:rsidRDefault="00B24B8C" w:rsidP="001D706D">
            <w:pPr>
              <w:pStyle w:val="TableText"/>
            </w:pPr>
          </w:p>
        </w:tc>
        <w:tc>
          <w:tcPr>
            <w:tcW w:w="1440" w:type="dxa"/>
          </w:tcPr>
          <w:p w:rsidR="00B24B8C" w:rsidRDefault="00B24B8C" w:rsidP="001D706D">
            <w:pPr>
              <w:pStyle w:val="TableText"/>
            </w:pPr>
          </w:p>
        </w:tc>
        <w:tc>
          <w:tcPr>
            <w:tcW w:w="1440" w:type="dxa"/>
          </w:tcPr>
          <w:p w:rsidR="00B24B8C" w:rsidRDefault="00B24B8C" w:rsidP="001D706D">
            <w:pPr>
              <w:pStyle w:val="TableText"/>
            </w:pPr>
          </w:p>
        </w:tc>
        <w:tc>
          <w:tcPr>
            <w:tcW w:w="1440" w:type="dxa"/>
          </w:tcPr>
          <w:p w:rsidR="00B24B8C" w:rsidRDefault="00B24B8C" w:rsidP="001D706D">
            <w:pPr>
              <w:pStyle w:val="TableText"/>
            </w:pPr>
          </w:p>
        </w:tc>
      </w:tr>
      <w:tr w:rsidR="00B24B8C">
        <w:tblPrEx>
          <w:tblCellMar>
            <w:top w:w="0" w:type="dxa"/>
            <w:bottom w:w="0" w:type="dxa"/>
          </w:tblCellMar>
        </w:tblPrEx>
        <w:tc>
          <w:tcPr>
            <w:tcW w:w="1440" w:type="dxa"/>
          </w:tcPr>
          <w:p w:rsidR="00B24B8C" w:rsidRDefault="00B24B8C" w:rsidP="001D706D">
            <w:pPr>
              <w:pStyle w:val="TableText"/>
            </w:pPr>
          </w:p>
        </w:tc>
        <w:tc>
          <w:tcPr>
            <w:tcW w:w="2160" w:type="dxa"/>
          </w:tcPr>
          <w:p w:rsidR="00B24B8C" w:rsidRDefault="00B24B8C" w:rsidP="001D706D">
            <w:pPr>
              <w:pStyle w:val="TableText"/>
            </w:pPr>
          </w:p>
        </w:tc>
        <w:tc>
          <w:tcPr>
            <w:tcW w:w="1440" w:type="dxa"/>
          </w:tcPr>
          <w:p w:rsidR="00B24B8C" w:rsidRDefault="00B24B8C" w:rsidP="001D706D">
            <w:pPr>
              <w:pStyle w:val="TableText"/>
            </w:pPr>
          </w:p>
        </w:tc>
        <w:tc>
          <w:tcPr>
            <w:tcW w:w="1440" w:type="dxa"/>
          </w:tcPr>
          <w:p w:rsidR="00B24B8C" w:rsidRDefault="00B24B8C" w:rsidP="001D706D">
            <w:pPr>
              <w:pStyle w:val="TableText"/>
            </w:pPr>
          </w:p>
        </w:tc>
        <w:tc>
          <w:tcPr>
            <w:tcW w:w="1440" w:type="dxa"/>
          </w:tcPr>
          <w:p w:rsidR="00B24B8C" w:rsidRDefault="00B24B8C" w:rsidP="001D706D">
            <w:pPr>
              <w:pStyle w:val="TableText"/>
            </w:pPr>
          </w:p>
        </w:tc>
        <w:tc>
          <w:tcPr>
            <w:tcW w:w="1440" w:type="dxa"/>
          </w:tcPr>
          <w:p w:rsidR="00B24B8C" w:rsidRDefault="00B24B8C" w:rsidP="001D706D">
            <w:pPr>
              <w:pStyle w:val="TableText"/>
            </w:pPr>
          </w:p>
        </w:tc>
      </w:tr>
      <w:tr w:rsidR="00B24B8C">
        <w:tblPrEx>
          <w:tblCellMar>
            <w:top w:w="0" w:type="dxa"/>
            <w:bottom w:w="0" w:type="dxa"/>
          </w:tblCellMar>
        </w:tblPrEx>
        <w:tc>
          <w:tcPr>
            <w:tcW w:w="1440" w:type="dxa"/>
          </w:tcPr>
          <w:p w:rsidR="00B24B8C" w:rsidRDefault="00B24B8C" w:rsidP="001D706D">
            <w:pPr>
              <w:pStyle w:val="TableText"/>
            </w:pPr>
          </w:p>
        </w:tc>
        <w:tc>
          <w:tcPr>
            <w:tcW w:w="2160" w:type="dxa"/>
          </w:tcPr>
          <w:p w:rsidR="00B24B8C" w:rsidRDefault="00B24B8C" w:rsidP="001D706D">
            <w:pPr>
              <w:pStyle w:val="TableText"/>
            </w:pPr>
          </w:p>
        </w:tc>
        <w:tc>
          <w:tcPr>
            <w:tcW w:w="1440" w:type="dxa"/>
          </w:tcPr>
          <w:p w:rsidR="00B24B8C" w:rsidRDefault="00B24B8C" w:rsidP="001D706D">
            <w:pPr>
              <w:pStyle w:val="TableText"/>
            </w:pPr>
          </w:p>
        </w:tc>
        <w:tc>
          <w:tcPr>
            <w:tcW w:w="1440" w:type="dxa"/>
          </w:tcPr>
          <w:p w:rsidR="00B24B8C" w:rsidRDefault="00B24B8C" w:rsidP="001D706D">
            <w:pPr>
              <w:pStyle w:val="TableText"/>
            </w:pPr>
          </w:p>
        </w:tc>
        <w:tc>
          <w:tcPr>
            <w:tcW w:w="1440" w:type="dxa"/>
          </w:tcPr>
          <w:p w:rsidR="00B24B8C" w:rsidRDefault="00B24B8C" w:rsidP="001D706D">
            <w:pPr>
              <w:pStyle w:val="TableText"/>
            </w:pPr>
          </w:p>
        </w:tc>
        <w:tc>
          <w:tcPr>
            <w:tcW w:w="1440" w:type="dxa"/>
          </w:tcPr>
          <w:p w:rsidR="00B24B8C" w:rsidRDefault="00B24B8C" w:rsidP="001D706D">
            <w:pPr>
              <w:pStyle w:val="TableText"/>
            </w:pPr>
          </w:p>
        </w:tc>
      </w:tr>
      <w:tr w:rsidR="00B24B8C">
        <w:tblPrEx>
          <w:tblCellMar>
            <w:top w:w="0" w:type="dxa"/>
            <w:bottom w:w="0" w:type="dxa"/>
          </w:tblCellMar>
        </w:tblPrEx>
        <w:tc>
          <w:tcPr>
            <w:tcW w:w="1440" w:type="dxa"/>
          </w:tcPr>
          <w:p w:rsidR="00B24B8C" w:rsidRDefault="00B24B8C" w:rsidP="001D706D">
            <w:pPr>
              <w:pStyle w:val="TableText"/>
            </w:pPr>
          </w:p>
        </w:tc>
        <w:tc>
          <w:tcPr>
            <w:tcW w:w="2160" w:type="dxa"/>
          </w:tcPr>
          <w:p w:rsidR="00B24B8C" w:rsidRDefault="00B24B8C" w:rsidP="001D706D">
            <w:pPr>
              <w:pStyle w:val="TableText"/>
            </w:pPr>
          </w:p>
        </w:tc>
        <w:tc>
          <w:tcPr>
            <w:tcW w:w="1440" w:type="dxa"/>
          </w:tcPr>
          <w:p w:rsidR="00B24B8C" w:rsidRDefault="00B24B8C" w:rsidP="001D706D">
            <w:pPr>
              <w:pStyle w:val="TableText"/>
            </w:pPr>
          </w:p>
        </w:tc>
        <w:tc>
          <w:tcPr>
            <w:tcW w:w="1440" w:type="dxa"/>
          </w:tcPr>
          <w:p w:rsidR="00B24B8C" w:rsidRDefault="00B24B8C" w:rsidP="001D706D">
            <w:pPr>
              <w:pStyle w:val="TableText"/>
            </w:pPr>
          </w:p>
        </w:tc>
        <w:tc>
          <w:tcPr>
            <w:tcW w:w="1440" w:type="dxa"/>
          </w:tcPr>
          <w:p w:rsidR="00B24B8C" w:rsidRDefault="00B24B8C" w:rsidP="001D706D">
            <w:pPr>
              <w:pStyle w:val="TableText"/>
            </w:pPr>
          </w:p>
        </w:tc>
        <w:tc>
          <w:tcPr>
            <w:tcW w:w="1440" w:type="dxa"/>
          </w:tcPr>
          <w:p w:rsidR="00B24B8C" w:rsidRDefault="00B24B8C" w:rsidP="001D706D">
            <w:pPr>
              <w:pStyle w:val="TableText"/>
            </w:pPr>
          </w:p>
        </w:tc>
      </w:tr>
      <w:tr w:rsidR="00B24B8C">
        <w:tblPrEx>
          <w:tblCellMar>
            <w:top w:w="0" w:type="dxa"/>
            <w:bottom w:w="0" w:type="dxa"/>
          </w:tblCellMar>
        </w:tblPrEx>
        <w:tc>
          <w:tcPr>
            <w:tcW w:w="1440" w:type="dxa"/>
          </w:tcPr>
          <w:p w:rsidR="00B24B8C" w:rsidRDefault="00B24B8C" w:rsidP="001D706D">
            <w:pPr>
              <w:pStyle w:val="TableText"/>
            </w:pPr>
          </w:p>
        </w:tc>
        <w:tc>
          <w:tcPr>
            <w:tcW w:w="2160" w:type="dxa"/>
          </w:tcPr>
          <w:p w:rsidR="00B24B8C" w:rsidRDefault="00B24B8C" w:rsidP="001D706D">
            <w:pPr>
              <w:pStyle w:val="TableText"/>
            </w:pPr>
          </w:p>
        </w:tc>
        <w:tc>
          <w:tcPr>
            <w:tcW w:w="1440" w:type="dxa"/>
          </w:tcPr>
          <w:p w:rsidR="00B24B8C" w:rsidRDefault="00B24B8C" w:rsidP="001D706D">
            <w:pPr>
              <w:pStyle w:val="TableText"/>
            </w:pPr>
          </w:p>
        </w:tc>
        <w:tc>
          <w:tcPr>
            <w:tcW w:w="1440" w:type="dxa"/>
          </w:tcPr>
          <w:p w:rsidR="00B24B8C" w:rsidRDefault="00B24B8C" w:rsidP="001D706D">
            <w:pPr>
              <w:pStyle w:val="TableText"/>
            </w:pPr>
          </w:p>
        </w:tc>
        <w:tc>
          <w:tcPr>
            <w:tcW w:w="1440" w:type="dxa"/>
          </w:tcPr>
          <w:p w:rsidR="00B24B8C" w:rsidRDefault="00B24B8C" w:rsidP="001D706D">
            <w:pPr>
              <w:pStyle w:val="TableText"/>
            </w:pPr>
          </w:p>
        </w:tc>
        <w:tc>
          <w:tcPr>
            <w:tcW w:w="1440" w:type="dxa"/>
          </w:tcPr>
          <w:p w:rsidR="00B24B8C" w:rsidRDefault="00B24B8C" w:rsidP="001D706D">
            <w:pPr>
              <w:pStyle w:val="TableText"/>
            </w:pPr>
          </w:p>
        </w:tc>
      </w:tr>
      <w:tr w:rsidR="00B24B8C">
        <w:tblPrEx>
          <w:tblCellMar>
            <w:top w:w="0" w:type="dxa"/>
            <w:bottom w:w="0" w:type="dxa"/>
          </w:tblCellMar>
        </w:tblPrEx>
        <w:tc>
          <w:tcPr>
            <w:tcW w:w="1440" w:type="dxa"/>
          </w:tcPr>
          <w:p w:rsidR="00B24B8C" w:rsidRDefault="00B24B8C" w:rsidP="001D706D">
            <w:pPr>
              <w:pStyle w:val="TableText"/>
            </w:pPr>
          </w:p>
        </w:tc>
        <w:tc>
          <w:tcPr>
            <w:tcW w:w="2160" w:type="dxa"/>
          </w:tcPr>
          <w:p w:rsidR="00B24B8C" w:rsidRDefault="00B24B8C" w:rsidP="001D706D">
            <w:pPr>
              <w:pStyle w:val="TableText"/>
            </w:pPr>
          </w:p>
        </w:tc>
        <w:tc>
          <w:tcPr>
            <w:tcW w:w="1440" w:type="dxa"/>
          </w:tcPr>
          <w:p w:rsidR="00B24B8C" w:rsidRDefault="00B24B8C" w:rsidP="001D706D">
            <w:pPr>
              <w:pStyle w:val="TableText"/>
            </w:pPr>
          </w:p>
        </w:tc>
        <w:tc>
          <w:tcPr>
            <w:tcW w:w="1440" w:type="dxa"/>
          </w:tcPr>
          <w:p w:rsidR="00B24B8C" w:rsidRDefault="00B24B8C" w:rsidP="001D706D">
            <w:pPr>
              <w:pStyle w:val="TableText"/>
            </w:pPr>
          </w:p>
        </w:tc>
        <w:tc>
          <w:tcPr>
            <w:tcW w:w="1440" w:type="dxa"/>
          </w:tcPr>
          <w:p w:rsidR="00B24B8C" w:rsidRDefault="00B24B8C" w:rsidP="001D706D">
            <w:pPr>
              <w:pStyle w:val="TableText"/>
            </w:pPr>
          </w:p>
        </w:tc>
        <w:tc>
          <w:tcPr>
            <w:tcW w:w="1440" w:type="dxa"/>
          </w:tcPr>
          <w:p w:rsidR="00B24B8C" w:rsidRDefault="00B24B8C" w:rsidP="001D706D">
            <w:pPr>
              <w:pStyle w:val="TableText"/>
            </w:pPr>
          </w:p>
        </w:tc>
      </w:tr>
      <w:tr w:rsidR="00B24B8C">
        <w:tblPrEx>
          <w:tblCellMar>
            <w:top w:w="0" w:type="dxa"/>
            <w:bottom w:w="0" w:type="dxa"/>
          </w:tblCellMar>
        </w:tblPrEx>
        <w:tc>
          <w:tcPr>
            <w:tcW w:w="1440" w:type="dxa"/>
          </w:tcPr>
          <w:p w:rsidR="00B24B8C" w:rsidRDefault="00B24B8C" w:rsidP="001D706D">
            <w:pPr>
              <w:pStyle w:val="TableText"/>
            </w:pPr>
          </w:p>
        </w:tc>
        <w:tc>
          <w:tcPr>
            <w:tcW w:w="2160" w:type="dxa"/>
          </w:tcPr>
          <w:p w:rsidR="00B24B8C" w:rsidRDefault="00B24B8C" w:rsidP="001D706D">
            <w:pPr>
              <w:pStyle w:val="TableText"/>
            </w:pPr>
          </w:p>
        </w:tc>
        <w:tc>
          <w:tcPr>
            <w:tcW w:w="1440" w:type="dxa"/>
          </w:tcPr>
          <w:p w:rsidR="00B24B8C" w:rsidRDefault="00B24B8C" w:rsidP="001D706D">
            <w:pPr>
              <w:pStyle w:val="TableText"/>
            </w:pPr>
          </w:p>
        </w:tc>
        <w:tc>
          <w:tcPr>
            <w:tcW w:w="1440" w:type="dxa"/>
          </w:tcPr>
          <w:p w:rsidR="00B24B8C" w:rsidRDefault="00B24B8C" w:rsidP="001D706D">
            <w:pPr>
              <w:pStyle w:val="TableText"/>
            </w:pPr>
          </w:p>
        </w:tc>
        <w:tc>
          <w:tcPr>
            <w:tcW w:w="1440" w:type="dxa"/>
          </w:tcPr>
          <w:p w:rsidR="00B24B8C" w:rsidRDefault="00B24B8C" w:rsidP="001D706D">
            <w:pPr>
              <w:pStyle w:val="TableText"/>
            </w:pPr>
          </w:p>
        </w:tc>
        <w:tc>
          <w:tcPr>
            <w:tcW w:w="1440" w:type="dxa"/>
          </w:tcPr>
          <w:p w:rsidR="00B24B8C" w:rsidRDefault="00B24B8C" w:rsidP="001D706D">
            <w:pPr>
              <w:pStyle w:val="TableText"/>
            </w:pPr>
          </w:p>
        </w:tc>
      </w:tr>
    </w:tbl>
    <w:p w:rsidR="0050722E" w:rsidRDefault="0050722E" w:rsidP="005129E1">
      <w:pPr>
        <w:pStyle w:val="Heading3"/>
      </w:pPr>
    </w:p>
    <w:p w:rsidR="002E3C00" w:rsidRDefault="0050722E" w:rsidP="005129E1">
      <w:pPr>
        <w:pStyle w:val="Heading3"/>
      </w:pPr>
      <w:r>
        <w:br w:type="page"/>
      </w:r>
      <w:bookmarkStart w:id="748" w:name="_Toc459900228"/>
      <w:r w:rsidR="002E3C00">
        <w:lastRenderedPageBreak/>
        <w:t>Component Classes</w:t>
      </w:r>
      <w:bookmarkEnd w:id="745"/>
      <w:bookmarkEnd w:id="746"/>
      <w:bookmarkEnd w:id="747"/>
      <w:bookmarkEnd w:id="748"/>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Component Classes</w:instrText>
      </w:r>
      <w:r w:rsidR="00992E88">
        <w:instrText xml:space="preserve">" </w:instrText>
      </w:r>
      <w:r w:rsidR="00992E88">
        <w:fldChar w:fldCharType="end"/>
      </w:r>
    </w:p>
    <w:p w:rsidR="002E3C00" w:rsidRDefault="002E3C00" w:rsidP="002E3C00">
      <w:pPr>
        <w:pStyle w:val="BodyText"/>
      </w:pPr>
      <w:r>
        <w:t>The user configures the component class parameters for the selected division.</w:t>
      </w:r>
    </w:p>
    <w:p w:rsidR="002E3C00" w:rsidRDefault="002E3C00" w:rsidP="002E3C00">
      <w:pPr>
        <w:pStyle w:val="Heading4"/>
        <w:rPr>
          <w:b w:val="0"/>
        </w:rPr>
      </w:pPr>
      <w:r>
        <w:t>User Roles with Access to This Option</w:t>
      </w:r>
      <w:r>
        <w:rPr>
          <w:b w:val="0"/>
        </w:rPr>
        <w:t xml:space="preserve"> </w:t>
      </w:r>
    </w:p>
    <w:p w:rsidR="002E3C00" w:rsidRPr="00404CAF" w:rsidRDefault="002E3C00" w:rsidP="002E3C00">
      <w:pPr>
        <w:pStyle w:val="Roles"/>
        <w:rPr>
          <w:i/>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rsidR="002E3C00" w:rsidRDefault="00B74754" w:rsidP="002E3C00">
      <w:pPr>
        <w:pStyle w:val="Heading4"/>
      </w:pPr>
      <w:r>
        <w:t>Preparation for Testing</w:t>
      </w:r>
    </w:p>
    <w:p w:rsidR="00061FCF" w:rsidRPr="00600497" w:rsidRDefault="00061FCF" w:rsidP="002F6D7B">
      <w:pPr>
        <w:pStyle w:val="ListNumber"/>
        <w:numPr>
          <w:ilvl w:val="0"/>
          <w:numId w:val="29"/>
        </w:numPr>
        <w:tabs>
          <w:tab w:val="clear" w:pos="720"/>
          <w:tab w:val="num" w:pos="360"/>
        </w:tabs>
        <w:ind w:left="360"/>
      </w:pPr>
      <w:r w:rsidRPr="00600497">
        <w:t>Use the sample worksheet to record information.</w:t>
      </w:r>
    </w:p>
    <w:p w:rsidR="002E3C00" w:rsidRPr="00600497" w:rsidRDefault="002E3C00" w:rsidP="002F6D7B">
      <w:pPr>
        <w:pStyle w:val="ListNumber"/>
        <w:numPr>
          <w:ilvl w:val="0"/>
          <w:numId w:val="29"/>
        </w:numPr>
        <w:tabs>
          <w:tab w:val="clear" w:pos="720"/>
          <w:tab w:val="num" w:pos="360"/>
        </w:tabs>
        <w:ind w:left="360"/>
      </w:pPr>
      <w:r w:rsidRPr="00600497">
        <w:t xml:space="preserve">Capture and save a screen shot of each piece of information. </w:t>
      </w:r>
    </w:p>
    <w:p w:rsidR="00232E43" w:rsidRPr="00FB7F8D" w:rsidRDefault="00232E43" w:rsidP="002F6D7B">
      <w:pPr>
        <w:pStyle w:val="ListNumber"/>
        <w:numPr>
          <w:ilvl w:val="0"/>
          <w:numId w:val="29"/>
        </w:numPr>
        <w:tabs>
          <w:tab w:val="clear" w:pos="720"/>
          <w:tab w:val="num" w:pos="360"/>
        </w:tabs>
        <w:ind w:left="360"/>
      </w:pPr>
      <w:r w:rsidRPr="00600497">
        <w:t>Pri</w:t>
      </w:r>
      <w:r w:rsidRPr="00FB7F8D">
        <w:t>nt</w:t>
      </w:r>
      <w:r>
        <w:t>, sign, date,</w:t>
      </w:r>
      <w:r w:rsidRPr="00FB7F8D">
        <w:t xml:space="preserve"> and save an </w:t>
      </w:r>
      <w:r>
        <w:t>A</w:t>
      </w:r>
      <w:r w:rsidRPr="00FB7F8D">
        <w:t xml:space="preserve">udit </w:t>
      </w:r>
      <w:r>
        <w:t>Trail R</w:t>
      </w:r>
      <w:r w:rsidRPr="00FB7F8D">
        <w:t>eport for your validation record.</w:t>
      </w:r>
    </w:p>
    <w:p w:rsidR="002E3C00" w:rsidRDefault="002E3C00" w:rsidP="002E3C00">
      <w:pPr>
        <w:pStyle w:val="Caption"/>
        <w:rPr>
          <w:sz w:val="15"/>
          <w:szCs w:val="15"/>
        </w:rPr>
      </w:pPr>
      <w:r>
        <w:t xml:space="preserve">Table </w:t>
      </w:r>
      <w:r>
        <w:fldChar w:fldCharType="begin"/>
      </w:r>
      <w:r>
        <w:instrText xml:space="preserve"> SEQ Table \* ARABIC </w:instrText>
      </w:r>
      <w:r>
        <w:fldChar w:fldCharType="separate"/>
      </w:r>
      <w:r w:rsidR="005F38BC">
        <w:rPr>
          <w:noProof/>
        </w:rPr>
        <w:t>34</w:t>
      </w:r>
      <w:r>
        <w:fldChar w:fldCharType="end"/>
      </w:r>
      <w:r>
        <w:t>: Component Class Requirements</w:t>
      </w:r>
      <w:r w:rsidR="00061FCF">
        <w:t xml:space="preserve"> Worksheet</w:t>
      </w:r>
      <w:r w:rsidR="00AD60CF">
        <w:fldChar w:fldCharType="begin"/>
      </w:r>
      <w:r w:rsidR="00292A7B">
        <w:instrText xml:space="preserve"> XE "Tables:</w:instrText>
      </w:r>
      <w:r w:rsidR="00AD60CF" w:rsidRPr="0046419F">
        <w:instrText>Component Class Requirements Worksheet</w:instrText>
      </w:r>
      <w:r w:rsidR="00AD60CF">
        <w:instrText xml:space="preserve">" </w:instrText>
      </w:r>
      <w:r w:rsidR="00AD60CF">
        <w:fldChar w:fldCharType="end"/>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9"/>
        <w:gridCol w:w="1689"/>
        <w:gridCol w:w="1440"/>
        <w:gridCol w:w="1620"/>
        <w:gridCol w:w="1136"/>
        <w:gridCol w:w="1672"/>
      </w:tblGrid>
      <w:tr w:rsidR="000A4CE0" w:rsidRPr="007121BA">
        <w:tblPrEx>
          <w:tblCellMar>
            <w:top w:w="0" w:type="dxa"/>
            <w:bottom w:w="0" w:type="dxa"/>
          </w:tblCellMar>
        </w:tblPrEx>
        <w:trPr>
          <w:tblHeader/>
        </w:trPr>
        <w:tc>
          <w:tcPr>
            <w:tcW w:w="2019" w:type="dxa"/>
            <w:shd w:val="clear" w:color="auto" w:fill="B3B3B3"/>
            <w:vAlign w:val="bottom"/>
          </w:tcPr>
          <w:p w:rsidR="000A4CE0" w:rsidRPr="007121BA" w:rsidRDefault="000A4CE0" w:rsidP="002E3C00">
            <w:pPr>
              <w:pStyle w:val="TableText"/>
              <w:rPr>
                <w:b/>
              </w:rPr>
            </w:pPr>
            <w:r w:rsidRPr="007121BA">
              <w:rPr>
                <w:b/>
              </w:rPr>
              <w:t>Component Class</w:t>
            </w:r>
          </w:p>
        </w:tc>
        <w:tc>
          <w:tcPr>
            <w:tcW w:w="1689" w:type="dxa"/>
            <w:shd w:val="clear" w:color="auto" w:fill="B3B3B3"/>
            <w:vAlign w:val="bottom"/>
          </w:tcPr>
          <w:p w:rsidR="000A4CE0" w:rsidRPr="007121BA" w:rsidRDefault="000A4CE0" w:rsidP="002E3C00">
            <w:pPr>
              <w:pStyle w:val="TableText"/>
              <w:rPr>
                <w:b/>
              </w:rPr>
            </w:pPr>
            <w:r>
              <w:rPr>
                <w:b/>
              </w:rPr>
              <w:t>R</w:t>
            </w:r>
            <w:r w:rsidR="000C4296">
              <w:rPr>
                <w:b/>
              </w:rPr>
              <w:t xml:space="preserve">equire Current Specimen </w:t>
            </w:r>
            <w:r>
              <w:rPr>
                <w:b/>
              </w:rPr>
              <w:t>ABO/Rh Results?</w:t>
            </w:r>
          </w:p>
        </w:tc>
        <w:tc>
          <w:tcPr>
            <w:tcW w:w="1440" w:type="dxa"/>
            <w:shd w:val="clear" w:color="auto" w:fill="B3B3B3"/>
            <w:vAlign w:val="bottom"/>
          </w:tcPr>
          <w:p w:rsidR="000A4CE0" w:rsidRPr="007121BA" w:rsidRDefault="000A4CE0" w:rsidP="002E3C00">
            <w:pPr>
              <w:pStyle w:val="TableText"/>
              <w:rPr>
                <w:b/>
              </w:rPr>
            </w:pPr>
            <w:r w:rsidRPr="007121BA">
              <w:rPr>
                <w:b/>
              </w:rPr>
              <w:t xml:space="preserve">Maximum </w:t>
            </w:r>
            <w:r>
              <w:rPr>
                <w:b/>
              </w:rPr>
              <w:t>T</w:t>
            </w:r>
            <w:r w:rsidRPr="007121BA">
              <w:rPr>
                <w:b/>
              </w:rPr>
              <w:t xml:space="preserve">ransfusion </w:t>
            </w:r>
            <w:r>
              <w:rPr>
                <w:b/>
              </w:rPr>
              <w:t>Time</w:t>
            </w:r>
            <w:r>
              <w:rPr>
                <w:rStyle w:val="FootnoteReference"/>
                <w:b/>
              </w:rPr>
              <w:footnoteReference w:id="8"/>
            </w:r>
          </w:p>
        </w:tc>
        <w:tc>
          <w:tcPr>
            <w:tcW w:w="1620" w:type="dxa"/>
            <w:shd w:val="clear" w:color="auto" w:fill="B3B3B3"/>
            <w:vAlign w:val="bottom"/>
          </w:tcPr>
          <w:p w:rsidR="000A4CE0" w:rsidRPr="007121BA" w:rsidRDefault="000A4CE0" w:rsidP="002E3C00">
            <w:pPr>
              <w:pStyle w:val="TableText"/>
              <w:rPr>
                <w:b/>
              </w:rPr>
            </w:pPr>
            <w:r>
              <w:rPr>
                <w:b/>
              </w:rPr>
              <w:t>Laboratory Test Name</w:t>
            </w:r>
          </w:p>
        </w:tc>
        <w:tc>
          <w:tcPr>
            <w:tcW w:w="1136" w:type="dxa"/>
            <w:shd w:val="clear" w:color="auto" w:fill="B3B3B3"/>
            <w:vAlign w:val="bottom"/>
          </w:tcPr>
          <w:p w:rsidR="000A4CE0" w:rsidRPr="007121BA" w:rsidRDefault="000A4CE0" w:rsidP="002E3C00">
            <w:pPr>
              <w:pStyle w:val="TableText"/>
              <w:rPr>
                <w:b/>
              </w:rPr>
            </w:pPr>
            <w:r>
              <w:rPr>
                <w:b/>
              </w:rPr>
              <w:t>Specimen Type</w:t>
            </w:r>
          </w:p>
        </w:tc>
        <w:tc>
          <w:tcPr>
            <w:tcW w:w="1672" w:type="dxa"/>
            <w:shd w:val="clear" w:color="auto" w:fill="B3B3B3"/>
            <w:vAlign w:val="bottom"/>
          </w:tcPr>
          <w:p w:rsidR="000A4CE0" w:rsidRPr="007121BA" w:rsidRDefault="000A4CE0" w:rsidP="002E3C00">
            <w:pPr>
              <w:pStyle w:val="TableText"/>
              <w:rPr>
                <w:b/>
              </w:rPr>
            </w:pPr>
            <w:r>
              <w:rPr>
                <w:b/>
              </w:rPr>
              <w:t>Threshold Result</w:t>
            </w:r>
          </w:p>
        </w:tc>
      </w:tr>
      <w:tr w:rsidR="000A4CE0" w:rsidRPr="009B35EA">
        <w:tblPrEx>
          <w:tblCellMar>
            <w:top w:w="0" w:type="dxa"/>
            <w:bottom w:w="0" w:type="dxa"/>
          </w:tblCellMar>
        </w:tblPrEx>
        <w:tc>
          <w:tcPr>
            <w:tcW w:w="2019" w:type="dxa"/>
          </w:tcPr>
          <w:p w:rsidR="000A4CE0" w:rsidRPr="009B35EA" w:rsidRDefault="000A4CE0" w:rsidP="002E3C00">
            <w:pPr>
              <w:pStyle w:val="TableText"/>
            </w:pPr>
            <w:r>
              <w:t>RED BLOOD CELLS</w:t>
            </w:r>
          </w:p>
        </w:tc>
        <w:tc>
          <w:tcPr>
            <w:tcW w:w="1689" w:type="dxa"/>
          </w:tcPr>
          <w:p w:rsidR="000A4CE0" w:rsidRPr="009B35EA" w:rsidRDefault="000A4CE0" w:rsidP="002E3C00">
            <w:pPr>
              <w:pStyle w:val="TableText"/>
            </w:pPr>
            <w:r>
              <w:sym w:font="Wingdings" w:char="F0FC"/>
            </w:r>
            <w:r>
              <w:t xml:space="preserve"> (uneditable)</w:t>
            </w:r>
          </w:p>
        </w:tc>
        <w:tc>
          <w:tcPr>
            <w:tcW w:w="1440" w:type="dxa"/>
          </w:tcPr>
          <w:p w:rsidR="000A4CE0" w:rsidRPr="009B35EA" w:rsidRDefault="000A4CE0" w:rsidP="002E3C00">
            <w:pPr>
              <w:pStyle w:val="TableText"/>
            </w:pPr>
          </w:p>
        </w:tc>
        <w:tc>
          <w:tcPr>
            <w:tcW w:w="1620" w:type="dxa"/>
          </w:tcPr>
          <w:p w:rsidR="000A4CE0" w:rsidRPr="009B35EA" w:rsidRDefault="000A4CE0" w:rsidP="002E3C00">
            <w:pPr>
              <w:pStyle w:val="TableText"/>
            </w:pPr>
          </w:p>
        </w:tc>
        <w:tc>
          <w:tcPr>
            <w:tcW w:w="1136" w:type="dxa"/>
          </w:tcPr>
          <w:p w:rsidR="000A4CE0" w:rsidRPr="009B35EA" w:rsidRDefault="000A4CE0" w:rsidP="002E3C00">
            <w:pPr>
              <w:pStyle w:val="TableText"/>
            </w:pPr>
          </w:p>
        </w:tc>
        <w:tc>
          <w:tcPr>
            <w:tcW w:w="1672" w:type="dxa"/>
          </w:tcPr>
          <w:p w:rsidR="000A4CE0" w:rsidRPr="009B35EA" w:rsidRDefault="000A4CE0" w:rsidP="002E3C00">
            <w:pPr>
              <w:pStyle w:val="TableText"/>
            </w:pPr>
          </w:p>
        </w:tc>
      </w:tr>
      <w:tr w:rsidR="000A4CE0" w:rsidRPr="009B35EA">
        <w:tblPrEx>
          <w:tblCellMar>
            <w:top w:w="0" w:type="dxa"/>
            <w:bottom w:w="0" w:type="dxa"/>
          </w:tblCellMar>
        </w:tblPrEx>
        <w:tc>
          <w:tcPr>
            <w:tcW w:w="2019" w:type="dxa"/>
          </w:tcPr>
          <w:p w:rsidR="000A4CE0" w:rsidRPr="009B35EA" w:rsidRDefault="000A4CE0" w:rsidP="002E3C00">
            <w:pPr>
              <w:pStyle w:val="TableText"/>
            </w:pPr>
            <w:r>
              <w:t>FRESH FROZEN PLASMA</w:t>
            </w:r>
          </w:p>
        </w:tc>
        <w:tc>
          <w:tcPr>
            <w:tcW w:w="1689" w:type="dxa"/>
          </w:tcPr>
          <w:p w:rsidR="000A4CE0" w:rsidRPr="009B35EA" w:rsidRDefault="000A4CE0" w:rsidP="002E3C00">
            <w:pPr>
              <w:pStyle w:val="TableText"/>
            </w:pPr>
          </w:p>
        </w:tc>
        <w:tc>
          <w:tcPr>
            <w:tcW w:w="1440" w:type="dxa"/>
          </w:tcPr>
          <w:p w:rsidR="000A4CE0" w:rsidRPr="009B35EA" w:rsidRDefault="000A4CE0" w:rsidP="002E3C00">
            <w:pPr>
              <w:pStyle w:val="TableText"/>
            </w:pPr>
          </w:p>
        </w:tc>
        <w:tc>
          <w:tcPr>
            <w:tcW w:w="1620" w:type="dxa"/>
          </w:tcPr>
          <w:p w:rsidR="000A4CE0" w:rsidRPr="009B35EA" w:rsidRDefault="000A4CE0" w:rsidP="002E3C00">
            <w:pPr>
              <w:pStyle w:val="TableText"/>
            </w:pPr>
          </w:p>
        </w:tc>
        <w:tc>
          <w:tcPr>
            <w:tcW w:w="1136" w:type="dxa"/>
          </w:tcPr>
          <w:p w:rsidR="000A4CE0" w:rsidRPr="009B35EA" w:rsidRDefault="000A4CE0" w:rsidP="002E3C00">
            <w:pPr>
              <w:pStyle w:val="TableText"/>
            </w:pPr>
          </w:p>
        </w:tc>
        <w:tc>
          <w:tcPr>
            <w:tcW w:w="1672" w:type="dxa"/>
          </w:tcPr>
          <w:p w:rsidR="000A4CE0" w:rsidRPr="009B35EA" w:rsidRDefault="000A4CE0" w:rsidP="002E3C00">
            <w:pPr>
              <w:pStyle w:val="TableText"/>
            </w:pPr>
          </w:p>
        </w:tc>
      </w:tr>
      <w:tr w:rsidR="000A4CE0" w:rsidRPr="009B35EA">
        <w:tblPrEx>
          <w:tblCellMar>
            <w:top w:w="0" w:type="dxa"/>
            <w:bottom w:w="0" w:type="dxa"/>
          </w:tblCellMar>
        </w:tblPrEx>
        <w:tc>
          <w:tcPr>
            <w:tcW w:w="2019" w:type="dxa"/>
          </w:tcPr>
          <w:p w:rsidR="000A4CE0" w:rsidRDefault="000A4CE0" w:rsidP="002E3C00">
            <w:pPr>
              <w:pStyle w:val="TableText"/>
            </w:pPr>
            <w:r>
              <w:t>PLATELETS</w:t>
            </w:r>
          </w:p>
        </w:tc>
        <w:tc>
          <w:tcPr>
            <w:tcW w:w="1689" w:type="dxa"/>
          </w:tcPr>
          <w:p w:rsidR="000A4CE0" w:rsidRDefault="000A4CE0" w:rsidP="002E3C00">
            <w:pPr>
              <w:pStyle w:val="TableText"/>
            </w:pPr>
          </w:p>
        </w:tc>
        <w:tc>
          <w:tcPr>
            <w:tcW w:w="1440" w:type="dxa"/>
          </w:tcPr>
          <w:p w:rsidR="000A4CE0" w:rsidRPr="009B35EA" w:rsidRDefault="000A4CE0" w:rsidP="002E3C00">
            <w:pPr>
              <w:pStyle w:val="TableText"/>
            </w:pPr>
          </w:p>
        </w:tc>
        <w:tc>
          <w:tcPr>
            <w:tcW w:w="1620" w:type="dxa"/>
          </w:tcPr>
          <w:p w:rsidR="000A4CE0" w:rsidRPr="009B35EA" w:rsidRDefault="000A4CE0" w:rsidP="002E3C00">
            <w:pPr>
              <w:pStyle w:val="TableText"/>
            </w:pPr>
          </w:p>
        </w:tc>
        <w:tc>
          <w:tcPr>
            <w:tcW w:w="1136" w:type="dxa"/>
          </w:tcPr>
          <w:p w:rsidR="000A4CE0" w:rsidRPr="009B35EA" w:rsidRDefault="000A4CE0" w:rsidP="002E3C00">
            <w:pPr>
              <w:pStyle w:val="TableText"/>
            </w:pPr>
          </w:p>
        </w:tc>
        <w:tc>
          <w:tcPr>
            <w:tcW w:w="1672" w:type="dxa"/>
          </w:tcPr>
          <w:p w:rsidR="000A4CE0" w:rsidRPr="009B35EA" w:rsidRDefault="000A4CE0" w:rsidP="002E3C00">
            <w:pPr>
              <w:pStyle w:val="TableText"/>
            </w:pPr>
          </w:p>
        </w:tc>
      </w:tr>
      <w:tr w:rsidR="000A4CE0" w:rsidRPr="009B35EA">
        <w:tblPrEx>
          <w:tblCellMar>
            <w:top w:w="0" w:type="dxa"/>
            <w:bottom w:w="0" w:type="dxa"/>
          </w:tblCellMar>
        </w:tblPrEx>
        <w:tc>
          <w:tcPr>
            <w:tcW w:w="2019" w:type="dxa"/>
          </w:tcPr>
          <w:p w:rsidR="000A4CE0" w:rsidRPr="009B35EA" w:rsidRDefault="000A4CE0" w:rsidP="002E3C00">
            <w:pPr>
              <w:pStyle w:val="TableText"/>
            </w:pPr>
            <w:r>
              <w:t>CRYOPRECIPITATE</w:t>
            </w:r>
          </w:p>
        </w:tc>
        <w:tc>
          <w:tcPr>
            <w:tcW w:w="1689" w:type="dxa"/>
          </w:tcPr>
          <w:p w:rsidR="000A4CE0" w:rsidRPr="009B35EA" w:rsidRDefault="000A4CE0" w:rsidP="002E3C00">
            <w:pPr>
              <w:pStyle w:val="TableText"/>
            </w:pPr>
          </w:p>
        </w:tc>
        <w:tc>
          <w:tcPr>
            <w:tcW w:w="1440" w:type="dxa"/>
          </w:tcPr>
          <w:p w:rsidR="000A4CE0" w:rsidRPr="009B35EA" w:rsidRDefault="000A4CE0" w:rsidP="002E3C00">
            <w:pPr>
              <w:pStyle w:val="TableText"/>
            </w:pPr>
          </w:p>
        </w:tc>
        <w:tc>
          <w:tcPr>
            <w:tcW w:w="1620" w:type="dxa"/>
          </w:tcPr>
          <w:p w:rsidR="000A4CE0" w:rsidRPr="009B35EA" w:rsidRDefault="000A4CE0" w:rsidP="002E3C00">
            <w:pPr>
              <w:pStyle w:val="TableText"/>
            </w:pPr>
          </w:p>
        </w:tc>
        <w:tc>
          <w:tcPr>
            <w:tcW w:w="1136" w:type="dxa"/>
          </w:tcPr>
          <w:p w:rsidR="000A4CE0" w:rsidRPr="009B35EA" w:rsidRDefault="000A4CE0" w:rsidP="002E3C00">
            <w:pPr>
              <w:pStyle w:val="TableText"/>
            </w:pPr>
          </w:p>
        </w:tc>
        <w:tc>
          <w:tcPr>
            <w:tcW w:w="1672" w:type="dxa"/>
          </w:tcPr>
          <w:p w:rsidR="000A4CE0" w:rsidRPr="009B35EA" w:rsidRDefault="000A4CE0" w:rsidP="002E3C00">
            <w:pPr>
              <w:pStyle w:val="TableText"/>
            </w:pPr>
          </w:p>
        </w:tc>
      </w:tr>
      <w:tr w:rsidR="000A4CE0" w:rsidRPr="009B35EA">
        <w:tblPrEx>
          <w:tblCellMar>
            <w:top w:w="0" w:type="dxa"/>
            <w:bottom w:w="0" w:type="dxa"/>
          </w:tblCellMar>
        </w:tblPrEx>
        <w:tc>
          <w:tcPr>
            <w:tcW w:w="2019" w:type="dxa"/>
          </w:tcPr>
          <w:p w:rsidR="000A4CE0" w:rsidRPr="009B35EA" w:rsidRDefault="000A4CE0" w:rsidP="002E3C00">
            <w:pPr>
              <w:pStyle w:val="TableText"/>
            </w:pPr>
            <w:r>
              <w:t>WHOLE BLOOD</w:t>
            </w:r>
          </w:p>
        </w:tc>
        <w:tc>
          <w:tcPr>
            <w:tcW w:w="1689" w:type="dxa"/>
          </w:tcPr>
          <w:p w:rsidR="000A4CE0" w:rsidRPr="009B35EA" w:rsidRDefault="000A4CE0" w:rsidP="002E3C00">
            <w:pPr>
              <w:pStyle w:val="TableText"/>
            </w:pPr>
            <w:r>
              <w:sym w:font="Wingdings" w:char="F0FC"/>
            </w:r>
            <w:r>
              <w:t xml:space="preserve"> (uneditable)</w:t>
            </w:r>
          </w:p>
        </w:tc>
        <w:tc>
          <w:tcPr>
            <w:tcW w:w="1440" w:type="dxa"/>
          </w:tcPr>
          <w:p w:rsidR="000A4CE0" w:rsidRPr="009B35EA" w:rsidRDefault="000A4CE0" w:rsidP="002E3C00">
            <w:pPr>
              <w:pStyle w:val="TableText"/>
            </w:pPr>
          </w:p>
        </w:tc>
        <w:tc>
          <w:tcPr>
            <w:tcW w:w="1620" w:type="dxa"/>
          </w:tcPr>
          <w:p w:rsidR="000A4CE0" w:rsidRPr="009B35EA" w:rsidRDefault="000A4CE0" w:rsidP="002E3C00">
            <w:pPr>
              <w:pStyle w:val="TableText"/>
            </w:pPr>
          </w:p>
        </w:tc>
        <w:tc>
          <w:tcPr>
            <w:tcW w:w="1136" w:type="dxa"/>
          </w:tcPr>
          <w:p w:rsidR="000A4CE0" w:rsidRPr="009B35EA" w:rsidRDefault="000A4CE0" w:rsidP="002E3C00">
            <w:pPr>
              <w:pStyle w:val="TableText"/>
            </w:pPr>
          </w:p>
        </w:tc>
        <w:tc>
          <w:tcPr>
            <w:tcW w:w="1672" w:type="dxa"/>
          </w:tcPr>
          <w:p w:rsidR="000A4CE0" w:rsidRPr="009B35EA" w:rsidRDefault="000A4CE0" w:rsidP="002E3C00">
            <w:pPr>
              <w:pStyle w:val="TableText"/>
            </w:pPr>
          </w:p>
        </w:tc>
      </w:tr>
      <w:tr w:rsidR="000A4CE0" w:rsidRPr="009B35EA">
        <w:tblPrEx>
          <w:tblCellMar>
            <w:top w:w="0" w:type="dxa"/>
            <w:bottom w:w="0" w:type="dxa"/>
          </w:tblCellMar>
        </w:tblPrEx>
        <w:tc>
          <w:tcPr>
            <w:tcW w:w="2019" w:type="dxa"/>
          </w:tcPr>
          <w:p w:rsidR="000A4CE0" w:rsidRPr="009B35EA" w:rsidRDefault="000A4CE0" w:rsidP="002E3C00">
            <w:pPr>
              <w:pStyle w:val="TableText"/>
            </w:pPr>
            <w:r>
              <w:t>OTHER</w:t>
            </w:r>
          </w:p>
        </w:tc>
        <w:tc>
          <w:tcPr>
            <w:tcW w:w="1689" w:type="dxa"/>
          </w:tcPr>
          <w:p w:rsidR="000A4CE0" w:rsidRPr="009B35EA" w:rsidRDefault="000A4CE0" w:rsidP="002E3C00">
            <w:pPr>
              <w:pStyle w:val="TableText"/>
            </w:pPr>
          </w:p>
        </w:tc>
        <w:tc>
          <w:tcPr>
            <w:tcW w:w="1440" w:type="dxa"/>
          </w:tcPr>
          <w:p w:rsidR="000A4CE0" w:rsidRPr="009B35EA" w:rsidRDefault="000A4CE0" w:rsidP="002E3C00">
            <w:pPr>
              <w:pStyle w:val="TableText"/>
            </w:pPr>
          </w:p>
        </w:tc>
        <w:tc>
          <w:tcPr>
            <w:tcW w:w="1620" w:type="dxa"/>
          </w:tcPr>
          <w:p w:rsidR="000A4CE0" w:rsidRPr="009B35EA" w:rsidRDefault="000A4CE0" w:rsidP="002E3C00">
            <w:pPr>
              <w:pStyle w:val="TableText"/>
            </w:pPr>
          </w:p>
        </w:tc>
        <w:tc>
          <w:tcPr>
            <w:tcW w:w="1136" w:type="dxa"/>
          </w:tcPr>
          <w:p w:rsidR="000A4CE0" w:rsidRPr="009B35EA" w:rsidRDefault="000A4CE0" w:rsidP="002E3C00">
            <w:pPr>
              <w:pStyle w:val="TableText"/>
            </w:pPr>
          </w:p>
        </w:tc>
        <w:tc>
          <w:tcPr>
            <w:tcW w:w="1672" w:type="dxa"/>
          </w:tcPr>
          <w:p w:rsidR="000A4CE0" w:rsidRPr="009B35EA" w:rsidRDefault="000A4CE0" w:rsidP="002E3C00">
            <w:pPr>
              <w:pStyle w:val="TableText"/>
            </w:pPr>
          </w:p>
        </w:tc>
      </w:tr>
    </w:tbl>
    <w:p w:rsidR="003E754E" w:rsidRDefault="003E754E" w:rsidP="002E3C00">
      <w:pPr>
        <w:pStyle w:val="Heading3"/>
      </w:pPr>
      <w:bookmarkStart w:id="749" w:name="_Toc85895791"/>
      <w:bookmarkStart w:id="750" w:name="_Toc113264249"/>
      <w:bookmarkStart w:id="751" w:name="_Toc85895792"/>
      <w:bookmarkStart w:id="752" w:name="_Toc113264250"/>
      <w:bookmarkStart w:id="753" w:name="_Toc114462104"/>
    </w:p>
    <w:p w:rsidR="002E3C00" w:rsidRDefault="003E754E" w:rsidP="002E3C00">
      <w:pPr>
        <w:pStyle w:val="Heading3"/>
      </w:pPr>
      <w:r>
        <w:br w:type="page"/>
      </w:r>
      <w:bookmarkStart w:id="754" w:name="_Toc459900229"/>
      <w:r w:rsidR="002E3C00" w:rsidRPr="008F671D">
        <w:lastRenderedPageBreak/>
        <w:t>Transfusion Complication</w:t>
      </w:r>
      <w:bookmarkEnd w:id="751"/>
      <w:bookmarkEnd w:id="752"/>
      <w:r w:rsidR="002E3C00" w:rsidRPr="008F671D">
        <w:t>s</w:t>
      </w:r>
      <w:bookmarkEnd w:id="753"/>
      <w:bookmarkEnd w:id="754"/>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Transfusion Complications</w:instrText>
      </w:r>
      <w:r w:rsidR="00992E88">
        <w:instrText xml:space="preserve">" </w:instrText>
      </w:r>
      <w:r w:rsidR="00992E88">
        <w:fldChar w:fldCharType="end"/>
      </w:r>
    </w:p>
    <w:p w:rsidR="002E3C00" w:rsidRPr="00CA68EE" w:rsidRDefault="002E3C00" w:rsidP="00E10142">
      <w:pPr>
        <w:pStyle w:val="BodyText"/>
      </w:pPr>
      <w:r>
        <w:t>The user defines Laboratory tests and threshold values used to generate a report listing patients transfused within a specified period who may have developed a transfusion-associated disease.</w:t>
      </w:r>
    </w:p>
    <w:p w:rsidR="002E3C00" w:rsidRDefault="002E3C00" w:rsidP="002E3C00">
      <w:pPr>
        <w:pStyle w:val="Heading4"/>
        <w:rPr>
          <w:b w:val="0"/>
        </w:rPr>
      </w:pPr>
      <w:r>
        <w:t>User Roles with Access to This Option</w:t>
      </w:r>
      <w:r>
        <w:rPr>
          <w:b w:val="0"/>
        </w:rPr>
        <w:t xml:space="preserve"> </w:t>
      </w:r>
    </w:p>
    <w:p w:rsidR="002E3C00" w:rsidRPr="00404CAF" w:rsidRDefault="002E3C00" w:rsidP="002E3C00">
      <w:pPr>
        <w:pStyle w:val="Roles"/>
        <w:rPr>
          <w:i/>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rsidR="002E3C00" w:rsidRDefault="00B74754" w:rsidP="002E3C00">
      <w:pPr>
        <w:pStyle w:val="Heading4"/>
      </w:pPr>
      <w:r>
        <w:t>Preparation for Testing</w:t>
      </w:r>
    </w:p>
    <w:p w:rsidR="00061FCF" w:rsidRPr="00600497" w:rsidRDefault="00061FCF" w:rsidP="002F6D7B">
      <w:pPr>
        <w:pStyle w:val="ListNumber"/>
        <w:numPr>
          <w:ilvl w:val="0"/>
          <w:numId w:val="30"/>
        </w:numPr>
        <w:tabs>
          <w:tab w:val="clear" w:pos="720"/>
          <w:tab w:val="num" w:pos="360"/>
        </w:tabs>
        <w:ind w:left="360"/>
      </w:pPr>
      <w:r>
        <w:t>Use t</w:t>
      </w:r>
      <w:r w:rsidRPr="00600497">
        <w:t>he sample worksheet to record information.</w:t>
      </w:r>
    </w:p>
    <w:p w:rsidR="002E3C00" w:rsidRPr="00600497" w:rsidRDefault="002E3C00" w:rsidP="002F6D7B">
      <w:pPr>
        <w:pStyle w:val="ListNumber"/>
        <w:numPr>
          <w:ilvl w:val="0"/>
          <w:numId w:val="30"/>
        </w:numPr>
        <w:tabs>
          <w:tab w:val="clear" w:pos="720"/>
          <w:tab w:val="num" w:pos="360"/>
        </w:tabs>
        <w:ind w:left="360"/>
      </w:pPr>
      <w:r w:rsidRPr="00600497">
        <w:t>Capture and save a screen shot of all entries.</w:t>
      </w:r>
    </w:p>
    <w:p w:rsidR="00232E43" w:rsidRPr="00FB7F8D" w:rsidRDefault="00232E43" w:rsidP="002F6D7B">
      <w:pPr>
        <w:pStyle w:val="ListNumber"/>
        <w:numPr>
          <w:ilvl w:val="0"/>
          <w:numId w:val="30"/>
        </w:numPr>
        <w:tabs>
          <w:tab w:val="clear" w:pos="720"/>
          <w:tab w:val="num" w:pos="360"/>
        </w:tabs>
        <w:ind w:left="360"/>
      </w:pPr>
      <w:r w:rsidRPr="00600497">
        <w:t xml:space="preserve">Print, </w:t>
      </w:r>
      <w:r>
        <w:t>sign, date,</w:t>
      </w:r>
      <w:r w:rsidRPr="00FB7F8D">
        <w:t xml:space="preserve"> and save an </w:t>
      </w:r>
      <w:r>
        <w:t>A</w:t>
      </w:r>
      <w:r w:rsidRPr="00FB7F8D">
        <w:t xml:space="preserve">udit </w:t>
      </w:r>
      <w:r>
        <w:t>Trail R</w:t>
      </w:r>
      <w:r w:rsidRPr="00FB7F8D">
        <w:t>eport for your validation record.</w:t>
      </w:r>
    </w:p>
    <w:p w:rsidR="00061FCF" w:rsidRDefault="00061FCF" w:rsidP="00061FCF">
      <w:pPr>
        <w:pStyle w:val="Caption"/>
        <w:rPr>
          <w:sz w:val="15"/>
          <w:szCs w:val="15"/>
        </w:rPr>
      </w:pPr>
      <w:bookmarkStart w:id="755" w:name="_Toc114462105"/>
      <w:r>
        <w:t xml:space="preserve">Table </w:t>
      </w:r>
      <w:r>
        <w:fldChar w:fldCharType="begin"/>
      </w:r>
      <w:r>
        <w:instrText xml:space="preserve"> SEQ Table \* ARABIC </w:instrText>
      </w:r>
      <w:r>
        <w:fldChar w:fldCharType="separate"/>
      </w:r>
      <w:r w:rsidR="005F38BC">
        <w:rPr>
          <w:noProof/>
        </w:rPr>
        <w:t>35</w:t>
      </w:r>
      <w:r>
        <w:fldChar w:fldCharType="end"/>
      </w:r>
      <w:r>
        <w:t>: Transfusion Complications Worksheet</w:t>
      </w:r>
      <w:r w:rsidR="00AD60CF">
        <w:fldChar w:fldCharType="begin"/>
      </w:r>
      <w:r w:rsidR="00292A7B">
        <w:instrText xml:space="preserve"> XE "Tables:</w:instrText>
      </w:r>
      <w:r w:rsidR="00AD60CF" w:rsidRPr="0046419F">
        <w:instrText>Transfusion Complications Worksheet</w:instrText>
      </w:r>
      <w:r w:rsidR="00AD60CF">
        <w:instrText xml:space="preserve">" </w:instrText>
      </w:r>
      <w:r w:rsidR="00AD60CF">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0"/>
        <w:gridCol w:w="3120"/>
        <w:gridCol w:w="3120"/>
      </w:tblGrid>
      <w:tr w:rsidR="001A5A46" w:rsidRPr="007121BA">
        <w:tblPrEx>
          <w:tblCellMar>
            <w:top w:w="0" w:type="dxa"/>
            <w:bottom w:w="0" w:type="dxa"/>
          </w:tblCellMar>
        </w:tblPrEx>
        <w:trPr>
          <w:tblHeader/>
        </w:trPr>
        <w:tc>
          <w:tcPr>
            <w:tcW w:w="2088" w:type="dxa"/>
            <w:shd w:val="clear" w:color="auto" w:fill="B3B3B3"/>
            <w:vAlign w:val="bottom"/>
          </w:tcPr>
          <w:p w:rsidR="001A5A46" w:rsidRPr="007121BA" w:rsidRDefault="001A5A46" w:rsidP="005129E1">
            <w:pPr>
              <w:pStyle w:val="TableText"/>
              <w:rPr>
                <w:b/>
              </w:rPr>
            </w:pPr>
            <w:r>
              <w:rPr>
                <w:b/>
              </w:rPr>
              <w:t>Laboratory Test Name</w:t>
            </w:r>
          </w:p>
        </w:tc>
        <w:tc>
          <w:tcPr>
            <w:tcW w:w="2088" w:type="dxa"/>
            <w:shd w:val="clear" w:color="auto" w:fill="B3B3B3"/>
            <w:vAlign w:val="bottom"/>
          </w:tcPr>
          <w:p w:rsidR="001A5A46" w:rsidRPr="007121BA" w:rsidRDefault="001A5A46" w:rsidP="005129E1">
            <w:pPr>
              <w:pStyle w:val="TableText"/>
              <w:rPr>
                <w:b/>
              </w:rPr>
            </w:pPr>
            <w:r>
              <w:rPr>
                <w:b/>
              </w:rPr>
              <w:t>Specimen Type</w:t>
            </w:r>
          </w:p>
        </w:tc>
        <w:tc>
          <w:tcPr>
            <w:tcW w:w="2088" w:type="dxa"/>
            <w:shd w:val="clear" w:color="auto" w:fill="B3B3B3"/>
            <w:vAlign w:val="bottom"/>
          </w:tcPr>
          <w:p w:rsidR="001A5A46" w:rsidRPr="007121BA" w:rsidRDefault="001A5A46" w:rsidP="005129E1">
            <w:pPr>
              <w:pStyle w:val="TableText"/>
              <w:rPr>
                <w:b/>
              </w:rPr>
            </w:pPr>
            <w:r>
              <w:rPr>
                <w:b/>
              </w:rPr>
              <w:t>Threshold Result</w:t>
            </w:r>
          </w:p>
        </w:tc>
      </w:tr>
      <w:tr w:rsidR="001A5A46" w:rsidRPr="009B35EA">
        <w:tblPrEx>
          <w:tblCellMar>
            <w:top w:w="0" w:type="dxa"/>
            <w:bottom w:w="0" w:type="dxa"/>
          </w:tblCellMar>
        </w:tblPrEx>
        <w:tc>
          <w:tcPr>
            <w:tcW w:w="2088" w:type="dxa"/>
          </w:tcPr>
          <w:p w:rsidR="001A5A46" w:rsidRPr="009B35EA" w:rsidRDefault="001A5A46" w:rsidP="005129E1">
            <w:pPr>
              <w:pStyle w:val="TableText"/>
            </w:pPr>
          </w:p>
        </w:tc>
        <w:tc>
          <w:tcPr>
            <w:tcW w:w="2088" w:type="dxa"/>
          </w:tcPr>
          <w:p w:rsidR="001A5A46" w:rsidRPr="009B35EA" w:rsidRDefault="001A5A46" w:rsidP="005129E1">
            <w:pPr>
              <w:pStyle w:val="TableText"/>
            </w:pPr>
          </w:p>
        </w:tc>
        <w:tc>
          <w:tcPr>
            <w:tcW w:w="2088" w:type="dxa"/>
          </w:tcPr>
          <w:p w:rsidR="001A5A46" w:rsidRPr="009B35EA" w:rsidRDefault="001A5A46" w:rsidP="005129E1">
            <w:pPr>
              <w:pStyle w:val="TableText"/>
            </w:pPr>
          </w:p>
        </w:tc>
      </w:tr>
      <w:tr w:rsidR="001A5A46" w:rsidRPr="009B35EA">
        <w:tblPrEx>
          <w:tblCellMar>
            <w:top w:w="0" w:type="dxa"/>
            <w:bottom w:w="0" w:type="dxa"/>
          </w:tblCellMar>
        </w:tblPrEx>
        <w:tc>
          <w:tcPr>
            <w:tcW w:w="2088" w:type="dxa"/>
          </w:tcPr>
          <w:p w:rsidR="001A5A46" w:rsidRPr="009B35EA" w:rsidRDefault="001A5A46" w:rsidP="005129E1">
            <w:pPr>
              <w:pStyle w:val="TableText"/>
            </w:pPr>
          </w:p>
        </w:tc>
        <w:tc>
          <w:tcPr>
            <w:tcW w:w="2088" w:type="dxa"/>
          </w:tcPr>
          <w:p w:rsidR="001A5A46" w:rsidRPr="009B35EA" w:rsidRDefault="001A5A46" w:rsidP="005129E1">
            <w:pPr>
              <w:pStyle w:val="TableText"/>
            </w:pPr>
          </w:p>
        </w:tc>
        <w:tc>
          <w:tcPr>
            <w:tcW w:w="2088" w:type="dxa"/>
          </w:tcPr>
          <w:p w:rsidR="001A5A46" w:rsidRPr="009B35EA" w:rsidRDefault="001A5A46" w:rsidP="005129E1">
            <w:pPr>
              <w:pStyle w:val="TableText"/>
            </w:pPr>
          </w:p>
        </w:tc>
      </w:tr>
      <w:tr w:rsidR="001A5A46" w:rsidRPr="009B35EA">
        <w:tblPrEx>
          <w:tblCellMar>
            <w:top w:w="0" w:type="dxa"/>
            <w:bottom w:w="0" w:type="dxa"/>
          </w:tblCellMar>
        </w:tblPrEx>
        <w:tc>
          <w:tcPr>
            <w:tcW w:w="2088" w:type="dxa"/>
          </w:tcPr>
          <w:p w:rsidR="001A5A46" w:rsidRPr="009B35EA" w:rsidRDefault="001A5A46" w:rsidP="005129E1">
            <w:pPr>
              <w:pStyle w:val="TableText"/>
            </w:pPr>
          </w:p>
        </w:tc>
        <w:tc>
          <w:tcPr>
            <w:tcW w:w="2088" w:type="dxa"/>
          </w:tcPr>
          <w:p w:rsidR="001A5A46" w:rsidRPr="009B35EA" w:rsidRDefault="001A5A46" w:rsidP="005129E1">
            <w:pPr>
              <w:pStyle w:val="TableText"/>
            </w:pPr>
          </w:p>
        </w:tc>
        <w:tc>
          <w:tcPr>
            <w:tcW w:w="2088" w:type="dxa"/>
          </w:tcPr>
          <w:p w:rsidR="001A5A46" w:rsidRPr="009B35EA" w:rsidRDefault="001A5A46" w:rsidP="005129E1">
            <w:pPr>
              <w:pStyle w:val="TableText"/>
            </w:pPr>
          </w:p>
        </w:tc>
      </w:tr>
      <w:tr w:rsidR="001A5A46" w:rsidRPr="009B35EA">
        <w:tblPrEx>
          <w:tblCellMar>
            <w:top w:w="0" w:type="dxa"/>
            <w:bottom w:w="0" w:type="dxa"/>
          </w:tblCellMar>
        </w:tblPrEx>
        <w:tc>
          <w:tcPr>
            <w:tcW w:w="2088" w:type="dxa"/>
          </w:tcPr>
          <w:p w:rsidR="001A5A46" w:rsidRPr="009B35EA" w:rsidRDefault="001A5A46" w:rsidP="005129E1">
            <w:pPr>
              <w:pStyle w:val="TableText"/>
            </w:pPr>
          </w:p>
        </w:tc>
        <w:tc>
          <w:tcPr>
            <w:tcW w:w="2088" w:type="dxa"/>
          </w:tcPr>
          <w:p w:rsidR="001A5A46" w:rsidRPr="009B35EA" w:rsidRDefault="001A5A46" w:rsidP="005129E1">
            <w:pPr>
              <w:pStyle w:val="TableText"/>
            </w:pPr>
          </w:p>
        </w:tc>
        <w:tc>
          <w:tcPr>
            <w:tcW w:w="2088" w:type="dxa"/>
          </w:tcPr>
          <w:p w:rsidR="001A5A46" w:rsidRPr="009B35EA" w:rsidRDefault="001A5A46" w:rsidP="005129E1">
            <w:pPr>
              <w:pStyle w:val="TableText"/>
            </w:pPr>
          </w:p>
        </w:tc>
      </w:tr>
      <w:tr w:rsidR="001A5A46" w:rsidRPr="009B35EA">
        <w:tblPrEx>
          <w:tblCellMar>
            <w:top w:w="0" w:type="dxa"/>
            <w:bottom w:w="0" w:type="dxa"/>
          </w:tblCellMar>
        </w:tblPrEx>
        <w:tc>
          <w:tcPr>
            <w:tcW w:w="2088" w:type="dxa"/>
          </w:tcPr>
          <w:p w:rsidR="001A5A46" w:rsidRPr="009B35EA" w:rsidRDefault="001A5A46" w:rsidP="005129E1">
            <w:pPr>
              <w:pStyle w:val="TableText"/>
            </w:pPr>
          </w:p>
        </w:tc>
        <w:tc>
          <w:tcPr>
            <w:tcW w:w="2088" w:type="dxa"/>
          </w:tcPr>
          <w:p w:rsidR="001A5A46" w:rsidRPr="009B35EA" w:rsidRDefault="001A5A46" w:rsidP="005129E1">
            <w:pPr>
              <w:pStyle w:val="TableText"/>
            </w:pPr>
          </w:p>
        </w:tc>
        <w:tc>
          <w:tcPr>
            <w:tcW w:w="2088" w:type="dxa"/>
          </w:tcPr>
          <w:p w:rsidR="001A5A46" w:rsidRPr="009B35EA" w:rsidRDefault="001A5A46" w:rsidP="005129E1">
            <w:pPr>
              <w:pStyle w:val="TableText"/>
            </w:pPr>
          </w:p>
        </w:tc>
      </w:tr>
      <w:tr w:rsidR="001A5A46" w:rsidRPr="009B35EA">
        <w:tblPrEx>
          <w:tblCellMar>
            <w:top w:w="0" w:type="dxa"/>
            <w:bottom w:w="0" w:type="dxa"/>
          </w:tblCellMar>
        </w:tblPrEx>
        <w:tc>
          <w:tcPr>
            <w:tcW w:w="2088" w:type="dxa"/>
          </w:tcPr>
          <w:p w:rsidR="001A5A46" w:rsidRPr="009B35EA" w:rsidRDefault="001A5A46" w:rsidP="005129E1">
            <w:pPr>
              <w:pStyle w:val="TableText"/>
            </w:pPr>
          </w:p>
        </w:tc>
        <w:tc>
          <w:tcPr>
            <w:tcW w:w="2088" w:type="dxa"/>
          </w:tcPr>
          <w:p w:rsidR="001A5A46" w:rsidRPr="009B35EA" w:rsidRDefault="001A5A46" w:rsidP="005129E1">
            <w:pPr>
              <w:pStyle w:val="TableText"/>
            </w:pPr>
          </w:p>
        </w:tc>
        <w:tc>
          <w:tcPr>
            <w:tcW w:w="2088" w:type="dxa"/>
          </w:tcPr>
          <w:p w:rsidR="001A5A46" w:rsidRPr="009B35EA" w:rsidRDefault="001A5A46" w:rsidP="005129E1">
            <w:pPr>
              <w:pStyle w:val="TableText"/>
            </w:pPr>
          </w:p>
        </w:tc>
      </w:tr>
    </w:tbl>
    <w:p w:rsidR="007F0132" w:rsidRDefault="007F0132" w:rsidP="005129E1">
      <w:pPr>
        <w:pStyle w:val="Heading3"/>
      </w:pPr>
    </w:p>
    <w:p w:rsidR="002E3C00" w:rsidRDefault="007F0132" w:rsidP="005129E1">
      <w:pPr>
        <w:pStyle w:val="Heading3"/>
      </w:pPr>
      <w:r>
        <w:br w:type="page"/>
      </w:r>
      <w:bookmarkStart w:id="756" w:name="_Toc459900230"/>
      <w:r w:rsidR="002E3C00" w:rsidRPr="008F671D">
        <w:lastRenderedPageBreak/>
        <w:t xml:space="preserve">Transfusion </w:t>
      </w:r>
      <w:bookmarkEnd w:id="749"/>
      <w:r w:rsidR="002E3C00" w:rsidRPr="008F671D">
        <w:t>Effectiveness</w:t>
      </w:r>
      <w:bookmarkEnd w:id="750"/>
      <w:bookmarkEnd w:id="755"/>
      <w:bookmarkEnd w:id="756"/>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Transfusion Effectiveness</w:instrText>
      </w:r>
      <w:r w:rsidR="00992E88">
        <w:instrText xml:space="preserve">" </w:instrText>
      </w:r>
      <w:r w:rsidR="00992E88">
        <w:fldChar w:fldCharType="end"/>
      </w:r>
    </w:p>
    <w:p w:rsidR="002E3C00" w:rsidRPr="00BA1922" w:rsidRDefault="002E3C00" w:rsidP="002E3C00">
      <w:pPr>
        <w:pStyle w:val="BodyText"/>
      </w:pPr>
      <w:r>
        <w:t xml:space="preserve">The user defines Laboratory tests to monitor the effectiveness of transfusions. </w:t>
      </w:r>
    </w:p>
    <w:p w:rsidR="002E3C00" w:rsidRDefault="002E3C00" w:rsidP="002E3C00">
      <w:pPr>
        <w:pStyle w:val="Heading4"/>
        <w:rPr>
          <w:b w:val="0"/>
        </w:rPr>
      </w:pPr>
      <w:r>
        <w:t>User Roles with Access to This Option</w:t>
      </w:r>
      <w:r>
        <w:rPr>
          <w:b w:val="0"/>
        </w:rPr>
        <w:t xml:space="preserve"> </w:t>
      </w:r>
    </w:p>
    <w:p w:rsidR="002E3C00" w:rsidRDefault="002E3C00" w:rsidP="002E3C00">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r w:rsidRPr="00FD030D">
        <w:t xml:space="preserve"> </w:t>
      </w:r>
    </w:p>
    <w:p w:rsidR="002E3C00" w:rsidRDefault="00B74754" w:rsidP="002E3C00">
      <w:pPr>
        <w:pStyle w:val="Heading4"/>
      </w:pPr>
      <w:r>
        <w:t>Preparation for Testing</w:t>
      </w:r>
    </w:p>
    <w:p w:rsidR="005243DA" w:rsidRPr="00600497" w:rsidRDefault="005243DA" w:rsidP="002F6D7B">
      <w:pPr>
        <w:pStyle w:val="ListNumber"/>
        <w:numPr>
          <w:ilvl w:val="0"/>
          <w:numId w:val="31"/>
        </w:numPr>
        <w:tabs>
          <w:tab w:val="clear" w:pos="720"/>
          <w:tab w:val="num" w:pos="360"/>
        </w:tabs>
        <w:ind w:left="360"/>
      </w:pPr>
      <w:bookmarkStart w:id="757" w:name="_Toc85895793"/>
      <w:bookmarkStart w:id="758" w:name="_Toc113264251"/>
      <w:r>
        <w:t>Use the sa</w:t>
      </w:r>
      <w:r w:rsidRPr="00600497">
        <w:t>mple worksheet to record information.</w:t>
      </w:r>
    </w:p>
    <w:p w:rsidR="002E3C00" w:rsidRPr="00600497" w:rsidRDefault="002E3C00" w:rsidP="002F6D7B">
      <w:pPr>
        <w:pStyle w:val="ListNumber"/>
        <w:numPr>
          <w:ilvl w:val="0"/>
          <w:numId w:val="31"/>
        </w:numPr>
        <w:tabs>
          <w:tab w:val="clear" w:pos="720"/>
          <w:tab w:val="num" w:pos="360"/>
        </w:tabs>
        <w:ind w:left="360"/>
      </w:pPr>
      <w:r w:rsidRPr="00600497">
        <w:t>Capture and save a screen shot of all entries.</w:t>
      </w:r>
    </w:p>
    <w:p w:rsidR="00232E43" w:rsidRPr="00FB7F8D" w:rsidRDefault="00232E43" w:rsidP="002F6D7B">
      <w:pPr>
        <w:pStyle w:val="ListNumber"/>
        <w:numPr>
          <w:ilvl w:val="0"/>
          <w:numId w:val="31"/>
        </w:numPr>
        <w:tabs>
          <w:tab w:val="clear" w:pos="720"/>
          <w:tab w:val="num" w:pos="360"/>
        </w:tabs>
        <w:ind w:left="360"/>
      </w:pPr>
      <w:r w:rsidRPr="00600497">
        <w:t>Print, si</w:t>
      </w:r>
      <w:r>
        <w:t>gn, date,</w:t>
      </w:r>
      <w:r w:rsidRPr="00FB7F8D">
        <w:t xml:space="preserve"> and save an </w:t>
      </w:r>
      <w:r>
        <w:t>A</w:t>
      </w:r>
      <w:r w:rsidRPr="00FB7F8D">
        <w:t xml:space="preserve">udit </w:t>
      </w:r>
      <w:r>
        <w:t>Trail R</w:t>
      </w:r>
      <w:r w:rsidRPr="00FB7F8D">
        <w:t>eport for your validation record.</w:t>
      </w:r>
    </w:p>
    <w:p w:rsidR="00061FCF" w:rsidRDefault="00061FCF" w:rsidP="00061FCF">
      <w:pPr>
        <w:pStyle w:val="Caption"/>
      </w:pPr>
      <w:bookmarkStart w:id="759" w:name="_Toc114462106"/>
      <w:r>
        <w:t xml:space="preserve">Table </w:t>
      </w:r>
      <w:r>
        <w:fldChar w:fldCharType="begin"/>
      </w:r>
      <w:r>
        <w:instrText xml:space="preserve"> SEQ Table \* ARABIC </w:instrText>
      </w:r>
      <w:r>
        <w:fldChar w:fldCharType="separate"/>
      </w:r>
      <w:r w:rsidR="005F38BC">
        <w:rPr>
          <w:noProof/>
        </w:rPr>
        <w:t>36</w:t>
      </w:r>
      <w:r>
        <w:fldChar w:fldCharType="end"/>
      </w:r>
      <w:r>
        <w:t>: Transfusion Effectiveness Worksheet</w:t>
      </w:r>
      <w:r w:rsidR="00AD60CF">
        <w:fldChar w:fldCharType="begin"/>
      </w:r>
      <w:r w:rsidR="00292A7B">
        <w:instrText xml:space="preserve"> XE "Tables:</w:instrText>
      </w:r>
      <w:r w:rsidR="00AD60CF" w:rsidRPr="0046419F">
        <w:instrText>Transfusion Effectiveness Worksheet</w:instrText>
      </w:r>
      <w:r w:rsidR="00AD60CF">
        <w:instrText xml:space="preserve">" </w:instrText>
      </w:r>
      <w:r w:rsidR="00AD60CF">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0"/>
        <w:gridCol w:w="3120"/>
        <w:gridCol w:w="3120"/>
      </w:tblGrid>
      <w:tr w:rsidR="003D7F63" w:rsidRPr="007121BA">
        <w:tblPrEx>
          <w:tblCellMar>
            <w:top w:w="0" w:type="dxa"/>
            <w:bottom w:w="0" w:type="dxa"/>
          </w:tblCellMar>
        </w:tblPrEx>
        <w:trPr>
          <w:tblHeader/>
        </w:trPr>
        <w:tc>
          <w:tcPr>
            <w:tcW w:w="2088" w:type="dxa"/>
            <w:shd w:val="clear" w:color="auto" w:fill="B3B3B3"/>
            <w:vAlign w:val="bottom"/>
          </w:tcPr>
          <w:p w:rsidR="003D7F63" w:rsidRPr="007121BA" w:rsidRDefault="003D7F63" w:rsidP="005129E1">
            <w:pPr>
              <w:pStyle w:val="TableText"/>
              <w:rPr>
                <w:b/>
              </w:rPr>
            </w:pPr>
            <w:r>
              <w:rPr>
                <w:b/>
              </w:rPr>
              <w:t>Laboratory Test Name</w:t>
            </w:r>
          </w:p>
        </w:tc>
        <w:tc>
          <w:tcPr>
            <w:tcW w:w="2088" w:type="dxa"/>
            <w:shd w:val="clear" w:color="auto" w:fill="B3B3B3"/>
            <w:vAlign w:val="bottom"/>
          </w:tcPr>
          <w:p w:rsidR="003D7F63" w:rsidRPr="007121BA" w:rsidRDefault="003D7F63" w:rsidP="005129E1">
            <w:pPr>
              <w:pStyle w:val="TableText"/>
              <w:rPr>
                <w:b/>
              </w:rPr>
            </w:pPr>
            <w:r>
              <w:rPr>
                <w:b/>
              </w:rPr>
              <w:t>Specimen Type</w:t>
            </w:r>
          </w:p>
        </w:tc>
        <w:tc>
          <w:tcPr>
            <w:tcW w:w="2088" w:type="dxa"/>
            <w:shd w:val="clear" w:color="auto" w:fill="B3B3B3"/>
            <w:vAlign w:val="bottom"/>
          </w:tcPr>
          <w:p w:rsidR="003D7F63" w:rsidRPr="007121BA" w:rsidRDefault="003D7F63" w:rsidP="005129E1">
            <w:pPr>
              <w:pStyle w:val="TableText"/>
              <w:rPr>
                <w:b/>
              </w:rPr>
            </w:pPr>
            <w:r>
              <w:rPr>
                <w:b/>
              </w:rPr>
              <w:t>Threshold Result</w:t>
            </w:r>
          </w:p>
        </w:tc>
      </w:tr>
      <w:tr w:rsidR="003D7F63" w:rsidRPr="009B35EA">
        <w:tblPrEx>
          <w:tblCellMar>
            <w:top w:w="0" w:type="dxa"/>
            <w:bottom w:w="0" w:type="dxa"/>
          </w:tblCellMar>
        </w:tblPrEx>
        <w:tc>
          <w:tcPr>
            <w:tcW w:w="2088" w:type="dxa"/>
          </w:tcPr>
          <w:p w:rsidR="003D7F63" w:rsidRPr="009B35EA" w:rsidRDefault="003D7F63" w:rsidP="005129E1">
            <w:pPr>
              <w:pStyle w:val="TableText"/>
            </w:pPr>
          </w:p>
        </w:tc>
        <w:tc>
          <w:tcPr>
            <w:tcW w:w="2088" w:type="dxa"/>
          </w:tcPr>
          <w:p w:rsidR="003D7F63" w:rsidRPr="009B35EA" w:rsidRDefault="003D7F63" w:rsidP="005129E1">
            <w:pPr>
              <w:pStyle w:val="TableText"/>
            </w:pPr>
          </w:p>
        </w:tc>
        <w:tc>
          <w:tcPr>
            <w:tcW w:w="2088" w:type="dxa"/>
          </w:tcPr>
          <w:p w:rsidR="003D7F63" w:rsidRPr="009B35EA" w:rsidRDefault="003D7F63" w:rsidP="005129E1">
            <w:pPr>
              <w:pStyle w:val="TableText"/>
            </w:pPr>
          </w:p>
        </w:tc>
      </w:tr>
      <w:tr w:rsidR="003D7F63" w:rsidRPr="009B35EA">
        <w:tblPrEx>
          <w:tblCellMar>
            <w:top w:w="0" w:type="dxa"/>
            <w:bottom w:w="0" w:type="dxa"/>
          </w:tblCellMar>
        </w:tblPrEx>
        <w:tc>
          <w:tcPr>
            <w:tcW w:w="2088" w:type="dxa"/>
          </w:tcPr>
          <w:p w:rsidR="003D7F63" w:rsidRPr="009B35EA" w:rsidRDefault="003D7F63" w:rsidP="005129E1">
            <w:pPr>
              <w:pStyle w:val="TableText"/>
            </w:pPr>
          </w:p>
        </w:tc>
        <w:tc>
          <w:tcPr>
            <w:tcW w:w="2088" w:type="dxa"/>
          </w:tcPr>
          <w:p w:rsidR="003D7F63" w:rsidRPr="009B35EA" w:rsidRDefault="003D7F63" w:rsidP="005129E1">
            <w:pPr>
              <w:pStyle w:val="TableText"/>
            </w:pPr>
          </w:p>
        </w:tc>
        <w:tc>
          <w:tcPr>
            <w:tcW w:w="2088" w:type="dxa"/>
          </w:tcPr>
          <w:p w:rsidR="003D7F63" w:rsidRPr="009B35EA" w:rsidRDefault="003D7F63" w:rsidP="005129E1">
            <w:pPr>
              <w:pStyle w:val="TableText"/>
            </w:pPr>
          </w:p>
        </w:tc>
      </w:tr>
      <w:tr w:rsidR="003D7F63" w:rsidRPr="009B35EA">
        <w:tblPrEx>
          <w:tblCellMar>
            <w:top w:w="0" w:type="dxa"/>
            <w:bottom w:w="0" w:type="dxa"/>
          </w:tblCellMar>
        </w:tblPrEx>
        <w:tc>
          <w:tcPr>
            <w:tcW w:w="2088" w:type="dxa"/>
          </w:tcPr>
          <w:p w:rsidR="003D7F63" w:rsidRPr="009B35EA" w:rsidRDefault="003D7F63" w:rsidP="005129E1">
            <w:pPr>
              <w:pStyle w:val="TableText"/>
            </w:pPr>
          </w:p>
        </w:tc>
        <w:tc>
          <w:tcPr>
            <w:tcW w:w="2088" w:type="dxa"/>
          </w:tcPr>
          <w:p w:rsidR="003D7F63" w:rsidRPr="009B35EA" w:rsidRDefault="003D7F63" w:rsidP="005129E1">
            <w:pPr>
              <w:pStyle w:val="TableText"/>
            </w:pPr>
          </w:p>
        </w:tc>
        <w:tc>
          <w:tcPr>
            <w:tcW w:w="2088" w:type="dxa"/>
          </w:tcPr>
          <w:p w:rsidR="003D7F63" w:rsidRPr="009B35EA" w:rsidRDefault="003D7F63" w:rsidP="005129E1">
            <w:pPr>
              <w:pStyle w:val="TableText"/>
            </w:pPr>
          </w:p>
        </w:tc>
      </w:tr>
      <w:tr w:rsidR="003D7F63" w:rsidRPr="009B35EA">
        <w:tblPrEx>
          <w:tblCellMar>
            <w:top w:w="0" w:type="dxa"/>
            <w:bottom w:w="0" w:type="dxa"/>
          </w:tblCellMar>
        </w:tblPrEx>
        <w:tc>
          <w:tcPr>
            <w:tcW w:w="2088" w:type="dxa"/>
          </w:tcPr>
          <w:p w:rsidR="003D7F63" w:rsidRPr="009B35EA" w:rsidRDefault="003D7F63" w:rsidP="005129E1">
            <w:pPr>
              <w:pStyle w:val="TableText"/>
            </w:pPr>
          </w:p>
        </w:tc>
        <w:tc>
          <w:tcPr>
            <w:tcW w:w="2088" w:type="dxa"/>
          </w:tcPr>
          <w:p w:rsidR="003D7F63" w:rsidRPr="009B35EA" w:rsidRDefault="003D7F63" w:rsidP="005129E1">
            <w:pPr>
              <w:pStyle w:val="TableText"/>
            </w:pPr>
          </w:p>
        </w:tc>
        <w:tc>
          <w:tcPr>
            <w:tcW w:w="2088" w:type="dxa"/>
          </w:tcPr>
          <w:p w:rsidR="003D7F63" w:rsidRPr="009B35EA" w:rsidRDefault="003D7F63" w:rsidP="005129E1">
            <w:pPr>
              <w:pStyle w:val="TableText"/>
            </w:pPr>
          </w:p>
        </w:tc>
      </w:tr>
      <w:tr w:rsidR="003D7F63" w:rsidRPr="009B35EA">
        <w:tblPrEx>
          <w:tblCellMar>
            <w:top w:w="0" w:type="dxa"/>
            <w:bottom w:w="0" w:type="dxa"/>
          </w:tblCellMar>
        </w:tblPrEx>
        <w:tc>
          <w:tcPr>
            <w:tcW w:w="2088" w:type="dxa"/>
          </w:tcPr>
          <w:p w:rsidR="003D7F63" w:rsidRPr="009B35EA" w:rsidRDefault="003D7F63" w:rsidP="005129E1">
            <w:pPr>
              <w:pStyle w:val="TableText"/>
            </w:pPr>
          </w:p>
        </w:tc>
        <w:tc>
          <w:tcPr>
            <w:tcW w:w="2088" w:type="dxa"/>
          </w:tcPr>
          <w:p w:rsidR="003D7F63" w:rsidRPr="009B35EA" w:rsidRDefault="003D7F63" w:rsidP="005129E1">
            <w:pPr>
              <w:pStyle w:val="TableText"/>
            </w:pPr>
          </w:p>
        </w:tc>
        <w:tc>
          <w:tcPr>
            <w:tcW w:w="2088" w:type="dxa"/>
          </w:tcPr>
          <w:p w:rsidR="003D7F63" w:rsidRPr="009B35EA" w:rsidRDefault="003D7F63" w:rsidP="005129E1">
            <w:pPr>
              <w:pStyle w:val="TableText"/>
            </w:pPr>
          </w:p>
        </w:tc>
      </w:tr>
      <w:tr w:rsidR="003D7F63" w:rsidRPr="009B35EA">
        <w:tblPrEx>
          <w:tblCellMar>
            <w:top w:w="0" w:type="dxa"/>
            <w:bottom w:w="0" w:type="dxa"/>
          </w:tblCellMar>
        </w:tblPrEx>
        <w:tc>
          <w:tcPr>
            <w:tcW w:w="2088" w:type="dxa"/>
          </w:tcPr>
          <w:p w:rsidR="003D7F63" w:rsidRPr="009B35EA" w:rsidRDefault="003D7F63" w:rsidP="005129E1">
            <w:pPr>
              <w:pStyle w:val="TableText"/>
            </w:pPr>
          </w:p>
        </w:tc>
        <w:tc>
          <w:tcPr>
            <w:tcW w:w="2088" w:type="dxa"/>
          </w:tcPr>
          <w:p w:rsidR="003D7F63" w:rsidRPr="009B35EA" w:rsidRDefault="003D7F63" w:rsidP="005129E1">
            <w:pPr>
              <w:pStyle w:val="TableText"/>
            </w:pPr>
          </w:p>
        </w:tc>
        <w:tc>
          <w:tcPr>
            <w:tcW w:w="2088" w:type="dxa"/>
          </w:tcPr>
          <w:p w:rsidR="003D7F63" w:rsidRPr="009B35EA" w:rsidRDefault="003D7F63" w:rsidP="005129E1">
            <w:pPr>
              <w:pStyle w:val="TableText"/>
            </w:pPr>
          </w:p>
        </w:tc>
      </w:tr>
    </w:tbl>
    <w:p w:rsidR="003E754E" w:rsidRDefault="003E754E" w:rsidP="005129E1">
      <w:pPr>
        <w:pStyle w:val="Heading3"/>
        <w:rPr>
          <w:snapToGrid w:val="0"/>
        </w:rPr>
      </w:pPr>
    </w:p>
    <w:p w:rsidR="002E3C00" w:rsidRDefault="003E754E" w:rsidP="005129E1">
      <w:pPr>
        <w:pStyle w:val="Heading3"/>
        <w:rPr>
          <w:snapToGrid w:val="0"/>
        </w:rPr>
      </w:pPr>
      <w:r>
        <w:rPr>
          <w:snapToGrid w:val="0"/>
        </w:rPr>
        <w:br w:type="page"/>
      </w:r>
      <w:bookmarkStart w:id="760" w:name="_Toc459900231"/>
      <w:r w:rsidR="002E3C00">
        <w:rPr>
          <w:snapToGrid w:val="0"/>
        </w:rPr>
        <w:lastRenderedPageBreak/>
        <w:t>Workload Codes</w:t>
      </w:r>
      <w:bookmarkEnd w:id="757"/>
      <w:bookmarkEnd w:id="758"/>
      <w:bookmarkEnd w:id="759"/>
      <w:bookmarkEnd w:id="760"/>
      <w:r w:rsidR="00992E88">
        <w:rPr>
          <w:snapToGrid w:val="0"/>
        </w:rPr>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rPr>
          <w:snapToGrid w:val="0"/>
        </w:rPr>
        <w:instrText>Workload Codes</w:instrText>
      </w:r>
      <w:r w:rsidR="00992E88">
        <w:instrText xml:space="preserve">" </w:instrText>
      </w:r>
      <w:r w:rsidR="00992E88">
        <w:rPr>
          <w:snapToGrid w:val="0"/>
        </w:rPr>
        <w:fldChar w:fldCharType="end"/>
      </w:r>
    </w:p>
    <w:p w:rsidR="002E3C00" w:rsidRDefault="002E3C00" w:rsidP="002E3C00">
      <w:pPr>
        <w:pStyle w:val="BodyText"/>
      </w:pPr>
      <w:r>
        <w:t xml:space="preserve">The user assigns workload Laboratory Management Index Program/National Laboratory Test (LMIP/NLT) tests to processes performed through VBECS. VBECS test names are associated with </w:t>
      </w:r>
      <w:r w:rsidRPr="00CA0045">
        <w:rPr>
          <w:bCs/>
        </w:rPr>
        <w:t>VistA</w:t>
      </w:r>
      <w:r>
        <w:t xml:space="preserve"> workload codes, </w:t>
      </w:r>
      <w:r w:rsidR="003E1A15">
        <w:t>used</w:t>
      </w:r>
      <w:r>
        <w:t xml:space="preserve"> when compiling and storing data to provide workload-related reports to </w:t>
      </w:r>
      <w:r w:rsidRPr="00CA0045">
        <w:rPr>
          <w:bCs/>
        </w:rPr>
        <w:t>VistA</w:t>
      </w:r>
      <w:r>
        <w:t>.</w:t>
      </w:r>
    </w:p>
    <w:p w:rsidR="002E3C00" w:rsidRDefault="002E3C00" w:rsidP="002E3C00">
      <w:pPr>
        <w:pStyle w:val="Heading4"/>
        <w:rPr>
          <w:b w:val="0"/>
        </w:rPr>
      </w:pPr>
      <w:r>
        <w:t>User Roles with Access to This Option</w:t>
      </w:r>
      <w:r>
        <w:rPr>
          <w:b w:val="0"/>
        </w:rPr>
        <w:t xml:space="preserve"> </w:t>
      </w:r>
    </w:p>
    <w:p w:rsidR="002E3C00"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rsidR="002E3C00" w:rsidRDefault="00B74754" w:rsidP="002E3C00">
      <w:pPr>
        <w:pStyle w:val="Heading4"/>
      </w:pPr>
      <w:r>
        <w:t>Preparation for Testing</w:t>
      </w:r>
    </w:p>
    <w:p w:rsidR="00232E43" w:rsidRPr="00FB7F8D" w:rsidRDefault="00232E43" w:rsidP="008A1C39">
      <w:pPr>
        <w:pStyle w:val="BodyText"/>
      </w:pPr>
      <w:r w:rsidRPr="00FB7F8D">
        <w:t>Print</w:t>
      </w:r>
      <w:r>
        <w:t>, sign, date,</w:t>
      </w:r>
      <w:r w:rsidRPr="00FB7F8D">
        <w:t xml:space="preserve"> and save an </w:t>
      </w:r>
      <w:r>
        <w:t>A</w:t>
      </w:r>
      <w:r w:rsidRPr="00FB7F8D">
        <w:t xml:space="preserve">udit </w:t>
      </w:r>
      <w:r>
        <w:t>Trail R</w:t>
      </w:r>
      <w:r w:rsidRPr="00FB7F8D">
        <w:t>eport for your validation record.</w:t>
      </w:r>
    </w:p>
    <w:p w:rsidR="002E3C00" w:rsidRDefault="002E3C00" w:rsidP="002E3C00">
      <w:pPr>
        <w:pStyle w:val="Heading3"/>
      </w:pPr>
      <w:bookmarkStart w:id="761" w:name="_Toc85895794"/>
      <w:bookmarkStart w:id="762" w:name="_Toc113264252"/>
      <w:bookmarkStart w:id="763" w:name="_Toc114462107"/>
      <w:bookmarkStart w:id="764" w:name="_Toc459900232"/>
      <w:r>
        <w:rPr>
          <w:snapToGrid w:val="0"/>
        </w:rPr>
        <w:t xml:space="preserve">Canned </w:t>
      </w:r>
      <w:r>
        <w:t>Comments</w:t>
      </w:r>
      <w:bookmarkEnd w:id="761"/>
      <w:bookmarkEnd w:id="762"/>
      <w:bookmarkEnd w:id="763"/>
      <w:bookmarkEnd w:id="764"/>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rPr>
          <w:snapToGrid w:val="0"/>
        </w:rPr>
        <w:instrText xml:space="preserve">Canned </w:instrText>
      </w:r>
      <w:r w:rsidR="00992E88" w:rsidRPr="00B0596E">
        <w:instrText>Comments</w:instrText>
      </w:r>
      <w:r w:rsidR="00992E88">
        <w:instrText xml:space="preserve">" </w:instrText>
      </w:r>
      <w:r w:rsidR="00992E88">
        <w:fldChar w:fldCharType="end"/>
      </w:r>
    </w:p>
    <w:p w:rsidR="007B6183" w:rsidRPr="007B6183" w:rsidRDefault="007B6183" w:rsidP="007B6183">
      <w:pPr>
        <w:pStyle w:val="BodyText"/>
      </w:pPr>
      <w:r>
        <w:t>The user defines canned comments</w:t>
      </w:r>
      <w:r w:rsidR="008A1C39">
        <w:t>,</w:t>
      </w:r>
      <w:r>
        <w:t xml:space="preserve"> </w:t>
      </w:r>
      <w:r w:rsidR="008A1C39">
        <w:t xml:space="preserve">by category, </w:t>
      </w:r>
      <w:r>
        <w:t>for a division.</w:t>
      </w:r>
    </w:p>
    <w:p w:rsidR="002E3C00" w:rsidRDefault="002E3C00" w:rsidP="002E3C00">
      <w:pPr>
        <w:pStyle w:val="Heading4"/>
        <w:rPr>
          <w:b w:val="0"/>
        </w:rPr>
      </w:pPr>
      <w:r>
        <w:t>User Roles with Access to This Option</w:t>
      </w:r>
      <w:r>
        <w:rPr>
          <w:b w:val="0"/>
        </w:rPr>
        <w:t xml:space="preserve"> </w:t>
      </w:r>
    </w:p>
    <w:p w:rsidR="002E3C00"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r>
        <w:rPr>
          <w:snapToGrid w:val="0"/>
        </w:rPr>
        <w:t xml:space="preserve"> </w:t>
      </w:r>
    </w:p>
    <w:p w:rsidR="002E3C00" w:rsidRDefault="00B74754" w:rsidP="002E3C00">
      <w:pPr>
        <w:pStyle w:val="Heading4"/>
      </w:pPr>
      <w:r>
        <w:t>Preparation for Testing</w:t>
      </w:r>
    </w:p>
    <w:p w:rsidR="00232E43" w:rsidRPr="00FB7F8D" w:rsidRDefault="00232E43" w:rsidP="008A1C39">
      <w:pPr>
        <w:pStyle w:val="BodyText"/>
      </w:pPr>
      <w:r w:rsidRPr="00FB7F8D">
        <w:t>Print</w:t>
      </w:r>
      <w:r>
        <w:t>, sign, date,</w:t>
      </w:r>
      <w:r w:rsidRPr="00FB7F8D">
        <w:t xml:space="preserve"> and save an </w:t>
      </w:r>
      <w:r>
        <w:t>A</w:t>
      </w:r>
      <w:r w:rsidRPr="00FB7F8D">
        <w:t xml:space="preserve">udit </w:t>
      </w:r>
      <w:r>
        <w:t>Trail R</w:t>
      </w:r>
      <w:r w:rsidRPr="00FB7F8D">
        <w:t>eport for your validation record.</w:t>
      </w:r>
    </w:p>
    <w:p w:rsidR="002E3C00" w:rsidRDefault="002E3C00" w:rsidP="002E3C00">
      <w:pPr>
        <w:pStyle w:val="Heading3"/>
      </w:pPr>
      <w:bookmarkStart w:id="765" w:name="_Toc85895795"/>
      <w:bookmarkStart w:id="766" w:name="_Toc113264253"/>
      <w:bookmarkStart w:id="767" w:name="_Toc114462108"/>
      <w:bookmarkStart w:id="768" w:name="_Toc459900233"/>
      <w:r>
        <w:t>MSBOS</w:t>
      </w:r>
      <w:bookmarkEnd w:id="765"/>
      <w:bookmarkEnd w:id="766"/>
      <w:bookmarkEnd w:id="767"/>
      <w:bookmarkEnd w:id="768"/>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MSBOS</w:instrText>
      </w:r>
      <w:r w:rsidR="00992E88">
        <w:instrText xml:space="preserve">" </w:instrText>
      </w:r>
      <w:r w:rsidR="00992E88">
        <w:fldChar w:fldCharType="end"/>
      </w:r>
    </w:p>
    <w:p w:rsidR="002E3C00" w:rsidRPr="006D697F" w:rsidRDefault="002E3C00" w:rsidP="00DD75E5">
      <w:pPr>
        <w:pStyle w:val="BodyText"/>
      </w:pPr>
      <w:r>
        <w:t>The user defines parameters for comparing blood component orders placed by a clinician with the Maximum Surgical Blood Ordering Schedule (MSBOS).</w:t>
      </w:r>
    </w:p>
    <w:p w:rsidR="002E3C00" w:rsidRDefault="002E3C00" w:rsidP="002E3C00">
      <w:pPr>
        <w:pStyle w:val="Heading4"/>
        <w:rPr>
          <w:b w:val="0"/>
        </w:rPr>
      </w:pPr>
      <w:r>
        <w:t>User Roles with Access to This Option</w:t>
      </w:r>
      <w:r>
        <w:rPr>
          <w:b w:val="0"/>
        </w:rPr>
        <w:t xml:space="preserve"> </w:t>
      </w:r>
    </w:p>
    <w:p w:rsidR="002E3C00" w:rsidRDefault="002E3C00" w:rsidP="002E3C00">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 </w:t>
      </w:r>
    </w:p>
    <w:p w:rsidR="002E3C00" w:rsidRDefault="00B74754" w:rsidP="002E3C00">
      <w:pPr>
        <w:pStyle w:val="Heading4"/>
      </w:pPr>
      <w:r>
        <w:t>Preparation for Testing</w:t>
      </w:r>
    </w:p>
    <w:p w:rsidR="00232E43" w:rsidRPr="00FB7F8D" w:rsidRDefault="00232E43" w:rsidP="008A1C39">
      <w:pPr>
        <w:pStyle w:val="BodyText"/>
      </w:pPr>
      <w:r w:rsidRPr="00FB7F8D">
        <w:t>Print</w:t>
      </w:r>
      <w:r>
        <w:t>, sign, date,</w:t>
      </w:r>
      <w:r w:rsidRPr="00FB7F8D">
        <w:t xml:space="preserve"> and save an </w:t>
      </w:r>
      <w:r>
        <w:t>A</w:t>
      </w:r>
      <w:r w:rsidRPr="00FB7F8D">
        <w:t xml:space="preserve">udit </w:t>
      </w:r>
      <w:r>
        <w:t>Trail R</w:t>
      </w:r>
      <w:r w:rsidRPr="00FB7F8D">
        <w:t>eport for your validation record.</w:t>
      </w:r>
    </w:p>
    <w:p w:rsidR="002E3C00" w:rsidRDefault="002E3C00" w:rsidP="002E3C00">
      <w:pPr>
        <w:pStyle w:val="Heading3"/>
        <w:rPr>
          <w:snapToGrid w:val="0"/>
        </w:rPr>
      </w:pPr>
      <w:bookmarkStart w:id="769" w:name="_Toc85895796"/>
      <w:bookmarkStart w:id="770" w:name="_Toc113264254"/>
      <w:bookmarkStart w:id="771" w:name="_Toc114462109"/>
      <w:bookmarkStart w:id="772" w:name="_Toc459900234"/>
      <w:r>
        <w:rPr>
          <w:snapToGrid w:val="0"/>
        </w:rPr>
        <w:t>Edit Invoice Text</w:t>
      </w:r>
      <w:bookmarkEnd w:id="769"/>
      <w:bookmarkEnd w:id="770"/>
      <w:bookmarkEnd w:id="771"/>
      <w:bookmarkEnd w:id="772"/>
      <w:r w:rsidR="00992E88">
        <w:rPr>
          <w:snapToGrid w:val="0"/>
        </w:rPr>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rPr>
          <w:snapToGrid w:val="0"/>
        </w:rPr>
        <w:instrText>Edit Invoice Text</w:instrText>
      </w:r>
      <w:r w:rsidR="00992E88">
        <w:instrText xml:space="preserve">" </w:instrText>
      </w:r>
      <w:r w:rsidR="00992E88">
        <w:rPr>
          <w:snapToGrid w:val="0"/>
        </w:rPr>
        <w:fldChar w:fldCharType="end"/>
      </w:r>
    </w:p>
    <w:p w:rsidR="002E3C00" w:rsidRPr="00E0423B" w:rsidRDefault="002E3C00" w:rsidP="002E3C00">
      <w:pPr>
        <w:pStyle w:val="BodyText"/>
      </w:pPr>
      <w:r>
        <w:t xml:space="preserve">The user may edit the explanatory text above the signature on the last page of a shipping invoice. </w:t>
      </w:r>
    </w:p>
    <w:p w:rsidR="002E3C00" w:rsidRDefault="002E3C00" w:rsidP="002E3C00">
      <w:pPr>
        <w:pStyle w:val="Heading4"/>
        <w:rPr>
          <w:b w:val="0"/>
        </w:rPr>
      </w:pPr>
      <w:r>
        <w:t>User Roles with Access to This Option</w:t>
      </w:r>
      <w:r>
        <w:rPr>
          <w:b w:val="0"/>
        </w:rPr>
        <w:t xml:space="preserve"> </w:t>
      </w:r>
    </w:p>
    <w:p w:rsidR="002E3C00" w:rsidRDefault="002E3C00" w:rsidP="002E3C00">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rsidR="002E3C00" w:rsidRDefault="00B74754" w:rsidP="002E3C00">
      <w:pPr>
        <w:pStyle w:val="Heading4"/>
      </w:pPr>
      <w:r>
        <w:t>Preparation for Testing</w:t>
      </w:r>
    </w:p>
    <w:p w:rsidR="00232E43" w:rsidRPr="00FB7F8D" w:rsidRDefault="00232E43" w:rsidP="008A1C39">
      <w:pPr>
        <w:pStyle w:val="BodyText"/>
      </w:pPr>
      <w:r w:rsidRPr="00FB7F8D">
        <w:t>Print</w:t>
      </w:r>
      <w:r>
        <w:t>, sign, date,</w:t>
      </w:r>
      <w:r w:rsidRPr="00FB7F8D">
        <w:t xml:space="preserve"> and save an </w:t>
      </w:r>
      <w:r>
        <w:t>A</w:t>
      </w:r>
      <w:r w:rsidRPr="00FB7F8D">
        <w:t xml:space="preserve">udit </w:t>
      </w:r>
      <w:r>
        <w:t>Trail R</w:t>
      </w:r>
      <w:r w:rsidRPr="00FB7F8D">
        <w:t>eport for your validation record.</w:t>
      </w:r>
    </w:p>
    <w:p w:rsidR="002E3C00" w:rsidRDefault="001D3D7A" w:rsidP="002E3C00">
      <w:pPr>
        <w:pStyle w:val="Heading3"/>
        <w:rPr>
          <w:snapToGrid w:val="0"/>
        </w:rPr>
      </w:pPr>
      <w:bookmarkStart w:id="773" w:name="_Toc85895797"/>
      <w:bookmarkStart w:id="774" w:name="_Toc113264255"/>
      <w:bookmarkStart w:id="775" w:name="_Toc114462110"/>
      <w:r>
        <w:rPr>
          <w:snapToGrid w:val="0"/>
        </w:rPr>
        <w:br w:type="page"/>
      </w:r>
      <w:bookmarkStart w:id="776" w:name="_Toc459900235"/>
      <w:r w:rsidR="002E3C00">
        <w:rPr>
          <w:snapToGrid w:val="0"/>
        </w:rPr>
        <w:lastRenderedPageBreak/>
        <w:t>Antibodies</w:t>
      </w:r>
      <w:bookmarkEnd w:id="773"/>
      <w:bookmarkEnd w:id="774"/>
      <w:bookmarkEnd w:id="775"/>
      <w:bookmarkEnd w:id="776"/>
      <w:r w:rsidR="00E21F36">
        <w:rPr>
          <w:snapToGrid w:val="0"/>
        </w:rPr>
        <w:fldChar w:fldCharType="begin"/>
      </w:r>
      <w:r w:rsidR="00E21F36">
        <w:instrText xml:space="preserve"> XE " System Validation:</w:instrText>
      </w:r>
      <w:r w:rsidR="00E21F36" w:rsidRPr="0081226B">
        <w:rPr>
          <w:snapToGrid w:val="0"/>
        </w:rPr>
        <w:instrText>Antibodies</w:instrText>
      </w:r>
      <w:r w:rsidR="00E21F36">
        <w:instrText xml:space="preserve">" </w:instrText>
      </w:r>
      <w:r w:rsidR="00E21F36">
        <w:rPr>
          <w:snapToGrid w:val="0"/>
        </w:rPr>
        <w:fldChar w:fldCharType="end"/>
      </w:r>
    </w:p>
    <w:p w:rsidR="002E3C00" w:rsidRDefault="002E3C00" w:rsidP="002E3C00">
      <w:pPr>
        <w:pStyle w:val="BodyText"/>
      </w:pPr>
      <w:r>
        <w:t xml:space="preserve">The user </w:t>
      </w:r>
      <w:r w:rsidR="00E15B34">
        <w:t xml:space="preserve">may </w:t>
      </w:r>
      <w:r>
        <w:t>edit certain fields in the supplied antibody table</w:t>
      </w:r>
      <w:r w:rsidR="00191728">
        <w:t xml:space="preserve"> (</w:t>
      </w:r>
      <w:r w:rsidR="00191728">
        <w:fldChar w:fldCharType="begin"/>
      </w:r>
      <w:r w:rsidR="00191728">
        <w:instrText xml:space="preserve"> REF _Ref126730855 \h </w:instrText>
      </w:r>
      <w:r w:rsidR="00191728">
        <w:fldChar w:fldCharType="separate"/>
      </w:r>
      <w:r w:rsidR="005F38BC">
        <w:t xml:space="preserve">Table </w:t>
      </w:r>
      <w:r w:rsidR="005F38BC">
        <w:rPr>
          <w:noProof/>
        </w:rPr>
        <w:t>14</w:t>
      </w:r>
      <w:r w:rsidR="00191728">
        <w:fldChar w:fldCharType="end"/>
      </w:r>
      <w:r w:rsidR="00191728">
        <w:t>).</w:t>
      </w:r>
      <w:r w:rsidR="0063037F">
        <w:t xml:space="preserve"> Use</w:t>
      </w:r>
      <w:r w:rsidR="00191728">
        <w:t xml:space="preserve"> </w:t>
      </w:r>
      <w:r w:rsidR="00E15B34">
        <w:fldChar w:fldCharType="begin"/>
      </w:r>
      <w:r w:rsidR="00E15B34">
        <w:instrText xml:space="preserve"> REF _Ref169421522 \h </w:instrText>
      </w:r>
      <w:r w:rsidR="00E15B34">
        <w:fldChar w:fldCharType="separate"/>
      </w:r>
      <w:r w:rsidR="005F38BC">
        <w:t xml:space="preserve">Table </w:t>
      </w:r>
      <w:r w:rsidR="005F38BC">
        <w:rPr>
          <w:noProof/>
        </w:rPr>
        <w:t>37</w:t>
      </w:r>
      <w:r w:rsidR="00E15B34">
        <w:fldChar w:fldCharType="end"/>
      </w:r>
      <w:r w:rsidR="0063037F">
        <w:t xml:space="preserve"> (</w:t>
      </w:r>
      <w:r w:rsidR="00191728">
        <w:t xml:space="preserve">extracted from </w:t>
      </w:r>
      <w:r w:rsidR="00191728">
        <w:fldChar w:fldCharType="begin"/>
      </w:r>
      <w:r w:rsidR="00191728">
        <w:instrText xml:space="preserve"> REF _Ref126730855 \h </w:instrText>
      </w:r>
      <w:r w:rsidR="00191728">
        <w:fldChar w:fldCharType="separate"/>
      </w:r>
      <w:r w:rsidR="005F38BC">
        <w:t xml:space="preserve">Table </w:t>
      </w:r>
      <w:r w:rsidR="005F38BC">
        <w:rPr>
          <w:noProof/>
        </w:rPr>
        <w:t>14</w:t>
      </w:r>
      <w:r w:rsidR="00191728">
        <w:fldChar w:fldCharType="end"/>
      </w:r>
      <w:r w:rsidR="0063037F">
        <w:t>) to document local decisions on antigen-negative settings.</w:t>
      </w:r>
      <w:r w:rsidR="003C6D47">
        <w:t xml:space="preserve"> </w:t>
      </w:r>
      <w:r w:rsidR="00432FCC" w:rsidRPr="00E15B34">
        <w:rPr>
          <w:vanish/>
        </w:rPr>
        <w:t>(DR 2,617)</w:t>
      </w:r>
    </w:p>
    <w:p w:rsidR="00E15B34" w:rsidRDefault="00E15B34" w:rsidP="00E15B34">
      <w:pPr>
        <w:pStyle w:val="Caption"/>
      </w:pPr>
      <w:bookmarkStart w:id="777" w:name="_Ref169421522"/>
      <w:r>
        <w:t xml:space="preserve">Table </w:t>
      </w:r>
      <w:r>
        <w:fldChar w:fldCharType="begin"/>
      </w:r>
      <w:r>
        <w:instrText xml:space="preserve"> SEQ Table \* ARABIC </w:instrText>
      </w:r>
      <w:r>
        <w:fldChar w:fldCharType="separate"/>
      </w:r>
      <w:r w:rsidR="005F38BC">
        <w:rPr>
          <w:noProof/>
        </w:rPr>
        <w:t>37</w:t>
      </w:r>
      <w:r>
        <w:fldChar w:fldCharType="end"/>
      </w:r>
      <w:bookmarkEnd w:id="777"/>
      <w:r>
        <w:t>: User-Defined Antigen Negative Requirements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30"/>
        <w:gridCol w:w="1331"/>
        <w:gridCol w:w="1053"/>
        <w:gridCol w:w="1331"/>
        <w:gridCol w:w="4315"/>
      </w:tblGrid>
      <w:tr w:rsidR="004E75A5" w:rsidRPr="004E75A5">
        <w:trPr>
          <w:tblHeader/>
        </w:trPr>
        <w:tc>
          <w:tcPr>
            <w:tcW w:w="2661" w:type="dxa"/>
            <w:gridSpan w:val="2"/>
            <w:tcBorders>
              <w:bottom w:val="single" w:sz="4" w:space="0" w:color="auto"/>
            </w:tcBorders>
            <w:shd w:val="clear" w:color="auto" w:fill="B3B3B3"/>
            <w:vAlign w:val="bottom"/>
          </w:tcPr>
          <w:p w:rsidR="004E75A5" w:rsidRPr="004E75A5" w:rsidRDefault="004E75A5" w:rsidP="004E75A5">
            <w:pPr>
              <w:pStyle w:val="TableText"/>
              <w:jc w:val="center"/>
              <w:rPr>
                <w:b/>
              </w:rPr>
            </w:pPr>
            <w:r w:rsidRPr="004E75A5">
              <w:rPr>
                <w:b/>
              </w:rPr>
              <w:t>Antibody Name</w:t>
            </w:r>
          </w:p>
        </w:tc>
        <w:tc>
          <w:tcPr>
            <w:tcW w:w="1053" w:type="dxa"/>
            <w:vMerge w:val="restart"/>
            <w:shd w:val="clear" w:color="auto" w:fill="B3B3B3"/>
            <w:vAlign w:val="bottom"/>
          </w:tcPr>
          <w:p w:rsidR="004E75A5" w:rsidRPr="004E75A5" w:rsidRDefault="004E75A5" w:rsidP="00432FCC">
            <w:pPr>
              <w:pStyle w:val="TableText"/>
              <w:rPr>
                <w:b/>
                <w:bCs/>
              </w:rPr>
            </w:pPr>
            <w:r w:rsidRPr="004E75A5">
              <w:rPr>
                <w:b/>
                <w:bCs/>
              </w:rPr>
              <w:t>Clinically Significant?</w:t>
            </w:r>
          </w:p>
        </w:tc>
        <w:tc>
          <w:tcPr>
            <w:tcW w:w="1331" w:type="dxa"/>
            <w:vMerge w:val="restart"/>
            <w:shd w:val="clear" w:color="auto" w:fill="B3B3B3"/>
            <w:vAlign w:val="bottom"/>
          </w:tcPr>
          <w:p w:rsidR="004E75A5" w:rsidRPr="004E75A5" w:rsidRDefault="004E75A5" w:rsidP="00432FCC">
            <w:pPr>
              <w:pStyle w:val="TableText"/>
              <w:rPr>
                <w:b/>
              </w:rPr>
            </w:pPr>
            <w:r w:rsidRPr="004E75A5">
              <w:rPr>
                <w:b/>
              </w:rPr>
              <w:t>VBECS Antigen Negative Setting Default</w:t>
            </w:r>
          </w:p>
        </w:tc>
        <w:tc>
          <w:tcPr>
            <w:tcW w:w="4315" w:type="dxa"/>
            <w:vMerge w:val="restart"/>
            <w:shd w:val="clear" w:color="auto" w:fill="B3B3B3"/>
            <w:vAlign w:val="bottom"/>
          </w:tcPr>
          <w:p w:rsidR="004E75A5" w:rsidRPr="004E75A5" w:rsidRDefault="004E75A5" w:rsidP="00432FCC">
            <w:pPr>
              <w:pStyle w:val="TableText"/>
              <w:rPr>
                <w:rFonts w:eastAsia="Symbol"/>
                <w:b/>
              </w:rPr>
            </w:pPr>
            <w:r w:rsidRPr="004E75A5">
              <w:rPr>
                <w:rFonts w:eastAsia="Symbol"/>
                <w:b/>
              </w:rPr>
              <w:t>Local comments and decisions on antigen-negative settings.</w:t>
            </w:r>
          </w:p>
        </w:tc>
      </w:tr>
      <w:tr w:rsidR="004E75A5" w:rsidRPr="004E75A5">
        <w:trPr>
          <w:tblHeader/>
        </w:trPr>
        <w:tc>
          <w:tcPr>
            <w:tcW w:w="1330" w:type="dxa"/>
            <w:shd w:val="clear" w:color="auto" w:fill="B3B3B3"/>
            <w:vAlign w:val="bottom"/>
          </w:tcPr>
          <w:p w:rsidR="004E75A5" w:rsidRPr="004E75A5" w:rsidRDefault="004E75A5" w:rsidP="00432FCC">
            <w:pPr>
              <w:pStyle w:val="TableText"/>
              <w:rPr>
                <w:b/>
              </w:rPr>
            </w:pPr>
            <w:r w:rsidRPr="004E75A5">
              <w:rPr>
                <w:b/>
              </w:rPr>
              <w:t>VBECS</w:t>
            </w:r>
          </w:p>
        </w:tc>
        <w:tc>
          <w:tcPr>
            <w:tcW w:w="1331" w:type="dxa"/>
            <w:shd w:val="clear" w:color="auto" w:fill="B3B3B3"/>
            <w:vAlign w:val="bottom"/>
          </w:tcPr>
          <w:p w:rsidR="004E75A5" w:rsidRPr="004E75A5" w:rsidRDefault="004E75A5" w:rsidP="00432FCC">
            <w:pPr>
              <w:pStyle w:val="TableText"/>
              <w:rPr>
                <w:b/>
              </w:rPr>
            </w:pPr>
            <w:r w:rsidRPr="004E75A5">
              <w:rPr>
                <w:b/>
              </w:rPr>
              <w:t>VistA</w:t>
            </w:r>
          </w:p>
        </w:tc>
        <w:tc>
          <w:tcPr>
            <w:tcW w:w="1053" w:type="dxa"/>
            <w:vMerge/>
            <w:shd w:val="clear" w:color="auto" w:fill="auto"/>
            <w:vAlign w:val="bottom"/>
          </w:tcPr>
          <w:p w:rsidR="004E75A5" w:rsidRPr="004E75A5" w:rsidRDefault="004E75A5" w:rsidP="00432FCC">
            <w:pPr>
              <w:pStyle w:val="TableText"/>
              <w:rPr>
                <w:b/>
                <w:bCs/>
              </w:rPr>
            </w:pPr>
          </w:p>
        </w:tc>
        <w:tc>
          <w:tcPr>
            <w:tcW w:w="1331" w:type="dxa"/>
            <w:vMerge/>
            <w:shd w:val="clear" w:color="auto" w:fill="auto"/>
            <w:vAlign w:val="bottom"/>
          </w:tcPr>
          <w:p w:rsidR="004E75A5" w:rsidRPr="004E75A5" w:rsidRDefault="004E75A5" w:rsidP="00432FCC">
            <w:pPr>
              <w:pStyle w:val="TableText"/>
              <w:rPr>
                <w:b/>
              </w:rPr>
            </w:pPr>
          </w:p>
        </w:tc>
        <w:tc>
          <w:tcPr>
            <w:tcW w:w="4315" w:type="dxa"/>
            <w:vMerge/>
            <w:shd w:val="clear" w:color="auto" w:fill="auto"/>
            <w:vAlign w:val="bottom"/>
          </w:tcPr>
          <w:p w:rsidR="004E75A5" w:rsidRPr="004E75A5" w:rsidRDefault="004E75A5" w:rsidP="00432FCC">
            <w:pPr>
              <w:pStyle w:val="TableText"/>
              <w:rPr>
                <w:rFonts w:eastAsia="Symbol"/>
                <w:b/>
              </w:rPr>
            </w:pPr>
          </w:p>
        </w:tc>
      </w:tr>
      <w:tr w:rsidR="00432FCC">
        <w:tc>
          <w:tcPr>
            <w:tcW w:w="1330" w:type="dxa"/>
            <w:shd w:val="clear" w:color="auto" w:fill="auto"/>
            <w:vAlign w:val="center"/>
          </w:tcPr>
          <w:p w:rsidR="00432FCC" w:rsidRDefault="00432FCC" w:rsidP="00432FCC">
            <w:pPr>
              <w:pStyle w:val="TableText"/>
              <w:rPr>
                <w:rFonts w:eastAsia="Symbol"/>
              </w:rPr>
            </w:pPr>
            <w:r>
              <w:t>Anti-Kp(a)</w:t>
            </w:r>
          </w:p>
        </w:tc>
        <w:tc>
          <w:tcPr>
            <w:tcW w:w="1331" w:type="dxa"/>
            <w:shd w:val="clear" w:color="auto" w:fill="auto"/>
            <w:vAlign w:val="center"/>
          </w:tcPr>
          <w:p w:rsidR="00432FCC" w:rsidRDefault="00432FCC" w:rsidP="00432FCC">
            <w:pPr>
              <w:pStyle w:val="TableText"/>
              <w:rPr>
                <w:rFonts w:eastAsia="Symbol"/>
              </w:rPr>
            </w:pPr>
            <w:r>
              <w:t>Anti-Kp(a)</w:t>
            </w:r>
          </w:p>
        </w:tc>
        <w:tc>
          <w:tcPr>
            <w:tcW w:w="1053" w:type="dxa"/>
            <w:shd w:val="clear" w:color="auto" w:fill="auto"/>
            <w:vAlign w:val="center"/>
          </w:tcPr>
          <w:p w:rsidR="00432FCC" w:rsidRDefault="00432FCC" w:rsidP="00432FCC">
            <w:pPr>
              <w:pStyle w:val="TableText"/>
              <w:rPr>
                <w:b/>
                <w:bCs/>
              </w:rPr>
            </w:pPr>
            <w:r>
              <w:rPr>
                <w:bCs/>
              </w:rPr>
              <w:t>Yes</w:t>
            </w:r>
          </w:p>
        </w:tc>
        <w:tc>
          <w:tcPr>
            <w:tcW w:w="1331" w:type="dxa"/>
            <w:shd w:val="clear" w:color="auto" w:fill="auto"/>
            <w:vAlign w:val="center"/>
          </w:tcPr>
          <w:p w:rsidR="00432FCC" w:rsidRDefault="00432FCC" w:rsidP="00432FCC">
            <w:pPr>
              <w:pStyle w:val="TableText"/>
              <w:rPr>
                <w:rFonts w:eastAsia="Symbol"/>
              </w:rPr>
            </w:pPr>
            <w:r>
              <w:t>No</w:t>
            </w:r>
          </w:p>
        </w:tc>
        <w:tc>
          <w:tcPr>
            <w:tcW w:w="4315" w:type="dxa"/>
            <w:shd w:val="clear" w:color="auto" w:fill="auto"/>
            <w:vAlign w:val="center"/>
          </w:tcPr>
          <w:p w:rsidR="00432FCC" w:rsidRDefault="00432FCC" w:rsidP="00432FCC">
            <w:pPr>
              <w:pStyle w:val="TableText"/>
              <w:rPr>
                <w:rFonts w:eastAsia="Symbol"/>
              </w:rPr>
            </w:pPr>
          </w:p>
        </w:tc>
      </w:tr>
      <w:tr w:rsidR="00432FCC">
        <w:tc>
          <w:tcPr>
            <w:tcW w:w="1330" w:type="dxa"/>
            <w:shd w:val="clear" w:color="auto" w:fill="auto"/>
            <w:vAlign w:val="center"/>
          </w:tcPr>
          <w:p w:rsidR="00432FCC" w:rsidRDefault="00432FCC" w:rsidP="00432FCC">
            <w:pPr>
              <w:pStyle w:val="TableText"/>
              <w:rPr>
                <w:rFonts w:eastAsia="Symbol"/>
              </w:rPr>
            </w:pPr>
            <w:r>
              <w:t>Anti-Kp(b)</w:t>
            </w:r>
          </w:p>
        </w:tc>
        <w:tc>
          <w:tcPr>
            <w:tcW w:w="1331" w:type="dxa"/>
            <w:shd w:val="clear" w:color="auto" w:fill="auto"/>
            <w:vAlign w:val="center"/>
          </w:tcPr>
          <w:p w:rsidR="00432FCC" w:rsidRDefault="00432FCC" w:rsidP="00432FCC">
            <w:pPr>
              <w:pStyle w:val="TableText"/>
              <w:rPr>
                <w:rFonts w:eastAsia="Symbol"/>
              </w:rPr>
            </w:pPr>
            <w:r>
              <w:t>Anti-Kp(b)</w:t>
            </w:r>
          </w:p>
        </w:tc>
        <w:tc>
          <w:tcPr>
            <w:tcW w:w="1053" w:type="dxa"/>
            <w:shd w:val="clear" w:color="auto" w:fill="auto"/>
            <w:vAlign w:val="center"/>
          </w:tcPr>
          <w:p w:rsidR="00432FCC" w:rsidRDefault="00432FCC" w:rsidP="00432FCC">
            <w:pPr>
              <w:pStyle w:val="TableText"/>
              <w:rPr>
                <w:b/>
                <w:bCs/>
              </w:rPr>
            </w:pPr>
            <w:r>
              <w:rPr>
                <w:bCs/>
              </w:rPr>
              <w:t>Yes</w:t>
            </w:r>
          </w:p>
        </w:tc>
        <w:tc>
          <w:tcPr>
            <w:tcW w:w="1331" w:type="dxa"/>
            <w:shd w:val="clear" w:color="auto" w:fill="auto"/>
            <w:vAlign w:val="center"/>
          </w:tcPr>
          <w:p w:rsidR="00432FCC" w:rsidRDefault="00432FCC" w:rsidP="00432FCC">
            <w:pPr>
              <w:pStyle w:val="TableText"/>
              <w:rPr>
                <w:rFonts w:eastAsia="Symbol"/>
              </w:rPr>
            </w:pPr>
            <w:r>
              <w:t>No</w:t>
            </w:r>
          </w:p>
        </w:tc>
        <w:tc>
          <w:tcPr>
            <w:tcW w:w="4315" w:type="dxa"/>
            <w:shd w:val="clear" w:color="auto" w:fill="auto"/>
            <w:vAlign w:val="center"/>
          </w:tcPr>
          <w:p w:rsidR="00432FCC" w:rsidRDefault="00432FCC" w:rsidP="00432FCC">
            <w:pPr>
              <w:pStyle w:val="TableText"/>
              <w:rPr>
                <w:rFonts w:eastAsia="Symbol"/>
              </w:rPr>
            </w:pPr>
          </w:p>
        </w:tc>
      </w:tr>
      <w:tr w:rsidR="00432FCC">
        <w:tc>
          <w:tcPr>
            <w:tcW w:w="1330" w:type="dxa"/>
            <w:shd w:val="clear" w:color="auto" w:fill="auto"/>
            <w:vAlign w:val="center"/>
          </w:tcPr>
          <w:p w:rsidR="00432FCC" w:rsidRDefault="00432FCC" w:rsidP="00432FCC">
            <w:pPr>
              <w:pStyle w:val="TableText"/>
              <w:rPr>
                <w:rFonts w:eastAsia="Symbol"/>
              </w:rPr>
            </w:pPr>
            <w:r>
              <w:t>Anti-M</w:t>
            </w:r>
          </w:p>
        </w:tc>
        <w:tc>
          <w:tcPr>
            <w:tcW w:w="1331" w:type="dxa"/>
            <w:shd w:val="clear" w:color="auto" w:fill="auto"/>
            <w:vAlign w:val="center"/>
          </w:tcPr>
          <w:p w:rsidR="00432FCC" w:rsidRDefault="00432FCC" w:rsidP="00432FCC">
            <w:pPr>
              <w:pStyle w:val="TableText"/>
            </w:pPr>
            <w:r>
              <w:t>Anti-M</w:t>
            </w:r>
          </w:p>
        </w:tc>
        <w:tc>
          <w:tcPr>
            <w:tcW w:w="1053" w:type="dxa"/>
            <w:shd w:val="clear" w:color="auto" w:fill="auto"/>
            <w:vAlign w:val="center"/>
          </w:tcPr>
          <w:p w:rsidR="00432FCC" w:rsidRDefault="00432FCC" w:rsidP="00432FCC">
            <w:pPr>
              <w:pStyle w:val="TableText"/>
            </w:pPr>
            <w:r>
              <w:t>No</w:t>
            </w:r>
          </w:p>
        </w:tc>
        <w:tc>
          <w:tcPr>
            <w:tcW w:w="1331" w:type="dxa"/>
            <w:shd w:val="clear" w:color="auto" w:fill="auto"/>
            <w:vAlign w:val="center"/>
          </w:tcPr>
          <w:p w:rsidR="00432FCC" w:rsidRDefault="00432FCC" w:rsidP="00432FCC">
            <w:pPr>
              <w:pStyle w:val="TableText"/>
              <w:rPr>
                <w:rFonts w:eastAsia="Symbol"/>
              </w:rPr>
            </w:pPr>
            <w:r>
              <w:t>No</w:t>
            </w:r>
          </w:p>
        </w:tc>
        <w:tc>
          <w:tcPr>
            <w:tcW w:w="4315" w:type="dxa"/>
            <w:shd w:val="clear" w:color="auto" w:fill="auto"/>
            <w:vAlign w:val="center"/>
          </w:tcPr>
          <w:p w:rsidR="00432FCC" w:rsidRDefault="00432FCC" w:rsidP="00432FCC">
            <w:pPr>
              <w:pStyle w:val="TableText"/>
              <w:rPr>
                <w:rFonts w:eastAsia="Symbol"/>
              </w:rPr>
            </w:pPr>
          </w:p>
        </w:tc>
      </w:tr>
      <w:tr w:rsidR="00432FCC">
        <w:tc>
          <w:tcPr>
            <w:tcW w:w="1330" w:type="dxa"/>
            <w:shd w:val="clear" w:color="auto" w:fill="auto"/>
            <w:vAlign w:val="center"/>
          </w:tcPr>
          <w:p w:rsidR="00432FCC" w:rsidRDefault="00432FCC" w:rsidP="00432FCC">
            <w:pPr>
              <w:pStyle w:val="TableText"/>
              <w:rPr>
                <w:rFonts w:eastAsia="Symbol"/>
              </w:rPr>
            </w:pPr>
            <w:r>
              <w:t>Anti-N</w:t>
            </w:r>
          </w:p>
        </w:tc>
        <w:tc>
          <w:tcPr>
            <w:tcW w:w="1331" w:type="dxa"/>
            <w:shd w:val="clear" w:color="auto" w:fill="auto"/>
            <w:vAlign w:val="center"/>
          </w:tcPr>
          <w:p w:rsidR="00432FCC" w:rsidRDefault="00432FCC" w:rsidP="00432FCC">
            <w:pPr>
              <w:pStyle w:val="TableText"/>
            </w:pPr>
            <w:r>
              <w:t>Anti-N</w:t>
            </w:r>
          </w:p>
        </w:tc>
        <w:tc>
          <w:tcPr>
            <w:tcW w:w="1053" w:type="dxa"/>
            <w:shd w:val="clear" w:color="auto" w:fill="auto"/>
            <w:vAlign w:val="center"/>
          </w:tcPr>
          <w:p w:rsidR="00432FCC" w:rsidRDefault="00432FCC" w:rsidP="00432FCC">
            <w:pPr>
              <w:pStyle w:val="TableText"/>
            </w:pPr>
            <w:r>
              <w:t>No</w:t>
            </w:r>
          </w:p>
        </w:tc>
        <w:tc>
          <w:tcPr>
            <w:tcW w:w="1331" w:type="dxa"/>
            <w:shd w:val="clear" w:color="auto" w:fill="auto"/>
            <w:vAlign w:val="center"/>
          </w:tcPr>
          <w:p w:rsidR="00432FCC" w:rsidRDefault="00432FCC" w:rsidP="00432FCC">
            <w:pPr>
              <w:pStyle w:val="TableText"/>
              <w:rPr>
                <w:rFonts w:eastAsia="Symbol"/>
              </w:rPr>
            </w:pPr>
            <w:r>
              <w:t>No</w:t>
            </w:r>
          </w:p>
        </w:tc>
        <w:tc>
          <w:tcPr>
            <w:tcW w:w="4315" w:type="dxa"/>
            <w:shd w:val="clear" w:color="auto" w:fill="auto"/>
            <w:vAlign w:val="center"/>
          </w:tcPr>
          <w:p w:rsidR="00432FCC" w:rsidRDefault="00432FCC" w:rsidP="00432FCC">
            <w:pPr>
              <w:pStyle w:val="TableText"/>
              <w:rPr>
                <w:rFonts w:eastAsia="Symbol"/>
              </w:rPr>
            </w:pPr>
          </w:p>
        </w:tc>
      </w:tr>
      <w:tr w:rsidR="00432FCC">
        <w:tc>
          <w:tcPr>
            <w:tcW w:w="1330" w:type="dxa"/>
            <w:shd w:val="clear" w:color="auto" w:fill="auto"/>
            <w:vAlign w:val="center"/>
          </w:tcPr>
          <w:p w:rsidR="00432FCC" w:rsidRDefault="00432FCC" w:rsidP="00432FCC">
            <w:pPr>
              <w:pStyle w:val="TableText"/>
              <w:rPr>
                <w:rFonts w:eastAsia="Symbol"/>
              </w:rPr>
            </w:pPr>
            <w:r>
              <w:t>Anti-U</w:t>
            </w:r>
          </w:p>
        </w:tc>
        <w:tc>
          <w:tcPr>
            <w:tcW w:w="1331" w:type="dxa"/>
            <w:shd w:val="clear" w:color="auto" w:fill="auto"/>
            <w:vAlign w:val="center"/>
          </w:tcPr>
          <w:p w:rsidR="00432FCC" w:rsidRDefault="00432FCC" w:rsidP="00432FCC">
            <w:pPr>
              <w:pStyle w:val="TableText"/>
              <w:rPr>
                <w:b/>
                <w:bCs/>
              </w:rPr>
            </w:pPr>
            <w:r>
              <w:t>Anti-U</w:t>
            </w:r>
          </w:p>
        </w:tc>
        <w:tc>
          <w:tcPr>
            <w:tcW w:w="1053" w:type="dxa"/>
            <w:shd w:val="clear" w:color="auto" w:fill="auto"/>
            <w:vAlign w:val="center"/>
          </w:tcPr>
          <w:p w:rsidR="00432FCC" w:rsidRDefault="00432FCC" w:rsidP="00432FCC">
            <w:pPr>
              <w:pStyle w:val="TableText"/>
              <w:rPr>
                <w:b/>
                <w:bCs/>
              </w:rPr>
            </w:pPr>
            <w:r>
              <w:rPr>
                <w:bCs/>
              </w:rPr>
              <w:t>Yes</w:t>
            </w:r>
          </w:p>
        </w:tc>
        <w:tc>
          <w:tcPr>
            <w:tcW w:w="1331" w:type="dxa"/>
            <w:shd w:val="clear" w:color="auto" w:fill="auto"/>
            <w:vAlign w:val="center"/>
          </w:tcPr>
          <w:p w:rsidR="00432FCC" w:rsidRDefault="00432FCC" w:rsidP="00432FCC">
            <w:pPr>
              <w:pStyle w:val="TableText"/>
              <w:rPr>
                <w:rFonts w:eastAsia="Symbol"/>
              </w:rPr>
            </w:pPr>
            <w:r>
              <w:t>No</w:t>
            </w:r>
          </w:p>
        </w:tc>
        <w:tc>
          <w:tcPr>
            <w:tcW w:w="4315" w:type="dxa"/>
            <w:shd w:val="clear" w:color="auto" w:fill="auto"/>
            <w:vAlign w:val="center"/>
          </w:tcPr>
          <w:p w:rsidR="00432FCC" w:rsidRDefault="00432FCC" w:rsidP="00432FCC">
            <w:pPr>
              <w:pStyle w:val="TableText"/>
              <w:rPr>
                <w:rFonts w:eastAsia="Symbol"/>
              </w:rPr>
            </w:pPr>
          </w:p>
        </w:tc>
      </w:tr>
      <w:tr w:rsidR="00432FCC">
        <w:tc>
          <w:tcPr>
            <w:tcW w:w="1330" w:type="dxa"/>
            <w:shd w:val="clear" w:color="auto" w:fill="auto"/>
            <w:vAlign w:val="center"/>
          </w:tcPr>
          <w:p w:rsidR="00432FCC" w:rsidRDefault="00432FCC" w:rsidP="00432FCC">
            <w:pPr>
              <w:pStyle w:val="TableText"/>
              <w:rPr>
                <w:rFonts w:eastAsia="Symbol"/>
              </w:rPr>
            </w:pPr>
            <w:r>
              <w:t>Anti-P1</w:t>
            </w:r>
          </w:p>
        </w:tc>
        <w:tc>
          <w:tcPr>
            <w:tcW w:w="1331" w:type="dxa"/>
            <w:shd w:val="clear" w:color="auto" w:fill="auto"/>
            <w:vAlign w:val="center"/>
          </w:tcPr>
          <w:p w:rsidR="00432FCC" w:rsidRDefault="00432FCC" w:rsidP="00432FCC">
            <w:pPr>
              <w:pStyle w:val="TableText"/>
            </w:pPr>
            <w:r>
              <w:t>Anti-P1</w:t>
            </w:r>
          </w:p>
        </w:tc>
        <w:tc>
          <w:tcPr>
            <w:tcW w:w="1053" w:type="dxa"/>
            <w:shd w:val="clear" w:color="auto" w:fill="auto"/>
            <w:vAlign w:val="center"/>
          </w:tcPr>
          <w:p w:rsidR="00432FCC" w:rsidRDefault="00432FCC" w:rsidP="00432FCC">
            <w:pPr>
              <w:pStyle w:val="TableText"/>
            </w:pPr>
            <w:r>
              <w:t>No</w:t>
            </w:r>
          </w:p>
        </w:tc>
        <w:tc>
          <w:tcPr>
            <w:tcW w:w="1331" w:type="dxa"/>
            <w:shd w:val="clear" w:color="auto" w:fill="auto"/>
            <w:vAlign w:val="center"/>
          </w:tcPr>
          <w:p w:rsidR="00432FCC" w:rsidRDefault="00432FCC" w:rsidP="00432FCC">
            <w:pPr>
              <w:pStyle w:val="TableText"/>
              <w:rPr>
                <w:rFonts w:eastAsia="Symbol"/>
              </w:rPr>
            </w:pPr>
            <w:r>
              <w:t>No</w:t>
            </w:r>
          </w:p>
        </w:tc>
        <w:tc>
          <w:tcPr>
            <w:tcW w:w="4315" w:type="dxa"/>
            <w:shd w:val="clear" w:color="auto" w:fill="auto"/>
            <w:vAlign w:val="center"/>
          </w:tcPr>
          <w:p w:rsidR="00432FCC" w:rsidRDefault="00432FCC" w:rsidP="00432FCC">
            <w:pPr>
              <w:pStyle w:val="TableText"/>
              <w:rPr>
                <w:rFonts w:eastAsia="Symbol"/>
              </w:rPr>
            </w:pPr>
          </w:p>
        </w:tc>
      </w:tr>
      <w:tr w:rsidR="00432FCC">
        <w:tc>
          <w:tcPr>
            <w:tcW w:w="1330" w:type="dxa"/>
            <w:shd w:val="clear" w:color="auto" w:fill="auto"/>
            <w:vAlign w:val="center"/>
          </w:tcPr>
          <w:p w:rsidR="00432FCC" w:rsidRDefault="00432FCC" w:rsidP="00432FCC">
            <w:pPr>
              <w:pStyle w:val="TableText"/>
              <w:rPr>
                <w:rFonts w:eastAsia="Symbol"/>
              </w:rPr>
            </w:pPr>
            <w:r>
              <w:t>Anti-Le(a)</w:t>
            </w:r>
          </w:p>
        </w:tc>
        <w:tc>
          <w:tcPr>
            <w:tcW w:w="1331" w:type="dxa"/>
            <w:shd w:val="clear" w:color="auto" w:fill="auto"/>
            <w:vAlign w:val="center"/>
          </w:tcPr>
          <w:p w:rsidR="00432FCC" w:rsidRDefault="00432FCC" w:rsidP="00432FCC">
            <w:pPr>
              <w:pStyle w:val="TableText"/>
              <w:rPr>
                <w:rFonts w:eastAsia="Symbol"/>
              </w:rPr>
            </w:pPr>
            <w:r>
              <w:t>Anti-Le(a)</w:t>
            </w:r>
          </w:p>
        </w:tc>
        <w:tc>
          <w:tcPr>
            <w:tcW w:w="1053" w:type="dxa"/>
            <w:shd w:val="clear" w:color="auto" w:fill="auto"/>
            <w:vAlign w:val="center"/>
          </w:tcPr>
          <w:p w:rsidR="00432FCC" w:rsidRDefault="00432FCC" w:rsidP="00432FCC">
            <w:pPr>
              <w:pStyle w:val="TableText"/>
            </w:pPr>
            <w:r>
              <w:t>No</w:t>
            </w:r>
          </w:p>
        </w:tc>
        <w:tc>
          <w:tcPr>
            <w:tcW w:w="1331" w:type="dxa"/>
            <w:shd w:val="clear" w:color="auto" w:fill="auto"/>
            <w:vAlign w:val="center"/>
          </w:tcPr>
          <w:p w:rsidR="00432FCC" w:rsidRDefault="00432FCC" w:rsidP="00432FCC">
            <w:pPr>
              <w:pStyle w:val="TableText"/>
              <w:rPr>
                <w:rFonts w:eastAsia="Symbol"/>
              </w:rPr>
            </w:pPr>
            <w:r>
              <w:t>No</w:t>
            </w:r>
          </w:p>
        </w:tc>
        <w:tc>
          <w:tcPr>
            <w:tcW w:w="4315" w:type="dxa"/>
            <w:shd w:val="clear" w:color="auto" w:fill="auto"/>
            <w:vAlign w:val="center"/>
          </w:tcPr>
          <w:p w:rsidR="00432FCC" w:rsidRDefault="00432FCC" w:rsidP="00432FCC">
            <w:pPr>
              <w:pStyle w:val="TableText"/>
              <w:rPr>
                <w:rFonts w:eastAsia="Symbol"/>
              </w:rPr>
            </w:pPr>
          </w:p>
        </w:tc>
      </w:tr>
      <w:tr w:rsidR="00432FCC">
        <w:tc>
          <w:tcPr>
            <w:tcW w:w="1330" w:type="dxa"/>
            <w:shd w:val="clear" w:color="auto" w:fill="auto"/>
            <w:vAlign w:val="center"/>
          </w:tcPr>
          <w:p w:rsidR="00432FCC" w:rsidRDefault="00432FCC" w:rsidP="00432FCC">
            <w:pPr>
              <w:pStyle w:val="TableText"/>
              <w:rPr>
                <w:rFonts w:eastAsia="Symbol"/>
              </w:rPr>
            </w:pPr>
            <w:r>
              <w:t>Anti-Le(b)</w:t>
            </w:r>
          </w:p>
        </w:tc>
        <w:tc>
          <w:tcPr>
            <w:tcW w:w="1331" w:type="dxa"/>
            <w:shd w:val="clear" w:color="auto" w:fill="auto"/>
            <w:vAlign w:val="center"/>
          </w:tcPr>
          <w:p w:rsidR="00432FCC" w:rsidRDefault="00432FCC" w:rsidP="00432FCC">
            <w:pPr>
              <w:pStyle w:val="TableText"/>
              <w:rPr>
                <w:rFonts w:eastAsia="Symbol"/>
              </w:rPr>
            </w:pPr>
            <w:r>
              <w:t>Anti-Le(b)</w:t>
            </w:r>
          </w:p>
        </w:tc>
        <w:tc>
          <w:tcPr>
            <w:tcW w:w="1053" w:type="dxa"/>
            <w:shd w:val="clear" w:color="auto" w:fill="auto"/>
            <w:vAlign w:val="center"/>
          </w:tcPr>
          <w:p w:rsidR="00432FCC" w:rsidRDefault="00432FCC" w:rsidP="00432FCC">
            <w:pPr>
              <w:pStyle w:val="TableText"/>
            </w:pPr>
            <w:r>
              <w:t>No</w:t>
            </w:r>
          </w:p>
        </w:tc>
        <w:tc>
          <w:tcPr>
            <w:tcW w:w="1331" w:type="dxa"/>
            <w:shd w:val="clear" w:color="auto" w:fill="auto"/>
            <w:vAlign w:val="center"/>
          </w:tcPr>
          <w:p w:rsidR="00432FCC" w:rsidRDefault="00432FCC" w:rsidP="00432FCC">
            <w:pPr>
              <w:pStyle w:val="TableText"/>
              <w:rPr>
                <w:rFonts w:eastAsia="Symbol"/>
              </w:rPr>
            </w:pPr>
            <w:r>
              <w:t>No</w:t>
            </w:r>
          </w:p>
        </w:tc>
        <w:tc>
          <w:tcPr>
            <w:tcW w:w="4315" w:type="dxa"/>
            <w:shd w:val="clear" w:color="auto" w:fill="auto"/>
            <w:vAlign w:val="center"/>
          </w:tcPr>
          <w:p w:rsidR="00432FCC" w:rsidRDefault="00432FCC" w:rsidP="00432FCC">
            <w:pPr>
              <w:pStyle w:val="TableText"/>
              <w:rPr>
                <w:rFonts w:eastAsia="Symbol"/>
              </w:rPr>
            </w:pPr>
          </w:p>
        </w:tc>
      </w:tr>
      <w:tr w:rsidR="00432FCC">
        <w:tc>
          <w:tcPr>
            <w:tcW w:w="1330" w:type="dxa"/>
            <w:shd w:val="clear" w:color="auto" w:fill="auto"/>
            <w:vAlign w:val="center"/>
          </w:tcPr>
          <w:p w:rsidR="00432FCC" w:rsidRDefault="00432FCC" w:rsidP="00432FCC">
            <w:pPr>
              <w:pStyle w:val="TableText"/>
              <w:rPr>
                <w:rFonts w:eastAsia="Symbol"/>
              </w:rPr>
            </w:pPr>
            <w:r>
              <w:t>Anti-Js(a)</w:t>
            </w:r>
          </w:p>
        </w:tc>
        <w:tc>
          <w:tcPr>
            <w:tcW w:w="1331" w:type="dxa"/>
            <w:shd w:val="clear" w:color="auto" w:fill="auto"/>
            <w:vAlign w:val="center"/>
          </w:tcPr>
          <w:p w:rsidR="00432FCC" w:rsidRDefault="00432FCC" w:rsidP="00432FCC">
            <w:pPr>
              <w:pStyle w:val="TableText"/>
              <w:rPr>
                <w:rFonts w:eastAsia="Symbol"/>
              </w:rPr>
            </w:pPr>
            <w:r>
              <w:t>Anti-Js(a)</w:t>
            </w:r>
          </w:p>
        </w:tc>
        <w:tc>
          <w:tcPr>
            <w:tcW w:w="1053" w:type="dxa"/>
            <w:shd w:val="clear" w:color="auto" w:fill="auto"/>
            <w:vAlign w:val="center"/>
          </w:tcPr>
          <w:p w:rsidR="00432FCC" w:rsidRDefault="00432FCC" w:rsidP="00432FCC">
            <w:pPr>
              <w:pStyle w:val="TableText"/>
              <w:rPr>
                <w:b/>
                <w:bCs/>
              </w:rPr>
            </w:pPr>
            <w:r>
              <w:rPr>
                <w:bCs/>
              </w:rPr>
              <w:t>Yes</w:t>
            </w:r>
          </w:p>
        </w:tc>
        <w:tc>
          <w:tcPr>
            <w:tcW w:w="1331" w:type="dxa"/>
            <w:shd w:val="clear" w:color="auto" w:fill="auto"/>
            <w:vAlign w:val="center"/>
          </w:tcPr>
          <w:p w:rsidR="00432FCC" w:rsidRDefault="00432FCC" w:rsidP="00432FCC">
            <w:pPr>
              <w:pStyle w:val="TableText"/>
              <w:rPr>
                <w:rFonts w:eastAsia="Symbol"/>
              </w:rPr>
            </w:pPr>
            <w:r>
              <w:t>No</w:t>
            </w:r>
          </w:p>
        </w:tc>
        <w:tc>
          <w:tcPr>
            <w:tcW w:w="4315" w:type="dxa"/>
            <w:shd w:val="clear" w:color="auto" w:fill="auto"/>
            <w:vAlign w:val="center"/>
          </w:tcPr>
          <w:p w:rsidR="00432FCC" w:rsidRDefault="00432FCC" w:rsidP="00432FCC">
            <w:pPr>
              <w:pStyle w:val="TableText"/>
              <w:rPr>
                <w:rFonts w:eastAsia="Symbol"/>
              </w:rPr>
            </w:pPr>
          </w:p>
        </w:tc>
      </w:tr>
      <w:tr w:rsidR="00432FCC">
        <w:tc>
          <w:tcPr>
            <w:tcW w:w="1330" w:type="dxa"/>
            <w:shd w:val="clear" w:color="auto" w:fill="auto"/>
            <w:vAlign w:val="center"/>
          </w:tcPr>
          <w:p w:rsidR="00432FCC" w:rsidRDefault="00432FCC" w:rsidP="00432FCC">
            <w:pPr>
              <w:pStyle w:val="TableText"/>
              <w:rPr>
                <w:rFonts w:eastAsia="Symbol"/>
              </w:rPr>
            </w:pPr>
            <w:r>
              <w:t>Anti-Js(b)</w:t>
            </w:r>
          </w:p>
        </w:tc>
        <w:tc>
          <w:tcPr>
            <w:tcW w:w="1331" w:type="dxa"/>
            <w:shd w:val="clear" w:color="auto" w:fill="auto"/>
            <w:vAlign w:val="center"/>
          </w:tcPr>
          <w:p w:rsidR="00432FCC" w:rsidRDefault="00432FCC" w:rsidP="00432FCC">
            <w:pPr>
              <w:pStyle w:val="TableText"/>
              <w:rPr>
                <w:rFonts w:eastAsia="Symbol"/>
              </w:rPr>
            </w:pPr>
            <w:r>
              <w:t>Anti-Js(b)</w:t>
            </w:r>
          </w:p>
        </w:tc>
        <w:tc>
          <w:tcPr>
            <w:tcW w:w="1053" w:type="dxa"/>
            <w:shd w:val="clear" w:color="auto" w:fill="auto"/>
            <w:vAlign w:val="center"/>
          </w:tcPr>
          <w:p w:rsidR="00432FCC" w:rsidRDefault="00432FCC" w:rsidP="00432FCC">
            <w:pPr>
              <w:pStyle w:val="TableText"/>
              <w:rPr>
                <w:b/>
                <w:bCs/>
              </w:rPr>
            </w:pPr>
            <w:r>
              <w:rPr>
                <w:bCs/>
              </w:rPr>
              <w:t>Yes</w:t>
            </w:r>
          </w:p>
        </w:tc>
        <w:tc>
          <w:tcPr>
            <w:tcW w:w="1331" w:type="dxa"/>
            <w:shd w:val="clear" w:color="auto" w:fill="auto"/>
            <w:vAlign w:val="center"/>
          </w:tcPr>
          <w:p w:rsidR="00432FCC" w:rsidRDefault="00432FCC" w:rsidP="00432FCC">
            <w:pPr>
              <w:pStyle w:val="TableText"/>
              <w:rPr>
                <w:rFonts w:eastAsia="Symbol"/>
              </w:rPr>
            </w:pPr>
            <w:r>
              <w:t>No</w:t>
            </w:r>
          </w:p>
        </w:tc>
        <w:tc>
          <w:tcPr>
            <w:tcW w:w="4315" w:type="dxa"/>
            <w:shd w:val="clear" w:color="auto" w:fill="auto"/>
            <w:vAlign w:val="center"/>
          </w:tcPr>
          <w:p w:rsidR="00432FCC" w:rsidRDefault="00432FCC" w:rsidP="00432FCC">
            <w:pPr>
              <w:pStyle w:val="TableText"/>
              <w:rPr>
                <w:rFonts w:eastAsia="Symbol"/>
              </w:rPr>
            </w:pPr>
          </w:p>
        </w:tc>
      </w:tr>
      <w:tr w:rsidR="00432FCC">
        <w:tc>
          <w:tcPr>
            <w:tcW w:w="1330" w:type="dxa"/>
            <w:shd w:val="clear" w:color="auto" w:fill="auto"/>
            <w:vAlign w:val="center"/>
          </w:tcPr>
          <w:p w:rsidR="00432FCC" w:rsidRDefault="00432FCC" w:rsidP="00432FCC">
            <w:pPr>
              <w:pStyle w:val="TableText"/>
              <w:rPr>
                <w:rFonts w:eastAsia="Symbol"/>
              </w:rPr>
            </w:pPr>
            <w:r>
              <w:t>Anti-Lu(a)</w:t>
            </w:r>
          </w:p>
        </w:tc>
        <w:tc>
          <w:tcPr>
            <w:tcW w:w="1331" w:type="dxa"/>
            <w:shd w:val="clear" w:color="auto" w:fill="auto"/>
            <w:vAlign w:val="center"/>
          </w:tcPr>
          <w:p w:rsidR="00432FCC" w:rsidRDefault="00432FCC" w:rsidP="00432FCC">
            <w:pPr>
              <w:pStyle w:val="TableText"/>
            </w:pPr>
            <w:r>
              <w:t>Anti-Lu(a)</w:t>
            </w:r>
          </w:p>
        </w:tc>
        <w:tc>
          <w:tcPr>
            <w:tcW w:w="1053" w:type="dxa"/>
            <w:shd w:val="clear" w:color="auto" w:fill="auto"/>
            <w:vAlign w:val="center"/>
          </w:tcPr>
          <w:p w:rsidR="00432FCC" w:rsidRDefault="00432FCC" w:rsidP="00432FCC">
            <w:pPr>
              <w:pStyle w:val="TableText"/>
            </w:pPr>
            <w:r>
              <w:t>No</w:t>
            </w:r>
          </w:p>
        </w:tc>
        <w:tc>
          <w:tcPr>
            <w:tcW w:w="1331" w:type="dxa"/>
            <w:shd w:val="clear" w:color="auto" w:fill="auto"/>
            <w:vAlign w:val="center"/>
          </w:tcPr>
          <w:p w:rsidR="00432FCC" w:rsidRDefault="00432FCC" w:rsidP="00432FCC">
            <w:pPr>
              <w:pStyle w:val="TableText"/>
              <w:rPr>
                <w:rFonts w:eastAsia="Symbol"/>
              </w:rPr>
            </w:pPr>
            <w:r>
              <w:t>No</w:t>
            </w:r>
          </w:p>
        </w:tc>
        <w:tc>
          <w:tcPr>
            <w:tcW w:w="4315" w:type="dxa"/>
            <w:shd w:val="clear" w:color="auto" w:fill="auto"/>
            <w:vAlign w:val="center"/>
          </w:tcPr>
          <w:p w:rsidR="00432FCC" w:rsidRDefault="00432FCC" w:rsidP="00432FCC">
            <w:pPr>
              <w:pStyle w:val="TableText"/>
              <w:rPr>
                <w:rFonts w:eastAsia="Symbol"/>
              </w:rPr>
            </w:pPr>
          </w:p>
        </w:tc>
      </w:tr>
      <w:tr w:rsidR="00432FCC">
        <w:tc>
          <w:tcPr>
            <w:tcW w:w="1330" w:type="dxa"/>
            <w:shd w:val="clear" w:color="auto" w:fill="auto"/>
            <w:vAlign w:val="center"/>
          </w:tcPr>
          <w:p w:rsidR="00432FCC" w:rsidRDefault="00432FCC" w:rsidP="00432FCC">
            <w:pPr>
              <w:pStyle w:val="TableText"/>
              <w:rPr>
                <w:rFonts w:eastAsia="Symbol"/>
              </w:rPr>
            </w:pPr>
            <w:r>
              <w:t>Anti-Lu(b)</w:t>
            </w:r>
          </w:p>
        </w:tc>
        <w:tc>
          <w:tcPr>
            <w:tcW w:w="1331" w:type="dxa"/>
            <w:shd w:val="clear" w:color="auto" w:fill="auto"/>
            <w:vAlign w:val="center"/>
          </w:tcPr>
          <w:p w:rsidR="00432FCC" w:rsidRDefault="00432FCC" w:rsidP="00432FCC">
            <w:pPr>
              <w:pStyle w:val="TableText"/>
            </w:pPr>
            <w:r>
              <w:t>Anti-Lu(b)</w:t>
            </w:r>
          </w:p>
        </w:tc>
        <w:tc>
          <w:tcPr>
            <w:tcW w:w="1053" w:type="dxa"/>
            <w:shd w:val="clear" w:color="auto" w:fill="auto"/>
            <w:vAlign w:val="center"/>
          </w:tcPr>
          <w:p w:rsidR="00432FCC" w:rsidRDefault="00432FCC" w:rsidP="00432FCC">
            <w:pPr>
              <w:pStyle w:val="TableText"/>
            </w:pPr>
            <w:r>
              <w:t>No</w:t>
            </w:r>
          </w:p>
        </w:tc>
        <w:tc>
          <w:tcPr>
            <w:tcW w:w="1331" w:type="dxa"/>
            <w:shd w:val="clear" w:color="auto" w:fill="auto"/>
            <w:vAlign w:val="center"/>
          </w:tcPr>
          <w:p w:rsidR="00432FCC" w:rsidRDefault="00432FCC" w:rsidP="00432FCC">
            <w:pPr>
              <w:pStyle w:val="TableText"/>
              <w:rPr>
                <w:rFonts w:eastAsia="Symbol"/>
              </w:rPr>
            </w:pPr>
            <w:r>
              <w:t>No</w:t>
            </w:r>
          </w:p>
        </w:tc>
        <w:tc>
          <w:tcPr>
            <w:tcW w:w="4315" w:type="dxa"/>
            <w:shd w:val="clear" w:color="auto" w:fill="auto"/>
            <w:vAlign w:val="center"/>
          </w:tcPr>
          <w:p w:rsidR="00432FCC" w:rsidRDefault="00432FCC" w:rsidP="00432FCC">
            <w:pPr>
              <w:pStyle w:val="TableText"/>
              <w:rPr>
                <w:rFonts w:eastAsia="Symbol"/>
              </w:rPr>
            </w:pPr>
          </w:p>
        </w:tc>
      </w:tr>
      <w:tr w:rsidR="00432FCC">
        <w:tc>
          <w:tcPr>
            <w:tcW w:w="1330" w:type="dxa"/>
            <w:shd w:val="clear" w:color="auto" w:fill="auto"/>
            <w:vAlign w:val="center"/>
          </w:tcPr>
          <w:p w:rsidR="00432FCC" w:rsidRDefault="00432FCC" w:rsidP="00432FCC">
            <w:pPr>
              <w:pStyle w:val="TableText"/>
              <w:rPr>
                <w:rFonts w:eastAsia="Symbol"/>
              </w:rPr>
            </w:pPr>
            <w:r>
              <w:t>Anti-Lu3</w:t>
            </w:r>
          </w:p>
        </w:tc>
        <w:tc>
          <w:tcPr>
            <w:tcW w:w="1331" w:type="dxa"/>
            <w:shd w:val="clear" w:color="auto" w:fill="auto"/>
            <w:vAlign w:val="center"/>
          </w:tcPr>
          <w:p w:rsidR="00432FCC" w:rsidRPr="006E05B3" w:rsidRDefault="00432FCC" w:rsidP="00432FCC">
            <w:pPr>
              <w:pStyle w:val="TableText"/>
              <w:rPr>
                <w:b/>
                <w:lang w:val="fr-FR"/>
              </w:rPr>
            </w:pPr>
            <w:r w:rsidRPr="006E05B3">
              <w:rPr>
                <w:lang w:val="fr-FR"/>
              </w:rPr>
              <w:t>Anti-Lu(a)Lu(b)</w:t>
            </w:r>
          </w:p>
        </w:tc>
        <w:tc>
          <w:tcPr>
            <w:tcW w:w="1053" w:type="dxa"/>
            <w:shd w:val="clear" w:color="auto" w:fill="auto"/>
            <w:vAlign w:val="center"/>
          </w:tcPr>
          <w:p w:rsidR="00432FCC" w:rsidRDefault="00432FCC" w:rsidP="00432FCC">
            <w:pPr>
              <w:pStyle w:val="TableText"/>
              <w:rPr>
                <w:b/>
              </w:rPr>
            </w:pPr>
            <w:r>
              <w:t>No</w:t>
            </w:r>
          </w:p>
        </w:tc>
        <w:tc>
          <w:tcPr>
            <w:tcW w:w="1331" w:type="dxa"/>
            <w:shd w:val="clear" w:color="auto" w:fill="auto"/>
            <w:vAlign w:val="center"/>
          </w:tcPr>
          <w:p w:rsidR="00432FCC" w:rsidRDefault="00432FCC" w:rsidP="00432FCC">
            <w:pPr>
              <w:pStyle w:val="TableText"/>
              <w:rPr>
                <w:rFonts w:eastAsia="Symbol"/>
              </w:rPr>
            </w:pPr>
            <w:r>
              <w:t>No</w:t>
            </w:r>
          </w:p>
        </w:tc>
        <w:tc>
          <w:tcPr>
            <w:tcW w:w="4315" w:type="dxa"/>
            <w:shd w:val="clear" w:color="auto" w:fill="auto"/>
            <w:vAlign w:val="center"/>
          </w:tcPr>
          <w:p w:rsidR="00432FCC" w:rsidRDefault="00432FCC" w:rsidP="00432FCC">
            <w:pPr>
              <w:pStyle w:val="TableText"/>
              <w:rPr>
                <w:rFonts w:eastAsia="Symbol"/>
              </w:rPr>
            </w:pPr>
          </w:p>
        </w:tc>
      </w:tr>
      <w:tr w:rsidR="00432FCC">
        <w:tc>
          <w:tcPr>
            <w:tcW w:w="1330" w:type="dxa"/>
            <w:shd w:val="clear" w:color="auto" w:fill="auto"/>
            <w:vAlign w:val="center"/>
          </w:tcPr>
          <w:p w:rsidR="00432FCC" w:rsidRDefault="00432FCC" w:rsidP="00432FCC">
            <w:pPr>
              <w:pStyle w:val="TableText"/>
              <w:rPr>
                <w:rFonts w:eastAsia="Symbol"/>
              </w:rPr>
            </w:pPr>
            <w:r>
              <w:t>Anti-C(w)</w:t>
            </w:r>
          </w:p>
        </w:tc>
        <w:tc>
          <w:tcPr>
            <w:tcW w:w="1331" w:type="dxa"/>
            <w:shd w:val="clear" w:color="auto" w:fill="auto"/>
            <w:vAlign w:val="center"/>
          </w:tcPr>
          <w:p w:rsidR="00432FCC" w:rsidRDefault="00432FCC" w:rsidP="00432FCC">
            <w:pPr>
              <w:pStyle w:val="TableText"/>
            </w:pPr>
            <w:r>
              <w:t>Anti-Cw</w:t>
            </w:r>
          </w:p>
        </w:tc>
        <w:tc>
          <w:tcPr>
            <w:tcW w:w="1053" w:type="dxa"/>
            <w:shd w:val="clear" w:color="auto" w:fill="auto"/>
            <w:vAlign w:val="center"/>
          </w:tcPr>
          <w:p w:rsidR="00432FCC" w:rsidRDefault="00432FCC" w:rsidP="00432FCC">
            <w:pPr>
              <w:pStyle w:val="TableText"/>
            </w:pPr>
            <w:r>
              <w:rPr>
                <w:bCs/>
              </w:rPr>
              <w:t>Yes</w:t>
            </w:r>
          </w:p>
        </w:tc>
        <w:tc>
          <w:tcPr>
            <w:tcW w:w="1331" w:type="dxa"/>
            <w:shd w:val="clear" w:color="auto" w:fill="auto"/>
            <w:vAlign w:val="center"/>
          </w:tcPr>
          <w:p w:rsidR="00432FCC" w:rsidRDefault="00432FCC" w:rsidP="00432FCC">
            <w:pPr>
              <w:pStyle w:val="TableText"/>
              <w:rPr>
                <w:rFonts w:eastAsia="Symbol"/>
              </w:rPr>
            </w:pPr>
            <w:r>
              <w:t>No</w:t>
            </w:r>
          </w:p>
        </w:tc>
        <w:tc>
          <w:tcPr>
            <w:tcW w:w="4315" w:type="dxa"/>
            <w:shd w:val="clear" w:color="auto" w:fill="auto"/>
            <w:vAlign w:val="center"/>
          </w:tcPr>
          <w:p w:rsidR="00432FCC" w:rsidRDefault="00432FCC" w:rsidP="00432FCC">
            <w:pPr>
              <w:pStyle w:val="TableText"/>
              <w:rPr>
                <w:rFonts w:eastAsia="Symbol"/>
              </w:rPr>
            </w:pPr>
          </w:p>
        </w:tc>
      </w:tr>
      <w:tr w:rsidR="00432FCC">
        <w:tc>
          <w:tcPr>
            <w:tcW w:w="1330" w:type="dxa"/>
            <w:shd w:val="clear" w:color="auto" w:fill="auto"/>
            <w:vAlign w:val="center"/>
          </w:tcPr>
          <w:p w:rsidR="00432FCC" w:rsidRDefault="00432FCC" w:rsidP="00432FCC">
            <w:pPr>
              <w:pStyle w:val="TableText"/>
              <w:rPr>
                <w:rFonts w:eastAsia="Symbol"/>
              </w:rPr>
            </w:pPr>
            <w:r>
              <w:t>Anti-C(x)</w:t>
            </w:r>
          </w:p>
        </w:tc>
        <w:tc>
          <w:tcPr>
            <w:tcW w:w="1331" w:type="dxa"/>
            <w:shd w:val="clear" w:color="auto" w:fill="auto"/>
            <w:vAlign w:val="center"/>
          </w:tcPr>
          <w:p w:rsidR="00432FCC" w:rsidRDefault="00432FCC" w:rsidP="00432FCC">
            <w:pPr>
              <w:pStyle w:val="TableText"/>
              <w:rPr>
                <w:rFonts w:eastAsia="Symbol"/>
              </w:rPr>
            </w:pPr>
            <w:r>
              <w:t>Anti-Cx</w:t>
            </w:r>
          </w:p>
        </w:tc>
        <w:tc>
          <w:tcPr>
            <w:tcW w:w="1053" w:type="dxa"/>
            <w:shd w:val="clear" w:color="auto" w:fill="auto"/>
            <w:vAlign w:val="center"/>
          </w:tcPr>
          <w:p w:rsidR="00432FCC" w:rsidRDefault="00432FCC" w:rsidP="00432FCC">
            <w:pPr>
              <w:pStyle w:val="TableText"/>
            </w:pPr>
            <w:r>
              <w:rPr>
                <w:bCs/>
              </w:rPr>
              <w:t>Yes</w:t>
            </w:r>
          </w:p>
        </w:tc>
        <w:tc>
          <w:tcPr>
            <w:tcW w:w="1331" w:type="dxa"/>
            <w:shd w:val="clear" w:color="auto" w:fill="auto"/>
            <w:vAlign w:val="center"/>
          </w:tcPr>
          <w:p w:rsidR="00432FCC" w:rsidRDefault="00432FCC" w:rsidP="00432FCC">
            <w:pPr>
              <w:pStyle w:val="TableText"/>
              <w:rPr>
                <w:rFonts w:eastAsia="Symbol"/>
              </w:rPr>
            </w:pPr>
            <w:r>
              <w:t>No</w:t>
            </w:r>
          </w:p>
        </w:tc>
        <w:tc>
          <w:tcPr>
            <w:tcW w:w="4315" w:type="dxa"/>
            <w:shd w:val="clear" w:color="auto" w:fill="auto"/>
            <w:vAlign w:val="center"/>
          </w:tcPr>
          <w:p w:rsidR="00432FCC" w:rsidRDefault="00432FCC" w:rsidP="00432FCC">
            <w:pPr>
              <w:pStyle w:val="TableText"/>
              <w:rPr>
                <w:rFonts w:eastAsia="Symbol"/>
              </w:rPr>
            </w:pPr>
          </w:p>
        </w:tc>
      </w:tr>
      <w:tr w:rsidR="00432FCC">
        <w:tc>
          <w:tcPr>
            <w:tcW w:w="1330" w:type="dxa"/>
            <w:shd w:val="clear" w:color="auto" w:fill="auto"/>
            <w:vAlign w:val="center"/>
          </w:tcPr>
          <w:p w:rsidR="00432FCC" w:rsidRDefault="00432FCC" w:rsidP="00432FCC">
            <w:pPr>
              <w:pStyle w:val="TableText"/>
              <w:rPr>
                <w:rFonts w:eastAsia="Symbol"/>
              </w:rPr>
            </w:pPr>
            <w:r>
              <w:t>Anti-E(w)</w:t>
            </w:r>
          </w:p>
        </w:tc>
        <w:tc>
          <w:tcPr>
            <w:tcW w:w="1331" w:type="dxa"/>
            <w:shd w:val="clear" w:color="auto" w:fill="auto"/>
            <w:vAlign w:val="center"/>
          </w:tcPr>
          <w:p w:rsidR="00432FCC" w:rsidRDefault="00432FCC" w:rsidP="00432FCC">
            <w:pPr>
              <w:pStyle w:val="TableText"/>
              <w:rPr>
                <w:rFonts w:eastAsia="Symbol"/>
              </w:rPr>
            </w:pPr>
            <w:r>
              <w:t>Anti-E(w)</w:t>
            </w:r>
          </w:p>
        </w:tc>
        <w:tc>
          <w:tcPr>
            <w:tcW w:w="1053" w:type="dxa"/>
            <w:shd w:val="clear" w:color="auto" w:fill="auto"/>
            <w:vAlign w:val="center"/>
          </w:tcPr>
          <w:p w:rsidR="00432FCC" w:rsidRDefault="00432FCC" w:rsidP="00432FCC">
            <w:pPr>
              <w:pStyle w:val="TableText"/>
            </w:pPr>
            <w:r>
              <w:rPr>
                <w:bCs/>
              </w:rPr>
              <w:t>Yes</w:t>
            </w:r>
          </w:p>
        </w:tc>
        <w:tc>
          <w:tcPr>
            <w:tcW w:w="1331" w:type="dxa"/>
            <w:shd w:val="clear" w:color="auto" w:fill="auto"/>
            <w:vAlign w:val="center"/>
          </w:tcPr>
          <w:p w:rsidR="00432FCC" w:rsidRDefault="00432FCC" w:rsidP="00432FCC">
            <w:pPr>
              <w:pStyle w:val="TableText"/>
              <w:rPr>
                <w:rFonts w:eastAsia="Symbol"/>
              </w:rPr>
            </w:pPr>
            <w:r>
              <w:t>No</w:t>
            </w:r>
          </w:p>
        </w:tc>
        <w:tc>
          <w:tcPr>
            <w:tcW w:w="4315" w:type="dxa"/>
            <w:shd w:val="clear" w:color="auto" w:fill="auto"/>
            <w:vAlign w:val="center"/>
          </w:tcPr>
          <w:p w:rsidR="00432FCC" w:rsidRDefault="00432FCC" w:rsidP="00432FCC">
            <w:pPr>
              <w:pStyle w:val="TableText"/>
              <w:rPr>
                <w:rFonts w:eastAsia="Symbol"/>
              </w:rPr>
            </w:pPr>
          </w:p>
        </w:tc>
      </w:tr>
      <w:tr w:rsidR="00432FCC">
        <w:tc>
          <w:tcPr>
            <w:tcW w:w="1330" w:type="dxa"/>
            <w:shd w:val="clear" w:color="auto" w:fill="auto"/>
            <w:vAlign w:val="center"/>
          </w:tcPr>
          <w:p w:rsidR="00432FCC" w:rsidRDefault="00432FCC" w:rsidP="00432FCC">
            <w:pPr>
              <w:pStyle w:val="TableText"/>
              <w:rPr>
                <w:rFonts w:eastAsia="Symbol"/>
              </w:rPr>
            </w:pPr>
            <w:r>
              <w:t>Anti-V</w:t>
            </w:r>
          </w:p>
        </w:tc>
        <w:tc>
          <w:tcPr>
            <w:tcW w:w="1331" w:type="dxa"/>
            <w:shd w:val="clear" w:color="auto" w:fill="auto"/>
            <w:vAlign w:val="center"/>
          </w:tcPr>
          <w:p w:rsidR="00432FCC" w:rsidRDefault="00432FCC" w:rsidP="00432FCC">
            <w:pPr>
              <w:pStyle w:val="TableText"/>
            </w:pPr>
            <w:r>
              <w:t>Anti-V</w:t>
            </w:r>
          </w:p>
        </w:tc>
        <w:tc>
          <w:tcPr>
            <w:tcW w:w="1053" w:type="dxa"/>
            <w:shd w:val="clear" w:color="auto" w:fill="auto"/>
            <w:vAlign w:val="center"/>
          </w:tcPr>
          <w:p w:rsidR="00432FCC" w:rsidRDefault="00432FCC" w:rsidP="00432FCC">
            <w:pPr>
              <w:pStyle w:val="TableText"/>
            </w:pPr>
            <w:r>
              <w:rPr>
                <w:bCs/>
              </w:rPr>
              <w:t>Yes</w:t>
            </w:r>
          </w:p>
        </w:tc>
        <w:tc>
          <w:tcPr>
            <w:tcW w:w="1331" w:type="dxa"/>
            <w:shd w:val="clear" w:color="auto" w:fill="auto"/>
            <w:vAlign w:val="center"/>
          </w:tcPr>
          <w:p w:rsidR="00432FCC" w:rsidRDefault="00432FCC" w:rsidP="00432FCC">
            <w:pPr>
              <w:pStyle w:val="TableText"/>
              <w:rPr>
                <w:rFonts w:eastAsia="Symbol"/>
              </w:rPr>
            </w:pPr>
            <w:r>
              <w:t>No</w:t>
            </w:r>
          </w:p>
        </w:tc>
        <w:tc>
          <w:tcPr>
            <w:tcW w:w="4315" w:type="dxa"/>
            <w:shd w:val="clear" w:color="auto" w:fill="auto"/>
            <w:vAlign w:val="center"/>
          </w:tcPr>
          <w:p w:rsidR="00432FCC" w:rsidRDefault="00432FCC" w:rsidP="00432FCC">
            <w:pPr>
              <w:pStyle w:val="TableText"/>
              <w:rPr>
                <w:rFonts w:eastAsia="Symbol"/>
              </w:rPr>
            </w:pPr>
          </w:p>
        </w:tc>
      </w:tr>
      <w:tr w:rsidR="00432FCC">
        <w:tc>
          <w:tcPr>
            <w:tcW w:w="1330" w:type="dxa"/>
            <w:shd w:val="clear" w:color="auto" w:fill="auto"/>
            <w:vAlign w:val="center"/>
          </w:tcPr>
          <w:p w:rsidR="00432FCC" w:rsidRDefault="00432FCC" w:rsidP="00432FCC">
            <w:pPr>
              <w:pStyle w:val="TableText"/>
              <w:rPr>
                <w:rFonts w:eastAsia="Symbol"/>
              </w:rPr>
            </w:pPr>
            <w:r>
              <w:t>Anti-Xg(a)</w:t>
            </w:r>
          </w:p>
        </w:tc>
        <w:tc>
          <w:tcPr>
            <w:tcW w:w="1331" w:type="dxa"/>
            <w:shd w:val="clear" w:color="auto" w:fill="auto"/>
            <w:vAlign w:val="center"/>
          </w:tcPr>
          <w:p w:rsidR="00432FCC" w:rsidRDefault="00432FCC" w:rsidP="00432FCC">
            <w:pPr>
              <w:pStyle w:val="TableText"/>
            </w:pPr>
            <w:r>
              <w:t>Anti-Xg(a)</w:t>
            </w:r>
          </w:p>
        </w:tc>
        <w:tc>
          <w:tcPr>
            <w:tcW w:w="1053" w:type="dxa"/>
            <w:shd w:val="clear" w:color="auto" w:fill="auto"/>
            <w:vAlign w:val="center"/>
          </w:tcPr>
          <w:p w:rsidR="00432FCC" w:rsidRDefault="00432FCC" w:rsidP="00432FCC">
            <w:pPr>
              <w:pStyle w:val="TableText"/>
            </w:pPr>
            <w:r>
              <w:t>No</w:t>
            </w:r>
          </w:p>
        </w:tc>
        <w:tc>
          <w:tcPr>
            <w:tcW w:w="1331" w:type="dxa"/>
            <w:shd w:val="clear" w:color="auto" w:fill="auto"/>
            <w:vAlign w:val="center"/>
          </w:tcPr>
          <w:p w:rsidR="00432FCC" w:rsidRDefault="00432FCC" w:rsidP="00432FCC">
            <w:pPr>
              <w:pStyle w:val="TableText"/>
              <w:rPr>
                <w:rFonts w:eastAsia="Symbol"/>
              </w:rPr>
            </w:pPr>
            <w:r>
              <w:t>No</w:t>
            </w:r>
          </w:p>
        </w:tc>
        <w:tc>
          <w:tcPr>
            <w:tcW w:w="4315" w:type="dxa"/>
            <w:shd w:val="clear" w:color="auto" w:fill="auto"/>
            <w:vAlign w:val="center"/>
          </w:tcPr>
          <w:p w:rsidR="00432FCC" w:rsidRDefault="00432FCC" w:rsidP="00432FCC">
            <w:pPr>
              <w:pStyle w:val="TableText"/>
              <w:rPr>
                <w:rFonts w:eastAsia="Symbol"/>
              </w:rPr>
            </w:pPr>
          </w:p>
        </w:tc>
      </w:tr>
      <w:tr w:rsidR="00432FCC">
        <w:tc>
          <w:tcPr>
            <w:tcW w:w="1330" w:type="dxa"/>
            <w:shd w:val="clear" w:color="auto" w:fill="auto"/>
            <w:vAlign w:val="center"/>
          </w:tcPr>
          <w:p w:rsidR="00432FCC" w:rsidRDefault="00432FCC" w:rsidP="00432FCC">
            <w:pPr>
              <w:pStyle w:val="TableText"/>
              <w:rPr>
                <w:rFonts w:eastAsia="Symbol"/>
              </w:rPr>
            </w:pPr>
            <w:r>
              <w:t>Anti-M(g)</w:t>
            </w:r>
          </w:p>
        </w:tc>
        <w:tc>
          <w:tcPr>
            <w:tcW w:w="1331" w:type="dxa"/>
            <w:shd w:val="clear" w:color="auto" w:fill="auto"/>
            <w:vAlign w:val="center"/>
          </w:tcPr>
          <w:p w:rsidR="00432FCC" w:rsidRDefault="00432FCC" w:rsidP="00432FCC">
            <w:pPr>
              <w:pStyle w:val="TableText"/>
            </w:pPr>
            <w:r>
              <w:t>Anti-M(g)</w:t>
            </w:r>
          </w:p>
        </w:tc>
        <w:tc>
          <w:tcPr>
            <w:tcW w:w="1053" w:type="dxa"/>
            <w:shd w:val="clear" w:color="auto" w:fill="auto"/>
            <w:vAlign w:val="center"/>
          </w:tcPr>
          <w:p w:rsidR="00432FCC" w:rsidRDefault="00432FCC" w:rsidP="00432FCC">
            <w:pPr>
              <w:pStyle w:val="TableText"/>
            </w:pPr>
            <w:r>
              <w:t>No</w:t>
            </w:r>
          </w:p>
        </w:tc>
        <w:tc>
          <w:tcPr>
            <w:tcW w:w="1331" w:type="dxa"/>
            <w:shd w:val="clear" w:color="auto" w:fill="auto"/>
            <w:vAlign w:val="center"/>
          </w:tcPr>
          <w:p w:rsidR="00432FCC" w:rsidRDefault="00432FCC" w:rsidP="00432FCC">
            <w:pPr>
              <w:pStyle w:val="TableText"/>
              <w:rPr>
                <w:rFonts w:eastAsia="Symbol"/>
              </w:rPr>
            </w:pPr>
            <w:r>
              <w:t>No</w:t>
            </w:r>
          </w:p>
        </w:tc>
        <w:tc>
          <w:tcPr>
            <w:tcW w:w="4315" w:type="dxa"/>
            <w:shd w:val="clear" w:color="auto" w:fill="auto"/>
            <w:vAlign w:val="center"/>
          </w:tcPr>
          <w:p w:rsidR="00432FCC" w:rsidRDefault="00432FCC" w:rsidP="00432FCC">
            <w:pPr>
              <w:pStyle w:val="TableText"/>
              <w:rPr>
                <w:rFonts w:eastAsia="Symbol"/>
              </w:rPr>
            </w:pPr>
          </w:p>
        </w:tc>
      </w:tr>
      <w:tr w:rsidR="00432FCC">
        <w:tc>
          <w:tcPr>
            <w:tcW w:w="1330" w:type="dxa"/>
            <w:shd w:val="clear" w:color="auto" w:fill="auto"/>
            <w:vAlign w:val="center"/>
          </w:tcPr>
          <w:p w:rsidR="00432FCC" w:rsidRDefault="00432FCC" w:rsidP="00432FCC">
            <w:pPr>
              <w:pStyle w:val="TableText"/>
              <w:rPr>
                <w:rFonts w:eastAsia="Symbol"/>
              </w:rPr>
            </w:pPr>
            <w:r>
              <w:t>Anti-Mi(a)</w:t>
            </w:r>
          </w:p>
        </w:tc>
        <w:tc>
          <w:tcPr>
            <w:tcW w:w="1331" w:type="dxa"/>
            <w:shd w:val="clear" w:color="auto" w:fill="auto"/>
            <w:vAlign w:val="center"/>
          </w:tcPr>
          <w:p w:rsidR="00432FCC" w:rsidRDefault="00432FCC" w:rsidP="00432FCC">
            <w:pPr>
              <w:pStyle w:val="TableText"/>
            </w:pPr>
            <w:r>
              <w:t>Anti-Mi(a)</w:t>
            </w:r>
          </w:p>
        </w:tc>
        <w:tc>
          <w:tcPr>
            <w:tcW w:w="1053" w:type="dxa"/>
            <w:shd w:val="clear" w:color="auto" w:fill="auto"/>
            <w:vAlign w:val="center"/>
          </w:tcPr>
          <w:p w:rsidR="00432FCC" w:rsidRDefault="00432FCC" w:rsidP="00432FCC">
            <w:pPr>
              <w:pStyle w:val="TableText"/>
            </w:pPr>
            <w:r>
              <w:t>No</w:t>
            </w:r>
          </w:p>
        </w:tc>
        <w:tc>
          <w:tcPr>
            <w:tcW w:w="1331" w:type="dxa"/>
            <w:shd w:val="clear" w:color="auto" w:fill="auto"/>
            <w:vAlign w:val="center"/>
          </w:tcPr>
          <w:p w:rsidR="00432FCC" w:rsidRDefault="00432FCC" w:rsidP="00432FCC">
            <w:pPr>
              <w:pStyle w:val="TableText"/>
              <w:rPr>
                <w:rFonts w:eastAsia="Symbol"/>
              </w:rPr>
            </w:pPr>
            <w:r>
              <w:t>No</w:t>
            </w:r>
          </w:p>
        </w:tc>
        <w:tc>
          <w:tcPr>
            <w:tcW w:w="4315" w:type="dxa"/>
            <w:shd w:val="clear" w:color="auto" w:fill="auto"/>
            <w:vAlign w:val="center"/>
          </w:tcPr>
          <w:p w:rsidR="00432FCC" w:rsidRDefault="00432FCC" w:rsidP="00432FCC">
            <w:pPr>
              <w:pStyle w:val="TableText"/>
              <w:rPr>
                <w:rFonts w:eastAsia="Symbol"/>
              </w:rPr>
            </w:pPr>
          </w:p>
        </w:tc>
      </w:tr>
      <w:tr w:rsidR="00432FCC">
        <w:tc>
          <w:tcPr>
            <w:tcW w:w="1330" w:type="dxa"/>
            <w:shd w:val="clear" w:color="auto" w:fill="auto"/>
            <w:vAlign w:val="center"/>
          </w:tcPr>
          <w:p w:rsidR="00432FCC" w:rsidRDefault="00432FCC" w:rsidP="00432FCC">
            <w:pPr>
              <w:pStyle w:val="TableText"/>
              <w:rPr>
                <w:rFonts w:eastAsia="Symbol"/>
              </w:rPr>
            </w:pPr>
            <w:r>
              <w:t>Anti-P</w:t>
            </w:r>
          </w:p>
        </w:tc>
        <w:tc>
          <w:tcPr>
            <w:tcW w:w="1331" w:type="dxa"/>
            <w:shd w:val="clear" w:color="auto" w:fill="auto"/>
            <w:vAlign w:val="center"/>
          </w:tcPr>
          <w:p w:rsidR="00432FCC" w:rsidRDefault="00432FCC" w:rsidP="00432FCC">
            <w:pPr>
              <w:pStyle w:val="TableText"/>
            </w:pPr>
            <w:r>
              <w:t>Anti-P</w:t>
            </w:r>
          </w:p>
        </w:tc>
        <w:tc>
          <w:tcPr>
            <w:tcW w:w="1053" w:type="dxa"/>
            <w:shd w:val="clear" w:color="auto" w:fill="auto"/>
            <w:vAlign w:val="center"/>
          </w:tcPr>
          <w:p w:rsidR="00432FCC" w:rsidRDefault="00432FCC" w:rsidP="00432FCC">
            <w:pPr>
              <w:pStyle w:val="TableText"/>
            </w:pPr>
            <w:r>
              <w:t>No</w:t>
            </w:r>
          </w:p>
        </w:tc>
        <w:tc>
          <w:tcPr>
            <w:tcW w:w="1331" w:type="dxa"/>
            <w:shd w:val="clear" w:color="auto" w:fill="auto"/>
            <w:vAlign w:val="center"/>
          </w:tcPr>
          <w:p w:rsidR="00432FCC" w:rsidRDefault="00432FCC" w:rsidP="00432FCC">
            <w:pPr>
              <w:pStyle w:val="TableText"/>
              <w:rPr>
                <w:rFonts w:eastAsia="Symbol"/>
              </w:rPr>
            </w:pPr>
            <w:r>
              <w:t>No</w:t>
            </w:r>
          </w:p>
        </w:tc>
        <w:tc>
          <w:tcPr>
            <w:tcW w:w="4315" w:type="dxa"/>
            <w:shd w:val="clear" w:color="auto" w:fill="auto"/>
            <w:vAlign w:val="center"/>
          </w:tcPr>
          <w:p w:rsidR="00432FCC" w:rsidRDefault="00432FCC" w:rsidP="00432FCC">
            <w:pPr>
              <w:pStyle w:val="TableText"/>
              <w:rPr>
                <w:rFonts w:eastAsia="Symbol"/>
              </w:rPr>
            </w:pPr>
          </w:p>
        </w:tc>
      </w:tr>
      <w:tr w:rsidR="00432FCC">
        <w:tc>
          <w:tcPr>
            <w:tcW w:w="1330" w:type="dxa"/>
            <w:shd w:val="clear" w:color="auto" w:fill="auto"/>
            <w:vAlign w:val="center"/>
          </w:tcPr>
          <w:p w:rsidR="00432FCC" w:rsidRDefault="00432FCC" w:rsidP="00432FCC">
            <w:pPr>
              <w:pStyle w:val="TableText"/>
              <w:rPr>
                <w:rFonts w:eastAsia="Symbol"/>
              </w:rPr>
            </w:pPr>
            <w:r>
              <w:t>Anti-A1</w:t>
            </w:r>
          </w:p>
        </w:tc>
        <w:tc>
          <w:tcPr>
            <w:tcW w:w="1331" w:type="dxa"/>
            <w:shd w:val="clear" w:color="auto" w:fill="auto"/>
            <w:vAlign w:val="center"/>
          </w:tcPr>
          <w:p w:rsidR="00432FCC" w:rsidRDefault="00432FCC" w:rsidP="00432FCC">
            <w:pPr>
              <w:pStyle w:val="TableText"/>
            </w:pPr>
            <w:r>
              <w:t>Anti-A-1</w:t>
            </w:r>
          </w:p>
        </w:tc>
        <w:tc>
          <w:tcPr>
            <w:tcW w:w="1053" w:type="dxa"/>
            <w:shd w:val="clear" w:color="auto" w:fill="auto"/>
            <w:vAlign w:val="center"/>
          </w:tcPr>
          <w:p w:rsidR="00432FCC" w:rsidRDefault="00432FCC" w:rsidP="00432FCC">
            <w:pPr>
              <w:pStyle w:val="TableText"/>
            </w:pPr>
            <w:r>
              <w:t>No</w:t>
            </w:r>
          </w:p>
        </w:tc>
        <w:tc>
          <w:tcPr>
            <w:tcW w:w="1331" w:type="dxa"/>
            <w:shd w:val="clear" w:color="auto" w:fill="auto"/>
            <w:vAlign w:val="center"/>
          </w:tcPr>
          <w:p w:rsidR="00432FCC" w:rsidRDefault="00432FCC" w:rsidP="00432FCC">
            <w:pPr>
              <w:pStyle w:val="TableText"/>
              <w:rPr>
                <w:rFonts w:eastAsia="Symbol"/>
              </w:rPr>
            </w:pPr>
            <w:r>
              <w:t>No</w:t>
            </w:r>
          </w:p>
        </w:tc>
        <w:tc>
          <w:tcPr>
            <w:tcW w:w="4315" w:type="dxa"/>
            <w:shd w:val="clear" w:color="auto" w:fill="auto"/>
            <w:vAlign w:val="center"/>
          </w:tcPr>
          <w:p w:rsidR="00432FCC" w:rsidRDefault="00432FCC" w:rsidP="00432FCC">
            <w:pPr>
              <w:pStyle w:val="TableText"/>
              <w:rPr>
                <w:rFonts w:eastAsia="Symbol"/>
              </w:rPr>
            </w:pPr>
          </w:p>
        </w:tc>
      </w:tr>
      <w:tr w:rsidR="00432FCC">
        <w:tc>
          <w:tcPr>
            <w:tcW w:w="1330" w:type="dxa"/>
            <w:shd w:val="clear" w:color="auto" w:fill="auto"/>
            <w:vAlign w:val="center"/>
          </w:tcPr>
          <w:p w:rsidR="00432FCC" w:rsidRDefault="00432FCC" w:rsidP="00432FCC">
            <w:pPr>
              <w:pStyle w:val="TableText"/>
              <w:rPr>
                <w:rFonts w:eastAsia="Symbol"/>
              </w:rPr>
            </w:pPr>
            <w:r>
              <w:t>Anti-H</w:t>
            </w:r>
          </w:p>
        </w:tc>
        <w:tc>
          <w:tcPr>
            <w:tcW w:w="1331" w:type="dxa"/>
            <w:shd w:val="clear" w:color="auto" w:fill="auto"/>
            <w:vAlign w:val="center"/>
          </w:tcPr>
          <w:p w:rsidR="00432FCC" w:rsidRDefault="00432FCC" w:rsidP="00432FCC">
            <w:pPr>
              <w:pStyle w:val="TableText"/>
              <w:rPr>
                <w:rFonts w:eastAsia="Symbol"/>
              </w:rPr>
            </w:pPr>
            <w:r>
              <w:t>Anti-H</w:t>
            </w:r>
          </w:p>
        </w:tc>
        <w:tc>
          <w:tcPr>
            <w:tcW w:w="1053" w:type="dxa"/>
            <w:shd w:val="clear" w:color="auto" w:fill="auto"/>
            <w:vAlign w:val="center"/>
          </w:tcPr>
          <w:p w:rsidR="00432FCC" w:rsidRDefault="00432FCC" w:rsidP="00432FCC">
            <w:pPr>
              <w:pStyle w:val="TableText"/>
            </w:pPr>
            <w:r>
              <w:t>No</w:t>
            </w:r>
          </w:p>
        </w:tc>
        <w:tc>
          <w:tcPr>
            <w:tcW w:w="1331" w:type="dxa"/>
            <w:shd w:val="clear" w:color="auto" w:fill="auto"/>
            <w:vAlign w:val="center"/>
          </w:tcPr>
          <w:p w:rsidR="00432FCC" w:rsidRDefault="00432FCC" w:rsidP="00432FCC">
            <w:pPr>
              <w:pStyle w:val="TableText"/>
              <w:rPr>
                <w:rFonts w:eastAsia="Symbol"/>
              </w:rPr>
            </w:pPr>
            <w:r>
              <w:t>No</w:t>
            </w:r>
          </w:p>
        </w:tc>
        <w:tc>
          <w:tcPr>
            <w:tcW w:w="4315" w:type="dxa"/>
            <w:shd w:val="clear" w:color="auto" w:fill="auto"/>
            <w:vAlign w:val="center"/>
          </w:tcPr>
          <w:p w:rsidR="00432FCC" w:rsidRDefault="00432FCC" w:rsidP="00432FCC">
            <w:pPr>
              <w:pStyle w:val="TableText"/>
              <w:rPr>
                <w:rFonts w:eastAsia="Symbol"/>
              </w:rPr>
            </w:pPr>
          </w:p>
        </w:tc>
      </w:tr>
      <w:tr w:rsidR="00432FCC">
        <w:tc>
          <w:tcPr>
            <w:tcW w:w="1330" w:type="dxa"/>
            <w:shd w:val="clear" w:color="auto" w:fill="auto"/>
            <w:vAlign w:val="center"/>
          </w:tcPr>
          <w:p w:rsidR="00432FCC" w:rsidRDefault="00432FCC" w:rsidP="00432FCC">
            <w:pPr>
              <w:pStyle w:val="TableText"/>
              <w:rPr>
                <w:rFonts w:eastAsia="Symbol"/>
              </w:rPr>
            </w:pPr>
            <w:r>
              <w:t>Anti-Le(ab)</w:t>
            </w:r>
          </w:p>
        </w:tc>
        <w:tc>
          <w:tcPr>
            <w:tcW w:w="1331" w:type="dxa"/>
            <w:shd w:val="clear" w:color="auto" w:fill="auto"/>
            <w:vAlign w:val="center"/>
          </w:tcPr>
          <w:p w:rsidR="00432FCC" w:rsidRDefault="00432FCC" w:rsidP="00432FCC">
            <w:pPr>
              <w:pStyle w:val="TableText"/>
            </w:pPr>
            <w:r>
              <w:t>Anti-Le(x)</w:t>
            </w:r>
          </w:p>
        </w:tc>
        <w:tc>
          <w:tcPr>
            <w:tcW w:w="1053" w:type="dxa"/>
            <w:shd w:val="clear" w:color="auto" w:fill="auto"/>
            <w:vAlign w:val="center"/>
          </w:tcPr>
          <w:p w:rsidR="00432FCC" w:rsidRDefault="00432FCC" w:rsidP="00432FCC">
            <w:pPr>
              <w:pStyle w:val="TableText"/>
            </w:pPr>
            <w:r>
              <w:t>No</w:t>
            </w:r>
          </w:p>
        </w:tc>
        <w:tc>
          <w:tcPr>
            <w:tcW w:w="1331" w:type="dxa"/>
            <w:shd w:val="clear" w:color="auto" w:fill="auto"/>
            <w:vAlign w:val="center"/>
          </w:tcPr>
          <w:p w:rsidR="00432FCC" w:rsidRDefault="00432FCC" w:rsidP="00432FCC">
            <w:pPr>
              <w:pStyle w:val="TableText"/>
              <w:rPr>
                <w:rFonts w:eastAsia="Symbol"/>
              </w:rPr>
            </w:pPr>
            <w:r>
              <w:t>No</w:t>
            </w:r>
          </w:p>
        </w:tc>
        <w:tc>
          <w:tcPr>
            <w:tcW w:w="4315" w:type="dxa"/>
            <w:shd w:val="clear" w:color="auto" w:fill="auto"/>
            <w:vAlign w:val="center"/>
          </w:tcPr>
          <w:p w:rsidR="00432FCC" w:rsidRDefault="00432FCC" w:rsidP="00432FCC">
            <w:pPr>
              <w:pStyle w:val="TableText"/>
              <w:rPr>
                <w:rFonts w:eastAsia="Symbol"/>
              </w:rPr>
            </w:pPr>
          </w:p>
        </w:tc>
      </w:tr>
      <w:tr w:rsidR="00432FCC">
        <w:tc>
          <w:tcPr>
            <w:tcW w:w="1330" w:type="dxa"/>
            <w:shd w:val="clear" w:color="auto" w:fill="auto"/>
            <w:vAlign w:val="center"/>
          </w:tcPr>
          <w:p w:rsidR="00432FCC" w:rsidRDefault="00432FCC" w:rsidP="00432FCC">
            <w:pPr>
              <w:pStyle w:val="TableText"/>
              <w:rPr>
                <w:rFonts w:eastAsia="Symbol"/>
              </w:rPr>
            </w:pPr>
            <w:r>
              <w:t>Anti-Di(a)</w:t>
            </w:r>
          </w:p>
        </w:tc>
        <w:tc>
          <w:tcPr>
            <w:tcW w:w="1331" w:type="dxa"/>
            <w:shd w:val="clear" w:color="auto" w:fill="auto"/>
            <w:vAlign w:val="center"/>
          </w:tcPr>
          <w:p w:rsidR="00432FCC" w:rsidRDefault="00432FCC" w:rsidP="00432FCC">
            <w:pPr>
              <w:pStyle w:val="TableText"/>
              <w:rPr>
                <w:rFonts w:eastAsia="Symbol"/>
              </w:rPr>
            </w:pPr>
            <w:r>
              <w:t>Anti-Di(a)</w:t>
            </w:r>
          </w:p>
        </w:tc>
        <w:tc>
          <w:tcPr>
            <w:tcW w:w="1053" w:type="dxa"/>
            <w:shd w:val="clear" w:color="auto" w:fill="auto"/>
            <w:vAlign w:val="center"/>
          </w:tcPr>
          <w:p w:rsidR="00432FCC" w:rsidRDefault="00432FCC" w:rsidP="00432FCC">
            <w:pPr>
              <w:pStyle w:val="TableText"/>
            </w:pPr>
            <w:r>
              <w:t>No</w:t>
            </w:r>
          </w:p>
        </w:tc>
        <w:tc>
          <w:tcPr>
            <w:tcW w:w="1331" w:type="dxa"/>
            <w:shd w:val="clear" w:color="auto" w:fill="auto"/>
            <w:vAlign w:val="center"/>
          </w:tcPr>
          <w:p w:rsidR="00432FCC" w:rsidRDefault="00432FCC" w:rsidP="00432FCC">
            <w:pPr>
              <w:pStyle w:val="TableText"/>
              <w:rPr>
                <w:rFonts w:eastAsia="Symbol"/>
              </w:rPr>
            </w:pPr>
            <w:r>
              <w:t>No</w:t>
            </w:r>
          </w:p>
        </w:tc>
        <w:tc>
          <w:tcPr>
            <w:tcW w:w="4315" w:type="dxa"/>
            <w:shd w:val="clear" w:color="auto" w:fill="auto"/>
            <w:vAlign w:val="center"/>
          </w:tcPr>
          <w:p w:rsidR="00432FCC" w:rsidRDefault="00432FCC" w:rsidP="00432FCC">
            <w:pPr>
              <w:pStyle w:val="TableText"/>
              <w:rPr>
                <w:rFonts w:eastAsia="Symbol"/>
              </w:rPr>
            </w:pPr>
          </w:p>
        </w:tc>
      </w:tr>
      <w:tr w:rsidR="00432FCC">
        <w:tc>
          <w:tcPr>
            <w:tcW w:w="1330" w:type="dxa"/>
            <w:shd w:val="clear" w:color="auto" w:fill="auto"/>
            <w:vAlign w:val="center"/>
          </w:tcPr>
          <w:p w:rsidR="00432FCC" w:rsidRDefault="00432FCC" w:rsidP="00432FCC">
            <w:pPr>
              <w:pStyle w:val="TableText"/>
              <w:rPr>
                <w:rFonts w:eastAsia="Symbol"/>
              </w:rPr>
            </w:pPr>
            <w:r>
              <w:t>Anti-Di(b)</w:t>
            </w:r>
          </w:p>
        </w:tc>
        <w:tc>
          <w:tcPr>
            <w:tcW w:w="1331" w:type="dxa"/>
            <w:shd w:val="clear" w:color="auto" w:fill="auto"/>
            <w:vAlign w:val="center"/>
          </w:tcPr>
          <w:p w:rsidR="00432FCC" w:rsidRDefault="00432FCC" w:rsidP="00432FCC">
            <w:pPr>
              <w:pStyle w:val="TableText"/>
              <w:rPr>
                <w:rFonts w:eastAsia="Symbol"/>
              </w:rPr>
            </w:pPr>
            <w:r>
              <w:t>Anti-Di(b)</w:t>
            </w:r>
          </w:p>
        </w:tc>
        <w:tc>
          <w:tcPr>
            <w:tcW w:w="1053" w:type="dxa"/>
            <w:shd w:val="clear" w:color="auto" w:fill="auto"/>
            <w:vAlign w:val="center"/>
          </w:tcPr>
          <w:p w:rsidR="00432FCC" w:rsidRDefault="00432FCC" w:rsidP="00432FCC">
            <w:pPr>
              <w:pStyle w:val="TableText"/>
            </w:pPr>
            <w:r>
              <w:t>No</w:t>
            </w:r>
          </w:p>
        </w:tc>
        <w:tc>
          <w:tcPr>
            <w:tcW w:w="1331" w:type="dxa"/>
            <w:shd w:val="clear" w:color="auto" w:fill="auto"/>
            <w:vAlign w:val="center"/>
          </w:tcPr>
          <w:p w:rsidR="00432FCC" w:rsidRDefault="00432FCC" w:rsidP="00432FCC">
            <w:pPr>
              <w:pStyle w:val="TableText"/>
              <w:rPr>
                <w:rFonts w:eastAsia="Symbol"/>
              </w:rPr>
            </w:pPr>
            <w:r>
              <w:t>No</w:t>
            </w:r>
          </w:p>
        </w:tc>
        <w:tc>
          <w:tcPr>
            <w:tcW w:w="4315" w:type="dxa"/>
            <w:shd w:val="clear" w:color="auto" w:fill="auto"/>
            <w:vAlign w:val="center"/>
          </w:tcPr>
          <w:p w:rsidR="00432FCC" w:rsidRDefault="00432FCC" w:rsidP="00432FCC">
            <w:pPr>
              <w:pStyle w:val="TableText"/>
              <w:rPr>
                <w:rFonts w:eastAsia="Symbol"/>
              </w:rPr>
            </w:pPr>
          </w:p>
        </w:tc>
      </w:tr>
      <w:tr w:rsidR="00432FCC">
        <w:tc>
          <w:tcPr>
            <w:tcW w:w="1330" w:type="dxa"/>
            <w:shd w:val="clear" w:color="auto" w:fill="auto"/>
            <w:vAlign w:val="center"/>
          </w:tcPr>
          <w:p w:rsidR="00432FCC" w:rsidRDefault="00432FCC" w:rsidP="00432FCC">
            <w:pPr>
              <w:pStyle w:val="TableText"/>
              <w:rPr>
                <w:rFonts w:eastAsia="Symbol"/>
              </w:rPr>
            </w:pPr>
            <w:r>
              <w:t>Anti-Do(a)</w:t>
            </w:r>
          </w:p>
        </w:tc>
        <w:tc>
          <w:tcPr>
            <w:tcW w:w="1331" w:type="dxa"/>
            <w:shd w:val="clear" w:color="auto" w:fill="auto"/>
            <w:vAlign w:val="center"/>
          </w:tcPr>
          <w:p w:rsidR="00432FCC" w:rsidRDefault="00432FCC" w:rsidP="00432FCC">
            <w:pPr>
              <w:pStyle w:val="TableText"/>
              <w:rPr>
                <w:rFonts w:eastAsia="Symbol"/>
              </w:rPr>
            </w:pPr>
            <w:r>
              <w:t>Anti-Do(a)</w:t>
            </w:r>
          </w:p>
        </w:tc>
        <w:tc>
          <w:tcPr>
            <w:tcW w:w="1053" w:type="dxa"/>
            <w:shd w:val="clear" w:color="auto" w:fill="auto"/>
            <w:vAlign w:val="center"/>
          </w:tcPr>
          <w:p w:rsidR="00432FCC" w:rsidRDefault="00432FCC" w:rsidP="00432FCC">
            <w:pPr>
              <w:pStyle w:val="TableText"/>
            </w:pPr>
            <w:r>
              <w:t>No</w:t>
            </w:r>
          </w:p>
        </w:tc>
        <w:tc>
          <w:tcPr>
            <w:tcW w:w="1331" w:type="dxa"/>
            <w:shd w:val="clear" w:color="auto" w:fill="auto"/>
            <w:vAlign w:val="center"/>
          </w:tcPr>
          <w:p w:rsidR="00432FCC" w:rsidRDefault="00432FCC" w:rsidP="00432FCC">
            <w:pPr>
              <w:pStyle w:val="TableText"/>
              <w:rPr>
                <w:rFonts w:eastAsia="Symbol"/>
              </w:rPr>
            </w:pPr>
            <w:r>
              <w:t>No</w:t>
            </w:r>
          </w:p>
        </w:tc>
        <w:tc>
          <w:tcPr>
            <w:tcW w:w="4315" w:type="dxa"/>
            <w:shd w:val="clear" w:color="auto" w:fill="auto"/>
            <w:vAlign w:val="center"/>
          </w:tcPr>
          <w:p w:rsidR="00432FCC" w:rsidRDefault="00432FCC" w:rsidP="00432FCC">
            <w:pPr>
              <w:pStyle w:val="TableText"/>
            </w:pPr>
          </w:p>
        </w:tc>
      </w:tr>
      <w:tr w:rsidR="00432FCC">
        <w:tc>
          <w:tcPr>
            <w:tcW w:w="1330" w:type="dxa"/>
            <w:shd w:val="clear" w:color="auto" w:fill="auto"/>
            <w:vAlign w:val="center"/>
          </w:tcPr>
          <w:p w:rsidR="00432FCC" w:rsidRDefault="00432FCC" w:rsidP="00432FCC">
            <w:pPr>
              <w:pStyle w:val="TableText"/>
              <w:rPr>
                <w:rFonts w:eastAsia="Symbol"/>
              </w:rPr>
            </w:pPr>
            <w:r>
              <w:t>Anti-Do(b)</w:t>
            </w:r>
          </w:p>
        </w:tc>
        <w:tc>
          <w:tcPr>
            <w:tcW w:w="1331" w:type="dxa"/>
            <w:shd w:val="clear" w:color="auto" w:fill="auto"/>
            <w:vAlign w:val="center"/>
          </w:tcPr>
          <w:p w:rsidR="00432FCC" w:rsidRDefault="00432FCC" w:rsidP="00432FCC">
            <w:pPr>
              <w:pStyle w:val="TableText"/>
              <w:rPr>
                <w:rFonts w:eastAsia="Symbol"/>
              </w:rPr>
            </w:pPr>
            <w:r>
              <w:t>None</w:t>
            </w:r>
          </w:p>
        </w:tc>
        <w:tc>
          <w:tcPr>
            <w:tcW w:w="1053" w:type="dxa"/>
            <w:shd w:val="clear" w:color="auto" w:fill="auto"/>
            <w:vAlign w:val="center"/>
          </w:tcPr>
          <w:p w:rsidR="00432FCC" w:rsidRDefault="00432FCC" w:rsidP="00432FCC">
            <w:pPr>
              <w:pStyle w:val="TableText"/>
            </w:pPr>
            <w:r>
              <w:t>No</w:t>
            </w:r>
          </w:p>
        </w:tc>
        <w:tc>
          <w:tcPr>
            <w:tcW w:w="1331" w:type="dxa"/>
            <w:shd w:val="clear" w:color="auto" w:fill="auto"/>
            <w:vAlign w:val="center"/>
          </w:tcPr>
          <w:p w:rsidR="00432FCC" w:rsidRDefault="00432FCC" w:rsidP="00432FCC">
            <w:pPr>
              <w:pStyle w:val="TableText"/>
              <w:rPr>
                <w:rFonts w:eastAsia="Symbol"/>
              </w:rPr>
            </w:pPr>
            <w:r>
              <w:t>No</w:t>
            </w:r>
          </w:p>
        </w:tc>
        <w:tc>
          <w:tcPr>
            <w:tcW w:w="4315" w:type="dxa"/>
            <w:shd w:val="clear" w:color="auto" w:fill="auto"/>
            <w:vAlign w:val="center"/>
          </w:tcPr>
          <w:p w:rsidR="00432FCC" w:rsidRDefault="00432FCC" w:rsidP="00432FCC">
            <w:pPr>
              <w:pStyle w:val="TableText"/>
            </w:pPr>
          </w:p>
        </w:tc>
      </w:tr>
      <w:tr w:rsidR="00432FCC">
        <w:tc>
          <w:tcPr>
            <w:tcW w:w="1330" w:type="dxa"/>
            <w:shd w:val="clear" w:color="auto" w:fill="auto"/>
            <w:vAlign w:val="center"/>
          </w:tcPr>
          <w:p w:rsidR="00432FCC" w:rsidRDefault="00432FCC" w:rsidP="00432FCC">
            <w:pPr>
              <w:pStyle w:val="TableText"/>
              <w:rPr>
                <w:rFonts w:eastAsia="Symbol"/>
              </w:rPr>
            </w:pPr>
            <w:r>
              <w:t>Anti-Co(a)</w:t>
            </w:r>
          </w:p>
        </w:tc>
        <w:tc>
          <w:tcPr>
            <w:tcW w:w="1331" w:type="dxa"/>
            <w:shd w:val="clear" w:color="auto" w:fill="auto"/>
            <w:vAlign w:val="center"/>
          </w:tcPr>
          <w:p w:rsidR="00432FCC" w:rsidRDefault="00432FCC" w:rsidP="00432FCC">
            <w:pPr>
              <w:pStyle w:val="TableText"/>
              <w:rPr>
                <w:rFonts w:eastAsia="Symbol"/>
              </w:rPr>
            </w:pPr>
            <w:r>
              <w:t>None</w:t>
            </w:r>
          </w:p>
        </w:tc>
        <w:tc>
          <w:tcPr>
            <w:tcW w:w="1053" w:type="dxa"/>
            <w:shd w:val="clear" w:color="auto" w:fill="auto"/>
            <w:vAlign w:val="center"/>
          </w:tcPr>
          <w:p w:rsidR="00432FCC" w:rsidRDefault="00432FCC" w:rsidP="00432FCC">
            <w:pPr>
              <w:pStyle w:val="TableText"/>
            </w:pPr>
            <w:r>
              <w:t>No</w:t>
            </w:r>
          </w:p>
        </w:tc>
        <w:tc>
          <w:tcPr>
            <w:tcW w:w="1331" w:type="dxa"/>
            <w:shd w:val="clear" w:color="auto" w:fill="auto"/>
            <w:vAlign w:val="center"/>
          </w:tcPr>
          <w:p w:rsidR="00432FCC" w:rsidRDefault="00432FCC" w:rsidP="00432FCC">
            <w:pPr>
              <w:pStyle w:val="TableText"/>
              <w:rPr>
                <w:rFonts w:eastAsia="Symbol"/>
              </w:rPr>
            </w:pPr>
            <w:r>
              <w:t>No</w:t>
            </w:r>
          </w:p>
        </w:tc>
        <w:tc>
          <w:tcPr>
            <w:tcW w:w="4315" w:type="dxa"/>
            <w:shd w:val="clear" w:color="auto" w:fill="auto"/>
            <w:vAlign w:val="center"/>
          </w:tcPr>
          <w:p w:rsidR="00432FCC" w:rsidRDefault="00432FCC" w:rsidP="00432FCC">
            <w:pPr>
              <w:pStyle w:val="TableText"/>
            </w:pPr>
          </w:p>
        </w:tc>
      </w:tr>
      <w:tr w:rsidR="00432FCC">
        <w:tc>
          <w:tcPr>
            <w:tcW w:w="1330" w:type="dxa"/>
            <w:shd w:val="clear" w:color="auto" w:fill="auto"/>
            <w:vAlign w:val="center"/>
          </w:tcPr>
          <w:p w:rsidR="00432FCC" w:rsidRDefault="00432FCC" w:rsidP="00432FCC">
            <w:pPr>
              <w:pStyle w:val="TableText"/>
              <w:rPr>
                <w:rFonts w:eastAsia="Symbol"/>
              </w:rPr>
            </w:pPr>
            <w:r>
              <w:t>Anti-Co(b)</w:t>
            </w:r>
          </w:p>
        </w:tc>
        <w:tc>
          <w:tcPr>
            <w:tcW w:w="1331" w:type="dxa"/>
            <w:shd w:val="clear" w:color="auto" w:fill="auto"/>
            <w:vAlign w:val="center"/>
          </w:tcPr>
          <w:p w:rsidR="00432FCC" w:rsidRDefault="00432FCC" w:rsidP="00432FCC">
            <w:pPr>
              <w:pStyle w:val="TableText"/>
              <w:rPr>
                <w:rFonts w:eastAsia="Symbol"/>
              </w:rPr>
            </w:pPr>
            <w:r>
              <w:t>None</w:t>
            </w:r>
          </w:p>
        </w:tc>
        <w:tc>
          <w:tcPr>
            <w:tcW w:w="1053" w:type="dxa"/>
            <w:shd w:val="clear" w:color="auto" w:fill="auto"/>
            <w:vAlign w:val="center"/>
          </w:tcPr>
          <w:p w:rsidR="00432FCC" w:rsidRDefault="00432FCC" w:rsidP="00432FCC">
            <w:pPr>
              <w:pStyle w:val="TableText"/>
            </w:pPr>
            <w:r>
              <w:t>No</w:t>
            </w:r>
          </w:p>
        </w:tc>
        <w:tc>
          <w:tcPr>
            <w:tcW w:w="1331" w:type="dxa"/>
            <w:shd w:val="clear" w:color="auto" w:fill="auto"/>
            <w:vAlign w:val="center"/>
          </w:tcPr>
          <w:p w:rsidR="00432FCC" w:rsidRDefault="00432FCC" w:rsidP="00432FCC">
            <w:pPr>
              <w:pStyle w:val="TableText"/>
              <w:rPr>
                <w:rFonts w:eastAsia="Symbol"/>
              </w:rPr>
            </w:pPr>
            <w:r>
              <w:t>No</w:t>
            </w:r>
          </w:p>
        </w:tc>
        <w:tc>
          <w:tcPr>
            <w:tcW w:w="4315" w:type="dxa"/>
            <w:shd w:val="clear" w:color="auto" w:fill="auto"/>
            <w:vAlign w:val="center"/>
          </w:tcPr>
          <w:p w:rsidR="00432FCC" w:rsidRDefault="00432FCC" w:rsidP="00432FCC">
            <w:pPr>
              <w:pStyle w:val="TableText"/>
            </w:pPr>
          </w:p>
        </w:tc>
      </w:tr>
      <w:tr w:rsidR="00432FCC">
        <w:tc>
          <w:tcPr>
            <w:tcW w:w="1330" w:type="dxa"/>
            <w:shd w:val="clear" w:color="auto" w:fill="auto"/>
            <w:vAlign w:val="center"/>
          </w:tcPr>
          <w:p w:rsidR="00432FCC" w:rsidRDefault="00432FCC" w:rsidP="00432FCC">
            <w:pPr>
              <w:pStyle w:val="TableText"/>
              <w:rPr>
                <w:rFonts w:eastAsia="Symbol"/>
              </w:rPr>
            </w:pPr>
            <w:r>
              <w:t>Anti-LW(a)</w:t>
            </w:r>
          </w:p>
        </w:tc>
        <w:tc>
          <w:tcPr>
            <w:tcW w:w="1331" w:type="dxa"/>
            <w:shd w:val="clear" w:color="auto" w:fill="auto"/>
            <w:vAlign w:val="center"/>
          </w:tcPr>
          <w:p w:rsidR="00432FCC" w:rsidRDefault="00432FCC" w:rsidP="00432FCC">
            <w:pPr>
              <w:pStyle w:val="TableText"/>
            </w:pPr>
            <w:r>
              <w:t>None</w:t>
            </w:r>
          </w:p>
        </w:tc>
        <w:tc>
          <w:tcPr>
            <w:tcW w:w="1053" w:type="dxa"/>
            <w:shd w:val="clear" w:color="auto" w:fill="auto"/>
            <w:vAlign w:val="center"/>
          </w:tcPr>
          <w:p w:rsidR="00432FCC" w:rsidRDefault="00432FCC" w:rsidP="00432FCC">
            <w:pPr>
              <w:pStyle w:val="TableText"/>
            </w:pPr>
            <w:r>
              <w:t>No</w:t>
            </w:r>
          </w:p>
        </w:tc>
        <w:tc>
          <w:tcPr>
            <w:tcW w:w="1331" w:type="dxa"/>
            <w:shd w:val="clear" w:color="auto" w:fill="auto"/>
            <w:vAlign w:val="center"/>
          </w:tcPr>
          <w:p w:rsidR="00432FCC" w:rsidRDefault="00432FCC" w:rsidP="00432FCC">
            <w:pPr>
              <w:pStyle w:val="TableText"/>
              <w:rPr>
                <w:rFonts w:eastAsia="Symbol"/>
              </w:rPr>
            </w:pPr>
            <w:r>
              <w:t>No</w:t>
            </w:r>
          </w:p>
        </w:tc>
        <w:tc>
          <w:tcPr>
            <w:tcW w:w="4315" w:type="dxa"/>
            <w:shd w:val="clear" w:color="auto" w:fill="auto"/>
            <w:vAlign w:val="center"/>
          </w:tcPr>
          <w:p w:rsidR="00432FCC" w:rsidRDefault="00432FCC" w:rsidP="00432FCC">
            <w:pPr>
              <w:pStyle w:val="TableText"/>
            </w:pPr>
          </w:p>
        </w:tc>
      </w:tr>
      <w:tr w:rsidR="00432FCC">
        <w:tc>
          <w:tcPr>
            <w:tcW w:w="1330" w:type="dxa"/>
            <w:shd w:val="clear" w:color="auto" w:fill="auto"/>
            <w:vAlign w:val="center"/>
          </w:tcPr>
          <w:p w:rsidR="00432FCC" w:rsidRDefault="00432FCC" w:rsidP="00432FCC">
            <w:pPr>
              <w:pStyle w:val="TableText"/>
              <w:rPr>
                <w:rFonts w:eastAsia="Symbol"/>
              </w:rPr>
            </w:pPr>
            <w:r>
              <w:t>Anti-LW(b)</w:t>
            </w:r>
          </w:p>
        </w:tc>
        <w:tc>
          <w:tcPr>
            <w:tcW w:w="1331" w:type="dxa"/>
            <w:shd w:val="clear" w:color="auto" w:fill="auto"/>
            <w:vAlign w:val="center"/>
          </w:tcPr>
          <w:p w:rsidR="00432FCC" w:rsidRDefault="00432FCC" w:rsidP="00432FCC">
            <w:pPr>
              <w:pStyle w:val="TableText"/>
            </w:pPr>
            <w:r>
              <w:t>None</w:t>
            </w:r>
          </w:p>
        </w:tc>
        <w:tc>
          <w:tcPr>
            <w:tcW w:w="1053" w:type="dxa"/>
            <w:shd w:val="clear" w:color="auto" w:fill="auto"/>
            <w:vAlign w:val="center"/>
          </w:tcPr>
          <w:p w:rsidR="00432FCC" w:rsidRDefault="00432FCC" w:rsidP="00432FCC">
            <w:pPr>
              <w:pStyle w:val="TableText"/>
            </w:pPr>
            <w:r>
              <w:t>No</w:t>
            </w:r>
          </w:p>
        </w:tc>
        <w:tc>
          <w:tcPr>
            <w:tcW w:w="1331" w:type="dxa"/>
            <w:shd w:val="clear" w:color="auto" w:fill="auto"/>
            <w:vAlign w:val="center"/>
          </w:tcPr>
          <w:p w:rsidR="00432FCC" w:rsidRDefault="00432FCC" w:rsidP="00432FCC">
            <w:pPr>
              <w:pStyle w:val="TableText"/>
              <w:rPr>
                <w:rFonts w:eastAsia="Symbol"/>
              </w:rPr>
            </w:pPr>
            <w:r>
              <w:t>No</w:t>
            </w:r>
          </w:p>
        </w:tc>
        <w:tc>
          <w:tcPr>
            <w:tcW w:w="4315" w:type="dxa"/>
            <w:shd w:val="clear" w:color="auto" w:fill="auto"/>
            <w:vAlign w:val="center"/>
          </w:tcPr>
          <w:p w:rsidR="00432FCC" w:rsidRDefault="00432FCC" w:rsidP="00432FCC">
            <w:pPr>
              <w:pStyle w:val="TableText"/>
            </w:pPr>
          </w:p>
        </w:tc>
      </w:tr>
      <w:tr w:rsidR="00432FCC">
        <w:tc>
          <w:tcPr>
            <w:tcW w:w="1330" w:type="dxa"/>
            <w:shd w:val="clear" w:color="auto" w:fill="auto"/>
            <w:vAlign w:val="center"/>
          </w:tcPr>
          <w:p w:rsidR="00432FCC" w:rsidRDefault="00432FCC" w:rsidP="00432FCC">
            <w:pPr>
              <w:pStyle w:val="TableText"/>
              <w:rPr>
                <w:rFonts w:eastAsia="Symbol"/>
              </w:rPr>
            </w:pPr>
            <w:r>
              <w:t>Anti-Sc1</w:t>
            </w:r>
          </w:p>
        </w:tc>
        <w:tc>
          <w:tcPr>
            <w:tcW w:w="1331" w:type="dxa"/>
            <w:shd w:val="clear" w:color="auto" w:fill="auto"/>
            <w:vAlign w:val="center"/>
          </w:tcPr>
          <w:p w:rsidR="00432FCC" w:rsidRDefault="00432FCC" w:rsidP="00432FCC">
            <w:pPr>
              <w:pStyle w:val="TableText"/>
              <w:rPr>
                <w:rFonts w:eastAsia="Symbol"/>
              </w:rPr>
            </w:pPr>
            <w:r>
              <w:t>None</w:t>
            </w:r>
          </w:p>
        </w:tc>
        <w:tc>
          <w:tcPr>
            <w:tcW w:w="1053" w:type="dxa"/>
            <w:shd w:val="clear" w:color="auto" w:fill="auto"/>
            <w:vAlign w:val="center"/>
          </w:tcPr>
          <w:p w:rsidR="00432FCC" w:rsidRDefault="00432FCC" w:rsidP="00432FCC">
            <w:pPr>
              <w:pStyle w:val="TableText"/>
            </w:pPr>
            <w:r>
              <w:t>No</w:t>
            </w:r>
          </w:p>
        </w:tc>
        <w:tc>
          <w:tcPr>
            <w:tcW w:w="1331" w:type="dxa"/>
            <w:shd w:val="clear" w:color="auto" w:fill="auto"/>
            <w:vAlign w:val="center"/>
          </w:tcPr>
          <w:p w:rsidR="00432FCC" w:rsidRDefault="00432FCC" w:rsidP="00432FCC">
            <w:pPr>
              <w:pStyle w:val="TableText"/>
              <w:rPr>
                <w:rFonts w:eastAsia="Symbol"/>
              </w:rPr>
            </w:pPr>
            <w:r>
              <w:t>No</w:t>
            </w:r>
          </w:p>
        </w:tc>
        <w:tc>
          <w:tcPr>
            <w:tcW w:w="4315" w:type="dxa"/>
            <w:shd w:val="clear" w:color="auto" w:fill="auto"/>
            <w:vAlign w:val="center"/>
          </w:tcPr>
          <w:p w:rsidR="00432FCC" w:rsidRDefault="00432FCC" w:rsidP="00432FCC">
            <w:pPr>
              <w:pStyle w:val="TableText"/>
              <w:rPr>
                <w:rFonts w:eastAsia="Symbol"/>
              </w:rPr>
            </w:pPr>
          </w:p>
        </w:tc>
      </w:tr>
      <w:tr w:rsidR="00432FCC">
        <w:tc>
          <w:tcPr>
            <w:tcW w:w="1330" w:type="dxa"/>
            <w:shd w:val="clear" w:color="auto" w:fill="auto"/>
            <w:vAlign w:val="center"/>
          </w:tcPr>
          <w:p w:rsidR="00432FCC" w:rsidRDefault="00432FCC" w:rsidP="00432FCC">
            <w:pPr>
              <w:pStyle w:val="TableText"/>
              <w:rPr>
                <w:rFonts w:eastAsia="Symbol"/>
              </w:rPr>
            </w:pPr>
            <w:r>
              <w:t>Anti-Sc2</w:t>
            </w:r>
          </w:p>
        </w:tc>
        <w:tc>
          <w:tcPr>
            <w:tcW w:w="1331" w:type="dxa"/>
            <w:shd w:val="clear" w:color="auto" w:fill="auto"/>
            <w:vAlign w:val="center"/>
          </w:tcPr>
          <w:p w:rsidR="00432FCC" w:rsidRDefault="00432FCC" w:rsidP="00432FCC">
            <w:pPr>
              <w:pStyle w:val="TableText"/>
              <w:rPr>
                <w:rFonts w:eastAsia="Symbol"/>
              </w:rPr>
            </w:pPr>
            <w:r>
              <w:t>None</w:t>
            </w:r>
          </w:p>
        </w:tc>
        <w:tc>
          <w:tcPr>
            <w:tcW w:w="1053" w:type="dxa"/>
            <w:shd w:val="clear" w:color="auto" w:fill="auto"/>
            <w:vAlign w:val="center"/>
          </w:tcPr>
          <w:p w:rsidR="00432FCC" w:rsidRDefault="00432FCC" w:rsidP="00432FCC">
            <w:pPr>
              <w:pStyle w:val="TableText"/>
            </w:pPr>
            <w:r>
              <w:t>No</w:t>
            </w:r>
          </w:p>
        </w:tc>
        <w:tc>
          <w:tcPr>
            <w:tcW w:w="1331" w:type="dxa"/>
            <w:shd w:val="clear" w:color="auto" w:fill="auto"/>
            <w:vAlign w:val="center"/>
          </w:tcPr>
          <w:p w:rsidR="00432FCC" w:rsidRDefault="00432FCC" w:rsidP="00432FCC">
            <w:pPr>
              <w:pStyle w:val="TableText"/>
              <w:rPr>
                <w:rFonts w:eastAsia="Symbol"/>
              </w:rPr>
            </w:pPr>
            <w:r>
              <w:t>No</w:t>
            </w:r>
          </w:p>
        </w:tc>
        <w:tc>
          <w:tcPr>
            <w:tcW w:w="4315" w:type="dxa"/>
            <w:shd w:val="clear" w:color="auto" w:fill="auto"/>
            <w:vAlign w:val="center"/>
          </w:tcPr>
          <w:p w:rsidR="00432FCC" w:rsidRDefault="00432FCC" w:rsidP="00432FCC">
            <w:pPr>
              <w:pStyle w:val="TableText"/>
              <w:rPr>
                <w:rFonts w:eastAsia="Symbol"/>
              </w:rPr>
            </w:pPr>
          </w:p>
        </w:tc>
      </w:tr>
      <w:tr w:rsidR="00432FCC">
        <w:tc>
          <w:tcPr>
            <w:tcW w:w="1330" w:type="dxa"/>
            <w:shd w:val="clear" w:color="auto" w:fill="auto"/>
            <w:vAlign w:val="center"/>
          </w:tcPr>
          <w:p w:rsidR="00432FCC" w:rsidRDefault="00432FCC" w:rsidP="00432FCC">
            <w:pPr>
              <w:pStyle w:val="TableText"/>
              <w:rPr>
                <w:rFonts w:eastAsia="Symbol"/>
              </w:rPr>
            </w:pPr>
            <w:r>
              <w:t>Anti-Sd(a)</w:t>
            </w:r>
          </w:p>
        </w:tc>
        <w:tc>
          <w:tcPr>
            <w:tcW w:w="1331" w:type="dxa"/>
            <w:shd w:val="clear" w:color="auto" w:fill="auto"/>
            <w:vAlign w:val="center"/>
          </w:tcPr>
          <w:p w:rsidR="00432FCC" w:rsidRDefault="00432FCC" w:rsidP="00432FCC">
            <w:pPr>
              <w:pStyle w:val="TableText"/>
              <w:rPr>
                <w:rFonts w:eastAsia="Symbol"/>
              </w:rPr>
            </w:pPr>
            <w:r>
              <w:t>None</w:t>
            </w:r>
          </w:p>
        </w:tc>
        <w:tc>
          <w:tcPr>
            <w:tcW w:w="1053" w:type="dxa"/>
            <w:shd w:val="clear" w:color="auto" w:fill="auto"/>
            <w:vAlign w:val="center"/>
          </w:tcPr>
          <w:p w:rsidR="00432FCC" w:rsidRDefault="00432FCC" w:rsidP="00432FCC">
            <w:pPr>
              <w:pStyle w:val="TableText"/>
            </w:pPr>
            <w:r>
              <w:t>No</w:t>
            </w:r>
          </w:p>
        </w:tc>
        <w:tc>
          <w:tcPr>
            <w:tcW w:w="1331" w:type="dxa"/>
            <w:shd w:val="clear" w:color="auto" w:fill="auto"/>
            <w:vAlign w:val="center"/>
          </w:tcPr>
          <w:p w:rsidR="00432FCC" w:rsidRDefault="00432FCC" w:rsidP="00432FCC">
            <w:pPr>
              <w:pStyle w:val="TableText"/>
              <w:rPr>
                <w:rFonts w:eastAsia="Symbol"/>
              </w:rPr>
            </w:pPr>
            <w:r>
              <w:t>No</w:t>
            </w:r>
          </w:p>
        </w:tc>
        <w:tc>
          <w:tcPr>
            <w:tcW w:w="4315" w:type="dxa"/>
            <w:shd w:val="clear" w:color="auto" w:fill="auto"/>
            <w:vAlign w:val="center"/>
          </w:tcPr>
          <w:p w:rsidR="00432FCC" w:rsidRDefault="00432FCC" w:rsidP="00432FCC">
            <w:pPr>
              <w:pStyle w:val="TableText"/>
              <w:rPr>
                <w:rFonts w:eastAsia="Symbol"/>
              </w:rPr>
            </w:pPr>
          </w:p>
        </w:tc>
      </w:tr>
      <w:tr w:rsidR="00432FCC">
        <w:tc>
          <w:tcPr>
            <w:tcW w:w="1330" w:type="dxa"/>
            <w:shd w:val="clear" w:color="auto" w:fill="auto"/>
            <w:vAlign w:val="center"/>
          </w:tcPr>
          <w:p w:rsidR="00432FCC" w:rsidRDefault="00432FCC" w:rsidP="00432FCC">
            <w:pPr>
              <w:pStyle w:val="TableText"/>
              <w:rPr>
                <w:rFonts w:eastAsia="Symbol"/>
              </w:rPr>
            </w:pPr>
            <w:r>
              <w:t>Anti-Au(a)</w:t>
            </w:r>
          </w:p>
        </w:tc>
        <w:tc>
          <w:tcPr>
            <w:tcW w:w="1331" w:type="dxa"/>
            <w:shd w:val="clear" w:color="auto" w:fill="auto"/>
            <w:vAlign w:val="center"/>
          </w:tcPr>
          <w:p w:rsidR="00432FCC" w:rsidRDefault="00432FCC" w:rsidP="00432FCC">
            <w:pPr>
              <w:pStyle w:val="TableText"/>
              <w:rPr>
                <w:rFonts w:eastAsia="Symbol"/>
              </w:rPr>
            </w:pPr>
            <w:r>
              <w:t>Anti-Au(a)</w:t>
            </w:r>
          </w:p>
        </w:tc>
        <w:tc>
          <w:tcPr>
            <w:tcW w:w="1053" w:type="dxa"/>
            <w:shd w:val="clear" w:color="auto" w:fill="auto"/>
            <w:vAlign w:val="center"/>
          </w:tcPr>
          <w:p w:rsidR="00432FCC" w:rsidRDefault="00432FCC" w:rsidP="00432FCC">
            <w:pPr>
              <w:pStyle w:val="TableText"/>
            </w:pPr>
            <w:r>
              <w:t>No</w:t>
            </w:r>
          </w:p>
        </w:tc>
        <w:tc>
          <w:tcPr>
            <w:tcW w:w="1331" w:type="dxa"/>
            <w:shd w:val="clear" w:color="auto" w:fill="auto"/>
            <w:vAlign w:val="center"/>
          </w:tcPr>
          <w:p w:rsidR="00432FCC" w:rsidRDefault="00432FCC" w:rsidP="00432FCC">
            <w:pPr>
              <w:pStyle w:val="TableText"/>
              <w:rPr>
                <w:rFonts w:eastAsia="Symbol"/>
              </w:rPr>
            </w:pPr>
            <w:r>
              <w:t>No</w:t>
            </w:r>
          </w:p>
        </w:tc>
        <w:tc>
          <w:tcPr>
            <w:tcW w:w="4315" w:type="dxa"/>
            <w:shd w:val="clear" w:color="auto" w:fill="auto"/>
            <w:vAlign w:val="center"/>
          </w:tcPr>
          <w:p w:rsidR="00432FCC" w:rsidRDefault="00432FCC" w:rsidP="00432FCC">
            <w:pPr>
              <w:pStyle w:val="TableText"/>
            </w:pPr>
          </w:p>
        </w:tc>
      </w:tr>
      <w:tr w:rsidR="00432FCC">
        <w:tc>
          <w:tcPr>
            <w:tcW w:w="1330" w:type="dxa"/>
            <w:shd w:val="clear" w:color="auto" w:fill="auto"/>
            <w:vAlign w:val="center"/>
          </w:tcPr>
          <w:p w:rsidR="00432FCC" w:rsidRDefault="00432FCC" w:rsidP="00432FCC">
            <w:pPr>
              <w:pStyle w:val="TableText"/>
            </w:pPr>
            <w:r>
              <w:t>Anti-Au(b)</w:t>
            </w:r>
          </w:p>
        </w:tc>
        <w:tc>
          <w:tcPr>
            <w:tcW w:w="1331" w:type="dxa"/>
            <w:shd w:val="clear" w:color="auto" w:fill="auto"/>
            <w:vAlign w:val="center"/>
          </w:tcPr>
          <w:p w:rsidR="00432FCC" w:rsidRDefault="00432FCC" w:rsidP="00432FCC">
            <w:pPr>
              <w:pStyle w:val="TableText"/>
              <w:rPr>
                <w:rFonts w:eastAsia="Symbol"/>
              </w:rPr>
            </w:pPr>
            <w:r>
              <w:t>None</w:t>
            </w:r>
          </w:p>
        </w:tc>
        <w:tc>
          <w:tcPr>
            <w:tcW w:w="1053" w:type="dxa"/>
            <w:shd w:val="clear" w:color="auto" w:fill="auto"/>
            <w:vAlign w:val="center"/>
          </w:tcPr>
          <w:p w:rsidR="00432FCC" w:rsidRDefault="00432FCC" w:rsidP="00432FCC">
            <w:pPr>
              <w:pStyle w:val="TableText"/>
            </w:pPr>
            <w:r>
              <w:t>No</w:t>
            </w:r>
          </w:p>
        </w:tc>
        <w:tc>
          <w:tcPr>
            <w:tcW w:w="1331" w:type="dxa"/>
            <w:shd w:val="clear" w:color="auto" w:fill="auto"/>
            <w:vAlign w:val="center"/>
          </w:tcPr>
          <w:p w:rsidR="00432FCC" w:rsidRDefault="00432FCC" w:rsidP="00432FCC">
            <w:pPr>
              <w:pStyle w:val="TableText"/>
            </w:pPr>
            <w:r>
              <w:t>No</w:t>
            </w:r>
          </w:p>
        </w:tc>
        <w:tc>
          <w:tcPr>
            <w:tcW w:w="4315" w:type="dxa"/>
            <w:shd w:val="clear" w:color="auto" w:fill="auto"/>
            <w:vAlign w:val="center"/>
          </w:tcPr>
          <w:p w:rsidR="00432FCC" w:rsidRDefault="00432FCC" w:rsidP="00432FCC">
            <w:pPr>
              <w:pStyle w:val="TableText"/>
            </w:pPr>
          </w:p>
        </w:tc>
      </w:tr>
      <w:tr w:rsidR="00432FCC">
        <w:tc>
          <w:tcPr>
            <w:tcW w:w="1330" w:type="dxa"/>
            <w:shd w:val="clear" w:color="auto" w:fill="auto"/>
            <w:vAlign w:val="center"/>
          </w:tcPr>
          <w:p w:rsidR="00432FCC" w:rsidRDefault="00432FCC" w:rsidP="00432FCC">
            <w:pPr>
              <w:pStyle w:val="TableText"/>
              <w:rPr>
                <w:rFonts w:eastAsia="Symbol"/>
              </w:rPr>
            </w:pPr>
            <w:r>
              <w:t>Anti-Ch</w:t>
            </w:r>
          </w:p>
        </w:tc>
        <w:tc>
          <w:tcPr>
            <w:tcW w:w="1331" w:type="dxa"/>
            <w:shd w:val="clear" w:color="auto" w:fill="auto"/>
            <w:vAlign w:val="center"/>
          </w:tcPr>
          <w:p w:rsidR="00432FCC" w:rsidRDefault="00432FCC" w:rsidP="00432FCC">
            <w:pPr>
              <w:pStyle w:val="TableText"/>
              <w:rPr>
                <w:rFonts w:eastAsia="Symbol"/>
              </w:rPr>
            </w:pPr>
            <w:r>
              <w:t>None</w:t>
            </w:r>
          </w:p>
        </w:tc>
        <w:tc>
          <w:tcPr>
            <w:tcW w:w="1053" w:type="dxa"/>
            <w:shd w:val="clear" w:color="auto" w:fill="auto"/>
            <w:vAlign w:val="center"/>
          </w:tcPr>
          <w:p w:rsidR="00432FCC" w:rsidRDefault="00432FCC" w:rsidP="00432FCC">
            <w:pPr>
              <w:pStyle w:val="TableText"/>
            </w:pPr>
            <w:r>
              <w:t>No</w:t>
            </w:r>
          </w:p>
        </w:tc>
        <w:tc>
          <w:tcPr>
            <w:tcW w:w="1331" w:type="dxa"/>
            <w:shd w:val="clear" w:color="auto" w:fill="auto"/>
            <w:vAlign w:val="center"/>
          </w:tcPr>
          <w:p w:rsidR="00432FCC" w:rsidRDefault="00432FCC" w:rsidP="00432FCC">
            <w:pPr>
              <w:pStyle w:val="TableText"/>
              <w:rPr>
                <w:rFonts w:eastAsia="Symbol"/>
              </w:rPr>
            </w:pPr>
            <w:r>
              <w:t>No</w:t>
            </w:r>
          </w:p>
        </w:tc>
        <w:tc>
          <w:tcPr>
            <w:tcW w:w="4315" w:type="dxa"/>
            <w:shd w:val="clear" w:color="auto" w:fill="auto"/>
            <w:vAlign w:val="center"/>
          </w:tcPr>
          <w:p w:rsidR="00432FCC" w:rsidRDefault="00432FCC" w:rsidP="00432FCC">
            <w:pPr>
              <w:pStyle w:val="TableText"/>
            </w:pPr>
          </w:p>
        </w:tc>
      </w:tr>
      <w:tr w:rsidR="00432FCC">
        <w:tc>
          <w:tcPr>
            <w:tcW w:w="1330" w:type="dxa"/>
            <w:shd w:val="clear" w:color="auto" w:fill="auto"/>
            <w:vAlign w:val="center"/>
          </w:tcPr>
          <w:p w:rsidR="00432FCC" w:rsidRDefault="00432FCC" w:rsidP="00432FCC">
            <w:pPr>
              <w:pStyle w:val="TableText"/>
              <w:rPr>
                <w:rFonts w:eastAsia="Symbol"/>
              </w:rPr>
            </w:pPr>
            <w:r>
              <w:t>Anti-Rg</w:t>
            </w:r>
          </w:p>
        </w:tc>
        <w:tc>
          <w:tcPr>
            <w:tcW w:w="1331" w:type="dxa"/>
            <w:shd w:val="clear" w:color="auto" w:fill="auto"/>
            <w:vAlign w:val="center"/>
          </w:tcPr>
          <w:p w:rsidR="00432FCC" w:rsidRDefault="00432FCC" w:rsidP="00432FCC">
            <w:pPr>
              <w:pStyle w:val="TableText"/>
              <w:rPr>
                <w:rFonts w:eastAsia="Symbol"/>
              </w:rPr>
            </w:pPr>
            <w:r>
              <w:t>None</w:t>
            </w:r>
          </w:p>
        </w:tc>
        <w:tc>
          <w:tcPr>
            <w:tcW w:w="1053" w:type="dxa"/>
            <w:shd w:val="clear" w:color="auto" w:fill="auto"/>
            <w:vAlign w:val="center"/>
          </w:tcPr>
          <w:p w:rsidR="00432FCC" w:rsidRDefault="00432FCC" w:rsidP="00432FCC">
            <w:pPr>
              <w:pStyle w:val="TableText"/>
            </w:pPr>
            <w:r>
              <w:t>No</w:t>
            </w:r>
          </w:p>
        </w:tc>
        <w:tc>
          <w:tcPr>
            <w:tcW w:w="1331" w:type="dxa"/>
            <w:shd w:val="clear" w:color="auto" w:fill="auto"/>
            <w:vAlign w:val="center"/>
          </w:tcPr>
          <w:p w:rsidR="00432FCC" w:rsidRDefault="00432FCC" w:rsidP="00432FCC">
            <w:pPr>
              <w:pStyle w:val="TableText"/>
              <w:rPr>
                <w:rFonts w:eastAsia="Symbol"/>
              </w:rPr>
            </w:pPr>
            <w:r>
              <w:t>No</w:t>
            </w:r>
          </w:p>
        </w:tc>
        <w:tc>
          <w:tcPr>
            <w:tcW w:w="4315" w:type="dxa"/>
            <w:shd w:val="clear" w:color="auto" w:fill="auto"/>
            <w:vAlign w:val="center"/>
          </w:tcPr>
          <w:p w:rsidR="00432FCC" w:rsidRDefault="00432FCC" w:rsidP="00432FCC">
            <w:pPr>
              <w:pStyle w:val="TableText"/>
            </w:pPr>
          </w:p>
        </w:tc>
      </w:tr>
      <w:tr w:rsidR="00432FCC">
        <w:tc>
          <w:tcPr>
            <w:tcW w:w="1330" w:type="dxa"/>
            <w:shd w:val="clear" w:color="auto" w:fill="auto"/>
            <w:vAlign w:val="center"/>
          </w:tcPr>
          <w:p w:rsidR="00432FCC" w:rsidRDefault="00432FCC" w:rsidP="00432FCC">
            <w:pPr>
              <w:pStyle w:val="TableText"/>
              <w:rPr>
                <w:rFonts w:eastAsia="Symbol"/>
              </w:rPr>
            </w:pPr>
            <w:r>
              <w:t>Anti-Cs(a)</w:t>
            </w:r>
          </w:p>
        </w:tc>
        <w:tc>
          <w:tcPr>
            <w:tcW w:w="1331" w:type="dxa"/>
            <w:shd w:val="clear" w:color="auto" w:fill="auto"/>
            <w:vAlign w:val="center"/>
          </w:tcPr>
          <w:p w:rsidR="00432FCC" w:rsidRDefault="00432FCC" w:rsidP="00432FCC">
            <w:pPr>
              <w:pStyle w:val="TableText"/>
              <w:rPr>
                <w:rFonts w:eastAsia="Symbol"/>
              </w:rPr>
            </w:pPr>
            <w:r>
              <w:t>None</w:t>
            </w:r>
          </w:p>
        </w:tc>
        <w:tc>
          <w:tcPr>
            <w:tcW w:w="1053" w:type="dxa"/>
            <w:shd w:val="clear" w:color="auto" w:fill="auto"/>
            <w:vAlign w:val="center"/>
          </w:tcPr>
          <w:p w:rsidR="00432FCC" w:rsidRDefault="00432FCC" w:rsidP="00432FCC">
            <w:pPr>
              <w:pStyle w:val="TableText"/>
            </w:pPr>
            <w:r>
              <w:t>No</w:t>
            </w:r>
          </w:p>
        </w:tc>
        <w:tc>
          <w:tcPr>
            <w:tcW w:w="1331" w:type="dxa"/>
            <w:shd w:val="clear" w:color="auto" w:fill="auto"/>
            <w:vAlign w:val="center"/>
          </w:tcPr>
          <w:p w:rsidR="00432FCC" w:rsidRDefault="00432FCC" w:rsidP="00432FCC">
            <w:pPr>
              <w:pStyle w:val="TableText"/>
              <w:rPr>
                <w:rFonts w:eastAsia="Symbol"/>
              </w:rPr>
            </w:pPr>
            <w:r>
              <w:t>No</w:t>
            </w:r>
          </w:p>
        </w:tc>
        <w:tc>
          <w:tcPr>
            <w:tcW w:w="4315" w:type="dxa"/>
            <w:shd w:val="clear" w:color="auto" w:fill="auto"/>
            <w:vAlign w:val="center"/>
          </w:tcPr>
          <w:p w:rsidR="00432FCC" w:rsidRDefault="00432FCC" w:rsidP="00432FCC">
            <w:pPr>
              <w:pStyle w:val="TableText"/>
            </w:pPr>
          </w:p>
        </w:tc>
      </w:tr>
      <w:tr w:rsidR="00432FCC">
        <w:tc>
          <w:tcPr>
            <w:tcW w:w="1330" w:type="dxa"/>
            <w:shd w:val="clear" w:color="auto" w:fill="auto"/>
            <w:vAlign w:val="center"/>
          </w:tcPr>
          <w:p w:rsidR="00432FCC" w:rsidRDefault="00432FCC" w:rsidP="00432FCC">
            <w:pPr>
              <w:pStyle w:val="TableText"/>
              <w:rPr>
                <w:rFonts w:eastAsia="Symbol"/>
              </w:rPr>
            </w:pPr>
            <w:r>
              <w:t>Anti-Yk(a)</w:t>
            </w:r>
          </w:p>
        </w:tc>
        <w:tc>
          <w:tcPr>
            <w:tcW w:w="1331" w:type="dxa"/>
            <w:shd w:val="clear" w:color="auto" w:fill="auto"/>
            <w:vAlign w:val="center"/>
          </w:tcPr>
          <w:p w:rsidR="00432FCC" w:rsidRDefault="00432FCC" w:rsidP="00432FCC">
            <w:pPr>
              <w:pStyle w:val="TableText"/>
              <w:rPr>
                <w:rFonts w:eastAsia="Symbol"/>
              </w:rPr>
            </w:pPr>
            <w:r>
              <w:t>None</w:t>
            </w:r>
          </w:p>
        </w:tc>
        <w:tc>
          <w:tcPr>
            <w:tcW w:w="1053" w:type="dxa"/>
            <w:shd w:val="clear" w:color="auto" w:fill="auto"/>
            <w:vAlign w:val="center"/>
          </w:tcPr>
          <w:p w:rsidR="00432FCC" w:rsidRDefault="00432FCC" w:rsidP="00432FCC">
            <w:pPr>
              <w:pStyle w:val="TableText"/>
            </w:pPr>
            <w:r>
              <w:t>No</w:t>
            </w:r>
          </w:p>
        </w:tc>
        <w:tc>
          <w:tcPr>
            <w:tcW w:w="1331" w:type="dxa"/>
            <w:shd w:val="clear" w:color="auto" w:fill="auto"/>
            <w:vAlign w:val="center"/>
          </w:tcPr>
          <w:p w:rsidR="00432FCC" w:rsidRDefault="00432FCC" w:rsidP="00432FCC">
            <w:pPr>
              <w:pStyle w:val="TableText"/>
              <w:rPr>
                <w:rFonts w:eastAsia="Symbol"/>
              </w:rPr>
            </w:pPr>
            <w:r>
              <w:t>No</w:t>
            </w:r>
          </w:p>
        </w:tc>
        <w:tc>
          <w:tcPr>
            <w:tcW w:w="4315" w:type="dxa"/>
            <w:shd w:val="clear" w:color="auto" w:fill="auto"/>
            <w:vAlign w:val="center"/>
          </w:tcPr>
          <w:p w:rsidR="00432FCC" w:rsidRDefault="00432FCC" w:rsidP="00432FCC">
            <w:pPr>
              <w:pStyle w:val="TableText"/>
            </w:pPr>
          </w:p>
        </w:tc>
      </w:tr>
      <w:tr w:rsidR="00432FCC">
        <w:tc>
          <w:tcPr>
            <w:tcW w:w="1330" w:type="dxa"/>
            <w:shd w:val="clear" w:color="auto" w:fill="auto"/>
            <w:vAlign w:val="center"/>
          </w:tcPr>
          <w:p w:rsidR="00432FCC" w:rsidRDefault="00432FCC" w:rsidP="00432FCC">
            <w:pPr>
              <w:pStyle w:val="TableText"/>
              <w:rPr>
                <w:rFonts w:eastAsia="Symbol"/>
              </w:rPr>
            </w:pPr>
            <w:r>
              <w:t>Anti-Kn(a)</w:t>
            </w:r>
          </w:p>
        </w:tc>
        <w:tc>
          <w:tcPr>
            <w:tcW w:w="1331" w:type="dxa"/>
            <w:shd w:val="clear" w:color="auto" w:fill="auto"/>
            <w:vAlign w:val="center"/>
          </w:tcPr>
          <w:p w:rsidR="00432FCC" w:rsidRDefault="00432FCC" w:rsidP="00432FCC">
            <w:pPr>
              <w:pStyle w:val="TableText"/>
              <w:rPr>
                <w:rFonts w:eastAsia="Symbol"/>
              </w:rPr>
            </w:pPr>
            <w:r>
              <w:t>None</w:t>
            </w:r>
          </w:p>
        </w:tc>
        <w:tc>
          <w:tcPr>
            <w:tcW w:w="1053" w:type="dxa"/>
            <w:shd w:val="clear" w:color="auto" w:fill="auto"/>
            <w:vAlign w:val="center"/>
          </w:tcPr>
          <w:p w:rsidR="00432FCC" w:rsidRDefault="00432FCC" w:rsidP="00432FCC">
            <w:pPr>
              <w:pStyle w:val="TableText"/>
            </w:pPr>
            <w:r>
              <w:t>No</w:t>
            </w:r>
          </w:p>
        </w:tc>
        <w:tc>
          <w:tcPr>
            <w:tcW w:w="1331" w:type="dxa"/>
            <w:shd w:val="clear" w:color="auto" w:fill="auto"/>
            <w:vAlign w:val="center"/>
          </w:tcPr>
          <w:p w:rsidR="00432FCC" w:rsidRDefault="00432FCC" w:rsidP="00432FCC">
            <w:pPr>
              <w:pStyle w:val="TableText"/>
              <w:rPr>
                <w:rFonts w:eastAsia="Symbol"/>
              </w:rPr>
            </w:pPr>
            <w:r>
              <w:t>No</w:t>
            </w:r>
          </w:p>
        </w:tc>
        <w:tc>
          <w:tcPr>
            <w:tcW w:w="4315" w:type="dxa"/>
            <w:shd w:val="clear" w:color="auto" w:fill="auto"/>
            <w:vAlign w:val="center"/>
          </w:tcPr>
          <w:p w:rsidR="00432FCC" w:rsidRDefault="00432FCC" w:rsidP="00432FCC">
            <w:pPr>
              <w:pStyle w:val="TableText"/>
            </w:pPr>
          </w:p>
        </w:tc>
      </w:tr>
      <w:tr w:rsidR="00432FCC">
        <w:tc>
          <w:tcPr>
            <w:tcW w:w="1330" w:type="dxa"/>
            <w:shd w:val="clear" w:color="auto" w:fill="auto"/>
            <w:vAlign w:val="center"/>
          </w:tcPr>
          <w:p w:rsidR="00432FCC" w:rsidRDefault="00432FCC" w:rsidP="00432FCC">
            <w:pPr>
              <w:pStyle w:val="TableText"/>
              <w:rPr>
                <w:rFonts w:eastAsia="Symbol"/>
              </w:rPr>
            </w:pPr>
            <w:r>
              <w:t>Anti-McC(a)</w:t>
            </w:r>
          </w:p>
        </w:tc>
        <w:tc>
          <w:tcPr>
            <w:tcW w:w="1331" w:type="dxa"/>
            <w:shd w:val="clear" w:color="auto" w:fill="auto"/>
            <w:vAlign w:val="center"/>
          </w:tcPr>
          <w:p w:rsidR="00432FCC" w:rsidRDefault="00432FCC" w:rsidP="00432FCC">
            <w:pPr>
              <w:pStyle w:val="TableText"/>
            </w:pPr>
            <w:r>
              <w:t>None</w:t>
            </w:r>
          </w:p>
        </w:tc>
        <w:tc>
          <w:tcPr>
            <w:tcW w:w="1053" w:type="dxa"/>
            <w:shd w:val="clear" w:color="auto" w:fill="auto"/>
            <w:vAlign w:val="center"/>
          </w:tcPr>
          <w:p w:rsidR="00432FCC" w:rsidRDefault="00432FCC" w:rsidP="00432FCC">
            <w:pPr>
              <w:pStyle w:val="TableText"/>
            </w:pPr>
            <w:r>
              <w:t>No</w:t>
            </w:r>
          </w:p>
        </w:tc>
        <w:tc>
          <w:tcPr>
            <w:tcW w:w="1331" w:type="dxa"/>
            <w:shd w:val="clear" w:color="auto" w:fill="auto"/>
            <w:vAlign w:val="center"/>
          </w:tcPr>
          <w:p w:rsidR="00432FCC" w:rsidRDefault="00432FCC" w:rsidP="00432FCC">
            <w:pPr>
              <w:pStyle w:val="TableText"/>
              <w:rPr>
                <w:rFonts w:eastAsia="Symbol"/>
              </w:rPr>
            </w:pPr>
            <w:r>
              <w:t>No</w:t>
            </w:r>
          </w:p>
        </w:tc>
        <w:tc>
          <w:tcPr>
            <w:tcW w:w="4315" w:type="dxa"/>
            <w:shd w:val="clear" w:color="auto" w:fill="auto"/>
            <w:vAlign w:val="center"/>
          </w:tcPr>
          <w:p w:rsidR="00432FCC" w:rsidRDefault="00432FCC" w:rsidP="00432FCC">
            <w:pPr>
              <w:pStyle w:val="TableText"/>
            </w:pPr>
          </w:p>
        </w:tc>
      </w:tr>
      <w:tr w:rsidR="00432FCC">
        <w:tc>
          <w:tcPr>
            <w:tcW w:w="1330" w:type="dxa"/>
            <w:shd w:val="clear" w:color="auto" w:fill="auto"/>
            <w:vAlign w:val="center"/>
          </w:tcPr>
          <w:p w:rsidR="00432FCC" w:rsidRDefault="00432FCC" w:rsidP="00432FCC">
            <w:pPr>
              <w:pStyle w:val="TableText"/>
              <w:rPr>
                <w:rFonts w:eastAsia="Symbol"/>
              </w:rPr>
            </w:pPr>
            <w:r>
              <w:t>Anti-JMH</w:t>
            </w:r>
          </w:p>
        </w:tc>
        <w:tc>
          <w:tcPr>
            <w:tcW w:w="1331" w:type="dxa"/>
            <w:shd w:val="clear" w:color="auto" w:fill="auto"/>
            <w:vAlign w:val="center"/>
          </w:tcPr>
          <w:p w:rsidR="00432FCC" w:rsidRDefault="00432FCC" w:rsidP="00432FCC">
            <w:pPr>
              <w:pStyle w:val="TableText"/>
            </w:pPr>
            <w:r>
              <w:t>None</w:t>
            </w:r>
          </w:p>
        </w:tc>
        <w:tc>
          <w:tcPr>
            <w:tcW w:w="1053" w:type="dxa"/>
            <w:shd w:val="clear" w:color="auto" w:fill="auto"/>
            <w:vAlign w:val="center"/>
          </w:tcPr>
          <w:p w:rsidR="00432FCC" w:rsidRDefault="00432FCC" w:rsidP="00432FCC">
            <w:pPr>
              <w:pStyle w:val="TableText"/>
            </w:pPr>
            <w:r>
              <w:t>No</w:t>
            </w:r>
          </w:p>
        </w:tc>
        <w:tc>
          <w:tcPr>
            <w:tcW w:w="1331" w:type="dxa"/>
            <w:shd w:val="clear" w:color="auto" w:fill="auto"/>
            <w:vAlign w:val="center"/>
          </w:tcPr>
          <w:p w:rsidR="00432FCC" w:rsidRDefault="00432FCC" w:rsidP="00432FCC">
            <w:pPr>
              <w:pStyle w:val="TableText"/>
              <w:rPr>
                <w:rFonts w:eastAsia="Symbol"/>
              </w:rPr>
            </w:pPr>
            <w:r>
              <w:t>No</w:t>
            </w:r>
          </w:p>
        </w:tc>
        <w:tc>
          <w:tcPr>
            <w:tcW w:w="4315" w:type="dxa"/>
            <w:shd w:val="clear" w:color="auto" w:fill="auto"/>
            <w:vAlign w:val="center"/>
          </w:tcPr>
          <w:p w:rsidR="00432FCC" w:rsidRDefault="00432FCC" w:rsidP="00432FCC">
            <w:pPr>
              <w:pStyle w:val="TableText"/>
            </w:pPr>
          </w:p>
        </w:tc>
      </w:tr>
      <w:tr w:rsidR="00432FCC">
        <w:tc>
          <w:tcPr>
            <w:tcW w:w="1330" w:type="dxa"/>
            <w:shd w:val="clear" w:color="auto" w:fill="auto"/>
            <w:vAlign w:val="center"/>
          </w:tcPr>
          <w:p w:rsidR="00432FCC" w:rsidRDefault="00432FCC" w:rsidP="00432FCC">
            <w:pPr>
              <w:pStyle w:val="TableText"/>
              <w:rPr>
                <w:rFonts w:eastAsia="Symbol"/>
              </w:rPr>
            </w:pPr>
            <w:r>
              <w:t>Anti-Yt(a)</w:t>
            </w:r>
          </w:p>
        </w:tc>
        <w:tc>
          <w:tcPr>
            <w:tcW w:w="1331" w:type="dxa"/>
            <w:shd w:val="clear" w:color="auto" w:fill="auto"/>
            <w:vAlign w:val="center"/>
          </w:tcPr>
          <w:p w:rsidR="00432FCC" w:rsidRDefault="00432FCC" w:rsidP="00432FCC">
            <w:pPr>
              <w:pStyle w:val="TableText"/>
              <w:rPr>
                <w:rFonts w:eastAsia="Symbol"/>
              </w:rPr>
            </w:pPr>
            <w:r>
              <w:t>None</w:t>
            </w:r>
          </w:p>
        </w:tc>
        <w:tc>
          <w:tcPr>
            <w:tcW w:w="1053" w:type="dxa"/>
            <w:shd w:val="clear" w:color="auto" w:fill="auto"/>
            <w:vAlign w:val="center"/>
          </w:tcPr>
          <w:p w:rsidR="00432FCC" w:rsidRDefault="00432FCC" w:rsidP="00432FCC">
            <w:pPr>
              <w:pStyle w:val="TableText"/>
            </w:pPr>
            <w:r>
              <w:t>No</w:t>
            </w:r>
          </w:p>
        </w:tc>
        <w:tc>
          <w:tcPr>
            <w:tcW w:w="1331" w:type="dxa"/>
            <w:shd w:val="clear" w:color="auto" w:fill="auto"/>
            <w:vAlign w:val="center"/>
          </w:tcPr>
          <w:p w:rsidR="00432FCC" w:rsidRDefault="00432FCC" w:rsidP="00432FCC">
            <w:pPr>
              <w:pStyle w:val="TableText"/>
              <w:rPr>
                <w:rFonts w:eastAsia="Symbol"/>
              </w:rPr>
            </w:pPr>
            <w:r>
              <w:t>No</w:t>
            </w:r>
          </w:p>
        </w:tc>
        <w:tc>
          <w:tcPr>
            <w:tcW w:w="4315" w:type="dxa"/>
            <w:shd w:val="clear" w:color="auto" w:fill="auto"/>
            <w:vAlign w:val="center"/>
          </w:tcPr>
          <w:p w:rsidR="00432FCC" w:rsidRDefault="00432FCC" w:rsidP="00432FCC">
            <w:pPr>
              <w:pStyle w:val="TableText"/>
              <w:rPr>
                <w:rFonts w:eastAsia="Symbol"/>
              </w:rPr>
            </w:pPr>
          </w:p>
        </w:tc>
      </w:tr>
      <w:tr w:rsidR="00432FCC">
        <w:tc>
          <w:tcPr>
            <w:tcW w:w="1330" w:type="dxa"/>
            <w:shd w:val="clear" w:color="auto" w:fill="auto"/>
            <w:vAlign w:val="center"/>
          </w:tcPr>
          <w:p w:rsidR="00432FCC" w:rsidRDefault="00432FCC" w:rsidP="00432FCC">
            <w:pPr>
              <w:pStyle w:val="TableText"/>
              <w:rPr>
                <w:rFonts w:eastAsia="Symbol"/>
              </w:rPr>
            </w:pPr>
            <w:r>
              <w:t>Anti-Yt(b)</w:t>
            </w:r>
          </w:p>
        </w:tc>
        <w:tc>
          <w:tcPr>
            <w:tcW w:w="1331" w:type="dxa"/>
            <w:shd w:val="clear" w:color="auto" w:fill="auto"/>
            <w:vAlign w:val="center"/>
          </w:tcPr>
          <w:p w:rsidR="00432FCC" w:rsidRDefault="00432FCC" w:rsidP="00432FCC">
            <w:pPr>
              <w:pStyle w:val="TableText"/>
              <w:rPr>
                <w:rFonts w:eastAsia="Symbol"/>
              </w:rPr>
            </w:pPr>
            <w:r>
              <w:t>None</w:t>
            </w:r>
          </w:p>
        </w:tc>
        <w:tc>
          <w:tcPr>
            <w:tcW w:w="1053" w:type="dxa"/>
            <w:shd w:val="clear" w:color="auto" w:fill="auto"/>
            <w:vAlign w:val="center"/>
          </w:tcPr>
          <w:p w:rsidR="00432FCC" w:rsidRDefault="00432FCC" w:rsidP="00432FCC">
            <w:pPr>
              <w:pStyle w:val="TableText"/>
            </w:pPr>
            <w:r>
              <w:t>No</w:t>
            </w:r>
          </w:p>
        </w:tc>
        <w:tc>
          <w:tcPr>
            <w:tcW w:w="1331" w:type="dxa"/>
            <w:shd w:val="clear" w:color="auto" w:fill="auto"/>
            <w:vAlign w:val="center"/>
          </w:tcPr>
          <w:p w:rsidR="00432FCC" w:rsidRDefault="00432FCC" w:rsidP="00432FCC">
            <w:pPr>
              <w:pStyle w:val="TableText"/>
              <w:rPr>
                <w:rFonts w:eastAsia="Symbol"/>
              </w:rPr>
            </w:pPr>
            <w:r>
              <w:t>No</w:t>
            </w:r>
          </w:p>
        </w:tc>
        <w:tc>
          <w:tcPr>
            <w:tcW w:w="4315" w:type="dxa"/>
            <w:shd w:val="clear" w:color="auto" w:fill="auto"/>
            <w:vAlign w:val="center"/>
          </w:tcPr>
          <w:p w:rsidR="00432FCC" w:rsidRDefault="00432FCC" w:rsidP="00432FCC">
            <w:pPr>
              <w:pStyle w:val="TableText"/>
              <w:rPr>
                <w:rFonts w:eastAsia="Symbol"/>
              </w:rPr>
            </w:pPr>
          </w:p>
        </w:tc>
      </w:tr>
    </w:tbl>
    <w:p w:rsidR="002E3C00" w:rsidRDefault="002E3C00" w:rsidP="002E3C00">
      <w:pPr>
        <w:pStyle w:val="Heading4"/>
        <w:rPr>
          <w:b w:val="0"/>
        </w:rPr>
      </w:pPr>
      <w:r>
        <w:lastRenderedPageBreak/>
        <w:t>User Roles with Access to This Option</w:t>
      </w:r>
      <w:r>
        <w:rPr>
          <w:b w:val="0"/>
        </w:rPr>
        <w:t xml:space="preserve"> </w:t>
      </w:r>
    </w:p>
    <w:p w:rsidR="002E3C00"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rsidR="002E3C00" w:rsidRDefault="00B74754" w:rsidP="002E3C00">
      <w:pPr>
        <w:pStyle w:val="Heading4"/>
      </w:pPr>
      <w:r>
        <w:t>Preparation for Testing</w:t>
      </w:r>
    </w:p>
    <w:p w:rsidR="002E3C00" w:rsidRPr="00600497" w:rsidRDefault="002E3C00" w:rsidP="002F6D7B">
      <w:pPr>
        <w:pStyle w:val="ListNumber"/>
        <w:numPr>
          <w:ilvl w:val="0"/>
          <w:numId w:val="32"/>
        </w:numPr>
        <w:tabs>
          <w:tab w:val="clear" w:pos="720"/>
          <w:tab w:val="num" w:pos="360"/>
        </w:tabs>
        <w:ind w:left="360"/>
      </w:pPr>
      <w:r w:rsidRPr="00600497">
        <w:t>Change the antigen negative requirement setting on those currently not invoked. Change the percent compatible for your donor population.</w:t>
      </w:r>
    </w:p>
    <w:p w:rsidR="00232E43" w:rsidRPr="00FB7F8D" w:rsidRDefault="00232E43" w:rsidP="002F6D7B">
      <w:pPr>
        <w:pStyle w:val="ListNumber"/>
        <w:numPr>
          <w:ilvl w:val="0"/>
          <w:numId w:val="32"/>
        </w:numPr>
        <w:tabs>
          <w:tab w:val="clear" w:pos="720"/>
          <w:tab w:val="num" w:pos="360"/>
        </w:tabs>
        <w:ind w:left="360"/>
      </w:pPr>
      <w:r w:rsidRPr="00600497">
        <w:t>P</w:t>
      </w:r>
      <w:r w:rsidRPr="00FB7F8D">
        <w:t>rint</w:t>
      </w:r>
      <w:r>
        <w:t>, sign, date,</w:t>
      </w:r>
      <w:r w:rsidRPr="00FB7F8D">
        <w:t xml:space="preserve"> and save an </w:t>
      </w:r>
      <w:r>
        <w:t>A</w:t>
      </w:r>
      <w:r w:rsidRPr="00FB7F8D">
        <w:t xml:space="preserve">udit </w:t>
      </w:r>
      <w:r>
        <w:t>Trail R</w:t>
      </w:r>
      <w:r w:rsidRPr="00FB7F8D">
        <w:t>eport for your validation record.</w:t>
      </w:r>
    </w:p>
    <w:p w:rsidR="002E3C00" w:rsidRDefault="002E3C00" w:rsidP="002E3C00">
      <w:pPr>
        <w:pStyle w:val="Heading3"/>
      </w:pPr>
      <w:bookmarkStart w:id="778" w:name="_Toc85895798"/>
      <w:bookmarkStart w:id="779" w:name="_Toc113264256"/>
      <w:bookmarkStart w:id="780" w:name="_Toc114462111"/>
      <w:bookmarkStart w:id="781" w:name="_Toc459900236"/>
      <w:r>
        <w:t>Update User Roles</w:t>
      </w:r>
      <w:bookmarkEnd w:id="778"/>
      <w:bookmarkEnd w:id="779"/>
      <w:bookmarkEnd w:id="780"/>
      <w:bookmarkEnd w:id="781"/>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Update User Roles</w:instrText>
      </w:r>
      <w:r w:rsidR="00992E88">
        <w:instrText xml:space="preserve">" </w:instrText>
      </w:r>
      <w:r w:rsidR="00992E88">
        <w:fldChar w:fldCharType="end"/>
      </w:r>
    </w:p>
    <w:p w:rsidR="002E3C00" w:rsidRDefault="002E3C00" w:rsidP="002E3C00">
      <w:pPr>
        <w:pStyle w:val="BodyText"/>
      </w:pPr>
      <w:r>
        <w:t>The user reviews and changes the user roles and associated security levels that determine which options and functions are available to a user in the division.</w:t>
      </w:r>
    </w:p>
    <w:p w:rsidR="002E3C00" w:rsidRDefault="002E3C00" w:rsidP="002E3C00">
      <w:pPr>
        <w:pStyle w:val="Heading4"/>
        <w:rPr>
          <w:b w:val="0"/>
        </w:rPr>
      </w:pPr>
      <w:r>
        <w:t>User Roles with Access to This Option</w:t>
      </w:r>
      <w:r>
        <w:rPr>
          <w:b w:val="0"/>
        </w:rPr>
        <w:t xml:space="preserve"> </w:t>
      </w:r>
    </w:p>
    <w:p w:rsidR="002E3C00" w:rsidRDefault="002E3C00" w:rsidP="002E3C00">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 (change user roles)</w:t>
      </w:r>
    </w:p>
    <w:p w:rsidR="002E3C00"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Pr>
          <w:snapToGrid w:val="0"/>
        </w:rPr>
        <w:t>Lead Technologist (view user roles)</w:t>
      </w:r>
    </w:p>
    <w:p w:rsidR="002E3C00" w:rsidRDefault="00B74754" w:rsidP="002E3C00">
      <w:pPr>
        <w:pStyle w:val="Heading4"/>
      </w:pPr>
      <w:r>
        <w:t>Preparation for Testing</w:t>
      </w:r>
    </w:p>
    <w:p w:rsidR="002E3C00" w:rsidRPr="00600497" w:rsidRDefault="002E3C00" w:rsidP="002F6D7B">
      <w:pPr>
        <w:pStyle w:val="ListNumber"/>
        <w:numPr>
          <w:ilvl w:val="0"/>
          <w:numId w:val="33"/>
        </w:numPr>
        <w:tabs>
          <w:tab w:val="clear" w:pos="720"/>
          <w:tab w:val="num" w:pos="360"/>
        </w:tabs>
        <w:ind w:left="360"/>
      </w:pPr>
      <w:r>
        <w:t xml:space="preserve">It is </w:t>
      </w:r>
      <w:r w:rsidRPr="00600497">
        <w:t xml:space="preserve">recommended to assign one Lead Technologist on each shift to respond to system overrides. </w:t>
      </w:r>
    </w:p>
    <w:p w:rsidR="00DD41F5" w:rsidRPr="00FB7F8D" w:rsidRDefault="00DD41F5" w:rsidP="002F6D7B">
      <w:pPr>
        <w:pStyle w:val="ListNumber"/>
        <w:numPr>
          <w:ilvl w:val="0"/>
          <w:numId w:val="33"/>
        </w:numPr>
        <w:tabs>
          <w:tab w:val="clear" w:pos="720"/>
          <w:tab w:val="num" w:pos="360"/>
        </w:tabs>
        <w:ind w:left="360"/>
      </w:pPr>
      <w:r w:rsidRPr="00600497">
        <w:t>Prin</w:t>
      </w:r>
      <w:r w:rsidRPr="00FB7F8D">
        <w:t>t</w:t>
      </w:r>
      <w:r>
        <w:t>, sign, date,</w:t>
      </w:r>
      <w:r w:rsidRPr="00FB7F8D">
        <w:t xml:space="preserve"> and save an </w:t>
      </w:r>
      <w:r>
        <w:t>A</w:t>
      </w:r>
      <w:r w:rsidRPr="00FB7F8D">
        <w:t xml:space="preserve">udit </w:t>
      </w:r>
      <w:r>
        <w:t>Trail R</w:t>
      </w:r>
      <w:r w:rsidRPr="00FB7F8D">
        <w:t>eport for your validation record.</w:t>
      </w:r>
    </w:p>
    <w:p w:rsidR="002E3C00" w:rsidRDefault="002E3C00" w:rsidP="00A57833">
      <w:pPr>
        <w:pStyle w:val="Heading3"/>
        <w:rPr>
          <w:snapToGrid w:val="0"/>
        </w:rPr>
      </w:pPr>
      <w:bookmarkStart w:id="782" w:name="_Toc114462112"/>
      <w:bookmarkStart w:id="783" w:name="_Toc459900237"/>
      <w:r>
        <w:rPr>
          <w:snapToGrid w:val="0"/>
        </w:rPr>
        <w:t>Testing</w:t>
      </w:r>
      <w:bookmarkEnd w:id="782"/>
      <w:bookmarkEnd w:id="783"/>
      <w:r w:rsidR="00992E88">
        <w:rPr>
          <w:snapToGrid w:val="0"/>
        </w:rPr>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rPr>
          <w:snapToGrid w:val="0"/>
        </w:rPr>
        <w:instrText>Testing</w:instrText>
      </w:r>
      <w:r w:rsidR="00992E88">
        <w:instrText xml:space="preserve">" </w:instrText>
      </w:r>
      <w:r w:rsidR="00992E88">
        <w:rPr>
          <w:snapToGrid w:val="0"/>
        </w:rPr>
        <w:fldChar w:fldCharType="end"/>
      </w:r>
    </w:p>
    <w:p w:rsidR="002E3C00" w:rsidRDefault="002E3C00" w:rsidP="002E3C00">
      <w:pPr>
        <w:pStyle w:val="BodyText"/>
        <w:rPr>
          <w:szCs w:val="15"/>
        </w:rPr>
      </w:pPr>
      <w:r>
        <w:rPr>
          <w:szCs w:val="15"/>
        </w:rPr>
        <w:t>Sample test scripts will be provided during the implementation of VBECS. Each site</w:t>
      </w:r>
      <w:r w:rsidRPr="00695B8D">
        <w:rPr>
          <w:szCs w:val="15"/>
        </w:rPr>
        <w:t xml:space="preserve"> </w:t>
      </w:r>
      <w:r>
        <w:rPr>
          <w:szCs w:val="15"/>
        </w:rPr>
        <w:t>must</w:t>
      </w:r>
      <w:r w:rsidRPr="00695B8D">
        <w:rPr>
          <w:szCs w:val="15"/>
        </w:rPr>
        <w:t xml:space="preserve"> evaluate </w:t>
      </w:r>
      <w:r>
        <w:rPr>
          <w:szCs w:val="15"/>
        </w:rPr>
        <w:t>the intended uses of the software</w:t>
      </w:r>
      <w:r w:rsidRPr="00695B8D">
        <w:rPr>
          <w:szCs w:val="15"/>
        </w:rPr>
        <w:t xml:space="preserve"> and make appropriate changes (additions</w:t>
      </w:r>
      <w:r>
        <w:rPr>
          <w:szCs w:val="15"/>
        </w:rPr>
        <w:t xml:space="preserve"> or deletions) to the</w:t>
      </w:r>
      <w:r w:rsidRPr="00695B8D">
        <w:rPr>
          <w:szCs w:val="15"/>
        </w:rPr>
        <w:t xml:space="preserve"> facility’s procedures</w:t>
      </w:r>
      <w:r>
        <w:rPr>
          <w:szCs w:val="15"/>
        </w:rPr>
        <w:t xml:space="preserve">, </w:t>
      </w:r>
      <w:r w:rsidRPr="00695B8D">
        <w:rPr>
          <w:szCs w:val="15"/>
        </w:rPr>
        <w:t>processes</w:t>
      </w:r>
      <w:r>
        <w:rPr>
          <w:szCs w:val="15"/>
        </w:rPr>
        <w:t>, policies, and test scripts</w:t>
      </w:r>
      <w:r w:rsidRPr="00695B8D">
        <w:rPr>
          <w:szCs w:val="15"/>
        </w:rPr>
        <w:t>.</w:t>
      </w:r>
      <w:r>
        <w:rPr>
          <w:szCs w:val="15"/>
        </w:rPr>
        <w:t xml:space="preserve"> </w:t>
      </w:r>
    </w:p>
    <w:p w:rsidR="002E3C00" w:rsidRDefault="002E3C00" w:rsidP="002E3C00">
      <w:pPr>
        <w:pStyle w:val="Caution"/>
        <w:rPr>
          <w:szCs w:val="15"/>
        </w:rPr>
      </w:pPr>
      <w:r w:rsidRPr="00695B8D">
        <w:rPr>
          <w:szCs w:val="15"/>
        </w:rPr>
        <w:t>You are required to validate your process</w:t>
      </w:r>
      <w:r>
        <w:rPr>
          <w:szCs w:val="15"/>
        </w:rPr>
        <w:t xml:space="preserve"> and how you use the software. You must also validate</w:t>
      </w:r>
      <w:r w:rsidRPr="00695B8D">
        <w:rPr>
          <w:szCs w:val="15"/>
        </w:rPr>
        <w:t xml:space="preserve"> the software </w:t>
      </w:r>
      <w:r>
        <w:rPr>
          <w:szCs w:val="15"/>
        </w:rPr>
        <w:t>itself</w:t>
      </w:r>
      <w:r w:rsidRPr="00695B8D">
        <w:rPr>
          <w:szCs w:val="15"/>
        </w:rPr>
        <w:t>.</w:t>
      </w:r>
      <w:r>
        <w:rPr>
          <w:szCs w:val="15"/>
        </w:rPr>
        <w:t xml:space="preserve"> </w:t>
      </w:r>
      <w:r>
        <w:t>Training users is an integral part of the validation process.</w:t>
      </w:r>
    </w:p>
    <w:p w:rsidR="002E3C00" w:rsidRDefault="00200B6D" w:rsidP="00A57833">
      <w:pPr>
        <w:pStyle w:val="Heading3"/>
      </w:pPr>
      <w:bookmarkStart w:id="784" w:name="_Toc85895801"/>
      <w:bookmarkStart w:id="785" w:name="_Toc113264257"/>
      <w:bookmarkStart w:id="786" w:name="_Toc114462113"/>
      <w:r>
        <w:br w:type="page"/>
      </w:r>
      <w:bookmarkStart w:id="787" w:name="_Toc459900238"/>
      <w:r w:rsidR="002E3C00">
        <w:lastRenderedPageBreak/>
        <w:t xml:space="preserve">VBECS </w:t>
      </w:r>
      <w:r w:rsidR="00297B5F">
        <w:t xml:space="preserve">Forms and </w:t>
      </w:r>
      <w:r w:rsidR="002E3C00">
        <w:t>Reports</w:t>
      </w:r>
      <w:bookmarkEnd w:id="784"/>
      <w:bookmarkEnd w:id="785"/>
      <w:bookmarkEnd w:id="786"/>
      <w:bookmarkEnd w:id="787"/>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VBECS Forms and Reports</w:instrText>
      </w:r>
      <w:r w:rsidR="00992E88">
        <w:instrText xml:space="preserve">" </w:instrText>
      </w:r>
      <w:r w:rsidR="00992E88">
        <w:fldChar w:fldCharType="end"/>
      </w:r>
    </w:p>
    <w:p w:rsidR="00297B5F" w:rsidRDefault="002E3C00" w:rsidP="002E3C00">
      <w:pPr>
        <w:pStyle w:val="BodyText"/>
        <w:sectPr w:rsidR="00297B5F" w:rsidSect="00EE771C">
          <w:headerReference w:type="even" r:id="rId248"/>
          <w:pgSz w:w="12240" w:h="15840" w:code="1"/>
          <w:pgMar w:top="1440" w:right="1440" w:bottom="1440" w:left="1440" w:header="720" w:footer="720" w:gutter="0"/>
          <w:cols w:space="720"/>
          <w:docGrid w:linePitch="360"/>
        </w:sectPr>
      </w:pPr>
      <w:r>
        <w:t xml:space="preserve">Print </w:t>
      </w:r>
      <w:r w:rsidR="00AE3F2C">
        <w:t xml:space="preserve">and review these </w:t>
      </w:r>
      <w:r>
        <w:t xml:space="preserve">reports </w:t>
      </w:r>
      <w:r w:rsidR="00AE3F2C">
        <w:t>and forms at the end of</w:t>
      </w:r>
      <w:r>
        <w:t xml:space="preserve"> validation testing. </w:t>
      </w:r>
      <w:bookmarkStart w:id="788" w:name="Check1"/>
    </w:p>
    <w:p w:rsidR="002E3C00" w:rsidRDefault="002E3C00" w:rsidP="002E3C00">
      <w:pPr>
        <w:pStyle w:val="BodyText"/>
        <w:rPr>
          <w:snapToGrid w:val="0"/>
        </w:rPr>
      </w:pPr>
      <w:r>
        <w:rPr>
          <w:snapToGrid w:val="0"/>
        </w:rPr>
        <w:lastRenderedPageBreak/>
        <w:fldChar w:fldCharType="begin">
          <w:ffData>
            <w:name w:val="Check1"/>
            <w:enabled/>
            <w:calcOnExit w:val="0"/>
            <w:checkBox>
              <w:sizeAuto/>
              <w:default w:val="0"/>
            </w:checkBox>
          </w:ffData>
        </w:fldChar>
      </w:r>
      <w:r>
        <w:rPr>
          <w:snapToGrid w:val="0"/>
        </w:rPr>
        <w:instrText xml:space="preserve"> FORMCHECKBOX </w:instrText>
      </w:r>
      <w:r w:rsidRPr="00C32F1C">
        <w:rPr>
          <w:snapToGrid w:val="0"/>
        </w:rPr>
      </w:r>
      <w:r>
        <w:rPr>
          <w:snapToGrid w:val="0"/>
        </w:rPr>
        <w:fldChar w:fldCharType="end"/>
      </w:r>
      <w:bookmarkEnd w:id="788"/>
      <w:r>
        <w:rPr>
          <w:snapToGrid w:val="0"/>
        </w:rPr>
        <w:t xml:space="preserve"> Administrative Data </w:t>
      </w:r>
    </w:p>
    <w:p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Pr="00C32F1C">
        <w:rPr>
          <w:snapToGrid w:val="0"/>
        </w:rPr>
      </w:r>
      <w:r>
        <w:rPr>
          <w:snapToGrid w:val="0"/>
        </w:rPr>
        <w:fldChar w:fldCharType="end"/>
      </w:r>
      <w:r>
        <w:rPr>
          <w:snapToGrid w:val="0"/>
        </w:rPr>
        <w:t xml:space="preserve"> Audit Trail </w:t>
      </w:r>
    </w:p>
    <w:p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Pr="00C32F1C">
        <w:rPr>
          <w:snapToGrid w:val="0"/>
        </w:rPr>
      </w:r>
      <w:r>
        <w:rPr>
          <w:snapToGrid w:val="0"/>
        </w:rPr>
        <w:fldChar w:fldCharType="end"/>
      </w:r>
      <w:r>
        <w:rPr>
          <w:snapToGrid w:val="0"/>
        </w:rPr>
        <w:t xml:space="preserve"> Blood Availability </w:t>
      </w:r>
    </w:p>
    <w:p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Pr="00C32F1C">
        <w:rPr>
          <w:snapToGrid w:val="0"/>
        </w:rPr>
      </w:r>
      <w:r>
        <w:rPr>
          <w:snapToGrid w:val="0"/>
        </w:rPr>
        <w:fldChar w:fldCharType="end"/>
      </w:r>
      <w:r>
        <w:rPr>
          <w:snapToGrid w:val="0"/>
        </w:rPr>
        <w:t xml:space="preserve"> Cost Accounting </w:t>
      </w:r>
    </w:p>
    <w:p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Pr="00C32F1C">
        <w:rPr>
          <w:snapToGrid w:val="0"/>
        </w:rPr>
      </w:r>
      <w:r>
        <w:rPr>
          <w:snapToGrid w:val="0"/>
        </w:rPr>
        <w:fldChar w:fldCharType="end"/>
      </w:r>
      <w:r>
        <w:rPr>
          <w:snapToGrid w:val="0"/>
        </w:rPr>
        <w:t xml:space="preserve"> </w:t>
      </w:r>
      <w:r>
        <w:t xml:space="preserve">C:T Ratio </w:t>
      </w:r>
    </w:p>
    <w:p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Pr="00C32F1C">
        <w:rPr>
          <w:snapToGrid w:val="0"/>
        </w:rPr>
      </w:r>
      <w:r>
        <w:rPr>
          <w:snapToGrid w:val="0"/>
        </w:rPr>
        <w:fldChar w:fldCharType="end"/>
      </w:r>
      <w:r>
        <w:rPr>
          <w:snapToGrid w:val="0"/>
        </w:rPr>
        <w:t xml:space="preserve"> Division Transfusion </w:t>
      </w:r>
    </w:p>
    <w:p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Pr="00C32F1C">
        <w:rPr>
          <w:snapToGrid w:val="0"/>
        </w:rPr>
      </w:r>
      <w:r>
        <w:rPr>
          <w:snapToGrid w:val="0"/>
        </w:rPr>
        <w:fldChar w:fldCharType="end"/>
      </w:r>
      <w:r>
        <w:rPr>
          <w:snapToGrid w:val="0"/>
        </w:rPr>
        <w:t xml:space="preserve"> Division Workload </w:t>
      </w:r>
    </w:p>
    <w:p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Pr="00C32F1C">
        <w:rPr>
          <w:snapToGrid w:val="0"/>
        </w:rPr>
      </w:r>
      <w:r>
        <w:rPr>
          <w:snapToGrid w:val="0"/>
        </w:rPr>
        <w:fldChar w:fldCharType="end"/>
      </w:r>
      <w:r>
        <w:rPr>
          <w:snapToGrid w:val="0"/>
        </w:rPr>
        <w:t xml:space="preserve"> Exception </w:t>
      </w:r>
    </w:p>
    <w:p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Pr="00C32F1C">
        <w:rPr>
          <w:snapToGrid w:val="0"/>
        </w:rPr>
      </w:r>
      <w:r>
        <w:rPr>
          <w:snapToGrid w:val="0"/>
        </w:rPr>
        <w:fldChar w:fldCharType="end"/>
      </w:r>
      <w:r>
        <w:rPr>
          <w:snapToGrid w:val="0"/>
        </w:rPr>
        <w:t xml:space="preserve"> Finalize/Print TRW</w:t>
      </w:r>
    </w:p>
    <w:p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Pr="00C32F1C">
        <w:rPr>
          <w:snapToGrid w:val="0"/>
        </w:rPr>
      </w:r>
      <w:r>
        <w:rPr>
          <w:snapToGrid w:val="0"/>
        </w:rPr>
        <w:fldChar w:fldCharType="end"/>
      </w:r>
      <w:r>
        <w:rPr>
          <w:snapToGrid w:val="0"/>
        </w:rPr>
        <w:t xml:space="preserve"> Inappropriate Transfusion Request </w:t>
      </w:r>
    </w:p>
    <w:p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Pr="00C32F1C">
        <w:rPr>
          <w:snapToGrid w:val="0"/>
        </w:rPr>
      </w:r>
      <w:r>
        <w:rPr>
          <w:snapToGrid w:val="0"/>
        </w:rPr>
        <w:fldChar w:fldCharType="end"/>
      </w:r>
      <w:r>
        <w:rPr>
          <w:snapToGrid w:val="0"/>
        </w:rPr>
        <w:t xml:space="preserve"> Issued/Returned </w:t>
      </w:r>
    </w:p>
    <w:p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Pr="00C32F1C">
        <w:rPr>
          <w:snapToGrid w:val="0"/>
        </w:rPr>
      </w:r>
      <w:r>
        <w:rPr>
          <w:snapToGrid w:val="0"/>
        </w:rPr>
        <w:fldChar w:fldCharType="end"/>
      </w:r>
      <w:r>
        <w:rPr>
          <w:snapToGrid w:val="0"/>
        </w:rPr>
        <w:t xml:space="preserve"> Maintain Equipment (Print)</w:t>
      </w:r>
    </w:p>
    <w:p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Pr="00C32F1C">
        <w:rPr>
          <w:snapToGrid w:val="0"/>
        </w:rPr>
      </w:r>
      <w:r>
        <w:rPr>
          <w:snapToGrid w:val="0"/>
        </w:rPr>
        <w:fldChar w:fldCharType="end"/>
      </w:r>
      <w:r>
        <w:rPr>
          <w:snapToGrid w:val="0"/>
        </w:rPr>
        <w:t xml:space="preserve"> Order History </w:t>
      </w:r>
    </w:p>
    <w:p w:rsidR="00200B6D" w:rsidRDefault="00200B6D" w:rsidP="00200B6D">
      <w:pPr>
        <w:pStyle w:val="BodyText"/>
        <w:rPr>
          <w:snapToGrid w:val="0"/>
        </w:rPr>
      </w:pPr>
      <w:r>
        <w:rPr>
          <w:snapToGrid w:val="0"/>
        </w:rPr>
        <w:br w:type="column"/>
      </w:r>
      <w:r>
        <w:rPr>
          <w:snapToGrid w:val="0"/>
        </w:rPr>
        <w:lastRenderedPageBreak/>
        <w:fldChar w:fldCharType="begin">
          <w:ffData>
            <w:name w:val="Check1"/>
            <w:enabled/>
            <w:calcOnExit w:val="0"/>
            <w:checkBox>
              <w:sizeAuto/>
              <w:default w:val="0"/>
            </w:checkBox>
          </w:ffData>
        </w:fldChar>
      </w:r>
      <w:r>
        <w:rPr>
          <w:snapToGrid w:val="0"/>
        </w:rPr>
        <w:instrText xml:space="preserve"> FORMCHECKBOX </w:instrText>
      </w:r>
      <w:r w:rsidRPr="00C32F1C">
        <w:rPr>
          <w:snapToGrid w:val="0"/>
        </w:rPr>
      </w:r>
      <w:r>
        <w:rPr>
          <w:snapToGrid w:val="0"/>
        </w:rPr>
        <w:fldChar w:fldCharType="end"/>
      </w:r>
      <w:r>
        <w:rPr>
          <w:snapToGrid w:val="0"/>
        </w:rPr>
        <w:t xml:space="preserve"> Patient History </w:t>
      </w:r>
    </w:p>
    <w:p w:rsidR="002E3C00" w:rsidRDefault="002E3C00" w:rsidP="002E3C00">
      <w:pPr>
        <w:pStyle w:val="BodyText"/>
        <w:rPr>
          <w:snapToGrid w:val="0"/>
          <w:color w:val="00000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Pr="00C32F1C">
        <w:rPr>
          <w:snapToGrid w:val="0"/>
        </w:rPr>
      </w:r>
      <w:r>
        <w:rPr>
          <w:snapToGrid w:val="0"/>
        </w:rPr>
        <w:fldChar w:fldCharType="end"/>
      </w:r>
      <w:r>
        <w:rPr>
          <w:snapToGrid w:val="0"/>
        </w:rPr>
        <w:t xml:space="preserve"> Print Unit Caution Tag &amp; Transfusion Record Form </w:t>
      </w:r>
    </w:p>
    <w:p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Pr="00C32F1C">
        <w:rPr>
          <w:snapToGrid w:val="0"/>
        </w:rPr>
      </w:r>
      <w:r>
        <w:rPr>
          <w:snapToGrid w:val="0"/>
        </w:rPr>
        <w:fldChar w:fldCharType="end"/>
      </w:r>
      <w:r>
        <w:rPr>
          <w:snapToGrid w:val="0"/>
        </w:rPr>
        <w:t xml:space="preserve"> </w:t>
      </w:r>
      <w:r>
        <w:t xml:space="preserve">Prolonged Transfusion Time </w:t>
      </w:r>
    </w:p>
    <w:p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Pr="00C32F1C">
        <w:rPr>
          <w:snapToGrid w:val="0"/>
        </w:rPr>
      </w:r>
      <w:r>
        <w:rPr>
          <w:snapToGrid w:val="0"/>
        </w:rPr>
        <w:fldChar w:fldCharType="end"/>
      </w:r>
      <w:r>
        <w:rPr>
          <w:snapToGrid w:val="0"/>
        </w:rPr>
        <w:t xml:space="preserve"> Testing Worklist </w:t>
      </w:r>
    </w:p>
    <w:p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Pr="00C32F1C">
        <w:rPr>
          <w:snapToGrid w:val="0"/>
        </w:rPr>
      </w:r>
      <w:r>
        <w:rPr>
          <w:snapToGrid w:val="0"/>
        </w:rPr>
        <w:fldChar w:fldCharType="end"/>
      </w:r>
      <w:r>
        <w:rPr>
          <w:snapToGrid w:val="0"/>
        </w:rPr>
        <w:t xml:space="preserve"> Transfusion Complications </w:t>
      </w:r>
    </w:p>
    <w:p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Pr="00C32F1C">
        <w:rPr>
          <w:snapToGrid w:val="0"/>
        </w:rPr>
      </w:r>
      <w:r>
        <w:rPr>
          <w:snapToGrid w:val="0"/>
        </w:rPr>
        <w:fldChar w:fldCharType="end"/>
      </w:r>
      <w:r>
        <w:rPr>
          <w:snapToGrid w:val="0"/>
        </w:rPr>
        <w:t xml:space="preserve"> Transfusion Effectiveness </w:t>
      </w:r>
    </w:p>
    <w:p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Pr="00C32F1C">
        <w:rPr>
          <w:snapToGrid w:val="0"/>
        </w:rPr>
      </w:r>
      <w:r>
        <w:rPr>
          <w:snapToGrid w:val="0"/>
        </w:rPr>
        <w:fldChar w:fldCharType="end"/>
      </w:r>
      <w:r>
        <w:rPr>
          <w:snapToGrid w:val="0"/>
        </w:rPr>
        <w:t xml:space="preserve"> </w:t>
      </w:r>
      <w:r>
        <w:t xml:space="preserve">Transfusion Reaction Count </w:t>
      </w:r>
    </w:p>
    <w:p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Pr="00C32F1C">
        <w:rPr>
          <w:snapToGrid w:val="0"/>
        </w:rPr>
      </w:r>
      <w:r>
        <w:rPr>
          <w:snapToGrid w:val="0"/>
        </w:rPr>
        <w:fldChar w:fldCharType="end"/>
      </w:r>
      <w:r>
        <w:rPr>
          <w:snapToGrid w:val="0"/>
        </w:rPr>
        <w:t xml:space="preserve"> Transfusion Requirements </w:t>
      </w:r>
    </w:p>
    <w:p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Pr="00C32F1C">
        <w:rPr>
          <w:snapToGrid w:val="0"/>
        </w:rPr>
      </w:r>
      <w:r>
        <w:rPr>
          <w:snapToGrid w:val="0"/>
        </w:rPr>
        <w:fldChar w:fldCharType="end"/>
      </w:r>
      <w:r>
        <w:rPr>
          <w:snapToGrid w:val="0"/>
        </w:rPr>
        <w:t xml:space="preserve"> Unit History </w:t>
      </w:r>
    </w:p>
    <w:p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Pr="00C32F1C">
        <w:rPr>
          <w:snapToGrid w:val="0"/>
        </w:rPr>
      </w:r>
      <w:r>
        <w:rPr>
          <w:snapToGrid w:val="0"/>
        </w:rPr>
        <w:fldChar w:fldCharType="end"/>
      </w:r>
      <w:r>
        <w:rPr>
          <w:snapToGrid w:val="0"/>
        </w:rPr>
        <w:t xml:space="preserve"> View/Print Equipment Inventory</w:t>
      </w:r>
    </w:p>
    <w:p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Pr="00C32F1C">
        <w:rPr>
          <w:snapToGrid w:val="0"/>
        </w:rPr>
      </w:r>
      <w:r>
        <w:rPr>
          <w:snapToGrid w:val="0"/>
        </w:rPr>
        <w:fldChar w:fldCharType="end"/>
      </w:r>
      <w:r>
        <w:rPr>
          <w:snapToGrid w:val="0"/>
        </w:rPr>
        <w:t xml:space="preserve"> View/Print Inventory (Reagent)</w:t>
      </w:r>
    </w:p>
    <w:p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Pr="00C32F1C">
        <w:rPr>
          <w:snapToGrid w:val="0"/>
        </w:rPr>
      </w:r>
      <w:r>
        <w:rPr>
          <w:snapToGrid w:val="0"/>
        </w:rPr>
        <w:fldChar w:fldCharType="end"/>
      </w:r>
      <w:r>
        <w:rPr>
          <w:snapToGrid w:val="0"/>
        </w:rPr>
        <w:t xml:space="preserve"> View/Print Supply Inventory</w:t>
      </w:r>
    </w:p>
    <w:p w:rsidR="00297B5F" w:rsidRDefault="00297B5F">
      <w:pPr>
        <w:pStyle w:val="Heading2"/>
        <w:sectPr w:rsidR="00297B5F" w:rsidSect="00EE771C">
          <w:type w:val="continuous"/>
          <w:pgSz w:w="12240" w:h="15840" w:code="1"/>
          <w:pgMar w:top="1440" w:right="1440" w:bottom="1440" w:left="1440" w:header="720" w:footer="720" w:gutter="0"/>
          <w:cols w:num="2" w:space="720"/>
          <w:docGrid w:linePitch="360"/>
        </w:sectPr>
      </w:pPr>
    </w:p>
    <w:p w:rsidR="00E9554D" w:rsidRDefault="00E9554D" w:rsidP="00E9554D">
      <w:pPr>
        <w:pStyle w:val="BodyText"/>
        <w:jc w:val="center"/>
      </w:pPr>
      <w:r>
        <w:lastRenderedPageBreak/>
        <w:t>This page intentionally left blank.</w:t>
      </w:r>
    </w:p>
    <w:p w:rsidR="002A21AE" w:rsidRDefault="00E9554D">
      <w:pPr>
        <w:pStyle w:val="Heading2"/>
      </w:pPr>
      <w:r>
        <w:br w:type="page"/>
      </w:r>
      <w:bookmarkStart w:id="789" w:name="_Toc459900239"/>
      <w:r w:rsidR="002A21AE">
        <w:lastRenderedPageBreak/>
        <w:t xml:space="preserve">Appendix </w:t>
      </w:r>
      <w:r w:rsidR="002A21AE">
        <w:fldChar w:fldCharType="begin"/>
      </w:r>
      <w:r w:rsidR="002A21AE">
        <w:instrText xml:space="preserve"> SEQ Appendix \* ALPHABETIC </w:instrText>
      </w:r>
      <w:r w:rsidR="002A21AE">
        <w:fldChar w:fldCharType="separate"/>
      </w:r>
      <w:r w:rsidR="005F38BC">
        <w:rPr>
          <w:noProof/>
        </w:rPr>
        <w:t>G</w:t>
      </w:r>
      <w:r w:rsidR="002A21AE">
        <w:fldChar w:fldCharType="end"/>
      </w:r>
      <w:r w:rsidR="002A21AE">
        <w:t xml:space="preserve">: </w:t>
      </w:r>
      <w:r w:rsidR="00681DED">
        <w:t>Work Process Flowcharts</w:t>
      </w:r>
      <w:bookmarkEnd w:id="789"/>
      <w:r w:rsidR="002A21AE">
        <w:fldChar w:fldCharType="begin"/>
      </w:r>
      <w:r w:rsidR="002A21AE">
        <w:instrText xml:space="preserve"> XE </w:instrText>
      </w:r>
      <w:r w:rsidR="00FA7E65">
        <w:instrText>“</w:instrText>
      </w:r>
      <w:r w:rsidR="00681DED">
        <w:instrText>Work Process Flowcharts</w:instrText>
      </w:r>
      <w:r w:rsidR="00FA7E65">
        <w:instrText>”</w:instrText>
      </w:r>
      <w:r w:rsidR="002A21AE">
        <w:instrText xml:space="preserve"> </w:instrText>
      </w:r>
      <w:r w:rsidR="002A21AE">
        <w:fldChar w:fldCharType="end"/>
      </w:r>
    </w:p>
    <w:p w:rsidR="006D442F" w:rsidRDefault="006D442F" w:rsidP="006D442F">
      <w:pPr>
        <w:pStyle w:val="Caption"/>
      </w:pPr>
      <w:r>
        <w:t xml:space="preserve">Figure </w:t>
      </w:r>
      <w:r>
        <w:fldChar w:fldCharType="begin"/>
      </w:r>
      <w:r>
        <w:instrText xml:space="preserve"> SEQ Figure \* ARABIC </w:instrText>
      </w:r>
      <w:r>
        <w:fldChar w:fldCharType="separate"/>
      </w:r>
      <w:r w:rsidR="005F38BC">
        <w:rPr>
          <w:noProof/>
        </w:rPr>
        <w:t>141</w:t>
      </w:r>
      <w:r>
        <w:fldChar w:fldCharType="end"/>
      </w:r>
      <w:r>
        <w:t>: Configure Division Settings: Full-Service Divisions</w:t>
      </w:r>
    </w:p>
    <w:p w:rsidR="007F032F" w:rsidRDefault="006F1241" w:rsidP="00B31CBF">
      <w:pPr>
        <w:pStyle w:val="BodyText"/>
      </w:pPr>
      <w:r>
        <w:object w:dxaOrig="9595" w:dyaOrig="14410">
          <v:shape id="_x0000_i1033" type="#_x0000_t75" style="width:336.2pt;height:503.35pt" o:ole="">
            <v:imagedata r:id="rId249" o:title=""/>
          </v:shape>
          <o:OLEObject Type="Embed" ProgID="Visio.Drawing.11" ShapeID="_x0000_i1033" DrawAspect="Content" ObjectID="_1538556486" r:id="rId250"/>
        </w:object>
      </w:r>
    </w:p>
    <w:p w:rsidR="006D442F" w:rsidRDefault="007F032F" w:rsidP="006D442F">
      <w:pPr>
        <w:pStyle w:val="Caption"/>
      </w:pPr>
      <w:r>
        <w:br w:type="page"/>
      </w:r>
      <w:r w:rsidR="006D442F">
        <w:lastRenderedPageBreak/>
        <w:t xml:space="preserve">Figure </w:t>
      </w:r>
      <w:r w:rsidR="006D442F">
        <w:fldChar w:fldCharType="begin"/>
      </w:r>
      <w:r w:rsidR="006D442F">
        <w:instrText xml:space="preserve"> SEQ Figure \* ARABIC </w:instrText>
      </w:r>
      <w:r w:rsidR="006D442F">
        <w:fldChar w:fldCharType="separate"/>
      </w:r>
      <w:r w:rsidR="005F38BC">
        <w:rPr>
          <w:noProof/>
        </w:rPr>
        <w:t>142</w:t>
      </w:r>
      <w:r w:rsidR="006D442F">
        <w:fldChar w:fldCharType="end"/>
      </w:r>
      <w:r w:rsidR="006D442F">
        <w:t>: Configure Division Settings: Transfusion-Only Divisions</w:t>
      </w:r>
    </w:p>
    <w:p w:rsidR="00E5778C" w:rsidRDefault="008761B6" w:rsidP="00B31CBF">
      <w:pPr>
        <w:pStyle w:val="BodyText"/>
      </w:pPr>
      <w:r>
        <w:object w:dxaOrig="7435" w:dyaOrig="14410">
          <v:shape id="_x0000_i1034" type="#_x0000_t75" style="width:296.75pt;height:575.35pt" o:ole="">
            <v:imagedata r:id="rId251" o:title=""/>
          </v:shape>
          <o:OLEObject Type="Embed" ProgID="Visio.Drawing.11" ShapeID="_x0000_i1034" DrawAspect="Content" ObjectID="_1538556487" r:id="rId252"/>
        </w:object>
      </w:r>
    </w:p>
    <w:p w:rsidR="006D442F" w:rsidRDefault="000753FE" w:rsidP="006D442F">
      <w:pPr>
        <w:pStyle w:val="Caption"/>
      </w:pPr>
      <w:r>
        <w:br w:type="page"/>
      </w:r>
      <w:r w:rsidR="006D442F">
        <w:lastRenderedPageBreak/>
        <w:t xml:space="preserve">Figure </w:t>
      </w:r>
      <w:r w:rsidR="006D442F">
        <w:fldChar w:fldCharType="begin"/>
      </w:r>
      <w:r w:rsidR="006D442F">
        <w:instrText xml:space="preserve"> SEQ Figure \* ARABIC </w:instrText>
      </w:r>
      <w:r w:rsidR="006D442F">
        <w:fldChar w:fldCharType="separate"/>
      </w:r>
      <w:r w:rsidR="005F38BC">
        <w:rPr>
          <w:noProof/>
        </w:rPr>
        <w:t>143</w:t>
      </w:r>
      <w:r w:rsidR="006D442F">
        <w:fldChar w:fldCharType="end"/>
      </w:r>
      <w:r w:rsidR="006D442F">
        <w:t>: Maintain Reagents and Daily QC: Full Service Divisions</w:t>
      </w:r>
    </w:p>
    <w:p w:rsidR="00F47ED0" w:rsidRPr="00F47ED0" w:rsidRDefault="000753FE" w:rsidP="00B31CBF">
      <w:pPr>
        <w:pStyle w:val="BodyText"/>
      </w:pPr>
      <w:r>
        <w:object w:dxaOrig="10119" w:dyaOrig="10037">
          <v:shape id="_x0000_i1035" type="#_x0000_t75" style="width:468.3pt;height:463.3pt" o:ole="">
            <v:imagedata r:id="rId253" o:title=""/>
          </v:shape>
          <o:OLEObject Type="Embed" ProgID="Visio.Drawing.11" ShapeID="_x0000_i1035" DrawAspect="Content" ObjectID="_1538556488" r:id="rId254"/>
        </w:object>
      </w:r>
    </w:p>
    <w:p w:rsidR="00292ED0" w:rsidRDefault="00292ED0" w:rsidP="00292ED0">
      <w:pPr>
        <w:pStyle w:val="Heading3"/>
        <w:sectPr w:rsidR="00292ED0" w:rsidSect="00EE771C">
          <w:pgSz w:w="12240" w:h="15840" w:code="1"/>
          <w:pgMar w:top="1440" w:right="1440" w:bottom="1440" w:left="1440" w:header="720" w:footer="720" w:gutter="0"/>
          <w:cols w:space="720"/>
          <w:docGrid w:linePitch="360"/>
        </w:sectPr>
      </w:pPr>
    </w:p>
    <w:p w:rsidR="006D442F" w:rsidRDefault="006D442F" w:rsidP="006D442F">
      <w:pPr>
        <w:pStyle w:val="Caption"/>
      </w:pPr>
      <w:r>
        <w:lastRenderedPageBreak/>
        <w:t xml:space="preserve">Figure </w:t>
      </w:r>
      <w:r>
        <w:fldChar w:fldCharType="begin"/>
      </w:r>
      <w:r>
        <w:instrText xml:space="preserve"> SEQ Figure \* ARABIC </w:instrText>
      </w:r>
      <w:r>
        <w:fldChar w:fldCharType="separate"/>
      </w:r>
      <w:r w:rsidR="005F38BC">
        <w:rPr>
          <w:noProof/>
        </w:rPr>
        <w:t>144</w:t>
      </w:r>
      <w:r>
        <w:fldChar w:fldCharType="end"/>
      </w:r>
      <w:r>
        <w:t>: Process Incoming Shipment: Full-Service Divisions</w:t>
      </w:r>
    </w:p>
    <w:p w:rsidR="00292ED0" w:rsidRDefault="00EA6850" w:rsidP="00B31CBF">
      <w:pPr>
        <w:pStyle w:val="BodyText"/>
      </w:pPr>
      <w:r>
        <w:t xml:space="preserve"> </w:t>
      </w:r>
      <w:r w:rsidR="00E7644F">
        <w:object w:dxaOrig="14258" w:dyaOrig="10675">
          <v:shape id="_x0000_i1036" type="#_x0000_t75" style="width:482.1pt;height:5in" o:ole="">
            <v:imagedata r:id="rId255" o:title=""/>
          </v:shape>
          <o:OLEObject Type="Embed" ProgID="Visio.Drawing.11" ShapeID="_x0000_i1036" DrawAspect="Content" ObjectID="_1538556489" r:id="rId256"/>
        </w:object>
      </w:r>
      <w:r w:rsidR="00292ED0">
        <w:t xml:space="preserve"> </w:t>
      </w:r>
    </w:p>
    <w:p w:rsidR="006D442F" w:rsidRDefault="00292ED0" w:rsidP="006D442F">
      <w:pPr>
        <w:pStyle w:val="Caption"/>
      </w:pPr>
      <w:r>
        <w:br w:type="page"/>
      </w:r>
      <w:r w:rsidR="006D442F">
        <w:lastRenderedPageBreak/>
        <w:t xml:space="preserve">Figure </w:t>
      </w:r>
      <w:r w:rsidR="006D442F">
        <w:fldChar w:fldCharType="begin"/>
      </w:r>
      <w:r w:rsidR="006D442F">
        <w:instrText xml:space="preserve"> SEQ Figure \* ARABIC </w:instrText>
      </w:r>
      <w:r w:rsidR="006D442F">
        <w:fldChar w:fldCharType="separate"/>
      </w:r>
      <w:r w:rsidR="005F38BC">
        <w:rPr>
          <w:noProof/>
        </w:rPr>
        <w:t>145</w:t>
      </w:r>
      <w:r w:rsidR="006D442F">
        <w:fldChar w:fldCharType="end"/>
      </w:r>
      <w:r w:rsidR="006D442F">
        <w:t>: Process Incoming Shipment: Transfusion-Only Divisions</w:t>
      </w:r>
    </w:p>
    <w:p w:rsidR="00292ED0" w:rsidRDefault="00E856B9" w:rsidP="00B31CBF">
      <w:pPr>
        <w:pStyle w:val="BodyText"/>
        <w:sectPr w:rsidR="00292ED0" w:rsidSect="00EE771C">
          <w:footerReference w:type="default" r:id="rId257"/>
          <w:pgSz w:w="15840" w:h="12240" w:orient="landscape" w:code="1"/>
          <w:pgMar w:top="1440" w:right="1440" w:bottom="1440" w:left="1440" w:header="720" w:footer="720" w:gutter="0"/>
          <w:cols w:space="720"/>
          <w:docGrid w:linePitch="360"/>
        </w:sectPr>
      </w:pPr>
      <w:r>
        <w:object w:dxaOrig="12835" w:dyaOrig="9370">
          <v:shape id="_x0000_i1037" type="#_x0000_t75" style="width:493.35pt;height:5in" o:ole="">
            <v:imagedata r:id="rId258" o:title=""/>
          </v:shape>
          <o:OLEObject Type="Embed" ProgID="Visio.Drawing.11" ShapeID="_x0000_i1037" DrawAspect="Content" ObjectID="_1538556490" r:id="rId259"/>
        </w:object>
      </w:r>
    </w:p>
    <w:p w:rsidR="006D442F" w:rsidRDefault="006D442F" w:rsidP="006D442F">
      <w:pPr>
        <w:pStyle w:val="Caption"/>
      </w:pPr>
      <w:r>
        <w:lastRenderedPageBreak/>
        <w:t xml:space="preserve">Figure </w:t>
      </w:r>
      <w:r>
        <w:fldChar w:fldCharType="begin"/>
      </w:r>
      <w:r>
        <w:instrText xml:space="preserve"> SEQ Figure \* ARABIC </w:instrText>
      </w:r>
      <w:r>
        <w:fldChar w:fldCharType="separate"/>
      </w:r>
      <w:r w:rsidR="005F38BC">
        <w:rPr>
          <w:noProof/>
        </w:rPr>
        <w:t>146</w:t>
      </w:r>
      <w:r>
        <w:fldChar w:fldCharType="end"/>
      </w:r>
      <w:r>
        <w:t>: Modify Units</w:t>
      </w:r>
    </w:p>
    <w:p w:rsidR="00011FD2" w:rsidRDefault="006F1241" w:rsidP="00011FD2">
      <w:pPr>
        <w:pStyle w:val="BodyText"/>
      </w:pPr>
      <w:r>
        <w:object w:dxaOrig="11058" w:dyaOrig="13019">
          <v:shape id="_x0000_i1038" type="#_x0000_t75" style="width:490.25pt;height:8in" o:ole="">
            <v:imagedata r:id="rId260" o:title=""/>
          </v:shape>
          <o:OLEObject Type="Embed" ProgID="Visio.Drawing.11" ShapeID="_x0000_i1038" DrawAspect="Content" ObjectID="_1538556491" r:id="rId261"/>
        </w:object>
      </w:r>
    </w:p>
    <w:p w:rsidR="006D442F" w:rsidRDefault="00B31CBF" w:rsidP="006D442F">
      <w:pPr>
        <w:pStyle w:val="Caption"/>
      </w:pPr>
      <w:r>
        <w:br w:type="page"/>
      </w:r>
      <w:r w:rsidR="006D442F">
        <w:lastRenderedPageBreak/>
        <w:t xml:space="preserve">Figure </w:t>
      </w:r>
      <w:r w:rsidR="006D442F">
        <w:fldChar w:fldCharType="begin"/>
      </w:r>
      <w:r w:rsidR="006D442F">
        <w:instrText xml:space="preserve"> SEQ Figure \* ARABIC </w:instrText>
      </w:r>
      <w:r w:rsidR="006D442F">
        <w:fldChar w:fldCharType="separate"/>
      </w:r>
      <w:r w:rsidR="005F38BC">
        <w:rPr>
          <w:noProof/>
        </w:rPr>
        <w:t>147</w:t>
      </w:r>
      <w:r w:rsidR="006D442F">
        <w:fldChar w:fldCharType="end"/>
      </w:r>
      <w:r w:rsidR="006D442F">
        <w:t>: Issue, Return or Transfuse Units: Full Service Divisions</w:t>
      </w:r>
    </w:p>
    <w:p w:rsidR="00B31CBF" w:rsidRDefault="001C317F" w:rsidP="00B31CBF">
      <w:pPr>
        <w:pStyle w:val="BodyText"/>
      </w:pPr>
      <w:r>
        <w:object w:dxaOrig="11018" w:dyaOrig="12880">
          <v:shape id="_x0000_i1039" type="#_x0000_t75" style="width:469.55pt;height:548.45pt" o:ole="">
            <v:imagedata r:id="rId262" o:title=""/>
          </v:shape>
          <o:OLEObject Type="Embed" ProgID="Visio.Drawing.11" ShapeID="_x0000_i1039" DrawAspect="Content" ObjectID="_1538556492" r:id="rId263"/>
        </w:object>
      </w:r>
    </w:p>
    <w:p w:rsidR="006D442F" w:rsidRDefault="00B31CBF" w:rsidP="006D442F">
      <w:pPr>
        <w:pStyle w:val="Caption"/>
      </w:pPr>
      <w:r>
        <w:br w:type="page"/>
      </w:r>
      <w:r w:rsidR="006D442F">
        <w:lastRenderedPageBreak/>
        <w:t xml:space="preserve">Figure </w:t>
      </w:r>
      <w:r w:rsidR="006D442F">
        <w:fldChar w:fldCharType="begin"/>
      </w:r>
      <w:r w:rsidR="006D442F">
        <w:instrText xml:space="preserve"> SEQ Figure \* ARABIC </w:instrText>
      </w:r>
      <w:r w:rsidR="006D442F">
        <w:fldChar w:fldCharType="separate"/>
      </w:r>
      <w:r w:rsidR="005F38BC">
        <w:rPr>
          <w:noProof/>
        </w:rPr>
        <w:t>148</w:t>
      </w:r>
      <w:r w:rsidR="006D442F">
        <w:fldChar w:fldCharType="end"/>
      </w:r>
      <w:r w:rsidR="006D442F">
        <w:t>: Issue, or Transfuse: Transfusion-Only Divisions</w:t>
      </w:r>
    </w:p>
    <w:p w:rsidR="00B31CBF" w:rsidRDefault="0086329A" w:rsidP="00B31CBF">
      <w:pPr>
        <w:pStyle w:val="BodyText"/>
        <w:sectPr w:rsidR="00B31CBF" w:rsidSect="00EE771C">
          <w:footerReference w:type="default" r:id="rId264"/>
          <w:pgSz w:w="12240" w:h="15840" w:code="1"/>
          <w:pgMar w:top="1440" w:right="1440" w:bottom="1440" w:left="1440" w:header="720" w:footer="720" w:gutter="0"/>
          <w:cols w:space="720"/>
          <w:docGrid w:linePitch="360"/>
        </w:sectPr>
      </w:pPr>
      <w:r>
        <w:object w:dxaOrig="8917" w:dyaOrig="11170">
          <v:shape id="_x0000_i1040" type="#_x0000_t75" style="width:460.15pt;height:8in" o:ole="">
            <v:imagedata r:id="rId265" o:title=""/>
          </v:shape>
          <o:OLEObject Type="Embed" ProgID="Visio.Drawing.11" ShapeID="_x0000_i1040" DrawAspect="Content" ObjectID="_1538556493" r:id="rId266"/>
        </w:object>
      </w:r>
    </w:p>
    <w:p w:rsidR="006D442F" w:rsidRDefault="006D442F" w:rsidP="006D442F">
      <w:pPr>
        <w:pStyle w:val="Caption"/>
      </w:pPr>
      <w:r>
        <w:lastRenderedPageBreak/>
        <w:t xml:space="preserve">Figure </w:t>
      </w:r>
      <w:r>
        <w:fldChar w:fldCharType="begin"/>
      </w:r>
      <w:r>
        <w:instrText xml:space="preserve"> SEQ Figure \* ARABIC </w:instrText>
      </w:r>
      <w:r>
        <w:fldChar w:fldCharType="separate"/>
      </w:r>
      <w:r w:rsidR="005F38BC">
        <w:rPr>
          <w:noProof/>
        </w:rPr>
        <w:t>149</w:t>
      </w:r>
      <w:r>
        <w:fldChar w:fldCharType="end"/>
      </w:r>
      <w:r>
        <w:t>: Process a Patient Order</w:t>
      </w:r>
    </w:p>
    <w:p w:rsidR="00B31CBF" w:rsidRDefault="008230F8" w:rsidP="00B31CBF">
      <w:pPr>
        <w:pStyle w:val="BodyText"/>
      </w:pPr>
      <w:r>
        <w:object w:dxaOrig="13914" w:dyaOrig="9592">
          <v:shape id="_x0000_i1041" type="#_x0000_t75" style="width:522.8pt;height:5in" o:ole="">
            <v:imagedata r:id="rId267" o:title=""/>
          </v:shape>
          <o:OLEObject Type="Embed" ProgID="Visio.Drawing.11" ShapeID="_x0000_i1041" DrawAspect="Content" ObjectID="_1538556494" r:id="rId268"/>
        </w:object>
      </w:r>
    </w:p>
    <w:p w:rsidR="006D442F" w:rsidRDefault="00B31CBF" w:rsidP="006D442F">
      <w:pPr>
        <w:pStyle w:val="Caption"/>
      </w:pPr>
      <w:r>
        <w:br w:type="page"/>
      </w:r>
      <w:r w:rsidR="006D442F">
        <w:lastRenderedPageBreak/>
        <w:t xml:space="preserve">Figure </w:t>
      </w:r>
      <w:r w:rsidR="006D442F">
        <w:fldChar w:fldCharType="begin"/>
      </w:r>
      <w:r w:rsidR="006D442F">
        <w:instrText xml:space="preserve"> SEQ Figure \* ARABIC </w:instrText>
      </w:r>
      <w:r w:rsidR="006D442F">
        <w:fldChar w:fldCharType="separate"/>
      </w:r>
      <w:r w:rsidR="005F38BC">
        <w:rPr>
          <w:noProof/>
        </w:rPr>
        <w:t>150</w:t>
      </w:r>
      <w:r w:rsidR="006D442F">
        <w:fldChar w:fldCharType="end"/>
      </w:r>
      <w:r w:rsidR="006D442F">
        <w:t>: Patient Testing</w:t>
      </w:r>
    </w:p>
    <w:p w:rsidR="00B31CBF" w:rsidRDefault="00B31CBF" w:rsidP="00B31CBF">
      <w:pPr>
        <w:pStyle w:val="BodyText"/>
      </w:pPr>
      <w:r>
        <w:t xml:space="preserve"> </w:t>
      </w:r>
      <w:r w:rsidR="006F1241">
        <w:object w:dxaOrig="14245" w:dyaOrig="9235">
          <v:shape id="_x0000_i1042" type="#_x0000_t75" style="width:554.7pt;height:5in" o:ole="">
            <v:imagedata r:id="rId269" o:title=""/>
          </v:shape>
          <o:OLEObject Type="Embed" ProgID="Visio.Drawing.11" ShapeID="_x0000_i1042" DrawAspect="Content" ObjectID="_1538556495" r:id="rId270"/>
        </w:object>
      </w:r>
    </w:p>
    <w:p w:rsidR="000F62D6" w:rsidRDefault="000F62D6" w:rsidP="00B31CBF">
      <w:pPr>
        <w:pStyle w:val="Heading3"/>
        <w:sectPr w:rsidR="000F62D6" w:rsidSect="00EE771C">
          <w:footerReference w:type="default" r:id="rId271"/>
          <w:pgSz w:w="15840" w:h="12240" w:orient="landscape" w:code="1"/>
          <w:pgMar w:top="1440" w:right="1440" w:bottom="1440" w:left="1440" w:header="720" w:footer="720" w:gutter="0"/>
          <w:cols w:space="720"/>
          <w:docGrid w:linePitch="360"/>
        </w:sectPr>
      </w:pPr>
    </w:p>
    <w:p w:rsidR="003D7CE8" w:rsidRPr="00E309DC" w:rsidRDefault="003D7CE8" w:rsidP="00CB2427">
      <w:pPr>
        <w:pStyle w:val="Heading2"/>
        <w:rPr>
          <w:b w:val="0"/>
          <w:bCs w:val="0"/>
          <w:i w:val="0"/>
          <w:sz w:val="18"/>
          <w:szCs w:val="18"/>
        </w:rPr>
      </w:pPr>
      <w:bookmarkStart w:id="790" w:name="_Ref170005444"/>
      <w:bookmarkStart w:id="791" w:name="_Ref300911707"/>
      <w:bookmarkStart w:id="792" w:name="_Toc459900240"/>
      <w:r>
        <w:lastRenderedPageBreak/>
        <w:t xml:space="preserve">Appendix </w:t>
      </w:r>
      <w:r>
        <w:fldChar w:fldCharType="begin"/>
      </w:r>
      <w:r>
        <w:instrText xml:space="preserve"> SEQ Appendix \* ALPHABETIC </w:instrText>
      </w:r>
      <w:r>
        <w:fldChar w:fldCharType="separate"/>
      </w:r>
      <w:r w:rsidR="005F38BC">
        <w:rPr>
          <w:noProof/>
        </w:rPr>
        <w:t>H</w:t>
      </w:r>
      <w:r>
        <w:fldChar w:fldCharType="end"/>
      </w:r>
      <w:r>
        <w:t>: Frequently Asked Questions</w:t>
      </w:r>
      <w:bookmarkEnd w:id="791"/>
      <w:bookmarkEnd w:id="792"/>
      <w:r>
        <w:fldChar w:fldCharType="begin"/>
      </w:r>
      <w:r>
        <w:instrText xml:space="preserve"> XE "Frequently Asked Questions" </w:instrText>
      </w:r>
      <w:r>
        <w:fldChar w:fldCharType="end"/>
      </w:r>
      <w:r>
        <w:t xml:space="preserve"> </w:t>
      </w:r>
      <w:r w:rsidRPr="003D7CE8">
        <w:rPr>
          <w:b w:val="0"/>
          <w:bCs w:val="0"/>
          <w:i w:val="0"/>
          <w:vanish/>
          <w:sz w:val="18"/>
          <w:szCs w:val="18"/>
        </w:rPr>
        <w:t>Appendix added for DR 3971</w:t>
      </w:r>
    </w:p>
    <w:p w:rsidR="003D7CE8" w:rsidRDefault="003D7CE8" w:rsidP="00E309DC">
      <w:pPr>
        <w:pStyle w:val="BodyText"/>
      </w:pPr>
      <w:r w:rsidRPr="005129F7">
        <w:t>Frequently Asked Ques</w:t>
      </w:r>
      <w:r w:rsidR="006340B9">
        <w:t xml:space="preserve">tions (FAQs) are </w:t>
      </w:r>
      <w:r w:rsidRPr="005129F7">
        <w:t xml:space="preserve">released as </w:t>
      </w:r>
      <w:r w:rsidR="004E2AB6" w:rsidRPr="005129F7">
        <w:t>standalone</w:t>
      </w:r>
      <w:r w:rsidRPr="005129F7">
        <w:t xml:space="preserve"> documents. Topi</w:t>
      </w:r>
      <w:r w:rsidR="006340B9">
        <w:t xml:space="preserve">cs are </w:t>
      </w:r>
      <w:r w:rsidR="001C317F" w:rsidRPr="005129F7">
        <w:t xml:space="preserve">explained in a </w:t>
      </w:r>
      <w:r w:rsidRPr="005129F7">
        <w:t>question and answer</w:t>
      </w:r>
      <w:r w:rsidR="001C317F" w:rsidRPr="005129F7">
        <w:t xml:space="preserve"> format</w:t>
      </w:r>
      <w:r w:rsidRPr="005129F7">
        <w:t>.</w:t>
      </w:r>
      <w:r w:rsidR="00EB3B6D">
        <w:t xml:space="preserve"> FAQs are available at the following SharePoint site:</w:t>
      </w:r>
    </w:p>
    <w:p w:rsidR="006340B9" w:rsidRDefault="006340B9" w:rsidP="00E309DC">
      <w:pPr>
        <w:pStyle w:val="BodyText"/>
      </w:pPr>
      <w:hyperlink r:id="rId272" w:history="1">
        <w:r w:rsidRPr="00A97C98">
          <w:rPr>
            <w:rStyle w:val="Hyperlink"/>
          </w:rPr>
          <w:t>http://vaww.oed.portal.va.gov/projects/vbecs/V</w:t>
        </w:r>
        <w:r w:rsidRPr="00A97C98">
          <w:rPr>
            <w:rStyle w:val="Hyperlink"/>
          </w:rPr>
          <w:t>B</w:t>
        </w:r>
        <w:r w:rsidRPr="00A97C98">
          <w:rPr>
            <w:rStyle w:val="Hyperlink"/>
          </w:rPr>
          <w:t>ECS%20FAQs/Forms/AllItems.aspx</w:t>
        </w:r>
      </w:hyperlink>
    </w:p>
    <w:p w:rsidR="006340B9" w:rsidRPr="005129F7" w:rsidRDefault="006340B9" w:rsidP="00E309DC">
      <w:pPr>
        <w:pStyle w:val="BodyText"/>
      </w:pPr>
    </w:p>
    <w:p w:rsidR="008428FB" w:rsidRPr="00202406" w:rsidRDefault="008428FB" w:rsidP="008428FB">
      <w:pPr>
        <w:rPr>
          <w:sz w:val="22"/>
          <w:szCs w:val="22"/>
        </w:rPr>
      </w:pPr>
    </w:p>
    <w:p w:rsidR="00202406" w:rsidRPr="00202406" w:rsidRDefault="00202406" w:rsidP="00202406">
      <w:pPr>
        <w:rPr>
          <w:sz w:val="22"/>
          <w:szCs w:val="22"/>
        </w:rPr>
      </w:pPr>
    </w:p>
    <w:p w:rsidR="00202406" w:rsidRPr="00202406" w:rsidRDefault="00202406" w:rsidP="00202406"/>
    <w:p w:rsidR="006E7D73" w:rsidRDefault="006E7D73" w:rsidP="002F1289">
      <w:pPr>
        <w:pStyle w:val="Heading3"/>
      </w:pPr>
    </w:p>
    <w:p w:rsidR="00566EC6" w:rsidRPr="00566EC6" w:rsidRDefault="008B7AF1" w:rsidP="00566EC6">
      <w:pPr>
        <w:jc w:val="center"/>
        <w:rPr>
          <w:sz w:val="22"/>
          <w:szCs w:val="22"/>
        </w:rPr>
      </w:pPr>
      <w:r w:rsidRPr="00566EC6">
        <w:rPr>
          <w:sz w:val="22"/>
          <w:szCs w:val="22"/>
        </w:rPr>
        <w:br w:type="page"/>
      </w:r>
      <w:r w:rsidR="00566EC6" w:rsidRPr="00566EC6">
        <w:rPr>
          <w:sz w:val="22"/>
          <w:szCs w:val="22"/>
        </w:rPr>
        <w:lastRenderedPageBreak/>
        <w:t>This page intentionally left blank.</w:t>
      </w:r>
    </w:p>
    <w:p w:rsidR="00D64A23" w:rsidRDefault="00566EC6" w:rsidP="00AD591C">
      <w:pPr>
        <w:pStyle w:val="Heading2"/>
      </w:pPr>
      <w:r>
        <w:br w:type="page"/>
      </w:r>
      <w:bookmarkStart w:id="793" w:name="_Toc459900241"/>
      <w:r w:rsidR="0059697E" w:rsidRPr="00566EC6">
        <w:lastRenderedPageBreak/>
        <w:t xml:space="preserve">Appendix </w:t>
      </w:r>
      <w:r w:rsidR="0059697E" w:rsidRPr="00AD591C">
        <w:fldChar w:fldCharType="begin"/>
      </w:r>
      <w:r w:rsidR="0059697E" w:rsidRPr="00AD591C">
        <w:instrText xml:space="preserve"> SEQ Appendix \* ALPHABETIC </w:instrText>
      </w:r>
      <w:r w:rsidR="0059697E" w:rsidRPr="00AD591C">
        <w:fldChar w:fldCharType="separate"/>
      </w:r>
      <w:r w:rsidR="005F38BC">
        <w:rPr>
          <w:noProof/>
        </w:rPr>
        <w:t>I</w:t>
      </w:r>
      <w:r w:rsidR="0059697E" w:rsidRPr="00AD591C">
        <w:fldChar w:fldCharType="end"/>
      </w:r>
      <w:r w:rsidR="0059697E" w:rsidRPr="00566EC6">
        <w:t xml:space="preserve">: </w:t>
      </w:r>
      <w:r w:rsidR="00CD6052" w:rsidRPr="00566EC6">
        <w:t>Common Error Corrections</w:t>
      </w:r>
      <w:bookmarkEnd w:id="793"/>
      <w:r w:rsidR="00D64A23" w:rsidRPr="00566EC6">
        <w:fldChar w:fldCharType="begin"/>
      </w:r>
      <w:r w:rsidR="00D64A23" w:rsidRPr="00566EC6">
        <w:instrText xml:space="preserve"> XE "</w:instrText>
      </w:r>
      <w:r w:rsidR="00CD6052" w:rsidRPr="00566EC6">
        <w:instrText>Common Error Corrections</w:instrText>
      </w:r>
      <w:r w:rsidR="00D64A23" w:rsidRPr="00566EC6">
        <w:instrText xml:space="preserve">" </w:instrText>
      </w:r>
      <w:r w:rsidR="00D64A23" w:rsidRPr="00566EC6">
        <w:fldChar w:fldCharType="end"/>
      </w:r>
    </w:p>
    <w:p w:rsidR="00F8157F" w:rsidRPr="00233049" w:rsidRDefault="00233049" w:rsidP="00D64A23">
      <w:pPr>
        <w:rPr>
          <w:rFonts w:ascii="Arial" w:hAnsi="Arial" w:cs="Arial"/>
          <w:bCs/>
          <w:vanish/>
          <w:sz w:val="18"/>
          <w:szCs w:val="18"/>
        </w:rPr>
      </w:pPr>
      <w:r w:rsidRPr="00233049">
        <w:rPr>
          <w:rFonts w:ascii="Arial" w:hAnsi="Arial" w:cs="Arial"/>
          <w:bCs/>
          <w:vanish/>
          <w:sz w:val="18"/>
          <w:szCs w:val="18"/>
        </w:rPr>
        <w:t>Appendix added for DR 3,673</w:t>
      </w:r>
      <w:r w:rsidR="004C5B40">
        <w:rPr>
          <w:rFonts w:ascii="Arial" w:hAnsi="Arial" w:cs="Arial"/>
          <w:bCs/>
          <w:vanish/>
          <w:sz w:val="18"/>
          <w:szCs w:val="18"/>
        </w:rPr>
        <w:t xml:space="preserve"> and DR 3638</w:t>
      </w:r>
    </w:p>
    <w:p w:rsidR="00D64A23" w:rsidRPr="00C2774B" w:rsidRDefault="00D64A23" w:rsidP="00C2774B">
      <w:pPr>
        <w:pStyle w:val="Heading3"/>
      </w:pPr>
      <w:bookmarkStart w:id="794" w:name="_Toc459900242"/>
      <w:r w:rsidRPr="00C2774B">
        <w:t xml:space="preserve">Correct </w:t>
      </w:r>
      <w:r w:rsidR="00F8157F" w:rsidRPr="00C2774B">
        <w:t>Patient Test Results</w:t>
      </w:r>
      <w:bookmarkEnd w:id="794"/>
    </w:p>
    <w:p w:rsidR="00F915DD" w:rsidRPr="00092A53" w:rsidRDefault="00F915DD" w:rsidP="00F915DD">
      <w:pPr>
        <w:rPr>
          <w:b/>
          <w:sz w:val="22"/>
          <w:szCs w:val="22"/>
        </w:rPr>
      </w:pPr>
      <w:r w:rsidRPr="00092A53">
        <w:rPr>
          <w:b/>
          <w:sz w:val="22"/>
          <w:szCs w:val="22"/>
        </w:rPr>
        <w:t>Define the problem:</w:t>
      </w:r>
    </w:p>
    <w:p w:rsidR="00F915DD" w:rsidRPr="00092A53" w:rsidRDefault="00F915DD" w:rsidP="00F915DD">
      <w:pPr>
        <w:ind w:firstLine="720"/>
        <w:rPr>
          <w:sz w:val="22"/>
          <w:szCs w:val="22"/>
        </w:rPr>
      </w:pPr>
      <w:r w:rsidRPr="00092A53">
        <w:rPr>
          <w:sz w:val="22"/>
          <w:szCs w:val="22"/>
        </w:rPr>
        <w:t>Specifically what data needs correction?</w:t>
      </w:r>
    </w:p>
    <w:p w:rsidR="00F915DD" w:rsidRPr="00092A53" w:rsidRDefault="00F915DD" w:rsidP="00F915DD">
      <w:pPr>
        <w:ind w:firstLine="720"/>
        <w:rPr>
          <w:sz w:val="22"/>
          <w:szCs w:val="22"/>
        </w:rPr>
      </w:pPr>
      <w:r w:rsidRPr="00092A53">
        <w:rPr>
          <w:sz w:val="22"/>
          <w:szCs w:val="22"/>
        </w:rPr>
        <w:t>Is it a patient test?</w:t>
      </w:r>
    </w:p>
    <w:p w:rsidR="00F915DD" w:rsidRPr="00092A53" w:rsidRDefault="00F915DD" w:rsidP="00F915DD">
      <w:pPr>
        <w:ind w:firstLine="720"/>
        <w:rPr>
          <w:sz w:val="22"/>
          <w:szCs w:val="22"/>
        </w:rPr>
      </w:pPr>
      <w:r w:rsidRPr="00092A53">
        <w:rPr>
          <w:sz w:val="22"/>
          <w:szCs w:val="22"/>
        </w:rPr>
        <w:t>Are any units assigned to the specimen UID associated with this patient order?</w:t>
      </w:r>
    </w:p>
    <w:p w:rsidR="00F915DD" w:rsidRPr="00092A53" w:rsidRDefault="00F915DD" w:rsidP="00D64A23">
      <w:pPr>
        <w:rPr>
          <w:sz w:val="22"/>
          <w:szCs w:val="22"/>
        </w:rPr>
      </w:pPr>
    </w:p>
    <w:p w:rsidR="006730CD" w:rsidRPr="00092A53" w:rsidRDefault="00D64A23" w:rsidP="00D64A23">
      <w:pPr>
        <w:rPr>
          <w:sz w:val="22"/>
          <w:szCs w:val="22"/>
        </w:rPr>
      </w:pPr>
      <w:r w:rsidRPr="00092A53">
        <w:rPr>
          <w:sz w:val="22"/>
          <w:szCs w:val="22"/>
        </w:rPr>
        <w:t xml:space="preserve">The </w:t>
      </w:r>
      <w:r w:rsidR="006730CD" w:rsidRPr="00092A53">
        <w:rPr>
          <w:sz w:val="22"/>
          <w:szCs w:val="22"/>
        </w:rPr>
        <w:t xml:space="preserve">path to transfusion is linear and </w:t>
      </w:r>
      <w:r w:rsidRPr="00092A53">
        <w:rPr>
          <w:sz w:val="22"/>
          <w:szCs w:val="22"/>
        </w:rPr>
        <w:t>follow</w:t>
      </w:r>
      <w:r w:rsidR="006730CD" w:rsidRPr="00092A53">
        <w:rPr>
          <w:sz w:val="22"/>
          <w:szCs w:val="22"/>
        </w:rPr>
        <w:t>s</w:t>
      </w:r>
      <w:r w:rsidRPr="00092A53">
        <w:rPr>
          <w:sz w:val="22"/>
          <w:szCs w:val="22"/>
        </w:rPr>
        <w:t xml:space="preserve"> the path from assignment to issue to transfusion. VBECS requires the unit-patient </w:t>
      </w:r>
      <w:r w:rsidR="006730CD" w:rsidRPr="00092A53">
        <w:rPr>
          <w:sz w:val="22"/>
          <w:szCs w:val="22"/>
        </w:rPr>
        <w:t xml:space="preserve">connection to be </w:t>
      </w:r>
      <w:r w:rsidR="00423CC1" w:rsidRPr="00092A53">
        <w:rPr>
          <w:sz w:val="22"/>
          <w:szCs w:val="22"/>
        </w:rPr>
        <w:t>severed</w:t>
      </w:r>
      <w:r w:rsidR="006730CD" w:rsidRPr="00092A53">
        <w:rPr>
          <w:sz w:val="22"/>
          <w:szCs w:val="22"/>
        </w:rPr>
        <w:t xml:space="preserve"> in order to </w:t>
      </w:r>
      <w:r w:rsidR="00423CC1" w:rsidRPr="00092A53">
        <w:rPr>
          <w:sz w:val="22"/>
          <w:szCs w:val="22"/>
        </w:rPr>
        <w:t>change</w:t>
      </w:r>
      <w:r w:rsidRPr="00092A53">
        <w:rPr>
          <w:sz w:val="22"/>
          <w:szCs w:val="22"/>
        </w:rPr>
        <w:t xml:space="preserve"> patient testing used to evaluate compatibility.</w:t>
      </w:r>
    </w:p>
    <w:p w:rsidR="00D64A23" w:rsidRPr="00092A53" w:rsidRDefault="00D64A23" w:rsidP="00D64A23">
      <w:pPr>
        <w:rPr>
          <w:sz w:val="22"/>
          <w:szCs w:val="22"/>
        </w:rPr>
      </w:pPr>
      <w:r w:rsidRPr="00092A53">
        <w:rPr>
          <w:b/>
          <w:sz w:val="22"/>
          <w:szCs w:val="22"/>
        </w:rPr>
        <w:t>All the units must be released from assignment, no matter when the error occurred and needs correction.</w:t>
      </w:r>
      <w:r w:rsidR="006B6B74" w:rsidRPr="00092A53">
        <w:rPr>
          <w:sz w:val="22"/>
          <w:szCs w:val="22"/>
        </w:rPr>
        <w:t xml:space="preserve">  </w:t>
      </w:r>
      <w:r w:rsidRPr="00092A53">
        <w:rPr>
          <w:sz w:val="22"/>
          <w:szCs w:val="22"/>
        </w:rPr>
        <w:t xml:space="preserve">VBECS requires undoing all of the unit associations </w:t>
      </w:r>
      <w:r w:rsidR="006730CD" w:rsidRPr="00092A53">
        <w:rPr>
          <w:sz w:val="22"/>
          <w:szCs w:val="22"/>
        </w:rPr>
        <w:t xml:space="preserve">so the computer can re-evaluate the corrected </w:t>
      </w:r>
      <w:r w:rsidRPr="00092A53">
        <w:rPr>
          <w:sz w:val="22"/>
          <w:szCs w:val="22"/>
        </w:rPr>
        <w:t>information entered</w:t>
      </w:r>
      <w:r w:rsidR="006730CD" w:rsidRPr="00092A53">
        <w:rPr>
          <w:sz w:val="22"/>
          <w:szCs w:val="22"/>
        </w:rPr>
        <w:t xml:space="preserve"> and </w:t>
      </w:r>
      <w:r w:rsidRPr="00092A53">
        <w:rPr>
          <w:sz w:val="22"/>
          <w:szCs w:val="22"/>
        </w:rPr>
        <w:t xml:space="preserve">present any warnings </w:t>
      </w:r>
      <w:r w:rsidR="006730CD" w:rsidRPr="00092A53">
        <w:rPr>
          <w:sz w:val="22"/>
          <w:szCs w:val="22"/>
        </w:rPr>
        <w:t>or</w:t>
      </w:r>
      <w:r w:rsidRPr="00092A53">
        <w:rPr>
          <w:sz w:val="22"/>
          <w:szCs w:val="22"/>
        </w:rPr>
        <w:t xml:space="preserve"> overrides based on th</w:t>
      </w:r>
      <w:r w:rsidR="006730CD" w:rsidRPr="00092A53">
        <w:rPr>
          <w:sz w:val="22"/>
          <w:szCs w:val="22"/>
        </w:rPr>
        <w:t>at</w:t>
      </w:r>
      <w:r w:rsidRPr="00092A53">
        <w:rPr>
          <w:sz w:val="22"/>
          <w:szCs w:val="22"/>
        </w:rPr>
        <w:t xml:space="preserve"> new information.</w:t>
      </w:r>
    </w:p>
    <w:p w:rsidR="00D64A23" w:rsidRPr="00092A53" w:rsidRDefault="00D64A23" w:rsidP="00D64A23">
      <w:pPr>
        <w:rPr>
          <w:sz w:val="22"/>
          <w:szCs w:val="22"/>
        </w:rPr>
      </w:pPr>
    </w:p>
    <w:p w:rsidR="00D64A23" w:rsidRPr="00092A53" w:rsidRDefault="00D64A23" w:rsidP="00D64A23">
      <w:pPr>
        <w:rPr>
          <w:sz w:val="22"/>
          <w:szCs w:val="22"/>
        </w:rPr>
      </w:pPr>
      <w:r w:rsidRPr="00092A53">
        <w:rPr>
          <w:sz w:val="22"/>
          <w:szCs w:val="22"/>
        </w:rPr>
        <w:t>Information to gather before you start trying to correct any test results:</w:t>
      </w:r>
    </w:p>
    <w:p w:rsidR="00D64A23" w:rsidRPr="00092A53" w:rsidRDefault="00D64A23" w:rsidP="002F6D7B">
      <w:pPr>
        <w:numPr>
          <w:ilvl w:val="0"/>
          <w:numId w:val="38"/>
        </w:numPr>
        <w:spacing w:line="276" w:lineRule="auto"/>
        <w:rPr>
          <w:sz w:val="22"/>
          <w:szCs w:val="22"/>
        </w:rPr>
      </w:pPr>
      <w:r w:rsidRPr="00092A53">
        <w:rPr>
          <w:sz w:val="22"/>
          <w:szCs w:val="22"/>
        </w:rPr>
        <w:t xml:space="preserve">Actual dates/times of processing for retrospective data entry </w:t>
      </w:r>
    </w:p>
    <w:p w:rsidR="00D64A23" w:rsidRPr="00092A53" w:rsidRDefault="00D64A23" w:rsidP="002F6D7B">
      <w:pPr>
        <w:numPr>
          <w:ilvl w:val="1"/>
          <w:numId w:val="38"/>
        </w:numPr>
        <w:spacing w:line="276" w:lineRule="auto"/>
        <w:rPr>
          <w:sz w:val="22"/>
          <w:szCs w:val="22"/>
        </w:rPr>
      </w:pPr>
      <w:r w:rsidRPr="00092A53">
        <w:rPr>
          <w:sz w:val="22"/>
          <w:szCs w:val="22"/>
        </w:rPr>
        <w:t>Testing Worklist Report: Test result entry information details from the testing grids, reaction results, tech who did the work, any comments they entered</w:t>
      </w:r>
    </w:p>
    <w:p w:rsidR="00D64A23" w:rsidRPr="00092A53" w:rsidRDefault="00D64A23" w:rsidP="002F6D7B">
      <w:pPr>
        <w:numPr>
          <w:ilvl w:val="1"/>
          <w:numId w:val="38"/>
        </w:numPr>
        <w:spacing w:line="276" w:lineRule="auto"/>
        <w:rPr>
          <w:sz w:val="22"/>
          <w:szCs w:val="22"/>
        </w:rPr>
      </w:pPr>
      <w:r w:rsidRPr="00092A53">
        <w:rPr>
          <w:sz w:val="22"/>
          <w:szCs w:val="22"/>
        </w:rPr>
        <w:t>Unit History Report: Unit modification, Issue and Transfusion details</w:t>
      </w:r>
    </w:p>
    <w:p w:rsidR="00D64A23" w:rsidRPr="00092A53" w:rsidRDefault="00D64A23" w:rsidP="002F6D7B">
      <w:pPr>
        <w:numPr>
          <w:ilvl w:val="1"/>
          <w:numId w:val="38"/>
        </w:numPr>
        <w:spacing w:line="276" w:lineRule="auto"/>
        <w:rPr>
          <w:sz w:val="22"/>
          <w:szCs w:val="22"/>
        </w:rPr>
      </w:pPr>
      <w:r w:rsidRPr="00092A53">
        <w:rPr>
          <w:sz w:val="22"/>
          <w:szCs w:val="22"/>
        </w:rPr>
        <w:t>Patient History Report: Other patient information</w:t>
      </w:r>
    </w:p>
    <w:p w:rsidR="00D64A23" w:rsidRPr="00092A53" w:rsidRDefault="00D64A23" w:rsidP="002F6D7B">
      <w:pPr>
        <w:numPr>
          <w:ilvl w:val="1"/>
          <w:numId w:val="38"/>
        </w:numPr>
        <w:spacing w:line="276" w:lineRule="auto"/>
        <w:rPr>
          <w:sz w:val="22"/>
          <w:szCs w:val="22"/>
        </w:rPr>
      </w:pPr>
      <w:r w:rsidRPr="00092A53">
        <w:rPr>
          <w:sz w:val="22"/>
          <w:szCs w:val="22"/>
        </w:rPr>
        <w:t>Order History report: See the search option only for the CPRS Order Number if you have to retrieve an expired order. You do not need to actually open the report.</w:t>
      </w:r>
    </w:p>
    <w:p w:rsidR="00D64A23" w:rsidRPr="00092A53" w:rsidRDefault="00D64A23" w:rsidP="002F6D7B">
      <w:pPr>
        <w:numPr>
          <w:ilvl w:val="1"/>
          <w:numId w:val="38"/>
        </w:numPr>
        <w:spacing w:line="276" w:lineRule="auto"/>
        <w:rPr>
          <w:sz w:val="22"/>
          <w:szCs w:val="22"/>
        </w:rPr>
      </w:pPr>
      <w:r w:rsidRPr="00092A53">
        <w:rPr>
          <w:sz w:val="22"/>
          <w:szCs w:val="22"/>
        </w:rPr>
        <w:t>Any offline results that may need to be entered.</w:t>
      </w:r>
    </w:p>
    <w:p w:rsidR="00D64A23" w:rsidRPr="00092A53" w:rsidRDefault="00D64A23" w:rsidP="002F6D7B">
      <w:pPr>
        <w:numPr>
          <w:ilvl w:val="1"/>
          <w:numId w:val="38"/>
        </w:numPr>
        <w:spacing w:line="276" w:lineRule="auto"/>
        <w:rPr>
          <w:sz w:val="22"/>
          <w:szCs w:val="22"/>
        </w:rPr>
      </w:pPr>
      <w:r w:rsidRPr="00092A53">
        <w:rPr>
          <w:sz w:val="22"/>
          <w:szCs w:val="22"/>
        </w:rPr>
        <w:t xml:space="preserve">VBECS CR, HD (Remedy Ticket) and/or CPRS CQ numbers from the Known Anomalies and Defects document related to this problem. Have the user enter this number in the comment details field for all overrides processed.  </w:t>
      </w:r>
    </w:p>
    <w:p w:rsidR="00D64A23" w:rsidRPr="00092A53" w:rsidRDefault="00D64A23" w:rsidP="002F6D7B">
      <w:pPr>
        <w:numPr>
          <w:ilvl w:val="1"/>
          <w:numId w:val="38"/>
        </w:numPr>
        <w:spacing w:line="276" w:lineRule="auto"/>
        <w:rPr>
          <w:sz w:val="22"/>
          <w:szCs w:val="22"/>
        </w:rPr>
      </w:pPr>
      <w:r w:rsidRPr="00092A53">
        <w:rPr>
          <w:sz w:val="22"/>
          <w:szCs w:val="22"/>
        </w:rPr>
        <w:t>Any local incident number that they may need to enter as a comment.</w:t>
      </w:r>
    </w:p>
    <w:p w:rsidR="00C93673" w:rsidRPr="00C2774B" w:rsidRDefault="00737AD4" w:rsidP="00C2774B">
      <w:pPr>
        <w:pStyle w:val="Heading3"/>
      </w:pPr>
      <w:bookmarkStart w:id="795" w:name="_Toc459900243"/>
      <w:r w:rsidRPr="00C2774B">
        <w:t>Invalidate</w:t>
      </w:r>
      <w:r w:rsidR="00C93673" w:rsidRPr="00C2774B">
        <w:t xml:space="preserve"> Test Results</w:t>
      </w:r>
      <w:bookmarkEnd w:id="795"/>
    </w:p>
    <w:p w:rsidR="00C93673" w:rsidRPr="00092A53" w:rsidRDefault="00C93673" w:rsidP="00C93673">
      <w:pPr>
        <w:rPr>
          <w:b/>
          <w:sz w:val="22"/>
          <w:szCs w:val="22"/>
        </w:rPr>
      </w:pPr>
      <w:r w:rsidRPr="00092A53">
        <w:rPr>
          <w:b/>
          <w:sz w:val="22"/>
          <w:szCs w:val="22"/>
        </w:rPr>
        <w:t>Important nuances about invalidating tests:</w:t>
      </w:r>
    </w:p>
    <w:p w:rsidR="00C93673" w:rsidRPr="00092A53" w:rsidRDefault="00C93673" w:rsidP="002F6D7B">
      <w:pPr>
        <w:numPr>
          <w:ilvl w:val="0"/>
          <w:numId w:val="39"/>
        </w:numPr>
        <w:spacing w:line="276" w:lineRule="auto"/>
        <w:rPr>
          <w:sz w:val="22"/>
          <w:szCs w:val="22"/>
        </w:rPr>
      </w:pPr>
      <w:r w:rsidRPr="00092A53">
        <w:rPr>
          <w:sz w:val="22"/>
          <w:szCs w:val="22"/>
        </w:rPr>
        <w:t xml:space="preserve">When a </w:t>
      </w:r>
      <w:r w:rsidR="00CF7148" w:rsidRPr="00092A53">
        <w:rPr>
          <w:sz w:val="22"/>
          <w:szCs w:val="22"/>
        </w:rPr>
        <w:t>Type and Screen (</w:t>
      </w:r>
      <w:r w:rsidRPr="00092A53">
        <w:rPr>
          <w:sz w:val="22"/>
          <w:szCs w:val="22"/>
        </w:rPr>
        <w:t>TAS</w:t>
      </w:r>
      <w:r w:rsidR="00CF7148" w:rsidRPr="00092A53">
        <w:rPr>
          <w:sz w:val="22"/>
          <w:szCs w:val="22"/>
        </w:rPr>
        <w:t>)</w:t>
      </w:r>
      <w:r w:rsidRPr="00092A53">
        <w:rPr>
          <w:sz w:val="22"/>
          <w:szCs w:val="22"/>
        </w:rPr>
        <w:t xml:space="preserve"> test needs to be invalidated, all the tests in the TAS test configuration must be invalidated to be able to select a test on the </w:t>
      </w:r>
      <w:r w:rsidR="00CF7148" w:rsidRPr="00092A53">
        <w:rPr>
          <w:sz w:val="22"/>
          <w:szCs w:val="22"/>
        </w:rPr>
        <w:t>Pending Task List (</w:t>
      </w:r>
      <w:r w:rsidRPr="00092A53">
        <w:rPr>
          <w:sz w:val="22"/>
          <w:szCs w:val="22"/>
        </w:rPr>
        <w:t>PTL</w:t>
      </w:r>
      <w:r w:rsidR="00CF7148" w:rsidRPr="00092A53">
        <w:rPr>
          <w:sz w:val="22"/>
          <w:szCs w:val="22"/>
        </w:rPr>
        <w:t>)</w:t>
      </w:r>
      <w:r w:rsidRPr="00092A53">
        <w:rPr>
          <w:sz w:val="22"/>
          <w:szCs w:val="22"/>
        </w:rPr>
        <w:t xml:space="preserve"> (It is a loop of a partially completed test).</w:t>
      </w:r>
    </w:p>
    <w:p w:rsidR="00C93673" w:rsidRPr="00092A53" w:rsidRDefault="00C93673" w:rsidP="002F6D7B">
      <w:pPr>
        <w:numPr>
          <w:ilvl w:val="0"/>
          <w:numId w:val="39"/>
        </w:numPr>
        <w:spacing w:line="276" w:lineRule="auto"/>
        <w:rPr>
          <w:sz w:val="22"/>
          <w:szCs w:val="22"/>
        </w:rPr>
      </w:pPr>
      <w:r w:rsidRPr="00092A53">
        <w:rPr>
          <w:sz w:val="22"/>
          <w:szCs w:val="22"/>
        </w:rPr>
        <w:t xml:space="preserve">When an </w:t>
      </w:r>
      <w:r w:rsidR="004E2AB6" w:rsidRPr="00092A53">
        <w:rPr>
          <w:sz w:val="22"/>
          <w:szCs w:val="22"/>
        </w:rPr>
        <w:t>Antibody</w:t>
      </w:r>
      <w:r w:rsidR="00CF7148" w:rsidRPr="00092A53">
        <w:rPr>
          <w:sz w:val="22"/>
          <w:szCs w:val="22"/>
        </w:rPr>
        <w:t xml:space="preserve"> Identification (</w:t>
      </w:r>
      <w:r w:rsidRPr="00092A53">
        <w:rPr>
          <w:sz w:val="22"/>
          <w:szCs w:val="22"/>
        </w:rPr>
        <w:t>ABID</w:t>
      </w:r>
      <w:r w:rsidR="00CF7148" w:rsidRPr="00092A53">
        <w:rPr>
          <w:sz w:val="22"/>
          <w:szCs w:val="22"/>
        </w:rPr>
        <w:t>)</w:t>
      </w:r>
      <w:r w:rsidRPr="00092A53">
        <w:rPr>
          <w:sz w:val="22"/>
          <w:szCs w:val="22"/>
        </w:rPr>
        <w:t xml:space="preserve"> test is invalid</w:t>
      </w:r>
      <w:r w:rsidR="001866C8" w:rsidRPr="00092A53">
        <w:rPr>
          <w:sz w:val="22"/>
          <w:szCs w:val="22"/>
        </w:rPr>
        <w:t>at</w:t>
      </w:r>
      <w:r w:rsidRPr="00092A53">
        <w:rPr>
          <w:sz w:val="22"/>
          <w:szCs w:val="22"/>
        </w:rPr>
        <w:t>ed:</w:t>
      </w:r>
    </w:p>
    <w:p w:rsidR="00C93673" w:rsidRPr="00092A53" w:rsidRDefault="00C93673" w:rsidP="002F6D7B">
      <w:pPr>
        <w:numPr>
          <w:ilvl w:val="1"/>
          <w:numId w:val="39"/>
        </w:numPr>
        <w:spacing w:line="276" w:lineRule="auto"/>
        <w:rPr>
          <w:sz w:val="22"/>
          <w:szCs w:val="22"/>
        </w:rPr>
      </w:pPr>
      <w:r w:rsidRPr="00092A53">
        <w:rPr>
          <w:sz w:val="22"/>
          <w:szCs w:val="22"/>
        </w:rPr>
        <w:t>The antibody specificities will be removed from the Special Instructions/Transfusion requirements Antibodies Identified at the same time.  This also clears any antigen negative requirements that are created by the antibody identified.</w:t>
      </w:r>
    </w:p>
    <w:p w:rsidR="00C93673" w:rsidRPr="00092A53" w:rsidRDefault="00C93673" w:rsidP="002F6D7B">
      <w:pPr>
        <w:numPr>
          <w:ilvl w:val="1"/>
          <w:numId w:val="39"/>
        </w:numPr>
        <w:spacing w:line="276" w:lineRule="auto"/>
        <w:rPr>
          <w:sz w:val="22"/>
          <w:szCs w:val="22"/>
        </w:rPr>
      </w:pPr>
      <w:r w:rsidRPr="00092A53">
        <w:rPr>
          <w:sz w:val="22"/>
          <w:szCs w:val="22"/>
        </w:rPr>
        <w:t xml:space="preserve"> If separate antigen negative requirements for each of these were entered in SI/TR, they will require update separately. </w:t>
      </w:r>
    </w:p>
    <w:p w:rsidR="00C93673" w:rsidRPr="00092A53" w:rsidRDefault="00C93673" w:rsidP="002F6D7B">
      <w:pPr>
        <w:numPr>
          <w:ilvl w:val="1"/>
          <w:numId w:val="39"/>
        </w:numPr>
        <w:spacing w:line="276" w:lineRule="auto"/>
        <w:rPr>
          <w:b/>
          <w:sz w:val="22"/>
          <w:szCs w:val="22"/>
        </w:rPr>
      </w:pPr>
      <w:r w:rsidRPr="00092A53">
        <w:rPr>
          <w:b/>
          <w:sz w:val="22"/>
          <w:szCs w:val="22"/>
        </w:rPr>
        <w:lastRenderedPageBreak/>
        <w:t>If you need to enter corrected results for the ABID, be sure you check the box to add the order for the PTL.  If not, you will have to reorder the reflex test.</w:t>
      </w:r>
    </w:p>
    <w:p w:rsidR="00C93673" w:rsidRPr="00092A53" w:rsidRDefault="00C93673" w:rsidP="00D64A23">
      <w:pPr>
        <w:rPr>
          <w:sz w:val="22"/>
          <w:szCs w:val="22"/>
        </w:rPr>
      </w:pPr>
    </w:p>
    <w:p w:rsidR="00D64A23" w:rsidRPr="00092A53" w:rsidRDefault="00D64A23" w:rsidP="00D64A23">
      <w:pPr>
        <w:rPr>
          <w:sz w:val="22"/>
          <w:szCs w:val="22"/>
        </w:rPr>
      </w:pPr>
      <w:r w:rsidRPr="00092A53">
        <w:rPr>
          <w:sz w:val="22"/>
          <w:szCs w:val="22"/>
        </w:rPr>
        <w:t xml:space="preserve">A </w:t>
      </w:r>
      <w:r w:rsidR="00CF7148" w:rsidRPr="00092A53">
        <w:rPr>
          <w:sz w:val="22"/>
          <w:szCs w:val="22"/>
        </w:rPr>
        <w:t>f</w:t>
      </w:r>
      <w:r w:rsidRPr="00092A53">
        <w:rPr>
          <w:sz w:val="22"/>
          <w:szCs w:val="22"/>
        </w:rPr>
        <w:t xml:space="preserve">inalized Transfusion Reaction </w:t>
      </w:r>
      <w:r w:rsidR="00CF7148" w:rsidRPr="00092A53">
        <w:rPr>
          <w:sz w:val="22"/>
          <w:szCs w:val="22"/>
        </w:rPr>
        <w:t>W</w:t>
      </w:r>
      <w:r w:rsidRPr="00092A53">
        <w:rPr>
          <w:sz w:val="22"/>
          <w:szCs w:val="22"/>
        </w:rPr>
        <w:t>orkup</w:t>
      </w:r>
      <w:r w:rsidR="00CF7148" w:rsidRPr="00092A53">
        <w:rPr>
          <w:sz w:val="22"/>
          <w:szCs w:val="22"/>
        </w:rPr>
        <w:t xml:space="preserve"> (TRW)</w:t>
      </w:r>
      <w:r w:rsidRPr="00092A53">
        <w:rPr>
          <w:sz w:val="22"/>
          <w:szCs w:val="22"/>
        </w:rPr>
        <w:t xml:space="preserve"> cannot be invalidated. </w:t>
      </w:r>
      <w:r w:rsidR="00CF7148" w:rsidRPr="00092A53">
        <w:rPr>
          <w:sz w:val="22"/>
          <w:szCs w:val="22"/>
        </w:rPr>
        <w:t>Invalidation requires a Remedy ticket to have the development team intervene and make that correction.</w:t>
      </w:r>
      <w:r w:rsidRPr="00092A53">
        <w:rPr>
          <w:sz w:val="22"/>
          <w:szCs w:val="22"/>
        </w:rPr>
        <w:t xml:space="preserve"> A TRW that has not been </w:t>
      </w:r>
      <w:r w:rsidR="00CF7148" w:rsidRPr="00092A53">
        <w:rPr>
          <w:sz w:val="22"/>
          <w:szCs w:val="22"/>
        </w:rPr>
        <w:t>f</w:t>
      </w:r>
      <w:r w:rsidRPr="00092A53">
        <w:rPr>
          <w:sz w:val="22"/>
          <w:szCs w:val="22"/>
        </w:rPr>
        <w:t>inalized can be invalidated and re</w:t>
      </w:r>
      <w:r w:rsidR="00CF7148" w:rsidRPr="00092A53">
        <w:rPr>
          <w:sz w:val="22"/>
          <w:szCs w:val="22"/>
        </w:rPr>
        <w:t>-</w:t>
      </w:r>
      <w:r w:rsidRPr="00092A53">
        <w:rPr>
          <w:sz w:val="22"/>
          <w:szCs w:val="22"/>
        </w:rPr>
        <w:t xml:space="preserve">entered as any other VBECS test. </w:t>
      </w:r>
    </w:p>
    <w:p w:rsidR="00D64A23" w:rsidRPr="00092A53" w:rsidRDefault="00D64A23" w:rsidP="00D64A23">
      <w:pPr>
        <w:rPr>
          <w:b/>
          <w:sz w:val="22"/>
          <w:szCs w:val="22"/>
        </w:rPr>
      </w:pPr>
      <w:r w:rsidRPr="00092A53">
        <w:rPr>
          <w:b/>
          <w:sz w:val="22"/>
          <w:szCs w:val="22"/>
        </w:rPr>
        <w:t>Where to start...</w:t>
      </w:r>
    </w:p>
    <w:p w:rsidR="00D64A23" w:rsidRPr="00092A53" w:rsidRDefault="00D64A23" w:rsidP="002F6D7B">
      <w:pPr>
        <w:numPr>
          <w:ilvl w:val="0"/>
          <w:numId w:val="41"/>
        </w:numPr>
        <w:spacing w:line="276" w:lineRule="auto"/>
        <w:rPr>
          <w:b/>
          <w:sz w:val="22"/>
          <w:szCs w:val="22"/>
        </w:rPr>
      </w:pPr>
      <w:r w:rsidRPr="00092A53">
        <w:rPr>
          <w:b/>
          <w:sz w:val="22"/>
          <w:szCs w:val="22"/>
        </w:rPr>
        <w:t xml:space="preserve">Are the units transfused?  </w:t>
      </w:r>
    </w:p>
    <w:p w:rsidR="00D64A23" w:rsidRPr="00092A53" w:rsidRDefault="00D64A23" w:rsidP="00D64A23">
      <w:pPr>
        <w:ind w:firstLine="720"/>
        <w:rPr>
          <w:sz w:val="22"/>
          <w:szCs w:val="22"/>
        </w:rPr>
      </w:pPr>
      <w:r w:rsidRPr="00092A53">
        <w:rPr>
          <w:sz w:val="22"/>
          <w:szCs w:val="22"/>
        </w:rPr>
        <w:t>Go to Supervisor, Remove Final Status to get the unit back to an issued status.</w:t>
      </w:r>
    </w:p>
    <w:p w:rsidR="00D64A23" w:rsidRPr="00092A53" w:rsidRDefault="00D64A23" w:rsidP="002F6D7B">
      <w:pPr>
        <w:numPr>
          <w:ilvl w:val="0"/>
          <w:numId w:val="41"/>
        </w:numPr>
        <w:spacing w:line="276" w:lineRule="auto"/>
        <w:rPr>
          <w:b/>
          <w:sz w:val="22"/>
          <w:szCs w:val="22"/>
        </w:rPr>
      </w:pPr>
      <w:r w:rsidRPr="00092A53">
        <w:rPr>
          <w:b/>
          <w:sz w:val="22"/>
          <w:szCs w:val="22"/>
        </w:rPr>
        <w:t xml:space="preserve">Are the units issued? </w:t>
      </w:r>
    </w:p>
    <w:p w:rsidR="00D64A23" w:rsidRPr="00092A53" w:rsidRDefault="00D64A23" w:rsidP="00D64A23">
      <w:pPr>
        <w:ind w:firstLine="720"/>
        <w:rPr>
          <w:sz w:val="22"/>
          <w:szCs w:val="22"/>
        </w:rPr>
      </w:pPr>
      <w:r w:rsidRPr="00092A53">
        <w:rPr>
          <w:sz w:val="22"/>
          <w:szCs w:val="22"/>
        </w:rPr>
        <w:t xml:space="preserve">Go to Return Unit from Issue by either the patient or blood unit menu. </w:t>
      </w:r>
    </w:p>
    <w:p w:rsidR="00D64A23" w:rsidRPr="00092A53" w:rsidRDefault="00D64A23" w:rsidP="00D64A23">
      <w:pPr>
        <w:ind w:left="720"/>
        <w:rPr>
          <w:sz w:val="22"/>
          <w:szCs w:val="22"/>
        </w:rPr>
      </w:pPr>
      <w:r w:rsidRPr="00092A53">
        <w:rPr>
          <w:sz w:val="22"/>
          <w:szCs w:val="22"/>
        </w:rPr>
        <w:t>Return the unit from issue at the current date and time.</w:t>
      </w:r>
    </w:p>
    <w:p w:rsidR="00D64A23" w:rsidRPr="00092A53" w:rsidRDefault="00D64A23" w:rsidP="002F6D7B">
      <w:pPr>
        <w:numPr>
          <w:ilvl w:val="0"/>
          <w:numId w:val="41"/>
        </w:numPr>
        <w:spacing w:line="276" w:lineRule="auto"/>
        <w:rPr>
          <w:b/>
          <w:sz w:val="22"/>
          <w:szCs w:val="22"/>
        </w:rPr>
      </w:pPr>
      <w:r w:rsidRPr="00092A53">
        <w:rPr>
          <w:b/>
          <w:sz w:val="22"/>
          <w:szCs w:val="22"/>
        </w:rPr>
        <w:t xml:space="preserve">Are the units selected for a patient? </w:t>
      </w:r>
    </w:p>
    <w:p w:rsidR="00D64A23" w:rsidRPr="00092A53" w:rsidRDefault="00D64A23" w:rsidP="00D64A23">
      <w:pPr>
        <w:ind w:firstLine="720"/>
        <w:rPr>
          <w:sz w:val="22"/>
          <w:szCs w:val="22"/>
        </w:rPr>
      </w:pPr>
      <w:r w:rsidRPr="00092A53">
        <w:rPr>
          <w:sz w:val="22"/>
          <w:szCs w:val="22"/>
        </w:rPr>
        <w:t>Go to Release Units from Assignment by either the patient or blood unit menu.</w:t>
      </w:r>
    </w:p>
    <w:p w:rsidR="00D64A23" w:rsidRPr="00092A53" w:rsidRDefault="00D64A23" w:rsidP="00D64A23">
      <w:pPr>
        <w:rPr>
          <w:sz w:val="22"/>
          <w:szCs w:val="22"/>
        </w:rPr>
      </w:pPr>
    </w:p>
    <w:p w:rsidR="00D64A23" w:rsidRPr="00092A53" w:rsidRDefault="00D64A23" w:rsidP="00D64A23">
      <w:pPr>
        <w:rPr>
          <w:sz w:val="22"/>
          <w:szCs w:val="22"/>
        </w:rPr>
      </w:pPr>
      <w:r w:rsidRPr="00092A53">
        <w:rPr>
          <w:sz w:val="22"/>
          <w:szCs w:val="22"/>
        </w:rPr>
        <w:t>When the units are no longer assigned to the patient, go into Invalidate Patient Testing by the Patient Menu and invalidate the patient test.</w:t>
      </w:r>
    </w:p>
    <w:p w:rsidR="00D64A23" w:rsidRPr="004A517D" w:rsidRDefault="00D64A23" w:rsidP="00D64A23">
      <w:pPr>
        <w:rPr>
          <w:rFonts w:ascii="Arial" w:hAnsi="Arial" w:cs="Arial"/>
          <w:sz w:val="20"/>
          <w:szCs w:val="20"/>
        </w:rPr>
      </w:pPr>
    </w:p>
    <w:p w:rsidR="00D64A23" w:rsidRPr="004A517D" w:rsidRDefault="00634BFC" w:rsidP="00D64A23">
      <w:pPr>
        <w:rPr>
          <w:rFonts w:ascii="Arial" w:hAnsi="Arial" w:cs="Arial"/>
          <w:b/>
          <w:color w:val="FF0000"/>
          <w:sz w:val="20"/>
          <w:szCs w:val="20"/>
        </w:rPr>
      </w:pPr>
      <w:r>
        <w:rPr>
          <w:rFonts w:ascii="Arial" w:hAnsi="Arial" w:cs="Arial"/>
          <w:noProof/>
          <w:sz w:val="20"/>
          <w:szCs w:val="20"/>
        </w:rPr>
        <mc:AlternateContent>
          <mc:Choice Requires="wps">
            <w:drawing>
              <wp:anchor distT="0" distB="0" distL="114300" distR="114300" simplePos="0" relativeHeight="251794944" behindDoc="0" locked="0" layoutInCell="1" allowOverlap="1">
                <wp:simplePos x="0" y="0"/>
                <wp:positionH relativeFrom="column">
                  <wp:posOffset>-133350</wp:posOffset>
                </wp:positionH>
                <wp:positionV relativeFrom="paragraph">
                  <wp:posOffset>-66675</wp:posOffset>
                </wp:positionV>
                <wp:extent cx="6086475" cy="457200"/>
                <wp:effectExtent l="9525" t="9525" r="9525" b="9525"/>
                <wp:wrapNone/>
                <wp:docPr id="255" name="Rectangle 1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4572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4" o:spid="_x0000_s1026" style="position:absolute;margin-left:-10.5pt;margin-top:-5.25pt;width:479.25pt;height:36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" filled="f" strokecolor="red" strokeweight="1.5pt"/>
            </w:pict>
          </mc:Fallback>
        </mc:AlternateContent>
      </w:r>
      <w:r w:rsidR="00D64A23" w:rsidRPr="004A517D">
        <w:rPr>
          <w:rFonts w:ascii="Arial" w:hAnsi="Arial" w:cs="Arial"/>
          <w:b/>
          <w:color w:val="FF0000"/>
          <w:sz w:val="20"/>
          <w:szCs w:val="20"/>
        </w:rPr>
        <w:t>STOP and make sure the user checks the box in the lower left corner if they want the test to appear on the PTL for correction.</w:t>
      </w:r>
    </w:p>
    <w:p w:rsidR="00D64A23" w:rsidRPr="004A517D" w:rsidRDefault="00D64A23" w:rsidP="00D64A23">
      <w:pPr>
        <w:rPr>
          <w:rFonts w:ascii="Arial" w:hAnsi="Arial" w:cs="Arial"/>
          <w:b/>
          <w:color w:val="FF0000"/>
          <w:sz w:val="20"/>
          <w:szCs w:val="20"/>
        </w:rPr>
      </w:pPr>
    </w:p>
    <w:p w:rsidR="00D64A23" w:rsidRPr="00C2774B" w:rsidRDefault="00D64A23" w:rsidP="00C2774B">
      <w:pPr>
        <w:pStyle w:val="Heading3"/>
      </w:pPr>
      <w:bookmarkStart w:id="796" w:name="_Toc459900244"/>
      <w:r w:rsidRPr="00C2774B">
        <w:t>UN-Pooling a Pooled Unit (in the computer only)</w:t>
      </w:r>
      <w:bookmarkEnd w:id="796"/>
    </w:p>
    <w:p w:rsidR="00D64A23" w:rsidRPr="00092A53" w:rsidRDefault="00D64A23" w:rsidP="00D64A23">
      <w:pPr>
        <w:rPr>
          <w:sz w:val="22"/>
          <w:szCs w:val="22"/>
        </w:rPr>
      </w:pPr>
      <w:r w:rsidRPr="00092A53">
        <w:rPr>
          <w:sz w:val="22"/>
          <w:szCs w:val="22"/>
        </w:rPr>
        <w:t>This may happen when a pool is created in the computer and the physical pool was not created after all.</w:t>
      </w:r>
    </w:p>
    <w:p w:rsidR="00D64A23" w:rsidRPr="00092A53" w:rsidRDefault="00D64A23" w:rsidP="00D64A23">
      <w:pPr>
        <w:rPr>
          <w:sz w:val="22"/>
          <w:szCs w:val="22"/>
        </w:rPr>
      </w:pPr>
      <w:r w:rsidRPr="00092A53">
        <w:rPr>
          <w:sz w:val="22"/>
          <w:szCs w:val="22"/>
        </w:rPr>
        <w:t xml:space="preserve">If there is a patient assignment, issue or transfusion, that must be removed first as described above in the </w:t>
      </w:r>
      <w:r w:rsidRPr="00092A53">
        <w:rPr>
          <w:b/>
          <w:sz w:val="22"/>
          <w:szCs w:val="22"/>
        </w:rPr>
        <w:t xml:space="preserve">Where to start </w:t>
      </w:r>
      <w:r w:rsidRPr="00092A53">
        <w:rPr>
          <w:sz w:val="22"/>
          <w:szCs w:val="22"/>
        </w:rPr>
        <w:t>section.</w:t>
      </w:r>
    </w:p>
    <w:p w:rsidR="00D64A23" w:rsidRPr="00092A53" w:rsidRDefault="00D64A23" w:rsidP="002F6D7B">
      <w:pPr>
        <w:numPr>
          <w:ilvl w:val="0"/>
          <w:numId w:val="40"/>
        </w:numPr>
        <w:spacing w:line="276" w:lineRule="auto"/>
        <w:rPr>
          <w:sz w:val="22"/>
          <w:szCs w:val="22"/>
        </w:rPr>
      </w:pPr>
      <w:r w:rsidRPr="00092A53">
        <w:rPr>
          <w:sz w:val="22"/>
          <w:szCs w:val="22"/>
        </w:rPr>
        <w:t>Go to Blood Unit, Edit Unit Information and INACTIVATE the Pooled Unit.</w:t>
      </w:r>
    </w:p>
    <w:p w:rsidR="00D64A23" w:rsidRPr="00092A53" w:rsidRDefault="00D64A23" w:rsidP="002F6D7B">
      <w:pPr>
        <w:numPr>
          <w:ilvl w:val="0"/>
          <w:numId w:val="40"/>
        </w:numPr>
        <w:spacing w:line="276" w:lineRule="auto"/>
        <w:rPr>
          <w:sz w:val="22"/>
          <w:szCs w:val="22"/>
        </w:rPr>
      </w:pPr>
      <w:r w:rsidRPr="00092A53">
        <w:rPr>
          <w:sz w:val="22"/>
          <w:szCs w:val="22"/>
        </w:rPr>
        <w:t>Go to Supervisor, Remove Final Status, select each original unit removing the MODIFIED status and making each available.</w:t>
      </w:r>
    </w:p>
    <w:p w:rsidR="00D64A23" w:rsidRPr="00092A53" w:rsidRDefault="001866C8" w:rsidP="002F6D7B">
      <w:pPr>
        <w:numPr>
          <w:ilvl w:val="0"/>
          <w:numId w:val="40"/>
        </w:numPr>
        <w:spacing w:line="276" w:lineRule="auto"/>
        <w:rPr>
          <w:sz w:val="22"/>
          <w:szCs w:val="22"/>
        </w:rPr>
      </w:pPr>
      <w:r w:rsidRPr="00092A53">
        <w:rPr>
          <w:sz w:val="22"/>
          <w:szCs w:val="22"/>
        </w:rPr>
        <w:t xml:space="preserve">Repeat Step </w:t>
      </w:r>
      <w:r w:rsidR="00D64A23" w:rsidRPr="00092A53">
        <w:rPr>
          <w:sz w:val="22"/>
          <w:szCs w:val="22"/>
        </w:rPr>
        <w:t>2 for each original unit included in the pool.</w:t>
      </w:r>
    </w:p>
    <w:p w:rsidR="006B6B74" w:rsidRPr="00C2774B" w:rsidRDefault="00E91569" w:rsidP="00C2774B">
      <w:pPr>
        <w:pStyle w:val="Heading3"/>
        <w:rPr>
          <w:szCs w:val="20"/>
        </w:rPr>
      </w:pPr>
      <w:bookmarkStart w:id="797" w:name="_Toc459900245"/>
      <w:r>
        <w:t>UN-Modifying a U</w:t>
      </w:r>
      <w:r w:rsidR="00092A53" w:rsidRPr="00C2774B">
        <w:t>nit</w:t>
      </w:r>
      <w:bookmarkEnd w:id="797"/>
      <w:r w:rsidR="00D64A23" w:rsidRPr="00C2774B">
        <w:rPr>
          <w:szCs w:val="20"/>
        </w:rPr>
        <w:t xml:space="preserve"> </w:t>
      </w:r>
    </w:p>
    <w:p w:rsidR="00D64A23" w:rsidRPr="00092A53" w:rsidRDefault="00D64A23" w:rsidP="00D64A23">
      <w:pPr>
        <w:rPr>
          <w:sz w:val="22"/>
          <w:szCs w:val="22"/>
        </w:rPr>
      </w:pPr>
      <w:r w:rsidRPr="00092A53">
        <w:rPr>
          <w:sz w:val="22"/>
          <w:szCs w:val="22"/>
        </w:rPr>
        <w:t>Go to Supervisor, Remove Final Status.</w:t>
      </w:r>
    </w:p>
    <w:p w:rsidR="00392A54" w:rsidRDefault="00D64A23" w:rsidP="00D64A23">
      <w:pPr>
        <w:rPr>
          <w:sz w:val="22"/>
          <w:szCs w:val="22"/>
        </w:rPr>
      </w:pPr>
      <w:r w:rsidRPr="00092A53">
        <w:rPr>
          <w:sz w:val="22"/>
          <w:szCs w:val="22"/>
        </w:rPr>
        <w:t xml:space="preserve">If there is a patient assignment, issue or transfusion, that must be removed first as described above in the </w:t>
      </w:r>
      <w:r w:rsidRPr="00092A53">
        <w:rPr>
          <w:b/>
          <w:sz w:val="22"/>
          <w:szCs w:val="22"/>
        </w:rPr>
        <w:t>Where to start</w:t>
      </w:r>
      <w:r w:rsidRPr="00092A53">
        <w:rPr>
          <w:sz w:val="22"/>
          <w:szCs w:val="22"/>
        </w:rPr>
        <w:t xml:space="preserve"> section.</w:t>
      </w:r>
    </w:p>
    <w:p w:rsidR="0059697E" w:rsidRDefault="0059697E" w:rsidP="00E43C60">
      <w:pPr>
        <w:pStyle w:val="Heading2"/>
      </w:pPr>
    </w:p>
    <w:p w:rsidR="00D64A23" w:rsidRPr="00D64A23" w:rsidRDefault="00D64A23" w:rsidP="00D64A23"/>
    <w:p w:rsidR="00657069" w:rsidRDefault="00D64A23" w:rsidP="00E43C60">
      <w:pPr>
        <w:pStyle w:val="Heading2"/>
      </w:pPr>
      <w:r>
        <w:br w:type="page"/>
      </w:r>
      <w:bookmarkStart w:id="798" w:name="_Ref256684287"/>
      <w:bookmarkStart w:id="799" w:name="_Toc459900246"/>
      <w:r w:rsidR="0062532A">
        <w:lastRenderedPageBreak/>
        <w:t xml:space="preserve">Appendix </w:t>
      </w:r>
      <w:r w:rsidR="0062532A">
        <w:fldChar w:fldCharType="begin"/>
      </w:r>
      <w:r w:rsidR="0062532A">
        <w:instrText xml:space="preserve"> SEQ Appendix \* ALPHABETIC </w:instrText>
      </w:r>
      <w:r w:rsidR="0062532A">
        <w:fldChar w:fldCharType="separate"/>
      </w:r>
      <w:r w:rsidR="005F38BC">
        <w:rPr>
          <w:noProof/>
        </w:rPr>
        <w:t>J</w:t>
      </w:r>
      <w:r w:rsidR="0062532A">
        <w:fldChar w:fldCharType="end"/>
      </w:r>
      <w:bookmarkEnd w:id="790"/>
      <w:r w:rsidR="0062532A">
        <w:t xml:space="preserve">: </w:t>
      </w:r>
      <w:r w:rsidR="00657069">
        <w:t>Recommended Report Usage</w:t>
      </w:r>
      <w:bookmarkEnd w:id="798"/>
      <w:bookmarkEnd w:id="799"/>
      <w:r w:rsidR="00681D23">
        <w:fldChar w:fldCharType="begin"/>
      </w:r>
      <w:r w:rsidR="00681D23">
        <w:instrText xml:space="preserve"> XE "</w:instrText>
      </w:r>
      <w:r w:rsidR="00681D23" w:rsidRPr="00AE2CB0">
        <w:instrText>Recommended Report Usage</w:instrText>
      </w:r>
      <w:r w:rsidR="00681D23">
        <w:instrText xml:space="preserve">" </w:instrText>
      </w:r>
      <w:r w:rsidR="00681D23">
        <w:fldChar w:fldCharType="end"/>
      </w:r>
      <w:r w:rsidR="00657069">
        <w:t xml:space="preserve"> </w:t>
      </w:r>
    </w:p>
    <w:p w:rsidR="00E24CBD" w:rsidRDefault="00C90CCC" w:rsidP="00E24CBD">
      <w:pPr>
        <w:pStyle w:val="BodyText"/>
      </w:pPr>
      <w:r>
        <w:fldChar w:fldCharType="begin"/>
      </w:r>
      <w:r>
        <w:instrText xml:space="preserve"> REF _Ref126732565 \h </w:instrText>
      </w:r>
      <w:r>
        <w:fldChar w:fldCharType="separate"/>
      </w:r>
      <w:r w:rsidR="005F38BC">
        <w:t xml:space="preserve">Table </w:t>
      </w:r>
      <w:r w:rsidR="005F38BC">
        <w:rPr>
          <w:noProof/>
        </w:rPr>
        <w:t>38</w:t>
      </w:r>
      <w:r>
        <w:fldChar w:fldCharType="end"/>
      </w:r>
      <w:r w:rsidR="00E24CBD">
        <w:t xml:space="preserve"> lists reports, how often to run them, and how to use them. These are recommendations for meeting </w:t>
      </w:r>
      <w:r w:rsidR="00FE73F7">
        <w:t>regulatory requirements</w:t>
      </w:r>
      <w:r w:rsidR="00E24CBD">
        <w:t>.</w:t>
      </w:r>
      <w:r w:rsidR="006C1675">
        <w:t xml:space="preserve"> Reports</w:t>
      </w:r>
      <w:r w:rsidR="00462332">
        <w:t>, including the non-individual Blood Availability Report,</w:t>
      </w:r>
      <w:r w:rsidR="006C1675">
        <w:t xml:space="preserve"> are available through the Reports </w:t>
      </w:r>
      <w:r w:rsidR="00954B52">
        <w:t>menu item</w:t>
      </w:r>
      <w:r w:rsidR="006C1675">
        <w:t>. The</w:t>
      </w:r>
      <w:r w:rsidR="00462332">
        <w:t xml:space="preserve"> patient-specific</w:t>
      </w:r>
      <w:r w:rsidR="006C1675">
        <w:t xml:space="preserve"> Blood Availability Report is available through the Patients </w:t>
      </w:r>
      <w:r w:rsidR="00954B52">
        <w:t>menu item</w:t>
      </w:r>
      <w:r w:rsidR="006C1675">
        <w:t>.</w:t>
      </w:r>
    </w:p>
    <w:p w:rsidR="00E24CBD" w:rsidRDefault="00E24CBD" w:rsidP="00E24CBD">
      <w:pPr>
        <w:pStyle w:val="Caption"/>
      </w:pPr>
      <w:bookmarkStart w:id="800" w:name="_Ref126504669"/>
      <w:bookmarkStart w:id="801" w:name="_Ref126732565"/>
      <w:r>
        <w:t xml:space="preserve">Table </w:t>
      </w:r>
      <w:r>
        <w:fldChar w:fldCharType="begin"/>
      </w:r>
      <w:r>
        <w:instrText xml:space="preserve"> SEQ Table \* ARABIC </w:instrText>
      </w:r>
      <w:r>
        <w:fldChar w:fldCharType="separate"/>
      </w:r>
      <w:r w:rsidR="005F38BC">
        <w:rPr>
          <w:noProof/>
        </w:rPr>
        <w:t>38</w:t>
      </w:r>
      <w:r>
        <w:fldChar w:fldCharType="end"/>
      </w:r>
      <w:bookmarkEnd w:id="801"/>
      <w:r>
        <w:t>: Recommended Report Usage</w:t>
      </w:r>
      <w:bookmarkEnd w:id="800"/>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0"/>
        <w:gridCol w:w="2039"/>
        <w:gridCol w:w="2580"/>
        <w:gridCol w:w="3461"/>
      </w:tblGrid>
      <w:tr w:rsidR="00462332" w:rsidRPr="00E24CBD">
        <w:trPr>
          <w:cantSplit/>
          <w:tblHeader/>
        </w:trPr>
        <w:tc>
          <w:tcPr>
            <w:tcW w:w="1728" w:type="dxa"/>
            <w:shd w:val="clear" w:color="auto" w:fill="B3B3B3"/>
            <w:vAlign w:val="bottom"/>
          </w:tcPr>
          <w:p w:rsidR="00462332" w:rsidRPr="00E24CBD" w:rsidRDefault="00462332" w:rsidP="00E24CBD">
            <w:pPr>
              <w:pStyle w:val="TableText"/>
              <w:rPr>
                <w:b/>
                <w:snapToGrid w:val="0"/>
              </w:rPr>
            </w:pPr>
            <w:r>
              <w:rPr>
                <w:b/>
                <w:snapToGrid w:val="0"/>
              </w:rPr>
              <w:t>Run This Report:</w:t>
            </w:r>
          </w:p>
        </w:tc>
        <w:tc>
          <w:tcPr>
            <w:tcW w:w="2810" w:type="dxa"/>
            <w:shd w:val="clear" w:color="auto" w:fill="B3B3B3"/>
            <w:vAlign w:val="bottom"/>
          </w:tcPr>
          <w:p w:rsidR="00462332" w:rsidRPr="00E24CBD" w:rsidRDefault="00462332" w:rsidP="00E24CBD">
            <w:pPr>
              <w:pStyle w:val="TableText"/>
              <w:rPr>
                <w:b/>
                <w:snapToGrid w:val="0"/>
              </w:rPr>
            </w:pPr>
            <w:r>
              <w:rPr>
                <w:b/>
                <w:snapToGrid w:val="0"/>
              </w:rPr>
              <w:t>Report</w:t>
            </w:r>
            <w:r w:rsidR="00695BEA">
              <w:rPr>
                <w:b/>
                <w:snapToGrid w:val="0"/>
              </w:rPr>
              <w:t xml:space="preserve"> Option</w:t>
            </w:r>
          </w:p>
        </w:tc>
        <w:tc>
          <w:tcPr>
            <w:tcW w:w="3582" w:type="dxa"/>
            <w:shd w:val="clear" w:color="auto" w:fill="B3B3B3"/>
            <w:vAlign w:val="bottom"/>
          </w:tcPr>
          <w:p w:rsidR="00462332" w:rsidRPr="00E24CBD" w:rsidRDefault="00695BEA" w:rsidP="00E24CBD">
            <w:pPr>
              <w:pStyle w:val="TableText"/>
              <w:rPr>
                <w:b/>
                <w:snapToGrid w:val="0"/>
              </w:rPr>
            </w:pPr>
            <w:r>
              <w:rPr>
                <w:b/>
                <w:snapToGrid w:val="0"/>
              </w:rPr>
              <w:t>Purpose</w:t>
            </w:r>
          </w:p>
        </w:tc>
        <w:tc>
          <w:tcPr>
            <w:tcW w:w="4840" w:type="dxa"/>
            <w:shd w:val="clear" w:color="auto" w:fill="B3B3B3"/>
            <w:vAlign w:val="bottom"/>
          </w:tcPr>
          <w:p w:rsidR="00462332" w:rsidRPr="00E24CBD" w:rsidRDefault="00695BEA" w:rsidP="00E24CBD">
            <w:pPr>
              <w:pStyle w:val="TableText"/>
              <w:rPr>
                <w:b/>
                <w:snapToGrid w:val="0"/>
              </w:rPr>
            </w:pPr>
            <w:r>
              <w:rPr>
                <w:b/>
                <w:snapToGrid w:val="0"/>
              </w:rPr>
              <w:t>To Meet Regulatory Requirements:</w:t>
            </w:r>
          </w:p>
        </w:tc>
      </w:tr>
      <w:tr w:rsidR="00462332">
        <w:trPr>
          <w:cantSplit/>
        </w:trPr>
        <w:tc>
          <w:tcPr>
            <w:tcW w:w="1728" w:type="dxa"/>
            <w:vMerge w:val="restart"/>
          </w:tcPr>
          <w:p w:rsidR="00462332" w:rsidRDefault="00462332" w:rsidP="00E24CBD">
            <w:pPr>
              <w:pStyle w:val="TableText"/>
              <w:rPr>
                <w:snapToGrid w:val="0"/>
              </w:rPr>
            </w:pPr>
            <w:r>
              <w:rPr>
                <w:snapToGrid w:val="0"/>
              </w:rPr>
              <w:t>Daily</w:t>
            </w:r>
          </w:p>
        </w:tc>
        <w:tc>
          <w:tcPr>
            <w:tcW w:w="2810" w:type="dxa"/>
          </w:tcPr>
          <w:p w:rsidR="00462332" w:rsidRDefault="00462332" w:rsidP="00E24CBD">
            <w:pPr>
              <w:pStyle w:val="TableText"/>
              <w:rPr>
                <w:snapToGrid w:val="0"/>
              </w:rPr>
            </w:pPr>
            <w:r>
              <w:rPr>
                <w:snapToGrid w:val="0"/>
              </w:rPr>
              <w:t>Audit Trail</w:t>
            </w:r>
          </w:p>
        </w:tc>
        <w:tc>
          <w:tcPr>
            <w:tcW w:w="3582" w:type="dxa"/>
          </w:tcPr>
          <w:p w:rsidR="00462332" w:rsidRDefault="00462332" w:rsidP="00E24CBD">
            <w:pPr>
              <w:pStyle w:val="TableText"/>
              <w:rPr>
                <w:snapToGrid w:val="0"/>
              </w:rPr>
            </w:pPr>
            <w:r>
              <w:t xml:space="preserve">Quality </w:t>
            </w:r>
            <w:r w:rsidR="000A04E1">
              <w:t>a</w:t>
            </w:r>
            <w:r>
              <w:t>ssurance (QA) report details data changes in system.</w:t>
            </w:r>
          </w:p>
        </w:tc>
        <w:tc>
          <w:tcPr>
            <w:tcW w:w="4840" w:type="dxa"/>
          </w:tcPr>
          <w:p w:rsidR="00462332" w:rsidRDefault="00462332" w:rsidP="00E24CBD">
            <w:pPr>
              <w:pStyle w:val="TableText"/>
              <w:rPr>
                <w:snapToGrid w:val="0"/>
              </w:rPr>
            </w:pPr>
            <w:r>
              <w:rPr>
                <w:snapToGrid w:val="0"/>
              </w:rPr>
              <w:t>Print, review, sign</w:t>
            </w:r>
            <w:r w:rsidR="000A04E1">
              <w:rPr>
                <w:snapToGrid w:val="0"/>
              </w:rPr>
              <w:t>,</w:t>
            </w:r>
            <w:r>
              <w:rPr>
                <w:snapToGrid w:val="0"/>
              </w:rPr>
              <w:t xml:space="preserve"> </w:t>
            </w:r>
            <w:r w:rsidR="00695BEA">
              <w:rPr>
                <w:snapToGrid w:val="0"/>
              </w:rPr>
              <w:t xml:space="preserve">date, </w:t>
            </w:r>
            <w:r>
              <w:rPr>
                <w:snapToGrid w:val="0"/>
              </w:rPr>
              <w:t>and save hard</w:t>
            </w:r>
            <w:r w:rsidR="00695BEA">
              <w:rPr>
                <w:snapToGrid w:val="0"/>
              </w:rPr>
              <w:t xml:space="preserve"> </w:t>
            </w:r>
            <w:r>
              <w:rPr>
                <w:snapToGrid w:val="0"/>
              </w:rPr>
              <w:t>copy.</w:t>
            </w:r>
          </w:p>
        </w:tc>
      </w:tr>
      <w:tr w:rsidR="00462332">
        <w:trPr>
          <w:cantSplit/>
        </w:trPr>
        <w:tc>
          <w:tcPr>
            <w:tcW w:w="1728" w:type="dxa"/>
            <w:vMerge/>
          </w:tcPr>
          <w:p w:rsidR="00462332" w:rsidRDefault="00462332" w:rsidP="00E24CBD">
            <w:pPr>
              <w:pStyle w:val="TableText"/>
              <w:rPr>
                <w:snapToGrid w:val="0"/>
              </w:rPr>
            </w:pPr>
          </w:p>
        </w:tc>
        <w:tc>
          <w:tcPr>
            <w:tcW w:w="2810" w:type="dxa"/>
          </w:tcPr>
          <w:p w:rsidR="00462332" w:rsidRDefault="00462332" w:rsidP="00E24CBD">
            <w:pPr>
              <w:pStyle w:val="TableText"/>
              <w:rPr>
                <w:snapToGrid w:val="0"/>
              </w:rPr>
            </w:pPr>
            <w:r>
              <w:rPr>
                <w:snapToGrid w:val="0"/>
              </w:rPr>
              <w:t>Blood Availability</w:t>
            </w:r>
          </w:p>
        </w:tc>
        <w:tc>
          <w:tcPr>
            <w:tcW w:w="3582" w:type="dxa"/>
          </w:tcPr>
          <w:p w:rsidR="00462332" w:rsidRDefault="00462332" w:rsidP="00E24CBD">
            <w:pPr>
              <w:pStyle w:val="TableText"/>
              <w:rPr>
                <w:snapToGrid w:val="0"/>
              </w:rPr>
            </w:pPr>
            <w:r>
              <w:t>Inventory report</w:t>
            </w:r>
          </w:p>
        </w:tc>
        <w:tc>
          <w:tcPr>
            <w:tcW w:w="4840" w:type="dxa"/>
          </w:tcPr>
          <w:p w:rsidR="00462332" w:rsidRDefault="00462332" w:rsidP="00E24CBD">
            <w:pPr>
              <w:pStyle w:val="TableText"/>
              <w:rPr>
                <w:snapToGrid w:val="0"/>
              </w:rPr>
            </w:pPr>
            <w:r>
              <w:rPr>
                <w:snapToGrid w:val="0"/>
              </w:rPr>
              <w:t xml:space="preserve">This report may not be needed by </w:t>
            </w:r>
            <w:r w:rsidR="00695BEA">
              <w:rPr>
                <w:snapToGrid w:val="0"/>
              </w:rPr>
              <w:t>transfusion-</w:t>
            </w:r>
            <w:r>
              <w:rPr>
                <w:snapToGrid w:val="0"/>
              </w:rPr>
              <w:t xml:space="preserve">only or </w:t>
            </w:r>
            <w:r w:rsidR="00695BEA">
              <w:rPr>
                <w:snapToGrid w:val="0"/>
              </w:rPr>
              <w:t>other sites</w:t>
            </w:r>
            <w:r>
              <w:rPr>
                <w:snapToGrid w:val="0"/>
              </w:rPr>
              <w:t>.</w:t>
            </w:r>
          </w:p>
        </w:tc>
      </w:tr>
      <w:tr w:rsidR="00462332">
        <w:trPr>
          <w:cantSplit/>
        </w:trPr>
        <w:tc>
          <w:tcPr>
            <w:tcW w:w="1728" w:type="dxa"/>
            <w:vMerge/>
          </w:tcPr>
          <w:p w:rsidR="00462332" w:rsidRDefault="00462332" w:rsidP="00E24CBD">
            <w:pPr>
              <w:pStyle w:val="TableText"/>
              <w:rPr>
                <w:snapToGrid w:val="0"/>
              </w:rPr>
            </w:pPr>
          </w:p>
        </w:tc>
        <w:tc>
          <w:tcPr>
            <w:tcW w:w="2810" w:type="dxa"/>
          </w:tcPr>
          <w:p w:rsidR="00462332" w:rsidRDefault="00462332" w:rsidP="00E24CBD">
            <w:pPr>
              <w:pStyle w:val="TableText"/>
              <w:rPr>
                <w:snapToGrid w:val="0"/>
              </w:rPr>
            </w:pPr>
            <w:r>
              <w:rPr>
                <w:snapToGrid w:val="0"/>
              </w:rPr>
              <w:t>Exception Report</w:t>
            </w:r>
          </w:p>
        </w:tc>
        <w:tc>
          <w:tcPr>
            <w:tcW w:w="3582" w:type="dxa"/>
          </w:tcPr>
          <w:p w:rsidR="00462332" w:rsidRDefault="00462332" w:rsidP="00E24CBD">
            <w:pPr>
              <w:pStyle w:val="TableText"/>
              <w:rPr>
                <w:snapToGrid w:val="0"/>
              </w:rPr>
            </w:pPr>
            <w:r>
              <w:t>QA report details overrides of system rules processed by users.</w:t>
            </w:r>
          </w:p>
        </w:tc>
        <w:tc>
          <w:tcPr>
            <w:tcW w:w="4840" w:type="dxa"/>
          </w:tcPr>
          <w:p w:rsidR="00462332" w:rsidRDefault="002A03C9" w:rsidP="00E24CBD">
            <w:pPr>
              <w:pStyle w:val="TableText"/>
              <w:rPr>
                <w:snapToGrid w:val="0"/>
              </w:rPr>
            </w:pPr>
            <w:r>
              <w:rPr>
                <w:snapToGrid w:val="0"/>
              </w:rPr>
              <w:t>Print, review, sign, date, and save hard copy.</w:t>
            </w:r>
          </w:p>
        </w:tc>
      </w:tr>
      <w:tr w:rsidR="00462332">
        <w:trPr>
          <w:cantSplit/>
        </w:trPr>
        <w:tc>
          <w:tcPr>
            <w:tcW w:w="1728" w:type="dxa"/>
            <w:vMerge/>
          </w:tcPr>
          <w:p w:rsidR="00462332" w:rsidRDefault="00462332" w:rsidP="00E24CBD">
            <w:pPr>
              <w:pStyle w:val="TableText"/>
              <w:rPr>
                <w:snapToGrid w:val="0"/>
              </w:rPr>
            </w:pPr>
          </w:p>
        </w:tc>
        <w:tc>
          <w:tcPr>
            <w:tcW w:w="2810" w:type="dxa"/>
          </w:tcPr>
          <w:p w:rsidR="00462332" w:rsidRDefault="00462332" w:rsidP="00E24CBD">
            <w:pPr>
              <w:pStyle w:val="TableText"/>
              <w:rPr>
                <w:snapToGrid w:val="0"/>
              </w:rPr>
            </w:pPr>
            <w:r>
              <w:rPr>
                <w:snapToGrid w:val="0"/>
              </w:rPr>
              <w:t>Testing Worklist Report</w:t>
            </w:r>
          </w:p>
        </w:tc>
        <w:tc>
          <w:tcPr>
            <w:tcW w:w="3582" w:type="dxa"/>
          </w:tcPr>
          <w:p w:rsidR="00462332" w:rsidRDefault="00462332" w:rsidP="00E24CBD">
            <w:pPr>
              <w:pStyle w:val="TableText"/>
              <w:rPr>
                <w:snapToGrid w:val="0"/>
              </w:rPr>
            </w:pPr>
            <w:r>
              <w:t>QA report displays all testing within a division.</w:t>
            </w:r>
          </w:p>
        </w:tc>
        <w:tc>
          <w:tcPr>
            <w:tcW w:w="4840" w:type="dxa"/>
          </w:tcPr>
          <w:p w:rsidR="00462332" w:rsidRDefault="00462332" w:rsidP="00E24CBD">
            <w:pPr>
              <w:pStyle w:val="TableText"/>
              <w:rPr>
                <w:snapToGrid w:val="0"/>
              </w:rPr>
            </w:pPr>
            <w:r>
              <w:rPr>
                <w:snapToGrid w:val="0"/>
              </w:rPr>
              <w:t>Print Patient Testing, Unit testing, Rack QC and miscellaneous reagent QC.</w:t>
            </w:r>
            <w:r w:rsidR="002A03C9">
              <w:rPr>
                <w:snapToGrid w:val="0"/>
              </w:rPr>
              <w:t xml:space="preserve"> Print, review, sign, date, and save hard copy.</w:t>
            </w:r>
          </w:p>
        </w:tc>
      </w:tr>
      <w:tr w:rsidR="00462332">
        <w:trPr>
          <w:cantSplit/>
        </w:trPr>
        <w:tc>
          <w:tcPr>
            <w:tcW w:w="1728" w:type="dxa"/>
          </w:tcPr>
          <w:p w:rsidR="00462332" w:rsidRDefault="00462332" w:rsidP="00FE73F7">
            <w:pPr>
              <w:pStyle w:val="TableText"/>
              <w:rPr>
                <w:snapToGrid w:val="0"/>
              </w:rPr>
            </w:pPr>
            <w:r>
              <w:rPr>
                <w:snapToGrid w:val="0"/>
              </w:rPr>
              <w:t>Daily or Weekly</w:t>
            </w:r>
          </w:p>
        </w:tc>
        <w:tc>
          <w:tcPr>
            <w:tcW w:w="2810" w:type="dxa"/>
          </w:tcPr>
          <w:p w:rsidR="00462332" w:rsidRDefault="00462332" w:rsidP="00FE73F7">
            <w:pPr>
              <w:pStyle w:val="TableText"/>
              <w:rPr>
                <w:snapToGrid w:val="0"/>
              </w:rPr>
            </w:pPr>
            <w:r>
              <w:rPr>
                <w:snapToGrid w:val="0"/>
              </w:rPr>
              <w:t>Issued/Returned Report</w:t>
            </w:r>
          </w:p>
        </w:tc>
        <w:tc>
          <w:tcPr>
            <w:tcW w:w="3582" w:type="dxa"/>
          </w:tcPr>
          <w:p w:rsidR="00462332" w:rsidRDefault="00462332" w:rsidP="00FE73F7">
            <w:pPr>
              <w:pStyle w:val="TableText"/>
              <w:rPr>
                <w:snapToGrid w:val="0"/>
              </w:rPr>
            </w:pPr>
            <w:r>
              <w:t>QA report displays all relocation transactions.</w:t>
            </w:r>
          </w:p>
        </w:tc>
        <w:tc>
          <w:tcPr>
            <w:tcW w:w="4840" w:type="dxa"/>
          </w:tcPr>
          <w:p w:rsidR="00462332" w:rsidRDefault="00462332" w:rsidP="00FE73F7">
            <w:pPr>
              <w:pStyle w:val="TableText"/>
              <w:rPr>
                <w:snapToGrid w:val="0"/>
              </w:rPr>
            </w:pPr>
            <w:r>
              <w:rPr>
                <w:snapToGrid w:val="0"/>
              </w:rPr>
              <w:t>Review for anomalies and take corrective action.</w:t>
            </w:r>
          </w:p>
        </w:tc>
      </w:tr>
      <w:tr w:rsidR="00462332">
        <w:trPr>
          <w:cantSplit/>
        </w:trPr>
        <w:tc>
          <w:tcPr>
            <w:tcW w:w="1728" w:type="dxa"/>
            <w:tcBorders>
              <w:bottom w:val="single" w:sz="4" w:space="0" w:color="auto"/>
            </w:tcBorders>
          </w:tcPr>
          <w:p w:rsidR="00462332" w:rsidRDefault="00462332" w:rsidP="00E24CBD">
            <w:pPr>
              <w:pStyle w:val="TableText"/>
              <w:rPr>
                <w:snapToGrid w:val="0"/>
              </w:rPr>
            </w:pPr>
            <w:r>
              <w:rPr>
                <w:snapToGrid w:val="0"/>
              </w:rPr>
              <w:t>Daily, Weekly</w:t>
            </w:r>
            <w:r w:rsidR="008C3117">
              <w:rPr>
                <w:snapToGrid w:val="0"/>
              </w:rPr>
              <w:t xml:space="preserve">, </w:t>
            </w:r>
            <w:r>
              <w:rPr>
                <w:snapToGrid w:val="0"/>
              </w:rPr>
              <w:t>and Monthly</w:t>
            </w:r>
          </w:p>
        </w:tc>
        <w:tc>
          <w:tcPr>
            <w:tcW w:w="2810" w:type="dxa"/>
            <w:tcBorders>
              <w:bottom w:val="single" w:sz="4" w:space="0" w:color="auto"/>
            </w:tcBorders>
          </w:tcPr>
          <w:p w:rsidR="00462332" w:rsidRDefault="00462332" w:rsidP="00E24CBD">
            <w:pPr>
              <w:pStyle w:val="TableText"/>
              <w:rPr>
                <w:snapToGrid w:val="0"/>
              </w:rPr>
            </w:pPr>
            <w:r>
              <w:rPr>
                <w:snapToGrid w:val="0"/>
              </w:rPr>
              <w:t>Transfusion Requirements Report</w:t>
            </w:r>
          </w:p>
        </w:tc>
        <w:tc>
          <w:tcPr>
            <w:tcW w:w="3582" w:type="dxa"/>
            <w:tcBorders>
              <w:bottom w:val="single" w:sz="4" w:space="0" w:color="auto"/>
            </w:tcBorders>
          </w:tcPr>
          <w:p w:rsidR="00462332" w:rsidRDefault="00462332" w:rsidP="00E24CBD">
            <w:pPr>
              <w:pStyle w:val="TableText"/>
              <w:rPr>
                <w:snapToGrid w:val="0"/>
              </w:rPr>
            </w:pPr>
            <w:r>
              <w:t>A compendium of p</w:t>
            </w:r>
            <w:r w:rsidR="000A04E1">
              <w:t>atient blood types, SI</w:t>
            </w:r>
            <w:r>
              <w:t>s</w:t>
            </w:r>
            <w:r w:rsidR="000A04E1">
              <w:t>, and TRs</w:t>
            </w:r>
            <w:r>
              <w:t xml:space="preserve"> are printed for use during downtime.</w:t>
            </w:r>
          </w:p>
        </w:tc>
        <w:tc>
          <w:tcPr>
            <w:tcW w:w="4840" w:type="dxa"/>
            <w:tcBorders>
              <w:bottom w:val="single" w:sz="4" w:space="0" w:color="auto"/>
            </w:tcBorders>
          </w:tcPr>
          <w:p w:rsidR="008B7391" w:rsidRDefault="008B7391" w:rsidP="008B7391">
            <w:pPr>
              <w:pStyle w:val="TableTextBullet"/>
              <w:rPr>
                <w:snapToGrid w:val="0"/>
              </w:rPr>
            </w:pPr>
            <w:r>
              <w:rPr>
                <w:snapToGrid w:val="0"/>
              </w:rPr>
              <w:t>Days 1–6: print report daily.</w:t>
            </w:r>
          </w:p>
          <w:p w:rsidR="008B7391" w:rsidRDefault="008B7391" w:rsidP="008B7391">
            <w:pPr>
              <w:pStyle w:val="TableTextBullet"/>
              <w:rPr>
                <w:snapToGrid w:val="0"/>
              </w:rPr>
            </w:pPr>
            <w:r>
              <w:rPr>
                <w:snapToGrid w:val="0"/>
              </w:rPr>
              <w:t>Day 7: print report for previous week; discard daily reports.</w:t>
            </w:r>
          </w:p>
          <w:p w:rsidR="008B7391" w:rsidRDefault="008B7391" w:rsidP="008B7391">
            <w:pPr>
              <w:pStyle w:val="TableTextBullet"/>
              <w:rPr>
                <w:snapToGrid w:val="0"/>
              </w:rPr>
            </w:pPr>
            <w:r>
              <w:rPr>
                <w:snapToGrid w:val="0"/>
              </w:rPr>
              <w:t>Start of month: print report for previous month; discard weekly reports.</w:t>
            </w:r>
          </w:p>
          <w:p w:rsidR="008B7391" w:rsidRDefault="008B7391" w:rsidP="008B7391">
            <w:pPr>
              <w:pStyle w:val="TableTextBullet"/>
              <w:rPr>
                <w:snapToGrid w:val="0"/>
              </w:rPr>
            </w:pPr>
            <w:r>
              <w:rPr>
                <w:snapToGrid w:val="0"/>
              </w:rPr>
              <w:t>Start of year: print report for previous year; discard monthly reports.</w:t>
            </w:r>
          </w:p>
          <w:p w:rsidR="008B7391" w:rsidRDefault="008B7391" w:rsidP="00E24CBD">
            <w:pPr>
              <w:pStyle w:val="TableText"/>
              <w:rPr>
                <w:snapToGrid w:val="0"/>
              </w:rPr>
            </w:pPr>
          </w:p>
          <w:p w:rsidR="00462332" w:rsidRDefault="00D64989" w:rsidP="00E24CBD">
            <w:pPr>
              <w:pStyle w:val="TableText"/>
              <w:rPr>
                <w:snapToGrid w:val="0"/>
              </w:rPr>
            </w:pPr>
            <w:r>
              <w:rPr>
                <w:snapToGrid w:val="0"/>
              </w:rPr>
              <w:t>Generate c</w:t>
            </w:r>
            <w:r w:rsidR="00462332">
              <w:rPr>
                <w:snapToGrid w:val="0"/>
              </w:rPr>
              <w:t xml:space="preserve">umulative reports </w:t>
            </w:r>
            <w:r>
              <w:rPr>
                <w:snapToGrid w:val="0"/>
              </w:rPr>
              <w:t xml:space="preserve">starting with the date of first data entry through the current date to include </w:t>
            </w:r>
            <w:r w:rsidR="00462332">
              <w:rPr>
                <w:snapToGrid w:val="0"/>
              </w:rPr>
              <w:t>all patient records.</w:t>
            </w:r>
            <w:r w:rsidR="00D10CA6">
              <w:rPr>
                <w:snapToGrid w:val="0"/>
              </w:rPr>
              <w:t xml:space="preserve"> Store reports so that they are easily accessible.</w:t>
            </w:r>
          </w:p>
        </w:tc>
      </w:tr>
      <w:tr w:rsidR="00F3040D">
        <w:trPr>
          <w:cantSplit/>
        </w:trPr>
        <w:tc>
          <w:tcPr>
            <w:tcW w:w="1728" w:type="dxa"/>
            <w:vMerge w:val="restart"/>
          </w:tcPr>
          <w:p w:rsidR="00F3040D" w:rsidRDefault="00F3040D" w:rsidP="00FE73F7">
            <w:pPr>
              <w:pStyle w:val="TableText"/>
              <w:rPr>
                <w:snapToGrid w:val="0"/>
              </w:rPr>
            </w:pPr>
            <w:r>
              <w:rPr>
                <w:snapToGrid w:val="0"/>
              </w:rPr>
              <w:t>Weekly</w:t>
            </w:r>
          </w:p>
        </w:tc>
        <w:tc>
          <w:tcPr>
            <w:tcW w:w="2810" w:type="dxa"/>
          </w:tcPr>
          <w:p w:rsidR="00F3040D" w:rsidRDefault="00F3040D" w:rsidP="00E24CBD">
            <w:pPr>
              <w:pStyle w:val="TableText"/>
              <w:rPr>
                <w:snapToGrid w:val="0"/>
              </w:rPr>
            </w:pPr>
            <w:r>
              <w:rPr>
                <w:snapToGrid w:val="0"/>
              </w:rPr>
              <w:t>Prolonged Transfusion Time Report</w:t>
            </w:r>
          </w:p>
        </w:tc>
        <w:tc>
          <w:tcPr>
            <w:tcW w:w="3582" w:type="dxa"/>
          </w:tcPr>
          <w:p w:rsidR="00F3040D" w:rsidRDefault="00F3040D" w:rsidP="00E24CBD">
            <w:pPr>
              <w:pStyle w:val="TableText"/>
              <w:rPr>
                <w:snapToGrid w:val="0"/>
              </w:rPr>
            </w:pPr>
            <w:r>
              <w:t>Details units that were not infused within the required time frame.</w:t>
            </w:r>
          </w:p>
        </w:tc>
        <w:tc>
          <w:tcPr>
            <w:tcW w:w="4840" w:type="dxa"/>
            <w:vMerge w:val="restart"/>
          </w:tcPr>
          <w:p w:rsidR="00F3040D" w:rsidRDefault="00F3040D" w:rsidP="00E24CBD">
            <w:pPr>
              <w:pStyle w:val="TableText"/>
              <w:rPr>
                <w:snapToGrid w:val="0"/>
              </w:rPr>
            </w:pPr>
            <w:r>
              <w:rPr>
                <w:snapToGrid w:val="0"/>
              </w:rPr>
              <w:t>Generate these reports for blood utilization committee and other quality management activities.</w:t>
            </w:r>
          </w:p>
        </w:tc>
      </w:tr>
      <w:tr w:rsidR="00F3040D">
        <w:trPr>
          <w:cantSplit/>
        </w:trPr>
        <w:tc>
          <w:tcPr>
            <w:tcW w:w="1728" w:type="dxa"/>
            <w:vMerge/>
          </w:tcPr>
          <w:p w:rsidR="00F3040D" w:rsidRDefault="00F3040D" w:rsidP="00FE73F7">
            <w:pPr>
              <w:pStyle w:val="TableText"/>
              <w:rPr>
                <w:snapToGrid w:val="0"/>
              </w:rPr>
            </w:pPr>
          </w:p>
        </w:tc>
        <w:tc>
          <w:tcPr>
            <w:tcW w:w="2810" w:type="dxa"/>
          </w:tcPr>
          <w:p w:rsidR="00F3040D" w:rsidRDefault="00F3040D" w:rsidP="00FE73F7">
            <w:pPr>
              <w:pStyle w:val="TableText"/>
              <w:rPr>
                <w:snapToGrid w:val="0"/>
              </w:rPr>
            </w:pPr>
            <w:r>
              <w:rPr>
                <w:snapToGrid w:val="0"/>
              </w:rPr>
              <w:t>Transfusion Effectiveness Report</w:t>
            </w:r>
          </w:p>
        </w:tc>
        <w:tc>
          <w:tcPr>
            <w:tcW w:w="3582" w:type="dxa"/>
          </w:tcPr>
          <w:p w:rsidR="00F3040D" w:rsidRDefault="00F3040D" w:rsidP="00FE73F7">
            <w:pPr>
              <w:pStyle w:val="TableText"/>
              <w:rPr>
                <w:snapToGrid w:val="0"/>
              </w:rPr>
            </w:pPr>
            <w:r>
              <w:t>Compares transfusions with user-configured lab data indicators to monitor appropriate blood usage.</w:t>
            </w:r>
          </w:p>
        </w:tc>
        <w:tc>
          <w:tcPr>
            <w:tcW w:w="4840" w:type="dxa"/>
            <w:vMerge/>
          </w:tcPr>
          <w:p w:rsidR="00F3040D" w:rsidRDefault="00F3040D" w:rsidP="00FE73F7">
            <w:pPr>
              <w:pStyle w:val="TableText"/>
              <w:rPr>
                <w:snapToGrid w:val="0"/>
              </w:rPr>
            </w:pPr>
          </w:p>
        </w:tc>
      </w:tr>
      <w:tr w:rsidR="00F3040D">
        <w:trPr>
          <w:cantSplit/>
        </w:trPr>
        <w:tc>
          <w:tcPr>
            <w:tcW w:w="1728" w:type="dxa"/>
            <w:vMerge w:val="restart"/>
          </w:tcPr>
          <w:p w:rsidR="00F3040D" w:rsidRDefault="00F3040D" w:rsidP="00FE73F7">
            <w:pPr>
              <w:pStyle w:val="TableText"/>
              <w:rPr>
                <w:snapToGrid w:val="0"/>
              </w:rPr>
            </w:pPr>
            <w:r>
              <w:rPr>
                <w:snapToGrid w:val="0"/>
              </w:rPr>
              <w:t>Weekly or Monthly</w:t>
            </w:r>
          </w:p>
        </w:tc>
        <w:tc>
          <w:tcPr>
            <w:tcW w:w="2810" w:type="dxa"/>
          </w:tcPr>
          <w:p w:rsidR="00F3040D" w:rsidRDefault="00F3040D" w:rsidP="00FE73F7">
            <w:pPr>
              <w:pStyle w:val="TableText"/>
              <w:rPr>
                <w:snapToGrid w:val="0"/>
              </w:rPr>
            </w:pPr>
            <w:r>
              <w:rPr>
                <w:snapToGrid w:val="0"/>
              </w:rPr>
              <w:t>C:T Ratio Report</w:t>
            </w:r>
          </w:p>
        </w:tc>
        <w:tc>
          <w:tcPr>
            <w:tcW w:w="3582" w:type="dxa"/>
          </w:tcPr>
          <w:p w:rsidR="00F3040D" w:rsidRDefault="00F3040D" w:rsidP="00FE73F7">
            <w:pPr>
              <w:pStyle w:val="TableText"/>
              <w:rPr>
                <w:snapToGrid w:val="0"/>
              </w:rPr>
            </w:pPr>
            <w:r>
              <w:t>Details crossmatch-to-transfusion ratio by physician or treating specialty.</w:t>
            </w:r>
          </w:p>
        </w:tc>
        <w:tc>
          <w:tcPr>
            <w:tcW w:w="4840" w:type="dxa"/>
            <w:vMerge/>
          </w:tcPr>
          <w:p w:rsidR="00F3040D" w:rsidRDefault="00F3040D" w:rsidP="00FE73F7">
            <w:pPr>
              <w:pStyle w:val="TableText"/>
              <w:rPr>
                <w:snapToGrid w:val="0"/>
              </w:rPr>
            </w:pPr>
          </w:p>
        </w:tc>
      </w:tr>
      <w:tr w:rsidR="00F3040D">
        <w:trPr>
          <w:cantSplit/>
        </w:trPr>
        <w:tc>
          <w:tcPr>
            <w:tcW w:w="1728" w:type="dxa"/>
            <w:vMerge/>
          </w:tcPr>
          <w:p w:rsidR="00F3040D" w:rsidRDefault="00F3040D" w:rsidP="00E24CBD">
            <w:pPr>
              <w:pStyle w:val="TableText"/>
              <w:rPr>
                <w:snapToGrid w:val="0"/>
              </w:rPr>
            </w:pPr>
          </w:p>
        </w:tc>
        <w:tc>
          <w:tcPr>
            <w:tcW w:w="2810" w:type="dxa"/>
          </w:tcPr>
          <w:p w:rsidR="00F3040D" w:rsidRDefault="00F3040D" w:rsidP="00E24CBD">
            <w:pPr>
              <w:pStyle w:val="TableText"/>
              <w:rPr>
                <w:snapToGrid w:val="0"/>
              </w:rPr>
            </w:pPr>
            <w:r>
              <w:rPr>
                <w:snapToGrid w:val="0"/>
              </w:rPr>
              <w:t>Transfusion Complications Report</w:t>
            </w:r>
          </w:p>
        </w:tc>
        <w:tc>
          <w:tcPr>
            <w:tcW w:w="3582" w:type="dxa"/>
          </w:tcPr>
          <w:p w:rsidR="00F3040D" w:rsidRDefault="00F3040D" w:rsidP="00E24CBD">
            <w:pPr>
              <w:pStyle w:val="TableText"/>
              <w:rPr>
                <w:snapToGrid w:val="0"/>
              </w:rPr>
            </w:pPr>
            <w:r>
              <w:t>Compares transfusions with user configured lab data indicators to monitor adverse affects from transfusion.</w:t>
            </w:r>
          </w:p>
        </w:tc>
        <w:tc>
          <w:tcPr>
            <w:tcW w:w="4840" w:type="dxa"/>
            <w:vMerge/>
          </w:tcPr>
          <w:p w:rsidR="00F3040D" w:rsidRDefault="00F3040D" w:rsidP="00E24CBD">
            <w:pPr>
              <w:pStyle w:val="TableText"/>
              <w:rPr>
                <w:snapToGrid w:val="0"/>
              </w:rPr>
            </w:pPr>
          </w:p>
        </w:tc>
      </w:tr>
      <w:tr w:rsidR="00F3040D">
        <w:trPr>
          <w:cantSplit/>
        </w:trPr>
        <w:tc>
          <w:tcPr>
            <w:tcW w:w="1728" w:type="dxa"/>
            <w:vMerge/>
            <w:tcBorders>
              <w:bottom w:val="single" w:sz="4" w:space="0" w:color="auto"/>
            </w:tcBorders>
          </w:tcPr>
          <w:p w:rsidR="00F3040D" w:rsidRDefault="00F3040D" w:rsidP="00E24CBD">
            <w:pPr>
              <w:pStyle w:val="TableText"/>
              <w:rPr>
                <w:snapToGrid w:val="0"/>
              </w:rPr>
            </w:pPr>
          </w:p>
        </w:tc>
        <w:tc>
          <w:tcPr>
            <w:tcW w:w="2810" w:type="dxa"/>
            <w:tcBorders>
              <w:bottom w:val="single" w:sz="4" w:space="0" w:color="auto"/>
            </w:tcBorders>
          </w:tcPr>
          <w:p w:rsidR="00F3040D" w:rsidRDefault="00F3040D" w:rsidP="00E24CBD">
            <w:pPr>
              <w:pStyle w:val="TableText"/>
              <w:rPr>
                <w:snapToGrid w:val="0"/>
              </w:rPr>
            </w:pPr>
            <w:r>
              <w:rPr>
                <w:snapToGrid w:val="0"/>
              </w:rPr>
              <w:t>Inappropriate Transfusion Request Report</w:t>
            </w:r>
          </w:p>
        </w:tc>
        <w:tc>
          <w:tcPr>
            <w:tcW w:w="3582" w:type="dxa"/>
            <w:tcBorders>
              <w:bottom w:val="single" w:sz="4" w:space="0" w:color="auto"/>
            </w:tcBorders>
          </w:tcPr>
          <w:p w:rsidR="00F3040D" w:rsidRDefault="00F3040D" w:rsidP="00E24CBD">
            <w:pPr>
              <w:pStyle w:val="TableText"/>
            </w:pPr>
            <w:r>
              <w:t>Details requests for blood products that did not meet the facility’s transfusion criteria.</w:t>
            </w:r>
          </w:p>
        </w:tc>
        <w:tc>
          <w:tcPr>
            <w:tcW w:w="4840" w:type="dxa"/>
            <w:vMerge/>
            <w:tcBorders>
              <w:bottom w:val="single" w:sz="4" w:space="0" w:color="auto"/>
            </w:tcBorders>
          </w:tcPr>
          <w:p w:rsidR="00F3040D" w:rsidRDefault="00F3040D" w:rsidP="00E24CBD">
            <w:pPr>
              <w:pStyle w:val="TableText"/>
              <w:rPr>
                <w:snapToGrid w:val="0"/>
              </w:rPr>
            </w:pPr>
          </w:p>
        </w:tc>
      </w:tr>
      <w:tr w:rsidR="00FF05B8">
        <w:trPr>
          <w:cantSplit/>
        </w:trPr>
        <w:tc>
          <w:tcPr>
            <w:tcW w:w="1728" w:type="dxa"/>
            <w:vMerge w:val="restart"/>
          </w:tcPr>
          <w:p w:rsidR="00FF05B8" w:rsidRDefault="00FF05B8" w:rsidP="00E24CBD">
            <w:pPr>
              <w:pStyle w:val="TableText"/>
              <w:rPr>
                <w:snapToGrid w:val="0"/>
              </w:rPr>
            </w:pPr>
            <w:r>
              <w:rPr>
                <w:snapToGrid w:val="0"/>
              </w:rPr>
              <w:t>Monthly</w:t>
            </w:r>
          </w:p>
        </w:tc>
        <w:tc>
          <w:tcPr>
            <w:tcW w:w="2810" w:type="dxa"/>
          </w:tcPr>
          <w:p w:rsidR="00FF05B8" w:rsidRDefault="00FF05B8" w:rsidP="00E24CBD">
            <w:pPr>
              <w:pStyle w:val="TableText"/>
              <w:rPr>
                <w:snapToGrid w:val="0"/>
              </w:rPr>
            </w:pPr>
            <w:r>
              <w:rPr>
                <w:snapToGrid w:val="0"/>
              </w:rPr>
              <w:t>Administrative Data Report</w:t>
            </w:r>
          </w:p>
        </w:tc>
        <w:tc>
          <w:tcPr>
            <w:tcW w:w="3582" w:type="dxa"/>
          </w:tcPr>
          <w:p w:rsidR="00FF05B8" w:rsidRDefault="00FF05B8" w:rsidP="00E24CBD">
            <w:pPr>
              <w:pStyle w:val="TableText"/>
            </w:pPr>
            <w:r>
              <w:t xml:space="preserve">Management report details products received, transfused, and returned. </w:t>
            </w:r>
          </w:p>
        </w:tc>
        <w:tc>
          <w:tcPr>
            <w:tcW w:w="4840" w:type="dxa"/>
            <w:vMerge w:val="restart"/>
          </w:tcPr>
          <w:p w:rsidR="00FF05B8" w:rsidRDefault="00FF05B8" w:rsidP="00E24CBD">
            <w:pPr>
              <w:pStyle w:val="TableText"/>
              <w:rPr>
                <w:snapToGrid w:val="0"/>
              </w:rPr>
            </w:pPr>
            <w:r>
              <w:rPr>
                <w:snapToGrid w:val="0"/>
              </w:rPr>
              <w:t>Generate these reports for administrative purposes.</w:t>
            </w:r>
          </w:p>
        </w:tc>
      </w:tr>
      <w:tr w:rsidR="00FF05B8">
        <w:trPr>
          <w:cantSplit/>
        </w:trPr>
        <w:tc>
          <w:tcPr>
            <w:tcW w:w="1728" w:type="dxa"/>
            <w:vMerge/>
          </w:tcPr>
          <w:p w:rsidR="00FF05B8" w:rsidRDefault="00FF05B8" w:rsidP="00E24CBD">
            <w:pPr>
              <w:pStyle w:val="TableText"/>
              <w:rPr>
                <w:snapToGrid w:val="0"/>
              </w:rPr>
            </w:pPr>
          </w:p>
        </w:tc>
        <w:tc>
          <w:tcPr>
            <w:tcW w:w="2810" w:type="dxa"/>
          </w:tcPr>
          <w:p w:rsidR="00FF05B8" w:rsidRDefault="00FF05B8" w:rsidP="00E24CBD">
            <w:pPr>
              <w:pStyle w:val="TableText"/>
              <w:rPr>
                <w:snapToGrid w:val="0"/>
              </w:rPr>
            </w:pPr>
            <w:r>
              <w:rPr>
                <w:snapToGrid w:val="0"/>
              </w:rPr>
              <w:t>Cost Accounting Report</w:t>
            </w:r>
          </w:p>
        </w:tc>
        <w:tc>
          <w:tcPr>
            <w:tcW w:w="3582" w:type="dxa"/>
          </w:tcPr>
          <w:p w:rsidR="00FF05B8" w:rsidRDefault="00FF05B8" w:rsidP="00E24CBD">
            <w:pPr>
              <w:pStyle w:val="TableText"/>
            </w:pPr>
            <w:r>
              <w:t>Management report of expenditure by invoice number.</w:t>
            </w:r>
          </w:p>
        </w:tc>
        <w:tc>
          <w:tcPr>
            <w:tcW w:w="4840" w:type="dxa"/>
            <w:vMerge/>
          </w:tcPr>
          <w:p w:rsidR="00FF05B8" w:rsidRDefault="00FF05B8" w:rsidP="00E24CBD">
            <w:pPr>
              <w:pStyle w:val="TableText"/>
              <w:rPr>
                <w:snapToGrid w:val="0"/>
              </w:rPr>
            </w:pPr>
          </w:p>
        </w:tc>
      </w:tr>
      <w:tr w:rsidR="00FF05B8">
        <w:trPr>
          <w:cantSplit/>
        </w:trPr>
        <w:tc>
          <w:tcPr>
            <w:tcW w:w="1728" w:type="dxa"/>
            <w:vMerge/>
          </w:tcPr>
          <w:p w:rsidR="00FF05B8" w:rsidRDefault="00FF05B8" w:rsidP="00E24CBD">
            <w:pPr>
              <w:pStyle w:val="TableText"/>
              <w:rPr>
                <w:snapToGrid w:val="0"/>
              </w:rPr>
            </w:pPr>
          </w:p>
        </w:tc>
        <w:tc>
          <w:tcPr>
            <w:tcW w:w="2810" w:type="dxa"/>
          </w:tcPr>
          <w:p w:rsidR="00FF05B8" w:rsidRDefault="00FF05B8" w:rsidP="00E24CBD">
            <w:pPr>
              <w:pStyle w:val="TableText"/>
              <w:rPr>
                <w:snapToGrid w:val="0"/>
              </w:rPr>
            </w:pPr>
            <w:r>
              <w:rPr>
                <w:snapToGrid w:val="0"/>
              </w:rPr>
              <w:t>Division Transfusion Report</w:t>
            </w:r>
          </w:p>
        </w:tc>
        <w:tc>
          <w:tcPr>
            <w:tcW w:w="3582" w:type="dxa"/>
          </w:tcPr>
          <w:p w:rsidR="00FF05B8" w:rsidRDefault="00FF05B8" w:rsidP="00E24CBD">
            <w:pPr>
              <w:pStyle w:val="TableText"/>
            </w:pPr>
            <w:r>
              <w:t>Details of units transfused during a selected period.</w:t>
            </w:r>
          </w:p>
        </w:tc>
        <w:tc>
          <w:tcPr>
            <w:tcW w:w="4840" w:type="dxa"/>
            <w:vMerge/>
          </w:tcPr>
          <w:p w:rsidR="00FF05B8" w:rsidRDefault="00FF05B8" w:rsidP="00E24CBD">
            <w:pPr>
              <w:pStyle w:val="TableText"/>
              <w:rPr>
                <w:snapToGrid w:val="0"/>
              </w:rPr>
            </w:pPr>
          </w:p>
        </w:tc>
      </w:tr>
      <w:tr w:rsidR="00FF05B8">
        <w:trPr>
          <w:cantSplit/>
        </w:trPr>
        <w:tc>
          <w:tcPr>
            <w:tcW w:w="1728" w:type="dxa"/>
            <w:vMerge/>
          </w:tcPr>
          <w:p w:rsidR="00FF05B8" w:rsidRDefault="00FF05B8" w:rsidP="00E24CBD">
            <w:pPr>
              <w:pStyle w:val="TableText"/>
              <w:rPr>
                <w:snapToGrid w:val="0"/>
              </w:rPr>
            </w:pPr>
          </w:p>
        </w:tc>
        <w:tc>
          <w:tcPr>
            <w:tcW w:w="2810" w:type="dxa"/>
          </w:tcPr>
          <w:p w:rsidR="00FF05B8" w:rsidRDefault="00FF05B8" w:rsidP="00E24CBD">
            <w:pPr>
              <w:pStyle w:val="TableText"/>
              <w:rPr>
                <w:snapToGrid w:val="0"/>
              </w:rPr>
            </w:pPr>
            <w:r>
              <w:rPr>
                <w:snapToGrid w:val="0"/>
              </w:rPr>
              <w:t>Division Workload Report</w:t>
            </w:r>
          </w:p>
        </w:tc>
        <w:tc>
          <w:tcPr>
            <w:tcW w:w="3582" w:type="dxa"/>
          </w:tcPr>
          <w:p w:rsidR="00FF05B8" w:rsidRDefault="00FF05B8" w:rsidP="00E24CBD">
            <w:pPr>
              <w:pStyle w:val="TableText"/>
            </w:pPr>
            <w:r>
              <w:t>Totals workload types for one or all divisions.</w:t>
            </w:r>
          </w:p>
        </w:tc>
        <w:tc>
          <w:tcPr>
            <w:tcW w:w="4840" w:type="dxa"/>
            <w:vMerge/>
          </w:tcPr>
          <w:p w:rsidR="00FF05B8" w:rsidRDefault="00FF05B8" w:rsidP="00E24CBD">
            <w:pPr>
              <w:pStyle w:val="TableText"/>
              <w:rPr>
                <w:snapToGrid w:val="0"/>
              </w:rPr>
            </w:pPr>
          </w:p>
        </w:tc>
      </w:tr>
      <w:tr w:rsidR="00462332">
        <w:trPr>
          <w:cantSplit/>
        </w:trPr>
        <w:tc>
          <w:tcPr>
            <w:tcW w:w="1728" w:type="dxa"/>
            <w:vMerge/>
            <w:tcBorders>
              <w:bottom w:val="single" w:sz="4" w:space="0" w:color="auto"/>
            </w:tcBorders>
          </w:tcPr>
          <w:p w:rsidR="00462332" w:rsidRDefault="00462332" w:rsidP="00E24CBD">
            <w:pPr>
              <w:pStyle w:val="TableText"/>
              <w:rPr>
                <w:snapToGrid w:val="0"/>
              </w:rPr>
            </w:pPr>
          </w:p>
        </w:tc>
        <w:tc>
          <w:tcPr>
            <w:tcW w:w="2810" w:type="dxa"/>
            <w:tcBorders>
              <w:bottom w:val="single" w:sz="4" w:space="0" w:color="auto"/>
            </w:tcBorders>
          </w:tcPr>
          <w:p w:rsidR="00462332" w:rsidRDefault="00462332" w:rsidP="00E24CBD">
            <w:pPr>
              <w:pStyle w:val="TableText"/>
              <w:rPr>
                <w:snapToGrid w:val="0"/>
              </w:rPr>
            </w:pPr>
            <w:r>
              <w:rPr>
                <w:snapToGrid w:val="0"/>
              </w:rPr>
              <w:t>Transfusion Reaction Count Report</w:t>
            </w:r>
          </w:p>
        </w:tc>
        <w:tc>
          <w:tcPr>
            <w:tcW w:w="3582" w:type="dxa"/>
            <w:tcBorders>
              <w:bottom w:val="single" w:sz="4" w:space="0" w:color="auto"/>
            </w:tcBorders>
          </w:tcPr>
          <w:p w:rsidR="00462332" w:rsidRDefault="004A69AE" w:rsidP="00E24CBD">
            <w:pPr>
              <w:pStyle w:val="TableText"/>
            </w:pPr>
            <w:r>
              <w:t>Details transfusion reactions that are ordered, pending, completed, or finalized for one or all divisions.</w:t>
            </w:r>
          </w:p>
        </w:tc>
        <w:tc>
          <w:tcPr>
            <w:tcW w:w="4840" w:type="dxa"/>
            <w:tcBorders>
              <w:bottom w:val="single" w:sz="4" w:space="0" w:color="auto"/>
            </w:tcBorders>
          </w:tcPr>
          <w:p w:rsidR="00462332" w:rsidRDefault="00A7582C" w:rsidP="00E24CBD">
            <w:pPr>
              <w:pStyle w:val="TableText"/>
              <w:rPr>
                <w:snapToGrid w:val="0"/>
              </w:rPr>
            </w:pPr>
            <w:r>
              <w:rPr>
                <w:snapToGrid w:val="0"/>
              </w:rPr>
              <w:t>Generate this report for blood utilization committee and other quality management activities.</w:t>
            </w:r>
          </w:p>
        </w:tc>
      </w:tr>
      <w:tr w:rsidR="00462332">
        <w:trPr>
          <w:cantSplit/>
        </w:trPr>
        <w:tc>
          <w:tcPr>
            <w:tcW w:w="1728" w:type="dxa"/>
          </w:tcPr>
          <w:p w:rsidR="00462332" w:rsidRDefault="00462332" w:rsidP="00E24CBD">
            <w:pPr>
              <w:pStyle w:val="TableText"/>
              <w:rPr>
                <w:snapToGrid w:val="0"/>
              </w:rPr>
            </w:pPr>
            <w:r>
              <w:rPr>
                <w:snapToGrid w:val="0"/>
              </w:rPr>
              <w:t>As needed</w:t>
            </w:r>
          </w:p>
        </w:tc>
        <w:tc>
          <w:tcPr>
            <w:tcW w:w="2810" w:type="dxa"/>
          </w:tcPr>
          <w:p w:rsidR="00462332" w:rsidRDefault="00462332" w:rsidP="00E24CBD">
            <w:pPr>
              <w:pStyle w:val="TableText"/>
              <w:rPr>
                <w:snapToGrid w:val="0"/>
              </w:rPr>
            </w:pPr>
            <w:r>
              <w:rPr>
                <w:snapToGrid w:val="0"/>
              </w:rPr>
              <w:t>Finalize/Print TRW</w:t>
            </w:r>
          </w:p>
        </w:tc>
        <w:tc>
          <w:tcPr>
            <w:tcW w:w="3582" w:type="dxa"/>
          </w:tcPr>
          <w:p w:rsidR="00462332" w:rsidRDefault="00462332" w:rsidP="00E24CBD">
            <w:pPr>
              <w:pStyle w:val="TableText"/>
            </w:pPr>
            <w:r>
              <w:t>Pati</w:t>
            </w:r>
            <w:r w:rsidR="001D65B4">
              <w:t>ent Transfusion Reaction Report</w:t>
            </w:r>
            <w:r w:rsidR="00695BEA">
              <w:t xml:space="preserve"> details a transfusion reaction episode.</w:t>
            </w:r>
          </w:p>
        </w:tc>
        <w:tc>
          <w:tcPr>
            <w:tcW w:w="4840" w:type="dxa"/>
          </w:tcPr>
          <w:p w:rsidR="00462332" w:rsidRDefault="00F3040D" w:rsidP="00E24CBD">
            <w:pPr>
              <w:pStyle w:val="TableText"/>
              <w:rPr>
                <w:snapToGrid w:val="0"/>
              </w:rPr>
            </w:pPr>
            <w:r>
              <w:rPr>
                <w:snapToGrid w:val="0"/>
              </w:rPr>
              <w:t>Print, review, sign, date, and save hard copy.</w:t>
            </w:r>
          </w:p>
        </w:tc>
      </w:tr>
    </w:tbl>
    <w:p w:rsidR="002A21AE" w:rsidRDefault="002A21AE">
      <w:pPr>
        <w:pStyle w:val="Heading2"/>
      </w:pPr>
      <w:r>
        <w:br w:type="page"/>
      </w:r>
      <w:bookmarkStart w:id="802" w:name="_Toc459900247"/>
      <w:r>
        <w:lastRenderedPageBreak/>
        <w:t xml:space="preserve">Appendix </w:t>
      </w:r>
      <w:r>
        <w:fldChar w:fldCharType="begin"/>
      </w:r>
      <w:r>
        <w:instrText xml:space="preserve"> SEQ Appendix \* ALPHABETIC </w:instrText>
      </w:r>
      <w:r>
        <w:fldChar w:fldCharType="separate"/>
      </w:r>
      <w:r w:rsidR="005F38BC">
        <w:rPr>
          <w:noProof/>
        </w:rPr>
        <w:t>K</w:t>
      </w:r>
      <w:r>
        <w:fldChar w:fldCharType="end"/>
      </w:r>
      <w:r>
        <w:t>: Barcode Scanner Configuration</w:t>
      </w:r>
      <w:r w:rsidR="003C3D1E">
        <w:t xml:space="preserve"> and Troubleshooting</w:t>
      </w:r>
      <w:bookmarkEnd w:id="802"/>
      <w:r>
        <w:fldChar w:fldCharType="begin"/>
      </w:r>
      <w:r>
        <w:instrText xml:space="preserve"> XE </w:instrText>
      </w:r>
      <w:r w:rsidR="00FA7E65">
        <w:instrText>“</w:instrText>
      </w:r>
      <w:r>
        <w:instrText>Barcode Scanner Configuration</w:instrText>
      </w:r>
      <w:r w:rsidR="003C3D1E">
        <w:instrText xml:space="preserve"> and Troubleshooting</w:instrText>
      </w:r>
      <w:r w:rsidR="00FA7E65">
        <w:instrText>”</w:instrText>
      </w:r>
      <w:r>
        <w:instrText xml:space="preserve"> </w:instrText>
      </w:r>
      <w:r>
        <w:fldChar w:fldCharType="end"/>
      </w:r>
      <w:r>
        <w:fldChar w:fldCharType="begin"/>
      </w:r>
      <w:r>
        <w:instrText xml:space="preserve"> XE </w:instrText>
      </w:r>
      <w:r w:rsidR="00FA7E65">
        <w:instrText>“</w:instrText>
      </w:r>
      <w:r>
        <w:instrText>Figures:Barcode Scanner Configuration</w:instrText>
      </w:r>
      <w:r w:rsidR="00FA7E65">
        <w:instrText>”</w:instrText>
      </w:r>
      <w:r>
        <w:instrText xml:space="preserve"> </w:instrText>
      </w:r>
      <w:r>
        <w:fldChar w:fldCharType="end"/>
      </w:r>
    </w:p>
    <w:p w:rsidR="003C3D1E" w:rsidRDefault="006F3CD3" w:rsidP="00FA7E65">
      <w:pPr>
        <w:pStyle w:val="BodyText"/>
      </w:pPr>
      <w:r>
        <w:t xml:space="preserve">Make sure the cord is plugged into the </w:t>
      </w:r>
      <w:r w:rsidR="003C3D1E">
        <w:t xml:space="preserve">scanner </w:t>
      </w:r>
      <w:r>
        <w:t>and the computer</w:t>
      </w:r>
      <w:r w:rsidR="00A723D5">
        <w:t xml:space="preserve">. </w:t>
      </w:r>
      <w:r w:rsidR="00733A22">
        <w:t xml:space="preserve">Point the scanner at a piece of white paper and squeeze the trigger to verify that the laser works. </w:t>
      </w:r>
    </w:p>
    <w:p w:rsidR="00A723D5" w:rsidRDefault="00A723D5" w:rsidP="00A723D5">
      <w:pPr>
        <w:pStyle w:val="Caution"/>
      </w:pPr>
      <w:r>
        <w:t>For correct barcode scanning results, the Caps Lock key must not be engaged.</w:t>
      </w:r>
      <w:r w:rsidRPr="00340676">
        <w:rPr>
          <w:vanish/>
        </w:rPr>
        <w:t>(DR 2,733)</w:t>
      </w:r>
      <w:r>
        <w:t xml:space="preserve"> </w:t>
      </w:r>
    </w:p>
    <w:p w:rsidR="00A723D5" w:rsidRDefault="00A723D5" w:rsidP="00FA7E65">
      <w:pPr>
        <w:pStyle w:val="BodyText"/>
      </w:pPr>
    </w:p>
    <w:p w:rsidR="001C2F8E" w:rsidRDefault="00634BFC" w:rsidP="002A4F71">
      <w:pPr>
        <w:pStyle w:val="Caution"/>
      </w:pPr>
      <w:r>
        <w:rPr>
          <w:noProof/>
        </w:rPr>
        <w:drawing>
          <wp:inline distT="0" distB="0" distL="0" distR="0">
            <wp:extent cx="266700" cy="219075"/>
            <wp:effectExtent l="0" t="0" r="0"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1C2F8E">
        <w:t xml:space="preserve"> </w:t>
      </w:r>
      <w:r w:rsidR="00416C59">
        <w:t>Never</w:t>
      </w:r>
      <w:r w:rsidR="001C2F8E">
        <w:t xml:space="preserve"> look directly at the laser.</w:t>
      </w:r>
      <w:r w:rsidR="00416C59" w:rsidRPr="00416C59">
        <w:t xml:space="preserve"> </w:t>
      </w:r>
      <w:r w:rsidR="00416C59">
        <w:t>Never direct the laser</w:t>
      </w:r>
      <w:r w:rsidR="00416C59" w:rsidRPr="001D19BF">
        <w:t xml:space="preserve"> </w:t>
      </w:r>
      <w:r w:rsidR="002126A9">
        <w:t xml:space="preserve">beam </w:t>
      </w:r>
      <w:r w:rsidR="00416C59" w:rsidRPr="001D19BF">
        <w:t xml:space="preserve">toward </w:t>
      </w:r>
      <w:r w:rsidR="00416C59">
        <w:t>yourself</w:t>
      </w:r>
      <w:r w:rsidR="00416C59" w:rsidRPr="001D19BF">
        <w:t xml:space="preserve"> or </w:t>
      </w:r>
      <w:r w:rsidR="002126A9">
        <w:t xml:space="preserve">another person. Avoid mirror-like surfaces such as </w:t>
      </w:r>
      <w:r w:rsidR="002126A9" w:rsidRPr="001D19BF">
        <w:t>glass, metal</w:t>
      </w:r>
      <w:r w:rsidR="002126A9">
        <w:t>,</w:t>
      </w:r>
      <w:r w:rsidR="002126A9" w:rsidRPr="001D19BF">
        <w:t xml:space="preserve"> </w:t>
      </w:r>
      <w:r w:rsidR="002E50AD">
        <w:t xml:space="preserve">watches, jewelry, </w:t>
      </w:r>
      <w:r w:rsidR="002126A9" w:rsidRPr="001D19BF">
        <w:t>and other highly reflective materials</w:t>
      </w:r>
      <w:r w:rsidR="002126A9">
        <w:t xml:space="preserve"> when directing the laser beam.</w:t>
      </w:r>
    </w:p>
    <w:p w:rsidR="002A21AE" w:rsidRDefault="002A21AE" w:rsidP="00FA7E65">
      <w:pPr>
        <w:pStyle w:val="BodyText"/>
      </w:pPr>
      <w:r>
        <w:t xml:space="preserve">To configure a barcode scanner, scan the barcode </w:t>
      </w:r>
      <w:r w:rsidR="007C0D69">
        <w:t xml:space="preserve">in </w:t>
      </w:r>
      <w:r w:rsidR="00E93A51">
        <w:fldChar w:fldCharType="begin"/>
      </w:r>
      <w:r w:rsidR="00E93A51">
        <w:instrText xml:space="preserve"> REF _Ref126728954 \h </w:instrText>
      </w:r>
      <w:r w:rsidR="00E93A51">
        <w:fldChar w:fldCharType="separate"/>
      </w:r>
      <w:r w:rsidR="005F38BC">
        <w:t xml:space="preserve">Figure </w:t>
      </w:r>
      <w:r w:rsidR="005F38BC">
        <w:rPr>
          <w:noProof/>
        </w:rPr>
        <w:t>151</w:t>
      </w:r>
      <w:r w:rsidR="00E93A51">
        <w:fldChar w:fldCharType="end"/>
      </w:r>
      <w:r>
        <w:t>.</w:t>
      </w:r>
      <w:r w:rsidR="002E50AD">
        <w:t xml:space="preserve"> Repeat this process if scanned data are incorrectly displayed on the terminal. Consult the product reference guide or call the </w:t>
      </w:r>
      <w:r w:rsidR="00E551C3">
        <w:t>VA</w:t>
      </w:r>
      <w:r w:rsidR="002E50AD">
        <w:t xml:space="preserve"> </w:t>
      </w:r>
      <w:r w:rsidR="00E551C3">
        <w:t xml:space="preserve">Service </w:t>
      </w:r>
      <w:r w:rsidR="002E50AD">
        <w:t>Desk for further assistance.</w:t>
      </w:r>
    </w:p>
    <w:p w:rsidR="001E3F01" w:rsidRDefault="00584AF9" w:rsidP="00FA7E65">
      <w:pPr>
        <w:pStyle w:val="BodyText"/>
      </w:pPr>
      <w:r>
        <w:t>If your site uses barcode symbology for specimens not covered in these instructions, use the configuration barcodes in the manual included with the scanner.</w:t>
      </w:r>
    </w:p>
    <w:p w:rsidR="002A4F71" w:rsidRDefault="002A4F71" w:rsidP="002A4F71">
      <w:pPr>
        <w:pStyle w:val="Caption"/>
      </w:pPr>
      <w:bookmarkStart w:id="803" w:name="_Ref126728954"/>
      <w:r>
        <w:t xml:space="preserve">Figure </w:t>
      </w:r>
      <w:r w:rsidR="00C17F7C">
        <w:fldChar w:fldCharType="begin"/>
      </w:r>
      <w:r w:rsidR="00C17F7C">
        <w:instrText xml:space="preserve"> SEQ Figure \* ARABIC </w:instrText>
      </w:r>
      <w:r w:rsidR="00C17F7C">
        <w:fldChar w:fldCharType="separate"/>
      </w:r>
      <w:r w:rsidR="005F38BC">
        <w:rPr>
          <w:noProof/>
        </w:rPr>
        <w:t>151</w:t>
      </w:r>
      <w:r w:rsidR="00C17F7C">
        <w:fldChar w:fldCharType="end"/>
      </w:r>
      <w:bookmarkEnd w:id="803"/>
      <w:r>
        <w:t>: Barcode Scanner Configuration</w:t>
      </w:r>
    </w:p>
    <w:p w:rsidR="00DD2CF2" w:rsidRPr="00DD2CF2" w:rsidRDefault="00634BFC" w:rsidP="00DD2CF2">
      <w:pPr>
        <w:pStyle w:val="BodyText"/>
        <w:sectPr w:rsidR="00DD2CF2" w:rsidRPr="00DD2CF2" w:rsidSect="00EF717F">
          <w:footerReference w:type="default" r:id="rId273"/>
          <w:pgSz w:w="12240" w:h="15840" w:code="1"/>
          <w:pgMar w:top="1440" w:right="1440" w:bottom="1440" w:left="1440" w:header="720" w:footer="720" w:gutter="0"/>
          <w:cols w:space="720"/>
          <w:docGrid w:linePitch="360"/>
        </w:sectPr>
      </w:pPr>
      <w:bookmarkStart w:id="804" w:name="_Toc97523648"/>
      <w:bookmarkStart w:id="805" w:name="_Toc97527618"/>
      <w:r>
        <w:rPr>
          <w:noProof/>
        </w:rPr>
        <w:drawing>
          <wp:inline distT="0" distB="0" distL="0" distR="0">
            <wp:extent cx="914400" cy="885825"/>
            <wp:effectExtent l="0" t="0" r="0"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914400" cy="885825"/>
                    </a:xfrm>
                    <a:prstGeom prst="rect">
                      <a:avLst/>
                    </a:prstGeom>
                    <a:noFill/>
                    <a:ln>
                      <a:noFill/>
                    </a:ln>
                  </pic:spPr>
                </pic:pic>
              </a:graphicData>
            </a:graphic>
          </wp:inline>
        </w:drawing>
      </w:r>
    </w:p>
    <w:bookmarkEnd w:id="804"/>
    <w:bookmarkEnd w:id="805"/>
    <w:p w:rsidR="00DF1B1E" w:rsidRDefault="00DF1B1E" w:rsidP="00DF1B1E">
      <w:pPr>
        <w:pStyle w:val="BodyText"/>
        <w:jc w:val="center"/>
      </w:pPr>
      <w:r>
        <w:lastRenderedPageBreak/>
        <w:t>This page intentionally left blank.</w:t>
      </w:r>
    </w:p>
    <w:p w:rsidR="00F47160" w:rsidRDefault="00DF1B1E" w:rsidP="00FB5E31">
      <w:pPr>
        <w:pStyle w:val="Heading2"/>
      </w:pPr>
      <w:r>
        <w:br w:type="page"/>
      </w:r>
      <w:bookmarkStart w:id="806" w:name="_Ref170005123"/>
      <w:bookmarkStart w:id="807" w:name="_Toc459900248"/>
      <w:r w:rsidR="00F47160">
        <w:lastRenderedPageBreak/>
        <w:t xml:space="preserve">Appendix </w:t>
      </w:r>
      <w:r w:rsidR="00F47160">
        <w:fldChar w:fldCharType="begin"/>
      </w:r>
      <w:r w:rsidR="00F47160">
        <w:instrText xml:space="preserve"> SEQ Appendix \* ALPHABETIC </w:instrText>
      </w:r>
      <w:r w:rsidR="00F47160">
        <w:fldChar w:fldCharType="separate"/>
      </w:r>
      <w:r w:rsidR="005F38BC">
        <w:rPr>
          <w:noProof/>
        </w:rPr>
        <w:t>L</w:t>
      </w:r>
      <w:r w:rsidR="00F47160">
        <w:fldChar w:fldCharType="end"/>
      </w:r>
      <w:bookmarkEnd w:id="806"/>
      <w:r w:rsidR="00F47160">
        <w:t xml:space="preserve">: </w:t>
      </w:r>
      <w:r w:rsidR="00441C53">
        <w:t xml:space="preserve">United Blood Services (UBS) </w:t>
      </w:r>
      <w:r w:rsidR="00F47160">
        <w:t>Facility Barcodes</w:t>
      </w:r>
      <w:bookmarkEnd w:id="807"/>
      <w:r w:rsidR="00441C53">
        <w:fldChar w:fldCharType="begin"/>
      </w:r>
      <w:r w:rsidR="00441C53">
        <w:instrText xml:space="preserve"> XE </w:instrText>
      </w:r>
      <w:r w:rsidR="00FA7E65">
        <w:instrText>“</w:instrText>
      </w:r>
      <w:r w:rsidR="00441C53" w:rsidRPr="00061FD7">
        <w:instrText>United Blood Services (UBS) Facility Barcodes</w:instrText>
      </w:r>
      <w:r w:rsidR="00FA7E65">
        <w:instrText>”</w:instrText>
      </w:r>
      <w:r w:rsidR="00441C53">
        <w:instrText xml:space="preserve"> </w:instrText>
      </w:r>
      <w:r w:rsidR="00441C53">
        <w:fldChar w:fldCharType="end"/>
      </w:r>
    </w:p>
    <w:p w:rsidR="00F12D69" w:rsidRDefault="00AA14D7" w:rsidP="00C91926">
      <w:pPr>
        <w:pStyle w:val="BodyText"/>
        <w:sectPr w:rsidR="00F12D69" w:rsidSect="00441D44">
          <w:pgSz w:w="12240" w:h="15840" w:code="1"/>
          <w:pgMar w:top="1440" w:right="1440" w:bottom="1440" w:left="1440" w:header="720" w:footer="720" w:gutter="0"/>
          <w:cols w:space="720"/>
          <w:docGrid w:linePitch="360"/>
        </w:sectPr>
      </w:pPr>
      <w:r>
        <w:t xml:space="preserve">The </w:t>
      </w:r>
      <w:r w:rsidR="00000A27">
        <w:t>FDA Registration Number</w:t>
      </w:r>
      <w:r>
        <w:t xml:space="preserve"> barcode</w:t>
      </w:r>
      <w:r w:rsidR="00893F52">
        <w:t xml:space="preserve"> on blood unit bags </w:t>
      </w:r>
      <w:r w:rsidR="00000A27">
        <w:t>is</w:t>
      </w:r>
      <w:r w:rsidR="00893F52">
        <w:t xml:space="preserve"> specific to</w:t>
      </w:r>
      <w:r>
        <w:t xml:space="preserve"> Scottsdale. </w:t>
      </w:r>
      <w:r w:rsidR="00C91926">
        <w:t xml:space="preserve">When a facility receives blood units from </w:t>
      </w:r>
      <w:r w:rsidR="00000A27">
        <w:t>a UBS blood center other than Scottsdale</w:t>
      </w:r>
      <w:r w:rsidR="00C91926">
        <w:t>, scan the corresponding barcode in the FDA Registration Number field to</w:t>
      </w:r>
      <w:r w:rsidR="00893F52">
        <w:t xml:space="preserve"> record the appropriate</w:t>
      </w:r>
      <w:r w:rsidR="00C91926">
        <w:t xml:space="preserve"> information.</w:t>
      </w:r>
    </w:p>
    <w:p w:rsidR="00F12D69" w:rsidRPr="0062218F" w:rsidRDefault="00F12D69" w:rsidP="00F12D69">
      <w:pPr>
        <w:pStyle w:val="Caption"/>
      </w:pPr>
      <w:r w:rsidRPr="0062218F">
        <w:lastRenderedPageBreak/>
        <w:t>Albuquerque (1671462)</w:t>
      </w:r>
    </w:p>
    <w:p w:rsidR="00F12D69" w:rsidRPr="0062218F" w:rsidRDefault="00634BFC" w:rsidP="00F12D69">
      <w:pPr>
        <w:rPr>
          <w:color w:val="FF6600"/>
        </w:rPr>
      </w:pPr>
      <w:r>
        <w:rPr>
          <w:noProof/>
        </w:rPr>
        <w:drawing>
          <wp:inline distT="0" distB="0" distL="0" distR="0">
            <wp:extent cx="2733675" cy="361950"/>
            <wp:effectExtent l="0" t="0" r="9525" b="0"/>
            <wp:docPr id="274" name="Image1" descr="i77548500069200514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i775485000692005142937"/>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733675" cy="361950"/>
                    </a:xfrm>
                    <a:prstGeom prst="rect">
                      <a:avLst/>
                    </a:prstGeom>
                    <a:noFill/>
                    <a:ln>
                      <a:noFill/>
                    </a:ln>
                  </pic:spPr>
                </pic:pic>
              </a:graphicData>
            </a:graphic>
          </wp:inline>
        </w:drawing>
      </w:r>
    </w:p>
    <w:p w:rsidR="00F12D69" w:rsidRPr="0062218F" w:rsidRDefault="00F12D69" w:rsidP="00F12D69">
      <w:pPr>
        <w:pStyle w:val="BodyText"/>
        <w:rPr>
          <w:color w:val="FF6600"/>
        </w:rPr>
      </w:pPr>
    </w:p>
    <w:p w:rsidR="00F12D69" w:rsidRPr="0062218F" w:rsidRDefault="00F12D69" w:rsidP="00F12D69">
      <w:pPr>
        <w:pStyle w:val="Caption"/>
      </w:pPr>
      <w:r w:rsidRPr="0062218F">
        <w:t>Billings (1771461)</w:t>
      </w:r>
    </w:p>
    <w:p w:rsidR="00F12D69" w:rsidRPr="0062218F" w:rsidRDefault="00634BFC" w:rsidP="00F12D69">
      <w:pPr>
        <w:rPr>
          <w:color w:val="FF6600"/>
        </w:rPr>
      </w:pPr>
      <w:r>
        <w:rPr>
          <w:noProof/>
        </w:rPr>
        <w:drawing>
          <wp:inline distT="0" distB="0" distL="0" distR="0">
            <wp:extent cx="2733675" cy="361950"/>
            <wp:effectExtent l="0" t="0" r="9525" b="0"/>
            <wp:docPr id="275" name="Image1" descr="i77548500069200514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i775485000692005142647"/>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733675" cy="361950"/>
                    </a:xfrm>
                    <a:prstGeom prst="rect">
                      <a:avLst/>
                    </a:prstGeom>
                    <a:noFill/>
                    <a:ln>
                      <a:noFill/>
                    </a:ln>
                  </pic:spPr>
                </pic:pic>
              </a:graphicData>
            </a:graphic>
          </wp:inline>
        </w:drawing>
      </w:r>
    </w:p>
    <w:p w:rsidR="00F12D69" w:rsidRPr="0062218F" w:rsidRDefault="00F12D69" w:rsidP="00F12D69">
      <w:pPr>
        <w:pStyle w:val="BodyText"/>
        <w:rPr>
          <w:color w:val="FF6600"/>
        </w:rPr>
      </w:pPr>
    </w:p>
    <w:p w:rsidR="00F12D69" w:rsidRPr="0062218F" w:rsidRDefault="00F12D69" w:rsidP="00F12D69">
      <w:pPr>
        <w:pStyle w:val="Caption"/>
      </w:pPr>
      <w:r w:rsidRPr="0062218F">
        <w:t>Bismarck (1776389)</w:t>
      </w:r>
    </w:p>
    <w:p w:rsidR="00F12D69" w:rsidRPr="0062218F" w:rsidRDefault="00634BFC" w:rsidP="00F12D69">
      <w:pPr>
        <w:rPr>
          <w:color w:val="FF6600"/>
        </w:rPr>
      </w:pPr>
      <w:r>
        <w:rPr>
          <w:rFonts w:ascii="Verdana" w:hAnsi="Verdana"/>
          <w:noProof/>
          <w:color w:val="4C4C4C"/>
          <w:sz w:val="17"/>
          <w:szCs w:val="17"/>
        </w:rPr>
        <w:drawing>
          <wp:inline distT="0" distB="0" distL="0" distR="0">
            <wp:extent cx="2733675" cy="361950"/>
            <wp:effectExtent l="0" t="0" r="9525" b="0"/>
            <wp:docPr id="276" name="Image1" descr="i7754850006920051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i77548500069200514959"/>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733675" cy="361950"/>
                    </a:xfrm>
                    <a:prstGeom prst="rect">
                      <a:avLst/>
                    </a:prstGeom>
                    <a:noFill/>
                    <a:ln>
                      <a:noFill/>
                    </a:ln>
                  </pic:spPr>
                </pic:pic>
              </a:graphicData>
            </a:graphic>
          </wp:inline>
        </w:drawing>
      </w:r>
    </w:p>
    <w:p w:rsidR="00F12D69" w:rsidRPr="0062218F" w:rsidRDefault="00F12D69" w:rsidP="00F12D69">
      <w:pPr>
        <w:pStyle w:val="BodyText"/>
        <w:rPr>
          <w:color w:val="FF6600"/>
        </w:rPr>
      </w:pPr>
    </w:p>
    <w:p w:rsidR="00F12D69" w:rsidRPr="00752B7A" w:rsidRDefault="00F12D69" w:rsidP="00F12D69">
      <w:pPr>
        <w:pStyle w:val="Caption"/>
      </w:pPr>
      <w:r w:rsidRPr="00752B7A">
        <w:t>El Paso (1671451)</w:t>
      </w:r>
    </w:p>
    <w:p w:rsidR="00F12D69" w:rsidRPr="0062218F" w:rsidRDefault="00634BFC" w:rsidP="00F12D69">
      <w:pPr>
        <w:keepNext/>
        <w:rPr>
          <w:rFonts w:ascii="Courier New" w:hAnsi="Courier New"/>
          <w:color w:val="FF6600"/>
          <w:sz w:val="17"/>
          <w:szCs w:val="17"/>
        </w:rPr>
      </w:pPr>
      <w:r>
        <w:rPr>
          <w:rFonts w:ascii="Verdana" w:hAnsi="Verdana"/>
          <w:noProof/>
          <w:color w:val="4C4C4C"/>
          <w:sz w:val="17"/>
          <w:szCs w:val="17"/>
        </w:rPr>
        <w:drawing>
          <wp:inline distT="0" distB="0" distL="0" distR="0">
            <wp:extent cx="2733675" cy="361950"/>
            <wp:effectExtent l="0" t="0" r="9525" b="0"/>
            <wp:docPr id="277" name="Image1" descr="i77548500069200514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i775485000692005143224"/>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733675" cy="361950"/>
                    </a:xfrm>
                    <a:prstGeom prst="rect">
                      <a:avLst/>
                    </a:prstGeom>
                    <a:noFill/>
                    <a:ln>
                      <a:noFill/>
                    </a:ln>
                  </pic:spPr>
                </pic:pic>
              </a:graphicData>
            </a:graphic>
          </wp:inline>
        </w:drawing>
      </w:r>
    </w:p>
    <w:p w:rsidR="00F12D69" w:rsidRPr="0062218F" w:rsidRDefault="00F12D69" w:rsidP="00F12D69">
      <w:pPr>
        <w:pStyle w:val="BodyText"/>
        <w:rPr>
          <w:color w:val="FF6600"/>
        </w:rPr>
      </w:pPr>
    </w:p>
    <w:p w:rsidR="00F12D69" w:rsidRPr="00752B7A" w:rsidRDefault="00F12D69" w:rsidP="00F12D69">
      <w:pPr>
        <w:pStyle w:val="Caption"/>
      </w:pPr>
      <w:r w:rsidRPr="00752B7A">
        <w:t>Cheyenne (1771470)</w:t>
      </w:r>
    </w:p>
    <w:p w:rsidR="00F12D69" w:rsidRPr="0062218F" w:rsidRDefault="00634BFC" w:rsidP="00F12D69">
      <w:pPr>
        <w:rPr>
          <w:rFonts w:ascii="Courier New" w:hAnsi="Courier New"/>
          <w:color w:val="FF6600"/>
          <w:sz w:val="17"/>
          <w:szCs w:val="17"/>
        </w:rPr>
      </w:pPr>
      <w:r>
        <w:rPr>
          <w:rFonts w:ascii="Verdana" w:hAnsi="Verdana"/>
          <w:noProof/>
          <w:color w:val="4C4C4C"/>
          <w:sz w:val="17"/>
          <w:szCs w:val="17"/>
        </w:rPr>
        <w:drawing>
          <wp:inline distT="0" distB="0" distL="0" distR="0">
            <wp:extent cx="2733675" cy="361950"/>
            <wp:effectExtent l="0" t="0" r="9525" b="0"/>
            <wp:docPr id="278" name="Image1" descr="i77548500069200514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i775485000692005143455"/>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2733675" cy="361950"/>
                    </a:xfrm>
                    <a:prstGeom prst="rect">
                      <a:avLst/>
                    </a:prstGeom>
                    <a:noFill/>
                    <a:ln>
                      <a:noFill/>
                    </a:ln>
                  </pic:spPr>
                </pic:pic>
              </a:graphicData>
            </a:graphic>
          </wp:inline>
        </w:drawing>
      </w:r>
    </w:p>
    <w:p w:rsidR="00F12D69" w:rsidRPr="0062218F" w:rsidRDefault="00F12D69" w:rsidP="00F12D69">
      <w:pPr>
        <w:pStyle w:val="BodyText"/>
        <w:rPr>
          <w:color w:val="FF6600"/>
        </w:rPr>
      </w:pPr>
    </w:p>
    <w:p w:rsidR="00F12D69" w:rsidRPr="0062218F" w:rsidRDefault="00F12D69" w:rsidP="00F12D69">
      <w:pPr>
        <w:pStyle w:val="Caption"/>
      </w:pPr>
      <w:r w:rsidRPr="0062218F">
        <w:t>Ft. Smith (2371453)</w:t>
      </w:r>
    </w:p>
    <w:p w:rsidR="00F12D69" w:rsidRPr="0062218F" w:rsidRDefault="00634BFC" w:rsidP="00F12D69">
      <w:pPr>
        <w:rPr>
          <w:rFonts w:ascii="Courier New" w:hAnsi="Courier New"/>
          <w:color w:val="FF6600"/>
        </w:rPr>
      </w:pPr>
      <w:r>
        <w:rPr>
          <w:rFonts w:ascii="Verdana" w:hAnsi="Verdana"/>
          <w:noProof/>
          <w:color w:val="4C4C4C"/>
          <w:sz w:val="17"/>
          <w:szCs w:val="17"/>
        </w:rPr>
        <w:drawing>
          <wp:inline distT="0" distB="0" distL="0" distR="0">
            <wp:extent cx="2733675" cy="361950"/>
            <wp:effectExtent l="0" t="0" r="9525" b="0"/>
            <wp:docPr id="279" name="Image1" descr="i77548500069200514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i775485000692005142334"/>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733675" cy="361950"/>
                    </a:xfrm>
                    <a:prstGeom prst="rect">
                      <a:avLst/>
                    </a:prstGeom>
                    <a:noFill/>
                    <a:ln>
                      <a:noFill/>
                    </a:ln>
                  </pic:spPr>
                </pic:pic>
              </a:graphicData>
            </a:graphic>
          </wp:inline>
        </w:drawing>
      </w:r>
    </w:p>
    <w:p w:rsidR="00F12D69" w:rsidRPr="0062218F" w:rsidRDefault="00F12D69" w:rsidP="00F12D69">
      <w:pPr>
        <w:pStyle w:val="BodyText"/>
        <w:rPr>
          <w:color w:val="FF6600"/>
        </w:rPr>
      </w:pPr>
    </w:p>
    <w:p w:rsidR="00F12D69" w:rsidRPr="0062218F" w:rsidRDefault="00F12D69" w:rsidP="00F12D69">
      <w:pPr>
        <w:pStyle w:val="Caption"/>
      </w:pPr>
      <w:r w:rsidRPr="0062218F">
        <w:t>Lafayette (2371456)</w:t>
      </w:r>
    </w:p>
    <w:p w:rsidR="00F12D69" w:rsidRPr="0062218F" w:rsidRDefault="00634BFC" w:rsidP="00F12D69">
      <w:pPr>
        <w:rPr>
          <w:rFonts w:ascii="Courier New" w:hAnsi="Courier New"/>
          <w:color w:val="FF6600"/>
          <w:sz w:val="17"/>
          <w:szCs w:val="17"/>
        </w:rPr>
      </w:pPr>
      <w:r>
        <w:rPr>
          <w:rFonts w:ascii="Verdana" w:hAnsi="Verdana"/>
          <w:noProof/>
          <w:color w:val="4C4C4C"/>
          <w:sz w:val="17"/>
          <w:szCs w:val="17"/>
        </w:rPr>
        <w:drawing>
          <wp:inline distT="0" distB="0" distL="0" distR="0">
            <wp:extent cx="2733675" cy="361950"/>
            <wp:effectExtent l="0" t="0" r="9525" b="0"/>
            <wp:docPr id="280" name="Image1" descr="i7754850006920051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i77548500069200514253"/>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733675" cy="361950"/>
                    </a:xfrm>
                    <a:prstGeom prst="rect">
                      <a:avLst/>
                    </a:prstGeom>
                    <a:noFill/>
                    <a:ln>
                      <a:noFill/>
                    </a:ln>
                  </pic:spPr>
                </pic:pic>
              </a:graphicData>
            </a:graphic>
          </wp:inline>
        </w:drawing>
      </w:r>
    </w:p>
    <w:p w:rsidR="00F12D69" w:rsidRDefault="00F12D69" w:rsidP="00F12D69">
      <w:pPr>
        <w:pStyle w:val="BodyText"/>
        <w:rPr>
          <w:color w:val="FF6600"/>
        </w:rPr>
      </w:pPr>
    </w:p>
    <w:p w:rsidR="00F12D69" w:rsidRPr="00752B7A" w:rsidRDefault="00F12D69" w:rsidP="00F12D69">
      <w:pPr>
        <w:pStyle w:val="Caption"/>
      </w:pPr>
      <w:r w:rsidRPr="00752B7A">
        <w:lastRenderedPageBreak/>
        <w:t>Las Vegas (2971457)</w:t>
      </w:r>
    </w:p>
    <w:p w:rsidR="00F12D69" w:rsidRPr="0062218F" w:rsidRDefault="00634BFC" w:rsidP="00F12D69">
      <w:pPr>
        <w:pStyle w:val="BodyText"/>
        <w:rPr>
          <w:color w:val="FF6600"/>
        </w:rPr>
      </w:pPr>
      <w:r>
        <w:rPr>
          <w:rFonts w:ascii="Verdana" w:hAnsi="Verdana"/>
          <w:noProof/>
          <w:color w:val="4C4C4C"/>
          <w:sz w:val="17"/>
          <w:szCs w:val="17"/>
        </w:rPr>
        <w:drawing>
          <wp:inline distT="0" distB="0" distL="0" distR="0">
            <wp:extent cx="2733675" cy="361950"/>
            <wp:effectExtent l="0" t="0" r="9525" b="0"/>
            <wp:docPr id="281" name="Image1" descr="i77548500069200514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i775485000692005143044"/>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733675" cy="361950"/>
                    </a:xfrm>
                    <a:prstGeom prst="rect">
                      <a:avLst/>
                    </a:prstGeom>
                    <a:noFill/>
                    <a:ln>
                      <a:noFill/>
                    </a:ln>
                  </pic:spPr>
                </pic:pic>
              </a:graphicData>
            </a:graphic>
          </wp:inline>
        </w:drawing>
      </w:r>
    </w:p>
    <w:p w:rsidR="00F12D69" w:rsidRPr="00752B7A" w:rsidRDefault="00F12D69" w:rsidP="00F12D69">
      <w:pPr>
        <w:pStyle w:val="Caption"/>
      </w:pPr>
      <w:r>
        <w:br w:type="column"/>
      </w:r>
      <w:r w:rsidRPr="0062218F">
        <w:lastRenderedPageBreak/>
        <w:t xml:space="preserve"> </w:t>
      </w:r>
      <w:r w:rsidRPr="00752B7A">
        <w:t>Lubbock (1671458)</w:t>
      </w:r>
    </w:p>
    <w:p w:rsidR="00F12D69" w:rsidRPr="0062218F" w:rsidRDefault="00634BFC" w:rsidP="00F12D69">
      <w:pPr>
        <w:rPr>
          <w:rFonts w:ascii="Courier New" w:hAnsi="Courier New"/>
          <w:color w:val="FF6600"/>
          <w:sz w:val="17"/>
          <w:szCs w:val="17"/>
        </w:rPr>
      </w:pPr>
      <w:r>
        <w:rPr>
          <w:rFonts w:ascii="Verdana" w:hAnsi="Verdana"/>
          <w:noProof/>
          <w:color w:val="4C4C4C"/>
          <w:sz w:val="17"/>
          <w:szCs w:val="17"/>
        </w:rPr>
        <w:drawing>
          <wp:inline distT="0" distB="0" distL="0" distR="0">
            <wp:extent cx="2733675" cy="361950"/>
            <wp:effectExtent l="0" t="0" r="9525" b="0"/>
            <wp:docPr id="282" name="Image1" descr="i77548500069200514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i775485000692005143322"/>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2733675" cy="361950"/>
                    </a:xfrm>
                    <a:prstGeom prst="rect">
                      <a:avLst/>
                    </a:prstGeom>
                    <a:noFill/>
                    <a:ln>
                      <a:noFill/>
                    </a:ln>
                  </pic:spPr>
                </pic:pic>
              </a:graphicData>
            </a:graphic>
          </wp:inline>
        </w:drawing>
      </w:r>
    </w:p>
    <w:p w:rsidR="00F12D69" w:rsidRPr="0062218F" w:rsidRDefault="00F12D69" w:rsidP="00F12D69">
      <w:pPr>
        <w:pStyle w:val="BodyText"/>
        <w:rPr>
          <w:color w:val="FF6600"/>
        </w:rPr>
      </w:pPr>
    </w:p>
    <w:p w:rsidR="00F12D69" w:rsidRPr="00752B7A" w:rsidRDefault="00F12D69" w:rsidP="00F12D69">
      <w:pPr>
        <w:pStyle w:val="Caption"/>
      </w:pPr>
      <w:r w:rsidRPr="00752B7A">
        <w:t>McAllen (1671454)</w:t>
      </w:r>
    </w:p>
    <w:p w:rsidR="00F12D69" w:rsidRPr="0062218F" w:rsidRDefault="00634BFC" w:rsidP="00F12D69">
      <w:pPr>
        <w:rPr>
          <w:rFonts w:ascii="Courier New" w:hAnsi="Courier New"/>
          <w:color w:val="FF6600"/>
          <w:sz w:val="17"/>
          <w:szCs w:val="17"/>
        </w:rPr>
      </w:pPr>
      <w:r>
        <w:rPr>
          <w:rFonts w:ascii="Verdana" w:hAnsi="Verdana"/>
          <w:noProof/>
          <w:color w:val="4C4C4C"/>
          <w:sz w:val="17"/>
          <w:szCs w:val="17"/>
        </w:rPr>
        <w:drawing>
          <wp:inline distT="0" distB="0" distL="0" distR="0">
            <wp:extent cx="2733675" cy="361950"/>
            <wp:effectExtent l="0" t="0" r="9525" b="0"/>
            <wp:docPr id="283" name="Image1" descr="i775485000692005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i77548500069200514348"/>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2733675" cy="361950"/>
                    </a:xfrm>
                    <a:prstGeom prst="rect">
                      <a:avLst/>
                    </a:prstGeom>
                    <a:noFill/>
                    <a:ln>
                      <a:noFill/>
                    </a:ln>
                  </pic:spPr>
                </pic:pic>
              </a:graphicData>
            </a:graphic>
          </wp:inline>
        </w:drawing>
      </w:r>
    </w:p>
    <w:p w:rsidR="00F12D69" w:rsidRPr="0062218F" w:rsidRDefault="00F12D69" w:rsidP="00F12D69">
      <w:pPr>
        <w:pStyle w:val="BodyText"/>
        <w:rPr>
          <w:color w:val="FF6600"/>
        </w:rPr>
      </w:pPr>
    </w:p>
    <w:p w:rsidR="00F12D69" w:rsidRPr="0062218F" w:rsidRDefault="00F12D69" w:rsidP="00F12D69">
      <w:pPr>
        <w:pStyle w:val="Caption"/>
      </w:pPr>
      <w:r w:rsidRPr="0062218F">
        <w:t>Meridian (1071460)</w:t>
      </w:r>
    </w:p>
    <w:p w:rsidR="00F12D69" w:rsidRPr="0062218F" w:rsidRDefault="00634BFC" w:rsidP="00F12D69">
      <w:pPr>
        <w:rPr>
          <w:rFonts w:ascii="Courier New" w:hAnsi="Courier New"/>
          <w:color w:val="FF6600"/>
          <w:sz w:val="17"/>
          <w:szCs w:val="17"/>
        </w:rPr>
      </w:pPr>
      <w:r>
        <w:rPr>
          <w:rFonts w:ascii="Verdana" w:hAnsi="Verdana"/>
          <w:noProof/>
          <w:color w:val="4C4C4C"/>
          <w:sz w:val="17"/>
          <w:szCs w:val="17"/>
        </w:rPr>
        <w:drawing>
          <wp:inline distT="0" distB="0" distL="0" distR="0">
            <wp:extent cx="2733675" cy="361950"/>
            <wp:effectExtent l="0" t="0" r="9525" b="0"/>
            <wp:docPr id="284" name="Image1" descr="i77548500069200514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i775485000692005142538"/>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733675" cy="361950"/>
                    </a:xfrm>
                    <a:prstGeom prst="rect">
                      <a:avLst/>
                    </a:prstGeom>
                    <a:noFill/>
                    <a:ln>
                      <a:noFill/>
                    </a:ln>
                  </pic:spPr>
                </pic:pic>
              </a:graphicData>
            </a:graphic>
          </wp:inline>
        </w:drawing>
      </w:r>
    </w:p>
    <w:p w:rsidR="00F12D69" w:rsidRPr="0062218F" w:rsidRDefault="00F12D69" w:rsidP="00F12D69">
      <w:pPr>
        <w:pStyle w:val="BodyText"/>
        <w:rPr>
          <w:color w:val="FF6600"/>
        </w:rPr>
      </w:pPr>
    </w:p>
    <w:p w:rsidR="00F12D69" w:rsidRPr="00752B7A" w:rsidRDefault="00F12D69" w:rsidP="00F12D69">
      <w:pPr>
        <w:pStyle w:val="Caption"/>
      </w:pPr>
      <w:r w:rsidRPr="00752B7A">
        <w:t>Rapid City (1771468)</w:t>
      </w:r>
    </w:p>
    <w:p w:rsidR="00F12D69" w:rsidRPr="0062218F" w:rsidRDefault="00634BFC" w:rsidP="00F12D69">
      <w:pPr>
        <w:rPr>
          <w:rFonts w:ascii="Courier New" w:hAnsi="Courier New"/>
          <w:color w:val="FF6600"/>
          <w:sz w:val="17"/>
          <w:szCs w:val="17"/>
        </w:rPr>
      </w:pPr>
      <w:r>
        <w:rPr>
          <w:rFonts w:ascii="Verdana" w:hAnsi="Verdana"/>
          <w:noProof/>
          <w:color w:val="4C4C4C"/>
          <w:sz w:val="17"/>
          <w:szCs w:val="17"/>
        </w:rPr>
        <w:drawing>
          <wp:inline distT="0" distB="0" distL="0" distR="0">
            <wp:extent cx="2733675" cy="361950"/>
            <wp:effectExtent l="0" t="0" r="9525" b="0"/>
            <wp:docPr id="285" name="Image1" descr="i77548500069200514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i775485000692005143155"/>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733675" cy="361950"/>
                    </a:xfrm>
                    <a:prstGeom prst="rect">
                      <a:avLst/>
                    </a:prstGeom>
                    <a:noFill/>
                    <a:ln>
                      <a:noFill/>
                    </a:ln>
                  </pic:spPr>
                </pic:pic>
              </a:graphicData>
            </a:graphic>
          </wp:inline>
        </w:drawing>
      </w:r>
    </w:p>
    <w:p w:rsidR="00F12D69" w:rsidRPr="0062218F" w:rsidRDefault="00F12D69" w:rsidP="00F12D69">
      <w:pPr>
        <w:pStyle w:val="BodyText"/>
        <w:rPr>
          <w:color w:val="FF6600"/>
        </w:rPr>
      </w:pPr>
    </w:p>
    <w:p w:rsidR="00F12D69" w:rsidRPr="00752B7A" w:rsidRDefault="00F12D69" w:rsidP="00F12D69">
      <w:pPr>
        <w:pStyle w:val="Caption"/>
      </w:pPr>
      <w:r w:rsidRPr="00752B7A">
        <w:t>Reno (2971465)</w:t>
      </w:r>
    </w:p>
    <w:p w:rsidR="00F12D69" w:rsidRPr="0062218F" w:rsidRDefault="00634BFC" w:rsidP="00F12D69">
      <w:pPr>
        <w:rPr>
          <w:rFonts w:ascii="Courier New" w:hAnsi="Courier New"/>
          <w:color w:val="FF6600"/>
          <w:sz w:val="17"/>
          <w:szCs w:val="17"/>
        </w:rPr>
      </w:pPr>
      <w:r>
        <w:rPr>
          <w:rFonts w:ascii="Verdana" w:hAnsi="Verdana"/>
          <w:noProof/>
          <w:color w:val="4C4C4C"/>
          <w:sz w:val="17"/>
          <w:szCs w:val="17"/>
        </w:rPr>
        <w:drawing>
          <wp:inline distT="0" distB="0" distL="0" distR="0">
            <wp:extent cx="2733675" cy="361950"/>
            <wp:effectExtent l="0" t="0" r="9525" b="0"/>
            <wp:docPr id="286" name="Image1" descr="i77548500069200514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i775485000692005143116"/>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733675" cy="361950"/>
                    </a:xfrm>
                    <a:prstGeom prst="rect">
                      <a:avLst/>
                    </a:prstGeom>
                    <a:noFill/>
                    <a:ln>
                      <a:noFill/>
                    </a:ln>
                  </pic:spPr>
                </pic:pic>
              </a:graphicData>
            </a:graphic>
          </wp:inline>
        </w:drawing>
      </w:r>
    </w:p>
    <w:p w:rsidR="00F12D69" w:rsidRPr="0062218F" w:rsidRDefault="00F12D69" w:rsidP="00F12D69">
      <w:pPr>
        <w:pStyle w:val="BodyText"/>
        <w:rPr>
          <w:color w:val="FF6600"/>
        </w:rPr>
      </w:pPr>
    </w:p>
    <w:p w:rsidR="00F12D69" w:rsidRPr="0062218F" w:rsidRDefault="00F12D69" w:rsidP="00F12D69">
      <w:pPr>
        <w:pStyle w:val="Caption"/>
      </w:pPr>
      <w:r w:rsidRPr="0062218F">
        <w:t>Tupelo (1044534)</w:t>
      </w:r>
    </w:p>
    <w:p w:rsidR="00F12D69" w:rsidRPr="0062218F" w:rsidRDefault="00634BFC" w:rsidP="00F12D69">
      <w:pPr>
        <w:rPr>
          <w:rFonts w:ascii="Courier New" w:hAnsi="Courier New"/>
          <w:color w:val="FF6600"/>
          <w:sz w:val="17"/>
          <w:szCs w:val="17"/>
        </w:rPr>
      </w:pPr>
      <w:r>
        <w:rPr>
          <w:rFonts w:ascii="Verdana" w:hAnsi="Verdana"/>
          <w:noProof/>
          <w:color w:val="4C4C4C"/>
          <w:sz w:val="17"/>
          <w:szCs w:val="17"/>
        </w:rPr>
        <w:drawing>
          <wp:inline distT="0" distB="0" distL="0" distR="0">
            <wp:extent cx="2733675" cy="361950"/>
            <wp:effectExtent l="0" t="0" r="9525" b="0"/>
            <wp:docPr id="287" name="Image1" descr="i77548500069200514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i775485000692005142613"/>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733675" cy="361950"/>
                    </a:xfrm>
                    <a:prstGeom prst="rect">
                      <a:avLst/>
                    </a:prstGeom>
                    <a:noFill/>
                    <a:ln>
                      <a:noFill/>
                    </a:ln>
                  </pic:spPr>
                </pic:pic>
              </a:graphicData>
            </a:graphic>
          </wp:inline>
        </w:drawing>
      </w:r>
    </w:p>
    <w:p w:rsidR="00F12D69" w:rsidRPr="0062218F" w:rsidRDefault="00F12D69" w:rsidP="00F12D69">
      <w:pPr>
        <w:pStyle w:val="BodyText"/>
        <w:rPr>
          <w:color w:val="FF6600"/>
        </w:rPr>
      </w:pPr>
    </w:p>
    <w:p w:rsidR="00F12D69" w:rsidRPr="003D7296" w:rsidRDefault="00F12D69" w:rsidP="00F12D69">
      <w:pPr>
        <w:pStyle w:val="Caption"/>
      </w:pPr>
      <w:r w:rsidRPr="003D7296">
        <w:t>Ventura (2077574)</w:t>
      </w:r>
    </w:p>
    <w:p w:rsidR="001C3305" w:rsidRDefault="00634BFC" w:rsidP="00C91926">
      <w:pPr>
        <w:pStyle w:val="BodyText"/>
        <w:sectPr w:rsidR="001C3305" w:rsidSect="00EE771C">
          <w:type w:val="continuous"/>
          <w:pgSz w:w="12240" w:h="15840" w:code="1"/>
          <w:pgMar w:top="1440" w:right="1440" w:bottom="1440" w:left="1440" w:header="720" w:footer="720" w:gutter="0"/>
          <w:cols w:num="2" w:space="720"/>
          <w:docGrid w:linePitch="360"/>
        </w:sectPr>
      </w:pPr>
      <w:r>
        <w:rPr>
          <w:rFonts w:ascii="Verdana" w:hAnsi="Verdana"/>
          <w:noProof/>
          <w:color w:val="4C4C4C"/>
          <w:sz w:val="17"/>
          <w:szCs w:val="17"/>
        </w:rPr>
        <w:drawing>
          <wp:inline distT="0" distB="0" distL="0" distR="0">
            <wp:extent cx="2733675" cy="361950"/>
            <wp:effectExtent l="0" t="0" r="9525" b="0"/>
            <wp:docPr id="288" name="Image1" descr="i7754852096920051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i77548520969200515755"/>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2733675" cy="361950"/>
                    </a:xfrm>
                    <a:prstGeom prst="rect">
                      <a:avLst/>
                    </a:prstGeom>
                    <a:noFill/>
                    <a:ln>
                      <a:noFill/>
                    </a:ln>
                  </pic:spPr>
                </pic:pic>
              </a:graphicData>
            </a:graphic>
          </wp:inline>
        </w:drawing>
      </w:r>
    </w:p>
    <w:p w:rsidR="0050722E" w:rsidRDefault="0050722E" w:rsidP="00F22C7B">
      <w:pPr>
        <w:pStyle w:val="Heading2"/>
      </w:pPr>
    </w:p>
    <w:p w:rsidR="0050722E" w:rsidRDefault="0050722E" w:rsidP="002F7D16">
      <w:pPr>
        <w:pStyle w:val="TableText"/>
      </w:pPr>
    </w:p>
    <w:p w:rsidR="0050722E" w:rsidRDefault="0050722E" w:rsidP="002F7D16">
      <w:pPr>
        <w:pStyle w:val="TableText"/>
      </w:pPr>
    </w:p>
    <w:p w:rsidR="0050722E" w:rsidRDefault="0050722E" w:rsidP="002F7D16">
      <w:pPr>
        <w:pStyle w:val="TableText"/>
      </w:pPr>
    </w:p>
    <w:p w:rsidR="0050722E" w:rsidRDefault="0050722E" w:rsidP="002F7D16">
      <w:pPr>
        <w:pStyle w:val="TableText"/>
      </w:pPr>
    </w:p>
    <w:p w:rsidR="0050722E" w:rsidRDefault="0050722E" w:rsidP="002F7D16">
      <w:pPr>
        <w:pStyle w:val="TableText"/>
      </w:pPr>
    </w:p>
    <w:p w:rsidR="0050722E" w:rsidRDefault="0050722E" w:rsidP="002F7D16">
      <w:pPr>
        <w:pStyle w:val="TableText"/>
      </w:pPr>
    </w:p>
    <w:p w:rsidR="0050722E" w:rsidRDefault="0050722E" w:rsidP="002F7D16">
      <w:pPr>
        <w:pStyle w:val="TableText"/>
      </w:pPr>
    </w:p>
    <w:p w:rsidR="0050722E" w:rsidRDefault="0050722E" w:rsidP="002F7D16">
      <w:pPr>
        <w:pStyle w:val="TableText"/>
      </w:pPr>
    </w:p>
    <w:p w:rsidR="0050722E" w:rsidRDefault="0050722E"/>
    <w:p w:rsidR="0050722E" w:rsidRDefault="0050722E" w:rsidP="002F7D16">
      <w:pPr>
        <w:pStyle w:val="TableText"/>
      </w:pPr>
    </w:p>
    <w:p w:rsidR="0050722E" w:rsidRDefault="0050722E" w:rsidP="002F7D16">
      <w:pPr>
        <w:pStyle w:val="TableText"/>
      </w:pPr>
    </w:p>
    <w:p w:rsidR="0050722E" w:rsidRDefault="0050722E" w:rsidP="002F7D16">
      <w:pPr>
        <w:pStyle w:val="TableText"/>
      </w:pPr>
    </w:p>
    <w:p w:rsidR="0050722E" w:rsidRDefault="0050722E" w:rsidP="002F7D16">
      <w:pPr>
        <w:pStyle w:val="TableText"/>
      </w:pPr>
    </w:p>
    <w:p w:rsidR="0050722E" w:rsidRDefault="0050722E" w:rsidP="002F7D16">
      <w:pPr>
        <w:pStyle w:val="TableText"/>
      </w:pPr>
    </w:p>
    <w:p w:rsidR="0050722E" w:rsidRDefault="0050722E" w:rsidP="002F7D16">
      <w:pPr>
        <w:pStyle w:val="TableText"/>
      </w:pPr>
    </w:p>
    <w:p w:rsidR="0050722E" w:rsidRDefault="0050722E" w:rsidP="002F7D16">
      <w:pPr>
        <w:pStyle w:val="TableText"/>
      </w:pPr>
    </w:p>
    <w:p w:rsidR="0050722E" w:rsidRDefault="0050722E" w:rsidP="002F7D16">
      <w:pPr>
        <w:pStyle w:val="TableText"/>
      </w:pPr>
    </w:p>
    <w:p w:rsidR="0050722E" w:rsidRDefault="0050722E" w:rsidP="002F7D16">
      <w:pPr>
        <w:pStyle w:val="TableText"/>
      </w:pPr>
    </w:p>
    <w:p w:rsidR="0050722E" w:rsidRDefault="0050722E" w:rsidP="002F7D16">
      <w:pPr>
        <w:pStyle w:val="TableText"/>
      </w:pPr>
    </w:p>
    <w:p w:rsidR="001B51FE" w:rsidRDefault="001B51FE" w:rsidP="002F7D16">
      <w:pPr>
        <w:pStyle w:val="TableText"/>
      </w:pPr>
    </w:p>
    <w:p w:rsidR="001B51FE" w:rsidRDefault="001B51FE" w:rsidP="002F7D16">
      <w:pPr>
        <w:pStyle w:val="TableText"/>
      </w:pPr>
    </w:p>
    <w:p w:rsidR="001B51FE" w:rsidRDefault="001B51FE" w:rsidP="002F7D16">
      <w:pPr>
        <w:pStyle w:val="TableText"/>
      </w:pPr>
    </w:p>
    <w:p w:rsidR="001B51FE" w:rsidRDefault="001B51FE" w:rsidP="002F7D16">
      <w:pPr>
        <w:pStyle w:val="TableText"/>
      </w:pPr>
    </w:p>
    <w:p w:rsidR="001B51FE" w:rsidRDefault="001B51FE" w:rsidP="002F7D16">
      <w:pPr>
        <w:pStyle w:val="TableText"/>
      </w:pPr>
    </w:p>
    <w:p w:rsidR="001B51FE" w:rsidRDefault="001B51FE" w:rsidP="002F7D16">
      <w:pPr>
        <w:pStyle w:val="TableText"/>
      </w:pPr>
    </w:p>
    <w:p w:rsidR="001B51FE" w:rsidRDefault="001B51FE" w:rsidP="002F7D16">
      <w:pPr>
        <w:pStyle w:val="TableText"/>
      </w:pPr>
    </w:p>
    <w:p w:rsidR="002F7D16" w:rsidRDefault="002F7D16" w:rsidP="002F7D16">
      <w:pPr>
        <w:pStyle w:val="TableText"/>
      </w:pPr>
    </w:p>
    <w:p w:rsidR="001B51FE" w:rsidRDefault="001B51FE" w:rsidP="002F7D16">
      <w:pPr>
        <w:pStyle w:val="TableText"/>
      </w:pPr>
    </w:p>
    <w:p w:rsidR="001B51FE" w:rsidRDefault="001B51FE" w:rsidP="002F7D16">
      <w:pPr>
        <w:pStyle w:val="TableText"/>
      </w:pPr>
    </w:p>
    <w:p w:rsidR="001B51FE" w:rsidRDefault="001B51FE" w:rsidP="002F7D16">
      <w:pPr>
        <w:pStyle w:val="TableText"/>
      </w:pPr>
    </w:p>
    <w:p w:rsidR="006B60EF" w:rsidRDefault="00100549" w:rsidP="0086066C">
      <w:pPr>
        <w:pStyle w:val="Heading2"/>
      </w:pPr>
      <w:bookmarkStart w:id="808" w:name="_Toc459900249"/>
      <w:r>
        <w:t>Appendix M</w:t>
      </w:r>
      <w:r w:rsidR="00FC6E10">
        <w:t>: System Responses to Active</w:t>
      </w:r>
      <w:r w:rsidR="0010333F">
        <w:t xml:space="preserve"> Transfusion Requirements</w:t>
      </w:r>
      <w:r w:rsidR="00FC6E10">
        <w:t xml:space="preserve"> in Select Unit and Issue Blood Component</w:t>
      </w:r>
      <w:bookmarkEnd w:id="808"/>
      <w:r w:rsidR="00115A2A" w:rsidRPr="00115A2A">
        <w:rPr>
          <w:rFonts w:ascii="Arial Bold" w:hAnsi="Arial Bold"/>
          <w:vanish/>
        </w:rPr>
        <w:t xml:space="preserve"> DR 4501</w:t>
      </w:r>
      <w:r w:rsidR="00FC6E10">
        <w:fldChar w:fldCharType="begin"/>
      </w:r>
      <w:r w:rsidR="00FC6E10">
        <w:instrText xml:space="preserve"> XE “System Responses to Active Transfusion Requirements in Select Unit and Issue Blood Component” </w:instrText>
      </w:r>
      <w:r w:rsidR="00FC6E10">
        <w:fldChar w:fldCharType="end"/>
      </w:r>
    </w:p>
    <w:p w:rsidR="009125FD" w:rsidRDefault="009125FD" w:rsidP="009125FD"/>
    <w:p w:rsidR="00052726" w:rsidRPr="00052726" w:rsidRDefault="00052726" w:rsidP="00052726">
      <w:pPr>
        <w:rPr>
          <w:sz w:val="22"/>
          <w:szCs w:val="22"/>
        </w:rPr>
      </w:pPr>
      <w:r w:rsidRPr="00052726">
        <w:rPr>
          <w:sz w:val="22"/>
          <w:szCs w:val="22"/>
        </w:rPr>
        <w:t>The followi</w:t>
      </w:r>
      <w:r w:rsidR="004C5C7D">
        <w:rPr>
          <w:sz w:val="22"/>
          <w:szCs w:val="22"/>
        </w:rPr>
        <w:t>ng series of tables, Figures 141 through 152</w:t>
      </w:r>
      <w:r w:rsidRPr="00052726">
        <w:rPr>
          <w:sz w:val="22"/>
          <w:szCs w:val="22"/>
        </w:rPr>
        <w:t>, detail VBECS response to an active transfusion requirement, component class of the unit selected and the user’s VBECS role at unit selection and blood component issue.</w:t>
      </w:r>
    </w:p>
    <w:p w:rsidR="00052726" w:rsidRPr="00052726" w:rsidRDefault="00052726" w:rsidP="00052726">
      <w:pPr>
        <w:rPr>
          <w:sz w:val="22"/>
          <w:szCs w:val="22"/>
        </w:rPr>
      </w:pPr>
    </w:p>
    <w:p w:rsidR="00052726" w:rsidRPr="00052726" w:rsidRDefault="00052726" w:rsidP="00052726">
      <w:pPr>
        <w:rPr>
          <w:sz w:val="22"/>
          <w:szCs w:val="22"/>
        </w:rPr>
      </w:pPr>
      <w:r w:rsidRPr="00052726">
        <w:rPr>
          <w:sz w:val="22"/>
          <w:szCs w:val="22"/>
        </w:rPr>
        <w:fldChar w:fldCharType="begin"/>
      </w:r>
      <w:r w:rsidRPr="00052726">
        <w:rPr>
          <w:sz w:val="22"/>
          <w:szCs w:val="22"/>
        </w:rPr>
        <w:instrText xml:space="preserve"> REF _Ref343502397 \h </w:instrText>
      </w:r>
      <w:r w:rsidRPr="00052726">
        <w:rPr>
          <w:sz w:val="22"/>
          <w:szCs w:val="22"/>
        </w:rPr>
      </w:r>
      <w:r>
        <w:rPr>
          <w:sz w:val="22"/>
          <w:szCs w:val="22"/>
        </w:rPr>
        <w:instrText xml:space="preserve"> \* MERGEFORMAT </w:instrText>
      </w:r>
      <w:r w:rsidRPr="00052726">
        <w:rPr>
          <w:sz w:val="22"/>
          <w:szCs w:val="22"/>
        </w:rPr>
        <w:fldChar w:fldCharType="separate"/>
      </w:r>
      <w:r w:rsidR="005F38BC" w:rsidRPr="005F38BC">
        <w:rPr>
          <w:sz w:val="22"/>
          <w:szCs w:val="22"/>
        </w:rPr>
        <w:t xml:space="preserve">Figure </w:t>
      </w:r>
      <w:r w:rsidR="005F38BC" w:rsidRPr="005F38BC">
        <w:rPr>
          <w:noProof/>
          <w:sz w:val="22"/>
          <w:szCs w:val="22"/>
        </w:rPr>
        <w:t>152</w:t>
      </w:r>
      <w:r w:rsidR="005F38BC" w:rsidRPr="005F38BC">
        <w:rPr>
          <w:sz w:val="22"/>
          <w:szCs w:val="22"/>
        </w:rPr>
        <w:t>: Irradiate Cellular Products Only and Select Blood Unit</w:t>
      </w:r>
      <w:r w:rsidRPr="00052726">
        <w:rPr>
          <w:sz w:val="22"/>
          <w:szCs w:val="22"/>
        </w:rPr>
        <w:fldChar w:fldCharType="end"/>
      </w:r>
    </w:p>
    <w:p w:rsidR="00052726" w:rsidRPr="00052726" w:rsidRDefault="00052726" w:rsidP="00052726">
      <w:pPr>
        <w:rPr>
          <w:sz w:val="22"/>
          <w:szCs w:val="22"/>
        </w:rPr>
      </w:pPr>
      <w:r w:rsidRPr="00052726">
        <w:rPr>
          <w:sz w:val="22"/>
          <w:szCs w:val="22"/>
        </w:rPr>
        <w:fldChar w:fldCharType="begin"/>
      </w:r>
      <w:r w:rsidRPr="00052726">
        <w:rPr>
          <w:sz w:val="22"/>
          <w:szCs w:val="22"/>
        </w:rPr>
        <w:instrText xml:space="preserve"> REF _Ref343502433 \h </w:instrText>
      </w:r>
      <w:r w:rsidRPr="00052726">
        <w:rPr>
          <w:sz w:val="22"/>
          <w:szCs w:val="22"/>
        </w:rPr>
      </w:r>
      <w:r>
        <w:rPr>
          <w:sz w:val="22"/>
          <w:szCs w:val="22"/>
        </w:rPr>
        <w:instrText xml:space="preserve"> \* MERGEFORMAT </w:instrText>
      </w:r>
      <w:r w:rsidRPr="00052726">
        <w:rPr>
          <w:sz w:val="22"/>
          <w:szCs w:val="22"/>
        </w:rPr>
        <w:fldChar w:fldCharType="separate"/>
      </w:r>
      <w:r w:rsidR="005F38BC" w:rsidRPr="005F38BC">
        <w:rPr>
          <w:sz w:val="22"/>
          <w:szCs w:val="22"/>
        </w:rPr>
        <w:t xml:space="preserve">Figure </w:t>
      </w:r>
      <w:r w:rsidR="005F38BC" w:rsidRPr="005F38BC">
        <w:rPr>
          <w:noProof/>
          <w:sz w:val="22"/>
          <w:szCs w:val="22"/>
        </w:rPr>
        <w:t>153</w:t>
      </w:r>
      <w:r w:rsidR="005F38BC" w:rsidRPr="005F38BC">
        <w:rPr>
          <w:sz w:val="22"/>
          <w:szCs w:val="22"/>
        </w:rPr>
        <w:t>: Irradiate Cellular Products Only and Issue Blood Component</w:t>
      </w:r>
      <w:r w:rsidRPr="00052726">
        <w:rPr>
          <w:sz w:val="22"/>
          <w:szCs w:val="22"/>
        </w:rPr>
        <w:fldChar w:fldCharType="end"/>
      </w:r>
    </w:p>
    <w:p w:rsidR="00052726" w:rsidRPr="00052726" w:rsidRDefault="00052726" w:rsidP="00052726">
      <w:pPr>
        <w:rPr>
          <w:sz w:val="22"/>
          <w:szCs w:val="22"/>
        </w:rPr>
      </w:pPr>
      <w:r w:rsidRPr="00052726">
        <w:rPr>
          <w:sz w:val="22"/>
          <w:szCs w:val="22"/>
        </w:rPr>
        <w:fldChar w:fldCharType="begin"/>
      </w:r>
      <w:r w:rsidRPr="00052726">
        <w:rPr>
          <w:sz w:val="22"/>
          <w:szCs w:val="22"/>
        </w:rPr>
        <w:instrText xml:space="preserve"> REF _Ref343502457 \h </w:instrText>
      </w:r>
      <w:r w:rsidRPr="00052726">
        <w:rPr>
          <w:sz w:val="22"/>
          <w:szCs w:val="22"/>
        </w:rPr>
      </w:r>
      <w:r>
        <w:rPr>
          <w:sz w:val="22"/>
          <w:szCs w:val="22"/>
        </w:rPr>
        <w:instrText xml:space="preserve"> \* MERGEFORMAT </w:instrText>
      </w:r>
      <w:r w:rsidRPr="00052726">
        <w:rPr>
          <w:sz w:val="22"/>
          <w:szCs w:val="22"/>
        </w:rPr>
        <w:fldChar w:fldCharType="separate"/>
      </w:r>
      <w:r w:rsidR="005F38BC" w:rsidRPr="005F38BC">
        <w:rPr>
          <w:sz w:val="22"/>
          <w:szCs w:val="22"/>
        </w:rPr>
        <w:t xml:space="preserve">Figure </w:t>
      </w:r>
      <w:r w:rsidR="005F38BC" w:rsidRPr="005F38BC">
        <w:rPr>
          <w:noProof/>
          <w:sz w:val="22"/>
          <w:szCs w:val="22"/>
        </w:rPr>
        <w:t>154</w:t>
      </w:r>
      <w:r w:rsidR="005F38BC" w:rsidRPr="005F38BC">
        <w:rPr>
          <w:sz w:val="22"/>
          <w:szCs w:val="22"/>
        </w:rPr>
        <w:t>: Leuko-reduce Cellular Products and Select Blood Unit</w:t>
      </w:r>
      <w:r w:rsidRPr="00052726">
        <w:rPr>
          <w:sz w:val="22"/>
          <w:szCs w:val="22"/>
        </w:rPr>
        <w:fldChar w:fldCharType="end"/>
      </w:r>
    </w:p>
    <w:p w:rsidR="00052726" w:rsidRPr="00052726" w:rsidRDefault="00052726" w:rsidP="00052726">
      <w:pPr>
        <w:rPr>
          <w:sz w:val="22"/>
          <w:szCs w:val="22"/>
        </w:rPr>
      </w:pPr>
      <w:r w:rsidRPr="00052726">
        <w:rPr>
          <w:sz w:val="22"/>
          <w:szCs w:val="22"/>
        </w:rPr>
        <w:fldChar w:fldCharType="begin"/>
      </w:r>
      <w:r w:rsidRPr="00052726">
        <w:rPr>
          <w:sz w:val="22"/>
          <w:szCs w:val="22"/>
        </w:rPr>
        <w:instrText xml:space="preserve"> REF _Ref343502482 \h </w:instrText>
      </w:r>
      <w:r w:rsidRPr="00052726">
        <w:rPr>
          <w:sz w:val="22"/>
          <w:szCs w:val="22"/>
        </w:rPr>
      </w:r>
      <w:r>
        <w:rPr>
          <w:sz w:val="22"/>
          <w:szCs w:val="22"/>
        </w:rPr>
        <w:instrText xml:space="preserve"> \* MERGEFORMAT </w:instrText>
      </w:r>
      <w:r w:rsidRPr="00052726">
        <w:rPr>
          <w:sz w:val="22"/>
          <w:szCs w:val="22"/>
        </w:rPr>
        <w:fldChar w:fldCharType="separate"/>
      </w:r>
      <w:r w:rsidR="005F38BC" w:rsidRPr="005F38BC">
        <w:rPr>
          <w:sz w:val="22"/>
          <w:szCs w:val="22"/>
        </w:rPr>
        <w:t xml:space="preserve">Figure </w:t>
      </w:r>
      <w:r w:rsidR="005F38BC" w:rsidRPr="005F38BC">
        <w:rPr>
          <w:noProof/>
          <w:sz w:val="22"/>
          <w:szCs w:val="22"/>
        </w:rPr>
        <w:t>155</w:t>
      </w:r>
      <w:r w:rsidR="005F38BC" w:rsidRPr="005F38BC">
        <w:rPr>
          <w:sz w:val="22"/>
          <w:szCs w:val="22"/>
        </w:rPr>
        <w:t>: Leuko-reduce Cellular Products and Issue Blood Component</w:t>
      </w:r>
      <w:r w:rsidRPr="00052726">
        <w:rPr>
          <w:sz w:val="22"/>
          <w:szCs w:val="22"/>
        </w:rPr>
        <w:fldChar w:fldCharType="end"/>
      </w:r>
    </w:p>
    <w:p w:rsidR="00052726" w:rsidRPr="00052726" w:rsidRDefault="00052726" w:rsidP="00052726">
      <w:pPr>
        <w:rPr>
          <w:sz w:val="22"/>
          <w:szCs w:val="22"/>
        </w:rPr>
      </w:pPr>
      <w:r w:rsidRPr="00052726">
        <w:rPr>
          <w:sz w:val="22"/>
          <w:szCs w:val="22"/>
        </w:rPr>
        <w:fldChar w:fldCharType="begin"/>
      </w:r>
      <w:r w:rsidRPr="00052726">
        <w:rPr>
          <w:sz w:val="22"/>
          <w:szCs w:val="22"/>
        </w:rPr>
        <w:instrText xml:space="preserve"> REF _Ref343502500 \h </w:instrText>
      </w:r>
      <w:r w:rsidRPr="00052726">
        <w:rPr>
          <w:sz w:val="22"/>
          <w:szCs w:val="22"/>
        </w:rPr>
      </w:r>
      <w:r>
        <w:rPr>
          <w:sz w:val="22"/>
          <w:szCs w:val="22"/>
        </w:rPr>
        <w:instrText xml:space="preserve"> \* MERGEFORMAT </w:instrText>
      </w:r>
      <w:r w:rsidRPr="00052726">
        <w:rPr>
          <w:sz w:val="22"/>
          <w:szCs w:val="22"/>
        </w:rPr>
        <w:fldChar w:fldCharType="separate"/>
      </w:r>
      <w:r w:rsidR="005F38BC" w:rsidRPr="005F38BC">
        <w:rPr>
          <w:sz w:val="22"/>
          <w:szCs w:val="22"/>
        </w:rPr>
        <w:t xml:space="preserve">Figure </w:t>
      </w:r>
      <w:r w:rsidR="005F38BC" w:rsidRPr="005F38BC">
        <w:rPr>
          <w:noProof/>
          <w:sz w:val="22"/>
          <w:szCs w:val="22"/>
        </w:rPr>
        <w:t>156</w:t>
      </w:r>
      <w:r w:rsidR="005F38BC" w:rsidRPr="005F38BC">
        <w:rPr>
          <w:sz w:val="22"/>
          <w:szCs w:val="22"/>
        </w:rPr>
        <w:t>: Washed Red Blood Cell (RBC) Products and Select Blood Unit</w:t>
      </w:r>
      <w:r w:rsidRPr="00052726">
        <w:rPr>
          <w:sz w:val="22"/>
          <w:szCs w:val="22"/>
        </w:rPr>
        <w:fldChar w:fldCharType="end"/>
      </w:r>
    </w:p>
    <w:p w:rsidR="00052726" w:rsidRPr="00052726" w:rsidRDefault="00052726" w:rsidP="00052726">
      <w:pPr>
        <w:rPr>
          <w:sz w:val="22"/>
          <w:szCs w:val="22"/>
        </w:rPr>
      </w:pPr>
      <w:r w:rsidRPr="00052726">
        <w:rPr>
          <w:sz w:val="22"/>
          <w:szCs w:val="22"/>
        </w:rPr>
        <w:fldChar w:fldCharType="begin"/>
      </w:r>
      <w:r w:rsidRPr="00052726">
        <w:rPr>
          <w:sz w:val="22"/>
          <w:szCs w:val="22"/>
        </w:rPr>
        <w:instrText xml:space="preserve"> REF _Ref343502523 \h </w:instrText>
      </w:r>
      <w:r w:rsidRPr="00052726">
        <w:rPr>
          <w:sz w:val="22"/>
          <w:szCs w:val="22"/>
        </w:rPr>
      </w:r>
      <w:r>
        <w:rPr>
          <w:sz w:val="22"/>
          <w:szCs w:val="22"/>
        </w:rPr>
        <w:instrText xml:space="preserve"> \* MERGEFORMAT </w:instrText>
      </w:r>
      <w:r w:rsidRPr="00052726">
        <w:rPr>
          <w:sz w:val="22"/>
          <w:szCs w:val="22"/>
        </w:rPr>
        <w:fldChar w:fldCharType="separate"/>
      </w:r>
      <w:r w:rsidR="005F38BC" w:rsidRPr="005F38BC">
        <w:rPr>
          <w:sz w:val="22"/>
          <w:szCs w:val="22"/>
        </w:rPr>
        <w:t xml:space="preserve">Figure </w:t>
      </w:r>
      <w:r w:rsidR="005F38BC" w:rsidRPr="005F38BC">
        <w:rPr>
          <w:noProof/>
          <w:sz w:val="22"/>
          <w:szCs w:val="22"/>
        </w:rPr>
        <w:t>157</w:t>
      </w:r>
      <w:r w:rsidR="005F38BC" w:rsidRPr="005F38BC">
        <w:rPr>
          <w:sz w:val="22"/>
          <w:szCs w:val="22"/>
        </w:rPr>
        <w:t>: Washed Red Blood Cell (RBC) Products and Issue Blood Component</w:t>
      </w:r>
      <w:r w:rsidRPr="00052726">
        <w:rPr>
          <w:sz w:val="22"/>
          <w:szCs w:val="22"/>
        </w:rPr>
        <w:fldChar w:fldCharType="end"/>
      </w:r>
    </w:p>
    <w:p w:rsidR="00052726" w:rsidRPr="00052726" w:rsidRDefault="00052726" w:rsidP="00052726">
      <w:pPr>
        <w:rPr>
          <w:sz w:val="22"/>
          <w:szCs w:val="22"/>
        </w:rPr>
      </w:pPr>
      <w:r w:rsidRPr="00052726">
        <w:rPr>
          <w:sz w:val="22"/>
          <w:szCs w:val="22"/>
        </w:rPr>
        <w:fldChar w:fldCharType="begin"/>
      </w:r>
      <w:r w:rsidRPr="00052726">
        <w:rPr>
          <w:sz w:val="22"/>
          <w:szCs w:val="22"/>
        </w:rPr>
        <w:instrText xml:space="preserve"> REF _Ref343502547 \h </w:instrText>
      </w:r>
      <w:r w:rsidRPr="00052726">
        <w:rPr>
          <w:sz w:val="22"/>
          <w:szCs w:val="22"/>
        </w:rPr>
      </w:r>
      <w:r>
        <w:rPr>
          <w:sz w:val="22"/>
          <w:szCs w:val="22"/>
        </w:rPr>
        <w:instrText xml:space="preserve"> \* MERGEFORMAT </w:instrText>
      </w:r>
      <w:r w:rsidRPr="00052726">
        <w:rPr>
          <w:sz w:val="22"/>
          <w:szCs w:val="22"/>
        </w:rPr>
        <w:fldChar w:fldCharType="separate"/>
      </w:r>
      <w:r w:rsidR="005F38BC" w:rsidRPr="005F38BC">
        <w:rPr>
          <w:sz w:val="22"/>
          <w:szCs w:val="22"/>
        </w:rPr>
        <w:t xml:space="preserve">Figure </w:t>
      </w:r>
      <w:r w:rsidR="005F38BC" w:rsidRPr="005F38BC">
        <w:rPr>
          <w:noProof/>
          <w:sz w:val="22"/>
          <w:szCs w:val="22"/>
        </w:rPr>
        <w:t>158</w:t>
      </w:r>
      <w:r w:rsidR="005F38BC" w:rsidRPr="005F38BC">
        <w:rPr>
          <w:sz w:val="22"/>
          <w:szCs w:val="22"/>
        </w:rPr>
        <w:t>: Washed PLATELET (PLT) Products and Select Blood Unit</w:t>
      </w:r>
      <w:r w:rsidRPr="00052726">
        <w:rPr>
          <w:sz w:val="22"/>
          <w:szCs w:val="22"/>
        </w:rPr>
        <w:fldChar w:fldCharType="end"/>
      </w:r>
    </w:p>
    <w:p w:rsidR="00052726" w:rsidRPr="00052726" w:rsidRDefault="00052726" w:rsidP="00052726">
      <w:pPr>
        <w:rPr>
          <w:sz w:val="22"/>
          <w:szCs w:val="22"/>
        </w:rPr>
      </w:pPr>
      <w:r w:rsidRPr="00052726">
        <w:rPr>
          <w:sz w:val="22"/>
          <w:szCs w:val="22"/>
        </w:rPr>
        <w:fldChar w:fldCharType="begin"/>
      </w:r>
      <w:r w:rsidRPr="00052726">
        <w:rPr>
          <w:sz w:val="22"/>
          <w:szCs w:val="22"/>
        </w:rPr>
        <w:instrText xml:space="preserve"> REF _Ref343502567 \h </w:instrText>
      </w:r>
      <w:r w:rsidRPr="00052726">
        <w:rPr>
          <w:sz w:val="22"/>
          <w:szCs w:val="22"/>
        </w:rPr>
      </w:r>
      <w:r>
        <w:rPr>
          <w:sz w:val="22"/>
          <w:szCs w:val="22"/>
        </w:rPr>
        <w:instrText xml:space="preserve"> \* MERGEFORMAT </w:instrText>
      </w:r>
      <w:r w:rsidRPr="00052726">
        <w:rPr>
          <w:sz w:val="22"/>
          <w:szCs w:val="22"/>
        </w:rPr>
        <w:fldChar w:fldCharType="separate"/>
      </w:r>
      <w:r w:rsidR="005F38BC" w:rsidRPr="005F38BC">
        <w:rPr>
          <w:sz w:val="22"/>
          <w:szCs w:val="22"/>
        </w:rPr>
        <w:t xml:space="preserve">Figure </w:t>
      </w:r>
      <w:r w:rsidR="005F38BC" w:rsidRPr="005F38BC">
        <w:rPr>
          <w:noProof/>
          <w:sz w:val="22"/>
          <w:szCs w:val="22"/>
        </w:rPr>
        <w:t>159</w:t>
      </w:r>
      <w:r w:rsidR="005F38BC" w:rsidRPr="005F38BC">
        <w:rPr>
          <w:sz w:val="22"/>
          <w:szCs w:val="22"/>
        </w:rPr>
        <w:t>: Washed PLATELET (PLT) Products and Issue Blood Component</w:t>
      </w:r>
      <w:r w:rsidRPr="00052726">
        <w:rPr>
          <w:sz w:val="22"/>
          <w:szCs w:val="22"/>
        </w:rPr>
        <w:fldChar w:fldCharType="end"/>
      </w:r>
    </w:p>
    <w:p w:rsidR="00052726" w:rsidRPr="00052726" w:rsidRDefault="00052726" w:rsidP="00052726">
      <w:pPr>
        <w:rPr>
          <w:sz w:val="22"/>
          <w:szCs w:val="22"/>
        </w:rPr>
      </w:pPr>
      <w:r w:rsidRPr="00052726">
        <w:rPr>
          <w:sz w:val="22"/>
          <w:szCs w:val="22"/>
        </w:rPr>
        <w:fldChar w:fldCharType="begin"/>
      </w:r>
      <w:r w:rsidRPr="00052726">
        <w:rPr>
          <w:sz w:val="22"/>
          <w:szCs w:val="22"/>
        </w:rPr>
        <w:instrText xml:space="preserve"> REF _Ref343502582 \h </w:instrText>
      </w:r>
      <w:r w:rsidRPr="00052726">
        <w:rPr>
          <w:sz w:val="22"/>
          <w:szCs w:val="22"/>
        </w:rPr>
      </w:r>
      <w:r>
        <w:rPr>
          <w:sz w:val="22"/>
          <w:szCs w:val="22"/>
        </w:rPr>
        <w:instrText xml:space="preserve"> \* MERGEFORMAT </w:instrText>
      </w:r>
      <w:r w:rsidRPr="00052726">
        <w:rPr>
          <w:sz w:val="22"/>
          <w:szCs w:val="22"/>
        </w:rPr>
        <w:fldChar w:fldCharType="separate"/>
      </w:r>
      <w:r w:rsidR="005F38BC" w:rsidRPr="005F38BC">
        <w:rPr>
          <w:sz w:val="22"/>
          <w:szCs w:val="22"/>
        </w:rPr>
        <w:t xml:space="preserve">Figure </w:t>
      </w:r>
      <w:r w:rsidR="005F38BC" w:rsidRPr="005F38BC">
        <w:rPr>
          <w:noProof/>
          <w:sz w:val="22"/>
          <w:szCs w:val="22"/>
        </w:rPr>
        <w:t>160</w:t>
      </w:r>
      <w:r w:rsidR="005F38BC" w:rsidRPr="005F38BC">
        <w:rPr>
          <w:sz w:val="22"/>
          <w:szCs w:val="22"/>
        </w:rPr>
        <w:t>: Sickle Cell Negative RBC Products and Select Blood Unit</w:t>
      </w:r>
      <w:r w:rsidRPr="00052726">
        <w:rPr>
          <w:sz w:val="22"/>
          <w:szCs w:val="22"/>
        </w:rPr>
        <w:fldChar w:fldCharType="end"/>
      </w:r>
    </w:p>
    <w:p w:rsidR="00052726" w:rsidRPr="00052726" w:rsidRDefault="00052726" w:rsidP="00052726">
      <w:pPr>
        <w:rPr>
          <w:sz w:val="22"/>
          <w:szCs w:val="22"/>
        </w:rPr>
      </w:pPr>
      <w:r w:rsidRPr="00052726">
        <w:rPr>
          <w:sz w:val="22"/>
          <w:szCs w:val="22"/>
        </w:rPr>
        <w:fldChar w:fldCharType="begin"/>
      </w:r>
      <w:r w:rsidRPr="00052726">
        <w:rPr>
          <w:sz w:val="22"/>
          <w:szCs w:val="22"/>
        </w:rPr>
        <w:instrText xml:space="preserve"> REF _Ref343502619 \h </w:instrText>
      </w:r>
      <w:r w:rsidRPr="00052726">
        <w:rPr>
          <w:sz w:val="22"/>
          <w:szCs w:val="22"/>
        </w:rPr>
      </w:r>
      <w:r>
        <w:rPr>
          <w:sz w:val="22"/>
          <w:szCs w:val="22"/>
        </w:rPr>
        <w:instrText xml:space="preserve"> \* MERGEFORMAT </w:instrText>
      </w:r>
      <w:r w:rsidRPr="00052726">
        <w:rPr>
          <w:sz w:val="22"/>
          <w:szCs w:val="22"/>
        </w:rPr>
        <w:fldChar w:fldCharType="separate"/>
      </w:r>
      <w:r w:rsidR="005F38BC" w:rsidRPr="005F38BC">
        <w:rPr>
          <w:sz w:val="22"/>
          <w:szCs w:val="22"/>
        </w:rPr>
        <w:t xml:space="preserve">Figure </w:t>
      </w:r>
      <w:r w:rsidR="005F38BC" w:rsidRPr="005F38BC">
        <w:rPr>
          <w:noProof/>
          <w:sz w:val="22"/>
          <w:szCs w:val="22"/>
        </w:rPr>
        <w:t>161</w:t>
      </w:r>
      <w:r w:rsidR="005F38BC" w:rsidRPr="005F38BC">
        <w:rPr>
          <w:sz w:val="22"/>
          <w:szCs w:val="22"/>
        </w:rPr>
        <w:t>: Sickle Cell Negative RBC Products and Issue Blood Component</w:t>
      </w:r>
      <w:r w:rsidRPr="00052726">
        <w:rPr>
          <w:sz w:val="22"/>
          <w:szCs w:val="22"/>
        </w:rPr>
        <w:fldChar w:fldCharType="end"/>
      </w:r>
    </w:p>
    <w:p w:rsidR="00052726" w:rsidRPr="00052726" w:rsidRDefault="00052726" w:rsidP="00052726">
      <w:pPr>
        <w:rPr>
          <w:sz w:val="22"/>
          <w:szCs w:val="22"/>
        </w:rPr>
      </w:pPr>
      <w:r w:rsidRPr="00052726">
        <w:rPr>
          <w:sz w:val="22"/>
          <w:szCs w:val="22"/>
        </w:rPr>
        <w:fldChar w:fldCharType="begin"/>
      </w:r>
      <w:r w:rsidRPr="00052726">
        <w:rPr>
          <w:sz w:val="22"/>
          <w:szCs w:val="22"/>
        </w:rPr>
        <w:instrText xml:space="preserve"> REF _Ref343502634 \h </w:instrText>
      </w:r>
      <w:r w:rsidRPr="00052726">
        <w:rPr>
          <w:sz w:val="22"/>
          <w:szCs w:val="22"/>
        </w:rPr>
      </w:r>
      <w:r>
        <w:rPr>
          <w:sz w:val="22"/>
          <w:szCs w:val="22"/>
        </w:rPr>
        <w:instrText xml:space="preserve"> \* MERGEFORMAT </w:instrText>
      </w:r>
      <w:r w:rsidRPr="00052726">
        <w:rPr>
          <w:sz w:val="22"/>
          <w:szCs w:val="22"/>
        </w:rPr>
        <w:fldChar w:fldCharType="separate"/>
      </w:r>
      <w:r w:rsidR="005F38BC" w:rsidRPr="005F38BC">
        <w:rPr>
          <w:sz w:val="22"/>
          <w:szCs w:val="22"/>
        </w:rPr>
        <w:t xml:space="preserve">Figure </w:t>
      </w:r>
      <w:r w:rsidR="005F38BC" w:rsidRPr="005F38BC">
        <w:rPr>
          <w:noProof/>
          <w:sz w:val="22"/>
          <w:szCs w:val="22"/>
        </w:rPr>
        <w:t>162</w:t>
      </w:r>
      <w:r w:rsidR="005F38BC" w:rsidRPr="005F38BC">
        <w:rPr>
          <w:sz w:val="22"/>
          <w:szCs w:val="22"/>
        </w:rPr>
        <w:t>: CMV Negative Cellular Products* and Select Blood Unit</w:t>
      </w:r>
      <w:r w:rsidRPr="00052726">
        <w:rPr>
          <w:sz w:val="22"/>
          <w:szCs w:val="22"/>
        </w:rPr>
        <w:fldChar w:fldCharType="end"/>
      </w:r>
    </w:p>
    <w:p w:rsidR="00052726" w:rsidRPr="00052726" w:rsidRDefault="00052726" w:rsidP="00052726">
      <w:pPr>
        <w:rPr>
          <w:sz w:val="22"/>
          <w:szCs w:val="22"/>
        </w:rPr>
      </w:pPr>
      <w:r w:rsidRPr="00052726">
        <w:rPr>
          <w:sz w:val="22"/>
          <w:szCs w:val="22"/>
        </w:rPr>
        <w:fldChar w:fldCharType="begin"/>
      </w:r>
      <w:r w:rsidRPr="00052726">
        <w:rPr>
          <w:sz w:val="22"/>
          <w:szCs w:val="22"/>
        </w:rPr>
        <w:instrText xml:space="preserve"> REF _Ref343502649 \h </w:instrText>
      </w:r>
      <w:r w:rsidRPr="00052726">
        <w:rPr>
          <w:sz w:val="22"/>
          <w:szCs w:val="22"/>
        </w:rPr>
      </w:r>
      <w:r>
        <w:rPr>
          <w:sz w:val="22"/>
          <w:szCs w:val="22"/>
        </w:rPr>
        <w:instrText xml:space="preserve"> \* MERGEFORMAT </w:instrText>
      </w:r>
      <w:r w:rsidRPr="00052726">
        <w:rPr>
          <w:sz w:val="22"/>
          <w:szCs w:val="22"/>
        </w:rPr>
        <w:fldChar w:fldCharType="separate"/>
      </w:r>
      <w:r w:rsidR="005F38BC" w:rsidRPr="005F38BC">
        <w:rPr>
          <w:sz w:val="22"/>
          <w:szCs w:val="22"/>
        </w:rPr>
        <w:t xml:space="preserve">Figure </w:t>
      </w:r>
      <w:r w:rsidR="005F38BC" w:rsidRPr="005F38BC">
        <w:rPr>
          <w:noProof/>
          <w:sz w:val="22"/>
          <w:szCs w:val="22"/>
        </w:rPr>
        <w:t>163</w:t>
      </w:r>
      <w:r w:rsidR="005F38BC" w:rsidRPr="005F38BC">
        <w:rPr>
          <w:sz w:val="22"/>
          <w:szCs w:val="22"/>
        </w:rPr>
        <w:t>: CMV Negative Cellular Products* and Issue Blood Component</w:t>
      </w:r>
      <w:r w:rsidRPr="00052726">
        <w:rPr>
          <w:sz w:val="22"/>
          <w:szCs w:val="22"/>
        </w:rPr>
        <w:fldChar w:fldCharType="end"/>
      </w:r>
      <w:r w:rsidRPr="00052726">
        <w:rPr>
          <w:sz w:val="22"/>
          <w:szCs w:val="22"/>
        </w:rPr>
        <w:t xml:space="preserve">  </w:t>
      </w:r>
    </w:p>
    <w:p w:rsidR="00052726" w:rsidRPr="00D13051" w:rsidRDefault="00052726" w:rsidP="00052726"/>
    <w:p w:rsidR="00C15299" w:rsidRDefault="00C15299" w:rsidP="00C15299">
      <w:pPr>
        <w:pStyle w:val="Caption"/>
      </w:pPr>
      <w:bookmarkStart w:id="809" w:name="_Ref343502397"/>
      <w:bookmarkStart w:id="810" w:name="_Ref407612048"/>
      <w:r>
        <w:t xml:space="preserve">Figure </w:t>
      </w:r>
      <w:r>
        <w:fldChar w:fldCharType="begin"/>
      </w:r>
      <w:r>
        <w:instrText xml:space="preserve"> SEQ Figure \* ARABIC </w:instrText>
      </w:r>
      <w:r>
        <w:fldChar w:fldCharType="separate"/>
      </w:r>
      <w:r w:rsidR="005F38BC">
        <w:rPr>
          <w:noProof/>
        </w:rPr>
        <w:t>152</w:t>
      </w:r>
      <w:r>
        <w:fldChar w:fldCharType="end"/>
      </w:r>
      <w:bookmarkEnd w:id="810"/>
      <w:r>
        <w:t>: Irradiate Cellular Products Only and Select Blood Unit</w:t>
      </w:r>
      <w:bookmarkEnd w:id="809"/>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843"/>
        <w:gridCol w:w="2189"/>
        <w:gridCol w:w="1530"/>
        <w:gridCol w:w="1350"/>
        <w:gridCol w:w="3330"/>
      </w:tblGrid>
      <w:tr w:rsidR="009125FD" w:rsidRPr="005C5D59" w:rsidTr="009125FD">
        <w:trPr>
          <w:cantSplit/>
          <w:trHeight w:val="305"/>
          <w:tblHeader/>
        </w:trPr>
        <w:tc>
          <w:tcPr>
            <w:tcW w:w="10242" w:type="dxa"/>
            <w:gridSpan w:val="5"/>
            <w:tcBorders>
              <w:top w:val="single" w:sz="4" w:space="0" w:color="000000"/>
              <w:left w:val="single" w:sz="4" w:space="0" w:color="000000"/>
              <w:right w:val="single" w:sz="4" w:space="0" w:color="000000"/>
            </w:tcBorders>
            <w:shd w:val="pct25" w:color="auto" w:fill="auto"/>
            <w:vAlign w:val="bottom"/>
            <w:hideMark/>
          </w:tcPr>
          <w:p w:rsidR="009125FD" w:rsidRPr="005C5D59" w:rsidRDefault="009125FD" w:rsidP="009125FD">
            <w:pPr>
              <w:rPr>
                <w:rFonts w:ascii="Arial" w:hAnsi="Arial" w:cs="Arial"/>
                <w:b/>
                <w:sz w:val="18"/>
                <w:szCs w:val="18"/>
              </w:rPr>
            </w:pPr>
            <w:r w:rsidRPr="005C5D59">
              <w:rPr>
                <w:rFonts w:ascii="Arial" w:hAnsi="Arial" w:cs="Arial"/>
                <w:b/>
                <w:sz w:val="18"/>
                <w:szCs w:val="18"/>
              </w:rPr>
              <w:t>Select Unit: IRRADIATED</w:t>
            </w:r>
          </w:p>
        </w:tc>
      </w:tr>
      <w:tr w:rsidR="009125FD" w:rsidRPr="005C5D59" w:rsidTr="009125FD">
        <w:trPr>
          <w:cantSplit/>
          <w:trHeight w:val="432"/>
          <w:tblHeader/>
        </w:trPr>
        <w:tc>
          <w:tcPr>
            <w:tcW w:w="1843" w:type="dxa"/>
            <w:tcBorders>
              <w:left w:val="single" w:sz="4" w:space="0" w:color="000000"/>
              <w:bottom w:val="single" w:sz="4" w:space="0" w:color="000000"/>
              <w:right w:val="single" w:sz="4" w:space="0" w:color="000000"/>
            </w:tcBorders>
            <w:shd w:val="pct25" w:color="auto" w:fill="auto"/>
            <w:vAlign w:val="bottom"/>
            <w:hideMark/>
          </w:tcPr>
          <w:p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2189" w:type="dxa"/>
            <w:tcBorders>
              <w:left w:val="single" w:sz="4" w:space="0" w:color="000000"/>
              <w:bottom w:val="single" w:sz="4" w:space="0" w:color="000000"/>
              <w:right w:val="single" w:sz="4" w:space="0" w:color="000000"/>
            </w:tcBorders>
            <w:shd w:val="pct25" w:color="auto" w:fill="auto"/>
            <w:vAlign w:val="bottom"/>
            <w:hideMark/>
          </w:tcPr>
          <w:p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530" w:type="dxa"/>
            <w:tcBorders>
              <w:top w:val="single" w:sz="4" w:space="0" w:color="000000"/>
              <w:left w:val="single" w:sz="4" w:space="0" w:color="000000"/>
              <w:bottom w:val="single" w:sz="4" w:space="0" w:color="000000"/>
              <w:right w:val="single" w:sz="4" w:space="0" w:color="000000"/>
            </w:tcBorders>
            <w:shd w:val="pct25" w:color="auto" w:fill="auto"/>
            <w:vAlign w:val="bottom"/>
          </w:tcPr>
          <w:p w:rsidR="009125FD" w:rsidRPr="005C5D59" w:rsidRDefault="009125FD" w:rsidP="009125FD">
            <w:pPr>
              <w:jc w:val="cente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350" w:type="dxa"/>
            <w:tcBorders>
              <w:top w:val="single" w:sz="4" w:space="0" w:color="000000"/>
              <w:left w:val="single" w:sz="4" w:space="0" w:color="000000"/>
              <w:bottom w:val="single" w:sz="4" w:space="0" w:color="000000"/>
              <w:right w:val="single" w:sz="4" w:space="0" w:color="000000"/>
            </w:tcBorders>
            <w:shd w:val="pct25" w:color="auto" w:fill="auto"/>
            <w:vAlign w:val="bottom"/>
          </w:tcPr>
          <w:p w:rsidR="009125FD" w:rsidRPr="005C5D59" w:rsidRDefault="009125FD" w:rsidP="009125FD">
            <w:pPr>
              <w:jc w:val="center"/>
              <w:rPr>
                <w:rFonts w:ascii="Arial" w:hAnsi="Arial" w:cs="Arial"/>
                <w:b/>
                <w:sz w:val="18"/>
                <w:szCs w:val="18"/>
              </w:rPr>
            </w:pPr>
            <w:r w:rsidRPr="005C5D59">
              <w:rPr>
                <w:rFonts w:ascii="Arial" w:hAnsi="Arial" w:cs="Arial"/>
                <w:b/>
                <w:sz w:val="18"/>
                <w:szCs w:val="18"/>
              </w:rPr>
              <w:t>User Role</w:t>
            </w:r>
          </w:p>
        </w:tc>
        <w:tc>
          <w:tcPr>
            <w:tcW w:w="3330" w:type="dxa"/>
            <w:tcBorders>
              <w:top w:val="single" w:sz="4" w:space="0" w:color="000000"/>
              <w:left w:val="single" w:sz="4" w:space="0" w:color="000000"/>
              <w:bottom w:val="single" w:sz="4" w:space="0" w:color="000000"/>
              <w:right w:val="single" w:sz="4" w:space="0" w:color="000000"/>
            </w:tcBorders>
            <w:shd w:val="pct25" w:color="auto" w:fill="auto"/>
            <w:vAlign w:val="bottom"/>
          </w:tcPr>
          <w:p w:rsidR="009125FD" w:rsidRPr="005C5D59" w:rsidRDefault="009125FD" w:rsidP="009125FD">
            <w:pPr>
              <w:jc w:val="center"/>
              <w:rPr>
                <w:rFonts w:ascii="Arial" w:hAnsi="Arial" w:cs="Arial"/>
                <w:b/>
                <w:sz w:val="18"/>
                <w:szCs w:val="18"/>
              </w:rPr>
            </w:pPr>
            <w:r>
              <w:rPr>
                <w:rFonts w:ascii="Arial" w:hAnsi="Arial" w:cs="Arial"/>
                <w:b/>
                <w:sz w:val="18"/>
                <w:szCs w:val="18"/>
              </w:rPr>
              <w:t xml:space="preserve">VBECS </w:t>
            </w:r>
            <w:r w:rsidRPr="005C5D59">
              <w:rPr>
                <w:rFonts w:ascii="Arial" w:hAnsi="Arial" w:cs="Arial"/>
                <w:b/>
                <w:sz w:val="18"/>
                <w:szCs w:val="18"/>
              </w:rPr>
              <w:t>Response</w:t>
            </w:r>
          </w:p>
        </w:tc>
      </w:tr>
      <w:tr w:rsidR="009125FD" w:rsidRPr="005C5D59" w:rsidTr="009125FD">
        <w:trPr>
          <w:cantSplit/>
          <w:trHeight w:val="284"/>
        </w:trPr>
        <w:tc>
          <w:tcPr>
            <w:tcW w:w="1843" w:type="dxa"/>
            <w:vMerge w:val="restart"/>
            <w:tcBorders>
              <w:top w:val="single" w:sz="4" w:space="0" w:color="000000"/>
              <w:left w:val="single" w:sz="4" w:space="0" w:color="000000"/>
              <w:right w:val="single" w:sz="4" w:space="0" w:color="000000"/>
            </w:tcBorders>
            <w:vAlign w:val="center"/>
            <w:hideMark/>
          </w:tcPr>
          <w:p w:rsidR="009125FD" w:rsidRPr="004F6C19" w:rsidRDefault="009125FD" w:rsidP="009125FD">
            <w:pPr>
              <w:jc w:val="center"/>
              <w:rPr>
                <w:rFonts w:ascii="Arial" w:hAnsi="Arial" w:cs="Arial"/>
                <w:b/>
                <w:sz w:val="28"/>
                <w:szCs w:val="28"/>
              </w:rPr>
            </w:pPr>
            <w:r w:rsidRPr="004F6C19">
              <w:rPr>
                <w:rFonts w:ascii="Arial" w:hAnsi="Arial" w:cs="Arial"/>
                <w:b/>
                <w:sz w:val="28"/>
                <w:szCs w:val="28"/>
              </w:rPr>
              <w:t>Irradiate</w:t>
            </w:r>
          </w:p>
          <w:p w:rsidR="009125FD" w:rsidRPr="004F6C19" w:rsidRDefault="009125FD" w:rsidP="009125FD">
            <w:pPr>
              <w:jc w:val="center"/>
              <w:rPr>
                <w:rFonts w:ascii="Arial" w:hAnsi="Arial" w:cs="Arial"/>
                <w:b/>
                <w:sz w:val="28"/>
                <w:szCs w:val="28"/>
              </w:rPr>
            </w:pPr>
            <w:r w:rsidRPr="004F6C19">
              <w:rPr>
                <w:rFonts w:ascii="Arial" w:hAnsi="Arial" w:cs="Arial"/>
                <w:b/>
                <w:sz w:val="28"/>
                <w:szCs w:val="28"/>
              </w:rPr>
              <w:t xml:space="preserve">Cellular </w:t>
            </w:r>
            <w:r w:rsidRPr="004F6C19">
              <w:rPr>
                <w:rFonts w:ascii="Arial" w:hAnsi="Arial" w:cs="Arial"/>
                <w:b/>
                <w:sz w:val="28"/>
                <w:szCs w:val="28"/>
              </w:rPr>
              <w:br/>
              <w:t>Products</w:t>
            </w:r>
          </w:p>
          <w:p w:rsidR="009125FD" w:rsidRPr="005C5D59" w:rsidRDefault="009125FD" w:rsidP="009125FD">
            <w:pPr>
              <w:jc w:val="center"/>
              <w:rPr>
                <w:rFonts w:ascii="Arial" w:hAnsi="Arial" w:cs="Arial"/>
                <w:sz w:val="18"/>
                <w:szCs w:val="18"/>
              </w:rPr>
            </w:pPr>
            <w:r w:rsidRPr="004F6C19">
              <w:rPr>
                <w:rFonts w:ascii="Arial" w:hAnsi="Arial" w:cs="Arial"/>
                <w:b/>
                <w:sz w:val="28"/>
                <w:szCs w:val="28"/>
              </w:rPr>
              <w:t>Only</w:t>
            </w:r>
          </w:p>
        </w:tc>
        <w:tc>
          <w:tcPr>
            <w:tcW w:w="2189" w:type="dxa"/>
            <w:tcBorders>
              <w:top w:val="single" w:sz="4" w:space="0" w:color="000000"/>
              <w:left w:val="single" w:sz="4" w:space="0" w:color="000000"/>
              <w:right w:val="single" w:sz="4" w:space="0" w:color="000000"/>
            </w:tcBorders>
            <w:shd w:val="pct10" w:color="auto" w:fill="auto"/>
            <w:vAlign w:val="center"/>
            <w:hideMark/>
          </w:tcPr>
          <w:p w:rsidR="009125FD" w:rsidRDefault="009125FD" w:rsidP="009125FD">
            <w:pPr>
              <w:spacing w:before="120"/>
              <w:jc w:val="center"/>
              <w:rPr>
                <w:rFonts w:ascii="Arial" w:hAnsi="Arial" w:cs="Arial"/>
                <w:sz w:val="18"/>
                <w:szCs w:val="18"/>
              </w:rPr>
            </w:pPr>
            <w:r w:rsidRPr="005C5D59">
              <w:rPr>
                <w:rFonts w:ascii="Arial" w:hAnsi="Arial" w:cs="Arial"/>
                <w:sz w:val="18"/>
                <w:szCs w:val="18"/>
              </w:rPr>
              <w:t xml:space="preserve">RED BLOOD CELLS  </w:t>
            </w:r>
          </w:p>
          <w:p w:rsidR="009125FD" w:rsidRDefault="009125FD" w:rsidP="009125FD">
            <w:pPr>
              <w:spacing w:before="120"/>
              <w:jc w:val="center"/>
              <w:rPr>
                <w:rFonts w:ascii="Arial" w:hAnsi="Arial" w:cs="Arial"/>
                <w:sz w:val="18"/>
                <w:szCs w:val="18"/>
              </w:rPr>
            </w:pPr>
            <w:r w:rsidRPr="005C5D59">
              <w:rPr>
                <w:rFonts w:ascii="Arial" w:hAnsi="Arial" w:cs="Arial"/>
                <w:sz w:val="18"/>
                <w:szCs w:val="18"/>
              </w:rPr>
              <w:t xml:space="preserve"> WHOLE BLOOD </w:t>
            </w:r>
          </w:p>
          <w:p w:rsidR="009125FD" w:rsidRDefault="009125FD" w:rsidP="009125FD">
            <w:pPr>
              <w:spacing w:before="120"/>
              <w:jc w:val="center"/>
              <w:rPr>
                <w:rFonts w:ascii="Arial" w:hAnsi="Arial" w:cs="Arial"/>
                <w:sz w:val="18"/>
                <w:szCs w:val="18"/>
              </w:rPr>
            </w:pPr>
            <w:r w:rsidRPr="005C5D59">
              <w:rPr>
                <w:rFonts w:ascii="Arial" w:hAnsi="Arial" w:cs="Arial"/>
                <w:sz w:val="18"/>
                <w:szCs w:val="18"/>
              </w:rPr>
              <w:t>PLATELETS</w:t>
            </w:r>
          </w:p>
          <w:p w:rsidR="009125FD" w:rsidRPr="005C5D59" w:rsidRDefault="009125FD" w:rsidP="009125FD">
            <w:pPr>
              <w:spacing w:before="120"/>
              <w:jc w:val="center"/>
              <w:rPr>
                <w:rFonts w:ascii="Arial" w:hAnsi="Arial" w:cs="Arial"/>
                <w:sz w:val="18"/>
                <w:szCs w:val="18"/>
              </w:rPr>
            </w:pPr>
            <w:r w:rsidRPr="005C5D59">
              <w:rPr>
                <w:rFonts w:ascii="Arial" w:hAnsi="Arial" w:cs="Arial"/>
                <w:color w:val="000000"/>
                <w:sz w:val="18"/>
                <w:szCs w:val="18"/>
              </w:rPr>
              <w:t>OTHER</w:t>
            </w:r>
          </w:p>
        </w:tc>
        <w:tc>
          <w:tcPr>
            <w:tcW w:w="1530" w:type="dxa"/>
            <w:tcBorders>
              <w:top w:val="single" w:sz="4" w:space="0" w:color="000000"/>
              <w:left w:val="single" w:sz="4" w:space="0" w:color="000000"/>
              <w:right w:val="single" w:sz="4" w:space="0" w:color="000000"/>
            </w:tcBorders>
            <w:shd w:val="pct10" w:color="auto" w:fill="auto"/>
            <w:vAlign w:val="center"/>
            <w:hideMark/>
          </w:tcPr>
          <w:p w:rsidR="009125FD" w:rsidRPr="008E2609" w:rsidRDefault="009125FD" w:rsidP="009125FD">
            <w:pPr>
              <w:jc w:val="center"/>
              <w:rPr>
                <w:rFonts w:ascii="Arial" w:hAnsi="Arial" w:cs="Arial"/>
                <w:sz w:val="18"/>
                <w:szCs w:val="18"/>
              </w:rPr>
            </w:pPr>
            <w:r w:rsidRPr="008E2609">
              <w:rPr>
                <w:rFonts w:ascii="Arial" w:hAnsi="Arial" w:cs="Arial"/>
                <w:sz w:val="18"/>
                <w:szCs w:val="18"/>
              </w:rPr>
              <w:t>Irradiated</w:t>
            </w:r>
          </w:p>
        </w:tc>
        <w:tc>
          <w:tcPr>
            <w:tcW w:w="1350" w:type="dxa"/>
            <w:tcBorders>
              <w:top w:val="single" w:sz="4" w:space="0" w:color="000000"/>
              <w:left w:val="single" w:sz="4" w:space="0" w:color="000000"/>
              <w:right w:val="single" w:sz="4" w:space="0" w:color="000000"/>
            </w:tcBorders>
            <w:shd w:val="pct10" w:color="auto" w:fill="auto"/>
            <w:vAlign w:val="center"/>
            <w:hideMark/>
          </w:tcPr>
          <w:p w:rsidR="009125FD" w:rsidRPr="005C5D59" w:rsidRDefault="009125FD" w:rsidP="009125FD">
            <w:pPr>
              <w:jc w:val="center"/>
              <w:rPr>
                <w:rFonts w:ascii="Arial" w:hAnsi="Arial" w:cs="Arial"/>
                <w:b/>
                <w:sz w:val="18"/>
                <w:szCs w:val="18"/>
              </w:rPr>
            </w:pPr>
            <w:r w:rsidRPr="00825E94">
              <w:rPr>
                <w:rFonts w:ascii="Arial" w:hAnsi="Arial" w:cs="Arial"/>
                <w:b/>
                <w:sz w:val="18"/>
                <w:szCs w:val="18"/>
              </w:rPr>
              <w:t>ALL VBECS Users</w:t>
            </w:r>
          </w:p>
        </w:tc>
        <w:tc>
          <w:tcPr>
            <w:tcW w:w="3330" w:type="dxa"/>
            <w:tcBorders>
              <w:top w:val="single" w:sz="4" w:space="0" w:color="000000"/>
              <w:left w:val="single" w:sz="4" w:space="0" w:color="000000"/>
              <w:right w:val="single" w:sz="4" w:space="0" w:color="000000"/>
            </w:tcBorders>
            <w:shd w:val="pct10" w:color="auto" w:fill="auto"/>
            <w:vAlign w:val="center"/>
          </w:tcPr>
          <w:p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rsidTr="009125FD">
        <w:trPr>
          <w:cantSplit/>
          <w:trHeight w:val="576"/>
        </w:trPr>
        <w:tc>
          <w:tcPr>
            <w:tcW w:w="1843" w:type="dxa"/>
            <w:vMerge/>
            <w:tcBorders>
              <w:left w:val="single" w:sz="4" w:space="0" w:color="000000"/>
              <w:right w:val="single" w:sz="4" w:space="0" w:color="000000"/>
            </w:tcBorders>
            <w:vAlign w:val="bottom"/>
          </w:tcPr>
          <w:p w:rsidR="009125FD" w:rsidRPr="005C5D59" w:rsidRDefault="009125FD" w:rsidP="009125FD">
            <w:pPr>
              <w:rPr>
                <w:rFonts w:ascii="Arial" w:hAnsi="Arial" w:cs="Arial"/>
                <w:b/>
                <w:sz w:val="18"/>
                <w:szCs w:val="18"/>
              </w:rPr>
            </w:pPr>
          </w:p>
        </w:tc>
        <w:tc>
          <w:tcPr>
            <w:tcW w:w="2189" w:type="dxa"/>
            <w:tcBorders>
              <w:top w:val="single" w:sz="4" w:space="0" w:color="000000"/>
              <w:left w:val="single" w:sz="4" w:space="0" w:color="000000"/>
              <w:bottom w:val="single" w:sz="4" w:space="0" w:color="000000"/>
              <w:right w:val="single" w:sz="4" w:space="0" w:color="000000"/>
            </w:tcBorders>
            <w:vAlign w:val="center"/>
          </w:tcPr>
          <w:p w:rsidR="009125FD" w:rsidRDefault="009125FD" w:rsidP="009125FD">
            <w:pPr>
              <w:spacing w:before="120"/>
              <w:jc w:val="center"/>
              <w:rPr>
                <w:rFonts w:ascii="Arial" w:hAnsi="Arial" w:cs="Arial"/>
                <w:sz w:val="18"/>
                <w:szCs w:val="18"/>
              </w:rPr>
            </w:pPr>
            <w:r w:rsidRPr="005C5D59">
              <w:rPr>
                <w:rFonts w:ascii="Arial" w:hAnsi="Arial" w:cs="Arial"/>
                <w:sz w:val="18"/>
                <w:szCs w:val="18"/>
              </w:rPr>
              <w:t xml:space="preserve">RED BLOOD CELLS  </w:t>
            </w:r>
          </w:p>
          <w:p w:rsidR="009125FD" w:rsidRDefault="009125FD" w:rsidP="009125FD">
            <w:pPr>
              <w:spacing w:before="120"/>
              <w:jc w:val="center"/>
              <w:rPr>
                <w:rFonts w:ascii="Arial" w:hAnsi="Arial" w:cs="Arial"/>
                <w:sz w:val="18"/>
                <w:szCs w:val="18"/>
              </w:rPr>
            </w:pPr>
            <w:r w:rsidRPr="005C5D59">
              <w:rPr>
                <w:rFonts w:ascii="Arial" w:hAnsi="Arial" w:cs="Arial"/>
                <w:sz w:val="18"/>
                <w:szCs w:val="18"/>
              </w:rPr>
              <w:t xml:space="preserve"> WHOLE BLOOD </w:t>
            </w:r>
          </w:p>
          <w:p w:rsidR="009125FD" w:rsidRDefault="009125FD" w:rsidP="009125FD">
            <w:pPr>
              <w:spacing w:before="120"/>
              <w:jc w:val="center"/>
              <w:rPr>
                <w:rFonts w:ascii="Arial" w:hAnsi="Arial" w:cs="Arial"/>
                <w:sz w:val="18"/>
                <w:szCs w:val="18"/>
              </w:rPr>
            </w:pPr>
            <w:r w:rsidRPr="005C5D59">
              <w:rPr>
                <w:rFonts w:ascii="Arial" w:hAnsi="Arial" w:cs="Arial"/>
                <w:sz w:val="18"/>
                <w:szCs w:val="18"/>
              </w:rPr>
              <w:t>PLATELETS</w:t>
            </w:r>
          </w:p>
          <w:p w:rsidR="009125FD" w:rsidRPr="005C5D59" w:rsidRDefault="009125FD" w:rsidP="009125FD">
            <w:pPr>
              <w:spacing w:before="120"/>
              <w:jc w:val="center"/>
              <w:rPr>
                <w:rFonts w:ascii="Arial" w:hAnsi="Arial" w:cs="Arial"/>
                <w:sz w:val="18"/>
                <w:szCs w:val="18"/>
              </w:rPr>
            </w:pPr>
            <w:r w:rsidRPr="005C5D59">
              <w:rPr>
                <w:rFonts w:ascii="Arial" w:hAnsi="Arial" w:cs="Arial"/>
                <w:color w:val="000000"/>
                <w:sz w:val="18"/>
                <w:szCs w:val="18"/>
              </w:rPr>
              <w:t>OTHER</w:t>
            </w:r>
          </w:p>
        </w:tc>
        <w:tc>
          <w:tcPr>
            <w:tcW w:w="1530" w:type="dxa"/>
            <w:tcBorders>
              <w:top w:val="single" w:sz="4" w:space="0" w:color="000000"/>
              <w:left w:val="single" w:sz="4" w:space="0" w:color="000000"/>
              <w:bottom w:val="single" w:sz="4" w:space="0" w:color="000000"/>
              <w:right w:val="single" w:sz="4" w:space="0" w:color="000000"/>
            </w:tcBorders>
            <w:vAlign w:val="center"/>
          </w:tcPr>
          <w:p w:rsidR="009125FD" w:rsidRPr="005C5D59" w:rsidRDefault="009125FD" w:rsidP="009125FD">
            <w:pPr>
              <w:jc w:val="center"/>
              <w:rPr>
                <w:rFonts w:ascii="Arial" w:hAnsi="Arial" w:cs="Arial"/>
                <w:color w:val="FF0000"/>
                <w:sz w:val="18"/>
                <w:szCs w:val="18"/>
              </w:rPr>
            </w:pPr>
            <w:r w:rsidRPr="005C5D59">
              <w:rPr>
                <w:rFonts w:ascii="Arial" w:hAnsi="Arial" w:cs="Arial"/>
                <w:b/>
                <w:color w:val="FF0000"/>
                <w:sz w:val="18"/>
                <w:szCs w:val="18"/>
              </w:rPr>
              <w:t>Not Irradiated</w:t>
            </w:r>
          </w:p>
        </w:tc>
        <w:tc>
          <w:tcPr>
            <w:tcW w:w="1350" w:type="dxa"/>
            <w:tcBorders>
              <w:top w:val="single" w:sz="4" w:space="0" w:color="000000"/>
              <w:left w:val="single" w:sz="4" w:space="0" w:color="000000"/>
              <w:bottom w:val="single" w:sz="4" w:space="0" w:color="000000"/>
              <w:right w:val="single" w:sz="4" w:space="0" w:color="000000"/>
            </w:tcBorders>
            <w:vAlign w:val="center"/>
          </w:tcPr>
          <w:p w:rsidR="009125FD" w:rsidRPr="005C5D59" w:rsidRDefault="009125FD" w:rsidP="009125FD">
            <w:pPr>
              <w:jc w:val="center"/>
              <w:rPr>
                <w:rFonts w:ascii="Arial" w:hAnsi="Arial" w:cs="Arial"/>
                <w:sz w:val="18"/>
                <w:szCs w:val="18"/>
              </w:rPr>
            </w:pPr>
            <w:r w:rsidRPr="00825E94">
              <w:rPr>
                <w:rFonts w:ascii="Arial" w:hAnsi="Arial" w:cs="Arial"/>
                <w:b/>
                <w:sz w:val="18"/>
                <w:szCs w:val="18"/>
              </w:rPr>
              <w:t>ALL VBECS Users</w:t>
            </w:r>
          </w:p>
        </w:tc>
        <w:tc>
          <w:tcPr>
            <w:tcW w:w="3330" w:type="dxa"/>
            <w:tcBorders>
              <w:top w:val="single" w:sz="4" w:space="0" w:color="000000"/>
              <w:left w:val="single" w:sz="4" w:space="0" w:color="000000"/>
              <w:right w:val="single" w:sz="4" w:space="0" w:color="000000"/>
            </w:tcBorders>
          </w:tcPr>
          <w:p w:rsidR="009125FD" w:rsidRPr="007F3B3C" w:rsidRDefault="009125FD" w:rsidP="009125FD">
            <w:pPr>
              <w:pStyle w:val="TableText"/>
              <w:spacing w:before="120"/>
              <w:rPr>
                <w:rStyle w:val="StyleTableText9ptCharChar"/>
                <w:rFonts w:cs="Arial"/>
                <w:i/>
              </w:rPr>
            </w:pPr>
            <w:r w:rsidRPr="005C5D59">
              <w:rPr>
                <w:rStyle w:val="StyleTableText9ptCharChar"/>
                <w:rFonts w:cs="Arial"/>
              </w:rPr>
              <w:t>The Transfusio</w:t>
            </w:r>
            <w:r>
              <w:rPr>
                <w:rStyle w:val="StyleTableText9ptCharChar"/>
                <w:rFonts w:cs="Arial"/>
              </w:rPr>
              <w:t xml:space="preserve">n Requirement is not satisfied; </w:t>
            </w:r>
            <w:r w:rsidRPr="005C5D59">
              <w:rPr>
                <w:rStyle w:val="StyleTableText9ptCharChar"/>
                <w:rFonts w:cs="Arial"/>
              </w:rPr>
              <w:t xml:space="preserve">the system emits an audible alert and displays a warning message: </w:t>
            </w:r>
            <w:r w:rsidRPr="007F3B3C">
              <w:rPr>
                <w:rStyle w:val="StyleTableText9ptCharChar"/>
                <w:rFonts w:cs="Arial"/>
                <w:i/>
              </w:rPr>
              <w:t>This unit does not currently satisfy all of the patient’s Transfusion Requirements. Further processing is needed. Continue to select this unit?</w:t>
            </w:r>
          </w:p>
          <w:p w:rsidR="009125FD" w:rsidRPr="005C5D59" w:rsidRDefault="009125FD" w:rsidP="009125FD">
            <w:pPr>
              <w:pStyle w:val="TableText"/>
              <w:rPr>
                <w:rStyle w:val="StyleTableText9ptCharChar"/>
                <w:rFonts w:cs="Arial"/>
              </w:rPr>
            </w:pPr>
            <w:r w:rsidRPr="005C5D59">
              <w:rPr>
                <w:rStyle w:val="StyleTableText9ptCharChar"/>
                <w:rFonts w:cs="Arial"/>
              </w:rPr>
              <w:t>If</w:t>
            </w:r>
            <w:r>
              <w:rPr>
                <w:rStyle w:val="StyleTableText9ptCharChar"/>
                <w:rFonts w:cs="Arial"/>
              </w:rPr>
              <w:t xml:space="preserve"> the user clicks </w:t>
            </w:r>
            <w:r w:rsidRPr="005C5D59">
              <w:rPr>
                <w:rStyle w:val="StyleTableText9ptCharChar"/>
                <w:rFonts w:cs="Arial"/>
              </w:rPr>
              <w:t>“No,” the screen is cleared.</w:t>
            </w:r>
          </w:p>
          <w:p w:rsidR="009125FD" w:rsidRPr="005C5D59" w:rsidRDefault="009125FD" w:rsidP="009125FD">
            <w:pPr>
              <w:pStyle w:val="TableText"/>
              <w:rPr>
                <w:rFonts w:cs="Arial"/>
                <w:noProof/>
              </w:rPr>
            </w:pPr>
            <w:r w:rsidRPr="005C5D59">
              <w:rPr>
                <w:rStyle w:val="StyleTableText9ptCharChar"/>
                <w:rFonts w:cs="Arial"/>
              </w:rPr>
              <w:t xml:space="preserve">If </w:t>
            </w:r>
            <w:r>
              <w:rPr>
                <w:rStyle w:val="StyleTableText9ptCharChar"/>
                <w:rFonts w:cs="Arial"/>
              </w:rPr>
              <w:t>the user clicks “Yes,” selection can continue to select the unit.</w:t>
            </w:r>
          </w:p>
        </w:tc>
      </w:tr>
    </w:tbl>
    <w:p w:rsidR="009125FD" w:rsidRDefault="009125FD" w:rsidP="009125FD"/>
    <w:p w:rsidR="00C15299" w:rsidRDefault="009125FD" w:rsidP="00C15299">
      <w:pPr>
        <w:pStyle w:val="Caption"/>
      </w:pPr>
      <w:r>
        <w:br w:type="page"/>
      </w:r>
      <w:bookmarkStart w:id="811" w:name="_Ref343502433"/>
      <w:bookmarkStart w:id="812" w:name="_Ref407612064"/>
      <w:r w:rsidR="00C15299">
        <w:lastRenderedPageBreak/>
        <w:t xml:space="preserve">Figure </w:t>
      </w:r>
      <w:r w:rsidR="00C15299">
        <w:fldChar w:fldCharType="begin"/>
      </w:r>
      <w:r w:rsidR="00C15299">
        <w:instrText xml:space="preserve"> SEQ Figure \* ARABIC </w:instrText>
      </w:r>
      <w:r w:rsidR="00C15299">
        <w:fldChar w:fldCharType="separate"/>
      </w:r>
      <w:r w:rsidR="005F38BC">
        <w:rPr>
          <w:noProof/>
        </w:rPr>
        <w:t>153</w:t>
      </w:r>
      <w:r w:rsidR="00C15299">
        <w:fldChar w:fldCharType="end"/>
      </w:r>
      <w:bookmarkEnd w:id="812"/>
      <w:r w:rsidR="00C15299">
        <w:t>: Irradiate Cellular Products Only and Issue Blood Component</w:t>
      </w:r>
      <w:bookmarkEnd w:id="811"/>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692"/>
        <w:gridCol w:w="1620"/>
        <w:gridCol w:w="1260"/>
        <w:gridCol w:w="1620"/>
        <w:gridCol w:w="4050"/>
      </w:tblGrid>
      <w:tr w:rsidR="009125FD" w:rsidRPr="005C5D59" w:rsidTr="009125FD">
        <w:trPr>
          <w:cantSplit/>
          <w:trHeight w:val="432"/>
          <w:tblHeader/>
        </w:trPr>
        <w:tc>
          <w:tcPr>
            <w:tcW w:w="10242" w:type="dxa"/>
            <w:gridSpan w:val="5"/>
            <w:tcBorders>
              <w:left w:val="single" w:sz="4" w:space="0" w:color="000000"/>
              <w:bottom w:val="single" w:sz="4" w:space="0" w:color="000000"/>
              <w:right w:val="single" w:sz="4" w:space="0" w:color="000000"/>
            </w:tcBorders>
            <w:shd w:val="pct25" w:color="auto" w:fill="auto"/>
            <w:vAlign w:val="bottom"/>
          </w:tcPr>
          <w:p w:rsidR="009125FD" w:rsidRPr="005C5D59" w:rsidRDefault="009125FD" w:rsidP="009125FD">
            <w:pPr>
              <w:rPr>
                <w:rFonts w:ascii="Arial" w:hAnsi="Arial" w:cs="Arial"/>
                <w:b/>
                <w:sz w:val="18"/>
                <w:szCs w:val="18"/>
              </w:rPr>
            </w:pPr>
            <w:r w:rsidRPr="005C5D59">
              <w:rPr>
                <w:rFonts w:ascii="Arial" w:hAnsi="Arial" w:cs="Arial"/>
                <w:b/>
                <w:sz w:val="18"/>
                <w:szCs w:val="18"/>
              </w:rPr>
              <w:t>Issue Blood Component: IRRADIATED</w:t>
            </w:r>
          </w:p>
        </w:tc>
      </w:tr>
      <w:tr w:rsidR="009125FD" w:rsidRPr="005C5D59" w:rsidTr="009125FD">
        <w:trPr>
          <w:cantSplit/>
          <w:trHeight w:val="432"/>
          <w:tblHeader/>
        </w:trPr>
        <w:tc>
          <w:tcPr>
            <w:tcW w:w="1692" w:type="dxa"/>
            <w:tcBorders>
              <w:left w:val="single" w:sz="4" w:space="0" w:color="000000"/>
              <w:bottom w:val="single" w:sz="4" w:space="0" w:color="000000"/>
              <w:right w:val="single" w:sz="4" w:space="0" w:color="000000"/>
            </w:tcBorders>
            <w:shd w:val="pct25" w:color="auto" w:fill="auto"/>
            <w:vAlign w:val="bottom"/>
            <w:hideMark/>
          </w:tcPr>
          <w:p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620" w:type="dxa"/>
            <w:tcBorders>
              <w:left w:val="single" w:sz="4" w:space="0" w:color="000000"/>
              <w:bottom w:val="single" w:sz="4" w:space="0" w:color="000000"/>
              <w:right w:val="single" w:sz="4" w:space="0" w:color="000000"/>
            </w:tcBorders>
            <w:shd w:val="pct25" w:color="auto" w:fill="auto"/>
            <w:vAlign w:val="bottom"/>
            <w:hideMark/>
          </w:tcPr>
          <w:p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rsidR="009125FD" w:rsidRPr="005C5D59" w:rsidRDefault="009125FD" w:rsidP="009125FD">
            <w:pP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rsidR="009125FD" w:rsidRPr="005C5D59" w:rsidRDefault="009125FD" w:rsidP="009125FD">
            <w:pPr>
              <w:jc w:val="center"/>
              <w:rPr>
                <w:rFonts w:ascii="Arial" w:hAnsi="Arial" w:cs="Arial"/>
                <w:b/>
                <w:sz w:val="18"/>
                <w:szCs w:val="18"/>
              </w:rPr>
            </w:pPr>
            <w:r w:rsidRPr="005C5D59">
              <w:rPr>
                <w:rFonts w:ascii="Arial" w:hAnsi="Arial" w:cs="Arial"/>
                <w:b/>
                <w:sz w:val="18"/>
                <w:szCs w:val="18"/>
              </w:rPr>
              <w:t>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rsidR="009125FD" w:rsidRPr="005C5D59" w:rsidRDefault="009125FD" w:rsidP="009125FD">
            <w:pPr>
              <w:jc w:val="center"/>
              <w:rPr>
                <w:rFonts w:ascii="Arial" w:hAnsi="Arial" w:cs="Arial"/>
                <w:b/>
                <w:sz w:val="18"/>
                <w:szCs w:val="18"/>
              </w:rPr>
            </w:pPr>
            <w:r>
              <w:rPr>
                <w:rFonts w:ascii="Arial" w:hAnsi="Arial" w:cs="Arial"/>
                <w:b/>
                <w:sz w:val="18"/>
                <w:szCs w:val="18"/>
              </w:rPr>
              <w:t xml:space="preserve">VBECS </w:t>
            </w:r>
            <w:r w:rsidRPr="005C5D59">
              <w:rPr>
                <w:rFonts w:ascii="Arial" w:hAnsi="Arial" w:cs="Arial"/>
                <w:b/>
                <w:sz w:val="18"/>
                <w:szCs w:val="18"/>
              </w:rPr>
              <w:t>Response</w:t>
            </w:r>
          </w:p>
        </w:tc>
      </w:tr>
      <w:tr w:rsidR="009125FD" w:rsidRPr="005C5D59" w:rsidTr="009125FD">
        <w:trPr>
          <w:cantSplit/>
          <w:trHeight w:val="284"/>
        </w:trPr>
        <w:tc>
          <w:tcPr>
            <w:tcW w:w="1692" w:type="dxa"/>
            <w:vMerge w:val="restart"/>
            <w:tcBorders>
              <w:top w:val="single" w:sz="4" w:space="0" w:color="000000"/>
              <w:left w:val="single" w:sz="4" w:space="0" w:color="000000"/>
              <w:right w:val="single" w:sz="4" w:space="0" w:color="000000"/>
            </w:tcBorders>
            <w:vAlign w:val="center"/>
            <w:hideMark/>
          </w:tcPr>
          <w:p w:rsidR="009125FD" w:rsidRPr="004F6C19" w:rsidRDefault="009125FD" w:rsidP="009125FD">
            <w:pPr>
              <w:jc w:val="center"/>
              <w:rPr>
                <w:rFonts w:ascii="Arial" w:hAnsi="Arial" w:cs="Arial"/>
                <w:b/>
                <w:sz w:val="28"/>
                <w:szCs w:val="28"/>
              </w:rPr>
            </w:pPr>
            <w:r w:rsidRPr="004F6C19">
              <w:rPr>
                <w:rFonts w:ascii="Arial" w:hAnsi="Arial" w:cs="Arial"/>
                <w:b/>
                <w:sz w:val="28"/>
                <w:szCs w:val="28"/>
              </w:rPr>
              <w:t>Irradiate</w:t>
            </w:r>
          </w:p>
          <w:p w:rsidR="009125FD" w:rsidRPr="004F6C19" w:rsidRDefault="009125FD" w:rsidP="009125FD">
            <w:pPr>
              <w:jc w:val="center"/>
              <w:rPr>
                <w:rFonts w:ascii="Arial" w:hAnsi="Arial" w:cs="Arial"/>
                <w:b/>
                <w:sz w:val="28"/>
                <w:szCs w:val="28"/>
              </w:rPr>
            </w:pPr>
            <w:r w:rsidRPr="004F6C19">
              <w:rPr>
                <w:rFonts w:ascii="Arial" w:hAnsi="Arial" w:cs="Arial"/>
                <w:b/>
                <w:sz w:val="28"/>
                <w:szCs w:val="28"/>
              </w:rPr>
              <w:t xml:space="preserve">Cellular </w:t>
            </w:r>
            <w:r w:rsidRPr="004F6C19">
              <w:rPr>
                <w:rFonts w:ascii="Arial" w:hAnsi="Arial" w:cs="Arial"/>
                <w:b/>
                <w:sz w:val="28"/>
                <w:szCs w:val="28"/>
              </w:rPr>
              <w:br/>
              <w:t>Products</w:t>
            </w:r>
          </w:p>
          <w:p w:rsidR="009125FD" w:rsidRPr="005C5D59" w:rsidRDefault="009125FD" w:rsidP="009125FD">
            <w:pPr>
              <w:jc w:val="center"/>
              <w:rPr>
                <w:rFonts w:ascii="Arial" w:hAnsi="Arial" w:cs="Arial"/>
                <w:sz w:val="18"/>
                <w:szCs w:val="18"/>
              </w:rPr>
            </w:pPr>
            <w:r w:rsidRPr="004F6C19">
              <w:rPr>
                <w:rFonts w:ascii="Arial" w:hAnsi="Arial" w:cs="Arial"/>
                <w:b/>
                <w:sz w:val="28"/>
                <w:szCs w:val="28"/>
              </w:rPr>
              <w:t>Only</w:t>
            </w:r>
          </w:p>
        </w:tc>
        <w:tc>
          <w:tcPr>
            <w:tcW w:w="1620" w:type="dxa"/>
            <w:tcBorders>
              <w:top w:val="single" w:sz="4" w:space="0" w:color="000000"/>
              <w:left w:val="single" w:sz="4" w:space="0" w:color="000000"/>
              <w:right w:val="single" w:sz="4" w:space="0" w:color="000000"/>
            </w:tcBorders>
            <w:shd w:val="pct10" w:color="auto" w:fill="auto"/>
            <w:vAlign w:val="center"/>
            <w:hideMark/>
          </w:tcPr>
          <w:p w:rsidR="009125FD" w:rsidRDefault="009125FD" w:rsidP="009125FD">
            <w:pPr>
              <w:spacing w:before="120"/>
              <w:jc w:val="center"/>
              <w:rPr>
                <w:rFonts w:ascii="Arial" w:hAnsi="Arial" w:cs="Arial"/>
                <w:sz w:val="18"/>
                <w:szCs w:val="18"/>
              </w:rPr>
            </w:pPr>
            <w:r w:rsidRPr="005C5D59">
              <w:rPr>
                <w:rFonts w:ascii="Arial" w:hAnsi="Arial" w:cs="Arial"/>
                <w:sz w:val="18"/>
                <w:szCs w:val="18"/>
              </w:rPr>
              <w:t xml:space="preserve">RED BLOOD CELLS </w:t>
            </w:r>
          </w:p>
          <w:p w:rsidR="009125FD" w:rsidRDefault="009125FD" w:rsidP="009125FD">
            <w:pPr>
              <w:spacing w:before="120"/>
              <w:jc w:val="center"/>
              <w:rPr>
                <w:rFonts w:ascii="Arial" w:hAnsi="Arial" w:cs="Arial"/>
                <w:sz w:val="18"/>
                <w:szCs w:val="18"/>
              </w:rPr>
            </w:pPr>
            <w:r w:rsidRPr="005C5D59">
              <w:rPr>
                <w:rFonts w:ascii="Arial" w:hAnsi="Arial" w:cs="Arial"/>
                <w:sz w:val="18"/>
                <w:szCs w:val="18"/>
              </w:rPr>
              <w:t xml:space="preserve">WHOLE BLOOD </w:t>
            </w:r>
          </w:p>
          <w:p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PLATELETS</w:t>
            </w:r>
          </w:p>
          <w:p w:rsidR="009125FD" w:rsidRPr="005C5D59" w:rsidRDefault="009125FD" w:rsidP="009125FD">
            <w:pPr>
              <w:spacing w:before="120"/>
              <w:jc w:val="center"/>
              <w:rPr>
                <w:rFonts w:ascii="Arial" w:hAnsi="Arial" w:cs="Arial"/>
                <w:sz w:val="18"/>
                <w:szCs w:val="18"/>
              </w:rPr>
            </w:pPr>
            <w:r w:rsidRPr="005C5D59">
              <w:rPr>
                <w:rFonts w:ascii="Arial" w:hAnsi="Arial" w:cs="Arial"/>
                <w:color w:val="000000"/>
                <w:sz w:val="18"/>
                <w:szCs w:val="18"/>
              </w:rPr>
              <w:t>OTHER</w:t>
            </w:r>
          </w:p>
        </w:tc>
        <w:tc>
          <w:tcPr>
            <w:tcW w:w="1260" w:type="dxa"/>
            <w:tcBorders>
              <w:top w:val="single" w:sz="4" w:space="0" w:color="000000"/>
              <w:left w:val="single" w:sz="4" w:space="0" w:color="000000"/>
              <w:right w:val="single" w:sz="4" w:space="0" w:color="000000"/>
            </w:tcBorders>
            <w:shd w:val="pct10" w:color="auto" w:fill="auto"/>
            <w:vAlign w:val="center"/>
            <w:hideMark/>
          </w:tcPr>
          <w:p w:rsidR="009125FD" w:rsidRPr="008E2609" w:rsidRDefault="009125FD" w:rsidP="009125FD">
            <w:pPr>
              <w:jc w:val="center"/>
              <w:rPr>
                <w:rFonts w:ascii="Arial" w:hAnsi="Arial" w:cs="Arial"/>
                <w:sz w:val="18"/>
                <w:szCs w:val="18"/>
              </w:rPr>
            </w:pPr>
            <w:r w:rsidRPr="008E2609">
              <w:rPr>
                <w:rFonts w:ascii="Arial" w:hAnsi="Arial" w:cs="Arial"/>
                <w:sz w:val="18"/>
                <w:szCs w:val="18"/>
              </w:rPr>
              <w:t>Irradiated</w:t>
            </w:r>
          </w:p>
        </w:tc>
        <w:tc>
          <w:tcPr>
            <w:tcW w:w="1620" w:type="dxa"/>
            <w:tcBorders>
              <w:top w:val="single" w:sz="4" w:space="0" w:color="000000"/>
              <w:left w:val="single" w:sz="4" w:space="0" w:color="000000"/>
              <w:right w:val="single" w:sz="4" w:space="0" w:color="000000"/>
            </w:tcBorders>
            <w:shd w:val="pct10" w:color="auto" w:fill="auto"/>
            <w:vAlign w:val="center"/>
            <w:hideMark/>
          </w:tcPr>
          <w:p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rsidTr="009125FD">
        <w:trPr>
          <w:cantSplit/>
          <w:trHeight w:val="1758"/>
        </w:trPr>
        <w:tc>
          <w:tcPr>
            <w:tcW w:w="1692" w:type="dxa"/>
            <w:vMerge/>
            <w:tcBorders>
              <w:left w:val="single" w:sz="4" w:space="0" w:color="000000"/>
              <w:right w:val="single" w:sz="4" w:space="0" w:color="000000"/>
            </w:tcBorders>
            <w:vAlign w:val="bottom"/>
          </w:tcPr>
          <w:p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 xml:space="preserve">RED BLOOD CELLS </w:t>
            </w:r>
          </w:p>
          <w:p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WHOLE BLOOD</w:t>
            </w:r>
          </w:p>
          <w:p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PLATELETS</w:t>
            </w:r>
          </w:p>
          <w:p w:rsidR="009125FD" w:rsidRPr="005C5D59" w:rsidRDefault="009125FD" w:rsidP="009125FD">
            <w:pPr>
              <w:spacing w:before="120"/>
              <w:jc w:val="center"/>
              <w:rPr>
                <w:rFonts w:ascii="Arial" w:hAnsi="Arial" w:cs="Arial"/>
                <w:sz w:val="18"/>
                <w:szCs w:val="18"/>
              </w:rPr>
            </w:pPr>
            <w:r w:rsidRPr="005C5D59">
              <w:rPr>
                <w:rFonts w:ascii="Arial" w:hAnsi="Arial" w:cs="Arial"/>
                <w:color w:val="000000"/>
                <w:sz w:val="18"/>
                <w:szCs w:val="18"/>
              </w:rPr>
              <w:t>OTHER</w:t>
            </w:r>
          </w:p>
        </w:tc>
        <w:tc>
          <w:tcPr>
            <w:tcW w:w="1260" w:type="dxa"/>
            <w:tcBorders>
              <w:top w:val="single" w:sz="4" w:space="0" w:color="000000"/>
              <w:left w:val="single" w:sz="4" w:space="0" w:color="000000"/>
              <w:right w:val="single" w:sz="4" w:space="0" w:color="000000"/>
            </w:tcBorders>
            <w:vAlign w:val="center"/>
          </w:tcPr>
          <w:p w:rsidR="009125FD" w:rsidRPr="005C5D59" w:rsidRDefault="009125FD" w:rsidP="009125FD">
            <w:pPr>
              <w:jc w:val="center"/>
              <w:rPr>
                <w:rFonts w:ascii="Arial" w:hAnsi="Arial" w:cs="Arial"/>
                <w:color w:val="FF0000"/>
                <w:sz w:val="18"/>
                <w:szCs w:val="18"/>
              </w:rPr>
            </w:pPr>
            <w:r w:rsidRPr="005C5D59">
              <w:rPr>
                <w:rFonts w:ascii="Arial" w:hAnsi="Arial" w:cs="Arial"/>
                <w:b/>
                <w:color w:val="FF0000"/>
                <w:sz w:val="18"/>
                <w:szCs w:val="18"/>
              </w:rPr>
              <w:t>Not Irradiated</w:t>
            </w:r>
          </w:p>
        </w:tc>
        <w:tc>
          <w:tcPr>
            <w:tcW w:w="1620" w:type="dxa"/>
            <w:tcBorders>
              <w:top w:val="single" w:sz="4" w:space="0" w:color="000000"/>
              <w:left w:val="single" w:sz="4" w:space="0" w:color="000000"/>
              <w:right w:val="single" w:sz="4" w:space="0" w:color="000000"/>
            </w:tcBorders>
            <w:vAlign w:val="center"/>
          </w:tcPr>
          <w:p w:rsidR="009125FD" w:rsidRPr="0081278B" w:rsidRDefault="009125FD" w:rsidP="009125FD">
            <w:pPr>
              <w:ind w:left="18"/>
              <w:rPr>
                <w:rFonts w:ascii="Arial" w:hAnsi="Arial" w:cs="Arial"/>
                <w:sz w:val="18"/>
                <w:szCs w:val="18"/>
              </w:rPr>
            </w:pPr>
            <w:r w:rsidRPr="0081278B">
              <w:rPr>
                <w:rFonts w:ascii="Arial" w:hAnsi="Arial" w:cs="Arial"/>
                <w:noProof/>
                <w:sz w:val="18"/>
                <w:szCs w:val="18"/>
              </w:rPr>
              <w:t>Technologist</w:t>
            </w:r>
          </w:p>
          <w:p w:rsidR="009125FD" w:rsidRPr="00836EE2" w:rsidRDefault="009125FD" w:rsidP="009125FD">
            <w:pPr>
              <w:ind w:left="18"/>
              <w:jc w:val="center"/>
              <w:rPr>
                <w:rFonts w:ascii="Arial" w:hAnsi="Arial" w:cs="Arial"/>
                <w:sz w:val="18"/>
                <w:szCs w:val="18"/>
              </w:rPr>
            </w:pPr>
          </w:p>
          <w:p w:rsidR="009125FD" w:rsidRPr="0081278B" w:rsidRDefault="009125FD" w:rsidP="009125FD">
            <w:pPr>
              <w:ind w:left="18"/>
              <w:rPr>
                <w:rFonts w:ascii="Arial" w:hAnsi="Arial" w:cs="Arial"/>
                <w:noProof/>
                <w:sz w:val="18"/>
                <w:szCs w:val="18"/>
              </w:rPr>
            </w:pPr>
            <w:r w:rsidRPr="0081278B">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vAlign w:val="bottom"/>
          </w:tcPr>
          <w:p w:rsidR="009125FD"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Patient’s Transfusion Requirement is not satisfied.</w:t>
            </w:r>
            <w:r w:rsidRPr="005C5D59">
              <w:rPr>
                <w:rFonts w:ascii="Arial" w:hAnsi="Arial" w:cs="Arial"/>
                <w:sz w:val="18"/>
                <w:szCs w:val="18"/>
              </w:rPr>
              <w:t xml:space="preserve"> </w:t>
            </w:r>
            <w:r w:rsidRPr="007F3B3C">
              <w:rPr>
                <w:rFonts w:ascii="Arial" w:hAnsi="Arial" w:cs="Arial"/>
                <w:i/>
                <w:sz w:val="18"/>
                <w:szCs w:val="18"/>
              </w:rPr>
              <w:t>You do not have the proper security to issue this unit. Further processing is needed and must be documented in VBECS.</w:t>
            </w:r>
            <w:r w:rsidRPr="005C5D59">
              <w:rPr>
                <w:rFonts w:ascii="Arial" w:hAnsi="Arial" w:cs="Arial"/>
                <w:sz w:val="18"/>
                <w:szCs w:val="18"/>
              </w:rPr>
              <w:t xml:space="preserve"> </w:t>
            </w:r>
          </w:p>
          <w:p w:rsidR="009125FD" w:rsidRPr="005C5D59" w:rsidRDefault="009125FD" w:rsidP="009125FD">
            <w:pPr>
              <w:rPr>
                <w:rFonts w:ascii="Arial" w:hAnsi="Arial" w:cs="Arial"/>
                <w:sz w:val="18"/>
                <w:szCs w:val="18"/>
              </w:rPr>
            </w:pPr>
            <w:r>
              <w:rPr>
                <w:rFonts w:ascii="Arial" w:hAnsi="Arial" w:cs="Arial"/>
                <w:sz w:val="18"/>
                <w:szCs w:val="18"/>
              </w:rPr>
              <w:t>The tech may not issue this unit in the computer.</w:t>
            </w:r>
          </w:p>
        </w:tc>
      </w:tr>
      <w:tr w:rsidR="009125FD" w:rsidRPr="005C5D59" w:rsidTr="009125FD">
        <w:trPr>
          <w:cantSplit/>
          <w:trHeight w:val="2343"/>
        </w:trPr>
        <w:tc>
          <w:tcPr>
            <w:tcW w:w="1692" w:type="dxa"/>
            <w:vMerge/>
            <w:tcBorders>
              <w:left w:val="single" w:sz="4" w:space="0" w:color="000000"/>
              <w:right w:val="single" w:sz="4" w:space="0" w:color="000000"/>
            </w:tcBorders>
            <w:vAlign w:val="bottom"/>
          </w:tcPr>
          <w:p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 xml:space="preserve">RED BLOOD CELLS </w:t>
            </w:r>
          </w:p>
          <w:p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WHOLE BLOOD</w:t>
            </w:r>
          </w:p>
          <w:p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PLATELETS</w:t>
            </w:r>
          </w:p>
          <w:p w:rsidR="009125FD" w:rsidRPr="005C5D59" w:rsidRDefault="009125FD" w:rsidP="009125FD">
            <w:pPr>
              <w:spacing w:before="120"/>
              <w:jc w:val="center"/>
              <w:rPr>
                <w:rFonts w:ascii="Arial" w:hAnsi="Arial" w:cs="Arial"/>
                <w:sz w:val="18"/>
                <w:szCs w:val="18"/>
              </w:rPr>
            </w:pPr>
            <w:r w:rsidRPr="005C5D59">
              <w:rPr>
                <w:rFonts w:ascii="Arial" w:hAnsi="Arial" w:cs="Arial"/>
                <w:color w:val="000000"/>
                <w:sz w:val="18"/>
                <w:szCs w:val="18"/>
              </w:rPr>
              <w:t>OTHER</w:t>
            </w:r>
          </w:p>
        </w:tc>
        <w:tc>
          <w:tcPr>
            <w:tcW w:w="1260" w:type="dxa"/>
            <w:tcBorders>
              <w:top w:val="single" w:sz="4" w:space="0" w:color="000000"/>
              <w:left w:val="single" w:sz="4" w:space="0" w:color="000000"/>
              <w:right w:val="single" w:sz="4" w:space="0" w:color="000000"/>
            </w:tcBorders>
            <w:vAlign w:val="center"/>
          </w:tcPr>
          <w:p w:rsidR="009125FD" w:rsidRPr="005C5D59" w:rsidRDefault="009125FD" w:rsidP="009125FD">
            <w:pPr>
              <w:jc w:val="center"/>
              <w:rPr>
                <w:rFonts w:ascii="Arial" w:hAnsi="Arial" w:cs="Arial"/>
                <w:color w:val="FF0000"/>
                <w:sz w:val="18"/>
                <w:szCs w:val="18"/>
              </w:rPr>
            </w:pPr>
            <w:r w:rsidRPr="005C5D59">
              <w:rPr>
                <w:rFonts w:ascii="Arial" w:hAnsi="Arial" w:cs="Arial"/>
                <w:b/>
                <w:color w:val="FF0000"/>
                <w:sz w:val="18"/>
                <w:szCs w:val="18"/>
              </w:rPr>
              <w:t>Not Irradiated</w:t>
            </w:r>
          </w:p>
        </w:tc>
        <w:tc>
          <w:tcPr>
            <w:tcW w:w="1620" w:type="dxa"/>
            <w:tcBorders>
              <w:top w:val="single" w:sz="4" w:space="0" w:color="000000"/>
              <w:left w:val="single" w:sz="4" w:space="0" w:color="000000"/>
              <w:right w:val="single" w:sz="4" w:space="0" w:color="000000"/>
            </w:tcBorders>
            <w:vAlign w:val="center"/>
          </w:tcPr>
          <w:p w:rsidR="009125FD" w:rsidRPr="0081278B" w:rsidRDefault="009125FD" w:rsidP="009125FD">
            <w:pPr>
              <w:spacing w:before="120"/>
              <w:ind w:left="18"/>
              <w:rPr>
                <w:rFonts w:ascii="Arial" w:hAnsi="Arial" w:cs="Arial"/>
                <w:sz w:val="18"/>
                <w:szCs w:val="18"/>
              </w:rPr>
            </w:pPr>
            <w:r w:rsidRPr="0081278B">
              <w:rPr>
                <w:rFonts w:ascii="Arial" w:hAnsi="Arial" w:cs="Arial"/>
                <w:sz w:val="18"/>
                <w:szCs w:val="18"/>
              </w:rPr>
              <w:t>Lead Technologist</w:t>
            </w:r>
          </w:p>
          <w:p w:rsidR="009125FD" w:rsidRPr="0081278B" w:rsidRDefault="009125FD" w:rsidP="009125FD">
            <w:pPr>
              <w:spacing w:before="120"/>
              <w:ind w:left="18"/>
              <w:rPr>
                <w:rFonts w:ascii="Arial" w:hAnsi="Arial" w:cs="Arial"/>
                <w:sz w:val="18"/>
                <w:szCs w:val="18"/>
              </w:rPr>
            </w:pPr>
            <w:r w:rsidRPr="0081278B">
              <w:rPr>
                <w:rFonts w:ascii="Arial" w:hAnsi="Arial" w:cs="Arial"/>
                <w:sz w:val="18"/>
                <w:szCs w:val="18"/>
              </w:rPr>
              <w:t>Traditional Supervisor</w:t>
            </w:r>
          </w:p>
          <w:p w:rsidR="009125FD" w:rsidRPr="0081278B" w:rsidRDefault="009125FD" w:rsidP="009125FD">
            <w:pPr>
              <w:spacing w:before="120"/>
              <w:ind w:left="18"/>
              <w:rPr>
                <w:rFonts w:ascii="Arial" w:hAnsi="Arial" w:cs="Arial"/>
                <w:sz w:val="18"/>
                <w:szCs w:val="18"/>
              </w:rPr>
            </w:pPr>
            <w:r w:rsidRPr="0081278B">
              <w:rPr>
                <w:rFonts w:ascii="Arial" w:hAnsi="Arial" w:cs="Arial"/>
                <w:sz w:val="18"/>
                <w:szCs w:val="18"/>
              </w:rPr>
              <w:t>Enhanced Supervisor</w:t>
            </w:r>
          </w:p>
          <w:p w:rsidR="009125FD" w:rsidRPr="0081278B" w:rsidRDefault="009125FD" w:rsidP="009125FD">
            <w:pPr>
              <w:spacing w:before="120"/>
              <w:ind w:left="18"/>
              <w:rPr>
                <w:rFonts w:ascii="Arial" w:hAnsi="Arial" w:cs="Arial"/>
                <w:sz w:val="18"/>
                <w:szCs w:val="18"/>
              </w:rPr>
            </w:pPr>
            <w:r w:rsidRPr="0081278B">
              <w:rPr>
                <w:rFonts w:ascii="Arial" w:hAnsi="Arial" w:cs="Arial"/>
                <w:sz w:val="18"/>
                <w:szCs w:val="18"/>
              </w:rPr>
              <w:t>Administrator/Supervisor</w:t>
            </w:r>
          </w:p>
          <w:p w:rsidR="009125FD" w:rsidRPr="008B278A" w:rsidRDefault="009125FD" w:rsidP="009125FD">
            <w:pPr>
              <w:ind w:left="18"/>
              <w:rPr>
                <w:rFonts w:ascii="Arial" w:hAnsi="Arial" w:cs="Arial"/>
                <w:sz w:val="18"/>
                <w:szCs w:val="18"/>
              </w:rPr>
            </w:pPr>
          </w:p>
        </w:tc>
        <w:tc>
          <w:tcPr>
            <w:tcW w:w="4050" w:type="dxa"/>
            <w:tcBorders>
              <w:top w:val="single" w:sz="4" w:space="0" w:color="000000"/>
              <w:left w:val="single" w:sz="4" w:space="0" w:color="000000"/>
              <w:right w:val="single" w:sz="4" w:space="0" w:color="000000"/>
            </w:tcBorders>
            <w:vAlign w:val="bottom"/>
          </w:tcPr>
          <w:p w:rsidR="009125FD" w:rsidRPr="005C5D59"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Patient’s Irradiate Cellular Products Only Transfusion Requirement is not satisfied</w:t>
            </w:r>
            <w:r w:rsidRPr="005C5D59">
              <w:rPr>
                <w:rFonts w:ascii="Arial" w:hAnsi="Arial" w:cs="Arial"/>
                <w:sz w:val="18"/>
                <w:szCs w:val="18"/>
              </w:rPr>
              <w:t xml:space="preserve"> and prompts the user whether to proceed. </w:t>
            </w:r>
          </w:p>
          <w:p w:rsidR="009125FD" w:rsidRPr="005C5D59" w:rsidRDefault="009125FD" w:rsidP="009125FD">
            <w:pPr>
              <w:rPr>
                <w:rFonts w:ascii="Arial" w:hAnsi="Arial" w:cs="Arial"/>
                <w:sz w:val="18"/>
                <w:szCs w:val="18"/>
              </w:rPr>
            </w:pPr>
            <w:r w:rsidRPr="005C5D59">
              <w:rPr>
                <w:rFonts w:ascii="Arial" w:hAnsi="Arial" w:cs="Arial"/>
                <w:sz w:val="18"/>
                <w:szCs w:val="18"/>
              </w:rPr>
              <w:t>If the user responds “No”</w:t>
            </w:r>
            <w:r>
              <w:rPr>
                <w:rFonts w:ascii="Arial" w:hAnsi="Arial" w:cs="Arial"/>
                <w:sz w:val="18"/>
                <w:szCs w:val="18"/>
              </w:rPr>
              <w:t>,</w:t>
            </w:r>
            <w:r w:rsidRPr="005C5D59">
              <w:rPr>
                <w:rFonts w:ascii="Arial" w:hAnsi="Arial" w:cs="Arial"/>
                <w:sz w:val="18"/>
                <w:szCs w:val="18"/>
              </w:rPr>
              <w:t xml:space="preserve"> the system wi</w:t>
            </w:r>
            <w:r>
              <w:rPr>
                <w:rFonts w:ascii="Arial" w:hAnsi="Arial" w:cs="Arial"/>
                <w:sz w:val="18"/>
                <w:szCs w:val="18"/>
              </w:rPr>
              <w:t>ll clear the selected unit.</w:t>
            </w:r>
          </w:p>
          <w:p w:rsidR="009125FD" w:rsidRPr="005C5D59" w:rsidRDefault="009125FD" w:rsidP="009125FD">
            <w:pPr>
              <w:rPr>
                <w:rFonts w:ascii="Arial" w:hAnsi="Arial" w:cs="Arial"/>
                <w:sz w:val="18"/>
                <w:szCs w:val="18"/>
              </w:rPr>
            </w:pPr>
            <w:r w:rsidRPr="005C5D59">
              <w:rPr>
                <w:rFonts w:ascii="Arial" w:hAnsi="Arial" w:cs="Arial"/>
                <w:sz w:val="18"/>
                <w:szCs w:val="18"/>
              </w:rPr>
              <w:t>If the user responds “Yes”</w:t>
            </w:r>
            <w:r>
              <w:rPr>
                <w:rFonts w:ascii="Arial" w:hAnsi="Arial" w:cs="Arial"/>
                <w:sz w:val="18"/>
                <w:szCs w:val="18"/>
              </w:rPr>
              <w:t>,</w:t>
            </w:r>
            <w:r w:rsidRPr="005C5D59">
              <w:rPr>
                <w:rFonts w:ascii="Arial" w:hAnsi="Arial" w:cs="Arial"/>
                <w:sz w:val="18"/>
                <w:szCs w:val="18"/>
              </w:rPr>
              <w:t xml:space="preserve"> the system will require a comment (free text or canned, “unit issue” context) and capture the transacti</w:t>
            </w:r>
            <w:r>
              <w:rPr>
                <w:rFonts w:ascii="Arial" w:hAnsi="Arial" w:cs="Arial"/>
                <w:sz w:val="18"/>
                <w:szCs w:val="18"/>
              </w:rPr>
              <w:t>on details for inclusion  in an Exception R</w:t>
            </w:r>
            <w:r w:rsidRPr="005C5D59">
              <w:rPr>
                <w:rFonts w:ascii="Arial" w:hAnsi="Arial" w:cs="Arial"/>
                <w:sz w:val="18"/>
                <w:szCs w:val="18"/>
              </w:rPr>
              <w:t>eport</w:t>
            </w:r>
            <w:r>
              <w:rPr>
                <w:rFonts w:ascii="Arial" w:hAnsi="Arial" w:cs="Arial"/>
                <w:sz w:val="18"/>
                <w:szCs w:val="18"/>
              </w:rPr>
              <w:t xml:space="preserve"> entry</w:t>
            </w:r>
            <w:r w:rsidRPr="005C5D59">
              <w:rPr>
                <w:rFonts w:ascii="Arial" w:hAnsi="Arial" w:cs="Arial"/>
                <w:sz w:val="18"/>
                <w:szCs w:val="18"/>
              </w:rPr>
              <w:t xml:space="preserve">: </w:t>
            </w:r>
            <w:r w:rsidRPr="005C5D59">
              <w:rPr>
                <w:rFonts w:ascii="Arial" w:hAnsi="Arial" w:cs="Arial"/>
                <w:i/>
                <w:sz w:val="18"/>
                <w:szCs w:val="18"/>
              </w:rPr>
              <w:t>Unit issued with unsatisfied Transfusion Requirement</w:t>
            </w:r>
            <w:r>
              <w:rPr>
                <w:rFonts w:ascii="Arial" w:hAnsi="Arial" w:cs="Arial"/>
                <w:sz w:val="18"/>
                <w:szCs w:val="18"/>
              </w:rPr>
              <w:t>.</w:t>
            </w:r>
          </w:p>
        </w:tc>
      </w:tr>
    </w:tbl>
    <w:p w:rsidR="009125FD" w:rsidRPr="000B5AC8" w:rsidRDefault="009125FD" w:rsidP="009125FD"/>
    <w:p w:rsidR="00C15299" w:rsidRDefault="009125FD" w:rsidP="00C15299">
      <w:pPr>
        <w:pStyle w:val="Caption"/>
      </w:pPr>
      <w:r>
        <w:br w:type="page"/>
      </w:r>
      <w:bookmarkStart w:id="813" w:name="_Ref343502457"/>
      <w:bookmarkStart w:id="814" w:name="_Ref407612076"/>
      <w:r w:rsidR="00C15299">
        <w:lastRenderedPageBreak/>
        <w:t xml:space="preserve">Figure </w:t>
      </w:r>
      <w:r w:rsidR="00C15299">
        <w:fldChar w:fldCharType="begin"/>
      </w:r>
      <w:r w:rsidR="00C15299">
        <w:instrText xml:space="preserve"> SEQ Figure \* ARABIC </w:instrText>
      </w:r>
      <w:r w:rsidR="00C15299">
        <w:fldChar w:fldCharType="separate"/>
      </w:r>
      <w:r w:rsidR="005F38BC">
        <w:rPr>
          <w:noProof/>
        </w:rPr>
        <w:t>154</w:t>
      </w:r>
      <w:r w:rsidR="00C15299">
        <w:fldChar w:fldCharType="end"/>
      </w:r>
      <w:bookmarkEnd w:id="814"/>
      <w:r w:rsidR="00C15299">
        <w:t>: Leuko-reduce Cellular Products and Select Blood Unit</w:t>
      </w:r>
      <w:bookmarkEnd w:id="813"/>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692"/>
        <w:gridCol w:w="1620"/>
        <w:gridCol w:w="1260"/>
        <w:gridCol w:w="1620"/>
        <w:gridCol w:w="4050"/>
      </w:tblGrid>
      <w:tr w:rsidR="009125FD" w:rsidRPr="005C5D59" w:rsidTr="009125FD">
        <w:trPr>
          <w:cantSplit/>
          <w:trHeight w:val="305"/>
          <w:tblHeader/>
        </w:trPr>
        <w:tc>
          <w:tcPr>
            <w:tcW w:w="10242" w:type="dxa"/>
            <w:gridSpan w:val="5"/>
            <w:tcBorders>
              <w:top w:val="single" w:sz="4" w:space="0" w:color="000000"/>
              <w:left w:val="single" w:sz="4" w:space="0" w:color="000000"/>
              <w:right w:val="single" w:sz="4" w:space="0" w:color="000000"/>
            </w:tcBorders>
            <w:shd w:val="pct25" w:color="auto" w:fill="auto"/>
            <w:vAlign w:val="bottom"/>
            <w:hideMark/>
          </w:tcPr>
          <w:p w:rsidR="009125FD" w:rsidRPr="005C5D59" w:rsidRDefault="009125FD" w:rsidP="009125FD">
            <w:pPr>
              <w:rPr>
                <w:rFonts w:ascii="Arial" w:hAnsi="Arial" w:cs="Arial"/>
                <w:b/>
                <w:sz w:val="18"/>
                <w:szCs w:val="18"/>
              </w:rPr>
            </w:pPr>
            <w:r w:rsidRPr="005C5D59">
              <w:rPr>
                <w:rFonts w:ascii="Arial" w:hAnsi="Arial" w:cs="Arial"/>
                <w:b/>
                <w:sz w:val="18"/>
                <w:szCs w:val="18"/>
              </w:rPr>
              <w:t xml:space="preserve">Select Unit: </w:t>
            </w:r>
            <w:r w:rsidRPr="00996892">
              <w:rPr>
                <w:rFonts w:ascii="Arial" w:hAnsi="Arial" w:cs="Arial"/>
                <w:b/>
                <w:sz w:val="18"/>
                <w:szCs w:val="18"/>
              </w:rPr>
              <w:t>Leuko-reduce</w:t>
            </w:r>
            <w:r>
              <w:rPr>
                <w:rFonts w:ascii="Arial" w:hAnsi="Arial" w:cs="Arial"/>
                <w:b/>
                <w:sz w:val="18"/>
                <w:szCs w:val="18"/>
              </w:rPr>
              <w:t xml:space="preserve"> Cellular Products</w:t>
            </w:r>
          </w:p>
        </w:tc>
      </w:tr>
      <w:tr w:rsidR="009125FD" w:rsidRPr="005C5D59" w:rsidTr="009125FD">
        <w:trPr>
          <w:cantSplit/>
          <w:trHeight w:val="432"/>
          <w:tblHeader/>
        </w:trPr>
        <w:tc>
          <w:tcPr>
            <w:tcW w:w="1692" w:type="dxa"/>
            <w:tcBorders>
              <w:left w:val="single" w:sz="4" w:space="0" w:color="000000"/>
              <w:bottom w:val="single" w:sz="4" w:space="0" w:color="000000"/>
              <w:right w:val="single" w:sz="4" w:space="0" w:color="000000"/>
            </w:tcBorders>
            <w:shd w:val="pct25" w:color="auto" w:fill="auto"/>
            <w:vAlign w:val="bottom"/>
            <w:hideMark/>
          </w:tcPr>
          <w:p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620" w:type="dxa"/>
            <w:tcBorders>
              <w:left w:val="single" w:sz="4" w:space="0" w:color="000000"/>
              <w:bottom w:val="single" w:sz="4" w:space="0" w:color="000000"/>
              <w:right w:val="single" w:sz="4" w:space="0" w:color="000000"/>
            </w:tcBorders>
            <w:shd w:val="pct25" w:color="auto" w:fill="auto"/>
            <w:vAlign w:val="bottom"/>
            <w:hideMark/>
          </w:tcPr>
          <w:p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rsidR="009125FD" w:rsidRPr="005C5D59" w:rsidRDefault="009125FD" w:rsidP="009125FD">
            <w:pPr>
              <w:jc w:val="cente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rsidR="009125FD" w:rsidRPr="005C5D59" w:rsidRDefault="009125FD" w:rsidP="009125FD">
            <w:pPr>
              <w:jc w:val="center"/>
              <w:rPr>
                <w:rFonts w:ascii="Arial" w:hAnsi="Arial" w:cs="Arial"/>
                <w:b/>
                <w:sz w:val="18"/>
                <w:szCs w:val="18"/>
              </w:rPr>
            </w:pPr>
            <w:r w:rsidRPr="005C5D59">
              <w:rPr>
                <w:rFonts w:ascii="Arial" w:hAnsi="Arial" w:cs="Arial"/>
                <w:b/>
                <w:sz w:val="18"/>
                <w:szCs w:val="18"/>
              </w:rPr>
              <w:t>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rsidR="009125FD" w:rsidRPr="005C5D59" w:rsidRDefault="009125FD" w:rsidP="009125FD">
            <w:pPr>
              <w:jc w:val="center"/>
              <w:rPr>
                <w:rFonts w:ascii="Arial" w:hAnsi="Arial" w:cs="Arial"/>
                <w:b/>
                <w:sz w:val="18"/>
                <w:szCs w:val="18"/>
              </w:rPr>
            </w:pPr>
            <w:r>
              <w:rPr>
                <w:rFonts w:ascii="Arial" w:hAnsi="Arial" w:cs="Arial"/>
                <w:b/>
                <w:sz w:val="18"/>
                <w:szCs w:val="18"/>
              </w:rPr>
              <w:t xml:space="preserve">VBECS </w:t>
            </w:r>
            <w:r w:rsidRPr="005C5D59">
              <w:rPr>
                <w:rFonts w:ascii="Arial" w:hAnsi="Arial" w:cs="Arial"/>
                <w:b/>
                <w:sz w:val="18"/>
                <w:szCs w:val="18"/>
              </w:rPr>
              <w:t>Response</w:t>
            </w:r>
          </w:p>
        </w:tc>
      </w:tr>
      <w:tr w:rsidR="009125FD" w:rsidRPr="005C5D59" w:rsidTr="009125FD">
        <w:trPr>
          <w:cantSplit/>
          <w:trHeight w:val="284"/>
        </w:trPr>
        <w:tc>
          <w:tcPr>
            <w:tcW w:w="1692" w:type="dxa"/>
            <w:vMerge w:val="restart"/>
            <w:tcBorders>
              <w:top w:val="single" w:sz="4" w:space="0" w:color="000000"/>
              <w:left w:val="single" w:sz="4" w:space="0" w:color="000000"/>
              <w:right w:val="single" w:sz="4" w:space="0" w:color="000000"/>
            </w:tcBorders>
            <w:vAlign w:val="center"/>
            <w:hideMark/>
          </w:tcPr>
          <w:p w:rsidR="009125FD" w:rsidRPr="00A92752" w:rsidRDefault="009125FD" w:rsidP="009125FD">
            <w:pPr>
              <w:jc w:val="center"/>
              <w:rPr>
                <w:rFonts w:ascii="Arial" w:hAnsi="Arial" w:cs="Arial"/>
                <w:b/>
                <w:sz w:val="28"/>
                <w:szCs w:val="28"/>
              </w:rPr>
            </w:pPr>
            <w:r w:rsidRPr="00A92752">
              <w:rPr>
                <w:rFonts w:ascii="Arial" w:hAnsi="Arial" w:cs="Arial"/>
                <w:b/>
                <w:sz w:val="28"/>
                <w:szCs w:val="28"/>
              </w:rPr>
              <w:t>Leuko-reduce Cellular Products</w:t>
            </w:r>
          </w:p>
        </w:tc>
        <w:tc>
          <w:tcPr>
            <w:tcW w:w="1620" w:type="dxa"/>
            <w:tcBorders>
              <w:top w:val="single" w:sz="4" w:space="0" w:color="000000"/>
              <w:left w:val="single" w:sz="4" w:space="0" w:color="000000"/>
              <w:right w:val="single" w:sz="4" w:space="0" w:color="000000"/>
            </w:tcBorders>
            <w:shd w:val="pct10" w:color="auto" w:fill="auto"/>
            <w:vAlign w:val="center"/>
            <w:hideMark/>
          </w:tcPr>
          <w:p w:rsidR="009125FD" w:rsidRPr="00052726" w:rsidRDefault="009125FD" w:rsidP="009125FD">
            <w:pPr>
              <w:jc w:val="center"/>
              <w:rPr>
                <w:rFonts w:ascii="Arial" w:hAnsi="Arial" w:cs="Arial"/>
                <w:sz w:val="18"/>
                <w:szCs w:val="18"/>
              </w:rPr>
            </w:pPr>
            <w:r w:rsidRPr="00052726">
              <w:rPr>
                <w:rFonts w:ascii="Arial" w:hAnsi="Arial" w:cs="Arial"/>
                <w:sz w:val="18"/>
                <w:szCs w:val="18"/>
              </w:rPr>
              <w:t xml:space="preserve">RED BLOOD CELLS   </w:t>
            </w:r>
          </w:p>
          <w:p w:rsidR="009125FD" w:rsidRPr="00052726" w:rsidRDefault="009125FD" w:rsidP="009125FD">
            <w:pPr>
              <w:spacing w:before="120"/>
              <w:jc w:val="center"/>
              <w:rPr>
                <w:rFonts w:ascii="Arial" w:hAnsi="Arial" w:cs="Arial"/>
                <w:sz w:val="18"/>
                <w:szCs w:val="18"/>
              </w:rPr>
            </w:pPr>
            <w:r w:rsidRPr="00052726">
              <w:rPr>
                <w:rFonts w:ascii="Arial" w:hAnsi="Arial" w:cs="Arial"/>
                <w:sz w:val="18"/>
                <w:szCs w:val="18"/>
              </w:rPr>
              <w:t>WHOLE BLOOD</w:t>
            </w:r>
          </w:p>
          <w:p w:rsidR="009125FD" w:rsidRPr="00052726" w:rsidRDefault="009125FD" w:rsidP="009125FD">
            <w:pPr>
              <w:spacing w:before="120"/>
              <w:jc w:val="center"/>
              <w:rPr>
                <w:rFonts w:ascii="Arial" w:hAnsi="Arial" w:cs="Arial"/>
                <w:sz w:val="18"/>
                <w:szCs w:val="18"/>
              </w:rPr>
            </w:pPr>
            <w:r w:rsidRPr="00052726">
              <w:rPr>
                <w:rFonts w:ascii="Arial" w:hAnsi="Arial" w:cs="Arial"/>
                <w:sz w:val="18"/>
                <w:szCs w:val="18"/>
              </w:rPr>
              <w:t xml:space="preserve"> PLATELETS</w:t>
            </w:r>
          </w:p>
        </w:tc>
        <w:tc>
          <w:tcPr>
            <w:tcW w:w="1260" w:type="dxa"/>
            <w:tcBorders>
              <w:top w:val="single" w:sz="4" w:space="0" w:color="000000"/>
              <w:left w:val="single" w:sz="4" w:space="0" w:color="000000"/>
              <w:right w:val="single" w:sz="4" w:space="0" w:color="000000"/>
            </w:tcBorders>
            <w:shd w:val="pct10" w:color="auto" w:fill="auto"/>
            <w:vAlign w:val="center"/>
            <w:hideMark/>
          </w:tcPr>
          <w:p w:rsidR="009125FD" w:rsidRPr="00052726" w:rsidRDefault="009125FD" w:rsidP="009125FD">
            <w:pPr>
              <w:jc w:val="center"/>
              <w:rPr>
                <w:rFonts w:ascii="Arial" w:hAnsi="Arial" w:cs="Arial"/>
                <w:b/>
                <w:sz w:val="18"/>
                <w:szCs w:val="18"/>
              </w:rPr>
            </w:pPr>
            <w:r w:rsidRPr="00052726">
              <w:rPr>
                <w:rFonts w:ascii="Arial" w:hAnsi="Arial" w:cs="Arial"/>
                <w:sz w:val="18"/>
                <w:szCs w:val="18"/>
              </w:rPr>
              <w:t>Leuko-reduced</w:t>
            </w:r>
          </w:p>
        </w:tc>
        <w:tc>
          <w:tcPr>
            <w:tcW w:w="1620" w:type="dxa"/>
            <w:tcBorders>
              <w:top w:val="single" w:sz="4" w:space="0" w:color="000000"/>
              <w:left w:val="single" w:sz="4" w:space="0" w:color="000000"/>
              <w:right w:val="single" w:sz="4" w:space="0" w:color="000000"/>
            </w:tcBorders>
            <w:shd w:val="pct10" w:color="auto" w:fill="auto"/>
            <w:vAlign w:val="center"/>
            <w:hideMark/>
          </w:tcPr>
          <w:p w:rsidR="009125FD" w:rsidRPr="00052726" w:rsidRDefault="009125FD" w:rsidP="009125FD">
            <w:pPr>
              <w:jc w:val="center"/>
              <w:rPr>
                <w:rFonts w:ascii="Arial" w:hAnsi="Arial" w:cs="Arial"/>
                <w:sz w:val="18"/>
                <w:szCs w:val="18"/>
              </w:rPr>
            </w:pPr>
            <w:r w:rsidRPr="00052726">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rsidR="009125FD" w:rsidRPr="00052726" w:rsidRDefault="009125FD" w:rsidP="009125FD">
            <w:pPr>
              <w:jc w:val="center"/>
              <w:rPr>
                <w:rFonts w:ascii="Arial" w:hAnsi="Arial" w:cs="Arial"/>
                <w:sz w:val="18"/>
                <w:szCs w:val="18"/>
              </w:rPr>
            </w:pPr>
            <w:r w:rsidRPr="00052726">
              <w:rPr>
                <w:rFonts w:ascii="Arial" w:hAnsi="Arial" w:cs="Arial"/>
                <w:sz w:val="18"/>
                <w:szCs w:val="18"/>
              </w:rPr>
              <w:t>No warning message will display.</w:t>
            </w:r>
          </w:p>
        </w:tc>
      </w:tr>
      <w:tr w:rsidR="009125FD" w:rsidRPr="005C5D59" w:rsidTr="009125FD">
        <w:trPr>
          <w:cantSplit/>
          <w:trHeight w:val="1983"/>
        </w:trPr>
        <w:tc>
          <w:tcPr>
            <w:tcW w:w="1692" w:type="dxa"/>
            <w:vMerge/>
            <w:tcBorders>
              <w:left w:val="single" w:sz="4" w:space="0" w:color="000000"/>
              <w:right w:val="single" w:sz="4" w:space="0" w:color="000000"/>
            </w:tcBorders>
            <w:vAlign w:val="bottom"/>
          </w:tcPr>
          <w:p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rsidR="009125FD" w:rsidRPr="00052726" w:rsidRDefault="009125FD" w:rsidP="009125FD">
            <w:pPr>
              <w:jc w:val="center"/>
              <w:rPr>
                <w:rFonts w:ascii="Arial" w:hAnsi="Arial" w:cs="Arial"/>
                <w:sz w:val="18"/>
                <w:szCs w:val="18"/>
              </w:rPr>
            </w:pPr>
            <w:r w:rsidRPr="00052726">
              <w:rPr>
                <w:rFonts w:ascii="Arial" w:hAnsi="Arial" w:cs="Arial"/>
                <w:sz w:val="18"/>
                <w:szCs w:val="18"/>
              </w:rPr>
              <w:t>RED BLOOD CELLS</w:t>
            </w:r>
          </w:p>
          <w:p w:rsidR="009125FD" w:rsidRPr="00052726" w:rsidRDefault="009125FD" w:rsidP="009125FD">
            <w:pPr>
              <w:spacing w:before="120"/>
              <w:jc w:val="center"/>
              <w:rPr>
                <w:rFonts w:ascii="Arial" w:hAnsi="Arial" w:cs="Arial"/>
                <w:sz w:val="18"/>
                <w:szCs w:val="18"/>
              </w:rPr>
            </w:pPr>
            <w:r w:rsidRPr="00052726">
              <w:rPr>
                <w:rFonts w:ascii="Arial" w:hAnsi="Arial" w:cs="Arial"/>
                <w:sz w:val="18"/>
                <w:szCs w:val="18"/>
              </w:rPr>
              <w:t>WHOLE BLOOD</w:t>
            </w:r>
          </w:p>
          <w:p w:rsidR="009125FD" w:rsidRPr="00052726" w:rsidRDefault="009125FD" w:rsidP="009125FD">
            <w:pPr>
              <w:spacing w:before="120"/>
              <w:jc w:val="center"/>
              <w:rPr>
                <w:rFonts w:ascii="Arial" w:hAnsi="Arial" w:cs="Arial"/>
                <w:sz w:val="18"/>
                <w:szCs w:val="18"/>
              </w:rPr>
            </w:pPr>
            <w:r w:rsidRPr="00052726">
              <w:rPr>
                <w:rFonts w:ascii="Arial" w:hAnsi="Arial" w:cs="Arial"/>
                <w:sz w:val="18"/>
                <w:szCs w:val="18"/>
              </w:rPr>
              <w:t>PLATELETS</w:t>
            </w:r>
          </w:p>
        </w:tc>
        <w:tc>
          <w:tcPr>
            <w:tcW w:w="1260" w:type="dxa"/>
            <w:tcBorders>
              <w:top w:val="single" w:sz="4" w:space="0" w:color="000000"/>
              <w:left w:val="single" w:sz="4" w:space="0" w:color="000000"/>
              <w:right w:val="single" w:sz="4" w:space="0" w:color="000000"/>
            </w:tcBorders>
            <w:vAlign w:val="center"/>
          </w:tcPr>
          <w:p w:rsidR="009125FD" w:rsidRPr="00052726" w:rsidRDefault="009125FD" w:rsidP="009125FD">
            <w:pPr>
              <w:jc w:val="center"/>
              <w:rPr>
                <w:rFonts w:ascii="Arial" w:hAnsi="Arial" w:cs="Arial"/>
                <w:b/>
                <w:color w:val="FF0000"/>
                <w:sz w:val="18"/>
                <w:szCs w:val="18"/>
              </w:rPr>
            </w:pPr>
            <w:r w:rsidRPr="00052726">
              <w:rPr>
                <w:rFonts w:ascii="Arial" w:hAnsi="Arial" w:cs="Arial"/>
                <w:b/>
                <w:color w:val="FF0000"/>
                <w:sz w:val="18"/>
                <w:szCs w:val="18"/>
              </w:rPr>
              <w:t>Not  Leuko-reduced</w:t>
            </w:r>
          </w:p>
          <w:p w:rsidR="009125FD" w:rsidRPr="00052726" w:rsidRDefault="009125FD" w:rsidP="009125FD">
            <w:pPr>
              <w:rPr>
                <w:rFonts w:ascii="Arial" w:hAnsi="Arial" w:cs="Arial"/>
                <w:b/>
                <w:color w:val="FF0000"/>
                <w:sz w:val="18"/>
                <w:szCs w:val="18"/>
              </w:rPr>
            </w:pPr>
          </w:p>
        </w:tc>
        <w:tc>
          <w:tcPr>
            <w:tcW w:w="1620" w:type="dxa"/>
            <w:tcBorders>
              <w:top w:val="single" w:sz="4" w:space="0" w:color="000000"/>
              <w:left w:val="single" w:sz="4" w:space="0" w:color="000000"/>
              <w:right w:val="single" w:sz="4" w:space="0" w:color="000000"/>
            </w:tcBorders>
            <w:vAlign w:val="center"/>
          </w:tcPr>
          <w:p w:rsidR="009125FD" w:rsidRPr="00052726" w:rsidRDefault="009125FD" w:rsidP="009125FD">
            <w:pPr>
              <w:jc w:val="center"/>
              <w:rPr>
                <w:rFonts w:ascii="Arial" w:hAnsi="Arial" w:cs="Arial"/>
                <w:sz w:val="18"/>
                <w:szCs w:val="18"/>
              </w:rPr>
            </w:pPr>
            <w:r w:rsidRPr="00052726">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vAlign w:val="bottom"/>
          </w:tcPr>
          <w:p w:rsidR="009125FD" w:rsidRPr="00052726" w:rsidRDefault="009125FD" w:rsidP="009125FD">
            <w:pPr>
              <w:pStyle w:val="TableText"/>
              <w:spacing w:before="120"/>
              <w:rPr>
                <w:rStyle w:val="StyleTableText9ptCharChar"/>
                <w:rFonts w:cs="Arial"/>
                <w:i/>
                <w:szCs w:val="18"/>
              </w:rPr>
            </w:pPr>
            <w:r w:rsidRPr="00052726">
              <w:rPr>
                <w:rStyle w:val="StyleTableText9ptCharChar"/>
                <w:rFonts w:cs="Arial"/>
                <w:szCs w:val="18"/>
              </w:rPr>
              <w:t xml:space="preserve">The Transfusion Requirement is not satisfied; the system emits an audible alert and displays a warning message: </w:t>
            </w:r>
            <w:r w:rsidRPr="00052726">
              <w:rPr>
                <w:rStyle w:val="StyleTableText9ptCharChar"/>
                <w:rFonts w:cs="Arial"/>
                <w:i/>
                <w:szCs w:val="18"/>
              </w:rPr>
              <w:t>This unit does not currently satisfy all of the patient’s Transfusion Requirements. Further processing is needed. Continue to select this unit?</w:t>
            </w:r>
          </w:p>
          <w:p w:rsidR="009125FD" w:rsidRPr="00052726" w:rsidRDefault="009125FD" w:rsidP="009125FD">
            <w:pPr>
              <w:pStyle w:val="TableText"/>
              <w:rPr>
                <w:rStyle w:val="StyleTableText9ptCharChar"/>
                <w:rFonts w:cs="Arial"/>
                <w:szCs w:val="18"/>
              </w:rPr>
            </w:pPr>
            <w:r w:rsidRPr="00052726">
              <w:rPr>
                <w:rStyle w:val="StyleTableText9ptCharChar"/>
                <w:rFonts w:cs="Arial"/>
                <w:szCs w:val="18"/>
              </w:rPr>
              <w:t>If the user clicks “No,” the screen is cleared.</w:t>
            </w:r>
          </w:p>
          <w:p w:rsidR="009125FD" w:rsidRPr="00052726" w:rsidRDefault="009125FD" w:rsidP="009125FD">
            <w:pPr>
              <w:pStyle w:val="TableText"/>
              <w:rPr>
                <w:rFonts w:cs="Arial"/>
                <w:noProof/>
                <w:szCs w:val="18"/>
              </w:rPr>
            </w:pPr>
            <w:r w:rsidRPr="00052726">
              <w:rPr>
                <w:rStyle w:val="StyleTableText9ptCharChar"/>
                <w:rFonts w:cs="Arial"/>
                <w:szCs w:val="18"/>
              </w:rPr>
              <w:t>If the user clicks “Yes,” selection can continue to select the unit.</w:t>
            </w:r>
          </w:p>
        </w:tc>
      </w:tr>
    </w:tbl>
    <w:p w:rsidR="009125FD" w:rsidRDefault="009125FD" w:rsidP="009125FD">
      <w:pPr>
        <w:spacing w:after="200" w:line="276" w:lineRule="auto"/>
        <w:rPr>
          <w:b/>
          <w:bCs/>
          <w:sz w:val="18"/>
          <w:szCs w:val="18"/>
        </w:rPr>
      </w:pPr>
    </w:p>
    <w:p w:rsidR="00C15299" w:rsidRDefault="00C15299" w:rsidP="00C15299">
      <w:pPr>
        <w:pStyle w:val="Caption"/>
      </w:pPr>
      <w:bookmarkStart w:id="815" w:name="_Ref343502482"/>
      <w:bookmarkStart w:id="816" w:name="_Ref407612094"/>
      <w:r>
        <w:t xml:space="preserve">Figure </w:t>
      </w:r>
      <w:r>
        <w:fldChar w:fldCharType="begin"/>
      </w:r>
      <w:r>
        <w:instrText xml:space="preserve"> SEQ Figure \* ARABIC </w:instrText>
      </w:r>
      <w:r>
        <w:fldChar w:fldCharType="separate"/>
      </w:r>
      <w:r w:rsidR="005F38BC">
        <w:rPr>
          <w:noProof/>
        </w:rPr>
        <w:t>155</w:t>
      </w:r>
      <w:r>
        <w:fldChar w:fldCharType="end"/>
      </w:r>
      <w:bookmarkEnd w:id="816"/>
      <w:r>
        <w:t>: Leuko-reduce Cellular Products and Issue Blood Component</w:t>
      </w:r>
      <w:bookmarkEnd w:id="815"/>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692"/>
        <w:gridCol w:w="1620"/>
        <w:gridCol w:w="1260"/>
        <w:gridCol w:w="1620"/>
        <w:gridCol w:w="4050"/>
      </w:tblGrid>
      <w:tr w:rsidR="009125FD" w:rsidRPr="005C5D59" w:rsidTr="009125FD">
        <w:trPr>
          <w:cantSplit/>
          <w:trHeight w:val="432"/>
          <w:tblHeader/>
        </w:trPr>
        <w:tc>
          <w:tcPr>
            <w:tcW w:w="10242" w:type="dxa"/>
            <w:gridSpan w:val="5"/>
            <w:tcBorders>
              <w:left w:val="single" w:sz="4" w:space="0" w:color="000000"/>
              <w:bottom w:val="single" w:sz="4" w:space="0" w:color="000000"/>
              <w:right w:val="single" w:sz="4" w:space="0" w:color="000000"/>
            </w:tcBorders>
            <w:shd w:val="pct25" w:color="auto" w:fill="auto"/>
            <w:vAlign w:val="bottom"/>
          </w:tcPr>
          <w:p w:rsidR="009125FD" w:rsidRPr="005C5D59" w:rsidRDefault="009125FD" w:rsidP="009125FD">
            <w:pPr>
              <w:rPr>
                <w:rFonts w:ascii="Arial" w:hAnsi="Arial" w:cs="Arial"/>
                <w:b/>
                <w:sz w:val="18"/>
                <w:szCs w:val="18"/>
              </w:rPr>
            </w:pPr>
            <w:r w:rsidRPr="005C5D59">
              <w:rPr>
                <w:rFonts w:ascii="Arial" w:hAnsi="Arial" w:cs="Arial"/>
                <w:b/>
                <w:sz w:val="18"/>
                <w:szCs w:val="18"/>
              </w:rPr>
              <w:t xml:space="preserve">Issue Blood Component: </w:t>
            </w:r>
            <w:r w:rsidRPr="00871BF2">
              <w:rPr>
                <w:rFonts w:ascii="Arial" w:hAnsi="Arial" w:cs="Arial"/>
                <w:b/>
                <w:sz w:val="20"/>
                <w:szCs w:val="20"/>
              </w:rPr>
              <w:t>Leuko-reduce Cellular Products</w:t>
            </w:r>
          </w:p>
        </w:tc>
      </w:tr>
      <w:tr w:rsidR="009125FD" w:rsidRPr="005C5D59" w:rsidTr="009125FD">
        <w:trPr>
          <w:cantSplit/>
          <w:trHeight w:val="432"/>
          <w:tblHeader/>
        </w:trPr>
        <w:tc>
          <w:tcPr>
            <w:tcW w:w="1692" w:type="dxa"/>
            <w:tcBorders>
              <w:left w:val="single" w:sz="4" w:space="0" w:color="000000"/>
              <w:bottom w:val="single" w:sz="4" w:space="0" w:color="000000"/>
              <w:right w:val="single" w:sz="4" w:space="0" w:color="000000"/>
            </w:tcBorders>
            <w:shd w:val="pct25" w:color="auto" w:fill="auto"/>
            <w:vAlign w:val="bottom"/>
            <w:hideMark/>
          </w:tcPr>
          <w:p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620" w:type="dxa"/>
            <w:tcBorders>
              <w:left w:val="single" w:sz="4" w:space="0" w:color="000000"/>
              <w:bottom w:val="single" w:sz="4" w:space="0" w:color="000000"/>
              <w:right w:val="single" w:sz="4" w:space="0" w:color="000000"/>
            </w:tcBorders>
            <w:shd w:val="pct25" w:color="auto" w:fill="auto"/>
            <w:vAlign w:val="bottom"/>
            <w:hideMark/>
          </w:tcPr>
          <w:p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rsidR="009125FD" w:rsidRPr="005C5D59" w:rsidRDefault="009125FD" w:rsidP="009125FD">
            <w:pP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rsidR="009125FD" w:rsidRPr="005C5D59" w:rsidRDefault="009125FD" w:rsidP="009125FD">
            <w:pPr>
              <w:rPr>
                <w:rFonts w:ascii="Arial" w:hAnsi="Arial" w:cs="Arial"/>
                <w:b/>
                <w:sz w:val="18"/>
                <w:szCs w:val="18"/>
              </w:rPr>
            </w:pPr>
            <w:r w:rsidRPr="005C5D59">
              <w:rPr>
                <w:rFonts w:ascii="Arial" w:hAnsi="Arial" w:cs="Arial"/>
                <w:b/>
                <w:sz w:val="18"/>
                <w:szCs w:val="18"/>
              </w:rPr>
              <w:t>Selected 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rsidR="009125FD" w:rsidRPr="005C5D59" w:rsidRDefault="009125FD" w:rsidP="009125FD">
            <w:pPr>
              <w:rPr>
                <w:rFonts w:ascii="Arial" w:hAnsi="Arial" w:cs="Arial"/>
                <w:b/>
                <w:sz w:val="18"/>
                <w:szCs w:val="18"/>
              </w:rPr>
            </w:pPr>
            <w:r w:rsidRPr="005C5D59">
              <w:rPr>
                <w:rFonts w:ascii="Arial" w:hAnsi="Arial" w:cs="Arial"/>
                <w:b/>
                <w:sz w:val="18"/>
                <w:szCs w:val="18"/>
              </w:rPr>
              <w:t>Expected System Response</w:t>
            </w:r>
          </w:p>
        </w:tc>
      </w:tr>
      <w:tr w:rsidR="009125FD" w:rsidRPr="005C5D59" w:rsidTr="009125FD">
        <w:trPr>
          <w:cantSplit/>
          <w:trHeight w:val="1302"/>
        </w:trPr>
        <w:tc>
          <w:tcPr>
            <w:tcW w:w="1692" w:type="dxa"/>
            <w:vMerge w:val="restart"/>
            <w:tcBorders>
              <w:top w:val="single" w:sz="4" w:space="0" w:color="000000"/>
              <w:left w:val="single" w:sz="4" w:space="0" w:color="000000"/>
              <w:right w:val="single" w:sz="4" w:space="0" w:color="000000"/>
            </w:tcBorders>
            <w:vAlign w:val="center"/>
            <w:hideMark/>
          </w:tcPr>
          <w:p w:rsidR="009125FD" w:rsidRPr="00A92752" w:rsidRDefault="009125FD" w:rsidP="009125FD">
            <w:pPr>
              <w:jc w:val="center"/>
              <w:rPr>
                <w:rFonts w:ascii="Arial" w:hAnsi="Arial" w:cs="Arial"/>
                <w:sz w:val="28"/>
                <w:szCs w:val="28"/>
              </w:rPr>
            </w:pPr>
            <w:r w:rsidRPr="00A92752">
              <w:rPr>
                <w:rFonts w:ascii="Arial" w:hAnsi="Arial" w:cs="Arial"/>
                <w:b/>
                <w:sz w:val="28"/>
                <w:szCs w:val="28"/>
              </w:rPr>
              <w:t>Leuko-reduce Cellular Products</w:t>
            </w:r>
          </w:p>
        </w:tc>
        <w:tc>
          <w:tcPr>
            <w:tcW w:w="1620" w:type="dxa"/>
            <w:tcBorders>
              <w:top w:val="single" w:sz="4" w:space="0" w:color="000000"/>
              <w:left w:val="single" w:sz="4" w:space="0" w:color="000000"/>
              <w:right w:val="single" w:sz="4" w:space="0" w:color="000000"/>
            </w:tcBorders>
            <w:shd w:val="pct10" w:color="auto" w:fill="auto"/>
            <w:vAlign w:val="center"/>
            <w:hideMark/>
          </w:tcPr>
          <w:p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 xml:space="preserve">RED BLOOD CELLS </w:t>
            </w:r>
          </w:p>
          <w:p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 xml:space="preserve">WHOLE BLOOD </w:t>
            </w:r>
          </w:p>
          <w:p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PLATELETS</w:t>
            </w:r>
          </w:p>
          <w:p w:rsidR="009125FD" w:rsidRPr="005C5D59" w:rsidRDefault="009125FD" w:rsidP="009125FD">
            <w:pPr>
              <w:spacing w:after="120"/>
              <w:jc w:val="center"/>
              <w:rPr>
                <w:rFonts w:ascii="Arial" w:hAnsi="Arial" w:cs="Arial"/>
                <w:sz w:val="18"/>
                <w:szCs w:val="18"/>
              </w:rPr>
            </w:pPr>
            <w:r w:rsidRPr="005C5D59">
              <w:rPr>
                <w:rFonts w:ascii="Arial" w:hAnsi="Arial" w:cs="Arial"/>
                <w:color w:val="000000"/>
                <w:sz w:val="18"/>
                <w:szCs w:val="18"/>
              </w:rPr>
              <w:t>OTHER</w:t>
            </w:r>
          </w:p>
        </w:tc>
        <w:tc>
          <w:tcPr>
            <w:tcW w:w="1260" w:type="dxa"/>
            <w:tcBorders>
              <w:top w:val="single" w:sz="4" w:space="0" w:color="000000"/>
              <w:left w:val="single" w:sz="4" w:space="0" w:color="000000"/>
              <w:right w:val="single" w:sz="4" w:space="0" w:color="000000"/>
            </w:tcBorders>
            <w:shd w:val="pct10" w:color="auto" w:fill="auto"/>
            <w:vAlign w:val="center"/>
            <w:hideMark/>
          </w:tcPr>
          <w:p w:rsidR="009125FD" w:rsidRPr="008E2609" w:rsidRDefault="009125FD" w:rsidP="009125FD">
            <w:pPr>
              <w:jc w:val="center"/>
              <w:rPr>
                <w:rFonts w:ascii="Arial" w:hAnsi="Arial" w:cs="Arial"/>
                <w:sz w:val="18"/>
                <w:szCs w:val="18"/>
              </w:rPr>
            </w:pPr>
            <w:r w:rsidRPr="008E2609">
              <w:rPr>
                <w:rFonts w:ascii="Arial" w:hAnsi="Arial" w:cs="Arial"/>
                <w:sz w:val="18"/>
                <w:szCs w:val="18"/>
              </w:rPr>
              <w:t>Leuko-reduced</w:t>
            </w:r>
          </w:p>
        </w:tc>
        <w:tc>
          <w:tcPr>
            <w:tcW w:w="1620" w:type="dxa"/>
            <w:tcBorders>
              <w:top w:val="single" w:sz="4" w:space="0" w:color="000000"/>
              <w:left w:val="single" w:sz="4" w:space="0" w:color="000000"/>
              <w:right w:val="single" w:sz="4" w:space="0" w:color="000000"/>
            </w:tcBorders>
            <w:shd w:val="pct10" w:color="auto" w:fill="auto"/>
            <w:vAlign w:val="center"/>
            <w:hideMark/>
          </w:tcPr>
          <w:p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rsidTr="009125FD">
        <w:trPr>
          <w:cantSplit/>
          <w:trHeight w:val="1379"/>
        </w:trPr>
        <w:tc>
          <w:tcPr>
            <w:tcW w:w="1692" w:type="dxa"/>
            <w:vMerge/>
            <w:tcBorders>
              <w:left w:val="single" w:sz="4" w:space="0" w:color="000000"/>
              <w:right w:val="single" w:sz="4" w:space="0" w:color="000000"/>
            </w:tcBorders>
            <w:vAlign w:val="bottom"/>
          </w:tcPr>
          <w:p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 xml:space="preserve">RED BLOOD CELLS </w:t>
            </w:r>
          </w:p>
          <w:p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WHOLE BLOOD</w:t>
            </w:r>
          </w:p>
          <w:p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PLATELETS</w:t>
            </w:r>
          </w:p>
        </w:tc>
        <w:tc>
          <w:tcPr>
            <w:tcW w:w="1260" w:type="dxa"/>
            <w:tcBorders>
              <w:top w:val="single" w:sz="4" w:space="0" w:color="000000"/>
              <w:left w:val="single" w:sz="4" w:space="0" w:color="000000"/>
              <w:right w:val="single" w:sz="4" w:space="0" w:color="000000"/>
            </w:tcBorders>
            <w:vAlign w:val="center"/>
          </w:tcPr>
          <w:p w:rsidR="009125FD" w:rsidRPr="005C5D59" w:rsidRDefault="009125FD" w:rsidP="009125FD">
            <w:pPr>
              <w:jc w:val="center"/>
              <w:rPr>
                <w:rFonts w:ascii="Arial" w:hAnsi="Arial" w:cs="Arial"/>
                <w:color w:val="FF0000"/>
                <w:sz w:val="18"/>
                <w:szCs w:val="18"/>
              </w:rPr>
            </w:pPr>
            <w:r w:rsidRPr="00871BF2">
              <w:rPr>
                <w:rFonts w:ascii="Arial" w:hAnsi="Arial" w:cs="Arial"/>
                <w:b/>
                <w:color w:val="FF0000"/>
                <w:sz w:val="18"/>
                <w:szCs w:val="18"/>
              </w:rPr>
              <w:t>Not  Leuko-reduced</w:t>
            </w:r>
          </w:p>
        </w:tc>
        <w:tc>
          <w:tcPr>
            <w:tcW w:w="1620" w:type="dxa"/>
            <w:tcBorders>
              <w:top w:val="single" w:sz="4" w:space="0" w:color="000000"/>
              <w:left w:val="single" w:sz="4" w:space="0" w:color="000000"/>
              <w:right w:val="single" w:sz="4" w:space="0" w:color="000000"/>
            </w:tcBorders>
            <w:vAlign w:val="center"/>
          </w:tcPr>
          <w:p w:rsidR="009125FD" w:rsidRPr="00A92752" w:rsidRDefault="009125FD" w:rsidP="009125FD">
            <w:pPr>
              <w:ind w:left="18"/>
              <w:rPr>
                <w:rFonts w:ascii="Arial" w:hAnsi="Arial" w:cs="Arial"/>
                <w:sz w:val="18"/>
                <w:szCs w:val="18"/>
              </w:rPr>
            </w:pPr>
            <w:r w:rsidRPr="00A92752">
              <w:rPr>
                <w:rFonts w:ascii="Arial" w:hAnsi="Arial" w:cs="Arial"/>
                <w:noProof/>
                <w:sz w:val="18"/>
                <w:szCs w:val="18"/>
              </w:rPr>
              <w:t>Technologist</w:t>
            </w:r>
          </w:p>
          <w:p w:rsidR="009125FD" w:rsidRPr="00836EE2" w:rsidRDefault="009125FD" w:rsidP="009125FD">
            <w:pPr>
              <w:ind w:left="18"/>
              <w:rPr>
                <w:rFonts w:ascii="Arial" w:hAnsi="Arial" w:cs="Arial"/>
                <w:sz w:val="18"/>
                <w:szCs w:val="18"/>
              </w:rPr>
            </w:pPr>
          </w:p>
          <w:p w:rsidR="009125FD" w:rsidRPr="00A92752" w:rsidRDefault="009125FD" w:rsidP="009125FD">
            <w:pPr>
              <w:ind w:left="18"/>
              <w:rPr>
                <w:rFonts w:ascii="Arial" w:hAnsi="Arial" w:cs="Arial"/>
                <w:noProof/>
                <w:sz w:val="18"/>
                <w:szCs w:val="18"/>
              </w:rPr>
            </w:pPr>
            <w:r w:rsidRPr="00A92752">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vAlign w:val="bottom"/>
          </w:tcPr>
          <w:p w:rsidR="009125FD"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Patient’s Transfusion Requirement is not satisfied.</w:t>
            </w:r>
            <w:r w:rsidRPr="005C5D59">
              <w:rPr>
                <w:rFonts w:ascii="Arial" w:hAnsi="Arial" w:cs="Arial"/>
                <w:sz w:val="18"/>
                <w:szCs w:val="18"/>
              </w:rPr>
              <w:t xml:space="preserve"> </w:t>
            </w:r>
            <w:r w:rsidRPr="007F3B3C">
              <w:rPr>
                <w:rFonts w:ascii="Arial" w:hAnsi="Arial" w:cs="Arial"/>
                <w:i/>
                <w:sz w:val="18"/>
                <w:szCs w:val="18"/>
              </w:rPr>
              <w:t>You do not have the proper security to issue this unit. Further processing is needed and must be documented in VBECS.</w:t>
            </w:r>
            <w:r w:rsidRPr="005C5D59">
              <w:rPr>
                <w:rFonts w:ascii="Arial" w:hAnsi="Arial" w:cs="Arial"/>
                <w:sz w:val="18"/>
                <w:szCs w:val="18"/>
              </w:rPr>
              <w:t xml:space="preserve"> </w:t>
            </w:r>
          </w:p>
          <w:p w:rsidR="009125FD" w:rsidRPr="005C5D59" w:rsidRDefault="009125FD" w:rsidP="009125FD">
            <w:pPr>
              <w:rPr>
                <w:rFonts w:ascii="Arial" w:hAnsi="Arial" w:cs="Arial"/>
                <w:sz w:val="18"/>
                <w:szCs w:val="18"/>
              </w:rPr>
            </w:pPr>
            <w:r>
              <w:rPr>
                <w:rFonts w:ascii="Arial" w:hAnsi="Arial" w:cs="Arial"/>
                <w:sz w:val="18"/>
                <w:szCs w:val="18"/>
              </w:rPr>
              <w:t>The tech may not issue this unit in the computer.</w:t>
            </w:r>
          </w:p>
        </w:tc>
      </w:tr>
      <w:tr w:rsidR="009125FD" w:rsidRPr="005C5D59" w:rsidTr="009125FD">
        <w:trPr>
          <w:cantSplit/>
          <w:trHeight w:val="2343"/>
        </w:trPr>
        <w:tc>
          <w:tcPr>
            <w:tcW w:w="1692" w:type="dxa"/>
            <w:vMerge/>
            <w:tcBorders>
              <w:left w:val="single" w:sz="4" w:space="0" w:color="000000"/>
              <w:right w:val="single" w:sz="4" w:space="0" w:color="000000"/>
            </w:tcBorders>
            <w:vAlign w:val="bottom"/>
          </w:tcPr>
          <w:p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 xml:space="preserve">RED BLOOD CELLS </w:t>
            </w:r>
          </w:p>
          <w:p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WHOLE BLOOD</w:t>
            </w:r>
          </w:p>
          <w:p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PLATELETS</w:t>
            </w:r>
          </w:p>
        </w:tc>
        <w:tc>
          <w:tcPr>
            <w:tcW w:w="1260" w:type="dxa"/>
            <w:tcBorders>
              <w:top w:val="single" w:sz="4" w:space="0" w:color="000000"/>
              <w:left w:val="single" w:sz="4" w:space="0" w:color="000000"/>
              <w:right w:val="single" w:sz="4" w:space="0" w:color="000000"/>
            </w:tcBorders>
            <w:vAlign w:val="center"/>
          </w:tcPr>
          <w:p w:rsidR="009125FD" w:rsidRPr="005C5D59" w:rsidRDefault="009125FD" w:rsidP="009125FD">
            <w:pPr>
              <w:jc w:val="center"/>
              <w:rPr>
                <w:rFonts w:ascii="Arial" w:hAnsi="Arial" w:cs="Arial"/>
                <w:color w:val="FF0000"/>
                <w:sz w:val="18"/>
                <w:szCs w:val="18"/>
              </w:rPr>
            </w:pPr>
            <w:r w:rsidRPr="00871BF2">
              <w:rPr>
                <w:rFonts w:ascii="Arial" w:hAnsi="Arial" w:cs="Arial"/>
                <w:b/>
                <w:color w:val="FF0000"/>
                <w:sz w:val="18"/>
                <w:szCs w:val="18"/>
              </w:rPr>
              <w:t>Not  Leuko-reduced</w:t>
            </w:r>
          </w:p>
        </w:tc>
        <w:tc>
          <w:tcPr>
            <w:tcW w:w="1620" w:type="dxa"/>
            <w:tcBorders>
              <w:top w:val="single" w:sz="4" w:space="0" w:color="000000"/>
              <w:left w:val="single" w:sz="4" w:space="0" w:color="000000"/>
              <w:right w:val="single" w:sz="4" w:space="0" w:color="000000"/>
            </w:tcBorders>
            <w:vAlign w:val="center"/>
          </w:tcPr>
          <w:p w:rsidR="009125FD" w:rsidRPr="00A92752" w:rsidRDefault="009125FD" w:rsidP="009125FD">
            <w:pPr>
              <w:spacing w:before="120"/>
              <w:ind w:left="18"/>
              <w:rPr>
                <w:rFonts w:ascii="Arial" w:hAnsi="Arial" w:cs="Arial"/>
                <w:sz w:val="18"/>
                <w:szCs w:val="18"/>
              </w:rPr>
            </w:pPr>
            <w:r w:rsidRPr="00A92752">
              <w:rPr>
                <w:rFonts w:ascii="Arial" w:hAnsi="Arial" w:cs="Arial"/>
                <w:sz w:val="18"/>
                <w:szCs w:val="18"/>
              </w:rPr>
              <w:t>Lead Technologist</w:t>
            </w:r>
          </w:p>
          <w:p w:rsidR="009125FD" w:rsidRPr="00A92752" w:rsidRDefault="009125FD" w:rsidP="009125FD">
            <w:pPr>
              <w:spacing w:before="120"/>
              <w:ind w:left="18"/>
              <w:rPr>
                <w:rFonts w:ascii="Arial" w:hAnsi="Arial" w:cs="Arial"/>
                <w:sz w:val="18"/>
                <w:szCs w:val="18"/>
              </w:rPr>
            </w:pPr>
            <w:r w:rsidRPr="00A92752">
              <w:rPr>
                <w:rFonts w:ascii="Arial" w:hAnsi="Arial" w:cs="Arial"/>
                <w:sz w:val="18"/>
                <w:szCs w:val="18"/>
              </w:rPr>
              <w:t>Traditional Supervisor</w:t>
            </w:r>
          </w:p>
          <w:p w:rsidR="009125FD" w:rsidRPr="00A92752" w:rsidRDefault="009125FD" w:rsidP="009125FD">
            <w:pPr>
              <w:spacing w:before="120"/>
              <w:ind w:left="18"/>
              <w:rPr>
                <w:rFonts w:ascii="Arial" w:hAnsi="Arial" w:cs="Arial"/>
                <w:sz w:val="18"/>
                <w:szCs w:val="18"/>
              </w:rPr>
            </w:pPr>
            <w:r w:rsidRPr="00A92752">
              <w:rPr>
                <w:rFonts w:ascii="Arial" w:hAnsi="Arial" w:cs="Arial"/>
                <w:sz w:val="18"/>
                <w:szCs w:val="18"/>
              </w:rPr>
              <w:t>Enhanced Supervisor</w:t>
            </w:r>
          </w:p>
          <w:p w:rsidR="009125FD" w:rsidRPr="00A92752" w:rsidRDefault="009125FD" w:rsidP="009125FD">
            <w:pPr>
              <w:spacing w:before="120"/>
              <w:ind w:left="18"/>
              <w:rPr>
                <w:rFonts w:ascii="Arial" w:hAnsi="Arial" w:cs="Arial"/>
                <w:sz w:val="18"/>
                <w:szCs w:val="18"/>
              </w:rPr>
            </w:pPr>
            <w:r w:rsidRPr="00A92752">
              <w:rPr>
                <w:rFonts w:ascii="Arial" w:hAnsi="Arial" w:cs="Arial"/>
                <w:sz w:val="18"/>
                <w:szCs w:val="18"/>
              </w:rPr>
              <w:t>Administrator/Supervisor</w:t>
            </w:r>
          </w:p>
          <w:p w:rsidR="009125FD" w:rsidRPr="008B278A" w:rsidRDefault="009125FD" w:rsidP="009125FD">
            <w:pPr>
              <w:ind w:left="18"/>
              <w:rPr>
                <w:rFonts w:ascii="Arial" w:hAnsi="Arial" w:cs="Arial"/>
                <w:sz w:val="18"/>
                <w:szCs w:val="18"/>
              </w:rPr>
            </w:pPr>
          </w:p>
        </w:tc>
        <w:tc>
          <w:tcPr>
            <w:tcW w:w="4050" w:type="dxa"/>
            <w:tcBorders>
              <w:top w:val="single" w:sz="4" w:space="0" w:color="000000"/>
              <w:left w:val="single" w:sz="4" w:space="0" w:color="000000"/>
              <w:right w:val="single" w:sz="4" w:space="0" w:color="000000"/>
            </w:tcBorders>
            <w:vAlign w:val="bottom"/>
          </w:tcPr>
          <w:p w:rsidR="009125FD" w:rsidRPr="005C5D59"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2A405A">
              <w:rPr>
                <w:rFonts w:ascii="Arial" w:hAnsi="Arial" w:cs="Arial"/>
                <w:i/>
                <w:sz w:val="18"/>
                <w:szCs w:val="18"/>
              </w:rPr>
              <w:t xml:space="preserve">Patient’s Leuko-reduce Cellular Products </w:t>
            </w:r>
            <w:r w:rsidRPr="00836EE2">
              <w:rPr>
                <w:rFonts w:ascii="Arial" w:hAnsi="Arial" w:cs="Arial"/>
                <w:i/>
                <w:sz w:val="18"/>
                <w:szCs w:val="18"/>
              </w:rPr>
              <w:t>Transfusion Requirement is not satisfied</w:t>
            </w:r>
            <w:r w:rsidRPr="005C5D59">
              <w:rPr>
                <w:rFonts w:ascii="Arial" w:hAnsi="Arial" w:cs="Arial"/>
                <w:sz w:val="18"/>
                <w:szCs w:val="18"/>
              </w:rPr>
              <w:t xml:space="preserve"> and prompts the user whether to proceed. </w:t>
            </w:r>
          </w:p>
          <w:p w:rsidR="009125FD" w:rsidRPr="005C5D59" w:rsidRDefault="009125FD" w:rsidP="009125FD">
            <w:pPr>
              <w:rPr>
                <w:rFonts w:ascii="Arial" w:hAnsi="Arial" w:cs="Arial"/>
                <w:sz w:val="18"/>
                <w:szCs w:val="18"/>
              </w:rPr>
            </w:pPr>
            <w:r w:rsidRPr="005C5D59">
              <w:rPr>
                <w:rFonts w:ascii="Arial" w:hAnsi="Arial" w:cs="Arial"/>
                <w:sz w:val="18"/>
                <w:szCs w:val="18"/>
              </w:rPr>
              <w:t>If the user responds “No”</w:t>
            </w:r>
            <w:r>
              <w:rPr>
                <w:rFonts w:ascii="Arial" w:hAnsi="Arial" w:cs="Arial"/>
                <w:sz w:val="18"/>
                <w:szCs w:val="18"/>
              </w:rPr>
              <w:t>,</w:t>
            </w:r>
            <w:r w:rsidRPr="005C5D59">
              <w:rPr>
                <w:rFonts w:ascii="Arial" w:hAnsi="Arial" w:cs="Arial"/>
                <w:sz w:val="18"/>
                <w:szCs w:val="18"/>
              </w:rPr>
              <w:t xml:space="preserve"> the system wi</w:t>
            </w:r>
            <w:r>
              <w:rPr>
                <w:rFonts w:ascii="Arial" w:hAnsi="Arial" w:cs="Arial"/>
                <w:sz w:val="18"/>
                <w:szCs w:val="18"/>
              </w:rPr>
              <w:t>ll clear the selected unit.</w:t>
            </w:r>
          </w:p>
          <w:p w:rsidR="009125FD" w:rsidRPr="005C5D59" w:rsidRDefault="009125FD" w:rsidP="009125FD">
            <w:pPr>
              <w:rPr>
                <w:rFonts w:ascii="Arial" w:hAnsi="Arial" w:cs="Arial"/>
                <w:sz w:val="18"/>
                <w:szCs w:val="18"/>
              </w:rPr>
            </w:pPr>
            <w:r>
              <w:rPr>
                <w:rFonts w:ascii="Arial" w:hAnsi="Arial" w:cs="Arial"/>
                <w:sz w:val="18"/>
                <w:szCs w:val="18"/>
              </w:rPr>
              <w:t>If the user responds “Yes”,</w:t>
            </w:r>
            <w:r w:rsidRPr="005C5D59">
              <w:rPr>
                <w:rFonts w:ascii="Arial" w:hAnsi="Arial" w:cs="Arial"/>
                <w:sz w:val="18"/>
                <w:szCs w:val="18"/>
              </w:rPr>
              <w:t xml:space="preserve"> the system will require a comment (free text or canned, “unit issue” context) and capture the transacti</w:t>
            </w:r>
            <w:r>
              <w:rPr>
                <w:rFonts w:ascii="Arial" w:hAnsi="Arial" w:cs="Arial"/>
                <w:sz w:val="18"/>
                <w:szCs w:val="18"/>
              </w:rPr>
              <w:t>on details for inclusion in an Exception R</w:t>
            </w:r>
            <w:r w:rsidRPr="005C5D59">
              <w:rPr>
                <w:rFonts w:ascii="Arial" w:hAnsi="Arial" w:cs="Arial"/>
                <w:sz w:val="18"/>
                <w:szCs w:val="18"/>
              </w:rPr>
              <w:t>eport</w:t>
            </w:r>
            <w:r>
              <w:rPr>
                <w:rFonts w:ascii="Arial" w:hAnsi="Arial" w:cs="Arial"/>
                <w:sz w:val="18"/>
                <w:szCs w:val="18"/>
              </w:rPr>
              <w:t xml:space="preserve"> entry</w:t>
            </w:r>
            <w:r w:rsidRPr="005C5D59">
              <w:rPr>
                <w:rFonts w:ascii="Arial" w:hAnsi="Arial" w:cs="Arial"/>
                <w:sz w:val="18"/>
                <w:szCs w:val="18"/>
              </w:rPr>
              <w:t xml:space="preserve">: </w:t>
            </w:r>
            <w:r w:rsidRPr="005C5D59">
              <w:rPr>
                <w:rFonts w:ascii="Arial" w:hAnsi="Arial" w:cs="Arial"/>
                <w:i/>
                <w:sz w:val="18"/>
                <w:szCs w:val="18"/>
              </w:rPr>
              <w:t>Unit issued with unsatisfied Transfusion Requirement</w:t>
            </w:r>
            <w:r w:rsidRPr="005C5D59">
              <w:rPr>
                <w:rFonts w:ascii="Arial" w:hAnsi="Arial" w:cs="Arial"/>
                <w:sz w:val="18"/>
                <w:szCs w:val="18"/>
              </w:rPr>
              <w:t xml:space="preserve"> </w:t>
            </w:r>
            <w:r w:rsidR="005C48D9">
              <w:rPr>
                <w:rFonts w:ascii="Arial" w:hAnsi="Arial" w:cs="Arial"/>
                <w:sz w:val="18"/>
                <w:szCs w:val="18"/>
              </w:rPr>
              <w:t>.</w:t>
            </w:r>
          </w:p>
        </w:tc>
      </w:tr>
    </w:tbl>
    <w:p w:rsidR="009125FD" w:rsidRDefault="009125FD" w:rsidP="009125FD"/>
    <w:p w:rsidR="00C15299" w:rsidRDefault="00C15299" w:rsidP="00C15299">
      <w:pPr>
        <w:pStyle w:val="Caption"/>
      </w:pPr>
      <w:bookmarkStart w:id="817" w:name="_Ref343502500"/>
      <w:bookmarkStart w:id="818" w:name="_Ref407610736"/>
      <w:r>
        <w:t xml:space="preserve">Figure </w:t>
      </w:r>
      <w:r>
        <w:fldChar w:fldCharType="begin"/>
      </w:r>
      <w:r>
        <w:instrText xml:space="preserve"> SEQ Figure \* ARABIC </w:instrText>
      </w:r>
      <w:r>
        <w:fldChar w:fldCharType="separate"/>
      </w:r>
      <w:r w:rsidR="005F38BC">
        <w:rPr>
          <w:noProof/>
        </w:rPr>
        <w:t>156</w:t>
      </w:r>
      <w:r>
        <w:fldChar w:fldCharType="end"/>
      </w:r>
      <w:bookmarkEnd w:id="818"/>
      <w:r>
        <w:t>: Washed Red Blood Cell (RBC) Products and Select Blood Unit</w:t>
      </w:r>
      <w:bookmarkEnd w:id="817"/>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692"/>
        <w:gridCol w:w="1620"/>
        <w:gridCol w:w="1260"/>
        <w:gridCol w:w="1620"/>
        <w:gridCol w:w="4050"/>
      </w:tblGrid>
      <w:tr w:rsidR="009125FD" w:rsidRPr="005C5D59" w:rsidTr="009125FD">
        <w:trPr>
          <w:cantSplit/>
          <w:trHeight w:val="305"/>
          <w:tblHeader/>
        </w:trPr>
        <w:tc>
          <w:tcPr>
            <w:tcW w:w="10242" w:type="dxa"/>
            <w:gridSpan w:val="5"/>
            <w:tcBorders>
              <w:top w:val="single" w:sz="4" w:space="0" w:color="000000"/>
              <w:left w:val="single" w:sz="4" w:space="0" w:color="000000"/>
              <w:right w:val="single" w:sz="4" w:space="0" w:color="000000"/>
            </w:tcBorders>
            <w:shd w:val="pct25" w:color="auto" w:fill="auto"/>
            <w:vAlign w:val="bottom"/>
            <w:hideMark/>
          </w:tcPr>
          <w:p w:rsidR="009125FD" w:rsidRPr="005C5D59" w:rsidRDefault="009125FD" w:rsidP="009125FD">
            <w:pPr>
              <w:rPr>
                <w:rFonts w:ascii="Arial" w:hAnsi="Arial" w:cs="Arial"/>
                <w:b/>
                <w:sz w:val="18"/>
                <w:szCs w:val="18"/>
              </w:rPr>
            </w:pPr>
            <w:r w:rsidRPr="005C5D59">
              <w:rPr>
                <w:rFonts w:ascii="Arial" w:hAnsi="Arial" w:cs="Arial"/>
                <w:b/>
                <w:sz w:val="18"/>
                <w:szCs w:val="18"/>
              </w:rPr>
              <w:t xml:space="preserve">Select Unit: </w:t>
            </w:r>
            <w:r w:rsidRPr="00B62010">
              <w:rPr>
                <w:rFonts w:ascii="Arial" w:hAnsi="Arial" w:cs="Arial"/>
                <w:b/>
                <w:sz w:val="18"/>
                <w:szCs w:val="18"/>
              </w:rPr>
              <w:t xml:space="preserve"> Washed R</w:t>
            </w:r>
            <w:r>
              <w:rPr>
                <w:rFonts w:ascii="Arial" w:hAnsi="Arial" w:cs="Arial"/>
                <w:b/>
                <w:sz w:val="18"/>
                <w:szCs w:val="18"/>
              </w:rPr>
              <w:t xml:space="preserve">ed </w:t>
            </w:r>
            <w:r w:rsidRPr="00B62010">
              <w:rPr>
                <w:rFonts w:ascii="Arial" w:hAnsi="Arial" w:cs="Arial"/>
                <w:b/>
                <w:sz w:val="18"/>
                <w:szCs w:val="18"/>
              </w:rPr>
              <w:t>B</w:t>
            </w:r>
            <w:r>
              <w:rPr>
                <w:rFonts w:ascii="Arial" w:hAnsi="Arial" w:cs="Arial"/>
                <w:b/>
                <w:sz w:val="18"/>
                <w:szCs w:val="18"/>
              </w:rPr>
              <w:t xml:space="preserve">lood </w:t>
            </w:r>
            <w:r w:rsidRPr="00B62010">
              <w:rPr>
                <w:rFonts w:ascii="Arial" w:hAnsi="Arial" w:cs="Arial"/>
                <w:b/>
                <w:sz w:val="18"/>
                <w:szCs w:val="18"/>
              </w:rPr>
              <w:t>C</w:t>
            </w:r>
            <w:r>
              <w:rPr>
                <w:rFonts w:ascii="Arial" w:hAnsi="Arial" w:cs="Arial"/>
                <w:b/>
                <w:sz w:val="18"/>
                <w:szCs w:val="18"/>
              </w:rPr>
              <w:t>ell (RBC)</w:t>
            </w:r>
            <w:r w:rsidRPr="00B62010">
              <w:rPr>
                <w:rFonts w:ascii="Arial" w:hAnsi="Arial" w:cs="Arial"/>
                <w:b/>
                <w:sz w:val="18"/>
                <w:szCs w:val="18"/>
              </w:rPr>
              <w:t xml:space="preserve"> products</w:t>
            </w:r>
          </w:p>
        </w:tc>
      </w:tr>
      <w:tr w:rsidR="009125FD" w:rsidRPr="005C5D59" w:rsidTr="009125FD">
        <w:trPr>
          <w:cantSplit/>
          <w:trHeight w:val="432"/>
          <w:tblHeader/>
        </w:trPr>
        <w:tc>
          <w:tcPr>
            <w:tcW w:w="1692" w:type="dxa"/>
            <w:tcBorders>
              <w:left w:val="single" w:sz="4" w:space="0" w:color="000000"/>
              <w:bottom w:val="single" w:sz="4" w:space="0" w:color="000000"/>
              <w:right w:val="single" w:sz="4" w:space="0" w:color="000000"/>
            </w:tcBorders>
            <w:shd w:val="pct25" w:color="auto" w:fill="auto"/>
            <w:vAlign w:val="bottom"/>
            <w:hideMark/>
          </w:tcPr>
          <w:p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620" w:type="dxa"/>
            <w:tcBorders>
              <w:left w:val="single" w:sz="4" w:space="0" w:color="000000"/>
              <w:bottom w:val="single" w:sz="4" w:space="0" w:color="000000"/>
              <w:right w:val="single" w:sz="4" w:space="0" w:color="000000"/>
            </w:tcBorders>
            <w:shd w:val="pct25" w:color="auto" w:fill="auto"/>
            <w:vAlign w:val="bottom"/>
            <w:hideMark/>
          </w:tcPr>
          <w:p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rsidR="009125FD" w:rsidRPr="005C5D59" w:rsidRDefault="009125FD" w:rsidP="009125FD">
            <w:pPr>
              <w:jc w:val="cente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rsidR="009125FD" w:rsidRPr="005C5D59" w:rsidRDefault="009125FD" w:rsidP="009125FD">
            <w:pPr>
              <w:jc w:val="center"/>
              <w:rPr>
                <w:rFonts w:ascii="Arial" w:hAnsi="Arial" w:cs="Arial"/>
                <w:b/>
                <w:sz w:val="18"/>
                <w:szCs w:val="18"/>
              </w:rPr>
            </w:pPr>
            <w:r w:rsidRPr="005C5D59">
              <w:rPr>
                <w:rFonts w:ascii="Arial" w:hAnsi="Arial" w:cs="Arial"/>
                <w:b/>
                <w:sz w:val="18"/>
                <w:szCs w:val="18"/>
              </w:rPr>
              <w:t>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rsidR="009125FD" w:rsidRPr="005C5D59" w:rsidRDefault="009125FD" w:rsidP="009125FD">
            <w:pPr>
              <w:jc w:val="center"/>
              <w:rPr>
                <w:rFonts w:ascii="Arial" w:hAnsi="Arial" w:cs="Arial"/>
                <w:b/>
                <w:sz w:val="18"/>
                <w:szCs w:val="18"/>
              </w:rPr>
            </w:pPr>
            <w:r>
              <w:rPr>
                <w:rFonts w:ascii="Arial" w:hAnsi="Arial" w:cs="Arial"/>
                <w:b/>
                <w:sz w:val="18"/>
                <w:szCs w:val="18"/>
              </w:rPr>
              <w:t xml:space="preserve">VBECS </w:t>
            </w:r>
            <w:r w:rsidRPr="005C5D59">
              <w:rPr>
                <w:rFonts w:ascii="Arial" w:hAnsi="Arial" w:cs="Arial"/>
                <w:b/>
                <w:sz w:val="18"/>
                <w:szCs w:val="18"/>
              </w:rPr>
              <w:t>Response</w:t>
            </w:r>
          </w:p>
        </w:tc>
      </w:tr>
      <w:tr w:rsidR="009125FD" w:rsidRPr="005C5D59" w:rsidTr="009125FD">
        <w:trPr>
          <w:cantSplit/>
          <w:trHeight w:val="284"/>
        </w:trPr>
        <w:tc>
          <w:tcPr>
            <w:tcW w:w="1692" w:type="dxa"/>
            <w:vMerge w:val="restart"/>
            <w:tcBorders>
              <w:top w:val="single" w:sz="4" w:space="0" w:color="000000"/>
              <w:left w:val="single" w:sz="4" w:space="0" w:color="000000"/>
              <w:right w:val="single" w:sz="4" w:space="0" w:color="000000"/>
            </w:tcBorders>
            <w:vAlign w:val="center"/>
            <w:hideMark/>
          </w:tcPr>
          <w:p w:rsidR="009125FD" w:rsidRPr="00A92752" w:rsidRDefault="009125FD" w:rsidP="009125FD">
            <w:pPr>
              <w:jc w:val="center"/>
              <w:rPr>
                <w:rFonts w:ascii="Arial" w:hAnsi="Arial" w:cs="Arial"/>
                <w:b/>
                <w:sz w:val="28"/>
                <w:szCs w:val="28"/>
              </w:rPr>
            </w:pPr>
            <w:r w:rsidRPr="00A92752">
              <w:rPr>
                <w:rFonts w:ascii="Arial" w:hAnsi="Arial" w:cs="Arial"/>
                <w:b/>
                <w:sz w:val="28"/>
                <w:szCs w:val="28"/>
              </w:rPr>
              <w:t>Washed RBC products</w:t>
            </w:r>
          </w:p>
        </w:tc>
        <w:tc>
          <w:tcPr>
            <w:tcW w:w="1620" w:type="dxa"/>
            <w:tcBorders>
              <w:top w:val="single" w:sz="4" w:space="0" w:color="000000"/>
              <w:left w:val="single" w:sz="4" w:space="0" w:color="000000"/>
              <w:right w:val="single" w:sz="4" w:space="0" w:color="000000"/>
            </w:tcBorders>
            <w:shd w:val="pct10" w:color="auto" w:fill="auto"/>
            <w:vAlign w:val="center"/>
            <w:hideMark/>
          </w:tcPr>
          <w:p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 xml:space="preserve">WHOLE BLOOD </w:t>
            </w:r>
          </w:p>
        </w:tc>
        <w:tc>
          <w:tcPr>
            <w:tcW w:w="1260" w:type="dxa"/>
            <w:tcBorders>
              <w:top w:val="single" w:sz="4" w:space="0" w:color="000000"/>
              <w:left w:val="single" w:sz="4" w:space="0" w:color="000000"/>
              <w:right w:val="single" w:sz="4" w:space="0" w:color="000000"/>
            </w:tcBorders>
            <w:shd w:val="pct10" w:color="auto" w:fill="auto"/>
            <w:vAlign w:val="center"/>
            <w:hideMark/>
          </w:tcPr>
          <w:p w:rsidR="009125FD" w:rsidRPr="008E2609" w:rsidRDefault="009125FD" w:rsidP="009125FD">
            <w:pPr>
              <w:jc w:val="center"/>
              <w:rPr>
                <w:rFonts w:ascii="Arial" w:hAnsi="Arial" w:cs="Arial"/>
                <w:sz w:val="18"/>
                <w:szCs w:val="18"/>
              </w:rPr>
            </w:pPr>
            <w:r w:rsidRPr="008E2609">
              <w:rPr>
                <w:rFonts w:ascii="Arial" w:hAnsi="Arial" w:cs="Arial"/>
                <w:sz w:val="18"/>
                <w:szCs w:val="18"/>
              </w:rPr>
              <w:t>Washed</w:t>
            </w:r>
          </w:p>
        </w:tc>
        <w:tc>
          <w:tcPr>
            <w:tcW w:w="1620" w:type="dxa"/>
            <w:tcBorders>
              <w:top w:val="single" w:sz="4" w:space="0" w:color="000000"/>
              <w:left w:val="single" w:sz="4" w:space="0" w:color="000000"/>
              <w:right w:val="single" w:sz="4" w:space="0" w:color="000000"/>
            </w:tcBorders>
            <w:shd w:val="pct10" w:color="auto" w:fill="auto"/>
            <w:vAlign w:val="center"/>
            <w:hideMark/>
          </w:tcPr>
          <w:p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rsidTr="009125FD">
        <w:trPr>
          <w:cantSplit/>
          <w:trHeight w:val="1008"/>
        </w:trPr>
        <w:tc>
          <w:tcPr>
            <w:tcW w:w="1692" w:type="dxa"/>
            <w:vMerge/>
            <w:tcBorders>
              <w:left w:val="single" w:sz="4" w:space="0" w:color="000000"/>
              <w:right w:val="single" w:sz="4" w:space="0" w:color="000000"/>
            </w:tcBorders>
            <w:vAlign w:val="bottom"/>
          </w:tcPr>
          <w:p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rsidR="009125FD" w:rsidRDefault="009125FD" w:rsidP="009125FD">
            <w:pPr>
              <w:jc w:val="center"/>
              <w:rPr>
                <w:rFonts w:ascii="Arial" w:hAnsi="Arial" w:cs="Arial"/>
                <w:sz w:val="18"/>
                <w:szCs w:val="18"/>
              </w:rPr>
            </w:pPr>
          </w:p>
          <w:p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tc>
        <w:tc>
          <w:tcPr>
            <w:tcW w:w="1260" w:type="dxa"/>
            <w:tcBorders>
              <w:top w:val="single" w:sz="4" w:space="0" w:color="000000"/>
              <w:left w:val="single" w:sz="4" w:space="0" w:color="000000"/>
              <w:bottom w:val="single" w:sz="4" w:space="0" w:color="000000"/>
              <w:right w:val="single" w:sz="4" w:space="0" w:color="000000"/>
            </w:tcBorders>
            <w:vAlign w:val="center"/>
          </w:tcPr>
          <w:p w:rsidR="009125FD" w:rsidRPr="00825E94" w:rsidRDefault="009125FD" w:rsidP="009125FD">
            <w:pPr>
              <w:jc w:val="center"/>
              <w:rPr>
                <w:rFonts w:ascii="Arial" w:hAnsi="Arial" w:cs="Arial"/>
                <w:b/>
                <w:color w:val="FF0000"/>
                <w:sz w:val="18"/>
                <w:szCs w:val="18"/>
              </w:rPr>
            </w:pPr>
            <w:r w:rsidRPr="00825E94">
              <w:rPr>
                <w:rFonts w:ascii="Arial" w:hAnsi="Arial" w:cs="Arial"/>
                <w:b/>
                <w:color w:val="FF0000"/>
                <w:sz w:val="18"/>
                <w:szCs w:val="18"/>
              </w:rPr>
              <w:t>Not Washed</w:t>
            </w:r>
          </w:p>
        </w:tc>
        <w:tc>
          <w:tcPr>
            <w:tcW w:w="1620" w:type="dxa"/>
            <w:tcBorders>
              <w:top w:val="single" w:sz="4" w:space="0" w:color="000000"/>
              <w:left w:val="single" w:sz="4" w:space="0" w:color="000000"/>
              <w:bottom w:val="single" w:sz="4" w:space="0" w:color="000000"/>
              <w:right w:val="single" w:sz="4" w:space="0" w:color="000000"/>
            </w:tcBorders>
            <w:vAlign w:val="center"/>
          </w:tcPr>
          <w:p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tcPr>
          <w:p w:rsidR="009125FD" w:rsidRPr="007F3B3C" w:rsidRDefault="009125FD" w:rsidP="009125FD">
            <w:pPr>
              <w:pStyle w:val="TableText"/>
              <w:spacing w:before="120"/>
              <w:rPr>
                <w:rStyle w:val="StyleTableText9ptCharChar"/>
                <w:rFonts w:cs="Arial"/>
                <w:i/>
              </w:rPr>
            </w:pPr>
            <w:r w:rsidRPr="005C5D59">
              <w:rPr>
                <w:rStyle w:val="StyleTableText9ptCharChar"/>
                <w:rFonts w:cs="Arial"/>
              </w:rPr>
              <w:t>The Transfusi</w:t>
            </w:r>
            <w:r>
              <w:rPr>
                <w:rStyle w:val="StyleTableText9ptCharChar"/>
                <w:rFonts w:cs="Arial"/>
              </w:rPr>
              <w:t>on Requirement is not satisfied;</w:t>
            </w:r>
            <w:r w:rsidRPr="005C5D59">
              <w:rPr>
                <w:rStyle w:val="StyleTableText9ptCharChar"/>
                <w:rFonts w:cs="Arial"/>
              </w:rPr>
              <w:t xml:space="preserve"> the system emits an audible alert and displays a warning message: </w:t>
            </w:r>
            <w:r w:rsidRPr="007F3B3C">
              <w:rPr>
                <w:rStyle w:val="StyleTableText9ptCharChar"/>
                <w:rFonts w:cs="Arial"/>
                <w:i/>
              </w:rPr>
              <w:t>This unit does not currently satisfy all of the patient’s Transfusion Requirements. Further processing is needed. Continue to select this unit?</w:t>
            </w:r>
          </w:p>
          <w:p w:rsidR="009125FD" w:rsidRPr="005C5D59" w:rsidRDefault="009125FD" w:rsidP="009125FD">
            <w:pPr>
              <w:pStyle w:val="TableText"/>
              <w:rPr>
                <w:rStyle w:val="StyleTableText9ptCharChar"/>
                <w:rFonts w:cs="Arial"/>
              </w:rPr>
            </w:pPr>
            <w:r w:rsidRPr="005C5D59">
              <w:rPr>
                <w:rStyle w:val="StyleTableText9ptCharChar"/>
                <w:rFonts w:cs="Arial"/>
              </w:rPr>
              <w:t>If</w:t>
            </w:r>
            <w:r>
              <w:rPr>
                <w:rStyle w:val="StyleTableText9ptCharChar"/>
                <w:rFonts w:cs="Arial"/>
              </w:rPr>
              <w:t xml:space="preserve"> the user clicks </w:t>
            </w:r>
            <w:r w:rsidRPr="005C5D59">
              <w:rPr>
                <w:rStyle w:val="StyleTableText9ptCharChar"/>
                <w:rFonts w:cs="Arial"/>
              </w:rPr>
              <w:t>“No,” the screen is cleared.</w:t>
            </w:r>
          </w:p>
          <w:p w:rsidR="009125FD" w:rsidRPr="005C5D59" w:rsidRDefault="009125FD" w:rsidP="009125FD">
            <w:pPr>
              <w:pStyle w:val="TableText"/>
              <w:rPr>
                <w:rFonts w:cs="Arial"/>
                <w:noProof/>
              </w:rPr>
            </w:pPr>
            <w:r w:rsidRPr="005C5D59">
              <w:rPr>
                <w:rStyle w:val="StyleTableText9ptCharChar"/>
                <w:rFonts w:cs="Arial"/>
              </w:rPr>
              <w:t xml:space="preserve">If </w:t>
            </w:r>
            <w:r>
              <w:rPr>
                <w:rStyle w:val="StyleTableText9ptCharChar"/>
                <w:rFonts w:cs="Arial"/>
              </w:rPr>
              <w:t>the user clicks “Yes,” selection can continue to select the unit.</w:t>
            </w:r>
          </w:p>
        </w:tc>
      </w:tr>
    </w:tbl>
    <w:p w:rsidR="009125FD" w:rsidRDefault="009125FD" w:rsidP="009125FD"/>
    <w:p w:rsidR="00C15299" w:rsidRDefault="00C15299" w:rsidP="00C15299">
      <w:pPr>
        <w:pStyle w:val="Caption"/>
      </w:pPr>
      <w:bookmarkStart w:id="819" w:name="_Ref343502523"/>
      <w:bookmarkStart w:id="820" w:name="_Ref407610749"/>
      <w:r>
        <w:t xml:space="preserve">Figure </w:t>
      </w:r>
      <w:r>
        <w:fldChar w:fldCharType="begin"/>
      </w:r>
      <w:r>
        <w:instrText xml:space="preserve"> SEQ Figure \* ARABIC </w:instrText>
      </w:r>
      <w:r>
        <w:fldChar w:fldCharType="separate"/>
      </w:r>
      <w:r w:rsidR="005F38BC">
        <w:rPr>
          <w:noProof/>
        </w:rPr>
        <w:t>157</w:t>
      </w:r>
      <w:r>
        <w:fldChar w:fldCharType="end"/>
      </w:r>
      <w:bookmarkEnd w:id="820"/>
      <w:r>
        <w:t>: Washed Red Blood Cell (RBC) Products and Issue Blood Component</w:t>
      </w:r>
      <w:bookmarkEnd w:id="819"/>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692"/>
        <w:gridCol w:w="1620"/>
        <w:gridCol w:w="1260"/>
        <w:gridCol w:w="1620"/>
        <w:gridCol w:w="4050"/>
      </w:tblGrid>
      <w:tr w:rsidR="009125FD" w:rsidRPr="005C5D59" w:rsidTr="009125FD">
        <w:trPr>
          <w:cantSplit/>
          <w:trHeight w:val="432"/>
          <w:tblHeader/>
        </w:trPr>
        <w:tc>
          <w:tcPr>
            <w:tcW w:w="10242" w:type="dxa"/>
            <w:gridSpan w:val="5"/>
            <w:tcBorders>
              <w:left w:val="single" w:sz="4" w:space="0" w:color="000000"/>
              <w:bottom w:val="single" w:sz="4" w:space="0" w:color="000000"/>
              <w:right w:val="single" w:sz="4" w:space="0" w:color="000000"/>
            </w:tcBorders>
            <w:shd w:val="pct25" w:color="auto" w:fill="auto"/>
            <w:vAlign w:val="bottom"/>
          </w:tcPr>
          <w:p w:rsidR="009125FD" w:rsidRPr="005C5D59" w:rsidRDefault="009125FD" w:rsidP="009125FD">
            <w:pPr>
              <w:rPr>
                <w:rFonts w:ascii="Arial" w:hAnsi="Arial" w:cs="Arial"/>
                <w:b/>
                <w:sz w:val="18"/>
                <w:szCs w:val="18"/>
              </w:rPr>
            </w:pPr>
            <w:r w:rsidRPr="005C5D59">
              <w:rPr>
                <w:rFonts w:ascii="Arial" w:hAnsi="Arial" w:cs="Arial"/>
                <w:b/>
                <w:sz w:val="18"/>
                <w:szCs w:val="18"/>
              </w:rPr>
              <w:t xml:space="preserve">Issue Blood Component: </w:t>
            </w:r>
            <w:r w:rsidRPr="00B62010">
              <w:rPr>
                <w:rFonts w:ascii="Arial" w:hAnsi="Arial" w:cs="Arial"/>
                <w:b/>
                <w:sz w:val="18"/>
                <w:szCs w:val="18"/>
              </w:rPr>
              <w:t>Washed RBC products</w:t>
            </w:r>
          </w:p>
        </w:tc>
      </w:tr>
      <w:tr w:rsidR="009125FD" w:rsidRPr="005C5D59" w:rsidTr="009125FD">
        <w:trPr>
          <w:cantSplit/>
          <w:trHeight w:val="432"/>
          <w:tblHeader/>
        </w:trPr>
        <w:tc>
          <w:tcPr>
            <w:tcW w:w="1692" w:type="dxa"/>
            <w:tcBorders>
              <w:left w:val="single" w:sz="4" w:space="0" w:color="000000"/>
              <w:bottom w:val="single" w:sz="4" w:space="0" w:color="000000"/>
              <w:right w:val="single" w:sz="4" w:space="0" w:color="000000"/>
            </w:tcBorders>
            <w:shd w:val="pct25" w:color="auto" w:fill="auto"/>
            <w:vAlign w:val="bottom"/>
            <w:hideMark/>
          </w:tcPr>
          <w:p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620" w:type="dxa"/>
            <w:tcBorders>
              <w:left w:val="single" w:sz="4" w:space="0" w:color="000000"/>
              <w:bottom w:val="single" w:sz="4" w:space="0" w:color="000000"/>
              <w:right w:val="single" w:sz="4" w:space="0" w:color="000000"/>
            </w:tcBorders>
            <w:shd w:val="pct25" w:color="auto" w:fill="auto"/>
            <w:vAlign w:val="bottom"/>
            <w:hideMark/>
          </w:tcPr>
          <w:p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rsidR="009125FD" w:rsidRPr="005C5D59" w:rsidRDefault="009125FD" w:rsidP="009125FD">
            <w:pP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rsidR="009125FD" w:rsidRPr="005C5D59" w:rsidRDefault="009125FD" w:rsidP="009125FD">
            <w:pPr>
              <w:rPr>
                <w:rFonts w:ascii="Arial" w:hAnsi="Arial" w:cs="Arial"/>
                <w:b/>
                <w:sz w:val="18"/>
                <w:szCs w:val="18"/>
              </w:rPr>
            </w:pPr>
            <w:r w:rsidRPr="005C5D59">
              <w:rPr>
                <w:rFonts w:ascii="Arial" w:hAnsi="Arial" w:cs="Arial"/>
                <w:b/>
                <w:sz w:val="18"/>
                <w:szCs w:val="18"/>
              </w:rPr>
              <w:t>Selected 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rsidR="009125FD" w:rsidRPr="005C5D59" w:rsidRDefault="009125FD" w:rsidP="009125FD">
            <w:pPr>
              <w:rPr>
                <w:rFonts w:ascii="Arial" w:hAnsi="Arial" w:cs="Arial"/>
                <w:b/>
                <w:sz w:val="18"/>
                <w:szCs w:val="18"/>
              </w:rPr>
            </w:pPr>
            <w:r w:rsidRPr="005C5D59">
              <w:rPr>
                <w:rFonts w:ascii="Arial" w:hAnsi="Arial" w:cs="Arial"/>
                <w:b/>
                <w:sz w:val="18"/>
                <w:szCs w:val="18"/>
              </w:rPr>
              <w:t>Expected System Response</w:t>
            </w:r>
          </w:p>
        </w:tc>
      </w:tr>
      <w:tr w:rsidR="009125FD" w:rsidRPr="005C5D59" w:rsidTr="009125FD">
        <w:trPr>
          <w:cantSplit/>
          <w:trHeight w:val="284"/>
        </w:trPr>
        <w:tc>
          <w:tcPr>
            <w:tcW w:w="1692" w:type="dxa"/>
            <w:vMerge w:val="restart"/>
            <w:tcBorders>
              <w:top w:val="single" w:sz="4" w:space="0" w:color="000000"/>
              <w:left w:val="single" w:sz="4" w:space="0" w:color="000000"/>
              <w:right w:val="single" w:sz="4" w:space="0" w:color="000000"/>
            </w:tcBorders>
            <w:vAlign w:val="center"/>
            <w:hideMark/>
          </w:tcPr>
          <w:p w:rsidR="009125FD" w:rsidRPr="00D93607" w:rsidRDefault="009125FD" w:rsidP="009125FD">
            <w:pPr>
              <w:jc w:val="center"/>
              <w:rPr>
                <w:rFonts w:ascii="Arial" w:hAnsi="Arial" w:cs="Arial"/>
                <w:sz w:val="32"/>
                <w:szCs w:val="32"/>
              </w:rPr>
            </w:pPr>
            <w:r w:rsidRPr="00D93607">
              <w:rPr>
                <w:rFonts w:ascii="Arial" w:hAnsi="Arial" w:cs="Arial"/>
                <w:sz w:val="32"/>
                <w:szCs w:val="32"/>
              </w:rPr>
              <w:t>Washed RBC products</w:t>
            </w:r>
          </w:p>
        </w:tc>
        <w:tc>
          <w:tcPr>
            <w:tcW w:w="1620" w:type="dxa"/>
            <w:tcBorders>
              <w:top w:val="single" w:sz="4" w:space="0" w:color="000000"/>
              <w:left w:val="single" w:sz="4" w:space="0" w:color="000000"/>
              <w:right w:val="single" w:sz="4" w:space="0" w:color="000000"/>
            </w:tcBorders>
            <w:shd w:val="pct10" w:color="auto" w:fill="auto"/>
            <w:vAlign w:val="center"/>
            <w:hideMark/>
          </w:tcPr>
          <w:p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 xml:space="preserve">WHOLE BLOOD </w:t>
            </w:r>
          </w:p>
        </w:tc>
        <w:tc>
          <w:tcPr>
            <w:tcW w:w="1260" w:type="dxa"/>
            <w:tcBorders>
              <w:top w:val="single" w:sz="4" w:space="0" w:color="000000"/>
              <w:left w:val="single" w:sz="4" w:space="0" w:color="000000"/>
              <w:right w:val="single" w:sz="4" w:space="0" w:color="000000"/>
            </w:tcBorders>
            <w:shd w:val="pct10" w:color="auto" w:fill="auto"/>
            <w:vAlign w:val="center"/>
            <w:hideMark/>
          </w:tcPr>
          <w:p w:rsidR="009125FD" w:rsidRPr="008E2609" w:rsidRDefault="009125FD" w:rsidP="009125FD">
            <w:pPr>
              <w:jc w:val="center"/>
              <w:rPr>
                <w:rFonts w:ascii="Arial" w:hAnsi="Arial" w:cs="Arial"/>
                <w:sz w:val="18"/>
                <w:szCs w:val="18"/>
              </w:rPr>
            </w:pPr>
            <w:r w:rsidRPr="008E2609">
              <w:rPr>
                <w:rFonts w:ascii="Arial" w:hAnsi="Arial" w:cs="Arial"/>
                <w:sz w:val="18"/>
                <w:szCs w:val="18"/>
              </w:rPr>
              <w:t>Washed</w:t>
            </w:r>
          </w:p>
        </w:tc>
        <w:tc>
          <w:tcPr>
            <w:tcW w:w="1620" w:type="dxa"/>
            <w:tcBorders>
              <w:top w:val="single" w:sz="4" w:space="0" w:color="000000"/>
              <w:left w:val="single" w:sz="4" w:space="0" w:color="000000"/>
              <w:right w:val="single" w:sz="4" w:space="0" w:color="000000"/>
            </w:tcBorders>
            <w:shd w:val="pct10" w:color="auto" w:fill="auto"/>
            <w:vAlign w:val="center"/>
            <w:hideMark/>
          </w:tcPr>
          <w:p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rsidTr="009125FD">
        <w:trPr>
          <w:cantSplit/>
          <w:trHeight w:val="1295"/>
        </w:trPr>
        <w:tc>
          <w:tcPr>
            <w:tcW w:w="1692" w:type="dxa"/>
            <w:vMerge/>
            <w:tcBorders>
              <w:left w:val="single" w:sz="4" w:space="0" w:color="000000"/>
              <w:right w:val="single" w:sz="4" w:space="0" w:color="000000"/>
            </w:tcBorders>
            <w:vAlign w:val="bottom"/>
          </w:tcPr>
          <w:p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rsidR="009125FD" w:rsidRPr="005C5D59" w:rsidRDefault="009125FD" w:rsidP="009125FD">
            <w:pPr>
              <w:jc w:val="center"/>
              <w:rPr>
                <w:rFonts w:ascii="Arial" w:hAnsi="Arial" w:cs="Arial"/>
                <w:sz w:val="18"/>
                <w:szCs w:val="18"/>
              </w:rPr>
            </w:pPr>
          </w:p>
          <w:p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tc>
        <w:tc>
          <w:tcPr>
            <w:tcW w:w="1260" w:type="dxa"/>
            <w:tcBorders>
              <w:top w:val="single" w:sz="4" w:space="0" w:color="000000"/>
              <w:left w:val="single" w:sz="4" w:space="0" w:color="000000"/>
              <w:right w:val="single" w:sz="4" w:space="0" w:color="000000"/>
            </w:tcBorders>
            <w:vAlign w:val="center"/>
          </w:tcPr>
          <w:p w:rsidR="009125FD" w:rsidRPr="00825E94" w:rsidRDefault="009125FD" w:rsidP="009125FD">
            <w:pPr>
              <w:jc w:val="center"/>
              <w:rPr>
                <w:rFonts w:ascii="Arial" w:hAnsi="Arial" w:cs="Arial"/>
                <w:b/>
                <w:color w:val="FF0000"/>
                <w:sz w:val="18"/>
                <w:szCs w:val="18"/>
              </w:rPr>
            </w:pPr>
            <w:r w:rsidRPr="00825E94">
              <w:rPr>
                <w:rFonts w:ascii="Arial" w:hAnsi="Arial" w:cs="Arial"/>
                <w:b/>
                <w:color w:val="FF0000"/>
                <w:sz w:val="18"/>
                <w:szCs w:val="18"/>
              </w:rPr>
              <w:t>Not Washed</w:t>
            </w:r>
          </w:p>
        </w:tc>
        <w:tc>
          <w:tcPr>
            <w:tcW w:w="1620" w:type="dxa"/>
            <w:tcBorders>
              <w:top w:val="single" w:sz="4" w:space="0" w:color="000000"/>
              <w:left w:val="single" w:sz="4" w:space="0" w:color="000000"/>
              <w:right w:val="single" w:sz="4" w:space="0" w:color="000000"/>
            </w:tcBorders>
            <w:vAlign w:val="center"/>
          </w:tcPr>
          <w:p w:rsidR="009125FD" w:rsidRPr="00D93607" w:rsidRDefault="009125FD" w:rsidP="009125FD">
            <w:pPr>
              <w:ind w:left="18"/>
              <w:rPr>
                <w:rFonts w:ascii="Arial" w:hAnsi="Arial" w:cs="Arial"/>
                <w:sz w:val="18"/>
                <w:szCs w:val="18"/>
              </w:rPr>
            </w:pPr>
            <w:r w:rsidRPr="00D93607">
              <w:rPr>
                <w:rFonts w:ascii="Arial" w:hAnsi="Arial" w:cs="Arial"/>
                <w:noProof/>
                <w:sz w:val="18"/>
                <w:szCs w:val="18"/>
              </w:rPr>
              <w:t>Technologist</w:t>
            </w:r>
          </w:p>
          <w:p w:rsidR="009125FD" w:rsidRPr="00836EE2" w:rsidRDefault="009125FD" w:rsidP="009125FD">
            <w:pPr>
              <w:ind w:left="18"/>
              <w:rPr>
                <w:rFonts w:ascii="Arial" w:hAnsi="Arial" w:cs="Arial"/>
                <w:sz w:val="18"/>
                <w:szCs w:val="18"/>
              </w:rPr>
            </w:pPr>
          </w:p>
          <w:p w:rsidR="009125FD" w:rsidRPr="00D93607" w:rsidRDefault="009125FD" w:rsidP="009125FD">
            <w:pPr>
              <w:ind w:left="18"/>
              <w:rPr>
                <w:rFonts w:ascii="Arial" w:hAnsi="Arial" w:cs="Arial"/>
                <w:noProof/>
                <w:sz w:val="18"/>
                <w:szCs w:val="18"/>
              </w:rPr>
            </w:pPr>
            <w:r w:rsidRPr="00D93607">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vAlign w:val="bottom"/>
          </w:tcPr>
          <w:p w:rsidR="009125FD"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Patient’s Transfusion Requirement is not satisfied.</w:t>
            </w:r>
            <w:r w:rsidRPr="005C5D59">
              <w:rPr>
                <w:rFonts w:ascii="Arial" w:hAnsi="Arial" w:cs="Arial"/>
                <w:sz w:val="18"/>
                <w:szCs w:val="18"/>
              </w:rPr>
              <w:t xml:space="preserve"> </w:t>
            </w:r>
            <w:r w:rsidRPr="007F3B3C">
              <w:rPr>
                <w:rFonts w:ascii="Arial" w:hAnsi="Arial" w:cs="Arial"/>
                <w:i/>
                <w:sz w:val="18"/>
                <w:szCs w:val="18"/>
              </w:rPr>
              <w:t>You do not have the proper security to issue this unit. Further processing is needed and must be documented in VBECS.</w:t>
            </w:r>
            <w:r w:rsidRPr="005C5D59">
              <w:rPr>
                <w:rFonts w:ascii="Arial" w:hAnsi="Arial" w:cs="Arial"/>
                <w:sz w:val="18"/>
                <w:szCs w:val="18"/>
              </w:rPr>
              <w:t xml:space="preserve"> </w:t>
            </w:r>
          </w:p>
          <w:p w:rsidR="009125FD" w:rsidRPr="005C5D59" w:rsidRDefault="009125FD" w:rsidP="009125FD">
            <w:pPr>
              <w:rPr>
                <w:rFonts w:ascii="Arial" w:hAnsi="Arial" w:cs="Arial"/>
                <w:sz w:val="18"/>
                <w:szCs w:val="18"/>
              </w:rPr>
            </w:pPr>
            <w:r>
              <w:rPr>
                <w:rFonts w:ascii="Arial" w:hAnsi="Arial" w:cs="Arial"/>
                <w:sz w:val="18"/>
                <w:szCs w:val="18"/>
              </w:rPr>
              <w:t>The tech may not issue this unit in the computer.</w:t>
            </w:r>
          </w:p>
        </w:tc>
      </w:tr>
      <w:tr w:rsidR="009125FD" w:rsidRPr="005C5D59" w:rsidTr="009125FD">
        <w:trPr>
          <w:cantSplit/>
          <w:trHeight w:val="2343"/>
        </w:trPr>
        <w:tc>
          <w:tcPr>
            <w:tcW w:w="1692" w:type="dxa"/>
            <w:vMerge/>
            <w:tcBorders>
              <w:left w:val="single" w:sz="4" w:space="0" w:color="000000"/>
              <w:right w:val="single" w:sz="4" w:space="0" w:color="000000"/>
            </w:tcBorders>
            <w:vAlign w:val="bottom"/>
          </w:tcPr>
          <w:p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rsidR="009125FD" w:rsidRPr="005C5D59" w:rsidRDefault="009125FD" w:rsidP="009125FD">
            <w:pPr>
              <w:jc w:val="center"/>
              <w:rPr>
                <w:rFonts w:ascii="Arial" w:hAnsi="Arial" w:cs="Arial"/>
                <w:sz w:val="18"/>
                <w:szCs w:val="18"/>
              </w:rPr>
            </w:pPr>
          </w:p>
          <w:p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tc>
        <w:tc>
          <w:tcPr>
            <w:tcW w:w="1260" w:type="dxa"/>
            <w:tcBorders>
              <w:top w:val="single" w:sz="4" w:space="0" w:color="000000"/>
              <w:left w:val="single" w:sz="4" w:space="0" w:color="000000"/>
              <w:right w:val="single" w:sz="4" w:space="0" w:color="000000"/>
            </w:tcBorders>
            <w:vAlign w:val="center"/>
          </w:tcPr>
          <w:p w:rsidR="009125FD" w:rsidRPr="00825E94" w:rsidRDefault="009125FD" w:rsidP="009125FD">
            <w:pPr>
              <w:jc w:val="center"/>
              <w:rPr>
                <w:rFonts w:ascii="Arial" w:hAnsi="Arial" w:cs="Arial"/>
                <w:b/>
                <w:color w:val="FF0000"/>
                <w:sz w:val="18"/>
                <w:szCs w:val="18"/>
              </w:rPr>
            </w:pPr>
            <w:r w:rsidRPr="00825E94">
              <w:rPr>
                <w:rFonts w:ascii="Arial" w:hAnsi="Arial" w:cs="Arial"/>
                <w:b/>
                <w:color w:val="FF0000"/>
                <w:sz w:val="18"/>
                <w:szCs w:val="18"/>
              </w:rPr>
              <w:t>Not Washed</w:t>
            </w:r>
          </w:p>
        </w:tc>
        <w:tc>
          <w:tcPr>
            <w:tcW w:w="1620" w:type="dxa"/>
            <w:tcBorders>
              <w:top w:val="single" w:sz="4" w:space="0" w:color="000000"/>
              <w:left w:val="single" w:sz="4" w:space="0" w:color="000000"/>
              <w:right w:val="single" w:sz="4" w:space="0" w:color="000000"/>
            </w:tcBorders>
            <w:vAlign w:val="center"/>
          </w:tcPr>
          <w:p w:rsidR="009125FD" w:rsidRPr="00D93607" w:rsidRDefault="009125FD" w:rsidP="009125FD">
            <w:pPr>
              <w:spacing w:before="120"/>
              <w:ind w:left="18"/>
              <w:rPr>
                <w:rFonts w:ascii="Arial" w:hAnsi="Arial" w:cs="Arial"/>
                <w:sz w:val="18"/>
                <w:szCs w:val="18"/>
              </w:rPr>
            </w:pPr>
            <w:r w:rsidRPr="00D93607">
              <w:rPr>
                <w:rFonts w:ascii="Arial" w:hAnsi="Arial" w:cs="Arial"/>
                <w:sz w:val="18"/>
                <w:szCs w:val="18"/>
              </w:rPr>
              <w:t>Lead Technologist</w:t>
            </w:r>
          </w:p>
          <w:p w:rsidR="009125FD" w:rsidRPr="00D93607" w:rsidRDefault="009125FD" w:rsidP="009125FD">
            <w:pPr>
              <w:spacing w:before="120"/>
              <w:ind w:left="18"/>
              <w:rPr>
                <w:rFonts w:ascii="Arial" w:hAnsi="Arial" w:cs="Arial"/>
                <w:sz w:val="18"/>
                <w:szCs w:val="18"/>
              </w:rPr>
            </w:pPr>
            <w:r w:rsidRPr="00D93607">
              <w:rPr>
                <w:rFonts w:ascii="Arial" w:hAnsi="Arial" w:cs="Arial"/>
                <w:sz w:val="18"/>
                <w:szCs w:val="18"/>
              </w:rPr>
              <w:t>Traditional Supervisor</w:t>
            </w:r>
          </w:p>
          <w:p w:rsidR="009125FD" w:rsidRPr="00D93607" w:rsidRDefault="009125FD" w:rsidP="009125FD">
            <w:pPr>
              <w:spacing w:before="120"/>
              <w:ind w:left="18"/>
              <w:rPr>
                <w:rFonts w:ascii="Arial" w:hAnsi="Arial" w:cs="Arial"/>
                <w:sz w:val="18"/>
                <w:szCs w:val="18"/>
              </w:rPr>
            </w:pPr>
            <w:r w:rsidRPr="00D93607">
              <w:rPr>
                <w:rFonts w:ascii="Arial" w:hAnsi="Arial" w:cs="Arial"/>
                <w:sz w:val="18"/>
                <w:szCs w:val="18"/>
              </w:rPr>
              <w:t>Enhanced Supervisor</w:t>
            </w:r>
          </w:p>
          <w:p w:rsidR="009125FD" w:rsidRPr="00D93607" w:rsidRDefault="009125FD" w:rsidP="009125FD">
            <w:pPr>
              <w:spacing w:before="120"/>
              <w:ind w:left="18"/>
              <w:rPr>
                <w:rFonts w:ascii="Arial" w:hAnsi="Arial" w:cs="Arial"/>
                <w:sz w:val="18"/>
                <w:szCs w:val="18"/>
              </w:rPr>
            </w:pPr>
            <w:r w:rsidRPr="00D93607">
              <w:rPr>
                <w:rFonts w:ascii="Arial" w:hAnsi="Arial" w:cs="Arial"/>
                <w:sz w:val="18"/>
                <w:szCs w:val="18"/>
              </w:rPr>
              <w:t>Administrator/Supervisor</w:t>
            </w:r>
          </w:p>
          <w:p w:rsidR="009125FD" w:rsidRPr="008B278A" w:rsidRDefault="009125FD" w:rsidP="009125FD">
            <w:pPr>
              <w:ind w:left="18"/>
              <w:rPr>
                <w:rFonts w:ascii="Arial" w:hAnsi="Arial" w:cs="Arial"/>
                <w:sz w:val="18"/>
                <w:szCs w:val="18"/>
              </w:rPr>
            </w:pPr>
          </w:p>
        </w:tc>
        <w:tc>
          <w:tcPr>
            <w:tcW w:w="4050" w:type="dxa"/>
            <w:tcBorders>
              <w:top w:val="single" w:sz="4" w:space="0" w:color="000000"/>
              <w:left w:val="single" w:sz="4" w:space="0" w:color="000000"/>
              <w:right w:val="single" w:sz="4" w:space="0" w:color="000000"/>
            </w:tcBorders>
            <w:vAlign w:val="bottom"/>
          </w:tcPr>
          <w:p w:rsidR="009125FD" w:rsidRPr="005C5D59"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 xml:space="preserve">Patient’s </w:t>
            </w:r>
            <w:r>
              <w:rPr>
                <w:rFonts w:ascii="Arial" w:hAnsi="Arial" w:cs="Arial"/>
                <w:i/>
                <w:sz w:val="18"/>
                <w:szCs w:val="18"/>
              </w:rPr>
              <w:t>Washed RBC Products</w:t>
            </w:r>
            <w:r w:rsidRPr="00836EE2">
              <w:rPr>
                <w:rFonts w:ascii="Arial" w:hAnsi="Arial" w:cs="Arial"/>
                <w:i/>
                <w:sz w:val="18"/>
                <w:szCs w:val="18"/>
              </w:rPr>
              <w:t xml:space="preserve"> Transfusion Requirement is not satisfied</w:t>
            </w:r>
            <w:r w:rsidRPr="005C5D59">
              <w:rPr>
                <w:rFonts w:ascii="Arial" w:hAnsi="Arial" w:cs="Arial"/>
                <w:sz w:val="18"/>
                <w:szCs w:val="18"/>
              </w:rPr>
              <w:t xml:space="preserve"> and prompts the user whether to proceed. </w:t>
            </w:r>
          </w:p>
          <w:p w:rsidR="009125FD" w:rsidRPr="005C5D59" w:rsidRDefault="009125FD" w:rsidP="009125FD">
            <w:pPr>
              <w:rPr>
                <w:rFonts w:ascii="Arial" w:hAnsi="Arial" w:cs="Arial"/>
                <w:sz w:val="18"/>
                <w:szCs w:val="18"/>
              </w:rPr>
            </w:pPr>
            <w:r w:rsidRPr="005C5D59">
              <w:rPr>
                <w:rFonts w:ascii="Arial" w:hAnsi="Arial" w:cs="Arial"/>
                <w:sz w:val="18"/>
                <w:szCs w:val="18"/>
              </w:rPr>
              <w:t>If the user responds “No”</w:t>
            </w:r>
            <w:r>
              <w:rPr>
                <w:rFonts w:ascii="Arial" w:hAnsi="Arial" w:cs="Arial"/>
                <w:sz w:val="18"/>
                <w:szCs w:val="18"/>
              </w:rPr>
              <w:t>,</w:t>
            </w:r>
            <w:r w:rsidRPr="005C5D59">
              <w:rPr>
                <w:rFonts w:ascii="Arial" w:hAnsi="Arial" w:cs="Arial"/>
                <w:sz w:val="18"/>
                <w:szCs w:val="18"/>
              </w:rPr>
              <w:t xml:space="preserve"> the system wi</w:t>
            </w:r>
            <w:r>
              <w:rPr>
                <w:rFonts w:ascii="Arial" w:hAnsi="Arial" w:cs="Arial"/>
                <w:sz w:val="18"/>
                <w:szCs w:val="18"/>
              </w:rPr>
              <w:t>ll clear the selected unit.</w:t>
            </w:r>
          </w:p>
          <w:p w:rsidR="009125FD" w:rsidRPr="005C5D59" w:rsidRDefault="009125FD" w:rsidP="009125FD">
            <w:pPr>
              <w:rPr>
                <w:rFonts w:ascii="Arial" w:hAnsi="Arial" w:cs="Arial"/>
                <w:sz w:val="18"/>
                <w:szCs w:val="18"/>
              </w:rPr>
            </w:pPr>
            <w:r w:rsidRPr="005C5D59">
              <w:rPr>
                <w:rFonts w:ascii="Arial" w:hAnsi="Arial" w:cs="Arial"/>
                <w:sz w:val="18"/>
                <w:szCs w:val="18"/>
              </w:rPr>
              <w:t>If the user responds “Yes”</w:t>
            </w:r>
            <w:r>
              <w:rPr>
                <w:rFonts w:ascii="Arial" w:hAnsi="Arial" w:cs="Arial"/>
                <w:sz w:val="18"/>
                <w:szCs w:val="18"/>
              </w:rPr>
              <w:t>,</w:t>
            </w:r>
            <w:r w:rsidRPr="005C5D59">
              <w:rPr>
                <w:rFonts w:ascii="Arial" w:hAnsi="Arial" w:cs="Arial"/>
                <w:sz w:val="18"/>
                <w:szCs w:val="18"/>
              </w:rPr>
              <w:t xml:space="preserve"> the system will require a comment (free text or canned, “unit issue” context) and capture the transacti</w:t>
            </w:r>
            <w:r>
              <w:rPr>
                <w:rFonts w:ascii="Arial" w:hAnsi="Arial" w:cs="Arial"/>
                <w:sz w:val="18"/>
                <w:szCs w:val="18"/>
              </w:rPr>
              <w:t>on details for inclusion in an Exception R</w:t>
            </w:r>
            <w:r w:rsidRPr="005C5D59">
              <w:rPr>
                <w:rFonts w:ascii="Arial" w:hAnsi="Arial" w:cs="Arial"/>
                <w:sz w:val="18"/>
                <w:szCs w:val="18"/>
              </w:rPr>
              <w:t>eport</w:t>
            </w:r>
            <w:r>
              <w:rPr>
                <w:rFonts w:ascii="Arial" w:hAnsi="Arial" w:cs="Arial"/>
                <w:sz w:val="18"/>
                <w:szCs w:val="18"/>
              </w:rPr>
              <w:t xml:space="preserve"> entry</w:t>
            </w:r>
            <w:r w:rsidRPr="005C5D59">
              <w:rPr>
                <w:rFonts w:ascii="Arial" w:hAnsi="Arial" w:cs="Arial"/>
                <w:sz w:val="18"/>
                <w:szCs w:val="18"/>
              </w:rPr>
              <w:t xml:space="preserve">: </w:t>
            </w:r>
            <w:r w:rsidRPr="005C5D59">
              <w:rPr>
                <w:rFonts w:ascii="Arial" w:hAnsi="Arial" w:cs="Arial"/>
                <w:i/>
                <w:sz w:val="18"/>
                <w:szCs w:val="18"/>
              </w:rPr>
              <w:t>Unit issued with unsatisfied Transfusion Requirement</w:t>
            </w:r>
            <w:r w:rsidRPr="005C5D59">
              <w:rPr>
                <w:rFonts w:ascii="Arial" w:hAnsi="Arial" w:cs="Arial"/>
                <w:sz w:val="18"/>
                <w:szCs w:val="18"/>
              </w:rPr>
              <w:t xml:space="preserve"> </w:t>
            </w:r>
            <w:r w:rsidR="005C48D9">
              <w:rPr>
                <w:rFonts w:ascii="Arial" w:hAnsi="Arial" w:cs="Arial"/>
                <w:sz w:val="18"/>
                <w:szCs w:val="18"/>
              </w:rPr>
              <w:t>.</w:t>
            </w:r>
          </w:p>
        </w:tc>
      </w:tr>
    </w:tbl>
    <w:p w:rsidR="009125FD" w:rsidRPr="00825E94" w:rsidRDefault="009125FD" w:rsidP="009125FD"/>
    <w:p w:rsidR="00C15299" w:rsidRDefault="009125FD" w:rsidP="00C15299">
      <w:pPr>
        <w:pStyle w:val="Caption"/>
      </w:pPr>
      <w:r>
        <w:br w:type="page"/>
      </w:r>
      <w:bookmarkStart w:id="821" w:name="_Ref343502547"/>
      <w:bookmarkStart w:id="822" w:name="_Ref407610759"/>
      <w:r w:rsidR="00C15299">
        <w:lastRenderedPageBreak/>
        <w:t xml:space="preserve">Figure </w:t>
      </w:r>
      <w:r w:rsidR="00C15299">
        <w:fldChar w:fldCharType="begin"/>
      </w:r>
      <w:r w:rsidR="00C15299">
        <w:instrText xml:space="preserve"> SEQ Figure \* ARABIC </w:instrText>
      </w:r>
      <w:r w:rsidR="00C15299">
        <w:fldChar w:fldCharType="separate"/>
      </w:r>
      <w:r w:rsidR="005F38BC">
        <w:rPr>
          <w:noProof/>
        </w:rPr>
        <w:t>158</w:t>
      </w:r>
      <w:r w:rsidR="00C15299">
        <w:fldChar w:fldCharType="end"/>
      </w:r>
      <w:bookmarkEnd w:id="822"/>
      <w:r w:rsidR="00C15299">
        <w:t>: Washed PLATELET (PLT) Products and Select Blood Unit</w:t>
      </w:r>
      <w:bookmarkEnd w:id="821"/>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692"/>
        <w:gridCol w:w="1620"/>
        <w:gridCol w:w="1260"/>
        <w:gridCol w:w="1620"/>
        <w:gridCol w:w="4050"/>
      </w:tblGrid>
      <w:tr w:rsidR="009125FD" w:rsidRPr="005C5D59" w:rsidTr="009125FD">
        <w:trPr>
          <w:cantSplit/>
          <w:trHeight w:val="305"/>
          <w:tblHeader/>
        </w:trPr>
        <w:tc>
          <w:tcPr>
            <w:tcW w:w="10242" w:type="dxa"/>
            <w:gridSpan w:val="5"/>
            <w:tcBorders>
              <w:top w:val="single" w:sz="4" w:space="0" w:color="000000"/>
              <w:left w:val="single" w:sz="4" w:space="0" w:color="000000"/>
              <w:right w:val="single" w:sz="4" w:space="0" w:color="000000"/>
            </w:tcBorders>
            <w:shd w:val="pct25" w:color="auto" w:fill="auto"/>
            <w:vAlign w:val="bottom"/>
            <w:hideMark/>
          </w:tcPr>
          <w:p w:rsidR="009125FD" w:rsidRPr="005C5D59" w:rsidRDefault="009125FD" w:rsidP="009125FD">
            <w:pPr>
              <w:rPr>
                <w:rFonts w:ascii="Arial" w:hAnsi="Arial" w:cs="Arial"/>
                <w:b/>
                <w:sz w:val="18"/>
                <w:szCs w:val="18"/>
              </w:rPr>
            </w:pPr>
            <w:r w:rsidRPr="005C5D59">
              <w:rPr>
                <w:rFonts w:ascii="Arial" w:hAnsi="Arial" w:cs="Arial"/>
                <w:b/>
                <w:sz w:val="18"/>
                <w:szCs w:val="18"/>
              </w:rPr>
              <w:t xml:space="preserve">Select Unit: </w:t>
            </w:r>
            <w:r>
              <w:rPr>
                <w:rFonts w:ascii="Arial" w:hAnsi="Arial" w:cs="Arial"/>
                <w:b/>
                <w:sz w:val="18"/>
                <w:szCs w:val="18"/>
              </w:rPr>
              <w:t xml:space="preserve">  </w:t>
            </w:r>
            <w:r w:rsidRPr="00B62010">
              <w:rPr>
                <w:rFonts w:ascii="Arial" w:hAnsi="Arial" w:cs="Arial"/>
                <w:b/>
                <w:sz w:val="20"/>
                <w:szCs w:val="20"/>
              </w:rPr>
              <w:t>Washed PLT products</w:t>
            </w:r>
          </w:p>
        </w:tc>
      </w:tr>
      <w:tr w:rsidR="009125FD" w:rsidRPr="005C5D59" w:rsidTr="009125FD">
        <w:trPr>
          <w:cantSplit/>
          <w:trHeight w:val="432"/>
          <w:tblHeader/>
        </w:trPr>
        <w:tc>
          <w:tcPr>
            <w:tcW w:w="1692" w:type="dxa"/>
            <w:tcBorders>
              <w:left w:val="single" w:sz="4" w:space="0" w:color="000000"/>
              <w:bottom w:val="single" w:sz="4" w:space="0" w:color="000000"/>
              <w:right w:val="single" w:sz="4" w:space="0" w:color="000000"/>
            </w:tcBorders>
            <w:shd w:val="pct25" w:color="auto" w:fill="auto"/>
            <w:vAlign w:val="bottom"/>
            <w:hideMark/>
          </w:tcPr>
          <w:p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620" w:type="dxa"/>
            <w:tcBorders>
              <w:left w:val="single" w:sz="4" w:space="0" w:color="000000"/>
              <w:bottom w:val="single" w:sz="4" w:space="0" w:color="000000"/>
              <w:right w:val="single" w:sz="4" w:space="0" w:color="000000"/>
            </w:tcBorders>
            <w:shd w:val="pct25" w:color="auto" w:fill="auto"/>
            <w:vAlign w:val="bottom"/>
            <w:hideMark/>
          </w:tcPr>
          <w:p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rsidR="009125FD" w:rsidRPr="005C5D59" w:rsidRDefault="009125FD" w:rsidP="009125FD">
            <w:pPr>
              <w:jc w:val="cente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rsidR="009125FD" w:rsidRPr="005C5D59" w:rsidRDefault="009125FD" w:rsidP="009125FD">
            <w:pPr>
              <w:jc w:val="center"/>
              <w:rPr>
                <w:rFonts w:ascii="Arial" w:hAnsi="Arial" w:cs="Arial"/>
                <w:b/>
                <w:sz w:val="18"/>
                <w:szCs w:val="18"/>
              </w:rPr>
            </w:pPr>
            <w:r w:rsidRPr="005C5D59">
              <w:rPr>
                <w:rFonts w:ascii="Arial" w:hAnsi="Arial" w:cs="Arial"/>
                <w:b/>
                <w:sz w:val="18"/>
                <w:szCs w:val="18"/>
              </w:rPr>
              <w:t>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rsidR="009125FD" w:rsidRPr="005C5D59" w:rsidRDefault="009125FD" w:rsidP="009125FD">
            <w:pPr>
              <w:jc w:val="center"/>
              <w:rPr>
                <w:rFonts w:ascii="Arial" w:hAnsi="Arial" w:cs="Arial"/>
                <w:b/>
                <w:sz w:val="18"/>
                <w:szCs w:val="18"/>
              </w:rPr>
            </w:pPr>
            <w:r>
              <w:rPr>
                <w:rFonts w:ascii="Arial" w:hAnsi="Arial" w:cs="Arial"/>
                <w:b/>
                <w:sz w:val="18"/>
                <w:szCs w:val="18"/>
              </w:rPr>
              <w:t xml:space="preserve">VBECS </w:t>
            </w:r>
            <w:r w:rsidRPr="005C5D59">
              <w:rPr>
                <w:rFonts w:ascii="Arial" w:hAnsi="Arial" w:cs="Arial"/>
                <w:b/>
                <w:sz w:val="18"/>
                <w:szCs w:val="18"/>
              </w:rPr>
              <w:t>Response</w:t>
            </w:r>
          </w:p>
        </w:tc>
      </w:tr>
      <w:tr w:rsidR="009125FD" w:rsidRPr="005C5D59" w:rsidTr="009125FD">
        <w:trPr>
          <w:cantSplit/>
          <w:trHeight w:val="284"/>
        </w:trPr>
        <w:tc>
          <w:tcPr>
            <w:tcW w:w="1692" w:type="dxa"/>
            <w:vMerge w:val="restart"/>
            <w:tcBorders>
              <w:top w:val="single" w:sz="4" w:space="0" w:color="000000"/>
              <w:left w:val="single" w:sz="4" w:space="0" w:color="000000"/>
              <w:right w:val="single" w:sz="4" w:space="0" w:color="000000"/>
            </w:tcBorders>
            <w:vAlign w:val="center"/>
            <w:hideMark/>
          </w:tcPr>
          <w:p w:rsidR="009125FD" w:rsidRPr="00D93607" w:rsidRDefault="009125FD" w:rsidP="009125FD">
            <w:pPr>
              <w:jc w:val="center"/>
              <w:rPr>
                <w:rFonts w:ascii="Arial" w:hAnsi="Arial" w:cs="Arial"/>
                <w:b/>
                <w:sz w:val="28"/>
                <w:szCs w:val="28"/>
              </w:rPr>
            </w:pPr>
            <w:r w:rsidRPr="00D93607">
              <w:rPr>
                <w:rFonts w:ascii="Arial" w:hAnsi="Arial" w:cs="Arial"/>
                <w:b/>
                <w:sz w:val="28"/>
                <w:szCs w:val="28"/>
              </w:rPr>
              <w:t>Washed PLT products</w:t>
            </w:r>
          </w:p>
        </w:tc>
        <w:tc>
          <w:tcPr>
            <w:tcW w:w="1620" w:type="dxa"/>
            <w:tcBorders>
              <w:top w:val="single" w:sz="4" w:space="0" w:color="000000"/>
              <w:left w:val="single" w:sz="4" w:space="0" w:color="000000"/>
              <w:right w:val="single" w:sz="4" w:space="0" w:color="000000"/>
            </w:tcBorders>
            <w:shd w:val="pct10" w:color="auto" w:fill="auto"/>
            <w:vAlign w:val="center"/>
            <w:hideMark/>
          </w:tcPr>
          <w:p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rsidR="009125FD" w:rsidRDefault="009125FD" w:rsidP="009125FD">
            <w:pPr>
              <w:spacing w:before="120"/>
              <w:jc w:val="center"/>
              <w:rPr>
                <w:rFonts w:ascii="Arial" w:hAnsi="Arial" w:cs="Arial"/>
                <w:sz w:val="18"/>
                <w:szCs w:val="18"/>
              </w:rPr>
            </w:pPr>
            <w:r w:rsidRPr="005C5D59">
              <w:rPr>
                <w:rFonts w:ascii="Arial" w:hAnsi="Arial" w:cs="Arial"/>
                <w:sz w:val="18"/>
                <w:szCs w:val="18"/>
              </w:rPr>
              <w:t xml:space="preserve"> WHOLE BLOOD</w:t>
            </w:r>
          </w:p>
          <w:p w:rsidR="009125FD" w:rsidRDefault="009125FD" w:rsidP="009125FD">
            <w:pPr>
              <w:spacing w:before="120" w:after="120"/>
              <w:jc w:val="center"/>
              <w:rPr>
                <w:rFonts w:ascii="Arial" w:hAnsi="Arial" w:cs="Arial"/>
                <w:sz w:val="18"/>
                <w:szCs w:val="18"/>
              </w:rPr>
            </w:pPr>
            <w:r w:rsidRPr="005C5D59">
              <w:rPr>
                <w:rFonts w:ascii="Arial" w:hAnsi="Arial" w:cs="Arial"/>
                <w:sz w:val="18"/>
                <w:szCs w:val="18"/>
              </w:rPr>
              <w:t xml:space="preserve"> PLATELETS</w:t>
            </w:r>
          </w:p>
          <w:p w:rsidR="009125FD" w:rsidRPr="005C5D59" w:rsidRDefault="009125FD" w:rsidP="009125FD">
            <w:pPr>
              <w:jc w:val="center"/>
              <w:rPr>
                <w:rFonts w:ascii="Arial" w:hAnsi="Arial" w:cs="Arial"/>
                <w:sz w:val="18"/>
                <w:szCs w:val="18"/>
              </w:rPr>
            </w:pPr>
            <w:r w:rsidRPr="005C5D59">
              <w:rPr>
                <w:rFonts w:ascii="Arial" w:hAnsi="Arial" w:cs="Arial"/>
                <w:color w:val="000000"/>
                <w:sz w:val="18"/>
                <w:szCs w:val="18"/>
              </w:rPr>
              <w:t>OTHER</w:t>
            </w:r>
          </w:p>
        </w:tc>
        <w:tc>
          <w:tcPr>
            <w:tcW w:w="1260" w:type="dxa"/>
            <w:tcBorders>
              <w:top w:val="single" w:sz="4" w:space="0" w:color="000000"/>
              <w:left w:val="single" w:sz="4" w:space="0" w:color="000000"/>
              <w:right w:val="single" w:sz="4" w:space="0" w:color="000000"/>
            </w:tcBorders>
            <w:shd w:val="pct10" w:color="auto" w:fill="auto"/>
            <w:vAlign w:val="center"/>
            <w:hideMark/>
          </w:tcPr>
          <w:p w:rsidR="009125FD" w:rsidRPr="008E2609" w:rsidRDefault="009125FD" w:rsidP="009125FD">
            <w:pPr>
              <w:jc w:val="center"/>
              <w:rPr>
                <w:rFonts w:ascii="Arial" w:hAnsi="Arial" w:cs="Arial"/>
                <w:sz w:val="18"/>
                <w:szCs w:val="18"/>
              </w:rPr>
            </w:pPr>
            <w:r w:rsidRPr="008E2609">
              <w:rPr>
                <w:rFonts w:ascii="Arial" w:hAnsi="Arial" w:cs="Arial"/>
                <w:sz w:val="18"/>
                <w:szCs w:val="18"/>
              </w:rPr>
              <w:t>Washed</w:t>
            </w:r>
          </w:p>
        </w:tc>
        <w:tc>
          <w:tcPr>
            <w:tcW w:w="1620" w:type="dxa"/>
            <w:tcBorders>
              <w:top w:val="single" w:sz="4" w:space="0" w:color="000000"/>
              <w:left w:val="single" w:sz="4" w:space="0" w:color="000000"/>
              <w:right w:val="single" w:sz="4" w:space="0" w:color="000000"/>
            </w:tcBorders>
            <w:shd w:val="pct10" w:color="auto" w:fill="auto"/>
            <w:vAlign w:val="center"/>
            <w:hideMark/>
          </w:tcPr>
          <w:p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rsidTr="009125FD">
        <w:trPr>
          <w:cantSplit/>
          <w:trHeight w:val="432"/>
        </w:trPr>
        <w:tc>
          <w:tcPr>
            <w:tcW w:w="1692" w:type="dxa"/>
            <w:vMerge/>
            <w:tcBorders>
              <w:left w:val="single" w:sz="4" w:space="0" w:color="000000"/>
              <w:right w:val="single" w:sz="4" w:space="0" w:color="000000"/>
            </w:tcBorders>
            <w:vAlign w:val="bottom"/>
          </w:tcPr>
          <w:p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bottom w:val="single" w:sz="4" w:space="0" w:color="000000"/>
              <w:right w:val="single" w:sz="4" w:space="0" w:color="000000"/>
            </w:tcBorders>
            <w:vAlign w:val="center"/>
          </w:tcPr>
          <w:p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rsidR="009125FD" w:rsidRDefault="009125FD" w:rsidP="009125FD">
            <w:pPr>
              <w:spacing w:before="120"/>
              <w:jc w:val="center"/>
              <w:rPr>
                <w:rFonts w:ascii="Arial" w:hAnsi="Arial" w:cs="Arial"/>
                <w:sz w:val="18"/>
                <w:szCs w:val="18"/>
              </w:rPr>
            </w:pPr>
            <w:r w:rsidRPr="005C5D59">
              <w:rPr>
                <w:rFonts w:ascii="Arial" w:hAnsi="Arial" w:cs="Arial"/>
                <w:sz w:val="18"/>
                <w:szCs w:val="18"/>
              </w:rPr>
              <w:t>WHOLE BLOOD</w:t>
            </w:r>
          </w:p>
          <w:p w:rsidR="009125FD" w:rsidRDefault="009125FD" w:rsidP="009125FD">
            <w:pPr>
              <w:spacing w:before="120"/>
              <w:jc w:val="center"/>
              <w:rPr>
                <w:rFonts w:ascii="Arial" w:hAnsi="Arial" w:cs="Arial"/>
                <w:sz w:val="18"/>
                <w:szCs w:val="18"/>
              </w:rPr>
            </w:pPr>
            <w:r w:rsidRPr="005C5D59">
              <w:rPr>
                <w:rFonts w:ascii="Arial" w:hAnsi="Arial" w:cs="Arial"/>
                <w:sz w:val="18"/>
                <w:szCs w:val="18"/>
              </w:rPr>
              <w:t>PLATELETS</w:t>
            </w:r>
          </w:p>
          <w:p w:rsidR="009125FD" w:rsidRPr="005C5D59" w:rsidRDefault="009125FD" w:rsidP="009125FD">
            <w:pPr>
              <w:spacing w:before="120"/>
              <w:jc w:val="center"/>
              <w:rPr>
                <w:rFonts w:ascii="Arial" w:hAnsi="Arial" w:cs="Arial"/>
                <w:sz w:val="18"/>
                <w:szCs w:val="18"/>
              </w:rPr>
            </w:pPr>
            <w:r w:rsidRPr="005C5D59">
              <w:rPr>
                <w:rFonts w:ascii="Arial" w:hAnsi="Arial" w:cs="Arial"/>
                <w:color w:val="000000"/>
                <w:sz w:val="18"/>
                <w:szCs w:val="18"/>
              </w:rPr>
              <w:t>OTHER</w:t>
            </w:r>
          </w:p>
        </w:tc>
        <w:tc>
          <w:tcPr>
            <w:tcW w:w="1260" w:type="dxa"/>
            <w:tcBorders>
              <w:top w:val="single" w:sz="4" w:space="0" w:color="000000"/>
              <w:left w:val="single" w:sz="4" w:space="0" w:color="000000"/>
              <w:bottom w:val="single" w:sz="4" w:space="0" w:color="000000"/>
              <w:right w:val="single" w:sz="4" w:space="0" w:color="000000"/>
            </w:tcBorders>
            <w:vAlign w:val="center"/>
          </w:tcPr>
          <w:p w:rsidR="009125FD" w:rsidRPr="00825E94" w:rsidRDefault="009125FD" w:rsidP="009125FD">
            <w:pPr>
              <w:jc w:val="center"/>
              <w:rPr>
                <w:rFonts w:ascii="Arial" w:hAnsi="Arial" w:cs="Arial"/>
                <w:b/>
                <w:color w:val="FF0000"/>
                <w:sz w:val="18"/>
                <w:szCs w:val="18"/>
              </w:rPr>
            </w:pPr>
            <w:r w:rsidRPr="00825E94">
              <w:rPr>
                <w:rFonts w:ascii="Arial" w:hAnsi="Arial" w:cs="Arial"/>
                <w:b/>
                <w:color w:val="FF0000"/>
                <w:sz w:val="18"/>
                <w:szCs w:val="18"/>
              </w:rPr>
              <w:t>Not Washed</w:t>
            </w:r>
          </w:p>
        </w:tc>
        <w:tc>
          <w:tcPr>
            <w:tcW w:w="1620" w:type="dxa"/>
            <w:tcBorders>
              <w:top w:val="single" w:sz="4" w:space="0" w:color="000000"/>
              <w:left w:val="single" w:sz="4" w:space="0" w:color="000000"/>
              <w:right w:val="single" w:sz="4" w:space="0" w:color="000000"/>
            </w:tcBorders>
            <w:vAlign w:val="center"/>
          </w:tcPr>
          <w:p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p w:rsidR="009125FD" w:rsidRPr="005C5D59" w:rsidRDefault="009125FD" w:rsidP="009125FD">
            <w:pPr>
              <w:jc w:val="center"/>
              <w:rPr>
                <w:rFonts w:ascii="Arial" w:hAnsi="Arial" w:cs="Arial"/>
                <w:sz w:val="18"/>
                <w:szCs w:val="18"/>
              </w:rPr>
            </w:pPr>
          </w:p>
        </w:tc>
        <w:tc>
          <w:tcPr>
            <w:tcW w:w="4050" w:type="dxa"/>
            <w:tcBorders>
              <w:top w:val="single" w:sz="4" w:space="0" w:color="000000"/>
              <w:left w:val="single" w:sz="4" w:space="0" w:color="000000"/>
              <w:right w:val="single" w:sz="4" w:space="0" w:color="000000"/>
            </w:tcBorders>
          </w:tcPr>
          <w:p w:rsidR="009125FD" w:rsidRPr="007F3B3C" w:rsidRDefault="009125FD" w:rsidP="009125FD">
            <w:pPr>
              <w:pStyle w:val="TableText"/>
              <w:spacing w:before="120"/>
              <w:rPr>
                <w:rStyle w:val="StyleTableText9ptCharChar"/>
                <w:rFonts w:cs="Arial"/>
                <w:i/>
              </w:rPr>
            </w:pPr>
            <w:r w:rsidRPr="005C5D59">
              <w:rPr>
                <w:rStyle w:val="StyleTableText9ptCharChar"/>
                <w:rFonts w:cs="Arial"/>
              </w:rPr>
              <w:t>The Transfusio</w:t>
            </w:r>
            <w:r>
              <w:rPr>
                <w:rStyle w:val="StyleTableText9ptCharChar"/>
                <w:rFonts w:cs="Arial"/>
              </w:rPr>
              <w:t xml:space="preserve">n Requirement is not satisfied; </w:t>
            </w:r>
            <w:r w:rsidRPr="005C5D59">
              <w:rPr>
                <w:rStyle w:val="StyleTableText9ptCharChar"/>
                <w:rFonts w:cs="Arial"/>
              </w:rPr>
              <w:t xml:space="preserve">the system emits an audible alert and displays a warning message: </w:t>
            </w:r>
            <w:r w:rsidRPr="007F3B3C">
              <w:rPr>
                <w:rStyle w:val="StyleTableText9ptCharChar"/>
                <w:rFonts w:cs="Arial"/>
                <w:i/>
              </w:rPr>
              <w:t>This unit does not currently satisfy all of the patient’s Transfusion Requirements. Further processing is needed. Continue to select this unit?</w:t>
            </w:r>
          </w:p>
          <w:p w:rsidR="009125FD" w:rsidRPr="005C5D59" w:rsidRDefault="009125FD" w:rsidP="009125FD">
            <w:pPr>
              <w:pStyle w:val="TableText"/>
              <w:rPr>
                <w:rStyle w:val="StyleTableText9ptCharChar"/>
                <w:rFonts w:cs="Arial"/>
              </w:rPr>
            </w:pPr>
            <w:r w:rsidRPr="005C5D59">
              <w:rPr>
                <w:rStyle w:val="StyleTableText9ptCharChar"/>
                <w:rFonts w:cs="Arial"/>
              </w:rPr>
              <w:t>If</w:t>
            </w:r>
            <w:r>
              <w:rPr>
                <w:rStyle w:val="StyleTableText9ptCharChar"/>
                <w:rFonts w:cs="Arial"/>
              </w:rPr>
              <w:t xml:space="preserve"> the user clicks </w:t>
            </w:r>
            <w:r w:rsidRPr="005C5D59">
              <w:rPr>
                <w:rStyle w:val="StyleTableText9ptCharChar"/>
                <w:rFonts w:cs="Arial"/>
              </w:rPr>
              <w:t>“No,” the screen is cleared.</w:t>
            </w:r>
          </w:p>
          <w:p w:rsidR="009125FD" w:rsidRPr="005C5D59" w:rsidRDefault="009125FD" w:rsidP="009125FD">
            <w:pPr>
              <w:pStyle w:val="TableText"/>
              <w:rPr>
                <w:rFonts w:cs="Arial"/>
                <w:noProof/>
              </w:rPr>
            </w:pPr>
            <w:r w:rsidRPr="005C5D59">
              <w:rPr>
                <w:rStyle w:val="StyleTableText9ptCharChar"/>
                <w:rFonts w:cs="Arial"/>
              </w:rPr>
              <w:t xml:space="preserve">If </w:t>
            </w:r>
            <w:r>
              <w:rPr>
                <w:rStyle w:val="StyleTableText9ptCharChar"/>
                <w:rFonts w:cs="Arial"/>
              </w:rPr>
              <w:t>the user clicks “Yes,” selection can continue to select the unit.</w:t>
            </w:r>
          </w:p>
        </w:tc>
      </w:tr>
    </w:tbl>
    <w:p w:rsidR="009125FD" w:rsidRDefault="009125FD" w:rsidP="009125FD"/>
    <w:p w:rsidR="00C15299" w:rsidRDefault="00C15299" w:rsidP="00C15299">
      <w:pPr>
        <w:pStyle w:val="Caption"/>
      </w:pPr>
      <w:bookmarkStart w:id="823" w:name="_Ref343502567"/>
      <w:bookmarkStart w:id="824" w:name="_Ref407610771"/>
      <w:r>
        <w:t xml:space="preserve">Figure </w:t>
      </w:r>
      <w:r>
        <w:fldChar w:fldCharType="begin"/>
      </w:r>
      <w:r>
        <w:instrText xml:space="preserve"> SEQ Figure \* ARABIC </w:instrText>
      </w:r>
      <w:r>
        <w:fldChar w:fldCharType="separate"/>
      </w:r>
      <w:r w:rsidR="005F38BC">
        <w:rPr>
          <w:noProof/>
        </w:rPr>
        <w:t>159</w:t>
      </w:r>
      <w:r>
        <w:fldChar w:fldCharType="end"/>
      </w:r>
      <w:bookmarkEnd w:id="824"/>
      <w:r>
        <w:t>: Washed PLATELET (PLT) Products and Issue Blood Component</w:t>
      </w:r>
      <w:bookmarkEnd w:id="823"/>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843"/>
        <w:gridCol w:w="1469"/>
        <w:gridCol w:w="1260"/>
        <w:gridCol w:w="1620"/>
        <w:gridCol w:w="4050"/>
      </w:tblGrid>
      <w:tr w:rsidR="009125FD" w:rsidRPr="005C5D59" w:rsidTr="009125FD">
        <w:trPr>
          <w:cantSplit/>
          <w:trHeight w:val="432"/>
          <w:tblHeader/>
        </w:trPr>
        <w:tc>
          <w:tcPr>
            <w:tcW w:w="10242" w:type="dxa"/>
            <w:gridSpan w:val="5"/>
            <w:tcBorders>
              <w:left w:val="single" w:sz="4" w:space="0" w:color="000000"/>
              <w:bottom w:val="single" w:sz="4" w:space="0" w:color="000000"/>
              <w:right w:val="single" w:sz="4" w:space="0" w:color="000000"/>
            </w:tcBorders>
            <w:shd w:val="pct25" w:color="auto" w:fill="auto"/>
            <w:vAlign w:val="bottom"/>
          </w:tcPr>
          <w:p w:rsidR="009125FD" w:rsidRPr="005C5D59" w:rsidRDefault="009125FD" w:rsidP="009125FD">
            <w:pPr>
              <w:rPr>
                <w:rFonts w:ascii="Arial" w:hAnsi="Arial" w:cs="Arial"/>
                <w:b/>
                <w:sz w:val="18"/>
                <w:szCs w:val="18"/>
              </w:rPr>
            </w:pPr>
            <w:r w:rsidRPr="005C5D59">
              <w:rPr>
                <w:rFonts w:ascii="Arial" w:hAnsi="Arial" w:cs="Arial"/>
                <w:b/>
                <w:sz w:val="18"/>
                <w:szCs w:val="18"/>
              </w:rPr>
              <w:t xml:space="preserve">Issue Blood Component: </w:t>
            </w:r>
            <w:r w:rsidRPr="00B62010">
              <w:rPr>
                <w:rFonts w:ascii="Arial" w:hAnsi="Arial" w:cs="Arial"/>
                <w:b/>
                <w:sz w:val="20"/>
                <w:szCs w:val="20"/>
              </w:rPr>
              <w:t>Washed PLT products</w:t>
            </w:r>
          </w:p>
        </w:tc>
      </w:tr>
      <w:tr w:rsidR="009125FD" w:rsidRPr="005C5D59" w:rsidTr="009125FD">
        <w:trPr>
          <w:cantSplit/>
          <w:trHeight w:val="432"/>
          <w:tblHeader/>
        </w:trPr>
        <w:tc>
          <w:tcPr>
            <w:tcW w:w="1843" w:type="dxa"/>
            <w:tcBorders>
              <w:left w:val="single" w:sz="4" w:space="0" w:color="000000"/>
              <w:bottom w:val="single" w:sz="4" w:space="0" w:color="000000"/>
              <w:right w:val="single" w:sz="4" w:space="0" w:color="000000"/>
            </w:tcBorders>
            <w:shd w:val="pct25" w:color="auto" w:fill="auto"/>
            <w:vAlign w:val="bottom"/>
            <w:hideMark/>
          </w:tcPr>
          <w:p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469" w:type="dxa"/>
            <w:tcBorders>
              <w:left w:val="single" w:sz="4" w:space="0" w:color="000000"/>
              <w:bottom w:val="single" w:sz="4" w:space="0" w:color="000000"/>
              <w:right w:val="single" w:sz="4" w:space="0" w:color="000000"/>
            </w:tcBorders>
            <w:shd w:val="pct25" w:color="auto" w:fill="auto"/>
            <w:vAlign w:val="bottom"/>
            <w:hideMark/>
          </w:tcPr>
          <w:p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center"/>
          </w:tcPr>
          <w:p w:rsidR="009125FD" w:rsidRPr="005C5D59" w:rsidRDefault="009125FD" w:rsidP="009125FD">
            <w:pPr>
              <w:jc w:val="center"/>
              <w:rPr>
                <w:rFonts w:ascii="Arial" w:hAnsi="Arial" w:cs="Arial"/>
                <w:b/>
                <w:sz w:val="18"/>
                <w:szCs w:val="18"/>
              </w:rPr>
            </w:pPr>
            <w:r w:rsidRPr="005C5D59">
              <w:rPr>
                <w:rFonts w:ascii="Arial" w:hAnsi="Arial" w:cs="Arial"/>
                <w:b/>
                <w:sz w:val="18"/>
                <w:szCs w:val="18"/>
              </w:rPr>
              <w:t>Selected</w:t>
            </w:r>
            <w:r>
              <w:rPr>
                <w:rFonts w:ascii="Arial" w:hAnsi="Arial" w:cs="Arial"/>
                <w:b/>
                <w:sz w:val="18"/>
                <w:szCs w:val="18"/>
              </w:rPr>
              <w:t xml:space="preserve"> Platelet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rsidR="009125FD" w:rsidRPr="005C5D59" w:rsidRDefault="009125FD" w:rsidP="009125FD">
            <w:pPr>
              <w:rPr>
                <w:rFonts w:ascii="Arial" w:hAnsi="Arial" w:cs="Arial"/>
                <w:b/>
                <w:sz w:val="18"/>
                <w:szCs w:val="18"/>
              </w:rPr>
            </w:pPr>
            <w:r w:rsidRPr="005C5D59">
              <w:rPr>
                <w:rFonts w:ascii="Arial" w:hAnsi="Arial" w:cs="Arial"/>
                <w:b/>
                <w:sz w:val="18"/>
                <w:szCs w:val="18"/>
              </w:rPr>
              <w:t>Selected 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rsidR="009125FD" w:rsidRPr="005C5D59" w:rsidRDefault="009125FD" w:rsidP="009125FD">
            <w:pPr>
              <w:rPr>
                <w:rFonts w:ascii="Arial" w:hAnsi="Arial" w:cs="Arial"/>
                <w:b/>
                <w:sz w:val="18"/>
                <w:szCs w:val="18"/>
              </w:rPr>
            </w:pPr>
            <w:r w:rsidRPr="005C5D59">
              <w:rPr>
                <w:rFonts w:ascii="Arial" w:hAnsi="Arial" w:cs="Arial"/>
                <w:b/>
                <w:sz w:val="18"/>
                <w:szCs w:val="18"/>
              </w:rPr>
              <w:t>Expected System Response</w:t>
            </w:r>
          </w:p>
        </w:tc>
      </w:tr>
      <w:tr w:rsidR="009125FD" w:rsidRPr="005C5D59" w:rsidTr="009125FD">
        <w:trPr>
          <w:cantSplit/>
          <w:trHeight w:val="284"/>
        </w:trPr>
        <w:tc>
          <w:tcPr>
            <w:tcW w:w="1843" w:type="dxa"/>
            <w:vMerge w:val="restart"/>
            <w:tcBorders>
              <w:top w:val="single" w:sz="4" w:space="0" w:color="000000"/>
              <w:left w:val="single" w:sz="4" w:space="0" w:color="000000"/>
              <w:right w:val="single" w:sz="4" w:space="0" w:color="000000"/>
            </w:tcBorders>
            <w:vAlign w:val="center"/>
            <w:hideMark/>
          </w:tcPr>
          <w:p w:rsidR="009125FD" w:rsidRPr="00D93607" w:rsidRDefault="009125FD" w:rsidP="009125FD">
            <w:pPr>
              <w:jc w:val="center"/>
              <w:rPr>
                <w:rFonts w:ascii="Arial" w:hAnsi="Arial" w:cs="Arial"/>
                <w:b/>
                <w:sz w:val="28"/>
                <w:szCs w:val="28"/>
              </w:rPr>
            </w:pPr>
            <w:r w:rsidRPr="00D93607">
              <w:rPr>
                <w:rFonts w:ascii="Arial" w:hAnsi="Arial" w:cs="Arial"/>
                <w:b/>
                <w:sz w:val="28"/>
                <w:szCs w:val="28"/>
              </w:rPr>
              <w:t>Washed PLT products</w:t>
            </w:r>
          </w:p>
        </w:tc>
        <w:tc>
          <w:tcPr>
            <w:tcW w:w="1469" w:type="dxa"/>
            <w:tcBorders>
              <w:top w:val="single" w:sz="4" w:space="0" w:color="000000"/>
              <w:left w:val="single" w:sz="4" w:space="0" w:color="000000"/>
              <w:right w:val="single" w:sz="4" w:space="0" w:color="000000"/>
            </w:tcBorders>
            <w:shd w:val="pct10" w:color="auto" w:fill="auto"/>
            <w:vAlign w:val="center"/>
            <w:hideMark/>
          </w:tcPr>
          <w:p w:rsidR="009125FD" w:rsidRPr="005C5D59" w:rsidRDefault="009125FD" w:rsidP="009125FD">
            <w:pPr>
              <w:jc w:val="center"/>
              <w:rPr>
                <w:rFonts w:ascii="Arial" w:hAnsi="Arial" w:cs="Arial"/>
                <w:sz w:val="18"/>
                <w:szCs w:val="18"/>
              </w:rPr>
            </w:pPr>
            <w:r>
              <w:rPr>
                <w:rFonts w:ascii="Arial" w:hAnsi="Arial" w:cs="Arial"/>
                <w:sz w:val="18"/>
                <w:szCs w:val="18"/>
              </w:rPr>
              <w:t>PLATELETS</w:t>
            </w:r>
          </w:p>
        </w:tc>
        <w:tc>
          <w:tcPr>
            <w:tcW w:w="1260" w:type="dxa"/>
            <w:tcBorders>
              <w:top w:val="single" w:sz="4" w:space="0" w:color="000000"/>
              <w:left w:val="single" w:sz="4" w:space="0" w:color="000000"/>
              <w:right w:val="single" w:sz="4" w:space="0" w:color="000000"/>
            </w:tcBorders>
            <w:shd w:val="pct10" w:color="auto" w:fill="auto"/>
            <w:vAlign w:val="center"/>
            <w:hideMark/>
          </w:tcPr>
          <w:p w:rsidR="009125FD" w:rsidRPr="008E2609" w:rsidRDefault="009125FD" w:rsidP="009125FD">
            <w:pPr>
              <w:jc w:val="center"/>
              <w:rPr>
                <w:rFonts w:ascii="Arial" w:hAnsi="Arial" w:cs="Arial"/>
                <w:sz w:val="18"/>
                <w:szCs w:val="18"/>
              </w:rPr>
            </w:pPr>
            <w:r w:rsidRPr="008E2609">
              <w:rPr>
                <w:rFonts w:ascii="Arial" w:hAnsi="Arial" w:cs="Arial"/>
                <w:sz w:val="18"/>
                <w:szCs w:val="18"/>
              </w:rPr>
              <w:t>Washed</w:t>
            </w:r>
          </w:p>
        </w:tc>
        <w:tc>
          <w:tcPr>
            <w:tcW w:w="1620" w:type="dxa"/>
            <w:tcBorders>
              <w:top w:val="single" w:sz="4" w:space="0" w:color="000000"/>
              <w:left w:val="single" w:sz="4" w:space="0" w:color="000000"/>
              <w:right w:val="single" w:sz="4" w:space="0" w:color="000000"/>
            </w:tcBorders>
            <w:shd w:val="pct10" w:color="auto" w:fill="auto"/>
            <w:vAlign w:val="center"/>
            <w:hideMark/>
          </w:tcPr>
          <w:p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rsidTr="009125FD">
        <w:trPr>
          <w:cantSplit/>
          <w:trHeight w:val="432"/>
        </w:trPr>
        <w:tc>
          <w:tcPr>
            <w:tcW w:w="1843" w:type="dxa"/>
            <w:vMerge/>
            <w:tcBorders>
              <w:left w:val="single" w:sz="4" w:space="0" w:color="000000"/>
              <w:right w:val="single" w:sz="4" w:space="0" w:color="000000"/>
            </w:tcBorders>
            <w:vAlign w:val="bottom"/>
          </w:tcPr>
          <w:p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rsidR="009125FD" w:rsidRPr="005C5D59" w:rsidRDefault="009125FD" w:rsidP="009125FD">
            <w:pPr>
              <w:jc w:val="center"/>
              <w:rPr>
                <w:rFonts w:ascii="Arial" w:hAnsi="Arial" w:cs="Arial"/>
                <w:sz w:val="18"/>
                <w:szCs w:val="18"/>
              </w:rPr>
            </w:pPr>
            <w:r w:rsidRPr="005C5D59">
              <w:rPr>
                <w:rFonts w:ascii="Arial" w:hAnsi="Arial" w:cs="Arial"/>
                <w:sz w:val="18"/>
                <w:szCs w:val="18"/>
              </w:rPr>
              <w:t>PLATELETS</w:t>
            </w:r>
          </w:p>
        </w:tc>
        <w:tc>
          <w:tcPr>
            <w:tcW w:w="1260" w:type="dxa"/>
            <w:tcBorders>
              <w:top w:val="single" w:sz="4" w:space="0" w:color="000000"/>
              <w:left w:val="single" w:sz="4" w:space="0" w:color="000000"/>
              <w:right w:val="single" w:sz="4" w:space="0" w:color="000000"/>
            </w:tcBorders>
            <w:vAlign w:val="center"/>
          </w:tcPr>
          <w:p w:rsidR="009125FD" w:rsidRPr="00825E94" w:rsidRDefault="009125FD" w:rsidP="009125FD">
            <w:pPr>
              <w:jc w:val="center"/>
              <w:rPr>
                <w:rFonts w:ascii="Arial" w:hAnsi="Arial" w:cs="Arial"/>
                <w:b/>
                <w:color w:val="FF0000"/>
                <w:sz w:val="18"/>
                <w:szCs w:val="18"/>
              </w:rPr>
            </w:pPr>
            <w:r w:rsidRPr="00825E94">
              <w:rPr>
                <w:rFonts w:ascii="Arial" w:hAnsi="Arial" w:cs="Arial"/>
                <w:b/>
                <w:color w:val="FF0000"/>
                <w:sz w:val="18"/>
                <w:szCs w:val="18"/>
              </w:rPr>
              <w:t>Not Washed</w:t>
            </w:r>
          </w:p>
        </w:tc>
        <w:tc>
          <w:tcPr>
            <w:tcW w:w="1620" w:type="dxa"/>
            <w:tcBorders>
              <w:top w:val="single" w:sz="4" w:space="0" w:color="000000"/>
              <w:left w:val="single" w:sz="4" w:space="0" w:color="000000"/>
              <w:right w:val="single" w:sz="4" w:space="0" w:color="000000"/>
            </w:tcBorders>
            <w:vAlign w:val="center"/>
          </w:tcPr>
          <w:p w:rsidR="009125FD" w:rsidRPr="00FB56F0" w:rsidRDefault="009125FD" w:rsidP="009125FD">
            <w:pPr>
              <w:ind w:left="18"/>
              <w:rPr>
                <w:rFonts w:ascii="Arial" w:hAnsi="Arial" w:cs="Arial"/>
                <w:sz w:val="18"/>
                <w:szCs w:val="18"/>
              </w:rPr>
            </w:pPr>
            <w:r w:rsidRPr="00FB56F0">
              <w:rPr>
                <w:rFonts w:ascii="Arial" w:hAnsi="Arial" w:cs="Arial"/>
                <w:noProof/>
                <w:sz w:val="18"/>
                <w:szCs w:val="18"/>
              </w:rPr>
              <w:t>Technologist</w:t>
            </w:r>
          </w:p>
          <w:p w:rsidR="009125FD" w:rsidRPr="00836EE2" w:rsidRDefault="009125FD" w:rsidP="009125FD">
            <w:pPr>
              <w:ind w:left="18"/>
              <w:rPr>
                <w:rFonts w:ascii="Arial" w:hAnsi="Arial" w:cs="Arial"/>
                <w:sz w:val="18"/>
                <w:szCs w:val="18"/>
              </w:rPr>
            </w:pPr>
          </w:p>
          <w:p w:rsidR="009125FD" w:rsidRPr="00FB56F0" w:rsidRDefault="009125FD" w:rsidP="009125FD">
            <w:pPr>
              <w:ind w:left="18"/>
              <w:rPr>
                <w:rFonts w:ascii="Arial" w:hAnsi="Arial" w:cs="Arial"/>
                <w:noProof/>
                <w:sz w:val="18"/>
                <w:szCs w:val="18"/>
              </w:rPr>
            </w:pPr>
            <w:r w:rsidRPr="00FB56F0">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vAlign w:val="bottom"/>
          </w:tcPr>
          <w:p w:rsidR="009125FD"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Patient’s Transfusion Requirement is not satisfied.</w:t>
            </w:r>
            <w:r w:rsidRPr="005C5D59">
              <w:rPr>
                <w:rFonts w:ascii="Arial" w:hAnsi="Arial" w:cs="Arial"/>
                <w:sz w:val="18"/>
                <w:szCs w:val="18"/>
              </w:rPr>
              <w:t xml:space="preserve"> </w:t>
            </w:r>
            <w:r w:rsidRPr="007F3B3C">
              <w:rPr>
                <w:rFonts w:ascii="Arial" w:hAnsi="Arial" w:cs="Arial"/>
                <w:i/>
                <w:sz w:val="18"/>
                <w:szCs w:val="18"/>
              </w:rPr>
              <w:t>You do not have the proper security to issue this unit. Further processing is needed and must be documented in VBECS.</w:t>
            </w:r>
            <w:r w:rsidRPr="005C5D59">
              <w:rPr>
                <w:rFonts w:ascii="Arial" w:hAnsi="Arial" w:cs="Arial"/>
                <w:sz w:val="18"/>
                <w:szCs w:val="18"/>
              </w:rPr>
              <w:t xml:space="preserve"> </w:t>
            </w:r>
          </w:p>
          <w:p w:rsidR="009125FD" w:rsidRPr="005C5D59" w:rsidRDefault="009125FD" w:rsidP="009125FD">
            <w:pPr>
              <w:rPr>
                <w:rFonts w:ascii="Arial" w:hAnsi="Arial" w:cs="Arial"/>
                <w:sz w:val="18"/>
                <w:szCs w:val="18"/>
              </w:rPr>
            </w:pPr>
            <w:r>
              <w:rPr>
                <w:rFonts w:ascii="Arial" w:hAnsi="Arial" w:cs="Arial"/>
                <w:sz w:val="18"/>
                <w:szCs w:val="18"/>
              </w:rPr>
              <w:t>The tech may not issue this unit in the computer.</w:t>
            </w:r>
          </w:p>
        </w:tc>
      </w:tr>
      <w:tr w:rsidR="009125FD" w:rsidRPr="005C5D59" w:rsidTr="009125FD">
        <w:trPr>
          <w:cantSplit/>
          <w:trHeight w:val="432"/>
        </w:trPr>
        <w:tc>
          <w:tcPr>
            <w:tcW w:w="1843" w:type="dxa"/>
            <w:vMerge/>
            <w:tcBorders>
              <w:left w:val="single" w:sz="4" w:space="0" w:color="000000"/>
              <w:right w:val="single" w:sz="4" w:space="0" w:color="000000"/>
            </w:tcBorders>
            <w:vAlign w:val="bottom"/>
          </w:tcPr>
          <w:p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rsidR="009125FD" w:rsidRPr="005C5D59" w:rsidRDefault="009125FD" w:rsidP="009125FD">
            <w:pPr>
              <w:jc w:val="center"/>
              <w:rPr>
                <w:rFonts w:ascii="Arial" w:hAnsi="Arial" w:cs="Arial"/>
                <w:sz w:val="18"/>
                <w:szCs w:val="18"/>
              </w:rPr>
            </w:pPr>
            <w:r w:rsidRPr="005C5D59">
              <w:rPr>
                <w:rFonts w:ascii="Arial" w:hAnsi="Arial" w:cs="Arial"/>
                <w:sz w:val="18"/>
                <w:szCs w:val="18"/>
              </w:rPr>
              <w:t>PLATELETS</w:t>
            </w:r>
          </w:p>
        </w:tc>
        <w:tc>
          <w:tcPr>
            <w:tcW w:w="1260" w:type="dxa"/>
            <w:tcBorders>
              <w:top w:val="single" w:sz="4" w:space="0" w:color="000000"/>
              <w:left w:val="single" w:sz="4" w:space="0" w:color="000000"/>
              <w:right w:val="single" w:sz="4" w:space="0" w:color="000000"/>
            </w:tcBorders>
            <w:vAlign w:val="center"/>
          </w:tcPr>
          <w:p w:rsidR="009125FD" w:rsidRPr="00825E94" w:rsidRDefault="009125FD" w:rsidP="009125FD">
            <w:pPr>
              <w:jc w:val="center"/>
              <w:rPr>
                <w:rFonts w:ascii="Arial" w:hAnsi="Arial" w:cs="Arial"/>
                <w:b/>
                <w:color w:val="FF0000"/>
                <w:sz w:val="18"/>
                <w:szCs w:val="18"/>
              </w:rPr>
            </w:pPr>
            <w:r w:rsidRPr="00825E94">
              <w:rPr>
                <w:rFonts w:ascii="Arial" w:hAnsi="Arial" w:cs="Arial"/>
                <w:b/>
                <w:color w:val="FF0000"/>
                <w:sz w:val="18"/>
                <w:szCs w:val="18"/>
              </w:rPr>
              <w:t>Not Washed</w:t>
            </w:r>
          </w:p>
        </w:tc>
        <w:tc>
          <w:tcPr>
            <w:tcW w:w="1620" w:type="dxa"/>
            <w:tcBorders>
              <w:top w:val="single" w:sz="4" w:space="0" w:color="000000"/>
              <w:left w:val="single" w:sz="4" w:space="0" w:color="000000"/>
              <w:right w:val="single" w:sz="4" w:space="0" w:color="000000"/>
            </w:tcBorders>
            <w:vAlign w:val="center"/>
          </w:tcPr>
          <w:p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Lead Technologist</w:t>
            </w:r>
          </w:p>
          <w:p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Traditional Supervisor</w:t>
            </w:r>
          </w:p>
          <w:p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Enhanced Supervisor</w:t>
            </w:r>
          </w:p>
          <w:p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Administrator/Supervisor</w:t>
            </w:r>
          </w:p>
          <w:p w:rsidR="009125FD" w:rsidRPr="008B278A" w:rsidRDefault="009125FD" w:rsidP="009125FD">
            <w:pPr>
              <w:ind w:left="18"/>
              <w:rPr>
                <w:rFonts w:ascii="Arial" w:hAnsi="Arial" w:cs="Arial"/>
                <w:sz w:val="18"/>
                <w:szCs w:val="18"/>
              </w:rPr>
            </w:pPr>
          </w:p>
        </w:tc>
        <w:tc>
          <w:tcPr>
            <w:tcW w:w="4050" w:type="dxa"/>
            <w:tcBorders>
              <w:top w:val="single" w:sz="4" w:space="0" w:color="000000"/>
              <w:left w:val="single" w:sz="4" w:space="0" w:color="000000"/>
              <w:right w:val="single" w:sz="4" w:space="0" w:color="000000"/>
            </w:tcBorders>
            <w:vAlign w:val="bottom"/>
          </w:tcPr>
          <w:p w:rsidR="009125FD" w:rsidRPr="005C5D59"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 xml:space="preserve">Patient’s </w:t>
            </w:r>
            <w:r>
              <w:rPr>
                <w:rFonts w:ascii="Arial" w:hAnsi="Arial" w:cs="Arial"/>
                <w:i/>
                <w:sz w:val="18"/>
                <w:szCs w:val="18"/>
              </w:rPr>
              <w:t>Washed PLT products</w:t>
            </w:r>
            <w:r w:rsidRPr="00836EE2">
              <w:rPr>
                <w:rFonts w:ascii="Arial" w:hAnsi="Arial" w:cs="Arial"/>
                <w:i/>
                <w:sz w:val="18"/>
                <w:szCs w:val="18"/>
              </w:rPr>
              <w:t xml:space="preserve"> Transfusion Requirement is not satisfied</w:t>
            </w:r>
            <w:r w:rsidRPr="005C5D59">
              <w:rPr>
                <w:rFonts w:ascii="Arial" w:hAnsi="Arial" w:cs="Arial"/>
                <w:sz w:val="18"/>
                <w:szCs w:val="18"/>
              </w:rPr>
              <w:t xml:space="preserve"> and prompts the user whether to proceed. </w:t>
            </w:r>
          </w:p>
          <w:p w:rsidR="009125FD" w:rsidRPr="005C5D59" w:rsidRDefault="009125FD" w:rsidP="009125FD">
            <w:pPr>
              <w:rPr>
                <w:rFonts w:ascii="Arial" w:hAnsi="Arial" w:cs="Arial"/>
                <w:sz w:val="18"/>
                <w:szCs w:val="18"/>
              </w:rPr>
            </w:pPr>
            <w:r w:rsidRPr="005C5D59">
              <w:rPr>
                <w:rFonts w:ascii="Arial" w:hAnsi="Arial" w:cs="Arial"/>
                <w:sz w:val="18"/>
                <w:szCs w:val="18"/>
              </w:rPr>
              <w:t>If the user responds “No”</w:t>
            </w:r>
            <w:r>
              <w:rPr>
                <w:rFonts w:ascii="Arial" w:hAnsi="Arial" w:cs="Arial"/>
                <w:sz w:val="18"/>
                <w:szCs w:val="18"/>
              </w:rPr>
              <w:t>,</w:t>
            </w:r>
            <w:r w:rsidRPr="005C5D59">
              <w:rPr>
                <w:rFonts w:ascii="Arial" w:hAnsi="Arial" w:cs="Arial"/>
                <w:sz w:val="18"/>
                <w:szCs w:val="18"/>
              </w:rPr>
              <w:t xml:space="preserve"> the system wi</w:t>
            </w:r>
            <w:r>
              <w:rPr>
                <w:rFonts w:ascii="Arial" w:hAnsi="Arial" w:cs="Arial"/>
                <w:sz w:val="18"/>
                <w:szCs w:val="18"/>
              </w:rPr>
              <w:t>ll clear the selected unit.</w:t>
            </w:r>
          </w:p>
          <w:p w:rsidR="009125FD" w:rsidRPr="005C5D59" w:rsidRDefault="009125FD" w:rsidP="009125FD">
            <w:pPr>
              <w:rPr>
                <w:rFonts w:ascii="Arial" w:hAnsi="Arial" w:cs="Arial"/>
                <w:sz w:val="18"/>
                <w:szCs w:val="18"/>
              </w:rPr>
            </w:pPr>
            <w:r w:rsidRPr="005C5D59">
              <w:rPr>
                <w:rFonts w:ascii="Arial" w:hAnsi="Arial" w:cs="Arial"/>
                <w:sz w:val="18"/>
                <w:szCs w:val="18"/>
              </w:rPr>
              <w:t>If the user responds “Yes”</w:t>
            </w:r>
            <w:r>
              <w:rPr>
                <w:rFonts w:ascii="Arial" w:hAnsi="Arial" w:cs="Arial"/>
                <w:sz w:val="18"/>
                <w:szCs w:val="18"/>
              </w:rPr>
              <w:t>,</w:t>
            </w:r>
            <w:r w:rsidRPr="005C5D59">
              <w:rPr>
                <w:rFonts w:ascii="Arial" w:hAnsi="Arial" w:cs="Arial"/>
                <w:sz w:val="18"/>
                <w:szCs w:val="18"/>
              </w:rPr>
              <w:t xml:space="preserve"> the system will require a comment (free text or canned, “unit issue” context) and capture the transacti</w:t>
            </w:r>
            <w:r>
              <w:rPr>
                <w:rFonts w:ascii="Arial" w:hAnsi="Arial" w:cs="Arial"/>
                <w:sz w:val="18"/>
                <w:szCs w:val="18"/>
              </w:rPr>
              <w:t>on details for inclusion in an Exception R</w:t>
            </w:r>
            <w:r w:rsidRPr="005C5D59">
              <w:rPr>
                <w:rFonts w:ascii="Arial" w:hAnsi="Arial" w:cs="Arial"/>
                <w:sz w:val="18"/>
                <w:szCs w:val="18"/>
              </w:rPr>
              <w:t>eport</w:t>
            </w:r>
            <w:r>
              <w:rPr>
                <w:rFonts w:ascii="Arial" w:hAnsi="Arial" w:cs="Arial"/>
                <w:sz w:val="18"/>
                <w:szCs w:val="18"/>
              </w:rPr>
              <w:t xml:space="preserve"> entry</w:t>
            </w:r>
            <w:r w:rsidRPr="005C5D59">
              <w:rPr>
                <w:rFonts w:ascii="Arial" w:hAnsi="Arial" w:cs="Arial"/>
                <w:sz w:val="18"/>
                <w:szCs w:val="18"/>
              </w:rPr>
              <w:t xml:space="preserve">: </w:t>
            </w:r>
            <w:r w:rsidRPr="005C5D59">
              <w:rPr>
                <w:rFonts w:ascii="Arial" w:hAnsi="Arial" w:cs="Arial"/>
                <w:i/>
                <w:sz w:val="18"/>
                <w:szCs w:val="18"/>
              </w:rPr>
              <w:t>Unit issued with unsatisfied Transfusion Requirement</w:t>
            </w:r>
            <w:r w:rsidRPr="005C5D59">
              <w:rPr>
                <w:rFonts w:ascii="Arial" w:hAnsi="Arial" w:cs="Arial"/>
                <w:sz w:val="18"/>
                <w:szCs w:val="18"/>
              </w:rPr>
              <w:t xml:space="preserve"> </w:t>
            </w:r>
            <w:r w:rsidR="005C48D9">
              <w:rPr>
                <w:rFonts w:ascii="Arial" w:hAnsi="Arial" w:cs="Arial"/>
                <w:sz w:val="18"/>
                <w:szCs w:val="18"/>
              </w:rPr>
              <w:t>.</w:t>
            </w:r>
          </w:p>
        </w:tc>
      </w:tr>
    </w:tbl>
    <w:p w:rsidR="009125FD" w:rsidRDefault="009125FD" w:rsidP="009125FD"/>
    <w:p w:rsidR="00C15299" w:rsidRDefault="009125FD" w:rsidP="00C15299">
      <w:pPr>
        <w:pStyle w:val="Caption"/>
      </w:pPr>
      <w:r>
        <w:br w:type="page"/>
      </w:r>
      <w:bookmarkStart w:id="825" w:name="_Ref343502582"/>
      <w:bookmarkStart w:id="826" w:name="_Ref407610782"/>
      <w:r w:rsidR="00C15299">
        <w:lastRenderedPageBreak/>
        <w:t xml:space="preserve">Figure </w:t>
      </w:r>
      <w:r w:rsidR="00C15299">
        <w:fldChar w:fldCharType="begin"/>
      </w:r>
      <w:r w:rsidR="00C15299">
        <w:instrText xml:space="preserve"> SEQ Figure \* ARABIC </w:instrText>
      </w:r>
      <w:r w:rsidR="00C15299">
        <w:fldChar w:fldCharType="separate"/>
      </w:r>
      <w:r w:rsidR="005F38BC">
        <w:rPr>
          <w:noProof/>
        </w:rPr>
        <w:t>160</w:t>
      </w:r>
      <w:r w:rsidR="00C15299">
        <w:fldChar w:fldCharType="end"/>
      </w:r>
      <w:bookmarkEnd w:id="826"/>
      <w:r w:rsidR="00C15299">
        <w:t>: Sickle Cell Negative RBC Products and Select Blood Unit</w:t>
      </w:r>
      <w:bookmarkEnd w:id="825"/>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843"/>
        <w:gridCol w:w="1469"/>
        <w:gridCol w:w="1260"/>
        <w:gridCol w:w="1620"/>
        <w:gridCol w:w="4050"/>
      </w:tblGrid>
      <w:tr w:rsidR="009125FD" w:rsidRPr="005C5D59" w:rsidTr="009125FD">
        <w:trPr>
          <w:cantSplit/>
          <w:trHeight w:val="305"/>
          <w:tblHeader/>
        </w:trPr>
        <w:tc>
          <w:tcPr>
            <w:tcW w:w="10242" w:type="dxa"/>
            <w:gridSpan w:val="5"/>
            <w:tcBorders>
              <w:top w:val="single" w:sz="4" w:space="0" w:color="000000"/>
              <w:left w:val="single" w:sz="4" w:space="0" w:color="000000"/>
              <w:right w:val="single" w:sz="4" w:space="0" w:color="000000"/>
            </w:tcBorders>
            <w:shd w:val="pct25" w:color="auto" w:fill="auto"/>
            <w:vAlign w:val="bottom"/>
            <w:hideMark/>
          </w:tcPr>
          <w:p w:rsidR="009125FD" w:rsidRPr="005C5D59" w:rsidRDefault="009125FD" w:rsidP="009125FD">
            <w:pPr>
              <w:rPr>
                <w:rFonts w:ascii="Arial" w:hAnsi="Arial" w:cs="Arial"/>
                <w:b/>
                <w:sz w:val="18"/>
                <w:szCs w:val="18"/>
              </w:rPr>
            </w:pPr>
            <w:r w:rsidRPr="005C5D59">
              <w:rPr>
                <w:rFonts w:ascii="Arial" w:hAnsi="Arial" w:cs="Arial"/>
                <w:b/>
                <w:sz w:val="18"/>
                <w:szCs w:val="18"/>
              </w:rPr>
              <w:t xml:space="preserve">Select Unit: </w:t>
            </w:r>
            <w:r>
              <w:rPr>
                <w:rFonts w:ascii="Arial" w:hAnsi="Arial" w:cs="Arial"/>
                <w:b/>
                <w:sz w:val="18"/>
                <w:szCs w:val="18"/>
              </w:rPr>
              <w:t xml:space="preserve"> </w:t>
            </w:r>
            <w:r w:rsidRPr="00B62010">
              <w:rPr>
                <w:rFonts w:ascii="Arial" w:hAnsi="Arial" w:cs="Arial"/>
                <w:b/>
                <w:sz w:val="18"/>
                <w:szCs w:val="18"/>
              </w:rPr>
              <w:t>Sickle Cell Negative RBC products</w:t>
            </w:r>
          </w:p>
        </w:tc>
      </w:tr>
      <w:tr w:rsidR="009125FD" w:rsidRPr="005C5D59" w:rsidTr="009125FD">
        <w:trPr>
          <w:cantSplit/>
          <w:trHeight w:val="432"/>
          <w:tblHeader/>
        </w:trPr>
        <w:tc>
          <w:tcPr>
            <w:tcW w:w="1843" w:type="dxa"/>
            <w:tcBorders>
              <w:left w:val="single" w:sz="4" w:space="0" w:color="000000"/>
              <w:bottom w:val="single" w:sz="4" w:space="0" w:color="000000"/>
              <w:right w:val="single" w:sz="4" w:space="0" w:color="000000"/>
            </w:tcBorders>
            <w:shd w:val="pct25" w:color="auto" w:fill="auto"/>
            <w:vAlign w:val="bottom"/>
            <w:hideMark/>
          </w:tcPr>
          <w:p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469" w:type="dxa"/>
            <w:tcBorders>
              <w:left w:val="single" w:sz="4" w:space="0" w:color="000000"/>
              <w:bottom w:val="single" w:sz="4" w:space="0" w:color="000000"/>
              <w:right w:val="single" w:sz="4" w:space="0" w:color="000000"/>
            </w:tcBorders>
            <w:shd w:val="pct25" w:color="auto" w:fill="auto"/>
            <w:vAlign w:val="bottom"/>
            <w:hideMark/>
          </w:tcPr>
          <w:p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rsidR="009125FD" w:rsidRPr="005C5D59" w:rsidRDefault="009125FD" w:rsidP="009125FD">
            <w:pPr>
              <w:jc w:val="cente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rsidR="009125FD" w:rsidRPr="005C5D59" w:rsidRDefault="009125FD" w:rsidP="009125FD">
            <w:pPr>
              <w:jc w:val="center"/>
              <w:rPr>
                <w:rFonts w:ascii="Arial" w:hAnsi="Arial" w:cs="Arial"/>
                <w:b/>
                <w:sz w:val="18"/>
                <w:szCs w:val="18"/>
              </w:rPr>
            </w:pPr>
            <w:r w:rsidRPr="005C5D59">
              <w:rPr>
                <w:rFonts w:ascii="Arial" w:hAnsi="Arial" w:cs="Arial"/>
                <w:b/>
                <w:sz w:val="18"/>
                <w:szCs w:val="18"/>
              </w:rPr>
              <w:t>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rsidR="009125FD" w:rsidRPr="005C5D59" w:rsidRDefault="009125FD" w:rsidP="009125FD">
            <w:pPr>
              <w:jc w:val="center"/>
              <w:rPr>
                <w:rFonts w:ascii="Arial" w:hAnsi="Arial" w:cs="Arial"/>
                <w:b/>
                <w:sz w:val="18"/>
                <w:szCs w:val="18"/>
              </w:rPr>
            </w:pPr>
            <w:r>
              <w:rPr>
                <w:rFonts w:ascii="Arial" w:hAnsi="Arial" w:cs="Arial"/>
                <w:b/>
                <w:sz w:val="18"/>
                <w:szCs w:val="18"/>
              </w:rPr>
              <w:t xml:space="preserve">VBECS </w:t>
            </w:r>
            <w:r w:rsidRPr="005C5D59">
              <w:rPr>
                <w:rFonts w:ascii="Arial" w:hAnsi="Arial" w:cs="Arial"/>
                <w:b/>
                <w:sz w:val="18"/>
                <w:szCs w:val="18"/>
              </w:rPr>
              <w:t>Response</w:t>
            </w:r>
          </w:p>
        </w:tc>
      </w:tr>
      <w:tr w:rsidR="009125FD" w:rsidRPr="005C5D59" w:rsidTr="009125FD">
        <w:trPr>
          <w:cantSplit/>
          <w:trHeight w:val="284"/>
        </w:trPr>
        <w:tc>
          <w:tcPr>
            <w:tcW w:w="1843" w:type="dxa"/>
            <w:vMerge w:val="restart"/>
            <w:tcBorders>
              <w:top w:val="single" w:sz="4" w:space="0" w:color="000000"/>
              <w:left w:val="single" w:sz="4" w:space="0" w:color="000000"/>
              <w:right w:val="single" w:sz="4" w:space="0" w:color="000000"/>
            </w:tcBorders>
            <w:vAlign w:val="center"/>
            <w:hideMark/>
          </w:tcPr>
          <w:p w:rsidR="009125FD" w:rsidRPr="00D93607" w:rsidRDefault="009125FD" w:rsidP="009125FD">
            <w:pPr>
              <w:jc w:val="center"/>
              <w:rPr>
                <w:rFonts w:ascii="Arial" w:hAnsi="Arial" w:cs="Arial"/>
                <w:b/>
                <w:sz w:val="28"/>
                <w:szCs w:val="28"/>
              </w:rPr>
            </w:pPr>
            <w:r w:rsidRPr="00D93607">
              <w:rPr>
                <w:rFonts w:ascii="Arial" w:hAnsi="Arial" w:cs="Arial"/>
                <w:b/>
                <w:sz w:val="28"/>
                <w:szCs w:val="28"/>
              </w:rPr>
              <w:t>Sickle Cell Negative RBC products</w:t>
            </w:r>
          </w:p>
        </w:tc>
        <w:tc>
          <w:tcPr>
            <w:tcW w:w="1469" w:type="dxa"/>
            <w:tcBorders>
              <w:top w:val="single" w:sz="4" w:space="0" w:color="000000"/>
              <w:left w:val="single" w:sz="4" w:space="0" w:color="000000"/>
              <w:right w:val="single" w:sz="4" w:space="0" w:color="000000"/>
            </w:tcBorders>
            <w:shd w:val="pct10" w:color="auto" w:fill="auto"/>
            <w:vAlign w:val="center"/>
            <w:hideMark/>
          </w:tcPr>
          <w:p w:rsidR="009125FD" w:rsidRDefault="009125FD" w:rsidP="009125FD">
            <w:pPr>
              <w:spacing w:after="120"/>
              <w:jc w:val="center"/>
              <w:rPr>
                <w:rFonts w:ascii="Arial" w:hAnsi="Arial" w:cs="Arial"/>
                <w:sz w:val="18"/>
                <w:szCs w:val="18"/>
              </w:rPr>
            </w:pPr>
            <w:r w:rsidRPr="005C5D59">
              <w:rPr>
                <w:rFonts w:ascii="Arial" w:hAnsi="Arial" w:cs="Arial"/>
                <w:sz w:val="18"/>
                <w:szCs w:val="18"/>
              </w:rPr>
              <w:t>RED BLO</w:t>
            </w:r>
            <w:r>
              <w:rPr>
                <w:rFonts w:ascii="Arial" w:hAnsi="Arial" w:cs="Arial"/>
                <w:sz w:val="18"/>
                <w:szCs w:val="18"/>
              </w:rPr>
              <w:t>OD CELLS</w:t>
            </w:r>
          </w:p>
          <w:p w:rsidR="009125FD" w:rsidRPr="005C5D59" w:rsidRDefault="009125FD" w:rsidP="009125FD">
            <w:pPr>
              <w:spacing w:after="120"/>
              <w:jc w:val="center"/>
              <w:rPr>
                <w:rFonts w:ascii="Arial" w:hAnsi="Arial" w:cs="Arial"/>
                <w:sz w:val="18"/>
                <w:szCs w:val="18"/>
              </w:rPr>
            </w:pPr>
            <w:r>
              <w:rPr>
                <w:rFonts w:ascii="Arial" w:hAnsi="Arial" w:cs="Arial"/>
                <w:sz w:val="18"/>
                <w:szCs w:val="18"/>
              </w:rPr>
              <w:t>WHOLE BLOOD</w:t>
            </w:r>
          </w:p>
        </w:tc>
        <w:tc>
          <w:tcPr>
            <w:tcW w:w="1260" w:type="dxa"/>
            <w:tcBorders>
              <w:top w:val="single" w:sz="4" w:space="0" w:color="000000"/>
              <w:left w:val="single" w:sz="4" w:space="0" w:color="000000"/>
              <w:right w:val="single" w:sz="4" w:space="0" w:color="000000"/>
            </w:tcBorders>
            <w:shd w:val="pct10" w:color="auto" w:fill="auto"/>
            <w:vAlign w:val="center"/>
            <w:hideMark/>
          </w:tcPr>
          <w:p w:rsidR="009125FD" w:rsidRPr="008E2609" w:rsidRDefault="009125FD" w:rsidP="009125FD">
            <w:pPr>
              <w:jc w:val="center"/>
              <w:rPr>
                <w:rFonts w:ascii="Arial" w:hAnsi="Arial" w:cs="Arial"/>
                <w:sz w:val="18"/>
                <w:szCs w:val="18"/>
              </w:rPr>
            </w:pPr>
            <w:r w:rsidRPr="008E2609">
              <w:rPr>
                <w:rFonts w:ascii="Arial" w:hAnsi="Arial" w:cs="Arial"/>
                <w:sz w:val="18"/>
                <w:szCs w:val="18"/>
              </w:rPr>
              <w:t>Sickle Cell Negative</w:t>
            </w:r>
          </w:p>
        </w:tc>
        <w:tc>
          <w:tcPr>
            <w:tcW w:w="1620" w:type="dxa"/>
            <w:tcBorders>
              <w:top w:val="single" w:sz="4" w:space="0" w:color="000000"/>
              <w:left w:val="single" w:sz="4" w:space="0" w:color="000000"/>
              <w:right w:val="single" w:sz="4" w:space="0" w:color="000000"/>
            </w:tcBorders>
            <w:shd w:val="pct10" w:color="auto" w:fill="auto"/>
            <w:vAlign w:val="center"/>
            <w:hideMark/>
          </w:tcPr>
          <w:p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rsidTr="009125FD">
        <w:trPr>
          <w:cantSplit/>
          <w:trHeight w:val="1152"/>
        </w:trPr>
        <w:tc>
          <w:tcPr>
            <w:tcW w:w="1843" w:type="dxa"/>
            <w:vMerge/>
            <w:tcBorders>
              <w:left w:val="single" w:sz="4" w:space="0" w:color="000000"/>
              <w:right w:val="single" w:sz="4" w:space="0" w:color="000000"/>
            </w:tcBorders>
            <w:vAlign w:val="bottom"/>
          </w:tcPr>
          <w:p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rsidR="009125FD" w:rsidRDefault="009125FD" w:rsidP="009125FD">
            <w:pPr>
              <w:jc w:val="center"/>
              <w:rPr>
                <w:rFonts w:ascii="Arial" w:hAnsi="Arial" w:cs="Arial"/>
                <w:sz w:val="18"/>
                <w:szCs w:val="18"/>
              </w:rPr>
            </w:pPr>
          </w:p>
          <w:p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tc>
        <w:tc>
          <w:tcPr>
            <w:tcW w:w="1260" w:type="dxa"/>
            <w:tcBorders>
              <w:top w:val="single" w:sz="4" w:space="0" w:color="000000"/>
              <w:left w:val="single" w:sz="4" w:space="0" w:color="000000"/>
              <w:bottom w:val="single" w:sz="4" w:space="0" w:color="000000"/>
              <w:right w:val="single" w:sz="4" w:space="0" w:color="000000"/>
            </w:tcBorders>
            <w:vAlign w:val="center"/>
          </w:tcPr>
          <w:p w:rsidR="009125FD" w:rsidRPr="00871BF2" w:rsidRDefault="009125FD" w:rsidP="009125FD">
            <w:pPr>
              <w:jc w:val="center"/>
              <w:rPr>
                <w:rFonts w:ascii="Arial" w:hAnsi="Arial" w:cs="Arial"/>
                <w:b/>
                <w:color w:val="FF0000"/>
                <w:sz w:val="18"/>
                <w:szCs w:val="18"/>
              </w:rPr>
            </w:pPr>
            <w:r>
              <w:rPr>
                <w:rFonts w:ascii="Arial" w:hAnsi="Arial" w:cs="Arial"/>
                <w:b/>
                <w:color w:val="FF0000"/>
                <w:sz w:val="18"/>
                <w:szCs w:val="18"/>
              </w:rPr>
              <w:t>Not Sickle Cell Negative</w:t>
            </w:r>
          </w:p>
        </w:tc>
        <w:tc>
          <w:tcPr>
            <w:tcW w:w="1620" w:type="dxa"/>
            <w:tcBorders>
              <w:top w:val="single" w:sz="4" w:space="0" w:color="000000"/>
              <w:left w:val="single" w:sz="4" w:space="0" w:color="000000"/>
              <w:bottom w:val="single" w:sz="4" w:space="0" w:color="000000"/>
              <w:right w:val="single" w:sz="4" w:space="0" w:color="000000"/>
            </w:tcBorders>
            <w:vAlign w:val="center"/>
          </w:tcPr>
          <w:p w:rsidR="009125FD" w:rsidRPr="00FB56F0" w:rsidRDefault="009125FD" w:rsidP="009125FD">
            <w:pPr>
              <w:ind w:left="18"/>
              <w:rPr>
                <w:rFonts w:ascii="Arial" w:hAnsi="Arial" w:cs="Arial"/>
                <w:sz w:val="18"/>
                <w:szCs w:val="18"/>
              </w:rPr>
            </w:pPr>
            <w:r w:rsidRPr="00FB56F0">
              <w:rPr>
                <w:rFonts w:ascii="Arial" w:hAnsi="Arial" w:cs="Arial"/>
                <w:noProof/>
                <w:sz w:val="18"/>
                <w:szCs w:val="18"/>
              </w:rPr>
              <w:t>Technologist</w:t>
            </w:r>
          </w:p>
          <w:p w:rsidR="009125FD" w:rsidRPr="00836EE2" w:rsidRDefault="009125FD" w:rsidP="009125FD">
            <w:pPr>
              <w:ind w:left="18"/>
              <w:rPr>
                <w:rFonts w:ascii="Arial" w:hAnsi="Arial" w:cs="Arial"/>
                <w:sz w:val="18"/>
                <w:szCs w:val="18"/>
              </w:rPr>
            </w:pPr>
          </w:p>
          <w:p w:rsidR="009125FD" w:rsidRPr="00FB56F0" w:rsidRDefault="009125FD" w:rsidP="009125FD">
            <w:pPr>
              <w:ind w:left="18"/>
              <w:rPr>
                <w:rFonts w:ascii="Arial" w:hAnsi="Arial" w:cs="Arial"/>
                <w:noProof/>
                <w:sz w:val="18"/>
                <w:szCs w:val="18"/>
              </w:rPr>
            </w:pPr>
            <w:r w:rsidRPr="00FB56F0">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tcPr>
          <w:p w:rsidR="009125FD" w:rsidRPr="007F3B3C" w:rsidRDefault="009125FD" w:rsidP="009125FD">
            <w:pPr>
              <w:pStyle w:val="TableText"/>
              <w:spacing w:before="120"/>
              <w:rPr>
                <w:rStyle w:val="StyleTableText9ptCharChar"/>
                <w:rFonts w:cs="Arial"/>
                <w:i/>
              </w:rPr>
            </w:pPr>
            <w:r w:rsidRPr="005C5D59">
              <w:rPr>
                <w:rStyle w:val="StyleTableText9ptCharChar"/>
                <w:rFonts w:cs="Arial"/>
              </w:rPr>
              <w:t>The Transfusi</w:t>
            </w:r>
            <w:r>
              <w:rPr>
                <w:rStyle w:val="StyleTableText9ptCharChar"/>
                <w:rFonts w:cs="Arial"/>
              </w:rPr>
              <w:t>on Requirement is not satisfied;</w:t>
            </w:r>
            <w:r w:rsidRPr="005C5D59">
              <w:rPr>
                <w:rStyle w:val="StyleTableText9ptCharChar"/>
                <w:rFonts w:cs="Arial"/>
              </w:rPr>
              <w:t xml:space="preserve"> the system emits an audible alert and displays a warning message: </w:t>
            </w:r>
            <w:r w:rsidRPr="007F3B3C">
              <w:rPr>
                <w:rStyle w:val="StyleTableText9ptCharChar"/>
                <w:rFonts w:cs="Arial"/>
                <w:i/>
              </w:rPr>
              <w:t>This unit does not currently satisfy all of the patient’s Transfusion Requirements. Further processing is needed. Continue to select this unit?</w:t>
            </w:r>
          </w:p>
          <w:p w:rsidR="009125FD" w:rsidRPr="005C5D59" w:rsidRDefault="009125FD" w:rsidP="009125FD">
            <w:pPr>
              <w:pStyle w:val="TableText"/>
              <w:rPr>
                <w:rStyle w:val="StyleTableText9ptCharChar"/>
                <w:rFonts w:cs="Arial"/>
              </w:rPr>
            </w:pPr>
            <w:r w:rsidRPr="005C5D59">
              <w:rPr>
                <w:rStyle w:val="StyleTableText9ptCharChar"/>
                <w:rFonts w:cs="Arial"/>
              </w:rPr>
              <w:t>If</w:t>
            </w:r>
            <w:r>
              <w:rPr>
                <w:rStyle w:val="StyleTableText9ptCharChar"/>
                <w:rFonts w:cs="Arial"/>
              </w:rPr>
              <w:t xml:space="preserve"> the user clicks </w:t>
            </w:r>
            <w:r w:rsidRPr="005C5D59">
              <w:rPr>
                <w:rStyle w:val="StyleTableText9ptCharChar"/>
                <w:rFonts w:cs="Arial"/>
              </w:rPr>
              <w:t>“No,” the screen is cleared.</w:t>
            </w:r>
          </w:p>
          <w:p w:rsidR="009125FD" w:rsidRPr="005C5D59" w:rsidRDefault="009125FD" w:rsidP="009125FD">
            <w:pPr>
              <w:pStyle w:val="TableText"/>
              <w:rPr>
                <w:rFonts w:cs="Arial"/>
                <w:noProof/>
              </w:rPr>
            </w:pPr>
            <w:r w:rsidRPr="005C5D59">
              <w:rPr>
                <w:rStyle w:val="StyleTableText9ptCharChar"/>
                <w:rFonts w:cs="Arial"/>
              </w:rPr>
              <w:t xml:space="preserve">If </w:t>
            </w:r>
            <w:r>
              <w:rPr>
                <w:rStyle w:val="StyleTableText9ptCharChar"/>
                <w:rFonts w:cs="Arial"/>
              </w:rPr>
              <w:t>the user clicks “Yes,” selection can continue to select the unit.</w:t>
            </w:r>
          </w:p>
        </w:tc>
      </w:tr>
      <w:tr w:rsidR="009125FD" w:rsidRPr="005C5D59" w:rsidTr="009125FD">
        <w:trPr>
          <w:cantSplit/>
          <w:trHeight w:val="1152"/>
        </w:trPr>
        <w:tc>
          <w:tcPr>
            <w:tcW w:w="1843" w:type="dxa"/>
            <w:vMerge/>
            <w:tcBorders>
              <w:left w:val="single" w:sz="4" w:space="0" w:color="000000"/>
              <w:right w:val="single" w:sz="4" w:space="0" w:color="000000"/>
            </w:tcBorders>
            <w:vAlign w:val="bottom"/>
          </w:tcPr>
          <w:p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rsidR="009125FD" w:rsidRDefault="009125FD" w:rsidP="009125FD">
            <w:pPr>
              <w:jc w:val="center"/>
              <w:rPr>
                <w:rFonts w:ascii="Arial" w:hAnsi="Arial" w:cs="Arial"/>
                <w:sz w:val="18"/>
                <w:szCs w:val="18"/>
              </w:rPr>
            </w:pPr>
          </w:p>
          <w:p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tc>
        <w:tc>
          <w:tcPr>
            <w:tcW w:w="1260" w:type="dxa"/>
            <w:tcBorders>
              <w:top w:val="single" w:sz="4" w:space="0" w:color="000000"/>
              <w:left w:val="single" w:sz="4" w:space="0" w:color="000000"/>
              <w:bottom w:val="single" w:sz="4" w:space="0" w:color="000000"/>
              <w:right w:val="single" w:sz="4" w:space="0" w:color="000000"/>
            </w:tcBorders>
            <w:vAlign w:val="center"/>
          </w:tcPr>
          <w:p w:rsidR="009125FD" w:rsidRPr="005C5D59" w:rsidRDefault="009125FD" w:rsidP="009125FD">
            <w:pPr>
              <w:jc w:val="center"/>
              <w:rPr>
                <w:rFonts w:ascii="Arial" w:hAnsi="Arial" w:cs="Arial"/>
                <w:color w:val="FF0000"/>
                <w:sz w:val="18"/>
                <w:szCs w:val="18"/>
              </w:rPr>
            </w:pPr>
            <w:r>
              <w:rPr>
                <w:rFonts w:ascii="Arial" w:hAnsi="Arial" w:cs="Arial"/>
                <w:b/>
                <w:color w:val="FF0000"/>
                <w:sz w:val="18"/>
                <w:szCs w:val="18"/>
              </w:rPr>
              <w:t>Not Sickle Cell Negative</w:t>
            </w:r>
          </w:p>
        </w:tc>
        <w:tc>
          <w:tcPr>
            <w:tcW w:w="1620" w:type="dxa"/>
            <w:tcBorders>
              <w:top w:val="single" w:sz="4" w:space="0" w:color="000000"/>
              <w:left w:val="single" w:sz="4" w:space="0" w:color="000000"/>
              <w:bottom w:val="single" w:sz="4" w:space="0" w:color="000000"/>
              <w:right w:val="single" w:sz="4" w:space="0" w:color="000000"/>
            </w:tcBorders>
            <w:vAlign w:val="center"/>
          </w:tcPr>
          <w:p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Lead Technologist</w:t>
            </w:r>
          </w:p>
          <w:p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Traditional Supervisor</w:t>
            </w:r>
          </w:p>
          <w:p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Enhanced Supervisor</w:t>
            </w:r>
          </w:p>
          <w:p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Administrator/Supervisor</w:t>
            </w:r>
          </w:p>
          <w:p w:rsidR="009125FD" w:rsidRPr="008B278A" w:rsidRDefault="009125FD" w:rsidP="009125FD">
            <w:pPr>
              <w:ind w:left="18"/>
              <w:rPr>
                <w:rFonts w:ascii="Arial" w:hAnsi="Arial" w:cs="Arial"/>
                <w:sz w:val="18"/>
                <w:szCs w:val="18"/>
              </w:rPr>
            </w:pPr>
          </w:p>
        </w:tc>
        <w:tc>
          <w:tcPr>
            <w:tcW w:w="4050" w:type="dxa"/>
            <w:tcBorders>
              <w:left w:val="single" w:sz="4" w:space="0" w:color="000000"/>
              <w:right w:val="single" w:sz="4" w:space="0" w:color="000000"/>
            </w:tcBorders>
            <w:vAlign w:val="bottom"/>
          </w:tcPr>
          <w:p w:rsidR="009125FD" w:rsidRPr="00496950" w:rsidRDefault="009125FD" w:rsidP="009125FD">
            <w:pPr>
              <w:pStyle w:val="TableText"/>
              <w:rPr>
                <w:rStyle w:val="StyleTableText9ptCharChar"/>
                <w:i/>
              </w:rPr>
            </w:pPr>
            <w:r w:rsidRPr="003D487C">
              <w:t>The following warning(s) is informational:</w:t>
            </w:r>
            <w:r>
              <w:t xml:space="preserve"> </w:t>
            </w:r>
            <w:r w:rsidRPr="00496950">
              <w:rPr>
                <w:i/>
              </w:rPr>
              <w:t xml:space="preserve">This unit does not currently satisfy the patient’s </w:t>
            </w:r>
            <w:r w:rsidRPr="00496950">
              <w:rPr>
                <w:i/>
                <w:noProof/>
              </w:rPr>
              <w:t xml:space="preserve">Sickle Cell Negative </w:t>
            </w:r>
            <w:r w:rsidRPr="00496950">
              <w:rPr>
                <w:i/>
              </w:rPr>
              <w:t xml:space="preserve">Transfusion Requirements. </w:t>
            </w:r>
            <w:r w:rsidRPr="00496950">
              <w:rPr>
                <w:rStyle w:val="StyleTableText9ptCharChar"/>
                <w:i/>
              </w:rPr>
              <w:t>Further processing is needed. Continue to select this unit?</w:t>
            </w:r>
          </w:p>
          <w:p w:rsidR="009125FD" w:rsidRPr="00496950" w:rsidRDefault="009125FD" w:rsidP="009125FD">
            <w:pPr>
              <w:pStyle w:val="TableText"/>
              <w:rPr>
                <w:rStyle w:val="StyleTableText9ptCharChar"/>
                <w:i/>
              </w:rPr>
            </w:pPr>
            <w:r w:rsidRPr="00496950">
              <w:rPr>
                <w:rStyle w:val="StyleTableText9ptCharChar"/>
                <w:i/>
              </w:rPr>
              <w:t>Do you wish to proceed with the selection of unit &lt;insert unit ID number&gt;:?</w:t>
            </w:r>
          </w:p>
          <w:p w:rsidR="009125FD" w:rsidRPr="003D487C" w:rsidRDefault="009125FD" w:rsidP="009125FD">
            <w:pPr>
              <w:pStyle w:val="TableText"/>
              <w:rPr>
                <w:noProof/>
              </w:rPr>
            </w:pPr>
            <w:r w:rsidRPr="003D487C">
              <w:rPr>
                <w:noProof/>
              </w:rPr>
              <w:t xml:space="preserve">If “No,” is selected, the screen is cleared and a new blood unit must be selected. </w:t>
            </w:r>
          </w:p>
          <w:p w:rsidR="009125FD" w:rsidRPr="0081278B" w:rsidRDefault="009125FD" w:rsidP="009125FD">
            <w:pPr>
              <w:pStyle w:val="TableText"/>
              <w:rPr>
                <w:i/>
                <w:noProof/>
              </w:rPr>
            </w:pPr>
            <w:r w:rsidRPr="003D487C">
              <w:rPr>
                <w:noProof/>
              </w:rPr>
              <w:t>If “Yes,” is selected, a comment is required and the details of the transaction are captured for later in</w:t>
            </w:r>
            <w:r>
              <w:rPr>
                <w:noProof/>
              </w:rPr>
              <w:t xml:space="preserve">clusion in an exception report entry: </w:t>
            </w:r>
            <w:r w:rsidRPr="0081278B">
              <w:rPr>
                <w:i/>
                <w:noProof/>
              </w:rPr>
              <w:t>Transfusion Requirement incompatible unit selected</w:t>
            </w:r>
            <w:r w:rsidR="005C48D9">
              <w:rPr>
                <w:i/>
                <w:noProof/>
              </w:rPr>
              <w:t>.</w:t>
            </w:r>
          </w:p>
        </w:tc>
      </w:tr>
    </w:tbl>
    <w:p w:rsidR="009125FD" w:rsidRDefault="009125FD" w:rsidP="009125FD"/>
    <w:p w:rsidR="00C15299" w:rsidRDefault="009125FD" w:rsidP="00C15299">
      <w:pPr>
        <w:pStyle w:val="Caption"/>
      </w:pPr>
      <w:r>
        <w:br w:type="page"/>
      </w:r>
      <w:bookmarkStart w:id="827" w:name="_Ref343502619"/>
      <w:r w:rsidR="00C15299">
        <w:lastRenderedPageBreak/>
        <w:t xml:space="preserve">Figure </w:t>
      </w:r>
      <w:r w:rsidR="00C15299">
        <w:fldChar w:fldCharType="begin"/>
      </w:r>
      <w:r w:rsidR="00C15299">
        <w:instrText xml:space="preserve"> SEQ Figure \* ARABIC </w:instrText>
      </w:r>
      <w:r w:rsidR="00C15299">
        <w:fldChar w:fldCharType="separate"/>
      </w:r>
      <w:r w:rsidR="005F38BC">
        <w:rPr>
          <w:noProof/>
        </w:rPr>
        <w:t>161</w:t>
      </w:r>
      <w:r w:rsidR="00C15299">
        <w:fldChar w:fldCharType="end"/>
      </w:r>
      <w:r w:rsidR="00C15299">
        <w:t>: Sickle Cell Negative RBC Products and Issue Blood Component</w:t>
      </w:r>
      <w:bookmarkEnd w:id="827"/>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843"/>
        <w:gridCol w:w="1469"/>
        <w:gridCol w:w="1260"/>
        <w:gridCol w:w="1620"/>
        <w:gridCol w:w="4050"/>
      </w:tblGrid>
      <w:tr w:rsidR="009125FD" w:rsidRPr="005C5D59" w:rsidTr="009125FD">
        <w:trPr>
          <w:cantSplit/>
          <w:trHeight w:val="432"/>
          <w:tblHeader/>
        </w:trPr>
        <w:tc>
          <w:tcPr>
            <w:tcW w:w="10242" w:type="dxa"/>
            <w:gridSpan w:val="5"/>
            <w:tcBorders>
              <w:left w:val="single" w:sz="4" w:space="0" w:color="000000"/>
              <w:bottom w:val="single" w:sz="4" w:space="0" w:color="000000"/>
              <w:right w:val="single" w:sz="4" w:space="0" w:color="000000"/>
            </w:tcBorders>
            <w:shd w:val="pct25" w:color="auto" w:fill="auto"/>
            <w:vAlign w:val="bottom"/>
          </w:tcPr>
          <w:p w:rsidR="009125FD" w:rsidRPr="005C5D59" w:rsidRDefault="009125FD" w:rsidP="009125FD">
            <w:pPr>
              <w:rPr>
                <w:rFonts w:ascii="Arial" w:hAnsi="Arial" w:cs="Arial"/>
                <w:b/>
                <w:sz w:val="18"/>
                <w:szCs w:val="18"/>
              </w:rPr>
            </w:pPr>
            <w:r w:rsidRPr="005C5D59">
              <w:rPr>
                <w:rFonts w:ascii="Arial" w:hAnsi="Arial" w:cs="Arial"/>
                <w:b/>
                <w:sz w:val="18"/>
                <w:szCs w:val="18"/>
              </w:rPr>
              <w:t xml:space="preserve">Issue Blood Component: </w:t>
            </w:r>
            <w:r>
              <w:rPr>
                <w:rFonts w:ascii="Arial" w:hAnsi="Arial" w:cs="Arial"/>
                <w:b/>
                <w:sz w:val="20"/>
                <w:szCs w:val="20"/>
              </w:rPr>
              <w:t>Sickle Cell Negative RBC</w:t>
            </w:r>
            <w:r w:rsidRPr="00871BF2">
              <w:rPr>
                <w:rFonts w:ascii="Arial" w:hAnsi="Arial" w:cs="Arial"/>
                <w:b/>
                <w:sz w:val="20"/>
                <w:szCs w:val="20"/>
              </w:rPr>
              <w:t xml:space="preserve"> Products</w:t>
            </w:r>
          </w:p>
        </w:tc>
      </w:tr>
      <w:tr w:rsidR="009125FD" w:rsidRPr="005C5D59" w:rsidTr="009125FD">
        <w:trPr>
          <w:cantSplit/>
          <w:trHeight w:val="432"/>
          <w:tblHeader/>
        </w:trPr>
        <w:tc>
          <w:tcPr>
            <w:tcW w:w="1843" w:type="dxa"/>
            <w:tcBorders>
              <w:left w:val="single" w:sz="4" w:space="0" w:color="000000"/>
              <w:bottom w:val="single" w:sz="4" w:space="0" w:color="000000"/>
              <w:right w:val="single" w:sz="4" w:space="0" w:color="000000"/>
            </w:tcBorders>
            <w:shd w:val="pct25" w:color="auto" w:fill="auto"/>
            <w:vAlign w:val="bottom"/>
            <w:hideMark/>
          </w:tcPr>
          <w:p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469" w:type="dxa"/>
            <w:tcBorders>
              <w:left w:val="single" w:sz="4" w:space="0" w:color="000000"/>
              <w:bottom w:val="single" w:sz="4" w:space="0" w:color="000000"/>
              <w:right w:val="single" w:sz="4" w:space="0" w:color="000000"/>
            </w:tcBorders>
            <w:shd w:val="pct25" w:color="auto" w:fill="auto"/>
            <w:vAlign w:val="bottom"/>
            <w:hideMark/>
          </w:tcPr>
          <w:p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rsidR="009125FD" w:rsidRPr="005C5D59" w:rsidRDefault="009125FD" w:rsidP="009125FD">
            <w:pP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rsidR="009125FD" w:rsidRPr="005C5D59" w:rsidRDefault="009125FD" w:rsidP="009125FD">
            <w:pPr>
              <w:rPr>
                <w:rFonts w:ascii="Arial" w:hAnsi="Arial" w:cs="Arial"/>
                <w:b/>
                <w:sz w:val="18"/>
                <w:szCs w:val="18"/>
              </w:rPr>
            </w:pPr>
            <w:r w:rsidRPr="005C5D59">
              <w:rPr>
                <w:rFonts w:ascii="Arial" w:hAnsi="Arial" w:cs="Arial"/>
                <w:b/>
                <w:sz w:val="18"/>
                <w:szCs w:val="18"/>
              </w:rPr>
              <w:t>Selected 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rsidR="009125FD" w:rsidRPr="005C5D59" w:rsidRDefault="009125FD" w:rsidP="009125FD">
            <w:pPr>
              <w:rPr>
                <w:rFonts w:ascii="Arial" w:hAnsi="Arial" w:cs="Arial"/>
                <w:b/>
                <w:sz w:val="18"/>
                <w:szCs w:val="18"/>
              </w:rPr>
            </w:pPr>
            <w:r w:rsidRPr="005C5D59">
              <w:rPr>
                <w:rFonts w:ascii="Arial" w:hAnsi="Arial" w:cs="Arial"/>
                <w:b/>
                <w:sz w:val="18"/>
                <w:szCs w:val="18"/>
              </w:rPr>
              <w:t>Expected System Response</w:t>
            </w:r>
          </w:p>
        </w:tc>
      </w:tr>
      <w:tr w:rsidR="009125FD" w:rsidRPr="005C5D59" w:rsidTr="009125FD">
        <w:trPr>
          <w:cantSplit/>
          <w:trHeight w:val="284"/>
        </w:trPr>
        <w:tc>
          <w:tcPr>
            <w:tcW w:w="1843" w:type="dxa"/>
            <w:vMerge w:val="restart"/>
            <w:tcBorders>
              <w:top w:val="single" w:sz="4" w:space="0" w:color="000000"/>
              <w:left w:val="single" w:sz="4" w:space="0" w:color="000000"/>
              <w:right w:val="single" w:sz="4" w:space="0" w:color="000000"/>
            </w:tcBorders>
            <w:vAlign w:val="center"/>
            <w:hideMark/>
          </w:tcPr>
          <w:p w:rsidR="009125FD" w:rsidRPr="00D93607" w:rsidRDefault="009125FD" w:rsidP="009125FD">
            <w:pPr>
              <w:jc w:val="center"/>
              <w:rPr>
                <w:rFonts w:ascii="Arial" w:hAnsi="Arial" w:cs="Arial"/>
                <w:sz w:val="28"/>
                <w:szCs w:val="28"/>
              </w:rPr>
            </w:pPr>
            <w:r w:rsidRPr="00D93607">
              <w:rPr>
                <w:rFonts w:ascii="Arial" w:hAnsi="Arial" w:cs="Arial"/>
                <w:b/>
                <w:sz w:val="28"/>
                <w:szCs w:val="28"/>
              </w:rPr>
              <w:t>Sickle Cell Negative RBC products</w:t>
            </w:r>
          </w:p>
        </w:tc>
        <w:tc>
          <w:tcPr>
            <w:tcW w:w="1469" w:type="dxa"/>
            <w:tcBorders>
              <w:top w:val="single" w:sz="4" w:space="0" w:color="000000"/>
              <w:left w:val="single" w:sz="4" w:space="0" w:color="000000"/>
              <w:right w:val="single" w:sz="4" w:space="0" w:color="000000"/>
            </w:tcBorders>
            <w:shd w:val="pct10" w:color="auto" w:fill="auto"/>
            <w:vAlign w:val="center"/>
            <w:hideMark/>
          </w:tcPr>
          <w:p w:rsidR="009125FD" w:rsidRDefault="009125FD" w:rsidP="009125FD">
            <w:pPr>
              <w:spacing w:before="120" w:after="120"/>
              <w:jc w:val="center"/>
              <w:rPr>
                <w:rFonts w:ascii="Arial" w:hAnsi="Arial" w:cs="Arial"/>
                <w:sz w:val="18"/>
                <w:szCs w:val="18"/>
              </w:rPr>
            </w:pPr>
            <w:r>
              <w:rPr>
                <w:rFonts w:ascii="Arial" w:hAnsi="Arial" w:cs="Arial"/>
                <w:sz w:val="18"/>
                <w:szCs w:val="18"/>
              </w:rPr>
              <w:t>RED BLOOD CELLS</w:t>
            </w:r>
          </w:p>
          <w:p w:rsidR="009125FD" w:rsidRPr="005C5D59" w:rsidRDefault="009125FD" w:rsidP="009125FD">
            <w:pPr>
              <w:spacing w:after="120"/>
              <w:jc w:val="center"/>
              <w:rPr>
                <w:rFonts w:ascii="Arial" w:hAnsi="Arial" w:cs="Arial"/>
                <w:sz w:val="18"/>
                <w:szCs w:val="18"/>
              </w:rPr>
            </w:pPr>
            <w:r>
              <w:rPr>
                <w:rFonts w:ascii="Arial" w:hAnsi="Arial" w:cs="Arial"/>
                <w:sz w:val="18"/>
                <w:szCs w:val="18"/>
              </w:rPr>
              <w:t xml:space="preserve"> WHOLE BLOOD</w:t>
            </w:r>
          </w:p>
        </w:tc>
        <w:tc>
          <w:tcPr>
            <w:tcW w:w="1260" w:type="dxa"/>
            <w:tcBorders>
              <w:top w:val="single" w:sz="4" w:space="0" w:color="000000"/>
              <w:left w:val="single" w:sz="4" w:space="0" w:color="000000"/>
              <w:right w:val="single" w:sz="4" w:space="0" w:color="000000"/>
            </w:tcBorders>
            <w:shd w:val="pct10" w:color="auto" w:fill="auto"/>
            <w:vAlign w:val="center"/>
            <w:hideMark/>
          </w:tcPr>
          <w:p w:rsidR="009125FD" w:rsidRPr="008E2609" w:rsidRDefault="009125FD" w:rsidP="009125FD">
            <w:pPr>
              <w:jc w:val="center"/>
              <w:rPr>
                <w:rFonts w:ascii="Arial" w:hAnsi="Arial" w:cs="Arial"/>
                <w:sz w:val="18"/>
                <w:szCs w:val="18"/>
              </w:rPr>
            </w:pPr>
            <w:r w:rsidRPr="008E2609">
              <w:rPr>
                <w:rFonts w:ascii="Arial" w:hAnsi="Arial" w:cs="Arial"/>
                <w:sz w:val="18"/>
                <w:szCs w:val="18"/>
              </w:rPr>
              <w:t>Sickle Cell negative</w:t>
            </w:r>
          </w:p>
        </w:tc>
        <w:tc>
          <w:tcPr>
            <w:tcW w:w="1620" w:type="dxa"/>
            <w:tcBorders>
              <w:top w:val="single" w:sz="4" w:space="0" w:color="000000"/>
              <w:left w:val="single" w:sz="4" w:space="0" w:color="000000"/>
              <w:right w:val="single" w:sz="4" w:space="0" w:color="000000"/>
            </w:tcBorders>
            <w:shd w:val="pct10" w:color="auto" w:fill="auto"/>
            <w:vAlign w:val="center"/>
            <w:hideMark/>
          </w:tcPr>
          <w:p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rsidTr="009125FD">
        <w:trPr>
          <w:cantSplit/>
          <w:trHeight w:val="864"/>
        </w:trPr>
        <w:tc>
          <w:tcPr>
            <w:tcW w:w="1843" w:type="dxa"/>
            <w:vMerge/>
            <w:tcBorders>
              <w:left w:val="single" w:sz="4" w:space="0" w:color="000000"/>
              <w:right w:val="single" w:sz="4" w:space="0" w:color="000000"/>
            </w:tcBorders>
            <w:vAlign w:val="bottom"/>
          </w:tcPr>
          <w:p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rsidR="009125FD" w:rsidRDefault="009125FD" w:rsidP="009125FD">
            <w:pPr>
              <w:jc w:val="center"/>
              <w:rPr>
                <w:rFonts w:ascii="Arial" w:hAnsi="Arial" w:cs="Arial"/>
                <w:sz w:val="18"/>
                <w:szCs w:val="18"/>
              </w:rPr>
            </w:pPr>
          </w:p>
          <w:p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tc>
        <w:tc>
          <w:tcPr>
            <w:tcW w:w="1260" w:type="dxa"/>
            <w:tcBorders>
              <w:top w:val="single" w:sz="4" w:space="0" w:color="000000"/>
              <w:left w:val="single" w:sz="4" w:space="0" w:color="000000"/>
              <w:right w:val="single" w:sz="4" w:space="0" w:color="000000"/>
            </w:tcBorders>
            <w:vAlign w:val="center"/>
          </w:tcPr>
          <w:p w:rsidR="009125FD" w:rsidRPr="005356E6" w:rsidRDefault="009125FD" w:rsidP="009125FD">
            <w:pPr>
              <w:jc w:val="center"/>
              <w:rPr>
                <w:rFonts w:ascii="Arial" w:hAnsi="Arial" w:cs="Arial"/>
                <w:b/>
                <w:color w:val="FF0000"/>
                <w:sz w:val="18"/>
                <w:szCs w:val="18"/>
              </w:rPr>
            </w:pPr>
            <w:r w:rsidRPr="005356E6">
              <w:rPr>
                <w:rFonts w:ascii="Arial" w:hAnsi="Arial" w:cs="Arial"/>
                <w:b/>
                <w:color w:val="FF0000"/>
                <w:sz w:val="18"/>
                <w:szCs w:val="18"/>
              </w:rPr>
              <w:t>NOT</w:t>
            </w:r>
          </w:p>
          <w:p w:rsidR="009125FD" w:rsidRPr="005356E6" w:rsidRDefault="009125FD" w:rsidP="009125FD">
            <w:pPr>
              <w:jc w:val="center"/>
              <w:rPr>
                <w:rFonts w:ascii="Arial" w:hAnsi="Arial" w:cs="Arial"/>
                <w:b/>
                <w:color w:val="FF0000"/>
                <w:sz w:val="18"/>
                <w:szCs w:val="18"/>
              </w:rPr>
            </w:pPr>
            <w:r w:rsidRPr="005356E6">
              <w:rPr>
                <w:rFonts w:ascii="Arial" w:hAnsi="Arial" w:cs="Arial"/>
                <w:b/>
                <w:color w:val="FF0000"/>
                <w:sz w:val="18"/>
                <w:szCs w:val="18"/>
              </w:rPr>
              <w:t>Sickle Cell Negative</w:t>
            </w:r>
          </w:p>
        </w:tc>
        <w:tc>
          <w:tcPr>
            <w:tcW w:w="1620" w:type="dxa"/>
            <w:tcBorders>
              <w:top w:val="single" w:sz="4" w:space="0" w:color="000000"/>
              <w:left w:val="single" w:sz="4" w:space="0" w:color="000000"/>
              <w:right w:val="single" w:sz="4" w:space="0" w:color="000000"/>
            </w:tcBorders>
            <w:vAlign w:val="center"/>
          </w:tcPr>
          <w:p w:rsidR="009125FD" w:rsidRPr="00FB56F0" w:rsidRDefault="009125FD" w:rsidP="009125FD">
            <w:pPr>
              <w:ind w:left="36"/>
              <w:rPr>
                <w:rFonts w:ascii="Arial" w:hAnsi="Arial" w:cs="Arial"/>
                <w:sz w:val="18"/>
                <w:szCs w:val="18"/>
              </w:rPr>
            </w:pPr>
            <w:r w:rsidRPr="00FB56F0">
              <w:rPr>
                <w:rFonts w:ascii="Arial" w:hAnsi="Arial" w:cs="Arial"/>
                <w:noProof/>
                <w:sz w:val="18"/>
                <w:szCs w:val="18"/>
              </w:rPr>
              <w:t>Technologist</w:t>
            </w:r>
          </w:p>
          <w:p w:rsidR="009125FD" w:rsidRPr="00836EE2" w:rsidRDefault="009125FD" w:rsidP="009125FD">
            <w:pPr>
              <w:ind w:left="36"/>
              <w:rPr>
                <w:rFonts w:ascii="Arial" w:hAnsi="Arial" w:cs="Arial"/>
                <w:sz w:val="18"/>
                <w:szCs w:val="18"/>
              </w:rPr>
            </w:pPr>
          </w:p>
          <w:p w:rsidR="009125FD" w:rsidRPr="00FB56F0" w:rsidRDefault="009125FD" w:rsidP="009125FD">
            <w:pPr>
              <w:ind w:left="36"/>
              <w:rPr>
                <w:rFonts w:ascii="Arial" w:hAnsi="Arial" w:cs="Arial"/>
                <w:noProof/>
                <w:sz w:val="18"/>
                <w:szCs w:val="18"/>
              </w:rPr>
            </w:pPr>
            <w:r w:rsidRPr="00FB56F0">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vAlign w:val="bottom"/>
          </w:tcPr>
          <w:p w:rsidR="009125FD"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Patient’s Transfusion Requirement is not satisfied.</w:t>
            </w:r>
            <w:r w:rsidRPr="005C5D59">
              <w:rPr>
                <w:rFonts w:ascii="Arial" w:hAnsi="Arial" w:cs="Arial"/>
                <w:sz w:val="18"/>
                <w:szCs w:val="18"/>
              </w:rPr>
              <w:t xml:space="preserve"> </w:t>
            </w:r>
            <w:r w:rsidRPr="007F3B3C">
              <w:rPr>
                <w:rFonts w:ascii="Arial" w:hAnsi="Arial" w:cs="Arial"/>
                <w:i/>
                <w:sz w:val="18"/>
                <w:szCs w:val="18"/>
              </w:rPr>
              <w:t>You do not have the proper security to issue this unit. Further processing is needed and must be documented in VBECS.</w:t>
            </w:r>
            <w:r w:rsidRPr="005C5D59">
              <w:rPr>
                <w:rFonts w:ascii="Arial" w:hAnsi="Arial" w:cs="Arial"/>
                <w:sz w:val="18"/>
                <w:szCs w:val="18"/>
              </w:rPr>
              <w:t xml:space="preserve"> </w:t>
            </w:r>
          </w:p>
          <w:p w:rsidR="009125FD" w:rsidRPr="005C5D59" w:rsidRDefault="009125FD" w:rsidP="009125FD">
            <w:pPr>
              <w:rPr>
                <w:rFonts w:ascii="Arial" w:hAnsi="Arial" w:cs="Arial"/>
                <w:sz w:val="18"/>
                <w:szCs w:val="18"/>
              </w:rPr>
            </w:pPr>
            <w:r>
              <w:rPr>
                <w:rFonts w:ascii="Arial" w:hAnsi="Arial" w:cs="Arial"/>
                <w:sz w:val="18"/>
                <w:szCs w:val="18"/>
              </w:rPr>
              <w:t>The tech may not issue this unit in the computer.</w:t>
            </w:r>
          </w:p>
        </w:tc>
      </w:tr>
      <w:tr w:rsidR="009125FD" w:rsidRPr="005C5D59" w:rsidTr="009125FD">
        <w:trPr>
          <w:cantSplit/>
          <w:trHeight w:val="1296"/>
        </w:trPr>
        <w:tc>
          <w:tcPr>
            <w:tcW w:w="1843" w:type="dxa"/>
            <w:vMerge/>
            <w:tcBorders>
              <w:left w:val="single" w:sz="4" w:space="0" w:color="000000"/>
              <w:right w:val="single" w:sz="4" w:space="0" w:color="000000"/>
            </w:tcBorders>
            <w:vAlign w:val="bottom"/>
          </w:tcPr>
          <w:p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rsidR="009125FD" w:rsidRDefault="009125FD" w:rsidP="009125FD">
            <w:pPr>
              <w:jc w:val="center"/>
              <w:rPr>
                <w:rFonts w:ascii="Arial" w:hAnsi="Arial" w:cs="Arial"/>
                <w:sz w:val="18"/>
                <w:szCs w:val="18"/>
              </w:rPr>
            </w:pPr>
          </w:p>
          <w:p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tc>
        <w:tc>
          <w:tcPr>
            <w:tcW w:w="1260" w:type="dxa"/>
            <w:tcBorders>
              <w:top w:val="single" w:sz="4" w:space="0" w:color="000000"/>
              <w:left w:val="single" w:sz="4" w:space="0" w:color="000000"/>
              <w:right w:val="single" w:sz="4" w:space="0" w:color="000000"/>
            </w:tcBorders>
            <w:vAlign w:val="center"/>
          </w:tcPr>
          <w:p w:rsidR="009125FD" w:rsidRPr="005356E6" w:rsidRDefault="009125FD" w:rsidP="009125FD">
            <w:pPr>
              <w:jc w:val="center"/>
              <w:rPr>
                <w:rFonts w:ascii="Arial" w:hAnsi="Arial" w:cs="Arial"/>
                <w:b/>
                <w:color w:val="FF0000"/>
                <w:sz w:val="18"/>
                <w:szCs w:val="18"/>
              </w:rPr>
            </w:pPr>
            <w:r w:rsidRPr="005356E6">
              <w:rPr>
                <w:rFonts w:ascii="Arial" w:hAnsi="Arial" w:cs="Arial"/>
                <w:b/>
                <w:color w:val="FF0000"/>
                <w:sz w:val="18"/>
                <w:szCs w:val="18"/>
              </w:rPr>
              <w:t xml:space="preserve">NOT </w:t>
            </w:r>
          </w:p>
          <w:p w:rsidR="009125FD" w:rsidRPr="005356E6" w:rsidRDefault="009125FD" w:rsidP="009125FD">
            <w:pPr>
              <w:jc w:val="center"/>
              <w:rPr>
                <w:rFonts w:ascii="Arial" w:hAnsi="Arial" w:cs="Arial"/>
                <w:b/>
                <w:color w:val="FF0000"/>
                <w:sz w:val="18"/>
                <w:szCs w:val="18"/>
              </w:rPr>
            </w:pPr>
            <w:r w:rsidRPr="005356E6">
              <w:rPr>
                <w:rFonts w:ascii="Arial" w:hAnsi="Arial" w:cs="Arial"/>
                <w:b/>
                <w:color w:val="FF0000"/>
                <w:sz w:val="18"/>
                <w:szCs w:val="18"/>
              </w:rPr>
              <w:t>Sickle Cell Negative</w:t>
            </w:r>
          </w:p>
        </w:tc>
        <w:tc>
          <w:tcPr>
            <w:tcW w:w="1620" w:type="dxa"/>
            <w:tcBorders>
              <w:top w:val="single" w:sz="4" w:space="0" w:color="000000"/>
              <w:left w:val="single" w:sz="4" w:space="0" w:color="000000"/>
              <w:right w:val="single" w:sz="4" w:space="0" w:color="000000"/>
            </w:tcBorders>
            <w:vAlign w:val="center"/>
          </w:tcPr>
          <w:p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Lead Technologist</w:t>
            </w:r>
          </w:p>
          <w:p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Traditional Supervisor</w:t>
            </w:r>
          </w:p>
          <w:p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Enhanced Supervisor</w:t>
            </w:r>
          </w:p>
          <w:p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Administrator/Supervisor</w:t>
            </w:r>
          </w:p>
          <w:p w:rsidR="009125FD" w:rsidRPr="008B278A" w:rsidRDefault="009125FD" w:rsidP="009125FD">
            <w:pPr>
              <w:ind w:left="198" w:hanging="162"/>
              <w:rPr>
                <w:rFonts w:ascii="Arial" w:hAnsi="Arial" w:cs="Arial"/>
                <w:sz w:val="18"/>
                <w:szCs w:val="18"/>
              </w:rPr>
            </w:pPr>
          </w:p>
        </w:tc>
        <w:tc>
          <w:tcPr>
            <w:tcW w:w="4050" w:type="dxa"/>
            <w:tcBorders>
              <w:top w:val="single" w:sz="4" w:space="0" w:color="000000"/>
              <w:left w:val="single" w:sz="4" w:space="0" w:color="000000"/>
              <w:right w:val="single" w:sz="4" w:space="0" w:color="000000"/>
            </w:tcBorders>
            <w:vAlign w:val="bottom"/>
          </w:tcPr>
          <w:p w:rsidR="009125FD" w:rsidRPr="005C5D59"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 xml:space="preserve">Patient’s </w:t>
            </w:r>
            <w:r>
              <w:rPr>
                <w:rFonts w:ascii="Arial" w:hAnsi="Arial" w:cs="Arial"/>
                <w:i/>
                <w:sz w:val="18"/>
                <w:szCs w:val="18"/>
              </w:rPr>
              <w:t>Sickle Cell Negative RBC products</w:t>
            </w:r>
            <w:r w:rsidRPr="00836EE2">
              <w:rPr>
                <w:rFonts w:ascii="Arial" w:hAnsi="Arial" w:cs="Arial"/>
                <w:i/>
                <w:sz w:val="18"/>
                <w:szCs w:val="18"/>
              </w:rPr>
              <w:t xml:space="preserve"> Transfusion Requirement is not satisfied</w:t>
            </w:r>
            <w:r w:rsidRPr="005C5D59">
              <w:rPr>
                <w:rFonts w:ascii="Arial" w:hAnsi="Arial" w:cs="Arial"/>
                <w:sz w:val="18"/>
                <w:szCs w:val="18"/>
              </w:rPr>
              <w:t xml:space="preserve"> and prompts the user whether to proceed. </w:t>
            </w:r>
          </w:p>
          <w:p w:rsidR="009125FD" w:rsidRPr="005C5D59" w:rsidRDefault="009125FD" w:rsidP="009125FD">
            <w:pPr>
              <w:rPr>
                <w:rFonts w:ascii="Arial" w:hAnsi="Arial" w:cs="Arial"/>
                <w:sz w:val="18"/>
                <w:szCs w:val="18"/>
              </w:rPr>
            </w:pPr>
            <w:r w:rsidRPr="005C5D59">
              <w:rPr>
                <w:rFonts w:ascii="Arial" w:hAnsi="Arial" w:cs="Arial"/>
                <w:sz w:val="18"/>
                <w:szCs w:val="18"/>
              </w:rPr>
              <w:t>If the user responds “No”</w:t>
            </w:r>
            <w:r>
              <w:rPr>
                <w:rFonts w:ascii="Arial" w:hAnsi="Arial" w:cs="Arial"/>
                <w:sz w:val="18"/>
                <w:szCs w:val="18"/>
              </w:rPr>
              <w:t>,</w:t>
            </w:r>
            <w:r w:rsidRPr="005C5D59">
              <w:rPr>
                <w:rFonts w:ascii="Arial" w:hAnsi="Arial" w:cs="Arial"/>
                <w:sz w:val="18"/>
                <w:szCs w:val="18"/>
              </w:rPr>
              <w:t xml:space="preserve"> the system wi</w:t>
            </w:r>
            <w:r>
              <w:rPr>
                <w:rFonts w:ascii="Arial" w:hAnsi="Arial" w:cs="Arial"/>
                <w:sz w:val="18"/>
                <w:szCs w:val="18"/>
              </w:rPr>
              <w:t>ll clear the selected unit.</w:t>
            </w:r>
          </w:p>
          <w:p w:rsidR="009125FD" w:rsidRPr="005C5D59" w:rsidRDefault="009125FD" w:rsidP="009125FD">
            <w:pPr>
              <w:rPr>
                <w:rFonts w:ascii="Arial" w:hAnsi="Arial" w:cs="Arial"/>
                <w:sz w:val="18"/>
                <w:szCs w:val="18"/>
              </w:rPr>
            </w:pPr>
            <w:r w:rsidRPr="005C5D59">
              <w:rPr>
                <w:rFonts w:ascii="Arial" w:hAnsi="Arial" w:cs="Arial"/>
                <w:sz w:val="18"/>
                <w:szCs w:val="18"/>
              </w:rPr>
              <w:t>If the user responds “Yes”</w:t>
            </w:r>
            <w:r>
              <w:rPr>
                <w:rFonts w:ascii="Arial" w:hAnsi="Arial" w:cs="Arial"/>
                <w:sz w:val="18"/>
                <w:szCs w:val="18"/>
              </w:rPr>
              <w:t>,</w:t>
            </w:r>
            <w:r w:rsidRPr="005C5D59">
              <w:rPr>
                <w:rFonts w:ascii="Arial" w:hAnsi="Arial" w:cs="Arial"/>
                <w:sz w:val="18"/>
                <w:szCs w:val="18"/>
              </w:rPr>
              <w:t xml:space="preserve"> the system will require a comment (free text or canned, “unit issue” context) and capture the transacti</w:t>
            </w:r>
            <w:r>
              <w:rPr>
                <w:rFonts w:ascii="Arial" w:hAnsi="Arial" w:cs="Arial"/>
                <w:sz w:val="18"/>
                <w:szCs w:val="18"/>
              </w:rPr>
              <w:t>on details for inclusion in an Exception R</w:t>
            </w:r>
            <w:r w:rsidRPr="005C5D59">
              <w:rPr>
                <w:rFonts w:ascii="Arial" w:hAnsi="Arial" w:cs="Arial"/>
                <w:sz w:val="18"/>
                <w:szCs w:val="18"/>
              </w:rPr>
              <w:t>eport</w:t>
            </w:r>
            <w:r>
              <w:rPr>
                <w:rFonts w:ascii="Arial" w:hAnsi="Arial" w:cs="Arial"/>
                <w:sz w:val="18"/>
                <w:szCs w:val="18"/>
              </w:rPr>
              <w:t xml:space="preserve"> entry</w:t>
            </w:r>
            <w:r w:rsidRPr="005C5D59">
              <w:rPr>
                <w:rFonts w:ascii="Arial" w:hAnsi="Arial" w:cs="Arial"/>
                <w:sz w:val="18"/>
                <w:szCs w:val="18"/>
              </w:rPr>
              <w:t xml:space="preserve">: </w:t>
            </w:r>
            <w:r w:rsidRPr="005C5D59">
              <w:rPr>
                <w:rFonts w:ascii="Arial" w:hAnsi="Arial" w:cs="Arial"/>
                <w:i/>
                <w:sz w:val="18"/>
                <w:szCs w:val="18"/>
              </w:rPr>
              <w:t>Unit issued with unsatisfied Transfusion Requirement</w:t>
            </w:r>
            <w:r w:rsidRPr="005C5D59">
              <w:rPr>
                <w:rFonts w:ascii="Arial" w:hAnsi="Arial" w:cs="Arial"/>
                <w:sz w:val="18"/>
                <w:szCs w:val="18"/>
              </w:rPr>
              <w:t xml:space="preserve"> </w:t>
            </w:r>
            <w:r w:rsidR="005C48D9">
              <w:rPr>
                <w:rFonts w:ascii="Arial" w:hAnsi="Arial" w:cs="Arial"/>
                <w:sz w:val="18"/>
                <w:szCs w:val="18"/>
              </w:rPr>
              <w:t>.</w:t>
            </w:r>
          </w:p>
        </w:tc>
      </w:tr>
    </w:tbl>
    <w:p w:rsidR="009125FD" w:rsidRDefault="009125FD" w:rsidP="009125FD"/>
    <w:p w:rsidR="00C15299" w:rsidRDefault="00DA0A28" w:rsidP="00C15299">
      <w:pPr>
        <w:pStyle w:val="Caption"/>
      </w:pPr>
      <w:r>
        <w:br w:type="page"/>
      </w:r>
      <w:bookmarkStart w:id="828" w:name="_Ref343502634"/>
      <w:r w:rsidR="00C15299">
        <w:lastRenderedPageBreak/>
        <w:t xml:space="preserve">Figure </w:t>
      </w:r>
      <w:r w:rsidR="00C15299">
        <w:fldChar w:fldCharType="begin"/>
      </w:r>
      <w:r w:rsidR="00C15299">
        <w:instrText xml:space="preserve"> SEQ Figure \* ARABIC </w:instrText>
      </w:r>
      <w:r w:rsidR="00C15299">
        <w:fldChar w:fldCharType="separate"/>
      </w:r>
      <w:r w:rsidR="005F38BC">
        <w:rPr>
          <w:noProof/>
        </w:rPr>
        <w:t>162</w:t>
      </w:r>
      <w:r w:rsidR="00C15299">
        <w:fldChar w:fldCharType="end"/>
      </w:r>
      <w:r w:rsidR="00C15299">
        <w:t>: CMV Negative Cellular Products* and Select Blood Unit</w:t>
      </w:r>
      <w:bookmarkEnd w:id="828"/>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843"/>
        <w:gridCol w:w="1469"/>
        <w:gridCol w:w="1260"/>
        <w:gridCol w:w="1620"/>
        <w:gridCol w:w="4050"/>
      </w:tblGrid>
      <w:tr w:rsidR="009125FD" w:rsidRPr="005C5D59" w:rsidTr="009125FD">
        <w:trPr>
          <w:cantSplit/>
          <w:trHeight w:val="305"/>
          <w:tblHeader/>
        </w:trPr>
        <w:tc>
          <w:tcPr>
            <w:tcW w:w="10242" w:type="dxa"/>
            <w:gridSpan w:val="5"/>
            <w:tcBorders>
              <w:top w:val="single" w:sz="4" w:space="0" w:color="000000"/>
              <w:left w:val="single" w:sz="4" w:space="0" w:color="000000"/>
              <w:right w:val="single" w:sz="4" w:space="0" w:color="000000"/>
            </w:tcBorders>
            <w:shd w:val="pct25" w:color="auto" w:fill="auto"/>
            <w:vAlign w:val="bottom"/>
            <w:hideMark/>
          </w:tcPr>
          <w:p w:rsidR="009125FD" w:rsidRPr="005C5D59" w:rsidRDefault="009125FD" w:rsidP="009125FD">
            <w:pPr>
              <w:rPr>
                <w:rFonts w:ascii="Arial" w:hAnsi="Arial" w:cs="Arial"/>
                <w:b/>
                <w:sz w:val="18"/>
                <w:szCs w:val="18"/>
              </w:rPr>
            </w:pPr>
            <w:r w:rsidRPr="005C5D59">
              <w:rPr>
                <w:rFonts w:ascii="Arial" w:hAnsi="Arial" w:cs="Arial"/>
                <w:b/>
                <w:sz w:val="18"/>
                <w:szCs w:val="18"/>
              </w:rPr>
              <w:t xml:space="preserve">Select Unit: </w:t>
            </w:r>
            <w:r>
              <w:rPr>
                <w:rFonts w:ascii="Arial" w:hAnsi="Arial" w:cs="Arial"/>
                <w:b/>
                <w:sz w:val="18"/>
                <w:szCs w:val="18"/>
              </w:rPr>
              <w:t xml:space="preserve"> CMV </w:t>
            </w:r>
            <w:r w:rsidRPr="00C22EDE">
              <w:rPr>
                <w:rFonts w:ascii="Arial" w:hAnsi="Arial" w:cs="Arial"/>
                <w:b/>
                <w:sz w:val="18"/>
                <w:szCs w:val="18"/>
              </w:rPr>
              <w:t>Negative Cellular Products</w:t>
            </w:r>
          </w:p>
        </w:tc>
      </w:tr>
      <w:tr w:rsidR="009125FD" w:rsidRPr="005C5D59" w:rsidTr="009125FD">
        <w:trPr>
          <w:cantSplit/>
          <w:trHeight w:val="432"/>
          <w:tblHeader/>
        </w:trPr>
        <w:tc>
          <w:tcPr>
            <w:tcW w:w="1843" w:type="dxa"/>
            <w:tcBorders>
              <w:left w:val="single" w:sz="4" w:space="0" w:color="000000"/>
              <w:bottom w:val="single" w:sz="4" w:space="0" w:color="000000"/>
              <w:right w:val="single" w:sz="4" w:space="0" w:color="000000"/>
            </w:tcBorders>
            <w:shd w:val="pct25" w:color="auto" w:fill="auto"/>
            <w:vAlign w:val="bottom"/>
            <w:hideMark/>
          </w:tcPr>
          <w:p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469" w:type="dxa"/>
            <w:tcBorders>
              <w:left w:val="single" w:sz="4" w:space="0" w:color="000000"/>
              <w:bottom w:val="single" w:sz="4" w:space="0" w:color="000000"/>
              <w:right w:val="single" w:sz="4" w:space="0" w:color="000000"/>
            </w:tcBorders>
            <w:shd w:val="pct25" w:color="auto" w:fill="auto"/>
            <w:vAlign w:val="bottom"/>
            <w:hideMark/>
          </w:tcPr>
          <w:p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rsidR="009125FD" w:rsidRPr="005C5D59" w:rsidRDefault="009125FD" w:rsidP="009125FD">
            <w:pPr>
              <w:jc w:val="cente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rsidR="009125FD" w:rsidRPr="005C5D59" w:rsidRDefault="009125FD" w:rsidP="009125FD">
            <w:pPr>
              <w:jc w:val="center"/>
              <w:rPr>
                <w:rFonts w:ascii="Arial" w:hAnsi="Arial" w:cs="Arial"/>
                <w:b/>
                <w:sz w:val="18"/>
                <w:szCs w:val="18"/>
              </w:rPr>
            </w:pPr>
            <w:r w:rsidRPr="005C5D59">
              <w:rPr>
                <w:rFonts w:ascii="Arial" w:hAnsi="Arial" w:cs="Arial"/>
                <w:b/>
                <w:sz w:val="18"/>
                <w:szCs w:val="18"/>
              </w:rPr>
              <w:t>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rsidR="009125FD" w:rsidRPr="005C5D59" w:rsidRDefault="009125FD" w:rsidP="009125FD">
            <w:pPr>
              <w:jc w:val="center"/>
              <w:rPr>
                <w:rFonts w:ascii="Arial" w:hAnsi="Arial" w:cs="Arial"/>
                <w:b/>
                <w:sz w:val="18"/>
                <w:szCs w:val="18"/>
              </w:rPr>
            </w:pPr>
            <w:r>
              <w:rPr>
                <w:rFonts w:ascii="Arial" w:hAnsi="Arial" w:cs="Arial"/>
                <w:b/>
                <w:sz w:val="18"/>
                <w:szCs w:val="18"/>
              </w:rPr>
              <w:t xml:space="preserve">VBECS </w:t>
            </w:r>
            <w:r w:rsidRPr="005C5D59">
              <w:rPr>
                <w:rFonts w:ascii="Arial" w:hAnsi="Arial" w:cs="Arial"/>
                <w:b/>
                <w:sz w:val="18"/>
                <w:szCs w:val="18"/>
              </w:rPr>
              <w:t>Response</w:t>
            </w:r>
          </w:p>
        </w:tc>
      </w:tr>
      <w:tr w:rsidR="009125FD" w:rsidRPr="005C5D59" w:rsidTr="009125FD">
        <w:trPr>
          <w:cantSplit/>
          <w:trHeight w:val="284"/>
        </w:trPr>
        <w:tc>
          <w:tcPr>
            <w:tcW w:w="1843" w:type="dxa"/>
            <w:vMerge w:val="restart"/>
            <w:tcBorders>
              <w:top w:val="single" w:sz="4" w:space="0" w:color="000000"/>
              <w:left w:val="single" w:sz="4" w:space="0" w:color="000000"/>
              <w:right w:val="single" w:sz="4" w:space="0" w:color="000000"/>
            </w:tcBorders>
            <w:vAlign w:val="center"/>
            <w:hideMark/>
          </w:tcPr>
          <w:p w:rsidR="009125FD" w:rsidRPr="00B62010" w:rsidRDefault="009125FD" w:rsidP="009125FD">
            <w:pPr>
              <w:jc w:val="center"/>
              <w:rPr>
                <w:rFonts w:ascii="Arial" w:hAnsi="Arial" w:cs="Arial"/>
                <w:b/>
                <w:sz w:val="20"/>
                <w:szCs w:val="20"/>
              </w:rPr>
            </w:pPr>
            <w:r w:rsidRPr="00A92752">
              <w:rPr>
                <w:rFonts w:ascii="Arial" w:hAnsi="Arial" w:cs="Arial"/>
                <w:b/>
                <w:sz w:val="28"/>
                <w:szCs w:val="28"/>
              </w:rPr>
              <w:t>CMV negative cellular products</w:t>
            </w:r>
            <w:r w:rsidRPr="00B62010">
              <w:rPr>
                <w:rFonts w:ascii="Arial" w:hAnsi="Arial" w:cs="Arial"/>
                <w:b/>
                <w:sz w:val="20"/>
                <w:szCs w:val="20"/>
              </w:rPr>
              <w:t xml:space="preserve">*  </w:t>
            </w:r>
          </w:p>
        </w:tc>
        <w:tc>
          <w:tcPr>
            <w:tcW w:w="1469" w:type="dxa"/>
            <w:tcBorders>
              <w:top w:val="single" w:sz="4" w:space="0" w:color="000000"/>
              <w:left w:val="single" w:sz="4" w:space="0" w:color="000000"/>
              <w:right w:val="single" w:sz="4" w:space="0" w:color="000000"/>
            </w:tcBorders>
            <w:shd w:val="pct10" w:color="auto" w:fill="auto"/>
            <w:vAlign w:val="center"/>
            <w:hideMark/>
          </w:tcPr>
          <w:p w:rsidR="009125FD" w:rsidRDefault="009125FD" w:rsidP="009125FD">
            <w:pPr>
              <w:spacing w:after="120"/>
              <w:jc w:val="center"/>
              <w:rPr>
                <w:rFonts w:ascii="Arial" w:hAnsi="Arial" w:cs="Arial"/>
                <w:sz w:val="18"/>
                <w:szCs w:val="18"/>
              </w:rPr>
            </w:pPr>
            <w:r w:rsidRPr="005C5D59">
              <w:rPr>
                <w:rFonts w:ascii="Arial" w:hAnsi="Arial" w:cs="Arial"/>
                <w:sz w:val="18"/>
                <w:szCs w:val="18"/>
              </w:rPr>
              <w:t xml:space="preserve">RED BLOOD CELLS </w:t>
            </w:r>
          </w:p>
          <w:p w:rsidR="009125FD" w:rsidRDefault="009125FD" w:rsidP="009125FD">
            <w:pPr>
              <w:spacing w:after="120"/>
              <w:jc w:val="center"/>
              <w:rPr>
                <w:rFonts w:ascii="Arial" w:hAnsi="Arial" w:cs="Arial"/>
                <w:sz w:val="18"/>
                <w:szCs w:val="18"/>
              </w:rPr>
            </w:pPr>
            <w:r w:rsidRPr="005C5D59">
              <w:rPr>
                <w:rFonts w:ascii="Arial" w:hAnsi="Arial" w:cs="Arial"/>
                <w:sz w:val="18"/>
                <w:szCs w:val="18"/>
              </w:rPr>
              <w:t xml:space="preserve">  WHOLE BLOOD</w:t>
            </w:r>
          </w:p>
          <w:p w:rsidR="009125FD" w:rsidRDefault="009125FD" w:rsidP="009125FD">
            <w:pPr>
              <w:spacing w:after="120"/>
              <w:jc w:val="center"/>
              <w:rPr>
                <w:rFonts w:ascii="Arial" w:hAnsi="Arial" w:cs="Arial"/>
                <w:sz w:val="18"/>
                <w:szCs w:val="18"/>
              </w:rPr>
            </w:pPr>
            <w:r w:rsidRPr="005C5D59">
              <w:rPr>
                <w:rFonts w:ascii="Arial" w:hAnsi="Arial" w:cs="Arial"/>
                <w:sz w:val="18"/>
                <w:szCs w:val="18"/>
              </w:rPr>
              <w:t xml:space="preserve"> PLATELETS</w:t>
            </w:r>
          </w:p>
          <w:p w:rsidR="009125FD" w:rsidRPr="005C5D59" w:rsidRDefault="009125FD" w:rsidP="009125FD">
            <w:pPr>
              <w:spacing w:after="120"/>
              <w:jc w:val="center"/>
              <w:rPr>
                <w:rFonts w:ascii="Arial" w:hAnsi="Arial" w:cs="Arial"/>
                <w:sz w:val="18"/>
                <w:szCs w:val="18"/>
              </w:rPr>
            </w:pPr>
            <w:r w:rsidRPr="005C5D59">
              <w:rPr>
                <w:rFonts w:ascii="Arial" w:hAnsi="Arial" w:cs="Arial"/>
                <w:color w:val="000000"/>
                <w:sz w:val="18"/>
                <w:szCs w:val="18"/>
              </w:rPr>
              <w:t>OTHER</w:t>
            </w:r>
          </w:p>
        </w:tc>
        <w:tc>
          <w:tcPr>
            <w:tcW w:w="1260" w:type="dxa"/>
            <w:tcBorders>
              <w:top w:val="single" w:sz="4" w:space="0" w:color="000000"/>
              <w:left w:val="single" w:sz="4" w:space="0" w:color="000000"/>
              <w:right w:val="single" w:sz="4" w:space="0" w:color="000000"/>
            </w:tcBorders>
            <w:shd w:val="pct10" w:color="auto" w:fill="auto"/>
            <w:vAlign w:val="center"/>
            <w:hideMark/>
          </w:tcPr>
          <w:p w:rsidR="009125FD" w:rsidRPr="00F80646" w:rsidRDefault="009125FD" w:rsidP="009125FD">
            <w:pPr>
              <w:jc w:val="center"/>
              <w:rPr>
                <w:rFonts w:ascii="Arial" w:hAnsi="Arial" w:cs="Arial"/>
                <w:b/>
                <w:sz w:val="18"/>
                <w:szCs w:val="18"/>
              </w:rPr>
            </w:pPr>
            <w:r w:rsidRPr="008E2609">
              <w:rPr>
                <w:rFonts w:ascii="Arial" w:hAnsi="Arial" w:cs="Arial"/>
                <w:sz w:val="18"/>
                <w:szCs w:val="18"/>
              </w:rPr>
              <w:t>CMV Negative</w:t>
            </w:r>
            <w:r>
              <w:rPr>
                <w:rFonts w:ascii="Arial" w:hAnsi="Arial" w:cs="Arial"/>
                <w:b/>
                <w:sz w:val="18"/>
                <w:szCs w:val="18"/>
              </w:rPr>
              <w:t>*</w:t>
            </w:r>
          </w:p>
        </w:tc>
        <w:tc>
          <w:tcPr>
            <w:tcW w:w="1620" w:type="dxa"/>
            <w:tcBorders>
              <w:top w:val="single" w:sz="4" w:space="0" w:color="000000"/>
              <w:left w:val="single" w:sz="4" w:space="0" w:color="000000"/>
              <w:right w:val="single" w:sz="4" w:space="0" w:color="000000"/>
            </w:tcBorders>
            <w:shd w:val="pct10" w:color="auto" w:fill="auto"/>
            <w:vAlign w:val="center"/>
            <w:hideMark/>
          </w:tcPr>
          <w:p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rsidTr="009125FD">
        <w:trPr>
          <w:cantSplit/>
          <w:trHeight w:val="576"/>
        </w:trPr>
        <w:tc>
          <w:tcPr>
            <w:tcW w:w="1843" w:type="dxa"/>
            <w:vMerge/>
            <w:tcBorders>
              <w:left w:val="single" w:sz="4" w:space="0" w:color="000000"/>
              <w:right w:val="single" w:sz="4" w:space="0" w:color="000000"/>
            </w:tcBorders>
            <w:vAlign w:val="bottom"/>
          </w:tcPr>
          <w:p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rsidR="009125FD" w:rsidRDefault="009125FD" w:rsidP="009125FD">
            <w:pPr>
              <w:rPr>
                <w:rFonts w:ascii="Arial" w:hAnsi="Arial" w:cs="Arial"/>
                <w:sz w:val="18"/>
                <w:szCs w:val="18"/>
              </w:rPr>
            </w:pPr>
            <w:r w:rsidRPr="005C5D59">
              <w:rPr>
                <w:rFonts w:ascii="Arial" w:hAnsi="Arial" w:cs="Arial"/>
                <w:sz w:val="18"/>
                <w:szCs w:val="18"/>
              </w:rPr>
              <w:t>RED BLOOD CELLS</w:t>
            </w:r>
          </w:p>
          <w:p w:rsidR="009125FD" w:rsidRDefault="009125FD" w:rsidP="009125FD">
            <w:pPr>
              <w:rPr>
                <w:rFonts w:ascii="Arial" w:hAnsi="Arial" w:cs="Arial"/>
                <w:sz w:val="18"/>
                <w:szCs w:val="18"/>
              </w:rPr>
            </w:pPr>
          </w:p>
          <w:p w:rsidR="009125FD" w:rsidRDefault="009125FD" w:rsidP="009125FD">
            <w:pPr>
              <w:rPr>
                <w:rFonts w:ascii="Arial" w:hAnsi="Arial" w:cs="Arial"/>
                <w:sz w:val="18"/>
                <w:szCs w:val="18"/>
              </w:rPr>
            </w:pPr>
            <w:r w:rsidRPr="005C5D59">
              <w:rPr>
                <w:rFonts w:ascii="Arial" w:hAnsi="Arial" w:cs="Arial"/>
                <w:sz w:val="18"/>
                <w:szCs w:val="18"/>
              </w:rPr>
              <w:t>WHOLE BLOOD</w:t>
            </w:r>
          </w:p>
          <w:p w:rsidR="009125FD" w:rsidRDefault="009125FD" w:rsidP="009125FD">
            <w:pPr>
              <w:rPr>
                <w:rFonts w:ascii="Arial" w:hAnsi="Arial" w:cs="Arial"/>
                <w:sz w:val="18"/>
                <w:szCs w:val="18"/>
              </w:rPr>
            </w:pPr>
          </w:p>
          <w:p w:rsidR="009125FD" w:rsidRDefault="009125FD" w:rsidP="009125FD">
            <w:pPr>
              <w:rPr>
                <w:rFonts w:ascii="Arial" w:hAnsi="Arial" w:cs="Arial"/>
                <w:sz w:val="18"/>
                <w:szCs w:val="18"/>
              </w:rPr>
            </w:pPr>
            <w:r w:rsidRPr="005C5D59">
              <w:rPr>
                <w:rFonts w:ascii="Arial" w:hAnsi="Arial" w:cs="Arial"/>
                <w:sz w:val="18"/>
                <w:szCs w:val="18"/>
              </w:rPr>
              <w:t>PLATELETS</w:t>
            </w:r>
          </w:p>
          <w:p w:rsidR="009125FD" w:rsidRDefault="009125FD" w:rsidP="009125FD">
            <w:pPr>
              <w:rPr>
                <w:rFonts w:ascii="Arial" w:hAnsi="Arial" w:cs="Arial"/>
                <w:color w:val="000000"/>
                <w:sz w:val="18"/>
                <w:szCs w:val="18"/>
              </w:rPr>
            </w:pPr>
            <w:r w:rsidRPr="005C5D59">
              <w:rPr>
                <w:rFonts w:ascii="Arial" w:hAnsi="Arial" w:cs="Arial"/>
                <w:color w:val="000000"/>
                <w:sz w:val="18"/>
                <w:szCs w:val="18"/>
              </w:rPr>
              <w:t xml:space="preserve"> </w:t>
            </w:r>
          </w:p>
          <w:p w:rsidR="009125FD" w:rsidRPr="005C5D59" w:rsidRDefault="009125FD" w:rsidP="009125FD">
            <w:pPr>
              <w:rPr>
                <w:rFonts w:ascii="Arial" w:hAnsi="Arial" w:cs="Arial"/>
                <w:sz w:val="18"/>
                <w:szCs w:val="18"/>
              </w:rPr>
            </w:pPr>
            <w:r w:rsidRPr="005C5D59">
              <w:rPr>
                <w:rFonts w:ascii="Arial" w:hAnsi="Arial" w:cs="Arial"/>
                <w:color w:val="000000"/>
                <w:sz w:val="18"/>
                <w:szCs w:val="18"/>
              </w:rPr>
              <w:t>OTHER</w:t>
            </w:r>
            <w:r>
              <w:rPr>
                <w:rFonts w:ascii="Arial" w:hAnsi="Arial" w:cs="Arial"/>
                <w:color w:val="000000"/>
                <w:sz w:val="18"/>
                <w:szCs w:val="18"/>
              </w:rPr>
              <w:t>*</w:t>
            </w:r>
          </w:p>
        </w:tc>
        <w:tc>
          <w:tcPr>
            <w:tcW w:w="1260" w:type="dxa"/>
            <w:tcBorders>
              <w:top w:val="single" w:sz="4" w:space="0" w:color="000000"/>
              <w:left w:val="single" w:sz="4" w:space="0" w:color="000000"/>
              <w:bottom w:val="single" w:sz="4" w:space="0" w:color="000000"/>
              <w:right w:val="single" w:sz="4" w:space="0" w:color="000000"/>
            </w:tcBorders>
            <w:vAlign w:val="center"/>
          </w:tcPr>
          <w:p w:rsidR="009125FD" w:rsidRDefault="009125FD" w:rsidP="009125FD">
            <w:pPr>
              <w:jc w:val="center"/>
              <w:rPr>
                <w:rFonts w:ascii="Arial" w:hAnsi="Arial" w:cs="Arial"/>
                <w:b/>
                <w:color w:val="FF0000"/>
                <w:sz w:val="18"/>
                <w:szCs w:val="18"/>
              </w:rPr>
            </w:pPr>
            <w:r>
              <w:rPr>
                <w:rFonts w:ascii="Arial" w:hAnsi="Arial" w:cs="Arial"/>
                <w:b/>
                <w:color w:val="FF0000"/>
                <w:sz w:val="18"/>
                <w:szCs w:val="18"/>
              </w:rPr>
              <w:t xml:space="preserve">Not </w:t>
            </w:r>
          </w:p>
          <w:p w:rsidR="009125FD" w:rsidRPr="00871BF2" w:rsidRDefault="009125FD" w:rsidP="009125FD">
            <w:pPr>
              <w:jc w:val="center"/>
              <w:rPr>
                <w:rFonts w:ascii="Arial" w:hAnsi="Arial" w:cs="Arial"/>
                <w:b/>
                <w:color w:val="FF0000"/>
                <w:sz w:val="18"/>
                <w:szCs w:val="18"/>
              </w:rPr>
            </w:pPr>
            <w:r>
              <w:rPr>
                <w:rFonts w:ascii="Arial" w:hAnsi="Arial" w:cs="Arial"/>
                <w:b/>
                <w:color w:val="FF0000"/>
                <w:sz w:val="18"/>
                <w:szCs w:val="18"/>
              </w:rPr>
              <w:t>CMV negative</w:t>
            </w:r>
          </w:p>
        </w:tc>
        <w:tc>
          <w:tcPr>
            <w:tcW w:w="1620" w:type="dxa"/>
            <w:tcBorders>
              <w:top w:val="single" w:sz="4" w:space="0" w:color="000000"/>
              <w:left w:val="single" w:sz="4" w:space="0" w:color="000000"/>
              <w:bottom w:val="single" w:sz="4" w:space="0" w:color="000000"/>
              <w:right w:val="single" w:sz="4" w:space="0" w:color="000000"/>
            </w:tcBorders>
            <w:vAlign w:val="center"/>
          </w:tcPr>
          <w:p w:rsidR="009125FD" w:rsidRPr="00FB56F0" w:rsidRDefault="009125FD" w:rsidP="009125FD">
            <w:pPr>
              <w:rPr>
                <w:rFonts w:ascii="Arial" w:hAnsi="Arial" w:cs="Arial"/>
                <w:sz w:val="18"/>
                <w:szCs w:val="18"/>
              </w:rPr>
            </w:pPr>
            <w:r w:rsidRPr="00FB56F0">
              <w:rPr>
                <w:rFonts w:ascii="Arial" w:hAnsi="Arial" w:cs="Arial"/>
                <w:noProof/>
                <w:sz w:val="18"/>
                <w:szCs w:val="18"/>
              </w:rPr>
              <w:t>Technologist</w:t>
            </w:r>
          </w:p>
          <w:p w:rsidR="009125FD" w:rsidRPr="00836EE2" w:rsidRDefault="009125FD" w:rsidP="009125FD">
            <w:pPr>
              <w:ind w:left="36"/>
              <w:rPr>
                <w:rFonts w:ascii="Arial" w:hAnsi="Arial" w:cs="Arial"/>
                <w:sz w:val="18"/>
                <w:szCs w:val="18"/>
              </w:rPr>
            </w:pPr>
          </w:p>
          <w:p w:rsidR="009125FD" w:rsidRPr="005C5D59" w:rsidRDefault="009125FD" w:rsidP="009125FD">
            <w:pPr>
              <w:rPr>
                <w:rFonts w:ascii="Arial" w:hAnsi="Arial" w:cs="Arial"/>
                <w:sz w:val="18"/>
                <w:szCs w:val="18"/>
              </w:rPr>
            </w:pPr>
            <w:r w:rsidRPr="00FB56F0">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tcPr>
          <w:p w:rsidR="009125FD" w:rsidRPr="007F3B3C" w:rsidRDefault="009125FD" w:rsidP="009125FD">
            <w:pPr>
              <w:pStyle w:val="TableText"/>
              <w:spacing w:before="120"/>
              <w:rPr>
                <w:rStyle w:val="StyleTableText9ptCharChar"/>
                <w:rFonts w:cs="Arial"/>
                <w:i/>
              </w:rPr>
            </w:pPr>
            <w:r w:rsidRPr="005C5D59">
              <w:rPr>
                <w:rStyle w:val="StyleTableText9ptCharChar"/>
                <w:rFonts w:cs="Arial"/>
              </w:rPr>
              <w:t>The Transfusi</w:t>
            </w:r>
            <w:r>
              <w:rPr>
                <w:rStyle w:val="StyleTableText9ptCharChar"/>
                <w:rFonts w:cs="Arial"/>
              </w:rPr>
              <w:t>on Requirement is not satisfied;</w:t>
            </w:r>
            <w:r w:rsidRPr="005C5D59">
              <w:rPr>
                <w:rStyle w:val="StyleTableText9ptCharChar"/>
                <w:rFonts w:cs="Arial"/>
              </w:rPr>
              <w:t xml:space="preserve"> the system emits an audible alert and displays a warning message: </w:t>
            </w:r>
            <w:r w:rsidRPr="007F3B3C">
              <w:rPr>
                <w:rStyle w:val="StyleTableText9ptCharChar"/>
                <w:rFonts w:cs="Arial"/>
                <w:i/>
              </w:rPr>
              <w:t>This unit does not currently satisfy all of the patient’s Transfusion Requirements. Further processing is needed. Continue to select this unit?</w:t>
            </w:r>
          </w:p>
          <w:p w:rsidR="009125FD" w:rsidRPr="005C5D59" w:rsidRDefault="009125FD" w:rsidP="009125FD">
            <w:pPr>
              <w:pStyle w:val="TableText"/>
              <w:rPr>
                <w:rStyle w:val="StyleTableText9ptCharChar"/>
                <w:rFonts w:cs="Arial"/>
              </w:rPr>
            </w:pPr>
            <w:r w:rsidRPr="005C5D59">
              <w:rPr>
                <w:rStyle w:val="StyleTableText9ptCharChar"/>
                <w:rFonts w:cs="Arial"/>
              </w:rPr>
              <w:t>If</w:t>
            </w:r>
            <w:r>
              <w:rPr>
                <w:rStyle w:val="StyleTableText9ptCharChar"/>
                <w:rFonts w:cs="Arial"/>
              </w:rPr>
              <w:t xml:space="preserve"> the user clicks </w:t>
            </w:r>
            <w:r w:rsidRPr="005C5D59">
              <w:rPr>
                <w:rStyle w:val="StyleTableText9ptCharChar"/>
                <w:rFonts w:cs="Arial"/>
              </w:rPr>
              <w:t>“No,” the screen is cleared.</w:t>
            </w:r>
          </w:p>
          <w:p w:rsidR="009125FD" w:rsidRPr="005C5D59" w:rsidRDefault="009125FD" w:rsidP="009125FD">
            <w:pPr>
              <w:pStyle w:val="TableText"/>
              <w:rPr>
                <w:rFonts w:cs="Arial"/>
                <w:noProof/>
              </w:rPr>
            </w:pPr>
            <w:r w:rsidRPr="005C5D59">
              <w:rPr>
                <w:rStyle w:val="StyleTableText9ptCharChar"/>
                <w:rFonts w:cs="Arial"/>
              </w:rPr>
              <w:t xml:space="preserve">If </w:t>
            </w:r>
            <w:r>
              <w:rPr>
                <w:rStyle w:val="StyleTableText9ptCharChar"/>
                <w:rFonts w:cs="Arial"/>
              </w:rPr>
              <w:t>the user clicks “Yes,” selection can continue to select the unit.</w:t>
            </w:r>
          </w:p>
        </w:tc>
      </w:tr>
      <w:tr w:rsidR="009125FD" w:rsidRPr="005C5D59" w:rsidTr="009125FD">
        <w:trPr>
          <w:cantSplit/>
          <w:trHeight w:val="576"/>
        </w:trPr>
        <w:tc>
          <w:tcPr>
            <w:tcW w:w="1843" w:type="dxa"/>
            <w:vMerge/>
            <w:tcBorders>
              <w:left w:val="single" w:sz="4" w:space="0" w:color="000000"/>
              <w:right w:val="single" w:sz="4" w:space="0" w:color="000000"/>
            </w:tcBorders>
            <w:vAlign w:val="bottom"/>
          </w:tcPr>
          <w:p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rsidR="009125FD" w:rsidRDefault="009125FD" w:rsidP="009125FD">
            <w:pPr>
              <w:rPr>
                <w:rFonts w:ascii="Arial" w:hAnsi="Arial" w:cs="Arial"/>
                <w:sz w:val="18"/>
                <w:szCs w:val="18"/>
              </w:rPr>
            </w:pPr>
            <w:r w:rsidRPr="005C5D59">
              <w:rPr>
                <w:rFonts w:ascii="Arial" w:hAnsi="Arial" w:cs="Arial"/>
                <w:sz w:val="18"/>
                <w:szCs w:val="18"/>
              </w:rPr>
              <w:t>RED BLOOD CELLS</w:t>
            </w:r>
          </w:p>
          <w:p w:rsidR="009125FD" w:rsidRDefault="009125FD" w:rsidP="009125FD">
            <w:pPr>
              <w:rPr>
                <w:rFonts w:ascii="Arial" w:hAnsi="Arial" w:cs="Arial"/>
                <w:sz w:val="18"/>
                <w:szCs w:val="18"/>
              </w:rPr>
            </w:pPr>
          </w:p>
          <w:p w:rsidR="009125FD" w:rsidRDefault="009125FD" w:rsidP="009125FD">
            <w:pPr>
              <w:rPr>
                <w:rFonts w:ascii="Arial" w:hAnsi="Arial" w:cs="Arial"/>
                <w:sz w:val="18"/>
                <w:szCs w:val="18"/>
              </w:rPr>
            </w:pPr>
            <w:r w:rsidRPr="005C5D59">
              <w:rPr>
                <w:rFonts w:ascii="Arial" w:hAnsi="Arial" w:cs="Arial"/>
                <w:sz w:val="18"/>
                <w:szCs w:val="18"/>
              </w:rPr>
              <w:t>WHOLE BLOOD</w:t>
            </w:r>
          </w:p>
          <w:p w:rsidR="009125FD" w:rsidRDefault="009125FD" w:rsidP="009125FD">
            <w:pPr>
              <w:rPr>
                <w:rFonts w:ascii="Arial" w:hAnsi="Arial" w:cs="Arial"/>
                <w:sz w:val="18"/>
                <w:szCs w:val="18"/>
              </w:rPr>
            </w:pPr>
          </w:p>
          <w:p w:rsidR="009125FD" w:rsidRDefault="009125FD" w:rsidP="009125FD">
            <w:pPr>
              <w:rPr>
                <w:rFonts w:ascii="Arial" w:hAnsi="Arial" w:cs="Arial"/>
                <w:sz w:val="18"/>
                <w:szCs w:val="18"/>
              </w:rPr>
            </w:pPr>
            <w:r w:rsidRPr="005C5D59">
              <w:rPr>
                <w:rFonts w:ascii="Arial" w:hAnsi="Arial" w:cs="Arial"/>
                <w:sz w:val="18"/>
                <w:szCs w:val="18"/>
              </w:rPr>
              <w:t>PLATELETS</w:t>
            </w:r>
          </w:p>
          <w:p w:rsidR="009125FD" w:rsidRDefault="009125FD" w:rsidP="009125FD">
            <w:pPr>
              <w:rPr>
                <w:rFonts w:ascii="Arial" w:hAnsi="Arial" w:cs="Arial"/>
                <w:color w:val="000000"/>
                <w:sz w:val="18"/>
                <w:szCs w:val="18"/>
              </w:rPr>
            </w:pPr>
            <w:r w:rsidRPr="005C5D59">
              <w:rPr>
                <w:rFonts w:ascii="Arial" w:hAnsi="Arial" w:cs="Arial"/>
                <w:color w:val="000000"/>
                <w:sz w:val="18"/>
                <w:szCs w:val="18"/>
              </w:rPr>
              <w:t xml:space="preserve"> </w:t>
            </w:r>
          </w:p>
          <w:p w:rsidR="009125FD" w:rsidRPr="005C5D59" w:rsidRDefault="009125FD" w:rsidP="009125FD">
            <w:pPr>
              <w:rPr>
                <w:rFonts w:ascii="Arial" w:hAnsi="Arial" w:cs="Arial"/>
                <w:color w:val="000000"/>
                <w:sz w:val="18"/>
                <w:szCs w:val="18"/>
              </w:rPr>
            </w:pPr>
            <w:r w:rsidRPr="005C5D59">
              <w:rPr>
                <w:rFonts w:ascii="Arial" w:hAnsi="Arial" w:cs="Arial"/>
                <w:color w:val="000000"/>
                <w:sz w:val="18"/>
                <w:szCs w:val="18"/>
              </w:rPr>
              <w:t>OTHER</w:t>
            </w:r>
            <w:r>
              <w:rPr>
                <w:rFonts w:ascii="Arial" w:hAnsi="Arial" w:cs="Arial"/>
                <w:color w:val="000000"/>
                <w:sz w:val="18"/>
                <w:szCs w:val="18"/>
              </w:rPr>
              <w:t>*</w:t>
            </w:r>
          </w:p>
        </w:tc>
        <w:tc>
          <w:tcPr>
            <w:tcW w:w="1260" w:type="dxa"/>
            <w:tcBorders>
              <w:top w:val="single" w:sz="4" w:space="0" w:color="000000"/>
              <w:left w:val="single" w:sz="4" w:space="0" w:color="000000"/>
              <w:bottom w:val="single" w:sz="4" w:space="0" w:color="000000"/>
              <w:right w:val="single" w:sz="4" w:space="0" w:color="000000"/>
            </w:tcBorders>
            <w:vAlign w:val="center"/>
          </w:tcPr>
          <w:p w:rsidR="009125FD" w:rsidRDefault="009125FD" w:rsidP="009125FD">
            <w:pPr>
              <w:jc w:val="center"/>
              <w:rPr>
                <w:rFonts w:ascii="Arial" w:hAnsi="Arial" w:cs="Arial"/>
                <w:b/>
                <w:color w:val="FF0000"/>
                <w:sz w:val="18"/>
                <w:szCs w:val="18"/>
              </w:rPr>
            </w:pPr>
            <w:r>
              <w:rPr>
                <w:rFonts w:ascii="Arial" w:hAnsi="Arial" w:cs="Arial"/>
                <w:b/>
                <w:color w:val="FF0000"/>
                <w:sz w:val="18"/>
                <w:szCs w:val="18"/>
              </w:rPr>
              <w:t xml:space="preserve">Not </w:t>
            </w:r>
          </w:p>
          <w:p w:rsidR="009125FD" w:rsidRDefault="009125FD" w:rsidP="009125FD">
            <w:pPr>
              <w:jc w:val="center"/>
              <w:rPr>
                <w:rFonts w:ascii="Arial" w:hAnsi="Arial" w:cs="Arial"/>
                <w:b/>
                <w:color w:val="FF0000"/>
                <w:sz w:val="18"/>
                <w:szCs w:val="18"/>
              </w:rPr>
            </w:pPr>
            <w:r>
              <w:rPr>
                <w:rFonts w:ascii="Arial" w:hAnsi="Arial" w:cs="Arial"/>
                <w:b/>
                <w:color w:val="FF0000"/>
                <w:sz w:val="18"/>
                <w:szCs w:val="18"/>
              </w:rPr>
              <w:t>CMV negative</w:t>
            </w:r>
          </w:p>
        </w:tc>
        <w:tc>
          <w:tcPr>
            <w:tcW w:w="1620" w:type="dxa"/>
            <w:tcBorders>
              <w:top w:val="single" w:sz="4" w:space="0" w:color="000000"/>
              <w:left w:val="single" w:sz="4" w:space="0" w:color="000000"/>
              <w:bottom w:val="single" w:sz="4" w:space="0" w:color="000000"/>
              <w:right w:val="single" w:sz="4" w:space="0" w:color="000000"/>
            </w:tcBorders>
            <w:vAlign w:val="center"/>
          </w:tcPr>
          <w:p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Lead Technologist</w:t>
            </w:r>
          </w:p>
          <w:p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Traditional Supervisor</w:t>
            </w:r>
          </w:p>
          <w:p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Enhanced Supervisor</w:t>
            </w:r>
          </w:p>
          <w:p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Administrator/Supervisor</w:t>
            </w:r>
          </w:p>
          <w:p w:rsidR="009125FD" w:rsidRPr="008B278A" w:rsidRDefault="009125FD" w:rsidP="009125FD">
            <w:pPr>
              <w:ind w:left="198" w:hanging="162"/>
              <w:rPr>
                <w:rFonts w:ascii="Arial" w:hAnsi="Arial" w:cs="Arial"/>
                <w:sz w:val="18"/>
                <w:szCs w:val="18"/>
              </w:rPr>
            </w:pPr>
          </w:p>
        </w:tc>
        <w:tc>
          <w:tcPr>
            <w:tcW w:w="4050" w:type="dxa"/>
            <w:tcBorders>
              <w:left w:val="single" w:sz="4" w:space="0" w:color="000000"/>
              <w:bottom w:val="single" w:sz="4" w:space="0" w:color="000000"/>
              <w:right w:val="single" w:sz="4" w:space="0" w:color="000000"/>
            </w:tcBorders>
            <w:vAlign w:val="bottom"/>
          </w:tcPr>
          <w:p w:rsidR="009125FD" w:rsidRPr="005C5D59"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 xml:space="preserve">Patient’s </w:t>
            </w:r>
            <w:r>
              <w:rPr>
                <w:rFonts w:ascii="Arial" w:hAnsi="Arial" w:cs="Arial"/>
                <w:i/>
                <w:sz w:val="18"/>
                <w:szCs w:val="18"/>
              </w:rPr>
              <w:t>CMV Negative cellular products</w:t>
            </w:r>
            <w:r w:rsidRPr="00836EE2">
              <w:rPr>
                <w:rFonts w:ascii="Arial" w:hAnsi="Arial" w:cs="Arial"/>
                <w:i/>
                <w:sz w:val="18"/>
                <w:szCs w:val="18"/>
              </w:rPr>
              <w:t xml:space="preserve"> Transfusion Requirement is not satisfied</w:t>
            </w:r>
            <w:r w:rsidRPr="005C5D59">
              <w:rPr>
                <w:rFonts w:ascii="Arial" w:hAnsi="Arial" w:cs="Arial"/>
                <w:sz w:val="18"/>
                <w:szCs w:val="18"/>
              </w:rPr>
              <w:t xml:space="preserve"> and prompts the user whether to proceed. </w:t>
            </w:r>
          </w:p>
          <w:p w:rsidR="009125FD" w:rsidRPr="005C5D59" w:rsidRDefault="009125FD" w:rsidP="009125FD">
            <w:pPr>
              <w:rPr>
                <w:rFonts w:ascii="Arial" w:hAnsi="Arial" w:cs="Arial"/>
                <w:sz w:val="18"/>
                <w:szCs w:val="18"/>
              </w:rPr>
            </w:pPr>
            <w:r w:rsidRPr="005C5D59">
              <w:rPr>
                <w:rFonts w:ascii="Arial" w:hAnsi="Arial" w:cs="Arial"/>
                <w:sz w:val="18"/>
                <w:szCs w:val="18"/>
              </w:rPr>
              <w:t>If the user responds “No”</w:t>
            </w:r>
            <w:r>
              <w:rPr>
                <w:rFonts w:ascii="Arial" w:hAnsi="Arial" w:cs="Arial"/>
                <w:sz w:val="18"/>
                <w:szCs w:val="18"/>
              </w:rPr>
              <w:t>,</w:t>
            </w:r>
            <w:r w:rsidRPr="005C5D59">
              <w:rPr>
                <w:rFonts w:ascii="Arial" w:hAnsi="Arial" w:cs="Arial"/>
                <w:sz w:val="18"/>
                <w:szCs w:val="18"/>
              </w:rPr>
              <w:t xml:space="preserve"> the system wi</w:t>
            </w:r>
            <w:r>
              <w:rPr>
                <w:rFonts w:ascii="Arial" w:hAnsi="Arial" w:cs="Arial"/>
                <w:sz w:val="18"/>
                <w:szCs w:val="18"/>
              </w:rPr>
              <w:t>ll clear the selected unit.</w:t>
            </w:r>
          </w:p>
          <w:p w:rsidR="009125FD" w:rsidRPr="005C5D59" w:rsidRDefault="009125FD" w:rsidP="009125FD">
            <w:pPr>
              <w:rPr>
                <w:rFonts w:ascii="Arial" w:hAnsi="Arial" w:cs="Arial"/>
                <w:sz w:val="18"/>
                <w:szCs w:val="18"/>
              </w:rPr>
            </w:pPr>
            <w:r w:rsidRPr="005C5D59">
              <w:rPr>
                <w:rFonts w:ascii="Arial" w:hAnsi="Arial" w:cs="Arial"/>
                <w:sz w:val="18"/>
                <w:szCs w:val="18"/>
              </w:rPr>
              <w:t>If the user responds “Yes”</w:t>
            </w:r>
            <w:r>
              <w:rPr>
                <w:rFonts w:ascii="Arial" w:hAnsi="Arial" w:cs="Arial"/>
                <w:sz w:val="18"/>
                <w:szCs w:val="18"/>
              </w:rPr>
              <w:t>,</w:t>
            </w:r>
            <w:r w:rsidRPr="005C5D59">
              <w:rPr>
                <w:rFonts w:ascii="Arial" w:hAnsi="Arial" w:cs="Arial"/>
                <w:sz w:val="18"/>
                <w:szCs w:val="18"/>
              </w:rPr>
              <w:t xml:space="preserve"> the system will require a comment (free text or canned, “unit issue” context) and capture the transacti</w:t>
            </w:r>
            <w:r>
              <w:rPr>
                <w:rFonts w:ascii="Arial" w:hAnsi="Arial" w:cs="Arial"/>
                <w:sz w:val="18"/>
                <w:szCs w:val="18"/>
              </w:rPr>
              <w:t>on details for inclusion  in an Exception R</w:t>
            </w:r>
            <w:r w:rsidRPr="005C5D59">
              <w:rPr>
                <w:rFonts w:ascii="Arial" w:hAnsi="Arial" w:cs="Arial"/>
                <w:sz w:val="18"/>
                <w:szCs w:val="18"/>
              </w:rPr>
              <w:t>eport</w:t>
            </w:r>
            <w:r>
              <w:rPr>
                <w:rFonts w:ascii="Arial" w:hAnsi="Arial" w:cs="Arial"/>
                <w:sz w:val="18"/>
                <w:szCs w:val="18"/>
              </w:rPr>
              <w:t xml:space="preserve"> entry</w:t>
            </w:r>
            <w:r w:rsidRPr="005C5D59">
              <w:rPr>
                <w:rFonts w:ascii="Arial" w:hAnsi="Arial" w:cs="Arial"/>
                <w:sz w:val="18"/>
                <w:szCs w:val="18"/>
              </w:rPr>
              <w:t xml:space="preserve">: </w:t>
            </w:r>
            <w:r w:rsidRPr="005C5D59">
              <w:rPr>
                <w:rFonts w:ascii="Arial" w:hAnsi="Arial" w:cs="Arial"/>
                <w:i/>
                <w:sz w:val="18"/>
                <w:szCs w:val="18"/>
              </w:rPr>
              <w:t>Unit issued with unsatisfied Transfusion Requirement</w:t>
            </w:r>
            <w:r w:rsidR="005C48D9">
              <w:rPr>
                <w:rFonts w:ascii="Arial" w:hAnsi="Arial" w:cs="Arial"/>
                <w:i/>
                <w:sz w:val="18"/>
                <w:szCs w:val="18"/>
              </w:rPr>
              <w:t>.</w:t>
            </w:r>
          </w:p>
        </w:tc>
      </w:tr>
    </w:tbl>
    <w:p w:rsidR="009125FD" w:rsidRPr="005C48D9" w:rsidRDefault="009125FD" w:rsidP="009125FD">
      <w:pPr>
        <w:ind w:left="36"/>
        <w:rPr>
          <w:sz w:val="22"/>
          <w:szCs w:val="22"/>
        </w:rPr>
      </w:pPr>
      <w:r w:rsidRPr="005C48D9">
        <w:rPr>
          <w:sz w:val="22"/>
          <w:szCs w:val="22"/>
        </w:rPr>
        <w:t>*VistA test results are not evaluated by VBECS.</w:t>
      </w:r>
      <w:r w:rsidRPr="005C48D9">
        <w:rPr>
          <w:color w:val="000000"/>
          <w:sz w:val="22"/>
          <w:szCs w:val="22"/>
        </w:rPr>
        <w:t xml:space="preserve"> CMV Negative status is recorded during receipt at Incoming Shipment or added to the unit record in Edit Unit Information.</w:t>
      </w:r>
      <w:r w:rsidRPr="005C48D9">
        <w:rPr>
          <w:sz w:val="22"/>
          <w:szCs w:val="22"/>
        </w:rPr>
        <w:t xml:space="preserve"> All product types in OTHER are evaluated for the requirement including those that are non-cellular.</w:t>
      </w:r>
    </w:p>
    <w:p w:rsidR="009125FD" w:rsidRDefault="009125FD" w:rsidP="009125FD"/>
    <w:p w:rsidR="00C15299" w:rsidRDefault="00DA0A28" w:rsidP="00BE14D5">
      <w:pPr>
        <w:pStyle w:val="Caption"/>
      </w:pPr>
      <w:r>
        <w:br w:type="page"/>
      </w:r>
      <w:bookmarkStart w:id="829" w:name="_Ref343502649"/>
      <w:r w:rsidR="00BE14D5">
        <w:lastRenderedPageBreak/>
        <w:t xml:space="preserve">Figure </w:t>
      </w:r>
      <w:r w:rsidR="00BE14D5">
        <w:fldChar w:fldCharType="begin"/>
      </w:r>
      <w:r w:rsidR="00BE14D5">
        <w:instrText xml:space="preserve"> SEQ Figure \* ARABIC </w:instrText>
      </w:r>
      <w:r w:rsidR="00BE14D5">
        <w:fldChar w:fldCharType="separate"/>
      </w:r>
      <w:r w:rsidR="005F38BC">
        <w:rPr>
          <w:noProof/>
        </w:rPr>
        <w:t>163</w:t>
      </w:r>
      <w:r w:rsidR="00BE14D5">
        <w:fldChar w:fldCharType="end"/>
      </w:r>
      <w:r w:rsidR="00BE14D5">
        <w:t>: CMV Negative Cellular Products* and Issue Blood Component</w:t>
      </w:r>
      <w:bookmarkEnd w:id="829"/>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843"/>
        <w:gridCol w:w="1469"/>
        <w:gridCol w:w="1260"/>
        <w:gridCol w:w="1620"/>
        <w:gridCol w:w="4050"/>
      </w:tblGrid>
      <w:tr w:rsidR="009125FD" w:rsidRPr="005C5D59" w:rsidTr="009125FD">
        <w:trPr>
          <w:cantSplit/>
          <w:trHeight w:val="432"/>
          <w:tblHeader/>
        </w:trPr>
        <w:tc>
          <w:tcPr>
            <w:tcW w:w="10242" w:type="dxa"/>
            <w:gridSpan w:val="5"/>
            <w:tcBorders>
              <w:left w:val="single" w:sz="4" w:space="0" w:color="000000"/>
              <w:bottom w:val="single" w:sz="4" w:space="0" w:color="000000"/>
              <w:right w:val="single" w:sz="4" w:space="0" w:color="000000"/>
            </w:tcBorders>
            <w:shd w:val="pct25" w:color="auto" w:fill="auto"/>
            <w:vAlign w:val="bottom"/>
          </w:tcPr>
          <w:p w:rsidR="009125FD" w:rsidRPr="005C5D59" w:rsidRDefault="009125FD" w:rsidP="009125FD">
            <w:pPr>
              <w:rPr>
                <w:rFonts w:ascii="Arial" w:hAnsi="Arial" w:cs="Arial"/>
                <w:b/>
                <w:sz w:val="18"/>
                <w:szCs w:val="18"/>
              </w:rPr>
            </w:pPr>
            <w:r w:rsidRPr="005C5D59">
              <w:rPr>
                <w:rFonts w:ascii="Arial" w:hAnsi="Arial" w:cs="Arial"/>
                <w:b/>
                <w:sz w:val="18"/>
                <w:szCs w:val="18"/>
              </w:rPr>
              <w:t xml:space="preserve">Issue Blood Component: </w:t>
            </w:r>
            <w:r>
              <w:rPr>
                <w:rFonts w:ascii="Arial" w:hAnsi="Arial" w:cs="Arial"/>
                <w:b/>
                <w:sz w:val="18"/>
                <w:szCs w:val="18"/>
              </w:rPr>
              <w:t>CMV Negative Cellular Products</w:t>
            </w:r>
          </w:p>
        </w:tc>
      </w:tr>
      <w:tr w:rsidR="009125FD" w:rsidRPr="005C5D59" w:rsidTr="009125FD">
        <w:trPr>
          <w:cantSplit/>
          <w:trHeight w:val="432"/>
          <w:tblHeader/>
        </w:trPr>
        <w:tc>
          <w:tcPr>
            <w:tcW w:w="1843" w:type="dxa"/>
            <w:tcBorders>
              <w:left w:val="single" w:sz="4" w:space="0" w:color="000000"/>
              <w:bottom w:val="single" w:sz="4" w:space="0" w:color="000000"/>
              <w:right w:val="single" w:sz="4" w:space="0" w:color="000000"/>
            </w:tcBorders>
            <w:shd w:val="pct25" w:color="auto" w:fill="auto"/>
            <w:vAlign w:val="bottom"/>
            <w:hideMark/>
          </w:tcPr>
          <w:p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469" w:type="dxa"/>
            <w:tcBorders>
              <w:left w:val="single" w:sz="4" w:space="0" w:color="000000"/>
              <w:bottom w:val="single" w:sz="4" w:space="0" w:color="000000"/>
              <w:right w:val="single" w:sz="4" w:space="0" w:color="000000"/>
            </w:tcBorders>
            <w:shd w:val="pct25" w:color="auto" w:fill="auto"/>
            <w:vAlign w:val="bottom"/>
            <w:hideMark/>
          </w:tcPr>
          <w:p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rsidR="009125FD" w:rsidRPr="005C5D59" w:rsidRDefault="009125FD" w:rsidP="009125FD">
            <w:pP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rsidR="009125FD" w:rsidRPr="005C5D59" w:rsidRDefault="009125FD" w:rsidP="009125FD">
            <w:pPr>
              <w:rPr>
                <w:rFonts w:ascii="Arial" w:hAnsi="Arial" w:cs="Arial"/>
                <w:b/>
                <w:sz w:val="18"/>
                <w:szCs w:val="18"/>
              </w:rPr>
            </w:pPr>
            <w:r w:rsidRPr="005C5D59">
              <w:rPr>
                <w:rFonts w:ascii="Arial" w:hAnsi="Arial" w:cs="Arial"/>
                <w:b/>
                <w:sz w:val="18"/>
                <w:szCs w:val="18"/>
              </w:rPr>
              <w:t>Selected 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rsidR="009125FD" w:rsidRPr="005C5D59" w:rsidRDefault="009125FD" w:rsidP="009125FD">
            <w:pPr>
              <w:rPr>
                <w:rFonts w:ascii="Arial" w:hAnsi="Arial" w:cs="Arial"/>
                <w:b/>
                <w:sz w:val="18"/>
                <w:szCs w:val="18"/>
              </w:rPr>
            </w:pPr>
            <w:r w:rsidRPr="005C5D59">
              <w:rPr>
                <w:rFonts w:ascii="Arial" w:hAnsi="Arial" w:cs="Arial"/>
                <w:b/>
                <w:sz w:val="18"/>
                <w:szCs w:val="18"/>
              </w:rPr>
              <w:t>Expected System Response</w:t>
            </w:r>
          </w:p>
        </w:tc>
      </w:tr>
      <w:tr w:rsidR="009125FD" w:rsidRPr="005C5D59" w:rsidTr="009125FD">
        <w:trPr>
          <w:cantSplit/>
          <w:trHeight w:val="284"/>
        </w:trPr>
        <w:tc>
          <w:tcPr>
            <w:tcW w:w="1843" w:type="dxa"/>
            <w:vMerge w:val="restart"/>
            <w:tcBorders>
              <w:top w:val="single" w:sz="4" w:space="0" w:color="000000"/>
              <w:left w:val="single" w:sz="4" w:space="0" w:color="000000"/>
              <w:right w:val="single" w:sz="4" w:space="0" w:color="000000"/>
            </w:tcBorders>
            <w:vAlign w:val="center"/>
            <w:hideMark/>
          </w:tcPr>
          <w:p w:rsidR="009125FD" w:rsidRPr="00A92752" w:rsidRDefault="009125FD" w:rsidP="009125FD">
            <w:pPr>
              <w:jc w:val="center"/>
              <w:rPr>
                <w:rFonts w:ascii="Arial" w:hAnsi="Arial" w:cs="Arial"/>
                <w:sz w:val="28"/>
                <w:szCs w:val="28"/>
              </w:rPr>
            </w:pPr>
            <w:r w:rsidRPr="00A92752">
              <w:rPr>
                <w:rFonts w:ascii="Arial" w:hAnsi="Arial" w:cs="Arial"/>
                <w:b/>
                <w:sz w:val="28"/>
                <w:szCs w:val="28"/>
              </w:rPr>
              <w:t xml:space="preserve">CMV negative cellular products*  </w:t>
            </w:r>
          </w:p>
        </w:tc>
        <w:tc>
          <w:tcPr>
            <w:tcW w:w="1469" w:type="dxa"/>
            <w:tcBorders>
              <w:top w:val="single" w:sz="4" w:space="0" w:color="000000"/>
              <w:left w:val="single" w:sz="4" w:space="0" w:color="000000"/>
              <w:right w:val="single" w:sz="4" w:space="0" w:color="000000"/>
            </w:tcBorders>
            <w:shd w:val="pct10" w:color="auto" w:fill="auto"/>
            <w:vAlign w:val="center"/>
            <w:hideMark/>
          </w:tcPr>
          <w:p w:rsidR="009125FD" w:rsidRDefault="009125FD" w:rsidP="009125FD">
            <w:pPr>
              <w:spacing w:after="120"/>
              <w:jc w:val="center"/>
              <w:rPr>
                <w:rFonts w:ascii="Arial" w:hAnsi="Arial" w:cs="Arial"/>
                <w:sz w:val="18"/>
                <w:szCs w:val="18"/>
              </w:rPr>
            </w:pPr>
            <w:r w:rsidRPr="005C5D59">
              <w:rPr>
                <w:rFonts w:ascii="Arial" w:hAnsi="Arial" w:cs="Arial"/>
                <w:sz w:val="18"/>
                <w:szCs w:val="18"/>
              </w:rPr>
              <w:t>RED BLOOD CELLS</w:t>
            </w:r>
          </w:p>
          <w:p w:rsidR="009125FD" w:rsidRDefault="009125FD" w:rsidP="009125FD">
            <w:pPr>
              <w:spacing w:after="120"/>
              <w:jc w:val="center"/>
              <w:rPr>
                <w:rFonts w:ascii="Arial" w:hAnsi="Arial" w:cs="Arial"/>
                <w:sz w:val="18"/>
                <w:szCs w:val="18"/>
              </w:rPr>
            </w:pPr>
            <w:r w:rsidRPr="005C5D59">
              <w:rPr>
                <w:rFonts w:ascii="Arial" w:hAnsi="Arial" w:cs="Arial"/>
                <w:sz w:val="18"/>
                <w:szCs w:val="18"/>
              </w:rPr>
              <w:t xml:space="preserve"> WHOLE BLOOD </w:t>
            </w:r>
          </w:p>
          <w:p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PLATELETS</w:t>
            </w:r>
          </w:p>
          <w:p w:rsidR="009125FD" w:rsidRPr="005C5D59" w:rsidRDefault="009125FD" w:rsidP="009125FD">
            <w:pPr>
              <w:spacing w:after="120"/>
              <w:jc w:val="center"/>
              <w:rPr>
                <w:rFonts w:ascii="Arial" w:hAnsi="Arial" w:cs="Arial"/>
                <w:sz w:val="18"/>
                <w:szCs w:val="18"/>
              </w:rPr>
            </w:pPr>
            <w:r w:rsidRPr="005C5D59">
              <w:rPr>
                <w:rFonts w:ascii="Arial" w:hAnsi="Arial" w:cs="Arial"/>
                <w:color w:val="000000"/>
                <w:sz w:val="18"/>
                <w:szCs w:val="18"/>
              </w:rPr>
              <w:t>OTHER</w:t>
            </w:r>
          </w:p>
        </w:tc>
        <w:tc>
          <w:tcPr>
            <w:tcW w:w="1260" w:type="dxa"/>
            <w:tcBorders>
              <w:top w:val="single" w:sz="4" w:space="0" w:color="000000"/>
              <w:left w:val="single" w:sz="4" w:space="0" w:color="000000"/>
              <w:right w:val="single" w:sz="4" w:space="0" w:color="000000"/>
            </w:tcBorders>
            <w:shd w:val="pct10" w:color="auto" w:fill="auto"/>
            <w:vAlign w:val="center"/>
            <w:hideMark/>
          </w:tcPr>
          <w:p w:rsidR="009125FD" w:rsidRPr="008E2609" w:rsidRDefault="009125FD" w:rsidP="009125FD">
            <w:pPr>
              <w:jc w:val="center"/>
              <w:rPr>
                <w:rFonts w:ascii="Arial" w:hAnsi="Arial" w:cs="Arial"/>
                <w:sz w:val="18"/>
                <w:szCs w:val="18"/>
              </w:rPr>
            </w:pPr>
            <w:r w:rsidRPr="008E2609">
              <w:rPr>
                <w:rFonts w:ascii="Arial" w:hAnsi="Arial" w:cs="Arial"/>
                <w:sz w:val="18"/>
                <w:szCs w:val="18"/>
              </w:rPr>
              <w:t>CMV Negative*</w:t>
            </w:r>
          </w:p>
        </w:tc>
        <w:tc>
          <w:tcPr>
            <w:tcW w:w="1620" w:type="dxa"/>
            <w:tcBorders>
              <w:top w:val="single" w:sz="4" w:space="0" w:color="000000"/>
              <w:left w:val="single" w:sz="4" w:space="0" w:color="000000"/>
              <w:right w:val="single" w:sz="4" w:space="0" w:color="000000"/>
            </w:tcBorders>
            <w:shd w:val="pct10" w:color="auto" w:fill="auto"/>
            <w:vAlign w:val="center"/>
            <w:hideMark/>
          </w:tcPr>
          <w:p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rsidTr="009125FD">
        <w:trPr>
          <w:cantSplit/>
          <w:trHeight w:val="1863"/>
        </w:trPr>
        <w:tc>
          <w:tcPr>
            <w:tcW w:w="1843" w:type="dxa"/>
            <w:vMerge/>
            <w:tcBorders>
              <w:left w:val="single" w:sz="4" w:space="0" w:color="000000"/>
              <w:right w:val="single" w:sz="4" w:space="0" w:color="000000"/>
            </w:tcBorders>
            <w:vAlign w:val="bottom"/>
          </w:tcPr>
          <w:p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right w:val="single" w:sz="4" w:space="0" w:color="000000"/>
            </w:tcBorders>
            <w:vAlign w:val="center"/>
          </w:tcPr>
          <w:p w:rsidR="009125FD" w:rsidRDefault="009125FD" w:rsidP="009125FD">
            <w:pPr>
              <w:jc w:val="center"/>
              <w:rPr>
                <w:rFonts w:ascii="Arial" w:hAnsi="Arial" w:cs="Arial"/>
                <w:sz w:val="18"/>
                <w:szCs w:val="18"/>
              </w:rPr>
            </w:pPr>
            <w:r w:rsidRPr="005C5D59">
              <w:rPr>
                <w:rFonts w:ascii="Arial" w:hAnsi="Arial" w:cs="Arial"/>
                <w:sz w:val="18"/>
                <w:szCs w:val="18"/>
              </w:rPr>
              <w:t>RED BLOOD CELLS</w:t>
            </w:r>
          </w:p>
          <w:p w:rsidR="009125FD" w:rsidRPr="005C5D59" w:rsidRDefault="009125FD" w:rsidP="009125FD">
            <w:pPr>
              <w:jc w:val="center"/>
              <w:rPr>
                <w:rFonts w:ascii="Arial" w:hAnsi="Arial" w:cs="Arial"/>
                <w:sz w:val="18"/>
                <w:szCs w:val="18"/>
              </w:rPr>
            </w:pPr>
            <w:r w:rsidRPr="005C5D59">
              <w:rPr>
                <w:rFonts w:ascii="Arial" w:hAnsi="Arial" w:cs="Arial"/>
                <w:sz w:val="18"/>
                <w:szCs w:val="18"/>
              </w:rPr>
              <w:t xml:space="preserve"> </w:t>
            </w:r>
          </w:p>
          <w:p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p w:rsidR="009125FD" w:rsidRDefault="009125FD" w:rsidP="009125FD">
            <w:pPr>
              <w:jc w:val="center"/>
              <w:rPr>
                <w:rFonts w:ascii="Arial" w:hAnsi="Arial" w:cs="Arial"/>
                <w:sz w:val="18"/>
                <w:szCs w:val="18"/>
              </w:rPr>
            </w:pPr>
          </w:p>
          <w:p w:rsidR="009125FD" w:rsidRPr="005C5D59" w:rsidRDefault="009125FD" w:rsidP="009125FD">
            <w:pPr>
              <w:jc w:val="center"/>
              <w:rPr>
                <w:rFonts w:ascii="Arial" w:hAnsi="Arial" w:cs="Arial"/>
                <w:sz w:val="18"/>
                <w:szCs w:val="18"/>
              </w:rPr>
            </w:pPr>
            <w:r w:rsidRPr="005C5D59">
              <w:rPr>
                <w:rFonts w:ascii="Arial" w:hAnsi="Arial" w:cs="Arial"/>
                <w:sz w:val="18"/>
                <w:szCs w:val="18"/>
              </w:rPr>
              <w:t>PLATELETS</w:t>
            </w:r>
          </w:p>
          <w:p w:rsidR="009125FD" w:rsidRDefault="009125FD" w:rsidP="009125FD">
            <w:pPr>
              <w:jc w:val="center"/>
              <w:rPr>
                <w:rFonts w:ascii="Arial" w:hAnsi="Arial" w:cs="Arial"/>
                <w:color w:val="000000"/>
                <w:sz w:val="18"/>
                <w:szCs w:val="18"/>
              </w:rPr>
            </w:pPr>
          </w:p>
          <w:p w:rsidR="009125FD" w:rsidRPr="005C5D59" w:rsidRDefault="009125FD" w:rsidP="009125FD">
            <w:pPr>
              <w:jc w:val="center"/>
              <w:rPr>
                <w:rFonts w:ascii="Arial" w:hAnsi="Arial" w:cs="Arial"/>
                <w:sz w:val="18"/>
                <w:szCs w:val="18"/>
              </w:rPr>
            </w:pPr>
            <w:r w:rsidRPr="005C5D59">
              <w:rPr>
                <w:rFonts w:ascii="Arial" w:hAnsi="Arial" w:cs="Arial"/>
                <w:color w:val="000000"/>
                <w:sz w:val="18"/>
                <w:szCs w:val="18"/>
              </w:rPr>
              <w:t>OTHER</w:t>
            </w:r>
            <w:r>
              <w:rPr>
                <w:rFonts w:ascii="Arial" w:hAnsi="Arial" w:cs="Arial"/>
                <w:color w:val="000000"/>
                <w:sz w:val="18"/>
                <w:szCs w:val="18"/>
              </w:rPr>
              <w:t>*</w:t>
            </w:r>
          </w:p>
        </w:tc>
        <w:tc>
          <w:tcPr>
            <w:tcW w:w="1260" w:type="dxa"/>
            <w:tcBorders>
              <w:top w:val="single" w:sz="4" w:space="0" w:color="000000"/>
              <w:left w:val="single" w:sz="4" w:space="0" w:color="000000"/>
              <w:right w:val="single" w:sz="4" w:space="0" w:color="000000"/>
            </w:tcBorders>
            <w:vAlign w:val="center"/>
          </w:tcPr>
          <w:p w:rsidR="009125FD" w:rsidRDefault="009125FD" w:rsidP="009125FD">
            <w:pPr>
              <w:jc w:val="center"/>
              <w:rPr>
                <w:rFonts w:ascii="Arial" w:hAnsi="Arial" w:cs="Arial"/>
                <w:b/>
                <w:color w:val="FF0000"/>
                <w:sz w:val="18"/>
                <w:szCs w:val="18"/>
              </w:rPr>
            </w:pPr>
            <w:r>
              <w:rPr>
                <w:rFonts w:ascii="Arial" w:hAnsi="Arial" w:cs="Arial"/>
                <w:b/>
                <w:color w:val="FF0000"/>
                <w:sz w:val="18"/>
                <w:szCs w:val="18"/>
              </w:rPr>
              <w:t xml:space="preserve">Not </w:t>
            </w:r>
          </w:p>
          <w:p w:rsidR="009125FD" w:rsidRPr="005C5D59" w:rsidRDefault="009125FD" w:rsidP="009125FD">
            <w:pPr>
              <w:jc w:val="center"/>
              <w:rPr>
                <w:rFonts w:ascii="Arial" w:hAnsi="Arial" w:cs="Arial"/>
                <w:color w:val="FF0000"/>
                <w:sz w:val="18"/>
                <w:szCs w:val="18"/>
              </w:rPr>
            </w:pPr>
            <w:r>
              <w:rPr>
                <w:rFonts w:ascii="Arial" w:hAnsi="Arial" w:cs="Arial"/>
                <w:b/>
                <w:color w:val="FF0000"/>
                <w:sz w:val="18"/>
                <w:szCs w:val="18"/>
              </w:rPr>
              <w:t>CMV negative</w:t>
            </w:r>
          </w:p>
        </w:tc>
        <w:tc>
          <w:tcPr>
            <w:tcW w:w="1620" w:type="dxa"/>
            <w:tcBorders>
              <w:top w:val="single" w:sz="4" w:space="0" w:color="000000"/>
              <w:left w:val="single" w:sz="4" w:space="0" w:color="000000"/>
              <w:right w:val="single" w:sz="4" w:space="0" w:color="000000"/>
            </w:tcBorders>
            <w:vAlign w:val="center"/>
          </w:tcPr>
          <w:p w:rsidR="009125FD" w:rsidRPr="000E5D20" w:rsidRDefault="009125FD" w:rsidP="009125FD">
            <w:pPr>
              <w:ind w:left="18"/>
              <w:rPr>
                <w:rFonts w:ascii="Arial" w:hAnsi="Arial" w:cs="Arial"/>
                <w:sz w:val="18"/>
                <w:szCs w:val="18"/>
              </w:rPr>
            </w:pPr>
            <w:r w:rsidRPr="000E5D20">
              <w:rPr>
                <w:rFonts w:ascii="Arial" w:hAnsi="Arial" w:cs="Arial"/>
                <w:noProof/>
                <w:sz w:val="18"/>
                <w:szCs w:val="18"/>
              </w:rPr>
              <w:t>Technologist</w:t>
            </w:r>
          </w:p>
          <w:p w:rsidR="009125FD" w:rsidRPr="00836EE2" w:rsidRDefault="009125FD" w:rsidP="009125FD">
            <w:pPr>
              <w:ind w:left="18"/>
              <w:rPr>
                <w:rFonts w:ascii="Arial" w:hAnsi="Arial" w:cs="Arial"/>
                <w:sz w:val="18"/>
                <w:szCs w:val="18"/>
              </w:rPr>
            </w:pPr>
          </w:p>
          <w:p w:rsidR="009125FD" w:rsidRPr="000E5D20" w:rsidRDefault="009125FD" w:rsidP="009125FD">
            <w:pPr>
              <w:ind w:left="18"/>
              <w:rPr>
                <w:rFonts w:ascii="Arial" w:hAnsi="Arial" w:cs="Arial"/>
                <w:noProof/>
                <w:sz w:val="18"/>
                <w:szCs w:val="18"/>
              </w:rPr>
            </w:pPr>
            <w:r w:rsidRPr="000E5D20">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vAlign w:val="bottom"/>
          </w:tcPr>
          <w:p w:rsidR="009125FD"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Patient’s Transfusion Requirement is not satisfied.</w:t>
            </w:r>
            <w:r w:rsidRPr="005C5D59">
              <w:rPr>
                <w:rFonts w:ascii="Arial" w:hAnsi="Arial" w:cs="Arial"/>
                <w:sz w:val="18"/>
                <w:szCs w:val="18"/>
              </w:rPr>
              <w:t xml:space="preserve"> </w:t>
            </w:r>
            <w:r w:rsidRPr="007F3B3C">
              <w:rPr>
                <w:rFonts w:ascii="Arial" w:hAnsi="Arial" w:cs="Arial"/>
                <w:i/>
                <w:sz w:val="18"/>
                <w:szCs w:val="18"/>
              </w:rPr>
              <w:t>You do not have the proper security to issue this unit. Further processing is needed and must be documented in VBECS.</w:t>
            </w:r>
            <w:r w:rsidRPr="005C5D59">
              <w:rPr>
                <w:rFonts w:ascii="Arial" w:hAnsi="Arial" w:cs="Arial"/>
                <w:sz w:val="18"/>
                <w:szCs w:val="18"/>
              </w:rPr>
              <w:t xml:space="preserve"> </w:t>
            </w:r>
          </w:p>
          <w:p w:rsidR="009125FD" w:rsidRPr="005C5D59" w:rsidRDefault="009125FD" w:rsidP="009125FD">
            <w:pPr>
              <w:rPr>
                <w:rFonts w:ascii="Arial" w:hAnsi="Arial" w:cs="Arial"/>
                <w:sz w:val="18"/>
                <w:szCs w:val="18"/>
              </w:rPr>
            </w:pPr>
            <w:r>
              <w:rPr>
                <w:rFonts w:ascii="Arial" w:hAnsi="Arial" w:cs="Arial"/>
                <w:sz w:val="18"/>
                <w:szCs w:val="18"/>
              </w:rPr>
              <w:t>The tech may not issue this unit in the computer.</w:t>
            </w:r>
          </w:p>
        </w:tc>
      </w:tr>
      <w:tr w:rsidR="009125FD" w:rsidRPr="005C5D59" w:rsidTr="009125FD">
        <w:trPr>
          <w:cantSplit/>
          <w:trHeight w:val="2898"/>
        </w:trPr>
        <w:tc>
          <w:tcPr>
            <w:tcW w:w="1843" w:type="dxa"/>
            <w:vMerge/>
            <w:tcBorders>
              <w:left w:val="single" w:sz="4" w:space="0" w:color="000000"/>
              <w:right w:val="single" w:sz="4" w:space="0" w:color="000000"/>
            </w:tcBorders>
            <w:vAlign w:val="bottom"/>
          </w:tcPr>
          <w:p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right w:val="single" w:sz="4" w:space="0" w:color="000000"/>
            </w:tcBorders>
            <w:vAlign w:val="center"/>
          </w:tcPr>
          <w:p w:rsidR="009125FD" w:rsidRPr="005C5D59"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rsidR="009125FD" w:rsidRDefault="009125FD" w:rsidP="009125FD">
            <w:pPr>
              <w:jc w:val="center"/>
              <w:rPr>
                <w:rFonts w:ascii="Arial" w:hAnsi="Arial" w:cs="Arial"/>
                <w:sz w:val="18"/>
                <w:szCs w:val="18"/>
              </w:rPr>
            </w:pPr>
          </w:p>
          <w:p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p w:rsidR="009125FD" w:rsidRDefault="009125FD" w:rsidP="009125FD">
            <w:pPr>
              <w:jc w:val="center"/>
              <w:rPr>
                <w:rFonts w:ascii="Arial" w:hAnsi="Arial" w:cs="Arial"/>
                <w:sz w:val="18"/>
                <w:szCs w:val="18"/>
              </w:rPr>
            </w:pPr>
          </w:p>
          <w:p w:rsidR="009125FD" w:rsidRPr="005C5D59" w:rsidRDefault="009125FD" w:rsidP="009125FD">
            <w:pPr>
              <w:jc w:val="center"/>
              <w:rPr>
                <w:rFonts w:ascii="Arial" w:hAnsi="Arial" w:cs="Arial"/>
                <w:sz w:val="18"/>
                <w:szCs w:val="18"/>
              </w:rPr>
            </w:pPr>
            <w:r w:rsidRPr="005C5D59">
              <w:rPr>
                <w:rFonts w:ascii="Arial" w:hAnsi="Arial" w:cs="Arial"/>
                <w:sz w:val="18"/>
                <w:szCs w:val="18"/>
              </w:rPr>
              <w:t>PLATELETS</w:t>
            </w:r>
          </w:p>
          <w:p w:rsidR="009125FD" w:rsidRDefault="009125FD" w:rsidP="009125FD">
            <w:pPr>
              <w:jc w:val="center"/>
              <w:rPr>
                <w:rFonts w:ascii="Arial" w:hAnsi="Arial" w:cs="Arial"/>
                <w:color w:val="000000"/>
                <w:sz w:val="18"/>
                <w:szCs w:val="18"/>
              </w:rPr>
            </w:pPr>
          </w:p>
          <w:p w:rsidR="009125FD" w:rsidRPr="005C5D59" w:rsidRDefault="009125FD" w:rsidP="009125FD">
            <w:pPr>
              <w:jc w:val="center"/>
              <w:rPr>
                <w:rFonts w:ascii="Arial" w:hAnsi="Arial" w:cs="Arial"/>
                <w:sz w:val="18"/>
                <w:szCs w:val="18"/>
              </w:rPr>
            </w:pPr>
            <w:r w:rsidRPr="005C5D59">
              <w:rPr>
                <w:rFonts w:ascii="Arial" w:hAnsi="Arial" w:cs="Arial"/>
                <w:color w:val="000000"/>
                <w:sz w:val="18"/>
                <w:szCs w:val="18"/>
              </w:rPr>
              <w:t>OTHER</w:t>
            </w:r>
            <w:r>
              <w:rPr>
                <w:rFonts w:ascii="Arial" w:hAnsi="Arial" w:cs="Arial"/>
                <w:color w:val="000000"/>
                <w:sz w:val="18"/>
                <w:szCs w:val="18"/>
              </w:rPr>
              <w:t>*</w:t>
            </w:r>
          </w:p>
        </w:tc>
        <w:tc>
          <w:tcPr>
            <w:tcW w:w="1260" w:type="dxa"/>
            <w:tcBorders>
              <w:top w:val="single" w:sz="4" w:space="0" w:color="000000"/>
              <w:left w:val="single" w:sz="4" w:space="0" w:color="000000"/>
              <w:right w:val="single" w:sz="4" w:space="0" w:color="000000"/>
            </w:tcBorders>
            <w:vAlign w:val="center"/>
          </w:tcPr>
          <w:p w:rsidR="009125FD" w:rsidRDefault="009125FD" w:rsidP="009125FD">
            <w:pPr>
              <w:jc w:val="center"/>
              <w:rPr>
                <w:rFonts w:ascii="Arial" w:hAnsi="Arial" w:cs="Arial"/>
                <w:b/>
                <w:color w:val="FF0000"/>
                <w:sz w:val="18"/>
                <w:szCs w:val="18"/>
              </w:rPr>
            </w:pPr>
            <w:r>
              <w:rPr>
                <w:rFonts w:ascii="Arial" w:hAnsi="Arial" w:cs="Arial"/>
                <w:b/>
                <w:color w:val="FF0000"/>
                <w:sz w:val="18"/>
                <w:szCs w:val="18"/>
              </w:rPr>
              <w:t xml:space="preserve">Not </w:t>
            </w:r>
          </w:p>
          <w:p w:rsidR="009125FD" w:rsidRPr="005C5D59" w:rsidRDefault="009125FD" w:rsidP="009125FD">
            <w:pPr>
              <w:jc w:val="center"/>
              <w:rPr>
                <w:rFonts w:ascii="Arial" w:hAnsi="Arial" w:cs="Arial"/>
                <w:color w:val="FF0000"/>
                <w:sz w:val="18"/>
                <w:szCs w:val="18"/>
              </w:rPr>
            </w:pPr>
            <w:r>
              <w:rPr>
                <w:rFonts w:ascii="Arial" w:hAnsi="Arial" w:cs="Arial"/>
                <w:b/>
                <w:color w:val="FF0000"/>
                <w:sz w:val="18"/>
                <w:szCs w:val="18"/>
              </w:rPr>
              <w:t>CMV negative</w:t>
            </w:r>
          </w:p>
        </w:tc>
        <w:tc>
          <w:tcPr>
            <w:tcW w:w="1620" w:type="dxa"/>
            <w:tcBorders>
              <w:top w:val="single" w:sz="4" w:space="0" w:color="000000"/>
              <w:left w:val="single" w:sz="4" w:space="0" w:color="000000"/>
              <w:right w:val="single" w:sz="4" w:space="0" w:color="000000"/>
            </w:tcBorders>
            <w:vAlign w:val="center"/>
          </w:tcPr>
          <w:p w:rsidR="009125FD" w:rsidRPr="000E5D20" w:rsidRDefault="009125FD" w:rsidP="009125FD">
            <w:pPr>
              <w:spacing w:before="120"/>
              <w:ind w:left="18"/>
              <w:rPr>
                <w:rFonts w:ascii="Arial" w:hAnsi="Arial" w:cs="Arial"/>
                <w:sz w:val="18"/>
                <w:szCs w:val="18"/>
              </w:rPr>
            </w:pPr>
            <w:r w:rsidRPr="000E5D20">
              <w:rPr>
                <w:rFonts w:ascii="Arial" w:hAnsi="Arial" w:cs="Arial"/>
                <w:sz w:val="18"/>
                <w:szCs w:val="18"/>
              </w:rPr>
              <w:t>Lead Technologist</w:t>
            </w:r>
          </w:p>
          <w:p w:rsidR="009125FD" w:rsidRPr="000E5D20" w:rsidRDefault="009125FD" w:rsidP="009125FD">
            <w:pPr>
              <w:spacing w:before="120"/>
              <w:ind w:left="18"/>
              <w:rPr>
                <w:rFonts w:ascii="Arial" w:hAnsi="Arial" w:cs="Arial"/>
                <w:sz w:val="18"/>
                <w:szCs w:val="18"/>
              </w:rPr>
            </w:pPr>
            <w:r w:rsidRPr="000E5D20">
              <w:rPr>
                <w:rFonts w:ascii="Arial" w:hAnsi="Arial" w:cs="Arial"/>
                <w:sz w:val="18"/>
                <w:szCs w:val="18"/>
              </w:rPr>
              <w:t>Traditional Supervisor</w:t>
            </w:r>
          </w:p>
          <w:p w:rsidR="009125FD" w:rsidRPr="000E5D20" w:rsidRDefault="009125FD" w:rsidP="009125FD">
            <w:pPr>
              <w:spacing w:before="120"/>
              <w:ind w:left="18"/>
              <w:rPr>
                <w:rFonts w:ascii="Arial" w:hAnsi="Arial" w:cs="Arial"/>
                <w:sz w:val="18"/>
                <w:szCs w:val="18"/>
              </w:rPr>
            </w:pPr>
            <w:r w:rsidRPr="000E5D20">
              <w:rPr>
                <w:rFonts w:ascii="Arial" w:hAnsi="Arial" w:cs="Arial"/>
                <w:sz w:val="18"/>
                <w:szCs w:val="18"/>
              </w:rPr>
              <w:t>Enhanced Supervisor</w:t>
            </w:r>
          </w:p>
          <w:p w:rsidR="009125FD" w:rsidRPr="000E5D20" w:rsidRDefault="009125FD" w:rsidP="009125FD">
            <w:pPr>
              <w:spacing w:before="120"/>
              <w:ind w:left="18"/>
              <w:rPr>
                <w:rFonts w:ascii="Arial" w:hAnsi="Arial" w:cs="Arial"/>
                <w:sz w:val="18"/>
                <w:szCs w:val="18"/>
              </w:rPr>
            </w:pPr>
            <w:r w:rsidRPr="000E5D20">
              <w:rPr>
                <w:rFonts w:ascii="Arial" w:hAnsi="Arial" w:cs="Arial"/>
                <w:sz w:val="18"/>
                <w:szCs w:val="18"/>
              </w:rPr>
              <w:t>Administrator/Supervisor</w:t>
            </w:r>
          </w:p>
          <w:p w:rsidR="009125FD" w:rsidRPr="008B278A" w:rsidRDefault="009125FD" w:rsidP="009125FD">
            <w:pPr>
              <w:ind w:left="18"/>
              <w:rPr>
                <w:rFonts w:ascii="Arial" w:hAnsi="Arial" w:cs="Arial"/>
                <w:sz w:val="18"/>
                <w:szCs w:val="18"/>
              </w:rPr>
            </w:pPr>
          </w:p>
        </w:tc>
        <w:tc>
          <w:tcPr>
            <w:tcW w:w="4050" w:type="dxa"/>
            <w:tcBorders>
              <w:top w:val="single" w:sz="4" w:space="0" w:color="000000"/>
              <w:left w:val="single" w:sz="4" w:space="0" w:color="000000"/>
              <w:right w:val="single" w:sz="4" w:space="0" w:color="000000"/>
            </w:tcBorders>
            <w:vAlign w:val="bottom"/>
          </w:tcPr>
          <w:p w:rsidR="009125FD" w:rsidRPr="005C5D59"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w:t>
            </w:r>
            <w:r w:rsidRPr="0033381C">
              <w:rPr>
                <w:rFonts w:ascii="Arial" w:hAnsi="Arial" w:cs="Arial"/>
                <w:i/>
                <w:sz w:val="18"/>
                <w:szCs w:val="18"/>
              </w:rPr>
              <w:t xml:space="preserve">s </w:t>
            </w:r>
            <w:r w:rsidRPr="0033381C">
              <w:rPr>
                <w:rFonts w:ascii="Arial" w:hAnsi="Arial" w:cs="Arial"/>
                <w:sz w:val="18"/>
                <w:szCs w:val="18"/>
              </w:rPr>
              <w:t>CMV Negative Cellular Products</w:t>
            </w:r>
            <w:r w:rsidRPr="0033381C">
              <w:rPr>
                <w:rFonts w:ascii="Arial" w:hAnsi="Arial" w:cs="Arial"/>
                <w:i/>
                <w:sz w:val="18"/>
                <w:szCs w:val="18"/>
              </w:rPr>
              <w:t xml:space="preserve"> Transfusion </w:t>
            </w:r>
            <w:r w:rsidRPr="00836EE2">
              <w:rPr>
                <w:rFonts w:ascii="Arial" w:hAnsi="Arial" w:cs="Arial"/>
                <w:i/>
                <w:sz w:val="18"/>
                <w:szCs w:val="18"/>
              </w:rPr>
              <w:t>Requirement is not satisfied</w:t>
            </w:r>
            <w:r w:rsidRPr="005C5D59">
              <w:rPr>
                <w:rFonts w:ascii="Arial" w:hAnsi="Arial" w:cs="Arial"/>
                <w:sz w:val="18"/>
                <w:szCs w:val="18"/>
              </w:rPr>
              <w:t xml:space="preserve"> and prompts the user whether to proceed. </w:t>
            </w:r>
          </w:p>
          <w:p w:rsidR="009125FD" w:rsidRPr="005C5D59" w:rsidRDefault="009125FD" w:rsidP="009125FD">
            <w:pPr>
              <w:rPr>
                <w:rFonts w:ascii="Arial" w:hAnsi="Arial" w:cs="Arial"/>
                <w:sz w:val="18"/>
                <w:szCs w:val="18"/>
              </w:rPr>
            </w:pPr>
            <w:r w:rsidRPr="005C5D59">
              <w:rPr>
                <w:rFonts w:ascii="Arial" w:hAnsi="Arial" w:cs="Arial"/>
                <w:sz w:val="18"/>
                <w:szCs w:val="18"/>
              </w:rPr>
              <w:t>If the user responds “No”</w:t>
            </w:r>
            <w:r>
              <w:rPr>
                <w:rFonts w:ascii="Arial" w:hAnsi="Arial" w:cs="Arial"/>
                <w:sz w:val="18"/>
                <w:szCs w:val="18"/>
              </w:rPr>
              <w:t>,</w:t>
            </w:r>
            <w:r w:rsidRPr="005C5D59">
              <w:rPr>
                <w:rFonts w:ascii="Arial" w:hAnsi="Arial" w:cs="Arial"/>
                <w:sz w:val="18"/>
                <w:szCs w:val="18"/>
              </w:rPr>
              <w:t xml:space="preserve"> the system wi</w:t>
            </w:r>
            <w:r>
              <w:rPr>
                <w:rFonts w:ascii="Arial" w:hAnsi="Arial" w:cs="Arial"/>
                <w:sz w:val="18"/>
                <w:szCs w:val="18"/>
              </w:rPr>
              <w:t>ll clear the selected unit.</w:t>
            </w:r>
          </w:p>
          <w:p w:rsidR="009125FD" w:rsidRPr="005C5D59" w:rsidRDefault="009125FD" w:rsidP="009125FD">
            <w:pPr>
              <w:rPr>
                <w:rFonts w:ascii="Arial" w:hAnsi="Arial" w:cs="Arial"/>
                <w:sz w:val="18"/>
                <w:szCs w:val="18"/>
              </w:rPr>
            </w:pPr>
            <w:r w:rsidRPr="005C5D59">
              <w:rPr>
                <w:rFonts w:ascii="Arial" w:hAnsi="Arial" w:cs="Arial"/>
                <w:sz w:val="18"/>
                <w:szCs w:val="18"/>
              </w:rPr>
              <w:t>If the user responds “Yes”</w:t>
            </w:r>
            <w:r>
              <w:rPr>
                <w:rFonts w:ascii="Arial" w:hAnsi="Arial" w:cs="Arial"/>
                <w:sz w:val="18"/>
                <w:szCs w:val="18"/>
              </w:rPr>
              <w:t>,</w:t>
            </w:r>
            <w:r w:rsidRPr="005C5D59">
              <w:rPr>
                <w:rFonts w:ascii="Arial" w:hAnsi="Arial" w:cs="Arial"/>
                <w:sz w:val="18"/>
                <w:szCs w:val="18"/>
              </w:rPr>
              <w:t xml:space="preserve"> the system will require a comment (free text or canned, “unit issue” context) and capture the transacti</w:t>
            </w:r>
            <w:r>
              <w:rPr>
                <w:rFonts w:ascii="Arial" w:hAnsi="Arial" w:cs="Arial"/>
                <w:sz w:val="18"/>
                <w:szCs w:val="18"/>
              </w:rPr>
              <w:t>on details for inclusion in an Exception R</w:t>
            </w:r>
            <w:r w:rsidRPr="005C5D59">
              <w:rPr>
                <w:rFonts w:ascii="Arial" w:hAnsi="Arial" w:cs="Arial"/>
                <w:sz w:val="18"/>
                <w:szCs w:val="18"/>
              </w:rPr>
              <w:t>eport</w:t>
            </w:r>
            <w:r>
              <w:rPr>
                <w:rFonts w:ascii="Arial" w:hAnsi="Arial" w:cs="Arial"/>
                <w:sz w:val="18"/>
                <w:szCs w:val="18"/>
              </w:rPr>
              <w:t xml:space="preserve"> entry</w:t>
            </w:r>
            <w:r w:rsidRPr="005C5D59">
              <w:rPr>
                <w:rFonts w:ascii="Arial" w:hAnsi="Arial" w:cs="Arial"/>
                <w:sz w:val="18"/>
                <w:szCs w:val="18"/>
              </w:rPr>
              <w:t xml:space="preserve">: </w:t>
            </w:r>
            <w:r w:rsidRPr="005C5D59">
              <w:rPr>
                <w:rFonts w:ascii="Arial" w:hAnsi="Arial" w:cs="Arial"/>
                <w:i/>
                <w:sz w:val="18"/>
                <w:szCs w:val="18"/>
              </w:rPr>
              <w:t>Unit issued with unsatisfied Transfusion Requirement</w:t>
            </w:r>
            <w:r w:rsidRPr="005C5D59">
              <w:rPr>
                <w:rFonts w:ascii="Arial" w:hAnsi="Arial" w:cs="Arial"/>
                <w:sz w:val="18"/>
                <w:szCs w:val="18"/>
              </w:rPr>
              <w:t xml:space="preserve"> </w:t>
            </w:r>
            <w:r w:rsidR="005C48D9">
              <w:rPr>
                <w:rFonts w:ascii="Arial" w:hAnsi="Arial" w:cs="Arial"/>
                <w:sz w:val="18"/>
                <w:szCs w:val="18"/>
              </w:rPr>
              <w:t>.</w:t>
            </w:r>
          </w:p>
        </w:tc>
      </w:tr>
    </w:tbl>
    <w:p w:rsidR="009125FD" w:rsidRPr="005C48D9" w:rsidRDefault="009125FD" w:rsidP="009125FD">
      <w:pPr>
        <w:ind w:left="36"/>
        <w:rPr>
          <w:sz w:val="22"/>
          <w:szCs w:val="22"/>
        </w:rPr>
      </w:pPr>
      <w:r w:rsidRPr="005C48D9">
        <w:rPr>
          <w:sz w:val="22"/>
          <w:szCs w:val="22"/>
        </w:rPr>
        <w:t>*VistA test results are not evaluated by VBECS.</w:t>
      </w:r>
      <w:r w:rsidRPr="005C48D9">
        <w:rPr>
          <w:color w:val="000000"/>
          <w:sz w:val="22"/>
          <w:szCs w:val="22"/>
        </w:rPr>
        <w:t xml:space="preserve"> CMV Negative status is recorded during receipt at Incoming Shipment or added to the unit record in Edit Unit Information.</w:t>
      </w:r>
      <w:r w:rsidRPr="005C48D9">
        <w:rPr>
          <w:sz w:val="22"/>
          <w:szCs w:val="22"/>
        </w:rPr>
        <w:t xml:space="preserve"> All product types in OTHER are evaluated for the requirement including those that are non-cellular.</w:t>
      </w:r>
    </w:p>
    <w:p w:rsidR="00D32A05" w:rsidRPr="00BD67C7" w:rsidRDefault="00BE14D5" w:rsidP="00BE14D5">
      <w:pPr>
        <w:jc w:val="center"/>
        <w:rPr>
          <w:sz w:val="22"/>
          <w:szCs w:val="22"/>
        </w:rPr>
      </w:pPr>
      <w:r>
        <w:br w:type="page"/>
      </w:r>
      <w:r w:rsidRPr="00BD67C7">
        <w:rPr>
          <w:sz w:val="22"/>
          <w:szCs w:val="22"/>
        </w:rPr>
        <w:lastRenderedPageBreak/>
        <w:t>This page intentionally left blank.</w:t>
      </w:r>
    </w:p>
    <w:p w:rsidR="00D32A05" w:rsidRPr="001C29FC" w:rsidRDefault="00D32A05" w:rsidP="00D32A05">
      <w:pPr>
        <w:pStyle w:val="Heading2"/>
      </w:pPr>
      <w:r>
        <w:br w:type="page"/>
      </w:r>
      <w:bookmarkStart w:id="830" w:name="_Toc54684874"/>
      <w:bookmarkStart w:id="831" w:name="_Toc137529672"/>
      <w:bookmarkStart w:id="832" w:name="_Ref139877903"/>
      <w:bookmarkStart w:id="833" w:name="_Toc355768163"/>
      <w:bookmarkStart w:id="834" w:name="_Toc358977308"/>
      <w:bookmarkStart w:id="835" w:name="_Toc459900250"/>
      <w:r w:rsidRPr="001C29FC">
        <w:lastRenderedPageBreak/>
        <w:t xml:space="preserve">Appendix </w:t>
      </w:r>
      <w:r w:rsidR="00100549">
        <w:t>N</w:t>
      </w:r>
      <w:r w:rsidRPr="001C29FC">
        <w:t>: Workload Process Mapping to Application Option Table</w:t>
      </w:r>
      <w:bookmarkEnd w:id="832"/>
      <w:bookmarkEnd w:id="833"/>
      <w:bookmarkEnd w:id="834"/>
      <w:bookmarkEnd w:id="835"/>
      <w:r w:rsidR="00601D23">
        <w:t xml:space="preserve"> </w:t>
      </w:r>
      <w:r w:rsidR="00601D23" w:rsidRPr="00601D23">
        <w:rPr>
          <w:rFonts w:ascii="Arial Bold" w:hAnsi="Arial Bold"/>
          <w:vanish/>
        </w:rPr>
        <w:t>DR 4679</w:t>
      </w:r>
      <w:r w:rsidRPr="001C29FC">
        <w:fldChar w:fldCharType="begin"/>
      </w:r>
      <w:r w:rsidRPr="001C29FC">
        <w:instrText xml:space="preserve"> XE "Workload Process Mapping to Application Option Table" </w:instrText>
      </w:r>
      <w:r w:rsidRPr="001C29FC">
        <w:fldChar w:fldCharType="end"/>
      </w:r>
    </w:p>
    <w:bookmarkEnd w:id="830"/>
    <w:bookmarkEnd w:id="831"/>
    <w:p w:rsidR="00D32A05" w:rsidRPr="001C29FC" w:rsidRDefault="0002571B" w:rsidP="00D32A05">
      <w:pPr>
        <w:pStyle w:val="BodyText"/>
      </w:pPr>
      <w:r>
        <w:fldChar w:fldCharType="begin"/>
      </w:r>
      <w:r>
        <w:instrText xml:space="preserve"> REF _Ref257016527 \h </w:instrText>
      </w:r>
      <w:r>
        <w:fldChar w:fldCharType="separate"/>
      </w:r>
      <w:r w:rsidR="005F38BC" w:rsidRPr="001C29FC">
        <w:t xml:space="preserve">Table </w:t>
      </w:r>
      <w:r w:rsidR="005F38BC">
        <w:rPr>
          <w:noProof/>
        </w:rPr>
        <w:t>39</w:t>
      </w:r>
      <w:r>
        <w:fldChar w:fldCharType="end"/>
      </w:r>
      <w:r w:rsidR="00D32A05" w:rsidRPr="001C29FC">
        <w:t>associates record saves with workload processes. The data fields identified for transmission at the completion of a Workload Event are based on current VistA workload-related files and fields. VBECS will transmit information to a new flat file. There are no donor workload types in VBECS.</w:t>
      </w:r>
    </w:p>
    <w:p w:rsidR="00D32A05" w:rsidRPr="001C29FC" w:rsidRDefault="00D32A05" w:rsidP="00D32A05">
      <w:pPr>
        <w:pStyle w:val="Caption"/>
      </w:pPr>
      <w:bookmarkStart w:id="836" w:name="_Ref256080480"/>
      <w:bookmarkStart w:id="837" w:name="_Ref257016527"/>
      <w:r w:rsidRPr="001C29FC">
        <w:t xml:space="preserve">Table </w:t>
      </w:r>
      <w:r w:rsidRPr="001C29FC">
        <w:fldChar w:fldCharType="begin"/>
      </w:r>
      <w:r w:rsidRPr="001C29FC">
        <w:instrText xml:space="preserve"> SEQ Table \* ARABIC </w:instrText>
      </w:r>
      <w:r w:rsidRPr="001C29FC">
        <w:fldChar w:fldCharType="separate"/>
      </w:r>
      <w:r w:rsidR="005F38BC">
        <w:rPr>
          <w:noProof/>
        </w:rPr>
        <w:t>39</w:t>
      </w:r>
      <w:r w:rsidRPr="001C29FC">
        <w:fldChar w:fldCharType="end"/>
      </w:r>
      <w:bookmarkEnd w:id="837"/>
      <w:r w:rsidRPr="001C29FC">
        <w:t>: Workload Process Mapping to Application Option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3"/>
        <w:gridCol w:w="1442"/>
        <w:gridCol w:w="1633"/>
        <w:gridCol w:w="4482"/>
      </w:tblGrid>
      <w:tr w:rsidR="00D32A05" w:rsidRPr="001C29FC" w:rsidTr="00D32A05">
        <w:tblPrEx>
          <w:tblCellMar>
            <w:top w:w="0" w:type="dxa"/>
            <w:bottom w:w="0" w:type="dxa"/>
          </w:tblCellMar>
        </w:tblPrEx>
        <w:trPr>
          <w:cantSplit/>
          <w:tblHeader/>
        </w:trPr>
        <w:tc>
          <w:tcPr>
            <w:tcW w:w="1803" w:type="dxa"/>
            <w:tcBorders>
              <w:bottom w:val="single" w:sz="4" w:space="0" w:color="auto"/>
            </w:tcBorders>
            <w:shd w:val="clear" w:color="auto" w:fill="C0C0C0"/>
            <w:vAlign w:val="bottom"/>
          </w:tcPr>
          <w:bookmarkEnd w:id="836"/>
          <w:p w:rsidR="00D32A05" w:rsidRPr="001C29FC" w:rsidRDefault="00D32A05" w:rsidP="00D32A05">
            <w:pPr>
              <w:pStyle w:val="TableText"/>
              <w:rPr>
                <w:b/>
              </w:rPr>
            </w:pPr>
            <w:r w:rsidRPr="001C29FC">
              <w:rPr>
                <w:b/>
              </w:rPr>
              <w:t>Record Save Option</w:t>
            </w:r>
          </w:p>
        </w:tc>
        <w:tc>
          <w:tcPr>
            <w:tcW w:w="1442" w:type="dxa"/>
            <w:tcBorders>
              <w:bottom w:val="single" w:sz="4" w:space="0" w:color="auto"/>
            </w:tcBorders>
            <w:shd w:val="clear" w:color="auto" w:fill="C0C0C0"/>
            <w:vAlign w:val="bottom"/>
          </w:tcPr>
          <w:p w:rsidR="00D32A05" w:rsidRPr="001C29FC" w:rsidRDefault="00D32A05" w:rsidP="00D32A05">
            <w:pPr>
              <w:pStyle w:val="TableText"/>
              <w:rPr>
                <w:b/>
              </w:rPr>
            </w:pPr>
            <w:r w:rsidRPr="001C29FC">
              <w:rPr>
                <w:b/>
              </w:rPr>
              <w:t>VBECS Process</w:t>
            </w:r>
          </w:p>
        </w:tc>
        <w:tc>
          <w:tcPr>
            <w:tcW w:w="1633" w:type="dxa"/>
            <w:tcBorders>
              <w:bottom w:val="single" w:sz="4" w:space="0" w:color="auto"/>
            </w:tcBorders>
            <w:shd w:val="clear" w:color="auto" w:fill="C0C0C0"/>
            <w:vAlign w:val="bottom"/>
          </w:tcPr>
          <w:p w:rsidR="00D32A05" w:rsidRPr="001C29FC" w:rsidRDefault="00D32A05" w:rsidP="00D32A05">
            <w:pPr>
              <w:pStyle w:val="TableText"/>
              <w:rPr>
                <w:b/>
              </w:rPr>
            </w:pPr>
            <w:r w:rsidRPr="001C29FC">
              <w:rPr>
                <w:b/>
              </w:rPr>
              <w:t>Transaction Type [P (Patient), U (Unit), M (Miscellaneous)]</w:t>
            </w:r>
          </w:p>
        </w:tc>
        <w:tc>
          <w:tcPr>
            <w:tcW w:w="4482" w:type="dxa"/>
            <w:tcBorders>
              <w:bottom w:val="single" w:sz="4" w:space="0" w:color="auto"/>
            </w:tcBorders>
            <w:shd w:val="clear" w:color="auto" w:fill="C0C0C0"/>
            <w:vAlign w:val="bottom"/>
          </w:tcPr>
          <w:p w:rsidR="00D32A05" w:rsidRPr="001C29FC" w:rsidRDefault="00D32A05" w:rsidP="00D32A05">
            <w:pPr>
              <w:pStyle w:val="TableText"/>
              <w:rPr>
                <w:b/>
              </w:rPr>
            </w:pPr>
            <w:r w:rsidRPr="001C29FC">
              <w:rPr>
                <w:b/>
              </w:rPr>
              <w:t xml:space="preserve">Explanation </w:t>
            </w:r>
          </w:p>
        </w:tc>
      </w:tr>
      <w:tr w:rsidR="00D32A05" w:rsidRPr="001C29FC" w:rsidTr="00D32A05">
        <w:tblPrEx>
          <w:tblCellMar>
            <w:top w:w="0" w:type="dxa"/>
            <w:bottom w:w="0" w:type="dxa"/>
          </w:tblCellMar>
        </w:tblPrEx>
        <w:trPr>
          <w:cantSplit/>
        </w:trPr>
        <w:tc>
          <w:tcPr>
            <w:tcW w:w="1803" w:type="dxa"/>
            <w:shd w:val="clear" w:color="auto" w:fill="auto"/>
            <w:vAlign w:val="bottom"/>
          </w:tcPr>
          <w:p w:rsidR="00D32A05" w:rsidRPr="001C29FC" w:rsidRDefault="00D32A05" w:rsidP="00D32A05">
            <w:pPr>
              <w:pStyle w:val="TableText"/>
            </w:pPr>
            <w:r w:rsidRPr="001C29FC">
              <w:t>Record a Transfusion Reaction Workup</w:t>
            </w:r>
          </w:p>
        </w:tc>
        <w:tc>
          <w:tcPr>
            <w:tcW w:w="1442" w:type="dxa"/>
            <w:vMerge w:val="restart"/>
            <w:shd w:val="clear" w:color="auto" w:fill="auto"/>
          </w:tcPr>
          <w:p w:rsidR="00D32A05" w:rsidRPr="001C29FC" w:rsidRDefault="00D32A05" w:rsidP="00D32A05">
            <w:pPr>
              <w:pStyle w:val="TableText"/>
              <w:rPr>
                <w:color w:val="000000"/>
                <w:szCs w:val="18"/>
              </w:rPr>
            </w:pPr>
            <w:r w:rsidRPr="001C29FC">
              <w:rPr>
                <w:color w:val="000000"/>
                <w:szCs w:val="18"/>
              </w:rPr>
              <w:t>ABO Forward and reverse typing (patient)</w:t>
            </w: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rsidR="00D32A05" w:rsidRPr="001C29FC" w:rsidRDefault="00D32A05" w:rsidP="00D32A05">
            <w:pPr>
              <w:pStyle w:val="TableText"/>
              <w:rPr>
                <w:color w:val="000000"/>
                <w:szCs w:val="18"/>
              </w:rPr>
            </w:pPr>
            <w:r w:rsidRPr="001C29FC">
              <w:rPr>
                <w:color w:val="000000"/>
                <w:szCs w:val="18"/>
              </w:rPr>
              <w:t>An ABO/Rh test for “pre” or “post” is enabled and a valid interpretation other than Not Tested is selected. A workload event is accrued separately for “Pre” and “Post” entries.</w:t>
            </w:r>
          </w:p>
        </w:tc>
      </w:tr>
      <w:tr w:rsidR="00D32A05" w:rsidRPr="001C29FC" w:rsidTr="00D32A05">
        <w:tblPrEx>
          <w:tblCellMar>
            <w:top w:w="0" w:type="dxa"/>
            <w:bottom w:w="0" w:type="dxa"/>
          </w:tblCellMar>
        </w:tblPrEx>
        <w:trPr>
          <w:cantSplit/>
        </w:trPr>
        <w:tc>
          <w:tcPr>
            <w:tcW w:w="1803" w:type="dxa"/>
            <w:shd w:val="clear" w:color="auto" w:fill="auto"/>
            <w:vAlign w:val="bottom"/>
          </w:tcPr>
          <w:p w:rsidR="00D32A05" w:rsidRPr="001C29FC" w:rsidRDefault="00D32A05" w:rsidP="00D32A05">
            <w:pPr>
              <w:pStyle w:val="TableText"/>
            </w:pPr>
            <w:r w:rsidRPr="001C29FC">
              <w:t>Record Patient ABO/Rh</w:t>
            </w:r>
          </w:p>
        </w:tc>
        <w:tc>
          <w:tcPr>
            <w:tcW w:w="1442" w:type="dxa"/>
            <w:vMerge/>
            <w:shd w:val="clear" w:color="auto" w:fill="auto"/>
          </w:tcPr>
          <w:p w:rsidR="00D32A05" w:rsidRPr="001C29FC" w:rsidRDefault="00D32A05" w:rsidP="00D32A05">
            <w:pPr>
              <w:pStyle w:val="TableText"/>
              <w:rPr>
                <w:color w:val="000000"/>
                <w:szCs w:val="18"/>
              </w:rPr>
            </w:pP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rsidR="00D32A05" w:rsidRPr="001C29FC" w:rsidRDefault="00D32A05" w:rsidP="00D32A05">
            <w:pPr>
              <w:pStyle w:val="TableText"/>
              <w:rPr>
                <w:szCs w:val="18"/>
              </w:rPr>
            </w:pPr>
            <w:r w:rsidRPr="001C29FC">
              <w:rPr>
                <w:szCs w:val="18"/>
              </w:rPr>
              <w:t>Accrue workload when a</w:t>
            </w:r>
            <w:r w:rsidRPr="001C29FC">
              <w:rPr>
                <w:color w:val="000000"/>
                <w:szCs w:val="18"/>
              </w:rPr>
              <w:t xml:space="preserve"> CPRS-ordered ABO/Rh test is performed.</w:t>
            </w:r>
          </w:p>
        </w:tc>
      </w:tr>
      <w:tr w:rsidR="00D32A05" w:rsidRPr="001C29FC" w:rsidTr="00D32A05">
        <w:tblPrEx>
          <w:tblCellMar>
            <w:top w:w="0" w:type="dxa"/>
            <w:bottom w:w="0" w:type="dxa"/>
          </w:tblCellMar>
        </w:tblPrEx>
        <w:trPr>
          <w:cantSplit/>
        </w:trPr>
        <w:tc>
          <w:tcPr>
            <w:tcW w:w="1803" w:type="dxa"/>
            <w:shd w:val="clear" w:color="auto" w:fill="auto"/>
            <w:vAlign w:val="bottom"/>
          </w:tcPr>
          <w:p w:rsidR="00D32A05" w:rsidRPr="001C29FC" w:rsidRDefault="00D32A05" w:rsidP="00D32A05">
            <w:pPr>
              <w:pStyle w:val="TableText"/>
            </w:pPr>
            <w:r w:rsidRPr="001C29FC">
              <w:t>Invalidate Patient Test Results*</w:t>
            </w:r>
          </w:p>
        </w:tc>
        <w:tc>
          <w:tcPr>
            <w:tcW w:w="1442" w:type="dxa"/>
            <w:vMerge/>
            <w:shd w:val="clear" w:color="auto" w:fill="auto"/>
          </w:tcPr>
          <w:p w:rsidR="00D32A05" w:rsidRPr="001C29FC" w:rsidRDefault="00D32A05" w:rsidP="00D32A05">
            <w:pPr>
              <w:pStyle w:val="TableText"/>
              <w:rPr>
                <w:color w:val="000000"/>
                <w:szCs w:val="18"/>
              </w:rPr>
            </w:pP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rsidR="00D32A05" w:rsidRPr="001C29FC" w:rsidRDefault="00D32A05" w:rsidP="00D32A05">
            <w:pPr>
              <w:pStyle w:val="TableText"/>
              <w:rPr>
                <w:szCs w:val="18"/>
              </w:rPr>
            </w:pPr>
            <w:r w:rsidRPr="001C29FC">
              <w:rPr>
                <w:szCs w:val="18"/>
              </w:rPr>
              <w:t>Accrue workload when a completed ABO/Rh test is invalidated.</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Record Patient ABO/Rh</w:t>
            </w:r>
          </w:p>
        </w:tc>
        <w:tc>
          <w:tcPr>
            <w:tcW w:w="1442" w:type="dxa"/>
            <w:vMerge w:val="restart"/>
            <w:shd w:val="clear" w:color="auto" w:fill="auto"/>
          </w:tcPr>
          <w:p w:rsidR="00D32A05" w:rsidRPr="001C29FC" w:rsidRDefault="00D32A05" w:rsidP="00D32A05">
            <w:pPr>
              <w:pStyle w:val="TableText"/>
              <w:rPr>
                <w:color w:val="000000"/>
                <w:szCs w:val="18"/>
              </w:rPr>
            </w:pPr>
            <w:r w:rsidRPr="001C29FC">
              <w:rPr>
                <w:color w:val="000000"/>
                <w:szCs w:val="18"/>
              </w:rPr>
              <w:t>ABO Forward and reverse typing (patient) Repeat Test</w:t>
            </w: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rsidR="00D32A05" w:rsidRPr="001C29FC" w:rsidRDefault="00D32A05" w:rsidP="00D32A05">
            <w:pPr>
              <w:pStyle w:val="TableText"/>
              <w:rPr>
                <w:szCs w:val="18"/>
              </w:rPr>
            </w:pPr>
            <w:r w:rsidRPr="001C29FC">
              <w:rPr>
                <w:szCs w:val="18"/>
              </w:rPr>
              <w:t>Accrue workload when a</w:t>
            </w:r>
            <w:r w:rsidRPr="001C29FC">
              <w:rPr>
                <w:color w:val="000000"/>
                <w:szCs w:val="18"/>
              </w:rPr>
              <w:t xml:space="preserve"> reflex or repeat ABO/Rh test is performed, completed, and saved.</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Invalidate Patient Test Results*</w:t>
            </w:r>
          </w:p>
        </w:tc>
        <w:tc>
          <w:tcPr>
            <w:tcW w:w="1442" w:type="dxa"/>
            <w:vMerge/>
            <w:shd w:val="clear" w:color="auto" w:fill="auto"/>
          </w:tcPr>
          <w:p w:rsidR="00D32A05" w:rsidRPr="001C29FC" w:rsidRDefault="00D32A05" w:rsidP="00D32A05">
            <w:pPr>
              <w:pStyle w:val="TableText"/>
              <w:rPr>
                <w:color w:val="000000"/>
                <w:szCs w:val="18"/>
              </w:rPr>
            </w:pP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rsidR="00D32A05" w:rsidRPr="001C29FC" w:rsidRDefault="00D32A05" w:rsidP="00D32A05">
            <w:pPr>
              <w:pStyle w:val="TableText"/>
              <w:rPr>
                <w:szCs w:val="18"/>
              </w:rPr>
            </w:pPr>
            <w:r w:rsidRPr="001C29FC">
              <w:rPr>
                <w:szCs w:val="18"/>
              </w:rPr>
              <w:t>Accrue workload when a reflex or repeat ABO/Rh test is invalidated.</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ABO/Rh Confirmation</w:t>
            </w:r>
          </w:p>
        </w:tc>
        <w:tc>
          <w:tcPr>
            <w:tcW w:w="1442" w:type="dxa"/>
            <w:vMerge w:val="restart"/>
            <w:shd w:val="clear" w:color="auto" w:fill="auto"/>
          </w:tcPr>
          <w:p w:rsidR="00D32A05" w:rsidRPr="001C29FC" w:rsidRDefault="00D32A05" w:rsidP="00D32A05">
            <w:pPr>
              <w:pStyle w:val="TableText"/>
              <w:rPr>
                <w:color w:val="000000"/>
                <w:szCs w:val="18"/>
              </w:rPr>
            </w:pPr>
            <w:r w:rsidRPr="001C29FC">
              <w:rPr>
                <w:color w:val="000000"/>
                <w:szCs w:val="18"/>
              </w:rPr>
              <w:t>ABO forward typing (unit)</w:t>
            </w: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rsidR="00D32A05" w:rsidRPr="001C29FC" w:rsidRDefault="00D32A05" w:rsidP="00D32A05">
            <w:pPr>
              <w:pStyle w:val="TableText"/>
              <w:rPr>
                <w:color w:val="000000"/>
                <w:szCs w:val="18"/>
              </w:rPr>
            </w:pPr>
            <w:r w:rsidRPr="001C29FC">
              <w:rPr>
                <w:color w:val="000000"/>
                <w:szCs w:val="18"/>
              </w:rPr>
              <w:t>An ABO confirmation test is performed. When multiple units are selected in a batch, each unit in the batch accrues a workload event. Note: Workload generated during Anti-D testing is not included in the unit’s confirmation test. Workload is not accrued when an ABO or Rh discrepancy override is processed and VBECS releases all patient assignments. Workload is not accrued when VBECS quarantines the unit due to a discrepancy. There is no special handling for workload collection for additional confirmation tests on a unit.</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Edit Unit Information*</w:t>
            </w:r>
          </w:p>
        </w:tc>
        <w:tc>
          <w:tcPr>
            <w:tcW w:w="1442" w:type="dxa"/>
            <w:vMerge/>
            <w:shd w:val="clear" w:color="auto" w:fill="auto"/>
          </w:tcPr>
          <w:p w:rsidR="00D32A05" w:rsidRPr="001C29FC" w:rsidRDefault="00D32A05" w:rsidP="00D32A05">
            <w:pPr>
              <w:pStyle w:val="TableText"/>
              <w:rPr>
                <w:color w:val="000000"/>
                <w:szCs w:val="18"/>
              </w:rPr>
            </w:pP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ABO confirmation test is invalidated.</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ABO/Rh Confirmation</w:t>
            </w:r>
          </w:p>
        </w:tc>
        <w:tc>
          <w:tcPr>
            <w:tcW w:w="1442" w:type="dxa"/>
            <w:vMerge w:val="restart"/>
            <w:shd w:val="clear" w:color="auto" w:fill="auto"/>
          </w:tcPr>
          <w:p w:rsidR="00D32A05" w:rsidRPr="001C29FC" w:rsidRDefault="00D32A05" w:rsidP="00D32A05">
            <w:pPr>
              <w:pStyle w:val="TableText"/>
              <w:rPr>
                <w:color w:val="000000"/>
                <w:szCs w:val="18"/>
              </w:rPr>
            </w:pPr>
            <w:r w:rsidRPr="001C29FC">
              <w:rPr>
                <w:color w:val="000000"/>
                <w:szCs w:val="18"/>
              </w:rPr>
              <w:t>ABO/Rh forward typing (unit)</w:t>
            </w: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rsidR="00D32A05" w:rsidRPr="001C29FC" w:rsidRDefault="00D32A05" w:rsidP="00D32A05">
            <w:pPr>
              <w:pStyle w:val="TableText"/>
              <w:rPr>
                <w:color w:val="000000"/>
                <w:szCs w:val="18"/>
              </w:rPr>
            </w:pPr>
            <w:r w:rsidRPr="001C29FC">
              <w:rPr>
                <w:color w:val="000000"/>
                <w:szCs w:val="18"/>
              </w:rPr>
              <w:t>An ABO/Rh confirmation test is performed. When multiple units are selected in a batch, each unit in the batch accrues a workload event. Note: Workload generated during Anti-D is part of the unit’s confirmation test. Workload is not accrued when an ABO or Rh discrepancy override is processed and VBECS releases all patient assignments. Workload is not accrued when VBECS quarantines the unit due to a discrepancy. Any unit successfully confirmed accrues workload. For split modifications: workload is not inherited by split units. A split unit that requires confirmation accrues confirmation workload at the time of testing. There is no special handling for workload collection for additional confirmation tests on a unit.</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Edit Unit Information*</w:t>
            </w:r>
          </w:p>
        </w:tc>
        <w:tc>
          <w:tcPr>
            <w:tcW w:w="1442" w:type="dxa"/>
            <w:vMerge/>
            <w:shd w:val="clear" w:color="auto" w:fill="auto"/>
          </w:tcPr>
          <w:p w:rsidR="00D32A05" w:rsidRPr="001C29FC" w:rsidRDefault="00D32A05" w:rsidP="00D32A05">
            <w:pPr>
              <w:pStyle w:val="TableText"/>
              <w:rPr>
                <w:color w:val="000000"/>
                <w:szCs w:val="18"/>
              </w:rPr>
            </w:pP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ABO/Rh confirmation test is invalidated.</w:t>
            </w:r>
          </w:p>
        </w:tc>
      </w:tr>
      <w:tr w:rsidR="00D32A05" w:rsidRPr="001C29FC" w:rsidTr="00D32A05">
        <w:tblPrEx>
          <w:tblCellMar>
            <w:top w:w="0" w:type="dxa"/>
            <w:bottom w:w="0" w:type="dxa"/>
          </w:tblCellMar>
        </w:tblPrEx>
        <w:trPr>
          <w:cantSplit/>
          <w:tblHeader/>
        </w:trPr>
        <w:tc>
          <w:tcPr>
            <w:tcW w:w="1803" w:type="dxa"/>
            <w:shd w:val="clear" w:color="auto" w:fill="auto"/>
          </w:tcPr>
          <w:p w:rsidR="00D32A05" w:rsidRPr="001C29FC" w:rsidRDefault="00D32A05" w:rsidP="00D32A05">
            <w:pPr>
              <w:pStyle w:val="TableText"/>
              <w:rPr>
                <w:szCs w:val="18"/>
              </w:rPr>
            </w:pPr>
            <w:r w:rsidRPr="001C29FC">
              <w:rPr>
                <w:szCs w:val="18"/>
              </w:rPr>
              <w:lastRenderedPageBreak/>
              <w:t>Accept Order</w:t>
            </w:r>
          </w:p>
        </w:tc>
        <w:tc>
          <w:tcPr>
            <w:tcW w:w="1442" w:type="dxa"/>
            <w:shd w:val="clear" w:color="auto" w:fill="auto"/>
          </w:tcPr>
          <w:p w:rsidR="00D32A05" w:rsidRPr="001C29FC" w:rsidRDefault="00D32A05" w:rsidP="00D32A05">
            <w:pPr>
              <w:pStyle w:val="TableText"/>
              <w:rPr>
                <w:szCs w:val="18"/>
              </w:rPr>
            </w:pPr>
            <w:r w:rsidRPr="001C29FC">
              <w:rPr>
                <w:szCs w:val="18"/>
              </w:rPr>
              <w:t>Accept Order</w:t>
            </w:r>
          </w:p>
        </w:tc>
        <w:tc>
          <w:tcPr>
            <w:tcW w:w="1633" w:type="dxa"/>
            <w:shd w:val="clear" w:color="auto" w:fill="auto"/>
          </w:tcPr>
          <w:p w:rsidR="00D32A05" w:rsidRPr="001C29FC" w:rsidRDefault="00D32A05" w:rsidP="00D32A05">
            <w:pPr>
              <w:pStyle w:val="TableText"/>
              <w:rPr>
                <w:szCs w:val="18"/>
              </w:rPr>
            </w:pPr>
            <w:r w:rsidRPr="001C29FC">
              <w:rPr>
                <w:szCs w:val="18"/>
              </w:rPr>
              <w:t>M</w:t>
            </w:r>
          </w:p>
        </w:tc>
        <w:tc>
          <w:tcPr>
            <w:tcW w:w="4482" w:type="dxa"/>
            <w:shd w:val="clear" w:color="auto" w:fill="auto"/>
          </w:tcPr>
          <w:p w:rsidR="00D32A05" w:rsidRPr="001C29FC" w:rsidRDefault="00D32A05" w:rsidP="00D32A05">
            <w:pPr>
              <w:pStyle w:val="TableText"/>
              <w:rPr>
                <w:szCs w:val="18"/>
              </w:rPr>
            </w:pPr>
            <w:r w:rsidRPr="001C29FC">
              <w:rPr>
                <w:szCs w:val="18"/>
              </w:rPr>
              <w:t>Accrue workload when an order is accepted. When a multiple orders are selected, each order accrues workload.</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Enter Antibody Identification Results</w:t>
            </w:r>
          </w:p>
        </w:tc>
        <w:tc>
          <w:tcPr>
            <w:tcW w:w="1442" w:type="dxa"/>
            <w:vMerge w:val="restart"/>
            <w:shd w:val="clear" w:color="auto" w:fill="auto"/>
          </w:tcPr>
          <w:p w:rsidR="00D32A05" w:rsidRPr="001C29FC" w:rsidRDefault="00D32A05" w:rsidP="00D32A05">
            <w:pPr>
              <w:pStyle w:val="TableText"/>
              <w:rPr>
                <w:color w:val="000000"/>
                <w:szCs w:val="18"/>
              </w:rPr>
            </w:pPr>
            <w:r w:rsidRPr="001C29FC">
              <w:rPr>
                <w:color w:val="000000"/>
                <w:szCs w:val="18"/>
              </w:rPr>
              <w:t>Antibody identification Work-Up</w:t>
            </w: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rsidR="00D32A05" w:rsidRPr="001C29FC" w:rsidRDefault="00D32A05" w:rsidP="00D32A05">
            <w:pPr>
              <w:pStyle w:val="TableText"/>
              <w:rPr>
                <w:color w:val="000000"/>
                <w:szCs w:val="18"/>
              </w:rPr>
            </w:pPr>
            <w:r w:rsidRPr="001C29FC">
              <w:rPr>
                <w:color w:val="000000"/>
                <w:szCs w:val="18"/>
              </w:rPr>
              <w:t>User enters additional workload associated with the individual reflex-ordered ABID. The selected VBECS multiplier will multiply against the VistA multiplier and display the (multiplication) product on the Division Workload Report.</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Invalidate Patient Test Results*</w:t>
            </w:r>
          </w:p>
        </w:tc>
        <w:tc>
          <w:tcPr>
            <w:tcW w:w="1442" w:type="dxa"/>
            <w:vMerge/>
            <w:shd w:val="clear" w:color="auto" w:fill="auto"/>
          </w:tcPr>
          <w:p w:rsidR="00D32A05" w:rsidRPr="001C29FC" w:rsidRDefault="00D32A05" w:rsidP="00D32A05">
            <w:pPr>
              <w:pStyle w:val="TableText"/>
              <w:rPr>
                <w:color w:val="000000"/>
                <w:szCs w:val="18"/>
              </w:rPr>
            </w:pP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rsidR="00D32A05" w:rsidRPr="001C29FC" w:rsidRDefault="00D32A05" w:rsidP="00D32A05">
            <w:pPr>
              <w:pStyle w:val="TableText"/>
              <w:rPr>
                <w:color w:val="000000"/>
                <w:szCs w:val="18"/>
              </w:rPr>
            </w:pPr>
            <w:r w:rsidRPr="001C29FC">
              <w:rPr>
                <w:color w:val="000000"/>
                <w:szCs w:val="18"/>
              </w:rPr>
              <w:t xml:space="preserve">Accrue workload when the ABID is invalidated. </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Record a Transfusion Reaction Workup</w:t>
            </w:r>
          </w:p>
        </w:tc>
        <w:tc>
          <w:tcPr>
            <w:tcW w:w="1442" w:type="dxa"/>
            <w:vMerge w:val="restart"/>
            <w:shd w:val="clear" w:color="auto" w:fill="auto"/>
          </w:tcPr>
          <w:p w:rsidR="00D32A05" w:rsidRPr="001C29FC" w:rsidRDefault="00D32A05" w:rsidP="00D32A05">
            <w:pPr>
              <w:pStyle w:val="TableText"/>
              <w:rPr>
                <w:color w:val="000000"/>
                <w:szCs w:val="18"/>
              </w:rPr>
            </w:pPr>
            <w:r w:rsidRPr="001C29FC">
              <w:rPr>
                <w:color w:val="000000"/>
                <w:szCs w:val="18"/>
              </w:rPr>
              <w:t>Antibody Screen (patient)</w:t>
            </w: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rsidR="00D32A05" w:rsidRPr="001C29FC" w:rsidRDefault="00D32A05" w:rsidP="00D32A05">
            <w:pPr>
              <w:pStyle w:val="TableText"/>
              <w:rPr>
                <w:color w:val="000000"/>
                <w:szCs w:val="18"/>
              </w:rPr>
            </w:pPr>
            <w:r w:rsidRPr="001C29FC">
              <w:rPr>
                <w:color w:val="000000"/>
                <w:szCs w:val="18"/>
              </w:rPr>
              <w:t>An ABS test for “pre” or “post” is enabled and a valid interpretation other than Not Tested is selected. A workload event is accrued separately for “Pre” and “Post” entries.</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Record Patient Antibody Screen</w:t>
            </w:r>
          </w:p>
        </w:tc>
        <w:tc>
          <w:tcPr>
            <w:tcW w:w="1442" w:type="dxa"/>
            <w:vMerge/>
            <w:shd w:val="clear" w:color="auto" w:fill="auto"/>
          </w:tcPr>
          <w:p w:rsidR="00D32A05" w:rsidRPr="001C29FC" w:rsidRDefault="00D32A05" w:rsidP="00D32A05">
            <w:pPr>
              <w:pStyle w:val="TableText"/>
              <w:rPr>
                <w:color w:val="000000"/>
                <w:szCs w:val="18"/>
              </w:rPr>
            </w:pP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ordered ABS test is performed.</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Invalidate Patient Test Results*</w:t>
            </w:r>
          </w:p>
        </w:tc>
        <w:tc>
          <w:tcPr>
            <w:tcW w:w="1442" w:type="dxa"/>
            <w:vMerge/>
            <w:shd w:val="clear" w:color="auto" w:fill="auto"/>
          </w:tcPr>
          <w:p w:rsidR="00D32A05" w:rsidRPr="001C29FC" w:rsidRDefault="00D32A05" w:rsidP="00D32A05">
            <w:pPr>
              <w:pStyle w:val="TableText"/>
              <w:rPr>
                <w:color w:val="000000"/>
                <w:szCs w:val="18"/>
              </w:rPr>
            </w:pP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rsidR="00D32A05" w:rsidRPr="001C29FC" w:rsidRDefault="00D32A05" w:rsidP="00D32A05">
            <w:pPr>
              <w:pStyle w:val="TableText"/>
              <w:rPr>
                <w:szCs w:val="18"/>
              </w:rPr>
            </w:pPr>
            <w:r w:rsidRPr="001C29FC">
              <w:rPr>
                <w:szCs w:val="18"/>
              </w:rPr>
              <w:t>Accrue workload when a completed ABS test is invalidated.</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Record Patient Antibody Screen</w:t>
            </w:r>
          </w:p>
        </w:tc>
        <w:tc>
          <w:tcPr>
            <w:tcW w:w="1442" w:type="dxa"/>
            <w:vMerge w:val="restart"/>
            <w:shd w:val="clear" w:color="auto" w:fill="auto"/>
          </w:tcPr>
          <w:p w:rsidR="00D32A05" w:rsidRPr="001C29FC" w:rsidRDefault="00D32A05" w:rsidP="00D32A05">
            <w:pPr>
              <w:pStyle w:val="TableText"/>
              <w:rPr>
                <w:color w:val="000000"/>
                <w:szCs w:val="18"/>
              </w:rPr>
            </w:pPr>
            <w:r w:rsidRPr="001C29FC">
              <w:rPr>
                <w:color w:val="000000"/>
                <w:szCs w:val="18"/>
              </w:rPr>
              <w:t>Antibody Screen (patient) Repeat Test</w:t>
            </w: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rsidR="00D32A05" w:rsidRPr="001C29FC" w:rsidRDefault="00D32A05" w:rsidP="00D32A05">
            <w:pPr>
              <w:pStyle w:val="TableText"/>
              <w:rPr>
                <w:szCs w:val="18"/>
              </w:rPr>
            </w:pPr>
            <w:r w:rsidRPr="001C29FC">
              <w:rPr>
                <w:szCs w:val="18"/>
              </w:rPr>
              <w:t>Accrue workload when a</w:t>
            </w:r>
            <w:r w:rsidRPr="001C29FC">
              <w:rPr>
                <w:color w:val="000000"/>
                <w:szCs w:val="18"/>
              </w:rPr>
              <w:t xml:space="preserve"> reflex or repeat ABS test is performed, completed, and saved.</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Invalidate Patient Test Results*</w:t>
            </w:r>
          </w:p>
        </w:tc>
        <w:tc>
          <w:tcPr>
            <w:tcW w:w="1442" w:type="dxa"/>
            <w:vMerge/>
            <w:shd w:val="clear" w:color="auto" w:fill="auto"/>
          </w:tcPr>
          <w:p w:rsidR="00D32A05" w:rsidRPr="001C29FC" w:rsidRDefault="00D32A05" w:rsidP="00D32A05">
            <w:pPr>
              <w:pStyle w:val="TableText"/>
              <w:rPr>
                <w:color w:val="000000"/>
                <w:szCs w:val="18"/>
              </w:rPr>
            </w:pP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rsidR="00D32A05" w:rsidRPr="001C29FC" w:rsidRDefault="00D32A05" w:rsidP="00D32A05">
            <w:pPr>
              <w:pStyle w:val="TableText"/>
              <w:rPr>
                <w:szCs w:val="18"/>
              </w:rPr>
            </w:pPr>
            <w:r w:rsidRPr="001C29FC">
              <w:rPr>
                <w:szCs w:val="18"/>
              </w:rPr>
              <w:t>Accrue workload when a reflex or repeat ABS test is invalidated.</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Unit Antigen Typing / Patient Antigen Typing</w:t>
            </w:r>
          </w:p>
        </w:tc>
        <w:tc>
          <w:tcPr>
            <w:tcW w:w="1442" w:type="dxa"/>
            <w:shd w:val="clear" w:color="auto" w:fill="auto"/>
          </w:tcPr>
          <w:p w:rsidR="00D32A05" w:rsidRPr="001C29FC" w:rsidRDefault="00D32A05" w:rsidP="00D32A05">
            <w:pPr>
              <w:pStyle w:val="TableText"/>
              <w:rPr>
                <w:color w:val="000000"/>
                <w:szCs w:val="18"/>
              </w:rPr>
            </w:pPr>
            <w:r w:rsidRPr="001C29FC">
              <w:rPr>
                <w:color w:val="000000"/>
                <w:szCs w:val="18"/>
              </w:rPr>
              <w:t>Antigen phenotyping, Single Test phase (QC)</w:t>
            </w: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vAlign w:val="bottom"/>
          </w:tcPr>
          <w:p w:rsidR="00D32A05" w:rsidRPr="001C29FC" w:rsidRDefault="00D32A05" w:rsidP="00D32A05">
            <w:pPr>
              <w:pStyle w:val="TableText"/>
              <w:rPr>
                <w:szCs w:val="18"/>
              </w:rPr>
            </w:pPr>
            <w:r w:rsidRPr="001C29FC">
              <w:rPr>
                <w:szCs w:val="18"/>
              </w:rPr>
              <w:t xml:space="preserve">Accrue workload when </w:t>
            </w:r>
            <w:r w:rsidRPr="001C29FC">
              <w:rPr>
                <w:color w:val="000000"/>
                <w:szCs w:val="18"/>
              </w:rPr>
              <w:t>Antiserum QC in Unit or Patient Antigen Typing includes the testing of both the positive and negative control cells, per specificity by lot number, when only one phase of reactivity is chosen for the test grid (IS or AHG). One workload event is collected per completed tab for regular or repeat antigen tests.</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Unit Antigen Typing / Patient Antigen Typing</w:t>
            </w:r>
          </w:p>
        </w:tc>
        <w:tc>
          <w:tcPr>
            <w:tcW w:w="1442" w:type="dxa"/>
            <w:shd w:val="clear" w:color="auto" w:fill="auto"/>
          </w:tcPr>
          <w:p w:rsidR="00D32A05" w:rsidRPr="001C29FC" w:rsidRDefault="00D32A05" w:rsidP="00D32A05">
            <w:pPr>
              <w:pStyle w:val="TableText"/>
              <w:rPr>
                <w:color w:val="000000"/>
                <w:szCs w:val="18"/>
              </w:rPr>
            </w:pPr>
            <w:r w:rsidRPr="001C29FC">
              <w:rPr>
                <w:color w:val="000000"/>
                <w:szCs w:val="18"/>
              </w:rPr>
              <w:t>Antigen phenotyping, Multiple Test phases (QC)</w:t>
            </w: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vAlign w:val="bottom"/>
          </w:tcPr>
          <w:p w:rsidR="00D32A05" w:rsidRPr="001C29FC" w:rsidRDefault="00D32A05" w:rsidP="00D32A05">
            <w:pPr>
              <w:pStyle w:val="TableText"/>
              <w:rPr>
                <w:szCs w:val="18"/>
              </w:rPr>
            </w:pPr>
            <w:r w:rsidRPr="001C29FC">
              <w:rPr>
                <w:szCs w:val="18"/>
              </w:rPr>
              <w:t xml:space="preserve">Accrue workload when </w:t>
            </w:r>
            <w:r w:rsidRPr="001C29FC">
              <w:rPr>
                <w:color w:val="000000"/>
                <w:szCs w:val="18"/>
              </w:rPr>
              <w:t>Antiserum QC in Unit or Patient Antigen Typing includes the testing of both the positive and negative control cells, per specificity by lot number, when only multiple phases of reactivity are chosen for the test grid, IS/RT, RT/37, or weak D. One workload event is collected per completed tab for regular or repeat antigen tests.</w:t>
            </w:r>
            <w:r w:rsidRPr="001C29FC">
              <w:rPr>
                <w:color w:val="000000"/>
                <w:szCs w:val="18"/>
              </w:rPr>
              <w:br/>
              <w:t>When weak D is the selected test, QC may not be accrued for the rack selection. QC is accrued when positive and negative cells must be tested for the lot number.</w:t>
            </w:r>
          </w:p>
        </w:tc>
      </w:tr>
      <w:tr w:rsidR="00D32A05" w:rsidRPr="001C29FC" w:rsidTr="00D32A05">
        <w:tblPrEx>
          <w:tblCellMar>
            <w:top w:w="0" w:type="dxa"/>
            <w:bottom w:w="0" w:type="dxa"/>
          </w:tblCellMar>
        </w:tblPrEx>
        <w:trPr>
          <w:cantSplit/>
          <w:tblHeader/>
        </w:trPr>
        <w:tc>
          <w:tcPr>
            <w:tcW w:w="1803" w:type="dxa"/>
            <w:shd w:val="clear" w:color="auto" w:fill="auto"/>
          </w:tcPr>
          <w:p w:rsidR="00D32A05" w:rsidRPr="001C29FC" w:rsidRDefault="00D32A05" w:rsidP="00D32A05">
            <w:pPr>
              <w:pStyle w:val="TableText"/>
              <w:rPr>
                <w:szCs w:val="18"/>
              </w:rPr>
            </w:pPr>
            <w:r w:rsidRPr="001C29FC">
              <w:rPr>
                <w:szCs w:val="18"/>
              </w:rPr>
              <w:t>Cancel Pending Order</w:t>
            </w:r>
          </w:p>
        </w:tc>
        <w:tc>
          <w:tcPr>
            <w:tcW w:w="1442" w:type="dxa"/>
            <w:shd w:val="clear" w:color="auto" w:fill="auto"/>
          </w:tcPr>
          <w:p w:rsidR="00D32A05" w:rsidRPr="001C29FC" w:rsidRDefault="00D32A05" w:rsidP="00D32A05">
            <w:pPr>
              <w:pStyle w:val="TableText"/>
              <w:rPr>
                <w:szCs w:val="18"/>
              </w:rPr>
            </w:pPr>
            <w:r w:rsidRPr="001C29FC">
              <w:rPr>
                <w:szCs w:val="18"/>
              </w:rPr>
              <w:t>Cancel Order</w:t>
            </w:r>
          </w:p>
        </w:tc>
        <w:tc>
          <w:tcPr>
            <w:tcW w:w="1633" w:type="dxa"/>
            <w:shd w:val="clear" w:color="auto" w:fill="auto"/>
          </w:tcPr>
          <w:p w:rsidR="00D32A05" w:rsidRPr="001C29FC" w:rsidRDefault="00D32A05" w:rsidP="00D32A05">
            <w:pPr>
              <w:pStyle w:val="TableText"/>
              <w:rPr>
                <w:szCs w:val="18"/>
              </w:rPr>
            </w:pPr>
            <w:r w:rsidRPr="001C29FC">
              <w:rPr>
                <w:szCs w:val="18"/>
              </w:rPr>
              <w:t>M</w:t>
            </w:r>
          </w:p>
        </w:tc>
        <w:tc>
          <w:tcPr>
            <w:tcW w:w="4482" w:type="dxa"/>
            <w:shd w:val="clear" w:color="auto" w:fill="auto"/>
          </w:tcPr>
          <w:p w:rsidR="00D32A05" w:rsidRPr="001C29FC" w:rsidRDefault="00D32A05" w:rsidP="00D32A05">
            <w:pPr>
              <w:pStyle w:val="TableText"/>
              <w:rPr>
                <w:szCs w:val="18"/>
              </w:rPr>
            </w:pPr>
            <w:r w:rsidRPr="001C29FC">
              <w:rPr>
                <w:szCs w:val="18"/>
              </w:rPr>
              <w:t>Accrue workload when an order on the pending order list is canceled. When multiple orders are canceled, each order accrues workload.</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Cancel Active Order</w:t>
            </w:r>
          </w:p>
        </w:tc>
        <w:tc>
          <w:tcPr>
            <w:tcW w:w="1442" w:type="dxa"/>
            <w:shd w:val="clear" w:color="auto" w:fill="auto"/>
          </w:tcPr>
          <w:p w:rsidR="00D32A05" w:rsidRPr="001C29FC" w:rsidRDefault="00D32A05" w:rsidP="00D32A05">
            <w:pPr>
              <w:pStyle w:val="TableText"/>
              <w:rPr>
                <w:szCs w:val="18"/>
              </w:rPr>
            </w:pPr>
            <w:r w:rsidRPr="001C29FC">
              <w:rPr>
                <w:szCs w:val="18"/>
              </w:rPr>
              <w:t>Cancel Order</w:t>
            </w:r>
          </w:p>
        </w:tc>
        <w:tc>
          <w:tcPr>
            <w:tcW w:w="1633" w:type="dxa"/>
            <w:shd w:val="clear" w:color="auto" w:fill="auto"/>
          </w:tcPr>
          <w:p w:rsidR="00D32A05" w:rsidRPr="001C29FC" w:rsidRDefault="00D32A05" w:rsidP="00D32A05">
            <w:pPr>
              <w:pStyle w:val="TableText"/>
              <w:rPr>
                <w:szCs w:val="18"/>
              </w:rPr>
            </w:pPr>
            <w:r w:rsidRPr="001C29FC">
              <w:rPr>
                <w:szCs w:val="18"/>
              </w:rPr>
              <w:t>M</w:t>
            </w:r>
          </w:p>
        </w:tc>
        <w:tc>
          <w:tcPr>
            <w:tcW w:w="4482" w:type="dxa"/>
            <w:shd w:val="clear" w:color="auto" w:fill="auto"/>
          </w:tcPr>
          <w:p w:rsidR="00D32A05" w:rsidRPr="001C29FC" w:rsidRDefault="00D32A05" w:rsidP="00D32A05">
            <w:pPr>
              <w:pStyle w:val="TableText"/>
              <w:rPr>
                <w:szCs w:val="18"/>
              </w:rPr>
            </w:pPr>
            <w:r w:rsidRPr="001C29FC">
              <w:rPr>
                <w:szCs w:val="18"/>
              </w:rPr>
              <w:t>Accrue workload when an order on the pending task list is canceled. When multiple orders are canceled, each order accrues workload.</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rPr>
                <w:szCs w:val="18"/>
              </w:rPr>
            </w:pPr>
            <w:r w:rsidRPr="001C29FC">
              <w:rPr>
                <w:snapToGrid w:val="0"/>
                <w:szCs w:val="18"/>
              </w:rPr>
              <w:t>Select Units for Crossmatch</w:t>
            </w:r>
          </w:p>
        </w:tc>
        <w:tc>
          <w:tcPr>
            <w:tcW w:w="1442" w:type="dxa"/>
            <w:shd w:val="clear" w:color="auto" w:fill="auto"/>
          </w:tcPr>
          <w:p w:rsidR="00D32A05" w:rsidRPr="001C29FC" w:rsidRDefault="00D32A05" w:rsidP="00D32A05">
            <w:pPr>
              <w:pStyle w:val="TableText"/>
              <w:rPr>
                <w:szCs w:val="18"/>
              </w:rPr>
            </w:pPr>
            <w:r w:rsidRPr="001C29FC">
              <w:rPr>
                <w:szCs w:val="18"/>
              </w:rPr>
              <w:t>Crossmatch unit, electronic</w:t>
            </w: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rsidR="00D32A05" w:rsidRPr="001C29FC" w:rsidRDefault="00D32A05" w:rsidP="00D32A05">
            <w:pPr>
              <w:pStyle w:val="TableText"/>
              <w:rPr>
                <w:color w:val="000000"/>
                <w:szCs w:val="18"/>
              </w:rPr>
            </w:pPr>
            <w:r w:rsidRPr="001C29FC">
              <w:rPr>
                <w:color w:val="000000"/>
                <w:szCs w:val="18"/>
              </w:rPr>
              <w:t>This process is invoked when an individual unit is selected for patient assignment and the unit is electronically crossmatched. When multiple units are selected, each unit accrues workload.</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Enter Crossmatch Results</w:t>
            </w:r>
          </w:p>
        </w:tc>
        <w:tc>
          <w:tcPr>
            <w:tcW w:w="1442" w:type="dxa"/>
            <w:vMerge w:val="restart"/>
            <w:shd w:val="clear" w:color="auto" w:fill="auto"/>
          </w:tcPr>
          <w:p w:rsidR="00D32A05" w:rsidRPr="001C29FC" w:rsidRDefault="00D32A05" w:rsidP="00D32A05">
            <w:pPr>
              <w:pStyle w:val="TableText"/>
              <w:rPr>
                <w:color w:val="000000"/>
                <w:szCs w:val="18"/>
              </w:rPr>
            </w:pPr>
            <w:r w:rsidRPr="001C29FC">
              <w:rPr>
                <w:color w:val="000000"/>
                <w:szCs w:val="18"/>
              </w:rPr>
              <w:t>Crossmatch unit, serologic immediate spin</w:t>
            </w: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unit crossmatch is selected to include only the IS phase, is completed, and is saved. When multiple units are selected, each unit accrues workload.</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lastRenderedPageBreak/>
              <w:t>Invalidate Patient Test Results*</w:t>
            </w:r>
          </w:p>
        </w:tc>
        <w:tc>
          <w:tcPr>
            <w:tcW w:w="1442" w:type="dxa"/>
            <w:vMerge/>
            <w:shd w:val="clear" w:color="auto" w:fill="auto"/>
          </w:tcPr>
          <w:p w:rsidR="00D32A05" w:rsidRPr="001C29FC" w:rsidRDefault="00D32A05" w:rsidP="00D32A05">
            <w:pPr>
              <w:pStyle w:val="TableText"/>
              <w:rPr>
                <w:color w:val="000000"/>
                <w:szCs w:val="18"/>
              </w:rPr>
            </w:pPr>
          </w:p>
        </w:tc>
        <w:tc>
          <w:tcPr>
            <w:tcW w:w="1633" w:type="dxa"/>
            <w:shd w:val="clear" w:color="auto" w:fill="auto"/>
          </w:tcPr>
          <w:p w:rsidR="00D32A05" w:rsidRPr="001C29FC" w:rsidRDefault="00D32A05" w:rsidP="00D32A05">
            <w:pPr>
              <w:pStyle w:val="TableText"/>
              <w:rPr>
                <w:szCs w:val="18"/>
              </w:rPr>
            </w:pPr>
            <w:r w:rsidRPr="001C29FC">
              <w:rPr>
                <w:szCs w:val="18"/>
              </w:rPr>
              <w:t>P</w:t>
            </w:r>
          </w:p>
        </w:tc>
        <w:tc>
          <w:tcPr>
            <w:tcW w:w="4482" w:type="dxa"/>
            <w:shd w:val="clear" w:color="auto" w:fill="auto"/>
          </w:tcPr>
          <w:p w:rsidR="00D32A05" w:rsidRPr="001C29FC" w:rsidRDefault="00D32A05" w:rsidP="00D32A05">
            <w:pPr>
              <w:pStyle w:val="TableText"/>
              <w:rPr>
                <w:szCs w:val="18"/>
              </w:rPr>
            </w:pPr>
            <w:r w:rsidRPr="001C29FC">
              <w:rPr>
                <w:szCs w:val="18"/>
              </w:rPr>
              <w:t>Accrue workload when a completed crossmatch test is invalidated. This applies to the workload originally saved with the serologic immediate spin test.</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Record a Transfusion Reaction Workup</w:t>
            </w:r>
          </w:p>
        </w:tc>
        <w:tc>
          <w:tcPr>
            <w:tcW w:w="1442" w:type="dxa"/>
            <w:vMerge w:val="restart"/>
            <w:shd w:val="clear" w:color="auto" w:fill="auto"/>
          </w:tcPr>
          <w:p w:rsidR="00D32A05" w:rsidRPr="001C29FC" w:rsidRDefault="00D32A05" w:rsidP="00D32A05">
            <w:pPr>
              <w:pStyle w:val="TableText"/>
              <w:rPr>
                <w:color w:val="000000"/>
                <w:szCs w:val="18"/>
              </w:rPr>
            </w:pPr>
            <w:r w:rsidRPr="001C29FC">
              <w:rPr>
                <w:color w:val="000000"/>
                <w:szCs w:val="18"/>
              </w:rPr>
              <w:t>Crossmatch unit, serological Coombs</w:t>
            </w: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rsidR="00D32A05" w:rsidRPr="001C29FC" w:rsidRDefault="00D32A05" w:rsidP="00D32A05">
            <w:pPr>
              <w:pStyle w:val="TableText"/>
              <w:rPr>
                <w:color w:val="000000"/>
                <w:szCs w:val="18"/>
              </w:rPr>
            </w:pPr>
            <w:r w:rsidRPr="001C29FC">
              <w:rPr>
                <w:color w:val="000000"/>
                <w:szCs w:val="18"/>
              </w:rPr>
              <w:t>A crossmatch test for “pre” or “post” is enabled and a valid interpretation other than Not Tested is selected. A workload event is accrued separately for “Pre” and “Post” entries.</w:t>
            </w:r>
            <w:r w:rsidRPr="001C29FC">
              <w:rPr>
                <w:color w:val="000000"/>
                <w:szCs w:val="18"/>
              </w:rPr>
              <w:br/>
              <w:t>When multiple units are selected, each unit accrues workload.</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Enter Crossmatch Results</w:t>
            </w:r>
          </w:p>
        </w:tc>
        <w:tc>
          <w:tcPr>
            <w:tcW w:w="1442" w:type="dxa"/>
            <w:vMerge/>
            <w:shd w:val="clear" w:color="auto" w:fill="auto"/>
          </w:tcPr>
          <w:p w:rsidR="00D32A05" w:rsidRPr="001C29FC" w:rsidRDefault="00D32A05" w:rsidP="00D32A05">
            <w:pPr>
              <w:pStyle w:val="TableText"/>
              <w:rPr>
                <w:color w:val="000000"/>
                <w:szCs w:val="18"/>
              </w:rPr>
            </w:pP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unit crossmatch is selected to include all phases or only the AHG phase, is completed, and is saved. When multiple units are selected, each unit accrues workload.</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Invalidate Patient Test Results*</w:t>
            </w:r>
          </w:p>
        </w:tc>
        <w:tc>
          <w:tcPr>
            <w:tcW w:w="1442" w:type="dxa"/>
            <w:vMerge/>
            <w:shd w:val="clear" w:color="auto" w:fill="auto"/>
          </w:tcPr>
          <w:p w:rsidR="00D32A05" w:rsidRPr="001C29FC" w:rsidRDefault="00D32A05" w:rsidP="00D32A05">
            <w:pPr>
              <w:pStyle w:val="TableText"/>
              <w:rPr>
                <w:color w:val="000000"/>
                <w:szCs w:val="18"/>
              </w:rPr>
            </w:pPr>
          </w:p>
        </w:tc>
        <w:tc>
          <w:tcPr>
            <w:tcW w:w="1633" w:type="dxa"/>
            <w:shd w:val="clear" w:color="auto" w:fill="auto"/>
          </w:tcPr>
          <w:p w:rsidR="00D32A05" w:rsidRPr="001C29FC" w:rsidRDefault="00D32A05" w:rsidP="00D32A05">
            <w:pPr>
              <w:pStyle w:val="TableText"/>
              <w:rPr>
                <w:szCs w:val="18"/>
              </w:rPr>
            </w:pPr>
            <w:r w:rsidRPr="001C29FC">
              <w:rPr>
                <w:szCs w:val="18"/>
              </w:rPr>
              <w:t>P</w:t>
            </w:r>
          </w:p>
        </w:tc>
        <w:tc>
          <w:tcPr>
            <w:tcW w:w="4482" w:type="dxa"/>
            <w:shd w:val="clear" w:color="auto" w:fill="auto"/>
          </w:tcPr>
          <w:p w:rsidR="00D32A05" w:rsidRPr="001C29FC" w:rsidRDefault="00D32A05" w:rsidP="00D32A05">
            <w:pPr>
              <w:pStyle w:val="TableText"/>
              <w:rPr>
                <w:szCs w:val="18"/>
              </w:rPr>
            </w:pPr>
            <w:r w:rsidRPr="001C29FC">
              <w:rPr>
                <w:szCs w:val="18"/>
              </w:rPr>
              <w:t>Accrue workload when a completed crossmatch test is invalidated. This applies to the workload originally saved with the test, serological Coombs.</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Enter Crossmatch Results</w:t>
            </w:r>
          </w:p>
        </w:tc>
        <w:tc>
          <w:tcPr>
            <w:tcW w:w="1442" w:type="dxa"/>
            <w:vMerge w:val="restart"/>
            <w:shd w:val="clear" w:color="auto" w:fill="auto"/>
          </w:tcPr>
          <w:p w:rsidR="00D32A05" w:rsidRPr="001C29FC" w:rsidRDefault="00D32A05" w:rsidP="00D32A05">
            <w:pPr>
              <w:pStyle w:val="TableText"/>
              <w:rPr>
                <w:color w:val="000000"/>
                <w:szCs w:val="18"/>
              </w:rPr>
            </w:pPr>
            <w:r w:rsidRPr="001C29FC">
              <w:rPr>
                <w:color w:val="000000"/>
                <w:szCs w:val="18"/>
              </w:rPr>
              <w:t>Crossmatch, Repeat Test</w:t>
            </w: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unit crossmatch is selected to include all phases or IS or only the AHG phase, is completed, and is saved. When multiple units are selected, each unit accrues workload.</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Invalidate Patient Test Results*</w:t>
            </w:r>
          </w:p>
        </w:tc>
        <w:tc>
          <w:tcPr>
            <w:tcW w:w="1442" w:type="dxa"/>
            <w:vMerge/>
            <w:shd w:val="clear" w:color="auto" w:fill="auto"/>
          </w:tcPr>
          <w:p w:rsidR="00D32A05" w:rsidRPr="001C29FC" w:rsidRDefault="00D32A05" w:rsidP="00D32A05">
            <w:pPr>
              <w:pStyle w:val="TableText"/>
              <w:rPr>
                <w:color w:val="000000"/>
                <w:szCs w:val="18"/>
              </w:rPr>
            </w:pP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rsidR="00D32A05" w:rsidRPr="001C29FC" w:rsidRDefault="00D32A05" w:rsidP="00D32A05">
            <w:pPr>
              <w:pStyle w:val="TableText"/>
              <w:rPr>
                <w:szCs w:val="18"/>
              </w:rPr>
            </w:pPr>
            <w:r w:rsidRPr="001C29FC">
              <w:rPr>
                <w:szCs w:val="18"/>
              </w:rPr>
              <w:t>Accrue workload when an individual unit crossmatch is invalidated.</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rPr>
                <w:szCs w:val="18"/>
              </w:rPr>
            </w:pPr>
            <w:r w:rsidRPr="001C29FC">
              <w:rPr>
                <w:snapToGrid w:val="0"/>
                <w:szCs w:val="18"/>
              </w:rPr>
              <w:t>Enter Daily QC Results</w:t>
            </w:r>
          </w:p>
        </w:tc>
        <w:tc>
          <w:tcPr>
            <w:tcW w:w="1442" w:type="dxa"/>
            <w:shd w:val="clear" w:color="auto" w:fill="auto"/>
          </w:tcPr>
          <w:p w:rsidR="00D32A05" w:rsidRPr="001C29FC" w:rsidRDefault="00D32A05" w:rsidP="00D32A05">
            <w:pPr>
              <w:pStyle w:val="TableText"/>
              <w:rPr>
                <w:color w:val="000000"/>
                <w:szCs w:val="18"/>
              </w:rPr>
            </w:pPr>
            <w:r w:rsidRPr="001C29FC">
              <w:rPr>
                <w:color w:val="000000"/>
                <w:szCs w:val="18"/>
              </w:rPr>
              <w:t>Daily Rack Quality Control (QC)</w:t>
            </w: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vAlign w:val="bottom"/>
          </w:tcPr>
          <w:p w:rsidR="00D32A05" w:rsidRPr="001C29FC" w:rsidRDefault="00D32A05" w:rsidP="00D32A05">
            <w:pPr>
              <w:pStyle w:val="TableText"/>
              <w:rPr>
                <w:szCs w:val="18"/>
              </w:rPr>
            </w:pPr>
            <w:r w:rsidRPr="001C29FC">
              <w:rPr>
                <w:szCs w:val="18"/>
              </w:rPr>
              <w:t xml:space="preserve">Accrue workload when </w:t>
            </w:r>
            <w:r w:rsidRPr="001C29FC">
              <w:rPr>
                <w:color w:val="000000"/>
                <w:szCs w:val="18"/>
              </w:rPr>
              <w:t>Daily QC rack completed for one individual rack includes all rows in configured QC. When multiple racks are tested, each completed and saved tab accrues a workload event.</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Record Patient Direct Antiglobulin Test</w:t>
            </w:r>
          </w:p>
        </w:tc>
        <w:tc>
          <w:tcPr>
            <w:tcW w:w="1442" w:type="dxa"/>
            <w:shd w:val="clear" w:color="auto" w:fill="auto"/>
          </w:tcPr>
          <w:p w:rsidR="00D32A05" w:rsidRPr="001C29FC" w:rsidRDefault="00D32A05" w:rsidP="00D32A05">
            <w:pPr>
              <w:pStyle w:val="TableText"/>
              <w:rPr>
                <w:color w:val="000000"/>
                <w:szCs w:val="18"/>
              </w:rPr>
            </w:pPr>
            <w:r w:rsidRPr="001C29FC">
              <w:rPr>
                <w:color w:val="000000"/>
                <w:szCs w:val="18"/>
              </w:rPr>
              <w:t>DAT (QC)</w:t>
            </w: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vAlign w:val="bottom"/>
          </w:tcPr>
          <w:p w:rsidR="00D32A05" w:rsidRPr="001C29FC" w:rsidRDefault="00D32A05" w:rsidP="00D32A05">
            <w:pPr>
              <w:pStyle w:val="TableText"/>
              <w:rPr>
                <w:szCs w:val="18"/>
              </w:rPr>
            </w:pPr>
            <w:r w:rsidRPr="001C29FC">
              <w:rPr>
                <w:szCs w:val="18"/>
              </w:rPr>
              <w:t xml:space="preserve">Accrue workload when </w:t>
            </w:r>
            <w:r w:rsidRPr="001C29FC">
              <w:rPr>
                <w:color w:val="000000"/>
                <w:szCs w:val="18"/>
              </w:rPr>
              <w:t>Reagent QC completed in Patient DAT testing includes the testing of both the positive and negative control cells, per specificity per lot number, when only one phase of reactivity is chosen for the test grid (IS or AHG). One workload event is collected per completed tab for regular or repeat antiglobulin tests (PS, IgG, Comp).</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Record a Transfusion Reaction Workup</w:t>
            </w:r>
          </w:p>
        </w:tc>
        <w:tc>
          <w:tcPr>
            <w:tcW w:w="1442" w:type="dxa"/>
            <w:vMerge w:val="restart"/>
            <w:shd w:val="clear" w:color="auto" w:fill="auto"/>
          </w:tcPr>
          <w:p w:rsidR="00D32A05" w:rsidRPr="001C29FC" w:rsidRDefault="00D32A05" w:rsidP="00D32A05">
            <w:pPr>
              <w:pStyle w:val="TableText"/>
              <w:rPr>
                <w:color w:val="000000"/>
                <w:szCs w:val="18"/>
              </w:rPr>
            </w:pPr>
            <w:r w:rsidRPr="001C29FC">
              <w:rPr>
                <w:color w:val="000000"/>
                <w:szCs w:val="18"/>
              </w:rPr>
              <w:t>Direct Antiglobulin Test (DAT)</w:t>
            </w: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rsidR="00D32A05" w:rsidRPr="001C29FC" w:rsidRDefault="00D32A05" w:rsidP="00D32A05">
            <w:pPr>
              <w:pStyle w:val="TableText"/>
              <w:rPr>
                <w:color w:val="000000"/>
                <w:szCs w:val="18"/>
              </w:rPr>
            </w:pPr>
            <w:r w:rsidRPr="001C29FC">
              <w:rPr>
                <w:color w:val="000000"/>
                <w:szCs w:val="18"/>
              </w:rPr>
              <w:t>A DAT test for “pre” or “post” is enabled and a valid interpretation other than Not Tested is selected. A workload event is accrued separately for “Pre” and “Post “entries.</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Record Patient Direct Antiglobulin Test</w:t>
            </w:r>
          </w:p>
        </w:tc>
        <w:tc>
          <w:tcPr>
            <w:tcW w:w="1442" w:type="dxa"/>
            <w:vMerge/>
            <w:shd w:val="clear" w:color="auto" w:fill="auto"/>
          </w:tcPr>
          <w:p w:rsidR="00D32A05" w:rsidRPr="001C29FC" w:rsidRDefault="00D32A05" w:rsidP="00D32A05">
            <w:pPr>
              <w:pStyle w:val="TableText"/>
              <w:rPr>
                <w:color w:val="000000"/>
                <w:szCs w:val="18"/>
              </w:rPr>
            </w:pP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rsidR="00D32A05" w:rsidRPr="001C29FC" w:rsidRDefault="00D32A05" w:rsidP="00D32A05">
            <w:pPr>
              <w:pStyle w:val="TableText"/>
              <w:rPr>
                <w:szCs w:val="18"/>
              </w:rPr>
            </w:pPr>
            <w:r w:rsidRPr="001C29FC">
              <w:rPr>
                <w:szCs w:val="18"/>
              </w:rPr>
              <w:t>Accrue workload when a</w:t>
            </w:r>
            <w:r w:rsidRPr="001C29FC">
              <w:rPr>
                <w:color w:val="000000"/>
                <w:szCs w:val="18"/>
              </w:rPr>
              <w:t xml:space="preserve"> DAT is completed and saved. This count is used for all antiglobulin tests (PS, IgG, Comp) when ordered from CPRS or Reflex testing.</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Invalidate Patient Test Results*</w:t>
            </w:r>
          </w:p>
        </w:tc>
        <w:tc>
          <w:tcPr>
            <w:tcW w:w="1442" w:type="dxa"/>
            <w:vMerge/>
            <w:shd w:val="clear" w:color="auto" w:fill="auto"/>
          </w:tcPr>
          <w:p w:rsidR="00D32A05" w:rsidRPr="001C29FC" w:rsidRDefault="00D32A05" w:rsidP="00D32A05">
            <w:pPr>
              <w:pStyle w:val="TableText"/>
              <w:rPr>
                <w:color w:val="000000"/>
                <w:szCs w:val="18"/>
              </w:rPr>
            </w:pP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rsidR="00D32A05" w:rsidRPr="001C29FC" w:rsidRDefault="00D32A05" w:rsidP="00D32A05">
            <w:pPr>
              <w:pStyle w:val="TableText"/>
              <w:rPr>
                <w:szCs w:val="18"/>
              </w:rPr>
            </w:pPr>
            <w:r w:rsidRPr="001C29FC">
              <w:rPr>
                <w:szCs w:val="18"/>
              </w:rPr>
              <w:t xml:space="preserve">Accrue workload when a completed DAT, PS, IgG, or Comp is invalidated. </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Record Patient Direct Antiglobulin Test</w:t>
            </w:r>
          </w:p>
        </w:tc>
        <w:tc>
          <w:tcPr>
            <w:tcW w:w="1442" w:type="dxa"/>
            <w:vMerge w:val="restart"/>
            <w:shd w:val="clear" w:color="auto" w:fill="auto"/>
          </w:tcPr>
          <w:p w:rsidR="00D32A05" w:rsidRPr="001C29FC" w:rsidRDefault="00D32A05" w:rsidP="00D32A05">
            <w:pPr>
              <w:pStyle w:val="TableText"/>
              <w:rPr>
                <w:color w:val="000000"/>
                <w:szCs w:val="18"/>
              </w:rPr>
            </w:pPr>
            <w:r w:rsidRPr="001C29FC">
              <w:rPr>
                <w:color w:val="000000"/>
                <w:szCs w:val="18"/>
              </w:rPr>
              <w:t>Direct Antiglobulin Test (DAT) Repeat test</w:t>
            </w: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rsidR="00D32A05" w:rsidRPr="001C29FC" w:rsidRDefault="00D32A05" w:rsidP="00D32A05">
            <w:pPr>
              <w:pStyle w:val="TableText"/>
              <w:rPr>
                <w:szCs w:val="18"/>
              </w:rPr>
            </w:pPr>
            <w:r w:rsidRPr="001C29FC">
              <w:rPr>
                <w:szCs w:val="18"/>
              </w:rPr>
              <w:t>Accrue workload when a</w:t>
            </w:r>
            <w:r w:rsidRPr="001C29FC">
              <w:rPr>
                <w:color w:val="000000"/>
                <w:szCs w:val="18"/>
              </w:rPr>
              <w:t xml:space="preserve"> reflex or repeat DAT test is performed, completed, and saved. This applies to all repeat antiglobulin tests (PS, IgG, Comp).</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Invalidate Patient Test Results*</w:t>
            </w:r>
          </w:p>
        </w:tc>
        <w:tc>
          <w:tcPr>
            <w:tcW w:w="1442" w:type="dxa"/>
            <w:vMerge/>
            <w:shd w:val="clear" w:color="auto" w:fill="auto"/>
          </w:tcPr>
          <w:p w:rsidR="00D32A05" w:rsidRPr="001C29FC" w:rsidRDefault="00D32A05" w:rsidP="00D32A05">
            <w:pPr>
              <w:pStyle w:val="TableText"/>
              <w:rPr>
                <w:color w:val="000000"/>
                <w:szCs w:val="18"/>
              </w:rPr>
            </w:pP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rsidR="00D32A05" w:rsidRPr="001C29FC" w:rsidRDefault="00D32A05" w:rsidP="00D32A05">
            <w:pPr>
              <w:pStyle w:val="TableText"/>
              <w:rPr>
                <w:szCs w:val="18"/>
              </w:rPr>
            </w:pPr>
            <w:r w:rsidRPr="001C29FC">
              <w:rPr>
                <w:szCs w:val="18"/>
              </w:rPr>
              <w:t>Accrue workload when a completed Repeat DAT, PS, IgG, or Comp is invalidated.</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Modify Units</w:t>
            </w:r>
          </w:p>
        </w:tc>
        <w:tc>
          <w:tcPr>
            <w:tcW w:w="1442" w:type="dxa"/>
            <w:vMerge w:val="restart"/>
            <w:shd w:val="clear" w:color="auto" w:fill="auto"/>
          </w:tcPr>
          <w:p w:rsidR="00D32A05" w:rsidRPr="001C29FC" w:rsidRDefault="00D32A05" w:rsidP="00D32A05">
            <w:pPr>
              <w:pStyle w:val="TableText"/>
              <w:rPr>
                <w:color w:val="000000"/>
                <w:szCs w:val="18"/>
              </w:rPr>
            </w:pPr>
            <w:r w:rsidRPr="001C29FC">
              <w:rPr>
                <w:color w:val="000000"/>
                <w:szCs w:val="18"/>
              </w:rPr>
              <w:t>Deglycerolize unit</w:t>
            </w: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blood unit is processed by the Deglycerolize modification type. Note: Workload is not accrued when a patient assignment is processed and VBECS releases all other patient assignments. Workload is not accrued when VBECS is required to quarantine the unit.</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lastRenderedPageBreak/>
              <w:t>Remove Final Status*</w:t>
            </w:r>
          </w:p>
        </w:tc>
        <w:tc>
          <w:tcPr>
            <w:tcW w:w="1442" w:type="dxa"/>
            <w:vMerge/>
            <w:shd w:val="clear" w:color="auto" w:fill="auto"/>
          </w:tcPr>
          <w:p w:rsidR="00D32A05" w:rsidRPr="001C29FC" w:rsidRDefault="00D32A05" w:rsidP="00D32A05">
            <w:pPr>
              <w:pStyle w:val="TableText"/>
              <w:rPr>
                <w:color w:val="000000"/>
                <w:szCs w:val="18"/>
              </w:rPr>
            </w:pP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“Deglycerolize.”</w:t>
            </w:r>
          </w:p>
        </w:tc>
      </w:tr>
      <w:tr w:rsidR="00D32A05" w:rsidRPr="001C29FC" w:rsidTr="00D32A05">
        <w:tblPrEx>
          <w:tblCellMar>
            <w:top w:w="0" w:type="dxa"/>
            <w:bottom w:w="0" w:type="dxa"/>
          </w:tblCellMar>
        </w:tblPrEx>
        <w:trPr>
          <w:cantSplit/>
          <w:tblHeader/>
        </w:trPr>
        <w:tc>
          <w:tcPr>
            <w:tcW w:w="1803" w:type="dxa"/>
            <w:shd w:val="clear" w:color="auto" w:fill="auto"/>
          </w:tcPr>
          <w:p w:rsidR="00D32A05" w:rsidRPr="001C29FC" w:rsidRDefault="00D32A05" w:rsidP="00D32A05">
            <w:pPr>
              <w:pStyle w:val="TableText"/>
              <w:rPr>
                <w:color w:val="000000"/>
                <w:szCs w:val="18"/>
              </w:rPr>
            </w:pPr>
            <w:r w:rsidRPr="001C29FC">
              <w:rPr>
                <w:color w:val="000000"/>
                <w:szCs w:val="18"/>
              </w:rPr>
              <w:t>Discard or Quarantine Unit</w:t>
            </w:r>
          </w:p>
        </w:tc>
        <w:tc>
          <w:tcPr>
            <w:tcW w:w="1442" w:type="dxa"/>
            <w:vMerge w:val="restart"/>
            <w:shd w:val="clear" w:color="auto" w:fill="auto"/>
          </w:tcPr>
          <w:p w:rsidR="00D32A05" w:rsidRPr="001C29FC" w:rsidRDefault="00D32A05" w:rsidP="00D32A05">
            <w:pPr>
              <w:pStyle w:val="TableText"/>
              <w:rPr>
                <w:color w:val="000000"/>
                <w:szCs w:val="18"/>
              </w:rPr>
            </w:pPr>
            <w:r w:rsidRPr="001C29FC">
              <w:rPr>
                <w:color w:val="000000"/>
                <w:szCs w:val="18"/>
              </w:rPr>
              <w:t>Discard unit</w:t>
            </w: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rsidR="00D32A05" w:rsidRPr="001C29FC" w:rsidRDefault="00D32A05" w:rsidP="00D32A05">
            <w:pPr>
              <w:pStyle w:val="TableText"/>
              <w:rPr>
                <w:szCs w:val="18"/>
              </w:rPr>
            </w:pPr>
            <w:r w:rsidRPr="001C29FC">
              <w:rPr>
                <w:szCs w:val="18"/>
              </w:rPr>
              <w:t>Accrue workload when a</w:t>
            </w:r>
            <w:r w:rsidRPr="001C29FC">
              <w:rPr>
                <w:color w:val="000000"/>
                <w:szCs w:val="18"/>
              </w:rPr>
              <w:t>n individual blood unit’s status is invalidated. When a batch of units is selected, each unit accrues workload.</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Remove Final Status*</w:t>
            </w:r>
          </w:p>
        </w:tc>
        <w:tc>
          <w:tcPr>
            <w:tcW w:w="1442" w:type="dxa"/>
            <w:vMerge/>
            <w:shd w:val="clear" w:color="auto" w:fill="auto"/>
          </w:tcPr>
          <w:p w:rsidR="00D32A05" w:rsidRPr="001C29FC" w:rsidRDefault="00D32A05" w:rsidP="00D32A05">
            <w:pPr>
              <w:pStyle w:val="TableText"/>
              <w:rPr>
                <w:color w:val="000000"/>
                <w:szCs w:val="18"/>
              </w:rPr>
            </w:pP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rsidR="00D32A05" w:rsidRPr="001C29FC" w:rsidRDefault="00D32A05" w:rsidP="00D32A05">
            <w:pPr>
              <w:pStyle w:val="TableText"/>
              <w:rPr>
                <w:szCs w:val="18"/>
              </w:rPr>
            </w:pPr>
            <w:r w:rsidRPr="001C29FC">
              <w:rPr>
                <w:szCs w:val="18"/>
              </w:rPr>
              <w:t>Accrue workload when a</w:t>
            </w:r>
            <w:r w:rsidRPr="001C29FC">
              <w:rPr>
                <w:color w:val="000000"/>
                <w:szCs w:val="18"/>
              </w:rPr>
              <w:t xml:space="preserve"> unit is discarded for waste or credit. When a batch of units is selected, each unit accrues workload.</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Modify Units</w:t>
            </w:r>
          </w:p>
        </w:tc>
        <w:tc>
          <w:tcPr>
            <w:tcW w:w="1442" w:type="dxa"/>
            <w:vMerge w:val="restart"/>
            <w:shd w:val="clear" w:color="auto" w:fill="auto"/>
          </w:tcPr>
          <w:p w:rsidR="00D32A05" w:rsidRPr="001C29FC" w:rsidRDefault="00D32A05" w:rsidP="00D32A05">
            <w:pPr>
              <w:pStyle w:val="TableText"/>
              <w:rPr>
                <w:color w:val="000000"/>
                <w:szCs w:val="18"/>
              </w:rPr>
            </w:pPr>
            <w:r w:rsidRPr="001C29FC">
              <w:rPr>
                <w:color w:val="000000"/>
                <w:szCs w:val="18"/>
              </w:rPr>
              <w:t>Freeze unit</w:t>
            </w: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blood unit is processed by the Freeze modification type. Note: Workload is not accrued when a patient assignment is processed and VBECS releases all other patient assignments. Workload is not accrued when VBECS is required to quarantine the unit.</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Remove Final Status*</w:t>
            </w:r>
          </w:p>
        </w:tc>
        <w:tc>
          <w:tcPr>
            <w:tcW w:w="1442" w:type="dxa"/>
            <w:vMerge/>
            <w:shd w:val="clear" w:color="auto" w:fill="auto"/>
          </w:tcPr>
          <w:p w:rsidR="00D32A05" w:rsidRPr="001C29FC" w:rsidRDefault="00D32A05" w:rsidP="00D32A05">
            <w:pPr>
              <w:pStyle w:val="TableText"/>
              <w:rPr>
                <w:color w:val="000000"/>
                <w:szCs w:val="18"/>
              </w:rPr>
            </w:pP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“Freeze.”</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Modify Units</w:t>
            </w:r>
          </w:p>
        </w:tc>
        <w:tc>
          <w:tcPr>
            <w:tcW w:w="1442" w:type="dxa"/>
            <w:vMerge w:val="restart"/>
            <w:shd w:val="clear" w:color="auto" w:fill="auto"/>
          </w:tcPr>
          <w:p w:rsidR="00D32A05" w:rsidRPr="001C29FC" w:rsidRDefault="00D32A05" w:rsidP="00D32A05">
            <w:pPr>
              <w:pStyle w:val="TableText"/>
              <w:rPr>
                <w:color w:val="000000"/>
                <w:szCs w:val="18"/>
              </w:rPr>
            </w:pPr>
            <w:r w:rsidRPr="001C29FC">
              <w:rPr>
                <w:color w:val="000000"/>
                <w:szCs w:val="18"/>
              </w:rPr>
              <w:t>Irradiate unit</w:t>
            </w: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blood unit is processed by the Irradiate modification type. When a batch of units is irradiated, each unit accrues workload. Note: Workload is not accrued when a patient assignment is processed and VBECS releases all other patient assignments. Workload is not accrued when VBECS is required to quarantine the unit.</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Remove Final Status*</w:t>
            </w:r>
          </w:p>
        </w:tc>
        <w:tc>
          <w:tcPr>
            <w:tcW w:w="1442" w:type="dxa"/>
            <w:vMerge/>
            <w:shd w:val="clear" w:color="auto" w:fill="auto"/>
          </w:tcPr>
          <w:p w:rsidR="00D32A05" w:rsidRPr="001C29FC" w:rsidRDefault="00D32A05" w:rsidP="00D32A05">
            <w:pPr>
              <w:pStyle w:val="TableText"/>
              <w:rPr>
                <w:color w:val="000000"/>
                <w:szCs w:val="18"/>
              </w:rPr>
            </w:pP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“Irradiate.”</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Modify Units</w:t>
            </w:r>
          </w:p>
        </w:tc>
        <w:tc>
          <w:tcPr>
            <w:tcW w:w="1442" w:type="dxa"/>
            <w:vMerge w:val="restart"/>
            <w:shd w:val="clear" w:color="auto" w:fill="auto"/>
          </w:tcPr>
          <w:p w:rsidR="00D32A05" w:rsidRPr="001C29FC" w:rsidRDefault="00D32A05" w:rsidP="00D32A05">
            <w:pPr>
              <w:pStyle w:val="TableText"/>
              <w:rPr>
                <w:color w:val="000000"/>
                <w:szCs w:val="18"/>
              </w:rPr>
            </w:pPr>
            <w:r w:rsidRPr="001C29FC">
              <w:rPr>
                <w:color w:val="000000"/>
                <w:szCs w:val="18"/>
              </w:rPr>
              <w:t>Leukoreduce unit</w:t>
            </w: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blood unit is processed by the Leukoreduce modification type.</w:t>
            </w:r>
            <w:r w:rsidRPr="001C29FC">
              <w:rPr>
                <w:color w:val="000000"/>
                <w:szCs w:val="18"/>
              </w:rPr>
              <w:br/>
              <w:t>Note: Workload is not accrued when a patient assignment is processed and VBECS releases all other patient assignments. Workload is not accrued when VBECS is required to quarantine the unit.</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Remove Final Status*</w:t>
            </w:r>
          </w:p>
        </w:tc>
        <w:tc>
          <w:tcPr>
            <w:tcW w:w="1442" w:type="dxa"/>
            <w:vMerge/>
            <w:shd w:val="clear" w:color="auto" w:fill="auto"/>
          </w:tcPr>
          <w:p w:rsidR="00D32A05" w:rsidRPr="001C29FC" w:rsidRDefault="00D32A05" w:rsidP="00D32A05">
            <w:pPr>
              <w:pStyle w:val="TableText"/>
              <w:rPr>
                <w:color w:val="000000"/>
                <w:szCs w:val="18"/>
              </w:rPr>
            </w:pP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“Leukoreduce.”</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Split a Unit</w:t>
            </w:r>
          </w:p>
        </w:tc>
        <w:tc>
          <w:tcPr>
            <w:tcW w:w="1442" w:type="dxa"/>
            <w:vMerge w:val="restart"/>
            <w:shd w:val="clear" w:color="auto" w:fill="auto"/>
          </w:tcPr>
          <w:p w:rsidR="00D32A05" w:rsidRPr="001C29FC" w:rsidRDefault="00D32A05" w:rsidP="00D32A05">
            <w:pPr>
              <w:pStyle w:val="TableText"/>
              <w:rPr>
                <w:color w:val="000000"/>
                <w:szCs w:val="18"/>
              </w:rPr>
            </w:pPr>
            <w:r w:rsidRPr="001C29FC">
              <w:rPr>
                <w:color w:val="000000"/>
                <w:szCs w:val="18"/>
              </w:rPr>
              <w:t>Split unit</w:t>
            </w: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rsidR="00D32A05" w:rsidRPr="001C29FC" w:rsidRDefault="00D32A05" w:rsidP="00D32A05">
            <w:pPr>
              <w:pStyle w:val="TableText"/>
              <w:rPr>
                <w:szCs w:val="18"/>
              </w:rPr>
            </w:pPr>
            <w:r w:rsidRPr="001C29FC">
              <w:rPr>
                <w:szCs w:val="18"/>
              </w:rPr>
              <w:t xml:space="preserve">Accrue workload when a </w:t>
            </w:r>
            <w:r w:rsidRPr="001C29FC">
              <w:rPr>
                <w:color w:val="000000"/>
                <w:szCs w:val="18"/>
              </w:rPr>
              <w:t>unit modification of Split and a single workload event is recorded regardless of the number of units created by the modification.</w:t>
            </w:r>
            <w:r w:rsidRPr="001C29FC">
              <w:rPr>
                <w:i/>
                <w:iCs/>
                <w:color w:val="000000"/>
                <w:szCs w:val="18"/>
              </w:rPr>
              <w:t xml:space="preserve"> </w:t>
            </w:r>
            <w:r w:rsidRPr="001C29FC">
              <w:rPr>
                <w:iCs/>
                <w:color w:val="000000"/>
                <w:szCs w:val="18"/>
              </w:rPr>
              <w:t xml:space="preserve">Note: Workload is not accrued when a patient assignment is processed and VBECS releases all other patient assignments. Workload is not accrued when VBECS is required to quarantine the unit. </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Remove Final Status*</w:t>
            </w:r>
          </w:p>
        </w:tc>
        <w:tc>
          <w:tcPr>
            <w:tcW w:w="1442" w:type="dxa"/>
            <w:vMerge/>
            <w:shd w:val="clear" w:color="auto" w:fill="auto"/>
          </w:tcPr>
          <w:p w:rsidR="00D32A05" w:rsidRPr="001C29FC" w:rsidRDefault="00D32A05" w:rsidP="00D32A05">
            <w:pPr>
              <w:pStyle w:val="TableText"/>
              <w:rPr>
                <w:color w:val="000000"/>
                <w:szCs w:val="18"/>
              </w:rPr>
            </w:pP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rsidR="00D32A05" w:rsidRPr="001C29FC" w:rsidRDefault="00D32A05" w:rsidP="00D32A05">
            <w:pPr>
              <w:pStyle w:val="TableText"/>
              <w:rPr>
                <w:color w:val="000000"/>
                <w:szCs w:val="18"/>
              </w:rPr>
            </w:pPr>
            <w:r w:rsidRPr="001C29FC">
              <w:rPr>
                <w:color w:val="000000"/>
                <w:szCs w:val="18"/>
              </w:rPr>
              <w:t>A Split Unit has its unit status invalidated. A single workload event is recorded regardless of the number of units originally created by the modification.</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Modify Units</w:t>
            </w:r>
          </w:p>
        </w:tc>
        <w:tc>
          <w:tcPr>
            <w:tcW w:w="1442" w:type="dxa"/>
            <w:vMerge w:val="restart"/>
            <w:shd w:val="clear" w:color="auto" w:fill="auto"/>
          </w:tcPr>
          <w:p w:rsidR="00D32A05" w:rsidRPr="001C29FC" w:rsidRDefault="00D32A05" w:rsidP="00D32A05">
            <w:pPr>
              <w:pStyle w:val="TableText"/>
              <w:rPr>
                <w:color w:val="000000"/>
                <w:szCs w:val="18"/>
              </w:rPr>
            </w:pPr>
            <w:r w:rsidRPr="001C29FC">
              <w:rPr>
                <w:color w:val="000000"/>
                <w:szCs w:val="18"/>
              </w:rPr>
              <w:t>Rejuvenate unit</w:t>
            </w: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blood unit is processed by the Rejuvenate modification type. </w:t>
            </w:r>
            <w:r w:rsidRPr="001C29FC">
              <w:rPr>
                <w:color w:val="000000"/>
                <w:szCs w:val="18"/>
              </w:rPr>
              <w:br/>
              <w:t>Note: Workload is not accrued when a patient assignment is processed and VBECS releases all other patient assignments. Workload is not accrued when VBECS is required to quarantine the unit.</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Remove Final Status*</w:t>
            </w:r>
          </w:p>
        </w:tc>
        <w:tc>
          <w:tcPr>
            <w:tcW w:w="1442" w:type="dxa"/>
            <w:vMerge/>
            <w:shd w:val="clear" w:color="auto" w:fill="auto"/>
          </w:tcPr>
          <w:p w:rsidR="00D32A05" w:rsidRPr="001C29FC" w:rsidRDefault="00D32A05" w:rsidP="00D32A05">
            <w:pPr>
              <w:pStyle w:val="TableText"/>
              <w:rPr>
                <w:color w:val="000000"/>
                <w:szCs w:val="18"/>
              </w:rPr>
            </w:pP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“Rejuvenate. “</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lastRenderedPageBreak/>
              <w:t>Modify Units</w:t>
            </w:r>
          </w:p>
        </w:tc>
        <w:tc>
          <w:tcPr>
            <w:tcW w:w="1442" w:type="dxa"/>
            <w:vMerge w:val="restart"/>
            <w:shd w:val="clear" w:color="auto" w:fill="auto"/>
          </w:tcPr>
          <w:p w:rsidR="00D32A05" w:rsidRPr="001C29FC" w:rsidRDefault="00D32A05" w:rsidP="00D32A05">
            <w:pPr>
              <w:pStyle w:val="TableText"/>
              <w:rPr>
                <w:color w:val="000000"/>
                <w:szCs w:val="18"/>
              </w:rPr>
            </w:pPr>
            <w:r w:rsidRPr="001C29FC">
              <w:rPr>
                <w:color w:val="000000"/>
                <w:szCs w:val="18"/>
              </w:rPr>
              <w:t xml:space="preserve">Thaw </w:t>
            </w: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blood unit is processed by the Thaw modification type. When a batch of units is thawed, each unit accrues workload. This applies to Thaw FFP and Thaw Cryo. Note: Workload is not accrued when a patient assignment is processed and VBECS releases all other patient assignments. Workload is not accrued when VBECS is required to quarantine the unit.</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Remove Final Status*</w:t>
            </w:r>
          </w:p>
        </w:tc>
        <w:tc>
          <w:tcPr>
            <w:tcW w:w="1442" w:type="dxa"/>
            <w:vMerge/>
            <w:shd w:val="clear" w:color="auto" w:fill="auto"/>
          </w:tcPr>
          <w:p w:rsidR="00D32A05" w:rsidRPr="001C29FC" w:rsidRDefault="00D32A05" w:rsidP="00D32A05">
            <w:pPr>
              <w:pStyle w:val="TableText"/>
              <w:rPr>
                <w:color w:val="000000"/>
                <w:szCs w:val="18"/>
              </w:rPr>
            </w:pP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“Thaw.” This modification type is applicable to Thaw FFP and Thaw Cryo.</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Modify Units</w:t>
            </w:r>
          </w:p>
        </w:tc>
        <w:tc>
          <w:tcPr>
            <w:tcW w:w="1442" w:type="dxa"/>
            <w:vMerge w:val="restart"/>
            <w:shd w:val="clear" w:color="auto" w:fill="auto"/>
          </w:tcPr>
          <w:p w:rsidR="00D32A05" w:rsidRPr="001C29FC" w:rsidRDefault="00D32A05" w:rsidP="00D32A05">
            <w:pPr>
              <w:pStyle w:val="TableText"/>
              <w:rPr>
                <w:color w:val="000000"/>
                <w:szCs w:val="18"/>
              </w:rPr>
            </w:pPr>
            <w:r w:rsidRPr="001C29FC">
              <w:rPr>
                <w:color w:val="000000"/>
                <w:szCs w:val="18"/>
              </w:rPr>
              <w:t>Wash unit</w:t>
            </w: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rsidR="00D32A05" w:rsidRPr="001C29FC" w:rsidRDefault="00D32A05" w:rsidP="00D32A05">
            <w:pPr>
              <w:pStyle w:val="TableText"/>
              <w:rPr>
                <w:szCs w:val="18"/>
              </w:rPr>
            </w:pPr>
            <w:r w:rsidRPr="001C29FC">
              <w:rPr>
                <w:szCs w:val="18"/>
              </w:rPr>
              <w:t>Accrue workload when a</w:t>
            </w:r>
            <w:r w:rsidRPr="001C29FC">
              <w:rPr>
                <w:color w:val="000000"/>
                <w:szCs w:val="18"/>
              </w:rPr>
              <w:t>n individual blood unit is processed by the Wash modification type. Note: Workload is not accrued when a patient assignment is processed and VBECS releases all other patient assignments. Workload is not accrued when VBECS is required to quarantine the unit.</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Remove Final Status*</w:t>
            </w:r>
          </w:p>
        </w:tc>
        <w:tc>
          <w:tcPr>
            <w:tcW w:w="1442" w:type="dxa"/>
            <w:vMerge/>
            <w:shd w:val="clear" w:color="auto" w:fill="auto"/>
          </w:tcPr>
          <w:p w:rsidR="00D32A05" w:rsidRPr="001C29FC" w:rsidRDefault="00D32A05" w:rsidP="00D32A05">
            <w:pPr>
              <w:pStyle w:val="TableText"/>
              <w:rPr>
                <w:color w:val="000000"/>
                <w:szCs w:val="18"/>
              </w:rPr>
            </w:pP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“Wash.”</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Modify Units</w:t>
            </w:r>
          </w:p>
        </w:tc>
        <w:tc>
          <w:tcPr>
            <w:tcW w:w="1442" w:type="dxa"/>
            <w:vMerge w:val="restart"/>
            <w:shd w:val="clear" w:color="auto" w:fill="auto"/>
          </w:tcPr>
          <w:p w:rsidR="00D32A05" w:rsidRPr="001C29FC" w:rsidRDefault="00D32A05" w:rsidP="00D32A05">
            <w:pPr>
              <w:pStyle w:val="TableText"/>
              <w:rPr>
                <w:color w:val="000000"/>
                <w:szCs w:val="18"/>
              </w:rPr>
            </w:pPr>
            <w:r w:rsidRPr="001C29FC">
              <w:rPr>
                <w:color w:val="000000"/>
                <w:szCs w:val="18"/>
              </w:rPr>
              <w:t>Volume Reduce</w:t>
            </w: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rsidR="00D32A05" w:rsidRPr="001C29FC" w:rsidRDefault="00D32A05" w:rsidP="00D32A05">
            <w:pPr>
              <w:pStyle w:val="TableText"/>
              <w:rPr>
                <w:szCs w:val="18"/>
              </w:rPr>
            </w:pPr>
            <w:r w:rsidRPr="001C29FC">
              <w:rPr>
                <w:szCs w:val="18"/>
              </w:rPr>
              <w:t>Accrue workload when a</w:t>
            </w:r>
            <w:r w:rsidRPr="001C29FC">
              <w:rPr>
                <w:color w:val="000000"/>
                <w:szCs w:val="18"/>
              </w:rPr>
              <w:t>n individual blood unit is processed by the Volume Reduce modification type. Note: Workload is not accrued when a patient assignment is processed and VBECS releases all other patient assignments. Workload is not accrued when VBECS is required to quarantine the unit.</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Remove Final Status*</w:t>
            </w:r>
          </w:p>
        </w:tc>
        <w:tc>
          <w:tcPr>
            <w:tcW w:w="1442" w:type="dxa"/>
            <w:vMerge/>
            <w:shd w:val="clear" w:color="auto" w:fill="auto"/>
          </w:tcPr>
          <w:p w:rsidR="00D32A05" w:rsidRPr="001C29FC" w:rsidRDefault="00D32A05" w:rsidP="00D32A05">
            <w:pPr>
              <w:pStyle w:val="TableText"/>
              <w:rPr>
                <w:color w:val="000000"/>
                <w:szCs w:val="18"/>
              </w:rPr>
            </w:pP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Volume Reduce.</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rPr>
                <w:szCs w:val="18"/>
              </w:rPr>
            </w:pPr>
            <w:r w:rsidRPr="001C29FC">
              <w:rPr>
                <w:snapToGrid w:val="0"/>
                <w:szCs w:val="18"/>
              </w:rPr>
              <w:t>Issue Blood Components</w:t>
            </w:r>
          </w:p>
        </w:tc>
        <w:tc>
          <w:tcPr>
            <w:tcW w:w="1442" w:type="dxa"/>
            <w:shd w:val="clear" w:color="auto" w:fill="auto"/>
          </w:tcPr>
          <w:p w:rsidR="00D32A05" w:rsidRPr="001C29FC" w:rsidRDefault="00D32A05" w:rsidP="00D32A05">
            <w:pPr>
              <w:pStyle w:val="TableText"/>
              <w:rPr>
                <w:color w:val="000000"/>
                <w:szCs w:val="18"/>
              </w:rPr>
            </w:pPr>
            <w:r w:rsidRPr="001C29FC">
              <w:rPr>
                <w:color w:val="000000"/>
                <w:szCs w:val="18"/>
              </w:rPr>
              <w:t>Issue unit</w:t>
            </w: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rsidR="00D32A05" w:rsidRPr="001C29FC" w:rsidRDefault="00D32A05" w:rsidP="00D32A05">
            <w:pPr>
              <w:pStyle w:val="TableText"/>
              <w:rPr>
                <w:szCs w:val="18"/>
              </w:rPr>
            </w:pPr>
            <w:r w:rsidRPr="001C29FC">
              <w:rPr>
                <w:szCs w:val="18"/>
              </w:rPr>
              <w:t xml:space="preserve">Accrue workload when a </w:t>
            </w:r>
            <w:r w:rsidRPr="001C29FC">
              <w:rPr>
                <w:color w:val="000000"/>
                <w:szCs w:val="18"/>
              </w:rPr>
              <w:t>unit is issued to a patient. When a batch of units is processed, each unit invokes one workload process.</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Justify Patient ABO/Rh Change</w:t>
            </w:r>
          </w:p>
        </w:tc>
        <w:tc>
          <w:tcPr>
            <w:tcW w:w="1442" w:type="dxa"/>
            <w:shd w:val="clear" w:color="auto" w:fill="auto"/>
          </w:tcPr>
          <w:p w:rsidR="00D32A05" w:rsidRPr="001C29FC" w:rsidRDefault="00D32A05" w:rsidP="00D32A05">
            <w:pPr>
              <w:pStyle w:val="TableText"/>
              <w:rPr>
                <w:color w:val="000000"/>
                <w:szCs w:val="18"/>
              </w:rPr>
            </w:pPr>
            <w:r w:rsidRPr="001C29FC">
              <w:rPr>
                <w:color w:val="000000"/>
                <w:szCs w:val="18"/>
              </w:rPr>
              <w:t>Justification</w:t>
            </w:r>
          </w:p>
        </w:tc>
        <w:tc>
          <w:tcPr>
            <w:tcW w:w="1633" w:type="dxa"/>
            <w:shd w:val="clear" w:color="auto" w:fill="auto"/>
          </w:tcPr>
          <w:p w:rsidR="00D32A05" w:rsidRPr="001C29FC" w:rsidRDefault="00D32A05" w:rsidP="00D32A05">
            <w:pPr>
              <w:pStyle w:val="TableText"/>
              <w:rPr>
                <w:szCs w:val="18"/>
              </w:rPr>
            </w:pPr>
            <w:r w:rsidRPr="001C29FC">
              <w:rPr>
                <w:szCs w:val="18"/>
              </w:rPr>
              <w:t>M</w:t>
            </w:r>
          </w:p>
        </w:tc>
        <w:tc>
          <w:tcPr>
            <w:tcW w:w="4482" w:type="dxa"/>
            <w:shd w:val="clear" w:color="auto" w:fill="auto"/>
          </w:tcPr>
          <w:p w:rsidR="00D32A05" w:rsidRPr="001C29FC" w:rsidRDefault="00D32A05" w:rsidP="00D32A05">
            <w:pPr>
              <w:pStyle w:val="TableText"/>
              <w:rPr>
                <w:color w:val="000000"/>
                <w:szCs w:val="18"/>
              </w:rPr>
            </w:pPr>
            <w:r w:rsidRPr="001C29FC">
              <w:rPr>
                <w:color w:val="000000"/>
                <w:szCs w:val="18"/>
              </w:rPr>
              <w:t>Workload is accrued when a patient’s ABO or Rh typing is justified. One workload event is accrued per patient justification.</w:t>
            </w:r>
          </w:p>
        </w:tc>
      </w:tr>
      <w:tr w:rsidR="00D32A05" w:rsidRPr="001C29FC" w:rsidTr="00D32A05">
        <w:tblPrEx>
          <w:tblCellMar>
            <w:top w:w="0" w:type="dxa"/>
            <w:bottom w:w="0" w:type="dxa"/>
          </w:tblCellMar>
        </w:tblPrEx>
        <w:trPr>
          <w:cantSplit/>
          <w:tblHeader/>
        </w:trPr>
        <w:tc>
          <w:tcPr>
            <w:tcW w:w="1803" w:type="dxa"/>
            <w:shd w:val="clear" w:color="auto" w:fill="auto"/>
          </w:tcPr>
          <w:p w:rsidR="00D32A05" w:rsidRPr="001C29FC" w:rsidRDefault="00D32A05" w:rsidP="00D32A05">
            <w:pPr>
              <w:pStyle w:val="TableText"/>
              <w:rPr>
                <w:szCs w:val="18"/>
              </w:rPr>
            </w:pPr>
            <w:r w:rsidRPr="001C29FC">
              <w:rPr>
                <w:szCs w:val="18"/>
              </w:rPr>
              <w:t>Login Equipment</w:t>
            </w:r>
          </w:p>
        </w:tc>
        <w:tc>
          <w:tcPr>
            <w:tcW w:w="1442" w:type="dxa"/>
            <w:shd w:val="clear" w:color="auto" w:fill="auto"/>
          </w:tcPr>
          <w:p w:rsidR="00D32A05" w:rsidRPr="001C29FC" w:rsidRDefault="00D32A05" w:rsidP="00D32A05">
            <w:pPr>
              <w:pStyle w:val="TableText"/>
              <w:rPr>
                <w:szCs w:val="18"/>
              </w:rPr>
            </w:pPr>
            <w:r w:rsidRPr="001C29FC">
              <w:rPr>
                <w:szCs w:val="18"/>
              </w:rPr>
              <w:t>Login Equipment</w:t>
            </w:r>
          </w:p>
        </w:tc>
        <w:tc>
          <w:tcPr>
            <w:tcW w:w="1633" w:type="dxa"/>
            <w:shd w:val="clear" w:color="auto" w:fill="auto"/>
          </w:tcPr>
          <w:p w:rsidR="00D32A05" w:rsidRPr="001C29FC" w:rsidRDefault="00D32A05" w:rsidP="00D32A05">
            <w:pPr>
              <w:pStyle w:val="TableText"/>
              <w:rPr>
                <w:szCs w:val="18"/>
              </w:rPr>
            </w:pPr>
            <w:r w:rsidRPr="001C29FC">
              <w:rPr>
                <w:szCs w:val="18"/>
              </w:rPr>
              <w:t>M</w:t>
            </w:r>
          </w:p>
        </w:tc>
        <w:tc>
          <w:tcPr>
            <w:tcW w:w="4482" w:type="dxa"/>
            <w:shd w:val="clear" w:color="auto" w:fill="auto"/>
          </w:tcPr>
          <w:p w:rsidR="00D32A05" w:rsidRPr="001C29FC" w:rsidRDefault="00D32A05" w:rsidP="00D32A05">
            <w:pPr>
              <w:pStyle w:val="TableText"/>
              <w:rPr>
                <w:szCs w:val="18"/>
              </w:rPr>
            </w:pPr>
            <w:r w:rsidRPr="001C29FC">
              <w:rPr>
                <w:szCs w:val="18"/>
              </w:rPr>
              <w:t>Accrue workload when a lot number of any type of equipment is logged into the system. When multiple lot numbers are processed in a batch, each lot number’s workload is counted.</w:t>
            </w:r>
          </w:p>
        </w:tc>
      </w:tr>
      <w:tr w:rsidR="00D32A05" w:rsidRPr="001C29FC" w:rsidTr="00D32A05">
        <w:tblPrEx>
          <w:tblCellMar>
            <w:top w:w="0" w:type="dxa"/>
            <w:bottom w:w="0" w:type="dxa"/>
          </w:tblCellMar>
        </w:tblPrEx>
        <w:trPr>
          <w:cantSplit/>
          <w:tblHeader/>
        </w:trPr>
        <w:tc>
          <w:tcPr>
            <w:tcW w:w="1803" w:type="dxa"/>
            <w:shd w:val="clear" w:color="auto" w:fill="auto"/>
          </w:tcPr>
          <w:p w:rsidR="00D32A05" w:rsidRPr="001C29FC" w:rsidRDefault="00D32A05" w:rsidP="00D32A05">
            <w:pPr>
              <w:pStyle w:val="TableText"/>
              <w:rPr>
                <w:szCs w:val="18"/>
              </w:rPr>
            </w:pPr>
            <w:r w:rsidRPr="001C29FC">
              <w:rPr>
                <w:szCs w:val="18"/>
              </w:rPr>
              <w:t>Login Reagent</w:t>
            </w:r>
          </w:p>
        </w:tc>
        <w:tc>
          <w:tcPr>
            <w:tcW w:w="1442" w:type="dxa"/>
            <w:shd w:val="clear" w:color="auto" w:fill="auto"/>
          </w:tcPr>
          <w:p w:rsidR="00D32A05" w:rsidRPr="001C29FC" w:rsidRDefault="00D32A05" w:rsidP="00D32A05">
            <w:pPr>
              <w:pStyle w:val="TableText"/>
              <w:rPr>
                <w:szCs w:val="18"/>
              </w:rPr>
            </w:pPr>
            <w:r w:rsidRPr="001C29FC">
              <w:rPr>
                <w:szCs w:val="18"/>
              </w:rPr>
              <w:t>Login Reagent</w:t>
            </w:r>
          </w:p>
        </w:tc>
        <w:tc>
          <w:tcPr>
            <w:tcW w:w="1633" w:type="dxa"/>
            <w:shd w:val="clear" w:color="auto" w:fill="auto"/>
          </w:tcPr>
          <w:p w:rsidR="00D32A05" w:rsidRPr="001C29FC" w:rsidRDefault="00D32A05" w:rsidP="00D32A05">
            <w:pPr>
              <w:pStyle w:val="TableText"/>
              <w:rPr>
                <w:szCs w:val="18"/>
              </w:rPr>
            </w:pPr>
            <w:r w:rsidRPr="001C29FC">
              <w:rPr>
                <w:szCs w:val="18"/>
              </w:rPr>
              <w:t>M</w:t>
            </w:r>
          </w:p>
        </w:tc>
        <w:tc>
          <w:tcPr>
            <w:tcW w:w="4482" w:type="dxa"/>
            <w:shd w:val="clear" w:color="auto" w:fill="auto"/>
          </w:tcPr>
          <w:p w:rsidR="00D32A05" w:rsidRPr="001C29FC" w:rsidRDefault="00D32A05" w:rsidP="00D32A05">
            <w:pPr>
              <w:pStyle w:val="TableText"/>
              <w:rPr>
                <w:szCs w:val="18"/>
              </w:rPr>
            </w:pPr>
            <w:r w:rsidRPr="001C29FC">
              <w:rPr>
                <w:szCs w:val="18"/>
              </w:rPr>
              <w:t>Accrue workload when a lot number of any type of reagent is logged into the system. When multiple lot numbers are processed in a batch, each lot number’s workload is counted.</w:t>
            </w:r>
          </w:p>
        </w:tc>
      </w:tr>
      <w:tr w:rsidR="00D32A05" w:rsidRPr="001C29FC" w:rsidTr="00D32A05">
        <w:tblPrEx>
          <w:tblCellMar>
            <w:top w:w="0" w:type="dxa"/>
            <w:bottom w:w="0" w:type="dxa"/>
          </w:tblCellMar>
        </w:tblPrEx>
        <w:trPr>
          <w:cantSplit/>
          <w:tblHeader/>
        </w:trPr>
        <w:tc>
          <w:tcPr>
            <w:tcW w:w="1803" w:type="dxa"/>
            <w:shd w:val="clear" w:color="auto" w:fill="auto"/>
          </w:tcPr>
          <w:p w:rsidR="00D32A05" w:rsidRPr="001C29FC" w:rsidRDefault="00D32A05" w:rsidP="00D32A05">
            <w:pPr>
              <w:pStyle w:val="TableText"/>
              <w:rPr>
                <w:szCs w:val="18"/>
              </w:rPr>
            </w:pPr>
            <w:r w:rsidRPr="001C29FC">
              <w:rPr>
                <w:szCs w:val="18"/>
              </w:rPr>
              <w:t>Login Supply</w:t>
            </w:r>
          </w:p>
        </w:tc>
        <w:tc>
          <w:tcPr>
            <w:tcW w:w="1442" w:type="dxa"/>
            <w:shd w:val="clear" w:color="auto" w:fill="auto"/>
          </w:tcPr>
          <w:p w:rsidR="00D32A05" w:rsidRPr="001C29FC" w:rsidRDefault="00D32A05" w:rsidP="00D32A05">
            <w:pPr>
              <w:pStyle w:val="TableText"/>
              <w:rPr>
                <w:szCs w:val="18"/>
              </w:rPr>
            </w:pPr>
            <w:r w:rsidRPr="001C29FC">
              <w:rPr>
                <w:szCs w:val="18"/>
              </w:rPr>
              <w:t>Login Supply</w:t>
            </w:r>
          </w:p>
        </w:tc>
        <w:tc>
          <w:tcPr>
            <w:tcW w:w="1633" w:type="dxa"/>
            <w:shd w:val="clear" w:color="auto" w:fill="auto"/>
          </w:tcPr>
          <w:p w:rsidR="00D32A05" w:rsidRPr="001C29FC" w:rsidRDefault="00D32A05" w:rsidP="00D32A05">
            <w:pPr>
              <w:pStyle w:val="TableText"/>
              <w:rPr>
                <w:szCs w:val="18"/>
              </w:rPr>
            </w:pPr>
            <w:r w:rsidRPr="001C29FC">
              <w:rPr>
                <w:szCs w:val="18"/>
              </w:rPr>
              <w:t>M</w:t>
            </w:r>
          </w:p>
        </w:tc>
        <w:tc>
          <w:tcPr>
            <w:tcW w:w="4482" w:type="dxa"/>
            <w:shd w:val="clear" w:color="auto" w:fill="auto"/>
          </w:tcPr>
          <w:p w:rsidR="00D32A05" w:rsidRPr="001C29FC" w:rsidRDefault="00D32A05" w:rsidP="00D32A05">
            <w:pPr>
              <w:pStyle w:val="TableText"/>
              <w:rPr>
                <w:szCs w:val="18"/>
              </w:rPr>
            </w:pPr>
            <w:r w:rsidRPr="001C29FC">
              <w:rPr>
                <w:szCs w:val="18"/>
              </w:rPr>
              <w:t>Accrue workload when a lot number of any type of supply is logged into the system. When multiple lot numbers are processed in a batch, each lot number’s workload is counted.</w:t>
            </w:r>
          </w:p>
        </w:tc>
      </w:tr>
      <w:tr w:rsidR="00D32A05" w:rsidRPr="001C29FC" w:rsidTr="00D32A05">
        <w:tblPrEx>
          <w:tblCellMar>
            <w:top w:w="0" w:type="dxa"/>
            <w:bottom w:w="0" w:type="dxa"/>
          </w:tblCellMar>
        </w:tblPrEx>
        <w:trPr>
          <w:cantSplit/>
          <w:tblHeader/>
        </w:trPr>
        <w:tc>
          <w:tcPr>
            <w:tcW w:w="1803" w:type="dxa"/>
            <w:shd w:val="clear" w:color="auto" w:fill="auto"/>
          </w:tcPr>
          <w:p w:rsidR="00D32A05" w:rsidRPr="001C29FC" w:rsidRDefault="00D32A05" w:rsidP="00D32A05">
            <w:pPr>
              <w:pStyle w:val="TableText"/>
              <w:rPr>
                <w:szCs w:val="18"/>
              </w:rPr>
            </w:pPr>
            <w:r w:rsidRPr="001C29FC">
              <w:rPr>
                <w:szCs w:val="18"/>
              </w:rPr>
              <w:t>Maintain Specimen</w:t>
            </w:r>
          </w:p>
        </w:tc>
        <w:tc>
          <w:tcPr>
            <w:tcW w:w="1442" w:type="dxa"/>
            <w:shd w:val="clear" w:color="auto" w:fill="auto"/>
          </w:tcPr>
          <w:p w:rsidR="00D32A05" w:rsidRPr="001C29FC" w:rsidRDefault="00D32A05" w:rsidP="00D32A05">
            <w:pPr>
              <w:pStyle w:val="TableText"/>
              <w:rPr>
                <w:szCs w:val="18"/>
              </w:rPr>
            </w:pPr>
            <w:r w:rsidRPr="001C29FC">
              <w:rPr>
                <w:szCs w:val="18"/>
              </w:rPr>
              <w:t>Maintain Specimen</w:t>
            </w:r>
          </w:p>
        </w:tc>
        <w:tc>
          <w:tcPr>
            <w:tcW w:w="1633" w:type="dxa"/>
            <w:shd w:val="clear" w:color="auto" w:fill="auto"/>
          </w:tcPr>
          <w:p w:rsidR="00D32A05" w:rsidRPr="001C29FC" w:rsidRDefault="00D32A05" w:rsidP="00D32A05">
            <w:pPr>
              <w:pStyle w:val="TableText"/>
              <w:rPr>
                <w:szCs w:val="18"/>
              </w:rPr>
            </w:pPr>
            <w:r w:rsidRPr="001C29FC">
              <w:rPr>
                <w:szCs w:val="18"/>
              </w:rPr>
              <w:t>M</w:t>
            </w:r>
          </w:p>
        </w:tc>
        <w:tc>
          <w:tcPr>
            <w:tcW w:w="4482" w:type="dxa"/>
            <w:shd w:val="clear" w:color="auto" w:fill="auto"/>
          </w:tcPr>
          <w:p w:rsidR="00D32A05" w:rsidRPr="001C29FC" w:rsidRDefault="00D32A05" w:rsidP="00D32A05">
            <w:pPr>
              <w:pStyle w:val="TableText"/>
              <w:rPr>
                <w:szCs w:val="18"/>
              </w:rPr>
            </w:pPr>
            <w:r w:rsidRPr="001C29FC">
              <w:rPr>
                <w:szCs w:val="18"/>
              </w:rPr>
              <w:t>Accrue workload when a specimen is maintained during order acceptance and is required for acceptance of the order. Note: This is collected in addition to the accept order workload accrued by accepting an order. Marking a specimen unacceptable does not create a negative workload event.</w:t>
            </w:r>
          </w:p>
        </w:tc>
      </w:tr>
      <w:tr w:rsidR="00D32A05" w:rsidRPr="001C29FC" w:rsidTr="00D32A05">
        <w:tblPrEx>
          <w:tblCellMar>
            <w:top w:w="0" w:type="dxa"/>
            <w:bottom w:w="0" w:type="dxa"/>
          </w:tblCellMar>
        </w:tblPrEx>
        <w:trPr>
          <w:cantSplit/>
          <w:tblHeader/>
        </w:trPr>
        <w:tc>
          <w:tcPr>
            <w:tcW w:w="1803" w:type="dxa"/>
            <w:shd w:val="clear" w:color="auto" w:fill="auto"/>
          </w:tcPr>
          <w:p w:rsidR="00D32A05" w:rsidRPr="001C29FC" w:rsidRDefault="00D32A05" w:rsidP="00D32A05">
            <w:pPr>
              <w:pStyle w:val="TableText"/>
              <w:rPr>
                <w:color w:val="000000"/>
                <w:szCs w:val="18"/>
              </w:rPr>
            </w:pPr>
            <w:r w:rsidRPr="001C29FC">
              <w:rPr>
                <w:color w:val="000000"/>
                <w:szCs w:val="18"/>
              </w:rPr>
              <w:lastRenderedPageBreak/>
              <w:t>Patient antigen phenotype</w:t>
            </w:r>
          </w:p>
        </w:tc>
        <w:tc>
          <w:tcPr>
            <w:tcW w:w="1442" w:type="dxa"/>
            <w:vMerge w:val="restart"/>
            <w:shd w:val="clear" w:color="auto" w:fill="auto"/>
          </w:tcPr>
          <w:p w:rsidR="00D32A05" w:rsidRPr="001C29FC" w:rsidRDefault="00D32A05" w:rsidP="00D32A05">
            <w:pPr>
              <w:pStyle w:val="TableText"/>
              <w:rPr>
                <w:color w:val="000000"/>
                <w:szCs w:val="18"/>
              </w:rPr>
            </w:pPr>
            <w:r w:rsidRPr="001C29FC">
              <w:rPr>
                <w:color w:val="000000"/>
                <w:szCs w:val="18"/>
              </w:rPr>
              <w:t>Patient antigen phenotype (multiple phases)</w:t>
            </w: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rsidR="00D32A05" w:rsidRPr="001C29FC" w:rsidRDefault="00D32A05" w:rsidP="00D32A05">
            <w:pPr>
              <w:pStyle w:val="TableText"/>
              <w:rPr>
                <w:szCs w:val="18"/>
              </w:rPr>
            </w:pPr>
            <w:r w:rsidRPr="001C29FC">
              <w:rPr>
                <w:szCs w:val="18"/>
              </w:rPr>
              <w:t>Accrue workload when a</w:t>
            </w:r>
            <w:r w:rsidRPr="001C29FC">
              <w:rPr>
                <w:color w:val="000000"/>
                <w:szCs w:val="18"/>
              </w:rPr>
              <w:t xml:space="preserve"> patient antigen phenotype test with IS/RT or IS/37 phases is completed and saved. One workload event is collected per completed tab for repeat or regular antigen tests.</w:t>
            </w:r>
          </w:p>
        </w:tc>
      </w:tr>
      <w:tr w:rsidR="00D32A05" w:rsidRPr="001C29FC" w:rsidTr="00D32A05">
        <w:tblPrEx>
          <w:tblCellMar>
            <w:top w:w="0" w:type="dxa"/>
            <w:bottom w:w="0" w:type="dxa"/>
          </w:tblCellMar>
        </w:tblPrEx>
        <w:trPr>
          <w:cantSplit/>
          <w:tblHeader/>
        </w:trPr>
        <w:tc>
          <w:tcPr>
            <w:tcW w:w="1803" w:type="dxa"/>
            <w:shd w:val="clear" w:color="auto" w:fill="auto"/>
          </w:tcPr>
          <w:p w:rsidR="00D32A05" w:rsidRPr="001C29FC" w:rsidRDefault="00D32A05" w:rsidP="00D32A05">
            <w:pPr>
              <w:pStyle w:val="TableText"/>
              <w:rPr>
                <w:szCs w:val="18"/>
              </w:rPr>
            </w:pPr>
            <w:r w:rsidRPr="001C29FC">
              <w:rPr>
                <w:szCs w:val="18"/>
              </w:rPr>
              <w:t>Invalidate Patient Test Results*</w:t>
            </w:r>
          </w:p>
        </w:tc>
        <w:tc>
          <w:tcPr>
            <w:tcW w:w="1442" w:type="dxa"/>
            <w:vMerge/>
            <w:shd w:val="clear" w:color="auto" w:fill="auto"/>
          </w:tcPr>
          <w:p w:rsidR="00D32A05" w:rsidRPr="001C29FC" w:rsidRDefault="00D32A05" w:rsidP="00D32A05">
            <w:pPr>
              <w:pStyle w:val="TableText"/>
              <w:rPr>
                <w:color w:val="000000"/>
                <w:szCs w:val="18"/>
              </w:rPr>
            </w:pP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rsidR="00D32A05" w:rsidRPr="001C29FC" w:rsidRDefault="00D32A05" w:rsidP="00D32A05">
            <w:pPr>
              <w:pStyle w:val="TableText"/>
              <w:rPr>
                <w:szCs w:val="18"/>
              </w:rPr>
            </w:pPr>
            <w:r w:rsidRPr="001C29FC">
              <w:rPr>
                <w:szCs w:val="18"/>
              </w:rPr>
              <w:t xml:space="preserve">Accrue workload when a patient antigen phenotype test as defined by the antiserum specificity tested with any phases is invalidated. </w:t>
            </w:r>
          </w:p>
        </w:tc>
      </w:tr>
      <w:tr w:rsidR="00D32A05" w:rsidRPr="001C29FC" w:rsidTr="00D32A05">
        <w:tblPrEx>
          <w:tblCellMar>
            <w:top w:w="0" w:type="dxa"/>
            <w:bottom w:w="0" w:type="dxa"/>
          </w:tblCellMar>
        </w:tblPrEx>
        <w:trPr>
          <w:cantSplit/>
          <w:tblHeader/>
        </w:trPr>
        <w:tc>
          <w:tcPr>
            <w:tcW w:w="1803" w:type="dxa"/>
            <w:shd w:val="clear" w:color="auto" w:fill="auto"/>
          </w:tcPr>
          <w:p w:rsidR="00D32A05" w:rsidRPr="001C29FC" w:rsidRDefault="00D32A05" w:rsidP="00D32A05">
            <w:pPr>
              <w:pStyle w:val="TableText"/>
              <w:rPr>
                <w:color w:val="000000"/>
                <w:szCs w:val="18"/>
              </w:rPr>
            </w:pPr>
            <w:r w:rsidRPr="001C29FC">
              <w:rPr>
                <w:color w:val="000000"/>
                <w:szCs w:val="18"/>
              </w:rPr>
              <w:t>Patient antigen phenotype</w:t>
            </w:r>
          </w:p>
        </w:tc>
        <w:tc>
          <w:tcPr>
            <w:tcW w:w="1442" w:type="dxa"/>
            <w:vMerge w:val="restart"/>
            <w:shd w:val="clear" w:color="auto" w:fill="auto"/>
          </w:tcPr>
          <w:p w:rsidR="00D32A05" w:rsidRPr="001C29FC" w:rsidRDefault="00D32A05" w:rsidP="00D32A05">
            <w:pPr>
              <w:pStyle w:val="TableText"/>
              <w:rPr>
                <w:color w:val="000000"/>
                <w:szCs w:val="18"/>
              </w:rPr>
            </w:pPr>
            <w:r w:rsidRPr="001C29FC">
              <w:rPr>
                <w:color w:val="000000"/>
                <w:szCs w:val="18"/>
              </w:rPr>
              <w:t>Patient antigen phenotype (single phase)</w:t>
            </w: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rsidR="00D32A05" w:rsidRPr="001C29FC" w:rsidRDefault="00D32A05" w:rsidP="00D32A05">
            <w:pPr>
              <w:pStyle w:val="TableText"/>
              <w:rPr>
                <w:szCs w:val="18"/>
              </w:rPr>
            </w:pPr>
            <w:r w:rsidRPr="001C29FC">
              <w:rPr>
                <w:szCs w:val="18"/>
              </w:rPr>
              <w:t>Accrue workload when a</w:t>
            </w:r>
            <w:r w:rsidRPr="001C29FC">
              <w:rPr>
                <w:color w:val="000000"/>
                <w:szCs w:val="18"/>
              </w:rPr>
              <w:t xml:space="preserve"> patient antigen phenotype test with AHG or IS phase is completed and saved. One workload event is collected per completed tab for repeat or regular antigen tests.</w:t>
            </w:r>
          </w:p>
        </w:tc>
      </w:tr>
      <w:tr w:rsidR="00D32A05" w:rsidRPr="001C29FC" w:rsidTr="00D32A05">
        <w:tblPrEx>
          <w:tblCellMar>
            <w:top w:w="0" w:type="dxa"/>
            <w:bottom w:w="0" w:type="dxa"/>
          </w:tblCellMar>
        </w:tblPrEx>
        <w:trPr>
          <w:cantSplit/>
          <w:tblHeader/>
        </w:trPr>
        <w:tc>
          <w:tcPr>
            <w:tcW w:w="1803" w:type="dxa"/>
            <w:shd w:val="clear" w:color="auto" w:fill="auto"/>
          </w:tcPr>
          <w:p w:rsidR="00D32A05" w:rsidRPr="001C29FC" w:rsidRDefault="00D32A05" w:rsidP="00D32A05">
            <w:pPr>
              <w:pStyle w:val="TableText"/>
              <w:rPr>
                <w:szCs w:val="18"/>
              </w:rPr>
            </w:pPr>
            <w:r w:rsidRPr="001C29FC">
              <w:rPr>
                <w:szCs w:val="18"/>
              </w:rPr>
              <w:t>Invalidate Patient Test Results*</w:t>
            </w:r>
          </w:p>
        </w:tc>
        <w:tc>
          <w:tcPr>
            <w:tcW w:w="1442" w:type="dxa"/>
            <w:vMerge/>
            <w:shd w:val="clear" w:color="auto" w:fill="auto"/>
          </w:tcPr>
          <w:p w:rsidR="00D32A05" w:rsidRPr="001C29FC" w:rsidRDefault="00D32A05" w:rsidP="00D32A05">
            <w:pPr>
              <w:pStyle w:val="TableText"/>
              <w:rPr>
                <w:color w:val="000000"/>
                <w:szCs w:val="18"/>
              </w:rPr>
            </w:pP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rsidR="00D32A05" w:rsidRPr="001C29FC" w:rsidRDefault="00D32A05" w:rsidP="00D32A05">
            <w:pPr>
              <w:pStyle w:val="TableText"/>
              <w:rPr>
                <w:szCs w:val="18"/>
              </w:rPr>
            </w:pPr>
            <w:r w:rsidRPr="001C29FC">
              <w:rPr>
                <w:szCs w:val="18"/>
              </w:rPr>
              <w:t xml:space="preserve">Accrue workload when a patient antigen phenotype test as defined by the antiserum specificity tested with a single phases is invalidated. </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Pool Units</w:t>
            </w:r>
          </w:p>
        </w:tc>
        <w:tc>
          <w:tcPr>
            <w:tcW w:w="1442" w:type="dxa"/>
            <w:vMerge w:val="restart"/>
            <w:shd w:val="clear" w:color="auto" w:fill="auto"/>
          </w:tcPr>
          <w:p w:rsidR="00D32A05" w:rsidRPr="001C29FC" w:rsidRDefault="00D32A05" w:rsidP="00D32A05">
            <w:pPr>
              <w:pStyle w:val="TableText"/>
              <w:rPr>
                <w:color w:val="000000"/>
                <w:szCs w:val="18"/>
              </w:rPr>
            </w:pPr>
            <w:r w:rsidRPr="001C29FC">
              <w:rPr>
                <w:color w:val="000000"/>
                <w:szCs w:val="18"/>
              </w:rPr>
              <w:t>Pool unit</w:t>
            </w:r>
          </w:p>
          <w:p w:rsidR="00D32A05" w:rsidRPr="001C29FC" w:rsidRDefault="00D32A05" w:rsidP="00D32A05">
            <w:pPr>
              <w:pStyle w:val="TableText"/>
              <w:rPr>
                <w:color w:val="000000"/>
                <w:szCs w:val="18"/>
              </w:rPr>
            </w:pPr>
            <w:r w:rsidRPr="001C29FC">
              <w:rPr>
                <w:color w:val="000000"/>
                <w:szCs w:val="18"/>
              </w:rPr>
              <w:t> </w:t>
            </w: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rsidR="00D32A05" w:rsidRPr="001C29FC" w:rsidRDefault="00D32A05" w:rsidP="00D32A05">
            <w:pPr>
              <w:pStyle w:val="TableText"/>
              <w:rPr>
                <w:szCs w:val="18"/>
              </w:rPr>
            </w:pPr>
            <w:r w:rsidRPr="001C29FC">
              <w:rPr>
                <w:szCs w:val="18"/>
              </w:rPr>
              <w:t>Accrue workload when a</w:t>
            </w:r>
            <w:r w:rsidRPr="001C29FC">
              <w:rPr>
                <w:color w:val="000000"/>
                <w:szCs w:val="18"/>
              </w:rPr>
              <w:t xml:space="preserve"> pooled unit is created and a single workload event is recorded regardless of the number of units included in the pooled unit. This applies to the Pool modification type. Add/Remove unit from a pool does not accrue any workload.</w:t>
            </w:r>
            <w:r w:rsidRPr="001C29FC">
              <w:rPr>
                <w:iCs/>
                <w:color w:val="000000"/>
                <w:szCs w:val="18"/>
              </w:rPr>
              <w:t xml:space="preserve"> Note: Workload is not accrued when a patient assignment is processed and VBECS releases all other patient assignments. Workload is not accrued when VBECS is required to quarantine the unit.</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Edit Unit Information*</w:t>
            </w:r>
          </w:p>
        </w:tc>
        <w:tc>
          <w:tcPr>
            <w:tcW w:w="1442" w:type="dxa"/>
            <w:vMerge/>
            <w:shd w:val="clear" w:color="auto" w:fill="auto"/>
          </w:tcPr>
          <w:p w:rsidR="00D32A05" w:rsidRPr="001C29FC" w:rsidRDefault="00D32A05" w:rsidP="00D32A05">
            <w:pPr>
              <w:pStyle w:val="TableText"/>
              <w:rPr>
                <w:color w:val="000000"/>
                <w:szCs w:val="18"/>
              </w:rPr>
            </w:pP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rsidR="00D32A05" w:rsidRPr="001C29FC" w:rsidRDefault="00D32A05" w:rsidP="00D32A05">
            <w:pPr>
              <w:pStyle w:val="TableText"/>
              <w:rPr>
                <w:szCs w:val="18"/>
              </w:rPr>
            </w:pPr>
            <w:r w:rsidRPr="001C29FC">
              <w:rPr>
                <w:szCs w:val="18"/>
              </w:rPr>
              <w:t>Accrue workload when a u</w:t>
            </w:r>
            <w:r w:rsidRPr="001C29FC">
              <w:rPr>
                <w:color w:val="000000"/>
                <w:szCs w:val="18"/>
              </w:rPr>
              <w:t xml:space="preserve">nit is inactivated if the pooled unit was created in VBECS. </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Remove Final Status</w:t>
            </w:r>
          </w:p>
        </w:tc>
        <w:tc>
          <w:tcPr>
            <w:tcW w:w="1442" w:type="dxa"/>
            <w:vMerge/>
            <w:shd w:val="clear" w:color="auto" w:fill="auto"/>
          </w:tcPr>
          <w:p w:rsidR="00D32A05" w:rsidRPr="001C29FC" w:rsidRDefault="00D32A05" w:rsidP="00D32A05">
            <w:pPr>
              <w:pStyle w:val="TableText"/>
              <w:rPr>
                <w:color w:val="000000"/>
                <w:szCs w:val="18"/>
              </w:rPr>
            </w:pP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N/A</w:t>
            </w:r>
          </w:p>
        </w:tc>
        <w:tc>
          <w:tcPr>
            <w:tcW w:w="4482" w:type="dxa"/>
            <w:shd w:val="clear" w:color="auto" w:fill="auto"/>
          </w:tcPr>
          <w:p w:rsidR="00D32A05" w:rsidRPr="001C29FC" w:rsidRDefault="00D32A05" w:rsidP="00D32A05">
            <w:pPr>
              <w:pStyle w:val="TableText"/>
              <w:rPr>
                <w:color w:val="000000"/>
                <w:szCs w:val="18"/>
              </w:rPr>
            </w:pPr>
            <w:r w:rsidRPr="001C29FC">
              <w:rPr>
                <w:color w:val="000000"/>
                <w:szCs w:val="18"/>
              </w:rPr>
              <w:t xml:space="preserve">No effect on workload accrual when a unit is removed from a modified status that was included in a pool. </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Discard or Quarantine Unit</w:t>
            </w:r>
          </w:p>
        </w:tc>
        <w:tc>
          <w:tcPr>
            <w:tcW w:w="1442" w:type="dxa"/>
            <w:shd w:val="clear" w:color="auto" w:fill="auto"/>
          </w:tcPr>
          <w:p w:rsidR="00D32A05" w:rsidRPr="001C29FC" w:rsidRDefault="00D32A05" w:rsidP="00D32A05">
            <w:pPr>
              <w:pStyle w:val="TableText"/>
              <w:rPr>
                <w:color w:val="000000"/>
                <w:szCs w:val="18"/>
              </w:rPr>
            </w:pPr>
            <w:r w:rsidRPr="001C29FC">
              <w:rPr>
                <w:color w:val="000000"/>
                <w:szCs w:val="18"/>
              </w:rPr>
              <w:t>Quarantine unit</w:t>
            </w: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rsidR="00D32A05" w:rsidRPr="001C29FC" w:rsidRDefault="00D32A05" w:rsidP="00D32A05">
            <w:pPr>
              <w:pStyle w:val="TableText"/>
              <w:rPr>
                <w:color w:val="000000"/>
                <w:szCs w:val="18"/>
              </w:rPr>
            </w:pPr>
            <w:r w:rsidRPr="001C29FC">
              <w:rPr>
                <w:color w:val="000000"/>
                <w:szCs w:val="18"/>
              </w:rPr>
              <w:t>Accrue workload when a unit is marked for quarantine. When a batch of units is selected, each unit accrues workload.</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rPr>
                <w:szCs w:val="18"/>
              </w:rPr>
            </w:pPr>
            <w:r w:rsidRPr="001C29FC">
              <w:rPr>
                <w:snapToGrid w:val="0"/>
                <w:szCs w:val="18"/>
              </w:rPr>
              <w:t>Free Directed Unit For Crossover</w:t>
            </w:r>
          </w:p>
        </w:tc>
        <w:tc>
          <w:tcPr>
            <w:tcW w:w="1442" w:type="dxa"/>
            <w:shd w:val="clear" w:color="auto" w:fill="auto"/>
          </w:tcPr>
          <w:p w:rsidR="00D32A05" w:rsidRPr="001C29FC" w:rsidRDefault="00D32A05" w:rsidP="00D32A05">
            <w:pPr>
              <w:pStyle w:val="TableText"/>
              <w:rPr>
                <w:color w:val="000000"/>
                <w:szCs w:val="18"/>
              </w:rPr>
            </w:pPr>
            <w:r w:rsidRPr="001C29FC">
              <w:rPr>
                <w:color w:val="000000"/>
                <w:szCs w:val="18"/>
              </w:rPr>
              <w:t>Release directed unit</w:t>
            </w: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rsidR="00D32A05" w:rsidRPr="001C29FC" w:rsidRDefault="00D32A05" w:rsidP="00D32A05">
            <w:pPr>
              <w:pStyle w:val="TableText"/>
              <w:rPr>
                <w:szCs w:val="18"/>
              </w:rPr>
            </w:pPr>
            <w:r w:rsidRPr="001C29FC">
              <w:rPr>
                <w:szCs w:val="18"/>
              </w:rPr>
              <w:t>Accrue workload when a</w:t>
            </w:r>
            <w:r w:rsidRPr="001C29FC">
              <w:rPr>
                <w:color w:val="000000"/>
                <w:szCs w:val="18"/>
              </w:rPr>
              <w:t>n individual blood unit with the restriction type of “directed” is released for use as an allogeneic unit.</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Release Unit from Patient Assignment</w:t>
            </w:r>
          </w:p>
        </w:tc>
        <w:tc>
          <w:tcPr>
            <w:tcW w:w="1442" w:type="dxa"/>
            <w:shd w:val="clear" w:color="auto" w:fill="auto"/>
          </w:tcPr>
          <w:p w:rsidR="00D32A05" w:rsidRPr="001C29FC" w:rsidRDefault="00D32A05" w:rsidP="00D32A05">
            <w:pPr>
              <w:pStyle w:val="TableText"/>
              <w:rPr>
                <w:color w:val="000000"/>
                <w:szCs w:val="18"/>
              </w:rPr>
            </w:pPr>
            <w:r w:rsidRPr="001C29FC">
              <w:rPr>
                <w:color w:val="000000"/>
                <w:szCs w:val="18"/>
              </w:rPr>
              <w:t>Release unit from patient back to inventory</w:t>
            </w: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rsidR="00D32A05" w:rsidRPr="001C29FC" w:rsidRDefault="00D32A05" w:rsidP="00D32A05">
            <w:pPr>
              <w:pStyle w:val="TableText"/>
              <w:rPr>
                <w:szCs w:val="18"/>
              </w:rPr>
            </w:pPr>
            <w:r w:rsidRPr="001C29FC">
              <w:rPr>
                <w:szCs w:val="18"/>
              </w:rPr>
              <w:t xml:space="preserve">Accrue workload when an </w:t>
            </w:r>
            <w:r w:rsidRPr="001C29FC">
              <w:rPr>
                <w:color w:val="000000"/>
                <w:szCs w:val="18"/>
              </w:rPr>
              <w:t>individual unit is released from patient assignment. When multiple units are selected, each unit accrues workload.</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Discard or Quarantine Unit</w:t>
            </w:r>
          </w:p>
        </w:tc>
        <w:tc>
          <w:tcPr>
            <w:tcW w:w="1442" w:type="dxa"/>
            <w:shd w:val="clear" w:color="auto" w:fill="auto"/>
          </w:tcPr>
          <w:p w:rsidR="00D32A05" w:rsidRPr="001C29FC" w:rsidRDefault="00D32A05" w:rsidP="00D32A05">
            <w:pPr>
              <w:pStyle w:val="TableText"/>
              <w:rPr>
                <w:color w:val="000000"/>
                <w:szCs w:val="18"/>
              </w:rPr>
            </w:pPr>
            <w:r w:rsidRPr="001C29FC">
              <w:rPr>
                <w:color w:val="000000"/>
                <w:szCs w:val="18"/>
              </w:rPr>
              <w:t xml:space="preserve">Release unit from Quarantine </w:t>
            </w: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rsidR="00D32A05" w:rsidRPr="001C29FC" w:rsidRDefault="00D32A05" w:rsidP="00D32A05">
            <w:pPr>
              <w:pStyle w:val="TableText"/>
              <w:rPr>
                <w:color w:val="000000"/>
                <w:szCs w:val="18"/>
              </w:rPr>
            </w:pPr>
            <w:r w:rsidRPr="001C29FC">
              <w:rPr>
                <w:color w:val="000000"/>
                <w:szCs w:val="18"/>
              </w:rPr>
              <w:t>Accrue workload when a unit is released from quarantine. When a batch of units is selected, each unit accrues workload.</w:t>
            </w:r>
          </w:p>
        </w:tc>
      </w:tr>
      <w:tr w:rsidR="00D32A05" w:rsidRPr="001C29FC" w:rsidTr="00D32A05">
        <w:tblPrEx>
          <w:tblCellMar>
            <w:top w:w="0" w:type="dxa"/>
            <w:bottom w:w="0" w:type="dxa"/>
          </w:tblCellMar>
        </w:tblPrEx>
        <w:trPr>
          <w:cantSplit/>
          <w:tblHeader/>
        </w:trPr>
        <w:tc>
          <w:tcPr>
            <w:tcW w:w="1803" w:type="dxa"/>
            <w:shd w:val="clear" w:color="auto" w:fill="auto"/>
          </w:tcPr>
          <w:p w:rsidR="00D32A05" w:rsidRPr="001C29FC" w:rsidRDefault="00D32A05" w:rsidP="00D32A05">
            <w:pPr>
              <w:pStyle w:val="TableText"/>
              <w:rPr>
                <w:color w:val="000000"/>
                <w:szCs w:val="18"/>
              </w:rPr>
            </w:pPr>
            <w:r w:rsidRPr="001C29FC">
              <w:rPr>
                <w:color w:val="000000"/>
                <w:szCs w:val="18"/>
              </w:rPr>
              <w:t>Return Issued Unit</w:t>
            </w:r>
          </w:p>
        </w:tc>
        <w:tc>
          <w:tcPr>
            <w:tcW w:w="1442" w:type="dxa"/>
            <w:shd w:val="clear" w:color="auto" w:fill="auto"/>
          </w:tcPr>
          <w:p w:rsidR="00D32A05" w:rsidRPr="001C29FC" w:rsidRDefault="00D32A05" w:rsidP="00D32A05">
            <w:pPr>
              <w:pStyle w:val="TableText"/>
              <w:rPr>
                <w:color w:val="000000"/>
                <w:szCs w:val="18"/>
              </w:rPr>
            </w:pPr>
            <w:r w:rsidRPr="001C29FC">
              <w:rPr>
                <w:color w:val="000000"/>
                <w:szCs w:val="18"/>
              </w:rPr>
              <w:t>Return Issued unit</w:t>
            </w: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rsidR="00D32A05" w:rsidRPr="001C29FC" w:rsidRDefault="00D32A05" w:rsidP="00D32A05">
            <w:pPr>
              <w:pStyle w:val="TableText"/>
              <w:rPr>
                <w:szCs w:val="18"/>
              </w:rPr>
            </w:pPr>
            <w:r w:rsidRPr="001C29FC">
              <w:rPr>
                <w:szCs w:val="18"/>
              </w:rPr>
              <w:t>Accrue workload when a</w:t>
            </w:r>
            <w:r w:rsidRPr="001C29FC">
              <w:rPr>
                <w:color w:val="000000"/>
                <w:szCs w:val="18"/>
              </w:rPr>
              <w:t xml:space="preserve"> unit is returned from issue status. </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Modify Units</w:t>
            </w:r>
          </w:p>
        </w:tc>
        <w:tc>
          <w:tcPr>
            <w:tcW w:w="1442" w:type="dxa"/>
            <w:vMerge w:val="restart"/>
            <w:shd w:val="clear" w:color="auto" w:fill="auto"/>
          </w:tcPr>
          <w:p w:rsidR="00D32A05" w:rsidRPr="001C29FC" w:rsidRDefault="00D32A05" w:rsidP="00D32A05">
            <w:pPr>
              <w:pStyle w:val="TableText"/>
              <w:rPr>
                <w:color w:val="000000"/>
                <w:szCs w:val="18"/>
              </w:rPr>
            </w:pPr>
            <w:r w:rsidRPr="001C29FC">
              <w:rPr>
                <w:color w:val="000000"/>
                <w:szCs w:val="18"/>
              </w:rPr>
              <w:t>Thaw/pool Cryo</w:t>
            </w: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rsidR="00D32A05" w:rsidRPr="001C29FC" w:rsidRDefault="00D32A05" w:rsidP="00D32A05">
            <w:pPr>
              <w:pStyle w:val="TableText"/>
              <w:rPr>
                <w:szCs w:val="18"/>
              </w:rPr>
            </w:pPr>
            <w:r w:rsidRPr="001C29FC">
              <w:rPr>
                <w:szCs w:val="18"/>
              </w:rPr>
              <w:t xml:space="preserve">Accrue workload when an </w:t>
            </w:r>
            <w:r w:rsidRPr="001C29FC">
              <w:rPr>
                <w:color w:val="000000"/>
                <w:szCs w:val="18"/>
              </w:rPr>
              <w:t>individual unit has a modification of Thaw/Pool Cryo. A single workload event is recorded regardless of the number of units included in the pooled unit. Note: Workload is not accrued when a patient assignment is processed and VBECS releases all other patient assignments. Workload is not accrued when VBECS is required to quarantine the unit.</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Edit Unit Information*</w:t>
            </w:r>
          </w:p>
        </w:tc>
        <w:tc>
          <w:tcPr>
            <w:tcW w:w="1442" w:type="dxa"/>
            <w:vMerge/>
            <w:shd w:val="clear" w:color="auto" w:fill="auto"/>
          </w:tcPr>
          <w:p w:rsidR="00D32A05" w:rsidRPr="001C29FC" w:rsidRDefault="00D32A05" w:rsidP="00D32A05">
            <w:pPr>
              <w:pStyle w:val="TableText"/>
              <w:rPr>
                <w:color w:val="000000"/>
                <w:szCs w:val="18"/>
              </w:rPr>
            </w:pP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rsidR="00D32A05" w:rsidRPr="001C29FC" w:rsidRDefault="00D32A05" w:rsidP="00D32A05">
            <w:pPr>
              <w:pStyle w:val="TableText"/>
              <w:rPr>
                <w:szCs w:val="18"/>
              </w:rPr>
            </w:pPr>
            <w:r w:rsidRPr="001C29FC">
              <w:rPr>
                <w:szCs w:val="18"/>
              </w:rPr>
              <w:t>Accrue workload when a u</w:t>
            </w:r>
            <w:r w:rsidRPr="001C29FC">
              <w:rPr>
                <w:color w:val="000000"/>
                <w:szCs w:val="18"/>
              </w:rPr>
              <w:t xml:space="preserve">nit is inactivated (unit record inactivated) when the pooled unit was created in VBECS. </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lastRenderedPageBreak/>
              <w:t>Remove Final Status</w:t>
            </w:r>
          </w:p>
        </w:tc>
        <w:tc>
          <w:tcPr>
            <w:tcW w:w="1442" w:type="dxa"/>
            <w:vMerge/>
            <w:shd w:val="clear" w:color="auto" w:fill="auto"/>
          </w:tcPr>
          <w:p w:rsidR="00D32A05" w:rsidRPr="001C29FC" w:rsidRDefault="00D32A05" w:rsidP="00D32A05">
            <w:pPr>
              <w:pStyle w:val="TableText"/>
              <w:rPr>
                <w:color w:val="000000"/>
                <w:szCs w:val="18"/>
              </w:rPr>
            </w:pP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N/A</w:t>
            </w:r>
          </w:p>
        </w:tc>
        <w:tc>
          <w:tcPr>
            <w:tcW w:w="4482" w:type="dxa"/>
            <w:shd w:val="clear" w:color="auto" w:fill="auto"/>
          </w:tcPr>
          <w:p w:rsidR="00D32A05" w:rsidRPr="001C29FC" w:rsidRDefault="00D32A05" w:rsidP="00D32A05">
            <w:pPr>
              <w:pStyle w:val="TableText"/>
              <w:rPr>
                <w:color w:val="000000"/>
                <w:szCs w:val="18"/>
              </w:rPr>
            </w:pPr>
            <w:r w:rsidRPr="001C29FC">
              <w:rPr>
                <w:color w:val="000000"/>
                <w:szCs w:val="18"/>
              </w:rPr>
              <w:t xml:space="preserve">There is no effect on workload accrual when a unit is removed from a modified status that was included in a Thaw/pool Cryo pool. </w:t>
            </w:r>
          </w:p>
        </w:tc>
      </w:tr>
      <w:tr w:rsidR="00D32A05" w:rsidRPr="001C29FC" w:rsidTr="00D32A05">
        <w:tblPrEx>
          <w:tblCellMar>
            <w:top w:w="0" w:type="dxa"/>
            <w:bottom w:w="0" w:type="dxa"/>
          </w:tblCellMar>
        </w:tblPrEx>
        <w:trPr>
          <w:cantSplit/>
          <w:tblHeader/>
        </w:trPr>
        <w:tc>
          <w:tcPr>
            <w:tcW w:w="1803" w:type="dxa"/>
            <w:shd w:val="clear" w:color="auto" w:fill="auto"/>
          </w:tcPr>
          <w:p w:rsidR="00D32A05" w:rsidRPr="001C29FC" w:rsidRDefault="00D32A05" w:rsidP="00D32A05">
            <w:pPr>
              <w:pStyle w:val="TableText"/>
              <w:rPr>
                <w:color w:val="000000"/>
                <w:szCs w:val="18"/>
              </w:rPr>
            </w:pPr>
            <w:r w:rsidRPr="001C29FC">
              <w:rPr>
                <w:color w:val="000000"/>
                <w:szCs w:val="18"/>
              </w:rPr>
              <w:t>Enter Post-Transfusion Details</w:t>
            </w:r>
          </w:p>
        </w:tc>
        <w:tc>
          <w:tcPr>
            <w:tcW w:w="1442" w:type="dxa"/>
            <w:vMerge w:val="restart"/>
            <w:shd w:val="clear" w:color="auto" w:fill="auto"/>
          </w:tcPr>
          <w:p w:rsidR="00D32A05" w:rsidRPr="001C29FC" w:rsidRDefault="00D32A05" w:rsidP="00D32A05">
            <w:pPr>
              <w:pStyle w:val="TableText"/>
              <w:rPr>
                <w:color w:val="000000"/>
                <w:szCs w:val="18"/>
              </w:rPr>
            </w:pPr>
            <w:r w:rsidRPr="001C29FC">
              <w:rPr>
                <w:color w:val="000000"/>
                <w:szCs w:val="18"/>
              </w:rPr>
              <w:t>Transfuse Unit</w:t>
            </w: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rsidR="00D32A05" w:rsidRPr="001C29FC" w:rsidRDefault="00D32A05" w:rsidP="00D32A05">
            <w:pPr>
              <w:pStyle w:val="TableText"/>
              <w:rPr>
                <w:szCs w:val="18"/>
              </w:rPr>
            </w:pPr>
            <w:r w:rsidRPr="001C29FC">
              <w:rPr>
                <w:szCs w:val="18"/>
              </w:rPr>
              <w:t xml:space="preserve">Accrue workload when an </w:t>
            </w:r>
            <w:r w:rsidRPr="001C29FC">
              <w:rPr>
                <w:color w:val="000000"/>
                <w:szCs w:val="18"/>
              </w:rPr>
              <w:t>individual blood unit’s status is updated to “transfused.“</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Remove Final Status*</w:t>
            </w:r>
          </w:p>
        </w:tc>
        <w:tc>
          <w:tcPr>
            <w:tcW w:w="1442" w:type="dxa"/>
            <w:vMerge/>
            <w:shd w:val="clear" w:color="auto" w:fill="auto"/>
          </w:tcPr>
          <w:p w:rsidR="00D32A05" w:rsidRPr="001C29FC" w:rsidRDefault="00D32A05" w:rsidP="00D32A05">
            <w:pPr>
              <w:pStyle w:val="TableText"/>
              <w:rPr>
                <w:color w:val="000000"/>
                <w:szCs w:val="18"/>
              </w:rPr>
            </w:pP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rsidR="00D32A05" w:rsidRPr="001C29FC" w:rsidRDefault="00D32A05" w:rsidP="00D32A05">
            <w:pPr>
              <w:pStyle w:val="TableText"/>
              <w:rPr>
                <w:color w:val="000000"/>
                <w:szCs w:val="18"/>
              </w:rPr>
            </w:pPr>
            <w:r w:rsidRPr="001C29FC">
              <w:rPr>
                <w:color w:val="000000"/>
                <w:szCs w:val="18"/>
              </w:rPr>
              <w:t>An individual blood unit’s status is invalidated when the unit was in a status of “transfused.”</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Record a Transfusion Reaction Workup</w:t>
            </w:r>
          </w:p>
        </w:tc>
        <w:tc>
          <w:tcPr>
            <w:tcW w:w="1442" w:type="dxa"/>
            <w:vMerge w:val="restart"/>
            <w:shd w:val="clear" w:color="auto" w:fill="auto"/>
          </w:tcPr>
          <w:p w:rsidR="00D32A05" w:rsidRPr="001C29FC" w:rsidRDefault="00D32A05" w:rsidP="00D32A05">
            <w:pPr>
              <w:pStyle w:val="TableText"/>
              <w:rPr>
                <w:color w:val="000000"/>
                <w:szCs w:val="18"/>
              </w:rPr>
            </w:pPr>
            <w:r w:rsidRPr="001C29FC">
              <w:rPr>
                <w:color w:val="000000"/>
                <w:szCs w:val="18"/>
              </w:rPr>
              <w:t>Transfusion Reaction Investigation</w:t>
            </w: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rsidR="00D32A05" w:rsidRPr="001C29FC" w:rsidRDefault="00D32A05" w:rsidP="00D32A05">
            <w:pPr>
              <w:pStyle w:val="TableText"/>
              <w:rPr>
                <w:color w:val="000000"/>
                <w:szCs w:val="18"/>
              </w:rPr>
            </w:pPr>
            <w:r w:rsidRPr="001C29FC">
              <w:rPr>
                <w:color w:val="000000"/>
                <w:szCs w:val="18"/>
              </w:rPr>
              <w:t xml:space="preserve">Accrue workload when a transfusion reaction investigation is saved. </w:t>
            </w:r>
            <w:r w:rsidRPr="001C29FC">
              <w:rPr>
                <w:iCs/>
                <w:color w:val="000000"/>
                <w:szCs w:val="18"/>
              </w:rPr>
              <w:t xml:space="preserve">This does </w:t>
            </w:r>
            <w:r w:rsidRPr="001C29FC">
              <w:rPr>
                <w:color w:val="000000"/>
                <w:szCs w:val="18"/>
              </w:rPr>
              <w:t>not</w:t>
            </w:r>
            <w:r w:rsidRPr="001C29FC">
              <w:rPr>
                <w:iCs/>
                <w:color w:val="000000"/>
                <w:szCs w:val="18"/>
              </w:rPr>
              <w:t xml:space="preserve"> include workload accrued by the optional TRW serologic testing.</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Invalidate Patient Test Results*</w:t>
            </w:r>
          </w:p>
        </w:tc>
        <w:tc>
          <w:tcPr>
            <w:tcW w:w="1442" w:type="dxa"/>
            <w:vMerge/>
            <w:shd w:val="clear" w:color="auto" w:fill="auto"/>
          </w:tcPr>
          <w:p w:rsidR="00D32A05" w:rsidRPr="001C29FC" w:rsidRDefault="00D32A05" w:rsidP="00D32A05">
            <w:pPr>
              <w:pStyle w:val="TableText"/>
              <w:rPr>
                <w:color w:val="000000"/>
                <w:szCs w:val="18"/>
              </w:rPr>
            </w:pP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rsidR="00D32A05" w:rsidRPr="001C29FC" w:rsidRDefault="00D32A05" w:rsidP="00D32A05">
            <w:pPr>
              <w:pStyle w:val="TableText"/>
              <w:rPr>
                <w:szCs w:val="18"/>
              </w:rPr>
            </w:pPr>
            <w:r w:rsidRPr="001C29FC">
              <w:rPr>
                <w:szCs w:val="18"/>
              </w:rPr>
              <w:t xml:space="preserve">Accrue workload when a </w:t>
            </w:r>
            <w:r w:rsidRPr="001C29FC">
              <w:rPr>
                <w:color w:val="000000"/>
                <w:szCs w:val="18"/>
              </w:rPr>
              <w:t>transfusion reaction investigation previously saved is invalidated.</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Unit Antigen Typing</w:t>
            </w:r>
          </w:p>
        </w:tc>
        <w:tc>
          <w:tcPr>
            <w:tcW w:w="1442" w:type="dxa"/>
            <w:vMerge w:val="restart"/>
            <w:shd w:val="clear" w:color="auto" w:fill="auto"/>
          </w:tcPr>
          <w:p w:rsidR="00D32A05" w:rsidRPr="001C29FC" w:rsidRDefault="00D32A05" w:rsidP="00D32A05">
            <w:pPr>
              <w:pStyle w:val="TableText"/>
              <w:rPr>
                <w:color w:val="000000"/>
                <w:szCs w:val="18"/>
              </w:rPr>
            </w:pPr>
            <w:r w:rsidRPr="001C29FC">
              <w:rPr>
                <w:color w:val="000000"/>
                <w:szCs w:val="18"/>
              </w:rPr>
              <w:t>Unit Antigen phenotyping, Multiple Test phases</w:t>
            </w: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rsidR="00D32A05" w:rsidRPr="001C29FC" w:rsidRDefault="00D32A05" w:rsidP="00D32A05">
            <w:pPr>
              <w:pStyle w:val="TableText"/>
              <w:rPr>
                <w:color w:val="000000"/>
                <w:szCs w:val="18"/>
              </w:rPr>
            </w:pPr>
            <w:r w:rsidRPr="001C29FC">
              <w:rPr>
                <w:color w:val="000000"/>
                <w:szCs w:val="18"/>
              </w:rPr>
              <w:t>Accrue workload when a unit antigen phenotype test with IS/RT or IS/37 phases is selected and completed for an individual blood unit. There is no special handling for workload collection for additional repeat antigen typing tests on a unit.</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Edit Unit Information*</w:t>
            </w:r>
          </w:p>
        </w:tc>
        <w:tc>
          <w:tcPr>
            <w:tcW w:w="1442" w:type="dxa"/>
            <w:vMerge/>
            <w:shd w:val="clear" w:color="auto" w:fill="auto"/>
          </w:tcPr>
          <w:p w:rsidR="00D32A05" w:rsidRPr="001C29FC" w:rsidRDefault="00D32A05" w:rsidP="00D32A05">
            <w:pPr>
              <w:pStyle w:val="TableText"/>
              <w:rPr>
                <w:color w:val="000000"/>
                <w:szCs w:val="18"/>
              </w:rPr>
            </w:pP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rsidR="00D32A05" w:rsidRPr="001C29FC" w:rsidRDefault="00D32A05" w:rsidP="00D32A05">
            <w:pPr>
              <w:pStyle w:val="TableText"/>
              <w:rPr>
                <w:color w:val="000000"/>
                <w:szCs w:val="18"/>
              </w:rPr>
            </w:pPr>
            <w:r w:rsidRPr="001C29FC">
              <w:rPr>
                <w:color w:val="000000"/>
                <w:szCs w:val="18"/>
              </w:rPr>
              <w:t>Accrue workload when a unit antigen phenotype test with Multiple Test phases is invalidated for an individual blood unit.</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Unit Antigen Typing</w:t>
            </w:r>
          </w:p>
        </w:tc>
        <w:tc>
          <w:tcPr>
            <w:tcW w:w="1442" w:type="dxa"/>
            <w:vMerge w:val="restart"/>
            <w:shd w:val="clear" w:color="auto" w:fill="auto"/>
          </w:tcPr>
          <w:p w:rsidR="00D32A05" w:rsidRPr="001C29FC" w:rsidRDefault="00D32A05" w:rsidP="00D32A05">
            <w:pPr>
              <w:pStyle w:val="TableText"/>
              <w:rPr>
                <w:color w:val="000000"/>
                <w:szCs w:val="18"/>
              </w:rPr>
            </w:pPr>
            <w:r w:rsidRPr="001C29FC">
              <w:rPr>
                <w:color w:val="000000"/>
                <w:szCs w:val="18"/>
              </w:rPr>
              <w:t>Unit Antigen phenotyping, Single Test phase</w:t>
            </w: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rsidR="00D32A05" w:rsidRPr="001C29FC" w:rsidRDefault="00D32A05" w:rsidP="00D32A05">
            <w:pPr>
              <w:pStyle w:val="TableText"/>
              <w:rPr>
                <w:color w:val="000000"/>
                <w:szCs w:val="18"/>
              </w:rPr>
            </w:pPr>
            <w:r w:rsidRPr="001C29FC">
              <w:rPr>
                <w:color w:val="000000"/>
                <w:szCs w:val="18"/>
              </w:rPr>
              <w:t>A unit antigen phenotype test with AHG or IS phase is selected and completed for an individual blood unit. There is no special handling for workload collection for additional repeat antigen typing tests on a unit.</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Edit Unit Information*</w:t>
            </w:r>
          </w:p>
        </w:tc>
        <w:tc>
          <w:tcPr>
            <w:tcW w:w="1442" w:type="dxa"/>
            <w:vMerge/>
            <w:shd w:val="clear" w:color="auto" w:fill="auto"/>
          </w:tcPr>
          <w:p w:rsidR="00D32A05" w:rsidRPr="001C29FC" w:rsidRDefault="00D32A05" w:rsidP="00D32A05">
            <w:pPr>
              <w:pStyle w:val="TableText"/>
              <w:rPr>
                <w:color w:val="000000"/>
                <w:szCs w:val="18"/>
              </w:rPr>
            </w:pP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rsidR="00D32A05" w:rsidRPr="001C29FC" w:rsidRDefault="00D32A05" w:rsidP="00D32A05">
            <w:pPr>
              <w:pStyle w:val="TableText"/>
              <w:rPr>
                <w:color w:val="000000"/>
                <w:szCs w:val="18"/>
              </w:rPr>
            </w:pPr>
            <w:r w:rsidRPr="001C29FC">
              <w:rPr>
                <w:color w:val="000000"/>
                <w:szCs w:val="18"/>
              </w:rPr>
              <w:t>Accrue workload when a unit antigen phenotype test with Single Test phase is invalidated for an individual blood unit.</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Incoming Shipment</w:t>
            </w:r>
          </w:p>
        </w:tc>
        <w:tc>
          <w:tcPr>
            <w:tcW w:w="1442" w:type="dxa"/>
            <w:vMerge w:val="restart"/>
            <w:shd w:val="clear" w:color="auto" w:fill="auto"/>
          </w:tcPr>
          <w:p w:rsidR="00D32A05" w:rsidRPr="001C29FC" w:rsidRDefault="00D32A05" w:rsidP="00D32A05">
            <w:pPr>
              <w:pStyle w:val="TableText"/>
              <w:rPr>
                <w:color w:val="000000"/>
                <w:szCs w:val="18"/>
              </w:rPr>
            </w:pPr>
            <w:r w:rsidRPr="001C29FC">
              <w:rPr>
                <w:color w:val="000000"/>
                <w:szCs w:val="18"/>
              </w:rPr>
              <w:t>Unit login</w:t>
            </w: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rsidR="00D32A05" w:rsidRPr="001C29FC" w:rsidRDefault="00D32A05" w:rsidP="00D32A05">
            <w:pPr>
              <w:pStyle w:val="TableText"/>
              <w:rPr>
                <w:color w:val="000000"/>
                <w:szCs w:val="18"/>
              </w:rPr>
            </w:pPr>
            <w:r w:rsidRPr="001C29FC">
              <w:rPr>
                <w:color w:val="000000"/>
                <w:szCs w:val="18"/>
              </w:rPr>
              <w:t>An individual unit record is activated as “saved” to an incoming shipment invoice. When multiple units are entered, each unit added to the database accrues workload.</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Edit Unit Information*</w:t>
            </w:r>
          </w:p>
        </w:tc>
        <w:tc>
          <w:tcPr>
            <w:tcW w:w="1442" w:type="dxa"/>
            <w:vMerge/>
            <w:shd w:val="clear" w:color="auto" w:fill="auto"/>
          </w:tcPr>
          <w:p w:rsidR="00D32A05" w:rsidRPr="001C29FC" w:rsidRDefault="00D32A05" w:rsidP="00D32A05">
            <w:pPr>
              <w:pStyle w:val="TableText"/>
              <w:rPr>
                <w:color w:val="000000"/>
                <w:szCs w:val="18"/>
              </w:rPr>
            </w:pP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rsidR="00D32A05" w:rsidRPr="001C29FC" w:rsidRDefault="00D32A05" w:rsidP="00D32A05">
            <w:pPr>
              <w:pStyle w:val="TableText"/>
              <w:rPr>
                <w:szCs w:val="18"/>
              </w:rPr>
            </w:pPr>
            <w:r w:rsidRPr="001C29FC">
              <w:rPr>
                <w:szCs w:val="18"/>
              </w:rPr>
              <w:t>Accrue workload when a u</w:t>
            </w:r>
            <w:r w:rsidRPr="001C29FC">
              <w:rPr>
                <w:color w:val="000000"/>
                <w:szCs w:val="18"/>
              </w:rPr>
              <w:t xml:space="preserve">nit is inactivated and logged in through incoming shipment or is a pooled unit created in VBECS. When the unit was created by split modification, no workload is invalidated in this option. </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Outgoing Shipment</w:t>
            </w:r>
          </w:p>
        </w:tc>
        <w:tc>
          <w:tcPr>
            <w:tcW w:w="1442" w:type="dxa"/>
            <w:vMerge w:val="restart"/>
            <w:shd w:val="clear" w:color="auto" w:fill="auto"/>
          </w:tcPr>
          <w:p w:rsidR="00D32A05" w:rsidRPr="001C29FC" w:rsidRDefault="00D32A05" w:rsidP="00D32A05">
            <w:pPr>
              <w:pStyle w:val="TableText"/>
              <w:rPr>
                <w:color w:val="000000"/>
                <w:szCs w:val="18"/>
              </w:rPr>
            </w:pPr>
            <w:r w:rsidRPr="001C29FC">
              <w:rPr>
                <w:color w:val="000000"/>
                <w:szCs w:val="18"/>
              </w:rPr>
              <w:t>Unit logout</w:t>
            </w: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rsidR="00D32A05" w:rsidRPr="001C29FC" w:rsidRDefault="00D32A05" w:rsidP="00D32A05">
            <w:pPr>
              <w:pStyle w:val="TableText"/>
              <w:rPr>
                <w:color w:val="000000"/>
                <w:szCs w:val="18"/>
              </w:rPr>
            </w:pPr>
            <w:r w:rsidRPr="001C29FC">
              <w:rPr>
                <w:color w:val="000000"/>
                <w:szCs w:val="18"/>
              </w:rPr>
              <w:t>An individual unit’s status is updated to “</w:t>
            </w:r>
            <w:r w:rsidRPr="001C29FC">
              <w:rPr>
                <w:iCs/>
                <w:color w:val="000000"/>
                <w:szCs w:val="18"/>
              </w:rPr>
              <w:t>transferred”</w:t>
            </w:r>
            <w:r w:rsidRPr="001C29FC">
              <w:rPr>
                <w:color w:val="000000"/>
                <w:szCs w:val="18"/>
              </w:rPr>
              <w:t xml:space="preserve"> on a confirmed outgoing shipment invoice. When multiple units are selected, each unit accrues workload. Accrue workload on confirmation of the invoice, not the addition of a unit to a temporary outgoing shipment invoice: an invoice may be confirmed only once.</w:t>
            </w:r>
          </w:p>
        </w:tc>
      </w:tr>
      <w:tr w:rsidR="00D32A05" w:rsidRPr="001C29FC" w:rsidTr="00D32A05">
        <w:tblPrEx>
          <w:tblCellMar>
            <w:top w:w="0" w:type="dxa"/>
            <w:bottom w:w="0" w:type="dxa"/>
          </w:tblCellMar>
        </w:tblPrEx>
        <w:trPr>
          <w:cantSplit/>
          <w:tblHeader/>
        </w:trPr>
        <w:tc>
          <w:tcPr>
            <w:tcW w:w="1803" w:type="dxa"/>
            <w:shd w:val="clear" w:color="auto" w:fill="auto"/>
            <w:vAlign w:val="bottom"/>
          </w:tcPr>
          <w:p w:rsidR="00D32A05" w:rsidRPr="001C29FC" w:rsidRDefault="00D32A05" w:rsidP="00D32A05">
            <w:pPr>
              <w:pStyle w:val="TableText"/>
            </w:pPr>
            <w:r w:rsidRPr="001C29FC">
              <w:t>Remove Final Status*</w:t>
            </w:r>
          </w:p>
        </w:tc>
        <w:tc>
          <w:tcPr>
            <w:tcW w:w="1442" w:type="dxa"/>
            <w:vMerge/>
            <w:shd w:val="clear" w:color="auto" w:fill="auto"/>
          </w:tcPr>
          <w:p w:rsidR="00D32A05" w:rsidRPr="001C29FC" w:rsidRDefault="00D32A05" w:rsidP="00D32A05">
            <w:pPr>
              <w:pStyle w:val="TableText"/>
              <w:rPr>
                <w:color w:val="000000"/>
                <w:szCs w:val="18"/>
              </w:rPr>
            </w:pPr>
          </w:p>
        </w:tc>
        <w:tc>
          <w:tcPr>
            <w:tcW w:w="1633" w:type="dxa"/>
            <w:shd w:val="clear" w:color="auto" w:fill="auto"/>
          </w:tcPr>
          <w:p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rsidR="00D32A05" w:rsidRPr="001C29FC" w:rsidRDefault="00D32A05" w:rsidP="00D32A05">
            <w:pPr>
              <w:pStyle w:val="TableText"/>
              <w:rPr>
                <w:color w:val="000000"/>
                <w:szCs w:val="18"/>
              </w:rPr>
            </w:pPr>
            <w:r w:rsidRPr="001C29FC">
              <w:rPr>
                <w:color w:val="000000"/>
                <w:szCs w:val="18"/>
              </w:rPr>
              <w:t>An individual unit status is invalidated when the unit had a previous unit status of “transferred.”</w:t>
            </w:r>
          </w:p>
        </w:tc>
      </w:tr>
      <w:tr w:rsidR="00D32A05" w:rsidRPr="001C29FC" w:rsidTr="00D32A05">
        <w:tblPrEx>
          <w:tblCellMar>
            <w:top w:w="0" w:type="dxa"/>
            <w:bottom w:w="0" w:type="dxa"/>
          </w:tblCellMar>
        </w:tblPrEx>
        <w:trPr>
          <w:cantSplit/>
          <w:tblHeader/>
        </w:trPr>
        <w:tc>
          <w:tcPr>
            <w:tcW w:w="1803" w:type="dxa"/>
            <w:shd w:val="clear" w:color="auto" w:fill="auto"/>
          </w:tcPr>
          <w:p w:rsidR="00D32A05" w:rsidRPr="001C29FC" w:rsidRDefault="00D32A05" w:rsidP="00D32A05">
            <w:pPr>
              <w:pStyle w:val="TableText"/>
              <w:rPr>
                <w:szCs w:val="18"/>
              </w:rPr>
            </w:pPr>
            <w:r w:rsidRPr="001C29FC">
              <w:rPr>
                <w:szCs w:val="18"/>
              </w:rPr>
              <w:t>Update Equipment Record</w:t>
            </w:r>
          </w:p>
        </w:tc>
        <w:tc>
          <w:tcPr>
            <w:tcW w:w="1442" w:type="dxa"/>
            <w:shd w:val="clear" w:color="auto" w:fill="auto"/>
          </w:tcPr>
          <w:p w:rsidR="00D32A05" w:rsidRPr="001C29FC" w:rsidRDefault="00D32A05" w:rsidP="00D32A05">
            <w:pPr>
              <w:pStyle w:val="TableText"/>
              <w:rPr>
                <w:szCs w:val="18"/>
              </w:rPr>
            </w:pPr>
            <w:r w:rsidRPr="001C29FC">
              <w:rPr>
                <w:szCs w:val="18"/>
              </w:rPr>
              <w:t>Update Equipment Record</w:t>
            </w:r>
          </w:p>
        </w:tc>
        <w:tc>
          <w:tcPr>
            <w:tcW w:w="1633" w:type="dxa"/>
            <w:shd w:val="clear" w:color="auto" w:fill="auto"/>
          </w:tcPr>
          <w:p w:rsidR="00D32A05" w:rsidRPr="001C29FC" w:rsidRDefault="00D32A05" w:rsidP="00D32A05">
            <w:pPr>
              <w:pStyle w:val="TableText"/>
              <w:rPr>
                <w:szCs w:val="18"/>
              </w:rPr>
            </w:pPr>
            <w:r w:rsidRPr="001C29FC">
              <w:rPr>
                <w:szCs w:val="18"/>
              </w:rPr>
              <w:t>M</w:t>
            </w:r>
          </w:p>
        </w:tc>
        <w:tc>
          <w:tcPr>
            <w:tcW w:w="4482" w:type="dxa"/>
            <w:shd w:val="clear" w:color="auto" w:fill="auto"/>
          </w:tcPr>
          <w:p w:rsidR="00D32A05" w:rsidRPr="001C29FC" w:rsidRDefault="00D32A05" w:rsidP="00D32A05">
            <w:pPr>
              <w:pStyle w:val="TableText"/>
              <w:rPr>
                <w:szCs w:val="18"/>
              </w:rPr>
            </w:pPr>
            <w:r w:rsidRPr="001C29FC">
              <w:rPr>
                <w:szCs w:val="18"/>
              </w:rPr>
              <w:t xml:space="preserve">Accrue workload when a lot number of any type of equipment is updated in the system. </w:t>
            </w:r>
          </w:p>
        </w:tc>
      </w:tr>
      <w:tr w:rsidR="00D32A05" w:rsidRPr="001C29FC" w:rsidTr="00D32A05">
        <w:tblPrEx>
          <w:tblCellMar>
            <w:top w:w="0" w:type="dxa"/>
            <w:bottom w:w="0" w:type="dxa"/>
          </w:tblCellMar>
        </w:tblPrEx>
        <w:trPr>
          <w:cantSplit/>
          <w:tblHeader/>
        </w:trPr>
        <w:tc>
          <w:tcPr>
            <w:tcW w:w="1803" w:type="dxa"/>
            <w:shd w:val="clear" w:color="auto" w:fill="auto"/>
          </w:tcPr>
          <w:p w:rsidR="00D32A05" w:rsidRPr="001C29FC" w:rsidRDefault="00D32A05" w:rsidP="00D32A05">
            <w:pPr>
              <w:pStyle w:val="TableText"/>
              <w:rPr>
                <w:szCs w:val="18"/>
              </w:rPr>
            </w:pPr>
            <w:r w:rsidRPr="001C29FC">
              <w:rPr>
                <w:szCs w:val="18"/>
              </w:rPr>
              <w:t>Update Reagent Inventory</w:t>
            </w:r>
          </w:p>
        </w:tc>
        <w:tc>
          <w:tcPr>
            <w:tcW w:w="1442" w:type="dxa"/>
            <w:shd w:val="clear" w:color="auto" w:fill="auto"/>
          </w:tcPr>
          <w:p w:rsidR="00D32A05" w:rsidRPr="001C29FC" w:rsidRDefault="00D32A05" w:rsidP="00D32A05">
            <w:pPr>
              <w:pStyle w:val="TableText"/>
              <w:rPr>
                <w:szCs w:val="18"/>
              </w:rPr>
            </w:pPr>
            <w:r w:rsidRPr="001C29FC">
              <w:rPr>
                <w:szCs w:val="18"/>
              </w:rPr>
              <w:t>Update Reagent Inventory</w:t>
            </w:r>
          </w:p>
        </w:tc>
        <w:tc>
          <w:tcPr>
            <w:tcW w:w="1633" w:type="dxa"/>
            <w:shd w:val="clear" w:color="auto" w:fill="auto"/>
          </w:tcPr>
          <w:p w:rsidR="00D32A05" w:rsidRPr="001C29FC" w:rsidRDefault="00D32A05" w:rsidP="00D32A05">
            <w:pPr>
              <w:pStyle w:val="TableText"/>
              <w:rPr>
                <w:szCs w:val="18"/>
              </w:rPr>
            </w:pPr>
            <w:r w:rsidRPr="001C29FC">
              <w:rPr>
                <w:szCs w:val="18"/>
              </w:rPr>
              <w:t>M</w:t>
            </w:r>
          </w:p>
        </w:tc>
        <w:tc>
          <w:tcPr>
            <w:tcW w:w="4482" w:type="dxa"/>
            <w:shd w:val="clear" w:color="auto" w:fill="auto"/>
          </w:tcPr>
          <w:p w:rsidR="00D32A05" w:rsidRPr="001C29FC" w:rsidRDefault="00D32A05" w:rsidP="00D32A05">
            <w:pPr>
              <w:pStyle w:val="TableText"/>
              <w:rPr>
                <w:szCs w:val="18"/>
              </w:rPr>
            </w:pPr>
            <w:r w:rsidRPr="001C29FC">
              <w:rPr>
                <w:szCs w:val="18"/>
              </w:rPr>
              <w:t>Accrue workload when a lot number of any type of reagent is updated in the system. When multiple lot numbers are processed in a batch, each lot number’s workload is counted.</w:t>
            </w:r>
          </w:p>
        </w:tc>
      </w:tr>
      <w:tr w:rsidR="00D32A05" w:rsidRPr="001C29FC" w:rsidTr="00D32A05">
        <w:tblPrEx>
          <w:tblCellMar>
            <w:top w:w="0" w:type="dxa"/>
            <w:bottom w:w="0" w:type="dxa"/>
          </w:tblCellMar>
        </w:tblPrEx>
        <w:trPr>
          <w:cantSplit/>
          <w:tblHeader/>
        </w:trPr>
        <w:tc>
          <w:tcPr>
            <w:tcW w:w="1803" w:type="dxa"/>
            <w:shd w:val="clear" w:color="auto" w:fill="auto"/>
          </w:tcPr>
          <w:p w:rsidR="00D32A05" w:rsidRPr="001C29FC" w:rsidRDefault="00D32A05" w:rsidP="00D32A05">
            <w:pPr>
              <w:pStyle w:val="TableText"/>
              <w:rPr>
                <w:szCs w:val="18"/>
              </w:rPr>
            </w:pPr>
            <w:r w:rsidRPr="001C29FC">
              <w:rPr>
                <w:szCs w:val="18"/>
              </w:rPr>
              <w:lastRenderedPageBreak/>
              <w:t>Update Supply Inventory</w:t>
            </w:r>
          </w:p>
        </w:tc>
        <w:tc>
          <w:tcPr>
            <w:tcW w:w="1442" w:type="dxa"/>
            <w:shd w:val="clear" w:color="auto" w:fill="auto"/>
          </w:tcPr>
          <w:p w:rsidR="00D32A05" w:rsidRPr="001C29FC" w:rsidRDefault="00D32A05" w:rsidP="00D32A05">
            <w:pPr>
              <w:pStyle w:val="TableText"/>
              <w:rPr>
                <w:szCs w:val="18"/>
              </w:rPr>
            </w:pPr>
            <w:r w:rsidRPr="001C29FC">
              <w:rPr>
                <w:szCs w:val="18"/>
              </w:rPr>
              <w:t>Update Supply Inventory</w:t>
            </w:r>
          </w:p>
        </w:tc>
        <w:tc>
          <w:tcPr>
            <w:tcW w:w="1633" w:type="dxa"/>
            <w:shd w:val="clear" w:color="auto" w:fill="auto"/>
          </w:tcPr>
          <w:p w:rsidR="00D32A05" w:rsidRPr="001C29FC" w:rsidRDefault="00D32A05" w:rsidP="00D32A05">
            <w:pPr>
              <w:pStyle w:val="TableText"/>
              <w:rPr>
                <w:szCs w:val="18"/>
              </w:rPr>
            </w:pPr>
            <w:r w:rsidRPr="001C29FC">
              <w:rPr>
                <w:szCs w:val="18"/>
              </w:rPr>
              <w:t>M</w:t>
            </w:r>
          </w:p>
        </w:tc>
        <w:tc>
          <w:tcPr>
            <w:tcW w:w="4482" w:type="dxa"/>
            <w:shd w:val="clear" w:color="auto" w:fill="auto"/>
          </w:tcPr>
          <w:p w:rsidR="00D32A05" w:rsidRPr="001C29FC" w:rsidRDefault="00D32A05" w:rsidP="00D32A05">
            <w:pPr>
              <w:pStyle w:val="TableText"/>
              <w:rPr>
                <w:szCs w:val="18"/>
              </w:rPr>
            </w:pPr>
            <w:r w:rsidRPr="001C29FC">
              <w:rPr>
                <w:szCs w:val="18"/>
              </w:rPr>
              <w:t>Accrue workload when a lot number of any type of supply is updated in the system. When multiple lot numbers are processed in a batch, each lot number’s workload is counted.</w:t>
            </w:r>
          </w:p>
        </w:tc>
      </w:tr>
    </w:tbl>
    <w:p w:rsidR="000C4603" w:rsidRDefault="00D32A05" w:rsidP="00965A17">
      <w:pPr>
        <w:pStyle w:val="BodyText"/>
      </w:pPr>
      <w:r w:rsidRPr="001C29FC">
        <w:t>*Accumulates negative workload when it is associated with inactivation of a unit or removal of a final status.</w:t>
      </w:r>
      <w:r w:rsidR="00965A17">
        <w:t xml:space="preserve"> </w:t>
      </w:r>
    </w:p>
    <w:p w:rsidR="002A21AE" w:rsidRDefault="00AC75B2" w:rsidP="008964A9">
      <w:pPr>
        <w:pStyle w:val="Heading1"/>
      </w:pPr>
      <w:r>
        <w:rPr>
          <w:rFonts w:ascii="Times New Roman" w:hAnsi="Times New Roman" w:cs="Times New Roman"/>
          <w:sz w:val="22"/>
          <w:szCs w:val="22"/>
        </w:rPr>
        <w:br w:type="page"/>
      </w:r>
      <w:r w:rsidR="008964A9">
        <w:lastRenderedPageBreak/>
        <w:t xml:space="preserve"> </w:t>
      </w:r>
      <w:r w:rsidR="00F246F3" w:rsidRPr="00F246F3">
        <w:fldChar w:fldCharType="begin"/>
      </w:r>
      <w:r w:rsidR="00F246F3" w:rsidRPr="00F246F3">
        <w:instrText xml:space="preserve"> XE “Parser Mapping Logic, All HL7 Test Result, Interpretation and Phase Variations Accepted by VBECS" </w:instrText>
      </w:r>
      <w:r w:rsidR="00F246F3" w:rsidRPr="00F246F3">
        <w:fldChar w:fldCharType="end"/>
      </w:r>
      <w:bookmarkStart w:id="838" w:name="_Toc459900251"/>
      <w:r w:rsidR="002A21AE">
        <w:t>Index</w:t>
      </w:r>
      <w:bookmarkEnd w:id="838"/>
    </w:p>
    <w:p w:rsidR="005028F8" w:rsidRDefault="00E93F17" w:rsidP="009C0A99">
      <w:pPr>
        <w:pStyle w:val="BodyText"/>
        <w:jc w:val="center"/>
        <w:rPr>
          <w:rFonts w:ascii="Arial" w:hAnsi="Arial" w:cs="Arial"/>
          <w:b/>
          <w:bCs/>
          <w:noProof/>
          <w:kern w:val="32"/>
        </w:rPr>
        <w:sectPr w:rsidR="005028F8" w:rsidSect="005028F8">
          <w:headerReference w:type="even" r:id="rId290"/>
          <w:type w:val="continuous"/>
          <w:pgSz w:w="12240" w:h="15840" w:code="1"/>
          <w:pgMar w:top="1440" w:right="1440" w:bottom="1440" w:left="1440" w:header="720" w:footer="720" w:gutter="0"/>
          <w:cols w:space="720"/>
          <w:docGrid w:linePitch="360"/>
        </w:sectPr>
      </w:pPr>
      <w:r w:rsidRPr="00206945">
        <w:rPr>
          <w:rFonts w:ascii="Arial" w:hAnsi="Arial" w:cs="Arial"/>
          <w:b/>
          <w:bCs/>
          <w:kern w:val="32"/>
        </w:rPr>
        <w:fldChar w:fldCharType="begin"/>
      </w:r>
      <w:r w:rsidRPr="00206945">
        <w:rPr>
          <w:rFonts w:ascii="Arial" w:hAnsi="Arial" w:cs="Arial"/>
          <w:b/>
          <w:bCs/>
          <w:kern w:val="32"/>
        </w:rPr>
        <w:instrText xml:space="preserve"> INDEX \e "</w:instrText>
      </w:r>
      <w:r w:rsidRPr="00206945">
        <w:rPr>
          <w:rFonts w:ascii="Arial" w:hAnsi="Arial" w:cs="Arial"/>
          <w:b/>
          <w:bCs/>
          <w:kern w:val="32"/>
        </w:rPr>
        <w:tab/>
        <w:instrText xml:space="preserve">" \h "A" \c "1" \z "1033" </w:instrText>
      </w:r>
      <w:r w:rsidRPr="00206945">
        <w:rPr>
          <w:rFonts w:ascii="Arial" w:hAnsi="Arial" w:cs="Arial"/>
          <w:b/>
          <w:bCs/>
          <w:kern w:val="32"/>
        </w:rPr>
        <w:fldChar w:fldCharType="separate"/>
      </w:r>
    </w:p>
    <w:p w:rsidR="005028F8" w:rsidRPr="00A1587A" w:rsidRDefault="005028F8">
      <w:pPr>
        <w:pStyle w:val="IndexHeading"/>
        <w:keepNext/>
        <w:tabs>
          <w:tab w:val="right" w:leader="dot" w:pos="9350"/>
        </w:tabs>
        <w:rPr>
          <w:rFonts w:ascii="Calibri" w:hAnsi="Calibri"/>
          <w:b w:val="0"/>
          <w:bCs w:val="0"/>
          <w:noProof/>
        </w:rPr>
      </w:pPr>
      <w:r>
        <w:rPr>
          <w:noProof/>
        </w:rPr>
        <w:lastRenderedPageBreak/>
        <w:t>A</w:t>
      </w:r>
    </w:p>
    <w:p w:rsidR="005028F8" w:rsidRDefault="005028F8">
      <w:pPr>
        <w:pStyle w:val="Index1"/>
        <w:tabs>
          <w:tab w:val="right" w:leader="dot" w:pos="9350"/>
        </w:tabs>
        <w:rPr>
          <w:noProof/>
        </w:rPr>
      </w:pPr>
      <w:r>
        <w:rPr>
          <w:noProof/>
        </w:rPr>
        <w:t>Accept Orders: Accept an Order</w:t>
      </w:r>
      <w:r>
        <w:rPr>
          <w:noProof/>
        </w:rPr>
        <w:tab/>
        <w:t>227</w:t>
      </w:r>
    </w:p>
    <w:p w:rsidR="005028F8" w:rsidRDefault="005028F8">
      <w:pPr>
        <w:pStyle w:val="Index1"/>
        <w:tabs>
          <w:tab w:val="right" w:leader="dot" w:pos="9350"/>
        </w:tabs>
        <w:rPr>
          <w:noProof/>
        </w:rPr>
      </w:pPr>
      <w:r>
        <w:rPr>
          <w:noProof/>
        </w:rPr>
        <w:t>Accessing the System</w:t>
      </w:r>
      <w:r>
        <w:rPr>
          <w:noProof/>
        </w:rPr>
        <w:tab/>
        <w:t>36</w:t>
      </w:r>
    </w:p>
    <w:p w:rsidR="005028F8" w:rsidRDefault="005028F8">
      <w:pPr>
        <w:pStyle w:val="Index1"/>
        <w:tabs>
          <w:tab w:val="right" w:leader="dot" w:pos="9350"/>
        </w:tabs>
        <w:rPr>
          <w:noProof/>
        </w:rPr>
      </w:pPr>
      <w:r>
        <w:rPr>
          <w:noProof/>
        </w:rPr>
        <w:t>Administrative Data Report</w:t>
      </w:r>
      <w:r>
        <w:rPr>
          <w:noProof/>
        </w:rPr>
        <w:tab/>
        <w:t>329</w:t>
      </w:r>
    </w:p>
    <w:p w:rsidR="005028F8" w:rsidRDefault="005028F8">
      <w:pPr>
        <w:pStyle w:val="Index1"/>
        <w:tabs>
          <w:tab w:val="right" w:leader="dot" w:pos="9350"/>
        </w:tabs>
        <w:rPr>
          <w:noProof/>
        </w:rPr>
      </w:pPr>
      <w:r>
        <w:rPr>
          <w:noProof/>
        </w:rPr>
        <w:t>Appendices</w:t>
      </w:r>
      <w:r>
        <w:rPr>
          <w:noProof/>
        </w:rPr>
        <w:tab/>
        <w:t>4</w:t>
      </w:r>
    </w:p>
    <w:p w:rsidR="005028F8" w:rsidRDefault="005028F8">
      <w:pPr>
        <w:pStyle w:val="Index1"/>
        <w:tabs>
          <w:tab w:val="right" w:leader="dot" w:pos="9350"/>
        </w:tabs>
        <w:rPr>
          <w:noProof/>
        </w:rPr>
      </w:pPr>
      <w:r>
        <w:rPr>
          <w:noProof/>
        </w:rPr>
        <w:t>Application Architecture</w:t>
      </w:r>
      <w:r>
        <w:rPr>
          <w:noProof/>
        </w:rPr>
        <w:tab/>
        <w:t>6</w:t>
      </w:r>
    </w:p>
    <w:p w:rsidR="005028F8" w:rsidRDefault="005028F8">
      <w:pPr>
        <w:pStyle w:val="Index1"/>
        <w:tabs>
          <w:tab w:val="right" w:leader="dot" w:pos="9350"/>
        </w:tabs>
        <w:rPr>
          <w:noProof/>
        </w:rPr>
      </w:pPr>
      <w:r>
        <w:rPr>
          <w:noProof/>
        </w:rPr>
        <w:t>Assumptions</w:t>
      </w:r>
      <w:r>
        <w:rPr>
          <w:noProof/>
        </w:rPr>
        <w:tab/>
        <w:t>149</w:t>
      </w:r>
    </w:p>
    <w:p w:rsidR="005028F8" w:rsidRDefault="005028F8">
      <w:pPr>
        <w:pStyle w:val="Index1"/>
        <w:tabs>
          <w:tab w:val="right" w:leader="dot" w:pos="9350"/>
        </w:tabs>
        <w:rPr>
          <w:noProof/>
        </w:rPr>
      </w:pPr>
      <w:r>
        <w:rPr>
          <w:noProof/>
        </w:rPr>
        <w:t>Audit Trail</w:t>
      </w:r>
      <w:r>
        <w:rPr>
          <w:noProof/>
        </w:rPr>
        <w:tab/>
        <w:t>331</w:t>
      </w:r>
    </w:p>
    <w:p w:rsidR="005028F8" w:rsidRDefault="005028F8">
      <w:pPr>
        <w:pStyle w:val="Index1"/>
        <w:tabs>
          <w:tab w:val="right" w:leader="dot" w:pos="9350"/>
        </w:tabs>
        <w:rPr>
          <w:noProof/>
        </w:rPr>
      </w:pPr>
      <w:r>
        <w:rPr>
          <w:noProof/>
        </w:rPr>
        <w:t>Automated Entry of Post-Transfusion Details from BCE COTS Application</w:t>
      </w:r>
      <w:r>
        <w:rPr>
          <w:noProof/>
        </w:rPr>
        <w:tab/>
        <w:t>308</w:t>
      </w:r>
    </w:p>
    <w:p w:rsidR="005028F8" w:rsidRDefault="005028F8">
      <w:pPr>
        <w:pStyle w:val="Index1"/>
        <w:tabs>
          <w:tab w:val="right" w:leader="dot" w:pos="9350"/>
        </w:tabs>
        <w:rPr>
          <w:noProof/>
        </w:rPr>
      </w:pPr>
      <w:r>
        <w:rPr>
          <w:noProof/>
        </w:rPr>
        <w:t>Automated Testing Interface</w:t>
      </w:r>
      <w:r>
        <w:rPr>
          <w:noProof/>
        </w:rPr>
        <w:tab/>
        <w:t>315</w:t>
      </w:r>
    </w:p>
    <w:p w:rsidR="005028F8" w:rsidRPr="00A1587A" w:rsidRDefault="005028F8">
      <w:pPr>
        <w:pStyle w:val="IndexHeading"/>
        <w:keepNext/>
        <w:tabs>
          <w:tab w:val="right" w:leader="dot" w:pos="9350"/>
        </w:tabs>
        <w:rPr>
          <w:rFonts w:ascii="Calibri" w:hAnsi="Calibri"/>
          <w:b w:val="0"/>
          <w:bCs w:val="0"/>
          <w:noProof/>
        </w:rPr>
      </w:pPr>
      <w:r>
        <w:rPr>
          <w:noProof/>
        </w:rPr>
        <w:t>B</w:t>
      </w:r>
    </w:p>
    <w:p w:rsidR="005028F8" w:rsidRDefault="005028F8">
      <w:pPr>
        <w:pStyle w:val="Index1"/>
        <w:tabs>
          <w:tab w:val="right" w:leader="dot" w:pos="9350"/>
        </w:tabs>
        <w:rPr>
          <w:noProof/>
        </w:rPr>
      </w:pPr>
      <w:r>
        <w:rPr>
          <w:noProof/>
        </w:rPr>
        <w:t>Background and Basic Knowledge</w:t>
      </w:r>
      <w:r>
        <w:rPr>
          <w:noProof/>
        </w:rPr>
        <w:tab/>
        <w:t>3</w:t>
      </w:r>
    </w:p>
    <w:p w:rsidR="005028F8" w:rsidRDefault="005028F8">
      <w:pPr>
        <w:pStyle w:val="Index1"/>
        <w:tabs>
          <w:tab w:val="right" w:leader="dot" w:pos="9350"/>
        </w:tabs>
        <w:rPr>
          <w:noProof/>
        </w:rPr>
      </w:pPr>
      <w:r>
        <w:rPr>
          <w:noProof/>
        </w:rPr>
        <w:t>Barcode Scanner Configuration and Troubleshooting</w:t>
      </w:r>
      <w:r>
        <w:rPr>
          <w:noProof/>
        </w:rPr>
        <w:tab/>
        <w:t>501</w:t>
      </w:r>
    </w:p>
    <w:p w:rsidR="005028F8" w:rsidRDefault="005028F8">
      <w:pPr>
        <w:pStyle w:val="Index1"/>
        <w:tabs>
          <w:tab w:val="right" w:leader="dot" w:pos="9350"/>
        </w:tabs>
        <w:rPr>
          <w:noProof/>
        </w:rPr>
      </w:pPr>
      <w:r>
        <w:rPr>
          <w:noProof/>
        </w:rPr>
        <w:t>Blood Availability</w:t>
      </w:r>
      <w:r>
        <w:rPr>
          <w:noProof/>
        </w:rPr>
        <w:tab/>
        <w:t>333</w:t>
      </w:r>
    </w:p>
    <w:p w:rsidR="005028F8" w:rsidRPr="00A1587A" w:rsidRDefault="005028F8">
      <w:pPr>
        <w:pStyle w:val="IndexHeading"/>
        <w:keepNext/>
        <w:tabs>
          <w:tab w:val="right" w:leader="dot" w:pos="9350"/>
        </w:tabs>
        <w:rPr>
          <w:rFonts w:ascii="Calibri" w:hAnsi="Calibri"/>
          <w:b w:val="0"/>
          <w:bCs w:val="0"/>
          <w:noProof/>
        </w:rPr>
      </w:pPr>
      <w:r>
        <w:rPr>
          <w:noProof/>
        </w:rPr>
        <w:t>C</w:t>
      </w:r>
    </w:p>
    <w:p w:rsidR="005028F8" w:rsidRDefault="005028F8">
      <w:pPr>
        <w:pStyle w:val="Index1"/>
        <w:tabs>
          <w:tab w:val="right" w:leader="dot" w:pos="9350"/>
        </w:tabs>
        <w:rPr>
          <w:noProof/>
        </w:rPr>
      </w:pPr>
      <w:r>
        <w:rPr>
          <w:noProof/>
        </w:rPr>
        <w:t>C:T Ratio Report</w:t>
      </w:r>
      <w:r>
        <w:rPr>
          <w:noProof/>
        </w:rPr>
        <w:tab/>
        <w:t>337</w:t>
      </w:r>
    </w:p>
    <w:p w:rsidR="005028F8" w:rsidRDefault="005028F8">
      <w:pPr>
        <w:pStyle w:val="Index1"/>
        <w:tabs>
          <w:tab w:val="right" w:leader="dot" w:pos="9350"/>
        </w:tabs>
        <w:rPr>
          <w:noProof/>
        </w:rPr>
      </w:pPr>
      <w:r>
        <w:rPr>
          <w:noProof/>
        </w:rPr>
        <w:t>check character</w:t>
      </w:r>
      <w:r>
        <w:rPr>
          <w:noProof/>
        </w:rPr>
        <w:tab/>
        <w:t>118</w:t>
      </w:r>
    </w:p>
    <w:p w:rsidR="005028F8" w:rsidRDefault="005028F8">
      <w:pPr>
        <w:pStyle w:val="Index1"/>
        <w:tabs>
          <w:tab w:val="right" w:leader="dot" w:pos="9350"/>
        </w:tabs>
        <w:rPr>
          <w:noProof/>
        </w:rPr>
      </w:pPr>
      <w:r>
        <w:rPr>
          <w:noProof/>
        </w:rPr>
        <w:t>Collecting Workload</w:t>
      </w:r>
      <w:r>
        <w:rPr>
          <w:noProof/>
        </w:rPr>
        <w:tab/>
        <w:t>56</w:t>
      </w:r>
    </w:p>
    <w:p w:rsidR="005028F8" w:rsidRDefault="005028F8">
      <w:pPr>
        <w:pStyle w:val="Index1"/>
        <w:tabs>
          <w:tab w:val="right" w:leader="dot" w:pos="9350"/>
        </w:tabs>
        <w:rPr>
          <w:noProof/>
        </w:rPr>
      </w:pPr>
      <w:r>
        <w:rPr>
          <w:noProof/>
        </w:rPr>
        <w:t>Common Error Corrections</w:t>
      </w:r>
      <w:r>
        <w:rPr>
          <w:noProof/>
        </w:rPr>
        <w:tab/>
        <w:t>497</w:t>
      </w:r>
    </w:p>
    <w:p w:rsidR="005028F8" w:rsidRDefault="005028F8">
      <w:pPr>
        <w:pStyle w:val="Index1"/>
        <w:tabs>
          <w:tab w:val="right" w:leader="dot" w:pos="9350"/>
        </w:tabs>
        <w:rPr>
          <w:noProof/>
        </w:rPr>
      </w:pPr>
      <w:r>
        <w:rPr>
          <w:noProof/>
        </w:rPr>
        <w:t>Commonly Used System Rules</w:t>
      </w:r>
      <w:r>
        <w:rPr>
          <w:noProof/>
        </w:rPr>
        <w:tab/>
        <w:t>12</w:t>
      </w:r>
    </w:p>
    <w:p w:rsidR="005028F8" w:rsidRDefault="005028F8">
      <w:pPr>
        <w:pStyle w:val="Index1"/>
        <w:tabs>
          <w:tab w:val="right" w:leader="dot" w:pos="9350"/>
        </w:tabs>
        <w:rPr>
          <w:noProof/>
        </w:rPr>
      </w:pPr>
      <w:r>
        <w:rPr>
          <w:noProof/>
        </w:rPr>
        <w:t>Component Processing</w:t>
      </w:r>
      <w:r>
        <w:rPr>
          <w:noProof/>
        </w:rPr>
        <w:tab/>
        <w:t>117</w:t>
      </w:r>
    </w:p>
    <w:p w:rsidR="005028F8" w:rsidRDefault="005028F8">
      <w:pPr>
        <w:pStyle w:val="Index1"/>
        <w:tabs>
          <w:tab w:val="right" w:leader="dot" w:pos="9350"/>
        </w:tabs>
        <w:rPr>
          <w:noProof/>
        </w:rPr>
      </w:pPr>
      <w:r>
        <w:rPr>
          <w:noProof/>
        </w:rPr>
        <w:t>Configure Division</w:t>
      </w:r>
      <w:r>
        <w:rPr>
          <w:noProof/>
        </w:rPr>
        <w:tab/>
        <w:t>67</w:t>
      </w:r>
    </w:p>
    <w:p w:rsidR="005028F8" w:rsidRDefault="005028F8">
      <w:pPr>
        <w:pStyle w:val="Index1"/>
        <w:tabs>
          <w:tab w:val="right" w:leader="dot" w:pos="9350"/>
        </w:tabs>
        <w:rPr>
          <w:noProof/>
        </w:rPr>
      </w:pPr>
      <w:r>
        <w:rPr>
          <w:noProof/>
        </w:rPr>
        <w:t>Configuring Site Parameters</w:t>
      </w:r>
      <w:r>
        <w:rPr>
          <w:noProof/>
        </w:rPr>
        <w:tab/>
        <w:t>59</w:t>
      </w:r>
    </w:p>
    <w:p w:rsidR="005028F8" w:rsidRDefault="005028F8">
      <w:pPr>
        <w:pStyle w:val="Index1"/>
        <w:tabs>
          <w:tab w:val="right" w:leader="dot" w:pos="9350"/>
        </w:tabs>
        <w:rPr>
          <w:noProof/>
        </w:rPr>
      </w:pPr>
      <w:r>
        <w:rPr>
          <w:noProof/>
        </w:rPr>
        <w:t>Contents Tab</w:t>
      </w:r>
      <w:r>
        <w:rPr>
          <w:noProof/>
        </w:rPr>
        <w:tab/>
        <w:t>28</w:t>
      </w:r>
    </w:p>
    <w:p w:rsidR="005028F8" w:rsidRDefault="005028F8">
      <w:pPr>
        <w:pStyle w:val="Index1"/>
        <w:tabs>
          <w:tab w:val="right" w:leader="dot" w:pos="9350"/>
        </w:tabs>
        <w:rPr>
          <w:noProof/>
        </w:rPr>
      </w:pPr>
      <w:r>
        <w:rPr>
          <w:noProof/>
        </w:rPr>
        <w:t>Cost Accounting Report</w:t>
      </w:r>
      <w:r>
        <w:rPr>
          <w:noProof/>
        </w:rPr>
        <w:tab/>
        <w:t>335</w:t>
      </w:r>
    </w:p>
    <w:p w:rsidR="005028F8" w:rsidRDefault="005028F8">
      <w:pPr>
        <w:pStyle w:val="Index1"/>
        <w:tabs>
          <w:tab w:val="right" w:leader="dot" w:pos="9350"/>
        </w:tabs>
        <w:rPr>
          <w:noProof/>
        </w:rPr>
      </w:pPr>
      <w:r>
        <w:rPr>
          <w:noProof/>
        </w:rPr>
        <w:t>Creating and Viewing Reports</w:t>
      </w:r>
      <w:r>
        <w:rPr>
          <w:noProof/>
        </w:rPr>
        <w:tab/>
        <w:t>16</w:t>
      </w:r>
    </w:p>
    <w:p w:rsidR="005028F8" w:rsidRDefault="005028F8">
      <w:pPr>
        <w:pStyle w:val="Index1"/>
        <w:tabs>
          <w:tab w:val="right" w:leader="dot" w:pos="9350"/>
        </w:tabs>
        <w:rPr>
          <w:noProof/>
        </w:rPr>
      </w:pPr>
      <w:r>
        <w:rPr>
          <w:noProof/>
        </w:rPr>
        <w:t>Crossmatch Interpretations</w:t>
      </w:r>
      <w:r>
        <w:rPr>
          <w:noProof/>
        </w:rPr>
        <w:tab/>
        <w:t>275</w:t>
      </w:r>
    </w:p>
    <w:p w:rsidR="005028F8" w:rsidRDefault="005028F8">
      <w:pPr>
        <w:pStyle w:val="Index1"/>
        <w:tabs>
          <w:tab w:val="right" w:leader="dot" w:pos="9350"/>
        </w:tabs>
        <w:rPr>
          <w:noProof/>
        </w:rPr>
      </w:pPr>
      <w:r>
        <w:rPr>
          <w:noProof/>
        </w:rPr>
        <w:t>Customer Support</w:t>
      </w:r>
      <w:r>
        <w:rPr>
          <w:noProof/>
        </w:rPr>
        <w:tab/>
        <w:t>10</w:t>
      </w:r>
    </w:p>
    <w:p w:rsidR="005028F8" w:rsidRPr="00A1587A" w:rsidRDefault="005028F8">
      <w:pPr>
        <w:pStyle w:val="IndexHeading"/>
        <w:keepNext/>
        <w:tabs>
          <w:tab w:val="right" w:leader="dot" w:pos="9350"/>
        </w:tabs>
        <w:rPr>
          <w:rFonts w:ascii="Calibri" w:hAnsi="Calibri"/>
          <w:b w:val="0"/>
          <w:bCs w:val="0"/>
          <w:noProof/>
        </w:rPr>
      </w:pPr>
      <w:r>
        <w:rPr>
          <w:noProof/>
        </w:rPr>
        <w:t>D</w:t>
      </w:r>
    </w:p>
    <w:p w:rsidR="005028F8" w:rsidRDefault="005028F8">
      <w:pPr>
        <w:pStyle w:val="Index1"/>
        <w:tabs>
          <w:tab w:val="right" w:leader="dot" w:pos="9350"/>
        </w:tabs>
        <w:rPr>
          <w:noProof/>
        </w:rPr>
      </w:pPr>
      <w:r>
        <w:rPr>
          <w:noProof/>
        </w:rPr>
        <w:t>Database Table Information</w:t>
      </w:r>
      <w:r>
        <w:rPr>
          <w:noProof/>
        </w:rPr>
        <w:tab/>
        <w:t>393</w:t>
      </w:r>
    </w:p>
    <w:p w:rsidR="005028F8" w:rsidRDefault="005028F8">
      <w:pPr>
        <w:pStyle w:val="Index1"/>
        <w:tabs>
          <w:tab w:val="right" w:leader="dot" w:pos="9350"/>
        </w:tabs>
        <w:rPr>
          <w:noProof/>
        </w:rPr>
      </w:pPr>
      <w:r>
        <w:rPr>
          <w:noProof/>
        </w:rPr>
        <w:t>Date and Time</w:t>
      </w:r>
      <w:r>
        <w:rPr>
          <w:noProof/>
        </w:rPr>
        <w:tab/>
        <w:t>12</w:t>
      </w:r>
    </w:p>
    <w:p w:rsidR="005028F8" w:rsidRDefault="005028F8">
      <w:pPr>
        <w:pStyle w:val="Index1"/>
        <w:tabs>
          <w:tab w:val="right" w:leader="dot" w:pos="9350"/>
        </w:tabs>
        <w:rPr>
          <w:noProof/>
        </w:rPr>
      </w:pPr>
      <w:r>
        <w:rPr>
          <w:noProof/>
        </w:rPr>
        <w:t>Discard or Quarantine Individual Units</w:t>
      </w:r>
      <w:r>
        <w:rPr>
          <w:noProof/>
        </w:rPr>
        <w:tab/>
        <w:t>179</w:t>
      </w:r>
    </w:p>
    <w:p w:rsidR="005028F8" w:rsidRDefault="005028F8">
      <w:pPr>
        <w:pStyle w:val="Index1"/>
        <w:tabs>
          <w:tab w:val="right" w:leader="dot" w:pos="9350"/>
        </w:tabs>
        <w:rPr>
          <w:noProof/>
        </w:rPr>
      </w:pPr>
      <w:r>
        <w:rPr>
          <w:noProof/>
        </w:rPr>
        <w:t>Discard or Quarantine Units by Invoice</w:t>
      </w:r>
      <w:r>
        <w:rPr>
          <w:noProof/>
        </w:rPr>
        <w:tab/>
        <w:t>182</w:t>
      </w:r>
    </w:p>
    <w:p w:rsidR="005028F8" w:rsidRDefault="005028F8">
      <w:pPr>
        <w:pStyle w:val="Index1"/>
        <w:tabs>
          <w:tab w:val="right" w:leader="dot" w:pos="9350"/>
        </w:tabs>
        <w:rPr>
          <w:noProof/>
        </w:rPr>
      </w:pPr>
      <w:r>
        <w:rPr>
          <w:noProof/>
        </w:rPr>
        <w:t>Display Order Alerts</w:t>
      </w:r>
      <w:r>
        <w:rPr>
          <w:noProof/>
        </w:rPr>
        <w:tab/>
        <w:t>234</w:t>
      </w:r>
    </w:p>
    <w:p w:rsidR="005028F8" w:rsidRDefault="005028F8">
      <w:pPr>
        <w:pStyle w:val="Index1"/>
        <w:tabs>
          <w:tab w:val="right" w:leader="dot" w:pos="9350"/>
        </w:tabs>
        <w:rPr>
          <w:noProof/>
        </w:rPr>
      </w:pPr>
      <w:r>
        <w:rPr>
          <w:noProof/>
        </w:rPr>
        <w:t>Display Patient Merge Alerts</w:t>
      </w:r>
      <w:r>
        <w:rPr>
          <w:noProof/>
        </w:rPr>
        <w:tab/>
        <w:t>236</w:t>
      </w:r>
    </w:p>
    <w:p w:rsidR="005028F8" w:rsidRDefault="005028F8">
      <w:pPr>
        <w:pStyle w:val="Index1"/>
        <w:tabs>
          <w:tab w:val="right" w:leader="dot" w:pos="9350"/>
        </w:tabs>
        <w:rPr>
          <w:noProof/>
        </w:rPr>
      </w:pPr>
      <w:r>
        <w:rPr>
          <w:noProof/>
        </w:rPr>
        <w:t>Display Patient Update Alerts</w:t>
      </w:r>
      <w:r>
        <w:rPr>
          <w:noProof/>
        </w:rPr>
        <w:tab/>
        <w:t>235</w:t>
      </w:r>
    </w:p>
    <w:p w:rsidR="005028F8" w:rsidRDefault="005028F8">
      <w:pPr>
        <w:pStyle w:val="Index1"/>
        <w:tabs>
          <w:tab w:val="right" w:leader="dot" w:pos="9350"/>
        </w:tabs>
        <w:rPr>
          <w:noProof/>
        </w:rPr>
      </w:pPr>
      <w:r>
        <w:rPr>
          <w:noProof/>
        </w:rPr>
        <w:t>Division Transfusion Report</w:t>
      </w:r>
      <w:r>
        <w:rPr>
          <w:noProof/>
        </w:rPr>
        <w:tab/>
        <w:t>339</w:t>
      </w:r>
    </w:p>
    <w:p w:rsidR="005028F8" w:rsidRDefault="005028F8">
      <w:pPr>
        <w:pStyle w:val="Index1"/>
        <w:tabs>
          <w:tab w:val="right" w:leader="dot" w:pos="9350"/>
        </w:tabs>
        <w:rPr>
          <w:noProof/>
        </w:rPr>
      </w:pPr>
      <w:r>
        <w:rPr>
          <w:noProof/>
        </w:rPr>
        <w:t>Division Workload Report</w:t>
      </w:r>
      <w:r>
        <w:rPr>
          <w:noProof/>
        </w:rPr>
        <w:tab/>
        <w:t>341</w:t>
      </w:r>
    </w:p>
    <w:p w:rsidR="005028F8" w:rsidRDefault="005028F8">
      <w:pPr>
        <w:pStyle w:val="Index1"/>
        <w:tabs>
          <w:tab w:val="right" w:leader="dot" w:pos="9350"/>
        </w:tabs>
        <w:rPr>
          <w:noProof/>
        </w:rPr>
      </w:pPr>
      <w:r>
        <w:rPr>
          <w:noProof/>
        </w:rPr>
        <w:t>Document ABO Incompatible Transfusions</w:t>
      </w:r>
      <w:r>
        <w:rPr>
          <w:noProof/>
        </w:rPr>
        <w:tab/>
        <w:t>309</w:t>
      </w:r>
    </w:p>
    <w:p w:rsidR="005028F8" w:rsidRDefault="005028F8">
      <w:pPr>
        <w:pStyle w:val="Index1"/>
        <w:tabs>
          <w:tab w:val="right" w:leader="dot" w:pos="9350"/>
        </w:tabs>
        <w:rPr>
          <w:noProof/>
        </w:rPr>
      </w:pPr>
      <w:r>
        <w:rPr>
          <w:noProof/>
        </w:rPr>
        <w:t>Downtime Forms and Instructions</w:t>
      </w:r>
      <w:r>
        <w:rPr>
          <w:noProof/>
        </w:rPr>
        <w:tab/>
        <w:t>383</w:t>
      </w:r>
    </w:p>
    <w:p w:rsidR="005028F8" w:rsidRDefault="005028F8">
      <w:pPr>
        <w:pStyle w:val="Index1"/>
        <w:tabs>
          <w:tab w:val="right" w:leader="dot" w:pos="9350"/>
        </w:tabs>
        <w:rPr>
          <w:noProof/>
        </w:rPr>
      </w:pPr>
      <w:r>
        <w:rPr>
          <w:noProof/>
        </w:rPr>
        <w:t>Drop-Down Menus</w:t>
      </w:r>
      <w:r>
        <w:rPr>
          <w:noProof/>
        </w:rPr>
        <w:tab/>
        <w:t>48</w:t>
      </w:r>
    </w:p>
    <w:p w:rsidR="005028F8" w:rsidRPr="00A1587A" w:rsidRDefault="005028F8">
      <w:pPr>
        <w:pStyle w:val="IndexHeading"/>
        <w:keepNext/>
        <w:tabs>
          <w:tab w:val="right" w:leader="dot" w:pos="9350"/>
        </w:tabs>
        <w:rPr>
          <w:rFonts w:ascii="Calibri" w:hAnsi="Calibri"/>
          <w:b w:val="0"/>
          <w:bCs w:val="0"/>
          <w:noProof/>
        </w:rPr>
      </w:pPr>
      <w:r>
        <w:rPr>
          <w:noProof/>
        </w:rPr>
        <w:t>E</w:t>
      </w:r>
    </w:p>
    <w:p w:rsidR="005028F8" w:rsidRDefault="005028F8">
      <w:pPr>
        <w:pStyle w:val="Index1"/>
        <w:tabs>
          <w:tab w:val="right" w:leader="dot" w:pos="9350"/>
        </w:tabs>
        <w:rPr>
          <w:noProof/>
        </w:rPr>
      </w:pPr>
      <w:r>
        <w:rPr>
          <w:noProof/>
        </w:rPr>
        <w:t>Enter Daily QC Results</w:t>
      </w:r>
      <w:r>
        <w:rPr>
          <w:noProof/>
        </w:rPr>
        <w:tab/>
        <w:t>94</w:t>
      </w:r>
    </w:p>
    <w:p w:rsidR="005028F8" w:rsidRDefault="005028F8">
      <w:pPr>
        <w:pStyle w:val="Index1"/>
        <w:tabs>
          <w:tab w:val="right" w:leader="dot" w:pos="9350"/>
        </w:tabs>
        <w:rPr>
          <w:noProof/>
        </w:rPr>
      </w:pPr>
      <w:r>
        <w:rPr>
          <w:noProof/>
        </w:rPr>
        <w:lastRenderedPageBreak/>
        <w:t>Equipment</w:t>
      </w:r>
      <w:r>
        <w:rPr>
          <w:noProof/>
        </w:rPr>
        <w:tab/>
        <w:t>111</w:t>
      </w:r>
    </w:p>
    <w:p w:rsidR="005028F8" w:rsidRDefault="005028F8">
      <w:pPr>
        <w:pStyle w:val="Index1"/>
        <w:tabs>
          <w:tab w:val="right" w:leader="dot" w:pos="9350"/>
        </w:tabs>
        <w:rPr>
          <w:noProof/>
        </w:rPr>
      </w:pPr>
      <w:r>
        <w:rPr>
          <w:noProof/>
        </w:rPr>
        <w:t>Equipment: Log In Equipment</w:t>
      </w:r>
      <w:r>
        <w:rPr>
          <w:noProof/>
        </w:rPr>
        <w:tab/>
        <w:t>112</w:t>
      </w:r>
    </w:p>
    <w:p w:rsidR="005028F8" w:rsidRDefault="005028F8">
      <w:pPr>
        <w:pStyle w:val="Index1"/>
        <w:tabs>
          <w:tab w:val="right" w:leader="dot" w:pos="9350"/>
        </w:tabs>
        <w:rPr>
          <w:noProof/>
        </w:rPr>
      </w:pPr>
      <w:r>
        <w:rPr>
          <w:noProof/>
        </w:rPr>
        <w:t>Equipment: Maintain Equipment</w:t>
      </w:r>
      <w:r>
        <w:rPr>
          <w:noProof/>
        </w:rPr>
        <w:tab/>
        <w:t>113</w:t>
      </w:r>
    </w:p>
    <w:p w:rsidR="005028F8" w:rsidRDefault="005028F8">
      <w:pPr>
        <w:pStyle w:val="Index1"/>
        <w:tabs>
          <w:tab w:val="right" w:leader="dot" w:pos="9350"/>
        </w:tabs>
        <w:rPr>
          <w:noProof/>
        </w:rPr>
      </w:pPr>
      <w:r>
        <w:rPr>
          <w:noProof/>
        </w:rPr>
        <w:t>Exception Report</w:t>
      </w:r>
      <w:r>
        <w:rPr>
          <w:noProof/>
        </w:rPr>
        <w:tab/>
        <w:t>343</w:t>
      </w:r>
    </w:p>
    <w:p w:rsidR="005028F8" w:rsidRPr="00A1587A" w:rsidRDefault="005028F8">
      <w:pPr>
        <w:pStyle w:val="IndexHeading"/>
        <w:keepNext/>
        <w:tabs>
          <w:tab w:val="right" w:leader="dot" w:pos="9350"/>
        </w:tabs>
        <w:rPr>
          <w:rFonts w:ascii="Calibri" w:hAnsi="Calibri"/>
          <w:b w:val="0"/>
          <w:bCs w:val="0"/>
          <w:noProof/>
        </w:rPr>
      </w:pPr>
      <w:r>
        <w:rPr>
          <w:noProof/>
        </w:rPr>
        <w:t>F</w:t>
      </w:r>
    </w:p>
    <w:p w:rsidR="005028F8" w:rsidRDefault="005028F8">
      <w:pPr>
        <w:pStyle w:val="Index1"/>
        <w:tabs>
          <w:tab w:val="right" w:leader="dot" w:pos="9350"/>
        </w:tabs>
        <w:rPr>
          <w:noProof/>
        </w:rPr>
      </w:pPr>
      <w:r>
        <w:rPr>
          <w:noProof/>
        </w:rPr>
        <w:t>Figures</w:t>
      </w:r>
    </w:p>
    <w:p w:rsidR="005028F8" w:rsidRDefault="005028F8">
      <w:pPr>
        <w:pStyle w:val="Index2"/>
        <w:tabs>
          <w:tab w:val="right" w:leader="dot" w:pos="9350"/>
        </w:tabs>
        <w:rPr>
          <w:noProof/>
        </w:rPr>
      </w:pPr>
      <w:r>
        <w:rPr>
          <w:noProof/>
        </w:rPr>
        <w:t>Barcode Scanner Configuration</w:t>
      </w:r>
      <w:r>
        <w:rPr>
          <w:noProof/>
        </w:rPr>
        <w:tab/>
        <w:t>501</w:t>
      </w:r>
    </w:p>
    <w:p w:rsidR="005028F8" w:rsidRDefault="005028F8">
      <w:pPr>
        <w:pStyle w:val="Index2"/>
        <w:tabs>
          <w:tab w:val="right" w:leader="dot" w:pos="9350"/>
        </w:tabs>
        <w:rPr>
          <w:noProof/>
        </w:rPr>
      </w:pPr>
      <w:r>
        <w:rPr>
          <w:noProof/>
        </w:rPr>
        <w:t>Blood Transfusion Record Form</w:t>
      </w:r>
      <w:r>
        <w:rPr>
          <w:noProof/>
        </w:rPr>
        <w:tab/>
        <w:t>217</w:t>
      </w:r>
    </w:p>
    <w:p w:rsidR="005028F8" w:rsidRDefault="005028F8">
      <w:pPr>
        <w:pStyle w:val="Index2"/>
        <w:tabs>
          <w:tab w:val="right" w:leader="dot" w:pos="9350"/>
        </w:tabs>
        <w:rPr>
          <w:noProof/>
        </w:rPr>
      </w:pPr>
      <w:r>
        <w:rPr>
          <w:noProof/>
        </w:rPr>
        <w:t>Caution Tag</w:t>
      </w:r>
      <w:r>
        <w:rPr>
          <w:noProof/>
        </w:rPr>
        <w:tab/>
        <w:t>216</w:t>
      </w:r>
    </w:p>
    <w:p w:rsidR="005028F8" w:rsidRDefault="005028F8">
      <w:pPr>
        <w:pStyle w:val="Index2"/>
        <w:tabs>
          <w:tab w:val="right" w:leader="dot" w:pos="9350"/>
        </w:tabs>
        <w:rPr>
          <w:noProof/>
        </w:rPr>
      </w:pPr>
      <w:r>
        <w:rPr>
          <w:noProof/>
        </w:rPr>
        <w:t>Order Status Flowchart</w:t>
      </w:r>
      <w:r>
        <w:rPr>
          <w:noProof/>
        </w:rPr>
        <w:tab/>
        <w:t>424</w:t>
      </w:r>
    </w:p>
    <w:p w:rsidR="005028F8" w:rsidRDefault="005028F8">
      <w:pPr>
        <w:pStyle w:val="Index2"/>
        <w:tabs>
          <w:tab w:val="right" w:leader="dot" w:pos="9350"/>
        </w:tabs>
        <w:rPr>
          <w:noProof/>
        </w:rPr>
      </w:pPr>
      <w:r>
        <w:rPr>
          <w:noProof/>
        </w:rPr>
        <w:t>System Schematic</w:t>
      </w:r>
      <w:r>
        <w:rPr>
          <w:noProof/>
        </w:rPr>
        <w:tab/>
        <w:t>9</w:t>
      </w:r>
    </w:p>
    <w:p w:rsidR="005028F8" w:rsidRDefault="005028F8">
      <w:pPr>
        <w:pStyle w:val="Index2"/>
        <w:tabs>
          <w:tab w:val="right" w:leader="dot" w:pos="9350"/>
        </w:tabs>
        <w:rPr>
          <w:noProof/>
        </w:rPr>
      </w:pPr>
      <w:r>
        <w:rPr>
          <w:noProof/>
        </w:rPr>
        <w:t>Unit Status Flowchart</w:t>
      </w:r>
      <w:r>
        <w:rPr>
          <w:noProof/>
        </w:rPr>
        <w:tab/>
        <w:t>426</w:t>
      </w:r>
    </w:p>
    <w:p w:rsidR="005028F8" w:rsidRDefault="005028F8">
      <w:pPr>
        <w:pStyle w:val="Index2"/>
        <w:tabs>
          <w:tab w:val="right" w:leader="dot" w:pos="9350"/>
        </w:tabs>
        <w:rPr>
          <w:noProof/>
        </w:rPr>
      </w:pPr>
      <w:r>
        <w:rPr>
          <w:noProof/>
        </w:rPr>
        <w:t>VBECS Work Flow</w:t>
      </w:r>
      <w:r>
        <w:rPr>
          <w:noProof/>
        </w:rPr>
        <w:tab/>
        <w:t>447</w:t>
      </w:r>
    </w:p>
    <w:p w:rsidR="005028F8" w:rsidRDefault="005028F8">
      <w:pPr>
        <w:pStyle w:val="Index1"/>
        <w:tabs>
          <w:tab w:val="right" w:leader="dot" w:pos="9350"/>
        </w:tabs>
        <w:rPr>
          <w:noProof/>
        </w:rPr>
      </w:pPr>
      <w:r>
        <w:rPr>
          <w:noProof/>
        </w:rPr>
        <w:t>Figures and Tables</w:t>
      </w:r>
      <w:r>
        <w:rPr>
          <w:noProof/>
        </w:rPr>
        <w:tab/>
        <w:t>3</w:t>
      </w:r>
    </w:p>
    <w:p w:rsidR="005028F8" w:rsidRDefault="005028F8">
      <w:pPr>
        <w:pStyle w:val="Index1"/>
        <w:tabs>
          <w:tab w:val="right" w:leader="dot" w:pos="9350"/>
        </w:tabs>
        <w:rPr>
          <w:noProof/>
        </w:rPr>
      </w:pPr>
      <w:r>
        <w:rPr>
          <w:noProof/>
        </w:rPr>
        <w:t>Finalize Transfusion Reaction Workup Report</w:t>
      </w:r>
      <w:r>
        <w:rPr>
          <w:noProof/>
        </w:rPr>
        <w:tab/>
        <w:t>292</w:t>
      </w:r>
    </w:p>
    <w:p w:rsidR="005028F8" w:rsidRDefault="005028F8">
      <w:pPr>
        <w:pStyle w:val="Index1"/>
        <w:tabs>
          <w:tab w:val="right" w:leader="dot" w:pos="9350"/>
        </w:tabs>
        <w:rPr>
          <w:noProof/>
        </w:rPr>
      </w:pPr>
      <w:r>
        <w:rPr>
          <w:noProof/>
        </w:rPr>
        <w:t>Finalize/Print TRW</w:t>
      </w:r>
      <w:r>
        <w:rPr>
          <w:noProof/>
        </w:rPr>
        <w:tab/>
        <w:t>292</w:t>
      </w:r>
    </w:p>
    <w:p w:rsidR="005028F8" w:rsidRDefault="005028F8">
      <w:pPr>
        <w:pStyle w:val="Index1"/>
        <w:tabs>
          <w:tab w:val="right" w:leader="dot" w:pos="9350"/>
        </w:tabs>
        <w:rPr>
          <w:noProof/>
        </w:rPr>
      </w:pPr>
      <w:r>
        <w:rPr>
          <w:noProof/>
        </w:rPr>
        <w:t>Forms</w:t>
      </w:r>
    </w:p>
    <w:p w:rsidR="005028F8" w:rsidRDefault="005028F8">
      <w:pPr>
        <w:pStyle w:val="Index2"/>
        <w:tabs>
          <w:tab w:val="right" w:leader="dot" w:pos="9350"/>
        </w:tabs>
        <w:rPr>
          <w:noProof/>
        </w:rPr>
      </w:pPr>
      <w:r>
        <w:rPr>
          <w:noProof/>
        </w:rPr>
        <w:t>Patient Testing Form</w:t>
      </w:r>
      <w:r>
        <w:rPr>
          <w:noProof/>
        </w:rPr>
        <w:tab/>
        <w:t>385</w:t>
      </w:r>
    </w:p>
    <w:p w:rsidR="005028F8" w:rsidRDefault="005028F8">
      <w:pPr>
        <w:pStyle w:val="Index2"/>
        <w:tabs>
          <w:tab w:val="right" w:leader="dot" w:pos="9350"/>
        </w:tabs>
        <w:rPr>
          <w:noProof/>
        </w:rPr>
      </w:pPr>
      <w:r>
        <w:rPr>
          <w:noProof/>
        </w:rPr>
        <w:t>Unit ABO/Rh Confirmation Form</w:t>
      </w:r>
      <w:r>
        <w:rPr>
          <w:noProof/>
        </w:rPr>
        <w:tab/>
        <w:t>388</w:t>
      </w:r>
    </w:p>
    <w:p w:rsidR="005028F8" w:rsidRDefault="005028F8">
      <w:pPr>
        <w:pStyle w:val="Index2"/>
        <w:tabs>
          <w:tab w:val="right" w:leader="dot" w:pos="9350"/>
        </w:tabs>
        <w:rPr>
          <w:noProof/>
        </w:rPr>
      </w:pPr>
      <w:r>
        <w:rPr>
          <w:noProof/>
        </w:rPr>
        <w:t>Unit Issue and Inspection Log</w:t>
      </w:r>
      <w:r>
        <w:rPr>
          <w:noProof/>
        </w:rPr>
        <w:tab/>
        <w:t>389</w:t>
      </w:r>
    </w:p>
    <w:p w:rsidR="005028F8" w:rsidRDefault="005028F8">
      <w:pPr>
        <w:pStyle w:val="Index2"/>
        <w:tabs>
          <w:tab w:val="right" w:leader="dot" w:pos="9350"/>
        </w:tabs>
        <w:rPr>
          <w:noProof/>
        </w:rPr>
      </w:pPr>
      <w:r>
        <w:rPr>
          <w:noProof/>
        </w:rPr>
        <w:t>Unit Modification Form</w:t>
      </w:r>
      <w:r>
        <w:rPr>
          <w:noProof/>
        </w:rPr>
        <w:tab/>
        <w:t>390</w:t>
      </w:r>
    </w:p>
    <w:p w:rsidR="005028F8" w:rsidRDefault="005028F8">
      <w:pPr>
        <w:pStyle w:val="Index1"/>
        <w:tabs>
          <w:tab w:val="right" w:leader="dot" w:pos="9350"/>
        </w:tabs>
        <w:rPr>
          <w:noProof/>
        </w:rPr>
      </w:pPr>
      <w:r>
        <w:rPr>
          <w:noProof/>
        </w:rPr>
        <w:t>Freeware Disclaimer</w:t>
      </w:r>
      <w:r>
        <w:rPr>
          <w:noProof/>
        </w:rPr>
        <w:tab/>
        <w:t>1</w:t>
      </w:r>
    </w:p>
    <w:p w:rsidR="005028F8" w:rsidRDefault="005028F8">
      <w:pPr>
        <w:pStyle w:val="Index1"/>
        <w:tabs>
          <w:tab w:val="right" w:leader="dot" w:pos="9350"/>
        </w:tabs>
        <w:rPr>
          <w:noProof/>
        </w:rPr>
      </w:pPr>
      <w:r>
        <w:rPr>
          <w:noProof/>
        </w:rPr>
        <w:t>Frequently Asked Questions</w:t>
      </w:r>
      <w:r>
        <w:rPr>
          <w:noProof/>
        </w:rPr>
        <w:tab/>
        <w:t>495</w:t>
      </w:r>
    </w:p>
    <w:p w:rsidR="005028F8" w:rsidRPr="00A1587A" w:rsidRDefault="005028F8">
      <w:pPr>
        <w:pStyle w:val="IndexHeading"/>
        <w:keepNext/>
        <w:tabs>
          <w:tab w:val="right" w:leader="dot" w:pos="9350"/>
        </w:tabs>
        <w:rPr>
          <w:rFonts w:ascii="Calibri" w:hAnsi="Calibri"/>
          <w:b w:val="0"/>
          <w:bCs w:val="0"/>
          <w:noProof/>
        </w:rPr>
      </w:pPr>
      <w:r>
        <w:rPr>
          <w:noProof/>
        </w:rPr>
        <w:t>G</w:t>
      </w:r>
    </w:p>
    <w:p w:rsidR="005028F8" w:rsidRDefault="005028F8">
      <w:pPr>
        <w:pStyle w:val="Index1"/>
        <w:tabs>
          <w:tab w:val="right" w:leader="dot" w:pos="9350"/>
        </w:tabs>
        <w:rPr>
          <w:noProof/>
        </w:rPr>
      </w:pPr>
      <w:r>
        <w:rPr>
          <w:noProof/>
        </w:rPr>
        <w:t>Glossary</w:t>
      </w:r>
      <w:r>
        <w:rPr>
          <w:noProof/>
        </w:rPr>
        <w:tab/>
        <w:t>373</w:t>
      </w:r>
    </w:p>
    <w:p w:rsidR="005028F8" w:rsidRDefault="005028F8">
      <w:pPr>
        <w:pStyle w:val="Index1"/>
        <w:tabs>
          <w:tab w:val="right" w:leader="dot" w:pos="9350"/>
        </w:tabs>
        <w:rPr>
          <w:noProof/>
        </w:rPr>
      </w:pPr>
      <w:r>
        <w:rPr>
          <w:noProof/>
        </w:rPr>
        <w:t>Glossary Tab</w:t>
      </w:r>
      <w:r>
        <w:rPr>
          <w:noProof/>
        </w:rPr>
        <w:tab/>
        <w:t>31</w:t>
      </w:r>
    </w:p>
    <w:p w:rsidR="005028F8" w:rsidRPr="00A1587A" w:rsidRDefault="005028F8">
      <w:pPr>
        <w:pStyle w:val="IndexHeading"/>
        <w:keepNext/>
        <w:tabs>
          <w:tab w:val="right" w:leader="dot" w:pos="9350"/>
        </w:tabs>
        <w:rPr>
          <w:rFonts w:ascii="Calibri" w:hAnsi="Calibri"/>
          <w:b w:val="0"/>
          <w:bCs w:val="0"/>
          <w:noProof/>
        </w:rPr>
      </w:pPr>
      <w:r>
        <w:rPr>
          <w:noProof/>
        </w:rPr>
        <w:t>H</w:t>
      </w:r>
    </w:p>
    <w:p w:rsidR="005028F8" w:rsidRDefault="005028F8">
      <w:pPr>
        <w:pStyle w:val="Index1"/>
        <w:tabs>
          <w:tab w:val="right" w:leader="dot" w:pos="9350"/>
        </w:tabs>
        <w:rPr>
          <w:noProof/>
        </w:rPr>
      </w:pPr>
      <w:r>
        <w:rPr>
          <w:noProof/>
        </w:rPr>
        <w:t>Hardware and Infrastructure Architecture</w:t>
      </w:r>
      <w:r>
        <w:rPr>
          <w:noProof/>
        </w:rPr>
        <w:tab/>
        <w:t>6</w:t>
      </w:r>
    </w:p>
    <w:p w:rsidR="005028F8" w:rsidRDefault="005028F8">
      <w:pPr>
        <w:pStyle w:val="Index1"/>
        <w:tabs>
          <w:tab w:val="right" w:leader="dot" w:pos="9350"/>
        </w:tabs>
        <w:rPr>
          <w:noProof/>
        </w:rPr>
      </w:pPr>
      <w:r>
        <w:rPr>
          <w:noProof/>
        </w:rPr>
        <w:t>How This User Guide Is Organized</w:t>
      </w:r>
      <w:r>
        <w:rPr>
          <w:noProof/>
        </w:rPr>
        <w:tab/>
        <w:t>3</w:t>
      </w:r>
    </w:p>
    <w:p w:rsidR="005028F8" w:rsidRPr="00A1587A" w:rsidRDefault="005028F8">
      <w:pPr>
        <w:pStyle w:val="IndexHeading"/>
        <w:keepNext/>
        <w:tabs>
          <w:tab w:val="right" w:leader="dot" w:pos="9350"/>
        </w:tabs>
        <w:rPr>
          <w:rFonts w:ascii="Calibri" w:hAnsi="Calibri"/>
          <w:b w:val="0"/>
          <w:bCs w:val="0"/>
          <w:noProof/>
        </w:rPr>
      </w:pPr>
      <w:r>
        <w:rPr>
          <w:noProof/>
        </w:rPr>
        <w:t>I</w:t>
      </w:r>
    </w:p>
    <w:p w:rsidR="005028F8" w:rsidRDefault="005028F8">
      <w:pPr>
        <w:pStyle w:val="Index1"/>
        <w:tabs>
          <w:tab w:val="right" w:leader="dot" w:pos="9350"/>
        </w:tabs>
        <w:rPr>
          <w:noProof/>
        </w:rPr>
      </w:pPr>
      <w:r>
        <w:rPr>
          <w:noProof/>
        </w:rPr>
        <w:t>Icons and Buttons</w:t>
      </w:r>
      <w:r>
        <w:rPr>
          <w:noProof/>
        </w:rPr>
        <w:tab/>
        <w:t>49</w:t>
      </w:r>
    </w:p>
    <w:p w:rsidR="005028F8" w:rsidRDefault="005028F8">
      <w:pPr>
        <w:pStyle w:val="Index1"/>
        <w:tabs>
          <w:tab w:val="right" w:leader="dot" w:pos="9350"/>
        </w:tabs>
        <w:rPr>
          <w:noProof/>
        </w:rPr>
      </w:pPr>
      <w:r>
        <w:rPr>
          <w:noProof/>
        </w:rPr>
        <w:t>Inactivate a Unit</w:t>
      </w:r>
      <w:r>
        <w:rPr>
          <w:noProof/>
        </w:rPr>
        <w:tab/>
        <w:t>173</w:t>
      </w:r>
    </w:p>
    <w:p w:rsidR="005028F8" w:rsidRDefault="005028F8">
      <w:pPr>
        <w:pStyle w:val="Index1"/>
        <w:tabs>
          <w:tab w:val="right" w:leader="dot" w:pos="9350"/>
        </w:tabs>
        <w:rPr>
          <w:noProof/>
        </w:rPr>
      </w:pPr>
      <w:r>
        <w:rPr>
          <w:noProof/>
        </w:rPr>
        <w:t>Inappropriate Transfusion Request Report</w:t>
      </w:r>
      <w:r>
        <w:rPr>
          <w:noProof/>
        </w:rPr>
        <w:tab/>
        <w:t>345</w:t>
      </w:r>
    </w:p>
    <w:p w:rsidR="005028F8" w:rsidRDefault="005028F8">
      <w:pPr>
        <w:pStyle w:val="Index1"/>
        <w:tabs>
          <w:tab w:val="right" w:leader="dot" w:pos="9350"/>
        </w:tabs>
        <w:rPr>
          <w:noProof/>
        </w:rPr>
      </w:pPr>
      <w:r>
        <w:rPr>
          <w:noProof/>
        </w:rPr>
        <w:t>Index Tab</w:t>
      </w:r>
      <w:r>
        <w:rPr>
          <w:noProof/>
        </w:rPr>
        <w:tab/>
        <w:t>29</w:t>
      </w:r>
    </w:p>
    <w:p w:rsidR="005028F8" w:rsidRDefault="005028F8">
      <w:pPr>
        <w:pStyle w:val="Index1"/>
        <w:tabs>
          <w:tab w:val="right" w:leader="dot" w:pos="9350"/>
        </w:tabs>
        <w:rPr>
          <w:noProof/>
        </w:rPr>
      </w:pPr>
      <w:r>
        <w:rPr>
          <w:noProof/>
        </w:rPr>
        <w:t>Introduction</w:t>
      </w:r>
      <w:r>
        <w:rPr>
          <w:noProof/>
        </w:rPr>
        <w:tab/>
        <w:t>1</w:t>
      </w:r>
    </w:p>
    <w:p w:rsidR="005028F8" w:rsidRDefault="005028F8">
      <w:pPr>
        <w:pStyle w:val="Index1"/>
        <w:tabs>
          <w:tab w:val="right" w:leader="dot" w:pos="9350"/>
        </w:tabs>
        <w:rPr>
          <w:noProof/>
        </w:rPr>
      </w:pPr>
      <w:r>
        <w:rPr>
          <w:noProof/>
        </w:rPr>
        <w:t>Issue Blood Components</w:t>
      </w:r>
      <w:r>
        <w:rPr>
          <w:noProof/>
        </w:rPr>
        <w:tab/>
        <w:t>194</w:t>
      </w:r>
    </w:p>
    <w:p w:rsidR="005028F8" w:rsidRDefault="005028F8">
      <w:pPr>
        <w:pStyle w:val="Index1"/>
        <w:tabs>
          <w:tab w:val="right" w:leader="dot" w:pos="9350"/>
        </w:tabs>
        <w:rPr>
          <w:noProof/>
        </w:rPr>
      </w:pPr>
      <w:r>
        <w:rPr>
          <w:noProof/>
        </w:rPr>
        <w:t>Issue Blood Components (Emergency)</w:t>
      </w:r>
      <w:r>
        <w:rPr>
          <w:noProof/>
        </w:rPr>
        <w:tab/>
        <w:t>198</w:t>
      </w:r>
    </w:p>
    <w:p w:rsidR="005028F8" w:rsidRDefault="005028F8">
      <w:pPr>
        <w:pStyle w:val="Index1"/>
        <w:tabs>
          <w:tab w:val="right" w:leader="dot" w:pos="9350"/>
        </w:tabs>
        <w:rPr>
          <w:noProof/>
        </w:rPr>
      </w:pPr>
      <w:r>
        <w:rPr>
          <w:noProof/>
        </w:rPr>
        <w:t>Issue Blood Components (Routine)</w:t>
      </w:r>
      <w:r>
        <w:rPr>
          <w:noProof/>
        </w:rPr>
        <w:tab/>
        <w:t>195</w:t>
      </w:r>
    </w:p>
    <w:p w:rsidR="005028F8" w:rsidRDefault="005028F8">
      <w:pPr>
        <w:pStyle w:val="Index1"/>
        <w:tabs>
          <w:tab w:val="right" w:leader="dot" w:pos="9350"/>
        </w:tabs>
        <w:rPr>
          <w:noProof/>
        </w:rPr>
      </w:pPr>
      <w:r>
        <w:rPr>
          <w:noProof/>
        </w:rPr>
        <w:t>Issued/Returned Unit Report</w:t>
      </w:r>
      <w:r>
        <w:rPr>
          <w:noProof/>
        </w:rPr>
        <w:tab/>
        <w:t>347</w:t>
      </w:r>
    </w:p>
    <w:p w:rsidR="005028F8" w:rsidRPr="00A1587A" w:rsidRDefault="005028F8">
      <w:pPr>
        <w:pStyle w:val="IndexHeading"/>
        <w:keepNext/>
        <w:tabs>
          <w:tab w:val="right" w:leader="dot" w:pos="9350"/>
        </w:tabs>
        <w:rPr>
          <w:rFonts w:ascii="Calibri" w:hAnsi="Calibri"/>
          <w:b w:val="0"/>
          <w:bCs w:val="0"/>
          <w:noProof/>
        </w:rPr>
      </w:pPr>
      <w:r>
        <w:rPr>
          <w:noProof/>
        </w:rPr>
        <w:t>J</w:t>
      </w:r>
    </w:p>
    <w:p w:rsidR="005028F8" w:rsidRDefault="005028F8">
      <w:pPr>
        <w:pStyle w:val="Index1"/>
        <w:tabs>
          <w:tab w:val="right" w:leader="dot" w:pos="9350"/>
        </w:tabs>
        <w:rPr>
          <w:noProof/>
        </w:rPr>
      </w:pPr>
      <w:r>
        <w:rPr>
          <w:noProof/>
        </w:rPr>
        <w:t>Justify ABO/Rh Change</w:t>
      </w:r>
      <w:r>
        <w:rPr>
          <w:noProof/>
        </w:rPr>
        <w:tab/>
        <w:t>311</w:t>
      </w:r>
    </w:p>
    <w:p w:rsidR="005028F8" w:rsidRPr="00A1587A" w:rsidRDefault="005028F8">
      <w:pPr>
        <w:pStyle w:val="IndexHeading"/>
        <w:keepNext/>
        <w:tabs>
          <w:tab w:val="right" w:leader="dot" w:pos="9350"/>
        </w:tabs>
        <w:rPr>
          <w:rFonts w:ascii="Calibri" w:hAnsi="Calibri"/>
          <w:b w:val="0"/>
          <w:bCs w:val="0"/>
          <w:noProof/>
        </w:rPr>
      </w:pPr>
      <w:r>
        <w:rPr>
          <w:noProof/>
        </w:rPr>
        <w:t>K</w:t>
      </w:r>
    </w:p>
    <w:p w:rsidR="005028F8" w:rsidRDefault="005028F8">
      <w:pPr>
        <w:pStyle w:val="Index1"/>
        <w:tabs>
          <w:tab w:val="right" w:leader="dot" w:pos="9350"/>
        </w:tabs>
        <w:rPr>
          <w:noProof/>
        </w:rPr>
      </w:pPr>
      <w:r>
        <w:rPr>
          <w:noProof/>
        </w:rPr>
        <w:t>Keyboard Shortcuts for Windows</w:t>
      </w:r>
      <w:r>
        <w:rPr>
          <w:noProof/>
        </w:rPr>
        <w:tab/>
        <w:t>47</w:t>
      </w:r>
    </w:p>
    <w:p w:rsidR="005028F8" w:rsidRDefault="005028F8">
      <w:pPr>
        <w:pStyle w:val="Index1"/>
        <w:tabs>
          <w:tab w:val="right" w:leader="dot" w:pos="9350"/>
        </w:tabs>
        <w:rPr>
          <w:noProof/>
        </w:rPr>
      </w:pPr>
      <w:r>
        <w:rPr>
          <w:noProof/>
        </w:rPr>
        <w:t>Known Defects and Anomalies</w:t>
      </w:r>
      <w:r>
        <w:rPr>
          <w:noProof/>
        </w:rPr>
        <w:tab/>
        <w:t>465</w:t>
      </w:r>
    </w:p>
    <w:p w:rsidR="005028F8" w:rsidRPr="00A1587A" w:rsidRDefault="005028F8">
      <w:pPr>
        <w:pStyle w:val="IndexHeading"/>
        <w:keepNext/>
        <w:tabs>
          <w:tab w:val="right" w:leader="dot" w:pos="9350"/>
        </w:tabs>
        <w:rPr>
          <w:rFonts w:ascii="Calibri" w:hAnsi="Calibri"/>
          <w:b w:val="0"/>
          <w:bCs w:val="0"/>
          <w:noProof/>
        </w:rPr>
      </w:pPr>
      <w:r>
        <w:rPr>
          <w:noProof/>
        </w:rPr>
        <w:lastRenderedPageBreak/>
        <w:t>L</w:t>
      </w:r>
    </w:p>
    <w:p w:rsidR="005028F8" w:rsidRDefault="005028F8">
      <w:pPr>
        <w:pStyle w:val="Index1"/>
        <w:tabs>
          <w:tab w:val="right" w:leader="dot" w:pos="9350"/>
        </w:tabs>
        <w:rPr>
          <w:noProof/>
        </w:rPr>
      </w:pPr>
      <w:r>
        <w:rPr>
          <w:noProof/>
        </w:rPr>
        <w:t>Limitations and Restrictions</w:t>
      </w:r>
      <w:r>
        <w:rPr>
          <w:noProof/>
        </w:rPr>
        <w:tab/>
        <w:t>451</w:t>
      </w:r>
    </w:p>
    <w:p w:rsidR="005028F8" w:rsidRDefault="005028F8">
      <w:pPr>
        <w:pStyle w:val="Index1"/>
        <w:tabs>
          <w:tab w:val="right" w:leader="dot" w:pos="9350"/>
        </w:tabs>
        <w:rPr>
          <w:noProof/>
        </w:rPr>
      </w:pPr>
      <w:r>
        <w:rPr>
          <w:noProof/>
        </w:rPr>
        <w:t>Local Facilities</w:t>
      </w:r>
      <w:r>
        <w:rPr>
          <w:noProof/>
        </w:rPr>
        <w:tab/>
        <w:t>77</w:t>
      </w:r>
    </w:p>
    <w:p w:rsidR="005028F8" w:rsidRDefault="005028F8">
      <w:pPr>
        <w:pStyle w:val="Index1"/>
        <w:tabs>
          <w:tab w:val="right" w:leader="dot" w:pos="9350"/>
        </w:tabs>
        <w:rPr>
          <w:noProof/>
        </w:rPr>
      </w:pPr>
      <w:r>
        <w:rPr>
          <w:noProof/>
        </w:rPr>
        <w:t>Local Machine Screen Resolution</w:t>
      </w:r>
      <w:r>
        <w:rPr>
          <w:noProof/>
        </w:rPr>
        <w:tab/>
        <w:t>40</w:t>
      </w:r>
    </w:p>
    <w:p w:rsidR="005028F8" w:rsidRDefault="005028F8">
      <w:pPr>
        <w:pStyle w:val="Index1"/>
        <w:tabs>
          <w:tab w:val="right" w:leader="dot" w:pos="9350"/>
        </w:tabs>
        <w:rPr>
          <w:noProof/>
        </w:rPr>
      </w:pPr>
      <w:r>
        <w:rPr>
          <w:noProof/>
        </w:rPr>
        <w:t>Locking and Time-Outs</w:t>
      </w:r>
      <w:r>
        <w:rPr>
          <w:noProof/>
        </w:rPr>
        <w:tab/>
        <w:t>12</w:t>
      </w:r>
    </w:p>
    <w:p w:rsidR="005028F8" w:rsidRDefault="005028F8">
      <w:pPr>
        <w:pStyle w:val="Index1"/>
        <w:tabs>
          <w:tab w:val="right" w:leader="dot" w:pos="9350"/>
        </w:tabs>
        <w:rPr>
          <w:noProof/>
        </w:rPr>
      </w:pPr>
      <w:r>
        <w:rPr>
          <w:noProof/>
        </w:rPr>
        <w:t>Log in Reagents</w:t>
      </w:r>
      <w:r>
        <w:rPr>
          <w:noProof/>
        </w:rPr>
        <w:tab/>
        <w:t>101</w:t>
      </w:r>
    </w:p>
    <w:p w:rsidR="005028F8" w:rsidRDefault="005028F8">
      <w:pPr>
        <w:pStyle w:val="Index1"/>
        <w:tabs>
          <w:tab w:val="right" w:leader="dot" w:pos="9350"/>
        </w:tabs>
        <w:rPr>
          <w:noProof/>
        </w:rPr>
      </w:pPr>
      <w:r>
        <w:rPr>
          <w:noProof/>
        </w:rPr>
        <w:t>Log in Supplies</w:t>
      </w:r>
      <w:r>
        <w:rPr>
          <w:noProof/>
        </w:rPr>
        <w:tab/>
        <w:t>107</w:t>
      </w:r>
    </w:p>
    <w:p w:rsidR="005028F8" w:rsidRDefault="005028F8">
      <w:pPr>
        <w:pStyle w:val="Index1"/>
        <w:tabs>
          <w:tab w:val="right" w:leader="dot" w:pos="9350"/>
        </w:tabs>
        <w:rPr>
          <w:noProof/>
        </w:rPr>
      </w:pPr>
      <w:r>
        <w:rPr>
          <w:noProof/>
        </w:rPr>
        <w:t>Login Message</w:t>
      </w:r>
      <w:r>
        <w:rPr>
          <w:noProof/>
        </w:rPr>
        <w:tab/>
        <w:t>75</w:t>
      </w:r>
    </w:p>
    <w:p w:rsidR="005028F8" w:rsidRPr="00A1587A" w:rsidRDefault="005028F8">
      <w:pPr>
        <w:pStyle w:val="IndexHeading"/>
        <w:keepNext/>
        <w:tabs>
          <w:tab w:val="right" w:leader="dot" w:pos="9350"/>
        </w:tabs>
        <w:rPr>
          <w:rFonts w:ascii="Calibri" w:hAnsi="Calibri"/>
          <w:b w:val="0"/>
          <w:bCs w:val="0"/>
          <w:noProof/>
        </w:rPr>
      </w:pPr>
      <w:r>
        <w:rPr>
          <w:noProof/>
        </w:rPr>
        <w:t>M</w:t>
      </w:r>
    </w:p>
    <w:p w:rsidR="005028F8" w:rsidRDefault="005028F8">
      <w:pPr>
        <w:pStyle w:val="Index1"/>
        <w:tabs>
          <w:tab w:val="right" w:leader="dot" w:pos="9350"/>
        </w:tabs>
        <w:rPr>
          <w:noProof/>
        </w:rPr>
      </w:pPr>
      <w:r>
        <w:rPr>
          <w:noProof/>
        </w:rPr>
        <w:t>Main Status Bar</w:t>
      </w:r>
      <w:r>
        <w:rPr>
          <w:noProof/>
        </w:rPr>
        <w:tab/>
        <w:t>56</w:t>
      </w:r>
    </w:p>
    <w:p w:rsidR="005028F8" w:rsidRDefault="005028F8">
      <w:pPr>
        <w:pStyle w:val="Index1"/>
        <w:tabs>
          <w:tab w:val="right" w:leader="dot" w:pos="9350"/>
        </w:tabs>
        <w:rPr>
          <w:noProof/>
        </w:rPr>
      </w:pPr>
      <w:r>
        <w:rPr>
          <w:noProof/>
        </w:rPr>
        <w:t>Main Toolbar</w:t>
      </w:r>
      <w:r>
        <w:rPr>
          <w:noProof/>
        </w:rPr>
        <w:tab/>
        <w:t>49</w:t>
      </w:r>
    </w:p>
    <w:p w:rsidR="005028F8" w:rsidRDefault="005028F8">
      <w:pPr>
        <w:pStyle w:val="Index1"/>
        <w:tabs>
          <w:tab w:val="right" w:leader="dot" w:pos="9350"/>
        </w:tabs>
        <w:rPr>
          <w:noProof/>
        </w:rPr>
      </w:pPr>
      <w:r>
        <w:rPr>
          <w:noProof/>
        </w:rPr>
        <w:t>Maintain Minimum Levels</w:t>
      </w:r>
      <w:r>
        <w:rPr>
          <w:noProof/>
        </w:rPr>
        <w:tab/>
        <w:t>105</w:t>
      </w:r>
    </w:p>
    <w:p w:rsidR="005028F8" w:rsidRDefault="005028F8">
      <w:pPr>
        <w:pStyle w:val="Index1"/>
        <w:tabs>
          <w:tab w:val="right" w:leader="dot" w:pos="9350"/>
        </w:tabs>
        <w:rPr>
          <w:noProof/>
        </w:rPr>
      </w:pPr>
      <w:r>
        <w:rPr>
          <w:noProof/>
        </w:rPr>
        <w:t>Maintain Patient Records</w:t>
      </w:r>
      <w:r>
        <w:rPr>
          <w:noProof/>
        </w:rPr>
        <w:tab/>
        <w:t>296</w:t>
      </w:r>
    </w:p>
    <w:p w:rsidR="005028F8" w:rsidRDefault="005028F8">
      <w:pPr>
        <w:pStyle w:val="Index1"/>
        <w:tabs>
          <w:tab w:val="right" w:leader="dot" w:pos="9350"/>
        </w:tabs>
        <w:rPr>
          <w:noProof/>
        </w:rPr>
      </w:pPr>
      <w:r>
        <w:rPr>
          <w:noProof/>
        </w:rPr>
        <w:t>Maintain Specimen</w:t>
      </w:r>
      <w:r>
        <w:rPr>
          <w:noProof/>
        </w:rPr>
        <w:tab/>
        <w:t>237</w:t>
      </w:r>
    </w:p>
    <w:p w:rsidR="005028F8" w:rsidRDefault="005028F8">
      <w:pPr>
        <w:pStyle w:val="Index1"/>
        <w:tabs>
          <w:tab w:val="right" w:leader="dot" w:pos="9350"/>
        </w:tabs>
        <w:rPr>
          <w:noProof/>
        </w:rPr>
      </w:pPr>
      <w:r>
        <w:rPr>
          <w:noProof/>
        </w:rPr>
        <w:t>Maintain Unit Records</w:t>
      </w:r>
      <w:r>
        <w:rPr>
          <w:noProof/>
        </w:rPr>
        <w:tab/>
        <w:t>169</w:t>
      </w:r>
    </w:p>
    <w:p w:rsidR="005028F8" w:rsidRDefault="005028F8">
      <w:pPr>
        <w:pStyle w:val="Index1"/>
        <w:tabs>
          <w:tab w:val="right" w:leader="dot" w:pos="9350"/>
        </w:tabs>
        <w:rPr>
          <w:noProof/>
        </w:rPr>
      </w:pPr>
      <w:r>
        <w:rPr>
          <w:noProof/>
        </w:rPr>
        <w:t>Medication Profile</w:t>
      </w:r>
      <w:r>
        <w:rPr>
          <w:noProof/>
        </w:rPr>
        <w:tab/>
        <w:t>51</w:t>
      </w:r>
    </w:p>
    <w:p w:rsidR="005028F8" w:rsidRDefault="005028F8">
      <w:pPr>
        <w:pStyle w:val="Index1"/>
        <w:tabs>
          <w:tab w:val="right" w:leader="dot" w:pos="9350"/>
        </w:tabs>
        <w:rPr>
          <w:noProof/>
        </w:rPr>
      </w:pPr>
      <w:r>
        <w:rPr>
          <w:noProof/>
        </w:rPr>
        <w:t>Modify Component</w:t>
      </w:r>
      <w:r>
        <w:rPr>
          <w:noProof/>
        </w:rPr>
        <w:tab/>
        <w:t>149</w:t>
      </w:r>
    </w:p>
    <w:p w:rsidR="005028F8" w:rsidRDefault="005028F8">
      <w:pPr>
        <w:pStyle w:val="Index1"/>
        <w:tabs>
          <w:tab w:val="right" w:leader="dot" w:pos="9350"/>
        </w:tabs>
        <w:rPr>
          <w:noProof/>
        </w:rPr>
      </w:pPr>
      <w:r>
        <w:rPr>
          <w:noProof/>
        </w:rPr>
        <w:t>MSBOS</w:t>
      </w:r>
      <w:r>
        <w:rPr>
          <w:noProof/>
        </w:rPr>
        <w:tab/>
        <w:t>90</w:t>
      </w:r>
    </w:p>
    <w:p w:rsidR="005028F8" w:rsidRPr="00A1587A" w:rsidRDefault="005028F8">
      <w:pPr>
        <w:pStyle w:val="IndexHeading"/>
        <w:keepNext/>
        <w:tabs>
          <w:tab w:val="right" w:leader="dot" w:pos="9350"/>
        </w:tabs>
        <w:rPr>
          <w:rFonts w:ascii="Calibri" w:hAnsi="Calibri"/>
          <w:b w:val="0"/>
          <w:bCs w:val="0"/>
          <w:noProof/>
        </w:rPr>
      </w:pPr>
      <w:r>
        <w:rPr>
          <w:noProof/>
        </w:rPr>
        <w:t>O</w:t>
      </w:r>
    </w:p>
    <w:p w:rsidR="005028F8" w:rsidRDefault="005028F8">
      <w:pPr>
        <w:pStyle w:val="Index1"/>
        <w:tabs>
          <w:tab w:val="right" w:leader="dot" w:pos="9350"/>
        </w:tabs>
        <w:rPr>
          <w:noProof/>
        </w:rPr>
      </w:pPr>
      <w:r>
        <w:rPr>
          <w:noProof/>
        </w:rPr>
        <w:t>Online Help F1</w:t>
      </w:r>
      <w:r>
        <w:rPr>
          <w:noProof/>
        </w:rPr>
        <w:tab/>
        <w:t>43</w:t>
      </w:r>
    </w:p>
    <w:p w:rsidR="005028F8" w:rsidRDefault="005028F8">
      <w:pPr>
        <w:pStyle w:val="Index1"/>
        <w:tabs>
          <w:tab w:val="right" w:leader="dot" w:pos="9350"/>
        </w:tabs>
        <w:rPr>
          <w:noProof/>
        </w:rPr>
      </w:pPr>
      <w:r>
        <w:rPr>
          <w:noProof/>
        </w:rPr>
        <w:t>Options</w:t>
      </w:r>
      <w:r>
        <w:rPr>
          <w:noProof/>
        </w:rPr>
        <w:tab/>
        <w:t>3</w:t>
      </w:r>
    </w:p>
    <w:p w:rsidR="005028F8" w:rsidRDefault="005028F8">
      <w:pPr>
        <w:pStyle w:val="Index1"/>
        <w:tabs>
          <w:tab w:val="right" w:leader="dot" w:pos="9350"/>
        </w:tabs>
        <w:rPr>
          <w:noProof/>
        </w:rPr>
      </w:pPr>
      <w:r>
        <w:rPr>
          <w:noProof/>
        </w:rPr>
        <w:t>Order Alerts</w:t>
      </w:r>
      <w:r>
        <w:rPr>
          <w:noProof/>
        </w:rPr>
        <w:tab/>
        <w:t>73</w:t>
      </w:r>
    </w:p>
    <w:p w:rsidR="005028F8" w:rsidRDefault="005028F8">
      <w:pPr>
        <w:pStyle w:val="Index1"/>
        <w:tabs>
          <w:tab w:val="right" w:leader="dot" w:pos="9350"/>
        </w:tabs>
        <w:rPr>
          <w:noProof/>
        </w:rPr>
      </w:pPr>
      <w:r>
        <w:rPr>
          <w:noProof/>
        </w:rPr>
        <w:t>Order History Report</w:t>
      </w:r>
      <w:r>
        <w:rPr>
          <w:noProof/>
        </w:rPr>
        <w:tab/>
        <w:t>349</w:t>
      </w:r>
    </w:p>
    <w:p w:rsidR="005028F8" w:rsidRDefault="005028F8">
      <w:pPr>
        <w:pStyle w:val="Index1"/>
        <w:tabs>
          <w:tab w:val="right" w:leader="dot" w:pos="9350"/>
        </w:tabs>
        <w:rPr>
          <w:noProof/>
        </w:rPr>
      </w:pPr>
      <w:r>
        <w:rPr>
          <w:noProof/>
        </w:rPr>
        <w:t>Order Reflex Tests</w:t>
      </w:r>
      <w:r>
        <w:rPr>
          <w:noProof/>
        </w:rPr>
        <w:tab/>
        <w:t>247</w:t>
      </w:r>
    </w:p>
    <w:p w:rsidR="005028F8" w:rsidRDefault="005028F8">
      <w:pPr>
        <w:pStyle w:val="Index1"/>
        <w:tabs>
          <w:tab w:val="right" w:leader="dot" w:pos="9350"/>
        </w:tabs>
        <w:rPr>
          <w:noProof/>
        </w:rPr>
      </w:pPr>
      <w:r>
        <w:rPr>
          <w:noProof/>
        </w:rPr>
        <w:t>Orientation</w:t>
      </w:r>
      <w:r>
        <w:rPr>
          <w:noProof/>
        </w:rPr>
        <w:tab/>
        <w:t>3</w:t>
      </w:r>
    </w:p>
    <w:p w:rsidR="005028F8" w:rsidRDefault="005028F8">
      <w:pPr>
        <w:pStyle w:val="Index1"/>
        <w:tabs>
          <w:tab w:val="right" w:leader="dot" w:pos="9350"/>
        </w:tabs>
        <w:rPr>
          <w:noProof/>
        </w:rPr>
      </w:pPr>
      <w:r>
        <w:rPr>
          <w:noProof/>
        </w:rPr>
        <w:t>Other VBECS Functions</w:t>
      </w:r>
      <w:r>
        <w:rPr>
          <w:noProof/>
        </w:rPr>
        <w:tab/>
        <w:t>56</w:t>
      </w:r>
    </w:p>
    <w:p w:rsidR="005028F8" w:rsidRDefault="005028F8">
      <w:pPr>
        <w:pStyle w:val="Index1"/>
        <w:tabs>
          <w:tab w:val="right" w:leader="dot" w:pos="9350"/>
        </w:tabs>
        <w:rPr>
          <w:noProof/>
        </w:rPr>
      </w:pPr>
      <w:r>
        <w:rPr>
          <w:noProof/>
        </w:rPr>
        <w:t>Outgoing Shipment</w:t>
      </w:r>
      <w:r>
        <w:rPr>
          <w:noProof/>
        </w:rPr>
        <w:tab/>
        <w:t>125</w:t>
      </w:r>
    </w:p>
    <w:p w:rsidR="005028F8" w:rsidRPr="00A1587A" w:rsidRDefault="005028F8">
      <w:pPr>
        <w:pStyle w:val="IndexHeading"/>
        <w:keepNext/>
        <w:tabs>
          <w:tab w:val="right" w:leader="dot" w:pos="9350"/>
        </w:tabs>
        <w:rPr>
          <w:rFonts w:ascii="Calibri" w:hAnsi="Calibri"/>
          <w:b w:val="0"/>
          <w:bCs w:val="0"/>
          <w:noProof/>
        </w:rPr>
      </w:pPr>
      <w:r>
        <w:rPr>
          <w:noProof/>
        </w:rPr>
        <w:t>P</w:t>
      </w:r>
    </w:p>
    <w:p w:rsidR="005028F8" w:rsidRDefault="005028F8">
      <w:pPr>
        <w:pStyle w:val="Index1"/>
        <w:tabs>
          <w:tab w:val="right" w:leader="dot" w:pos="9350"/>
        </w:tabs>
        <w:rPr>
          <w:noProof/>
        </w:rPr>
      </w:pPr>
      <w:r>
        <w:rPr>
          <w:noProof/>
        </w:rPr>
        <w:t>Parser Mapping Logic, All HL7 Test Result, Interpretation and Phase Variations Accepted by VBECS</w:t>
      </w:r>
      <w:r>
        <w:rPr>
          <w:noProof/>
        </w:rPr>
        <w:tab/>
        <w:t>523</w:t>
      </w:r>
    </w:p>
    <w:p w:rsidR="005028F8" w:rsidRDefault="005028F8">
      <w:pPr>
        <w:pStyle w:val="Index1"/>
        <w:tabs>
          <w:tab w:val="right" w:leader="dot" w:pos="9350"/>
        </w:tabs>
        <w:rPr>
          <w:noProof/>
        </w:rPr>
      </w:pPr>
      <w:r>
        <w:rPr>
          <w:noProof/>
        </w:rPr>
        <w:t>Patient Blood Availability</w:t>
      </w:r>
      <w:r>
        <w:rPr>
          <w:noProof/>
        </w:rPr>
        <w:tab/>
        <w:t>50</w:t>
      </w:r>
    </w:p>
    <w:p w:rsidR="005028F8" w:rsidRDefault="005028F8">
      <w:pPr>
        <w:pStyle w:val="Index1"/>
        <w:tabs>
          <w:tab w:val="right" w:leader="dot" w:pos="9350"/>
        </w:tabs>
        <w:rPr>
          <w:noProof/>
        </w:rPr>
      </w:pPr>
      <w:r>
        <w:rPr>
          <w:noProof/>
        </w:rPr>
        <w:t>Patient History Report</w:t>
      </w:r>
      <w:r>
        <w:rPr>
          <w:noProof/>
        </w:rPr>
        <w:tab/>
        <w:t>351</w:t>
      </w:r>
    </w:p>
    <w:p w:rsidR="005028F8" w:rsidRDefault="005028F8">
      <w:pPr>
        <w:pStyle w:val="Index1"/>
        <w:tabs>
          <w:tab w:val="right" w:leader="dot" w:pos="9350"/>
        </w:tabs>
        <w:rPr>
          <w:noProof/>
        </w:rPr>
      </w:pPr>
      <w:r>
        <w:rPr>
          <w:noProof/>
        </w:rPr>
        <w:t>Patient Information Toolbar</w:t>
      </w:r>
      <w:r>
        <w:rPr>
          <w:noProof/>
        </w:rPr>
        <w:tab/>
        <w:t>50</w:t>
      </w:r>
    </w:p>
    <w:p w:rsidR="005028F8" w:rsidRDefault="005028F8">
      <w:pPr>
        <w:pStyle w:val="Index1"/>
        <w:tabs>
          <w:tab w:val="right" w:leader="dot" w:pos="9350"/>
        </w:tabs>
        <w:rPr>
          <w:noProof/>
        </w:rPr>
      </w:pPr>
      <w:r>
        <w:rPr>
          <w:noProof/>
        </w:rPr>
        <w:t>Patient Merge</w:t>
      </w:r>
      <w:r>
        <w:rPr>
          <w:noProof/>
        </w:rPr>
        <w:tab/>
        <w:t>253</w:t>
      </w:r>
    </w:p>
    <w:p w:rsidR="005028F8" w:rsidRDefault="005028F8">
      <w:pPr>
        <w:pStyle w:val="Index1"/>
        <w:tabs>
          <w:tab w:val="right" w:leader="dot" w:pos="9350"/>
        </w:tabs>
        <w:rPr>
          <w:noProof/>
        </w:rPr>
      </w:pPr>
      <w:r>
        <w:rPr>
          <w:noProof/>
        </w:rPr>
        <w:t>Patient Search Screen</w:t>
      </w:r>
      <w:r>
        <w:rPr>
          <w:noProof/>
        </w:rPr>
        <w:tab/>
        <w:t>251</w:t>
      </w:r>
    </w:p>
    <w:p w:rsidR="005028F8" w:rsidRDefault="005028F8">
      <w:pPr>
        <w:pStyle w:val="Index1"/>
        <w:tabs>
          <w:tab w:val="right" w:leader="dot" w:pos="9350"/>
        </w:tabs>
        <w:rPr>
          <w:noProof/>
        </w:rPr>
      </w:pPr>
      <w:r>
        <w:rPr>
          <w:noProof/>
        </w:rPr>
        <w:t>Patient Services</w:t>
      </w:r>
      <w:r>
        <w:rPr>
          <w:noProof/>
        </w:rPr>
        <w:tab/>
        <w:t>251</w:t>
      </w:r>
    </w:p>
    <w:p w:rsidR="005028F8" w:rsidRDefault="005028F8">
      <w:pPr>
        <w:pStyle w:val="Index1"/>
        <w:tabs>
          <w:tab w:val="right" w:leader="dot" w:pos="9350"/>
        </w:tabs>
        <w:rPr>
          <w:noProof/>
        </w:rPr>
      </w:pPr>
      <w:r>
        <w:rPr>
          <w:noProof/>
        </w:rPr>
        <w:t>Patient Testing Form</w:t>
      </w:r>
      <w:r>
        <w:rPr>
          <w:noProof/>
        </w:rPr>
        <w:tab/>
        <w:t>385</w:t>
      </w:r>
    </w:p>
    <w:p w:rsidR="005028F8" w:rsidRDefault="005028F8">
      <w:pPr>
        <w:pStyle w:val="Index1"/>
        <w:tabs>
          <w:tab w:val="right" w:leader="dot" w:pos="9350"/>
        </w:tabs>
        <w:rPr>
          <w:noProof/>
        </w:rPr>
      </w:pPr>
      <w:r>
        <w:rPr>
          <w:noProof/>
        </w:rPr>
        <w:t>Patient Testing Worklist and Testing Worklist Reports</w:t>
      </w:r>
      <w:r>
        <w:rPr>
          <w:noProof/>
        </w:rPr>
        <w:tab/>
        <w:t>355</w:t>
      </w:r>
    </w:p>
    <w:p w:rsidR="005028F8" w:rsidRDefault="005028F8">
      <w:pPr>
        <w:pStyle w:val="Index1"/>
        <w:tabs>
          <w:tab w:val="right" w:leader="dot" w:pos="9350"/>
        </w:tabs>
        <w:rPr>
          <w:noProof/>
        </w:rPr>
      </w:pPr>
      <w:r>
        <w:rPr>
          <w:noProof/>
        </w:rPr>
        <w:t>Patient Testing: Cancel an Active Order</w:t>
      </w:r>
      <w:r>
        <w:rPr>
          <w:noProof/>
        </w:rPr>
        <w:tab/>
        <w:t>241</w:t>
      </w:r>
    </w:p>
    <w:p w:rsidR="005028F8" w:rsidRDefault="005028F8">
      <w:pPr>
        <w:pStyle w:val="Index1"/>
        <w:tabs>
          <w:tab w:val="right" w:leader="dot" w:pos="9350"/>
        </w:tabs>
        <w:rPr>
          <w:noProof/>
        </w:rPr>
      </w:pPr>
      <w:r>
        <w:rPr>
          <w:noProof/>
        </w:rPr>
        <w:t>Patient Testing: Enter Antibody Identification Results</w:t>
      </w:r>
      <w:r>
        <w:rPr>
          <w:noProof/>
        </w:rPr>
        <w:tab/>
        <w:t>282</w:t>
      </w:r>
    </w:p>
    <w:p w:rsidR="005028F8" w:rsidRDefault="005028F8">
      <w:pPr>
        <w:pStyle w:val="Index1"/>
        <w:tabs>
          <w:tab w:val="right" w:leader="dot" w:pos="9350"/>
        </w:tabs>
        <w:rPr>
          <w:noProof/>
        </w:rPr>
      </w:pPr>
      <w:r>
        <w:rPr>
          <w:noProof/>
        </w:rPr>
        <w:t>Patient Testing: General Instructions</w:t>
      </w:r>
      <w:r>
        <w:rPr>
          <w:noProof/>
        </w:rPr>
        <w:tab/>
        <w:t>258</w:t>
      </w:r>
    </w:p>
    <w:p w:rsidR="005028F8" w:rsidRDefault="005028F8">
      <w:pPr>
        <w:pStyle w:val="Index1"/>
        <w:tabs>
          <w:tab w:val="right" w:leader="dot" w:pos="9350"/>
        </w:tabs>
        <w:rPr>
          <w:noProof/>
        </w:rPr>
      </w:pPr>
      <w:r>
        <w:rPr>
          <w:noProof/>
        </w:rPr>
        <w:t>Patient Testing: Pending Task List</w:t>
      </w:r>
      <w:r>
        <w:rPr>
          <w:noProof/>
        </w:rPr>
        <w:tab/>
        <w:t>243</w:t>
      </w:r>
    </w:p>
    <w:p w:rsidR="005028F8" w:rsidRDefault="005028F8">
      <w:pPr>
        <w:pStyle w:val="Index1"/>
        <w:tabs>
          <w:tab w:val="right" w:leader="dot" w:pos="9350"/>
        </w:tabs>
        <w:rPr>
          <w:noProof/>
        </w:rPr>
      </w:pPr>
      <w:r>
        <w:rPr>
          <w:noProof/>
        </w:rPr>
        <w:t>Patient Testing: Record a Crossmatch</w:t>
      </w:r>
      <w:r>
        <w:rPr>
          <w:noProof/>
        </w:rPr>
        <w:tab/>
        <w:t>271</w:t>
      </w:r>
    </w:p>
    <w:p w:rsidR="005028F8" w:rsidRDefault="005028F8">
      <w:pPr>
        <w:pStyle w:val="Index1"/>
        <w:tabs>
          <w:tab w:val="right" w:leader="dot" w:pos="9350"/>
        </w:tabs>
        <w:rPr>
          <w:noProof/>
        </w:rPr>
      </w:pPr>
      <w:r>
        <w:rPr>
          <w:noProof/>
        </w:rPr>
        <w:t>Patient Testing: Record a Direct Antiglobulin Test</w:t>
      </w:r>
      <w:r>
        <w:rPr>
          <w:noProof/>
        </w:rPr>
        <w:tab/>
        <w:t>268</w:t>
      </w:r>
    </w:p>
    <w:p w:rsidR="005028F8" w:rsidRDefault="005028F8">
      <w:pPr>
        <w:pStyle w:val="Index1"/>
        <w:tabs>
          <w:tab w:val="right" w:leader="dot" w:pos="9350"/>
        </w:tabs>
        <w:rPr>
          <w:noProof/>
        </w:rPr>
      </w:pPr>
      <w:r>
        <w:rPr>
          <w:noProof/>
        </w:rPr>
        <w:t>Patient Testing: Record a Patient ABO/Rh</w:t>
      </w:r>
      <w:r>
        <w:rPr>
          <w:noProof/>
        </w:rPr>
        <w:tab/>
        <w:t>263</w:t>
      </w:r>
    </w:p>
    <w:p w:rsidR="005028F8" w:rsidRDefault="005028F8">
      <w:pPr>
        <w:pStyle w:val="Index1"/>
        <w:tabs>
          <w:tab w:val="right" w:leader="dot" w:pos="9350"/>
        </w:tabs>
        <w:rPr>
          <w:noProof/>
        </w:rPr>
      </w:pPr>
      <w:r>
        <w:rPr>
          <w:noProof/>
        </w:rPr>
        <w:t>Patient Testing: Record a Patient Antibody Screen</w:t>
      </w:r>
      <w:r>
        <w:rPr>
          <w:noProof/>
        </w:rPr>
        <w:tab/>
        <w:t>266</w:t>
      </w:r>
    </w:p>
    <w:p w:rsidR="005028F8" w:rsidRDefault="005028F8">
      <w:pPr>
        <w:pStyle w:val="Index1"/>
        <w:tabs>
          <w:tab w:val="right" w:leader="dot" w:pos="9350"/>
        </w:tabs>
        <w:rPr>
          <w:noProof/>
        </w:rPr>
      </w:pPr>
      <w:r>
        <w:rPr>
          <w:noProof/>
        </w:rPr>
        <w:t>Patient Testing: Record a Patient Antigen Typing</w:t>
      </w:r>
      <w:r>
        <w:rPr>
          <w:noProof/>
        </w:rPr>
        <w:tab/>
        <w:t>276</w:t>
      </w:r>
    </w:p>
    <w:p w:rsidR="005028F8" w:rsidRDefault="005028F8">
      <w:pPr>
        <w:pStyle w:val="Index1"/>
        <w:tabs>
          <w:tab w:val="right" w:leader="dot" w:pos="9350"/>
        </w:tabs>
        <w:rPr>
          <w:noProof/>
        </w:rPr>
      </w:pPr>
      <w:r>
        <w:rPr>
          <w:noProof/>
        </w:rPr>
        <w:t>Patient Testing: Record a Transfusion Reaction Workup</w:t>
      </w:r>
      <w:r>
        <w:rPr>
          <w:noProof/>
        </w:rPr>
        <w:tab/>
        <w:t>284</w:t>
      </w:r>
    </w:p>
    <w:p w:rsidR="005028F8" w:rsidRDefault="005028F8">
      <w:pPr>
        <w:pStyle w:val="Index1"/>
        <w:tabs>
          <w:tab w:val="right" w:leader="dot" w:pos="9350"/>
        </w:tabs>
        <w:rPr>
          <w:noProof/>
        </w:rPr>
      </w:pPr>
      <w:r>
        <w:rPr>
          <w:noProof/>
        </w:rPr>
        <w:t>Post-Transfusion Information</w:t>
      </w:r>
      <w:r>
        <w:rPr>
          <w:noProof/>
        </w:rPr>
        <w:tab/>
        <w:t>304</w:t>
      </w:r>
    </w:p>
    <w:p w:rsidR="005028F8" w:rsidRDefault="005028F8">
      <w:pPr>
        <w:pStyle w:val="Index1"/>
        <w:tabs>
          <w:tab w:val="right" w:leader="dot" w:pos="9350"/>
        </w:tabs>
        <w:rPr>
          <w:noProof/>
        </w:rPr>
      </w:pPr>
      <w:r>
        <w:rPr>
          <w:noProof/>
        </w:rPr>
        <w:t>Print Backup Caution Tags and Blood Transfusion Record Forms</w:t>
      </w:r>
      <w:r>
        <w:rPr>
          <w:noProof/>
        </w:rPr>
        <w:tab/>
        <w:t>211</w:t>
      </w:r>
    </w:p>
    <w:p w:rsidR="005028F8" w:rsidRDefault="005028F8">
      <w:pPr>
        <w:pStyle w:val="Index1"/>
        <w:tabs>
          <w:tab w:val="right" w:leader="dot" w:pos="9350"/>
        </w:tabs>
        <w:rPr>
          <w:noProof/>
        </w:rPr>
      </w:pPr>
      <w:r>
        <w:rPr>
          <w:noProof/>
        </w:rPr>
        <w:lastRenderedPageBreak/>
        <w:t>Problems?</w:t>
      </w:r>
      <w:r>
        <w:rPr>
          <w:noProof/>
        </w:rPr>
        <w:tab/>
        <w:t>10</w:t>
      </w:r>
    </w:p>
    <w:p w:rsidR="005028F8" w:rsidRDefault="005028F8">
      <w:pPr>
        <w:pStyle w:val="Index1"/>
        <w:tabs>
          <w:tab w:val="right" w:leader="dot" w:pos="9350"/>
        </w:tabs>
        <w:rPr>
          <w:noProof/>
        </w:rPr>
      </w:pPr>
      <w:r>
        <w:rPr>
          <w:noProof/>
        </w:rPr>
        <w:t>Processing Orders</w:t>
      </w:r>
      <w:r>
        <w:rPr>
          <w:noProof/>
        </w:rPr>
        <w:tab/>
        <w:t>227</w:t>
      </w:r>
    </w:p>
    <w:p w:rsidR="005028F8" w:rsidRDefault="005028F8">
      <w:pPr>
        <w:pStyle w:val="Index1"/>
        <w:tabs>
          <w:tab w:val="right" w:leader="dot" w:pos="9350"/>
        </w:tabs>
        <w:rPr>
          <w:noProof/>
        </w:rPr>
      </w:pPr>
      <w:r>
        <w:rPr>
          <w:noProof/>
        </w:rPr>
        <w:t>Product Modifications</w:t>
      </w:r>
      <w:r>
        <w:rPr>
          <w:noProof/>
        </w:rPr>
        <w:tab/>
        <w:t>71</w:t>
      </w:r>
    </w:p>
    <w:p w:rsidR="005028F8" w:rsidRDefault="005028F8">
      <w:pPr>
        <w:pStyle w:val="Index1"/>
        <w:tabs>
          <w:tab w:val="right" w:leader="dot" w:pos="9350"/>
        </w:tabs>
        <w:rPr>
          <w:noProof/>
        </w:rPr>
      </w:pPr>
      <w:r>
        <w:rPr>
          <w:noProof/>
        </w:rPr>
        <w:t>Prolonged Transfusion Time Report</w:t>
      </w:r>
      <w:r>
        <w:rPr>
          <w:noProof/>
        </w:rPr>
        <w:tab/>
        <w:t>353</w:t>
      </w:r>
    </w:p>
    <w:p w:rsidR="005028F8" w:rsidRPr="00A1587A" w:rsidRDefault="005028F8">
      <w:pPr>
        <w:pStyle w:val="IndexHeading"/>
        <w:keepNext/>
        <w:tabs>
          <w:tab w:val="right" w:leader="dot" w:pos="9350"/>
        </w:tabs>
        <w:rPr>
          <w:rFonts w:ascii="Calibri" w:hAnsi="Calibri"/>
          <w:b w:val="0"/>
          <w:bCs w:val="0"/>
          <w:noProof/>
        </w:rPr>
      </w:pPr>
      <w:r>
        <w:rPr>
          <w:noProof/>
        </w:rPr>
        <w:t>Q</w:t>
      </w:r>
    </w:p>
    <w:p w:rsidR="005028F8" w:rsidRDefault="005028F8">
      <w:pPr>
        <w:pStyle w:val="Index1"/>
        <w:tabs>
          <w:tab w:val="right" w:leader="dot" w:pos="9350"/>
        </w:tabs>
        <w:rPr>
          <w:noProof/>
        </w:rPr>
      </w:pPr>
      <w:r>
        <w:rPr>
          <w:noProof/>
        </w:rPr>
        <w:t>Quick K Calculator</w:t>
      </w:r>
      <w:r>
        <w:rPr>
          <w:noProof/>
        </w:rPr>
        <w:tab/>
        <w:t>118</w:t>
      </w:r>
    </w:p>
    <w:p w:rsidR="005028F8" w:rsidRPr="00A1587A" w:rsidRDefault="005028F8">
      <w:pPr>
        <w:pStyle w:val="IndexHeading"/>
        <w:keepNext/>
        <w:tabs>
          <w:tab w:val="right" w:leader="dot" w:pos="9350"/>
        </w:tabs>
        <w:rPr>
          <w:rFonts w:ascii="Calibri" w:hAnsi="Calibri"/>
          <w:b w:val="0"/>
          <w:bCs w:val="0"/>
          <w:noProof/>
        </w:rPr>
      </w:pPr>
      <w:r>
        <w:rPr>
          <w:noProof/>
        </w:rPr>
        <w:t>R</w:t>
      </w:r>
    </w:p>
    <w:p w:rsidR="005028F8" w:rsidRDefault="005028F8">
      <w:pPr>
        <w:pStyle w:val="Index1"/>
        <w:tabs>
          <w:tab w:val="right" w:leader="dot" w:pos="9350"/>
        </w:tabs>
        <w:rPr>
          <w:noProof/>
        </w:rPr>
      </w:pPr>
      <w:r>
        <w:rPr>
          <w:noProof/>
        </w:rPr>
        <w:t>Reagents</w:t>
      </w:r>
      <w:r>
        <w:rPr>
          <w:noProof/>
        </w:rPr>
        <w:tab/>
        <w:t>101</w:t>
      </w:r>
    </w:p>
    <w:p w:rsidR="005028F8" w:rsidRDefault="005028F8">
      <w:pPr>
        <w:pStyle w:val="Index1"/>
        <w:tabs>
          <w:tab w:val="right" w:leader="dot" w:pos="9350"/>
        </w:tabs>
        <w:rPr>
          <w:noProof/>
        </w:rPr>
      </w:pPr>
      <w:r>
        <w:rPr>
          <w:noProof/>
        </w:rPr>
        <w:t>Reagents and Supplies</w:t>
      </w:r>
      <w:r>
        <w:rPr>
          <w:noProof/>
        </w:rPr>
        <w:tab/>
        <w:t>94</w:t>
      </w:r>
    </w:p>
    <w:p w:rsidR="005028F8" w:rsidRDefault="005028F8">
      <w:pPr>
        <w:pStyle w:val="Index1"/>
        <w:tabs>
          <w:tab w:val="right" w:leader="dot" w:pos="9350"/>
        </w:tabs>
        <w:rPr>
          <w:noProof/>
        </w:rPr>
      </w:pPr>
      <w:r>
        <w:rPr>
          <w:noProof/>
        </w:rPr>
        <w:t>Recommended Report Usage</w:t>
      </w:r>
      <w:r>
        <w:rPr>
          <w:noProof/>
        </w:rPr>
        <w:tab/>
        <w:t>499</w:t>
      </w:r>
    </w:p>
    <w:p w:rsidR="005028F8" w:rsidRDefault="005028F8">
      <w:pPr>
        <w:pStyle w:val="Index1"/>
        <w:tabs>
          <w:tab w:val="right" w:leader="dot" w:pos="9350"/>
        </w:tabs>
        <w:rPr>
          <w:noProof/>
        </w:rPr>
      </w:pPr>
      <w:r>
        <w:rPr>
          <w:noProof/>
        </w:rPr>
        <w:t>References</w:t>
      </w:r>
      <w:r>
        <w:rPr>
          <w:noProof/>
        </w:rPr>
        <w:tab/>
        <w:t>369</w:t>
      </w:r>
    </w:p>
    <w:p w:rsidR="005028F8" w:rsidRDefault="005028F8">
      <w:pPr>
        <w:pStyle w:val="Index1"/>
        <w:tabs>
          <w:tab w:val="right" w:leader="dot" w:pos="9350"/>
        </w:tabs>
        <w:rPr>
          <w:noProof/>
        </w:rPr>
      </w:pPr>
      <w:r>
        <w:rPr>
          <w:noProof/>
        </w:rPr>
        <w:t>Related Manuals and Materials</w:t>
      </w:r>
      <w:r>
        <w:rPr>
          <w:noProof/>
        </w:rPr>
        <w:tab/>
        <w:t>2</w:t>
      </w:r>
    </w:p>
    <w:p w:rsidR="005028F8" w:rsidRDefault="005028F8">
      <w:pPr>
        <w:pStyle w:val="Index1"/>
        <w:tabs>
          <w:tab w:val="right" w:leader="dot" w:pos="9350"/>
        </w:tabs>
        <w:rPr>
          <w:noProof/>
        </w:rPr>
      </w:pPr>
      <w:r>
        <w:rPr>
          <w:noProof/>
        </w:rPr>
        <w:t>Remote Desktop Connections Screen Size</w:t>
      </w:r>
      <w:r>
        <w:rPr>
          <w:noProof/>
        </w:rPr>
        <w:tab/>
        <w:t>41</w:t>
      </w:r>
    </w:p>
    <w:p w:rsidR="005028F8" w:rsidRDefault="005028F8">
      <w:pPr>
        <w:pStyle w:val="Index1"/>
        <w:tabs>
          <w:tab w:val="right" w:leader="dot" w:pos="9350"/>
        </w:tabs>
        <w:rPr>
          <w:noProof/>
        </w:rPr>
      </w:pPr>
      <w:r>
        <w:rPr>
          <w:noProof/>
        </w:rPr>
        <w:t>Restore VistA Connection</w:t>
      </w:r>
      <w:r>
        <w:rPr>
          <w:noProof/>
        </w:rPr>
        <w:tab/>
        <w:t>39</w:t>
      </w:r>
    </w:p>
    <w:p w:rsidR="005028F8" w:rsidRPr="00A1587A" w:rsidRDefault="005028F8">
      <w:pPr>
        <w:pStyle w:val="IndexHeading"/>
        <w:keepNext/>
        <w:tabs>
          <w:tab w:val="right" w:leader="dot" w:pos="9350"/>
        </w:tabs>
        <w:rPr>
          <w:rFonts w:ascii="Calibri" w:hAnsi="Calibri"/>
          <w:b w:val="0"/>
          <w:bCs w:val="0"/>
          <w:noProof/>
        </w:rPr>
      </w:pPr>
      <w:r>
        <w:rPr>
          <w:noProof/>
        </w:rPr>
        <w:t>S</w:t>
      </w:r>
    </w:p>
    <w:p w:rsidR="005028F8" w:rsidRDefault="005028F8">
      <w:pPr>
        <w:pStyle w:val="Index1"/>
        <w:tabs>
          <w:tab w:val="right" w:leader="dot" w:pos="9350"/>
        </w:tabs>
        <w:rPr>
          <w:noProof/>
        </w:rPr>
      </w:pPr>
      <w:r>
        <w:rPr>
          <w:noProof/>
        </w:rPr>
        <w:t>Screen Display</w:t>
      </w:r>
      <w:r>
        <w:rPr>
          <w:noProof/>
        </w:rPr>
        <w:tab/>
        <w:t>43</w:t>
      </w:r>
    </w:p>
    <w:p w:rsidR="005028F8" w:rsidRDefault="005028F8">
      <w:pPr>
        <w:pStyle w:val="Index1"/>
        <w:tabs>
          <w:tab w:val="right" w:leader="dot" w:pos="9350"/>
        </w:tabs>
        <w:rPr>
          <w:noProof/>
        </w:rPr>
      </w:pPr>
      <w:r>
        <w:rPr>
          <w:noProof/>
        </w:rPr>
        <w:t>Screen Settings</w:t>
      </w:r>
      <w:r>
        <w:rPr>
          <w:noProof/>
        </w:rPr>
        <w:tab/>
        <w:t>40</w:t>
      </w:r>
    </w:p>
    <w:p w:rsidR="005028F8" w:rsidRDefault="005028F8">
      <w:pPr>
        <w:pStyle w:val="Index1"/>
        <w:tabs>
          <w:tab w:val="right" w:leader="dot" w:pos="9350"/>
        </w:tabs>
        <w:rPr>
          <w:noProof/>
        </w:rPr>
      </w:pPr>
      <w:r>
        <w:rPr>
          <w:noProof/>
        </w:rPr>
        <w:t>Search Tab</w:t>
      </w:r>
      <w:r>
        <w:rPr>
          <w:noProof/>
        </w:rPr>
        <w:tab/>
        <w:t>30</w:t>
      </w:r>
    </w:p>
    <w:p w:rsidR="005028F8" w:rsidRDefault="005028F8">
      <w:pPr>
        <w:pStyle w:val="Index1"/>
        <w:tabs>
          <w:tab w:val="right" w:leader="dot" w:pos="9350"/>
        </w:tabs>
        <w:rPr>
          <w:noProof/>
        </w:rPr>
      </w:pPr>
      <w:r>
        <w:rPr>
          <w:noProof/>
        </w:rPr>
        <w:t>Searching the Database</w:t>
      </w:r>
      <w:r>
        <w:rPr>
          <w:noProof/>
        </w:rPr>
        <w:tab/>
        <w:t>13</w:t>
      </w:r>
    </w:p>
    <w:p w:rsidR="005028F8" w:rsidRDefault="005028F8">
      <w:pPr>
        <w:pStyle w:val="Index1"/>
        <w:tabs>
          <w:tab w:val="right" w:leader="dot" w:pos="9350"/>
        </w:tabs>
        <w:rPr>
          <w:noProof/>
        </w:rPr>
      </w:pPr>
      <w:r>
        <w:rPr>
          <w:noProof/>
        </w:rPr>
        <w:t>Security</w:t>
      </w:r>
      <w:r>
        <w:rPr>
          <w:noProof/>
        </w:rPr>
        <w:tab/>
        <w:t>4</w:t>
      </w:r>
    </w:p>
    <w:p w:rsidR="005028F8" w:rsidRDefault="005028F8">
      <w:pPr>
        <w:pStyle w:val="Index1"/>
        <w:tabs>
          <w:tab w:val="right" w:leader="dot" w:pos="9350"/>
        </w:tabs>
        <w:rPr>
          <w:noProof/>
        </w:rPr>
      </w:pPr>
      <w:r>
        <w:rPr>
          <w:noProof/>
        </w:rPr>
        <w:t>Setting Transfusion Parameters</w:t>
      </w:r>
      <w:r>
        <w:rPr>
          <w:noProof/>
        </w:rPr>
        <w:tab/>
        <w:t>87</w:t>
      </w:r>
    </w:p>
    <w:p w:rsidR="005028F8" w:rsidRDefault="005028F8">
      <w:pPr>
        <w:pStyle w:val="Index1"/>
        <w:tabs>
          <w:tab w:val="right" w:leader="dot" w:pos="9350"/>
        </w:tabs>
        <w:rPr>
          <w:noProof/>
        </w:rPr>
      </w:pPr>
      <w:r>
        <w:rPr>
          <w:noProof/>
        </w:rPr>
        <w:t>Shipments</w:t>
      </w:r>
      <w:r>
        <w:rPr>
          <w:noProof/>
        </w:rPr>
        <w:tab/>
        <w:t>117</w:t>
      </w:r>
    </w:p>
    <w:p w:rsidR="005028F8" w:rsidRDefault="005028F8">
      <w:pPr>
        <w:pStyle w:val="Index1"/>
        <w:tabs>
          <w:tab w:val="right" w:leader="dot" w:pos="9350"/>
        </w:tabs>
        <w:rPr>
          <w:noProof/>
        </w:rPr>
      </w:pPr>
      <w:r>
        <w:rPr>
          <w:noProof/>
        </w:rPr>
        <w:t>Software Basics</w:t>
      </w:r>
      <w:r>
        <w:rPr>
          <w:noProof/>
        </w:rPr>
        <w:tab/>
        <w:t>10</w:t>
      </w:r>
    </w:p>
    <w:p w:rsidR="005028F8" w:rsidRDefault="005028F8">
      <w:pPr>
        <w:pStyle w:val="Index1"/>
        <w:tabs>
          <w:tab w:val="right" w:leader="dot" w:pos="9350"/>
        </w:tabs>
        <w:rPr>
          <w:noProof/>
        </w:rPr>
      </w:pPr>
      <w:r>
        <w:rPr>
          <w:noProof/>
        </w:rPr>
        <w:t>Sound</w:t>
      </w:r>
      <w:r>
        <w:rPr>
          <w:noProof/>
        </w:rPr>
        <w:tab/>
        <w:t>44</w:t>
      </w:r>
    </w:p>
    <w:p w:rsidR="005028F8" w:rsidRDefault="005028F8">
      <w:pPr>
        <w:pStyle w:val="Index1"/>
        <w:tabs>
          <w:tab w:val="right" w:leader="dot" w:pos="9350"/>
        </w:tabs>
        <w:rPr>
          <w:noProof/>
        </w:rPr>
      </w:pPr>
      <w:r>
        <w:rPr>
          <w:noProof/>
        </w:rPr>
        <w:t>Special Instructions &amp; Transfusion Requirements: Enter and Remove Special Instructions</w:t>
      </w:r>
      <w:r>
        <w:rPr>
          <w:noProof/>
        </w:rPr>
        <w:tab/>
        <w:t>301</w:t>
      </w:r>
    </w:p>
    <w:p w:rsidR="005028F8" w:rsidRDefault="005028F8">
      <w:pPr>
        <w:pStyle w:val="Index1"/>
        <w:tabs>
          <w:tab w:val="right" w:leader="dot" w:pos="9350"/>
        </w:tabs>
        <w:rPr>
          <w:noProof/>
        </w:rPr>
      </w:pPr>
      <w:r>
        <w:rPr>
          <w:noProof/>
        </w:rPr>
        <w:t>Supplemental Information</w:t>
      </w:r>
      <w:r>
        <w:rPr>
          <w:noProof/>
        </w:rPr>
        <w:tab/>
        <w:t>4</w:t>
      </w:r>
    </w:p>
    <w:p w:rsidR="005028F8" w:rsidRDefault="005028F8">
      <w:pPr>
        <w:pStyle w:val="Index1"/>
        <w:tabs>
          <w:tab w:val="right" w:leader="dot" w:pos="9350"/>
        </w:tabs>
        <w:rPr>
          <w:noProof/>
        </w:rPr>
      </w:pPr>
      <w:r>
        <w:rPr>
          <w:noProof/>
        </w:rPr>
        <w:t>Supplies</w:t>
      </w:r>
      <w:r>
        <w:rPr>
          <w:noProof/>
        </w:rPr>
        <w:tab/>
        <w:t>107</w:t>
      </w:r>
    </w:p>
    <w:p w:rsidR="005028F8" w:rsidRDefault="005028F8">
      <w:pPr>
        <w:pStyle w:val="Index1"/>
        <w:tabs>
          <w:tab w:val="right" w:leader="dot" w:pos="9350"/>
        </w:tabs>
        <w:rPr>
          <w:noProof/>
        </w:rPr>
      </w:pPr>
      <w:r>
        <w:rPr>
          <w:noProof/>
        </w:rPr>
        <w:t>System Responses to Active Transfusion Requirements in Select Unit and Issue Blood Component</w:t>
      </w:r>
      <w:r>
        <w:rPr>
          <w:noProof/>
        </w:rPr>
        <w:tab/>
        <w:t>505</w:t>
      </w:r>
    </w:p>
    <w:p w:rsidR="005028F8" w:rsidRDefault="005028F8">
      <w:pPr>
        <w:pStyle w:val="Index1"/>
        <w:tabs>
          <w:tab w:val="right" w:leader="dot" w:pos="9350"/>
        </w:tabs>
        <w:rPr>
          <w:noProof/>
        </w:rPr>
      </w:pPr>
      <w:r>
        <w:rPr>
          <w:noProof/>
        </w:rPr>
        <w:t>System Validation</w:t>
      </w:r>
    </w:p>
    <w:p w:rsidR="005028F8" w:rsidRDefault="005028F8">
      <w:pPr>
        <w:pStyle w:val="Index2"/>
        <w:tabs>
          <w:tab w:val="right" w:leader="dot" w:pos="9350"/>
        </w:tabs>
        <w:rPr>
          <w:noProof/>
        </w:rPr>
      </w:pPr>
      <w:r w:rsidRPr="00813AC6">
        <w:rPr>
          <w:noProof/>
          <w:snapToGrid w:val="0"/>
        </w:rPr>
        <w:t>Antibodies</w:t>
      </w:r>
      <w:r>
        <w:rPr>
          <w:noProof/>
        </w:rPr>
        <w:tab/>
        <w:t>481</w:t>
      </w:r>
    </w:p>
    <w:p w:rsidR="005028F8" w:rsidRDefault="005028F8">
      <w:pPr>
        <w:pStyle w:val="Index2"/>
        <w:tabs>
          <w:tab w:val="right" w:leader="dot" w:pos="9350"/>
        </w:tabs>
        <w:rPr>
          <w:noProof/>
        </w:rPr>
      </w:pPr>
      <w:r>
        <w:rPr>
          <w:noProof/>
        </w:rPr>
        <w:t>Blood Products</w:t>
      </w:r>
      <w:r>
        <w:rPr>
          <w:noProof/>
        </w:rPr>
        <w:tab/>
        <w:t>475</w:t>
      </w:r>
    </w:p>
    <w:p w:rsidR="005028F8" w:rsidRDefault="005028F8">
      <w:pPr>
        <w:pStyle w:val="Index2"/>
        <w:tabs>
          <w:tab w:val="right" w:leader="dot" w:pos="9350"/>
        </w:tabs>
        <w:rPr>
          <w:noProof/>
        </w:rPr>
      </w:pPr>
      <w:r w:rsidRPr="00813AC6">
        <w:rPr>
          <w:noProof/>
          <w:snapToGrid w:val="0"/>
        </w:rPr>
        <w:t xml:space="preserve">Canned </w:t>
      </w:r>
      <w:r>
        <w:rPr>
          <w:noProof/>
        </w:rPr>
        <w:t>Comments</w:t>
      </w:r>
      <w:r>
        <w:rPr>
          <w:noProof/>
        </w:rPr>
        <w:tab/>
        <w:t>480</w:t>
      </w:r>
    </w:p>
    <w:p w:rsidR="005028F8" w:rsidRDefault="005028F8">
      <w:pPr>
        <w:pStyle w:val="Index2"/>
        <w:tabs>
          <w:tab w:val="right" w:leader="dot" w:pos="9350"/>
        </w:tabs>
        <w:rPr>
          <w:noProof/>
        </w:rPr>
      </w:pPr>
      <w:r>
        <w:rPr>
          <w:noProof/>
        </w:rPr>
        <w:t>Component Classes</w:t>
      </w:r>
      <w:r>
        <w:rPr>
          <w:noProof/>
        </w:rPr>
        <w:tab/>
        <w:t>477</w:t>
      </w:r>
    </w:p>
    <w:p w:rsidR="005028F8" w:rsidRDefault="005028F8">
      <w:pPr>
        <w:pStyle w:val="Index2"/>
        <w:tabs>
          <w:tab w:val="right" w:leader="dot" w:pos="9350"/>
        </w:tabs>
        <w:rPr>
          <w:noProof/>
        </w:rPr>
      </w:pPr>
      <w:r>
        <w:rPr>
          <w:noProof/>
        </w:rPr>
        <w:t>Configure Daily QC: Full Service</w:t>
      </w:r>
      <w:r>
        <w:rPr>
          <w:noProof/>
        </w:rPr>
        <w:tab/>
        <w:t>472</w:t>
      </w:r>
    </w:p>
    <w:p w:rsidR="005028F8" w:rsidRDefault="005028F8">
      <w:pPr>
        <w:pStyle w:val="Index2"/>
        <w:tabs>
          <w:tab w:val="right" w:leader="dot" w:pos="9350"/>
        </w:tabs>
        <w:rPr>
          <w:noProof/>
        </w:rPr>
      </w:pPr>
      <w:r>
        <w:rPr>
          <w:noProof/>
        </w:rPr>
        <w:t>Configure Division</w:t>
      </w:r>
      <w:r>
        <w:rPr>
          <w:noProof/>
        </w:rPr>
        <w:tab/>
        <w:t>469</w:t>
      </w:r>
    </w:p>
    <w:p w:rsidR="005028F8" w:rsidRDefault="005028F8">
      <w:pPr>
        <w:pStyle w:val="Index2"/>
        <w:tabs>
          <w:tab w:val="right" w:leader="dot" w:pos="9350"/>
        </w:tabs>
        <w:rPr>
          <w:noProof/>
        </w:rPr>
      </w:pPr>
      <w:r>
        <w:rPr>
          <w:noProof/>
        </w:rPr>
        <w:t>Configure Testing: Full Service</w:t>
      </w:r>
      <w:r>
        <w:rPr>
          <w:noProof/>
        </w:rPr>
        <w:tab/>
        <w:t>469</w:t>
      </w:r>
    </w:p>
    <w:p w:rsidR="005028F8" w:rsidRDefault="005028F8">
      <w:pPr>
        <w:pStyle w:val="Index2"/>
        <w:tabs>
          <w:tab w:val="right" w:leader="dot" w:pos="9350"/>
        </w:tabs>
        <w:rPr>
          <w:noProof/>
        </w:rPr>
      </w:pPr>
      <w:r w:rsidRPr="00813AC6">
        <w:rPr>
          <w:noProof/>
          <w:snapToGrid w:val="0"/>
        </w:rPr>
        <w:t>Edit Invoice Text</w:t>
      </w:r>
      <w:r>
        <w:rPr>
          <w:noProof/>
        </w:rPr>
        <w:tab/>
        <w:t>480</w:t>
      </w:r>
    </w:p>
    <w:p w:rsidR="005028F8" w:rsidRDefault="005028F8">
      <w:pPr>
        <w:pStyle w:val="Index2"/>
        <w:tabs>
          <w:tab w:val="right" w:leader="dot" w:pos="9350"/>
        </w:tabs>
        <w:rPr>
          <w:noProof/>
        </w:rPr>
      </w:pPr>
      <w:r>
        <w:rPr>
          <w:noProof/>
        </w:rPr>
        <w:t>Installation Qualification</w:t>
      </w:r>
      <w:r>
        <w:rPr>
          <w:noProof/>
        </w:rPr>
        <w:tab/>
        <w:t>467</w:t>
      </w:r>
    </w:p>
    <w:p w:rsidR="005028F8" w:rsidRDefault="005028F8">
      <w:pPr>
        <w:pStyle w:val="Index2"/>
        <w:tabs>
          <w:tab w:val="right" w:leader="dot" w:pos="9350"/>
        </w:tabs>
        <w:rPr>
          <w:noProof/>
        </w:rPr>
      </w:pPr>
      <w:r>
        <w:rPr>
          <w:noProof/>
        </w:rPr>
        <w:t>Introduction</w:t>
      </w:r>
      <w:r>
        <w:rPr>
          <w:noProof/>
        </w:rPr>
        <w:tab/>
        <w:t>467</w:t>
      </w:r>
    </w:p>
    <w:p w:rsidR="005028F8" w:rsidRDefault="005028F8">
      <w:pPr>
        <w:pStyle w:val="Index2"/>
        <w:tabs>
          <w:tab w:val="right" w:leader="dot" w:pos="9350"/>
        </w:tabs>
        <w:rPr>
          <w:noProof/>
        </w:rPr>
      </w:pPr>
      <w:r>
        <w:rPr>
          <w:noProof/>
        </w:rPr>
        <w:t>Local Facilities</w:t>
      </w:r>
      <w:r>
        <w:rPr>
          <w:noProof/>
        </w:rPr>
        <w:tab/>
        <w:t>476</w:t>
      </w:r>
    </w:p>
    <w:p w:rsidR="005028F8" w:rsidRDefault="005028F8">
      <w:pPr>
        <w:pStyle w:val="Index2"/>
        <w:tabs>
          <w:tab w:val="right" w:leader="dot" w:pos="9350"/>
        </w:tabs>
        <w:rPr>
          <w:noProof/>
        </w:rPr>
      </w:pPr>
      <w:r>
        <w:rPr>
          <w:noProof/>
        </w:rPr>
        <w:t>Log In Reagents: Full Service</w:t>
      </w:r>
      <w:r>
        <w:rPr>
          <w:noProof/>
        </w:rPr>
        <w:tab/>
        <w:t>474</w:t>
      </w:r>
    </w:p>
    <w:p w:rsidR="005028F8" w:rsidRDefault="005028F8">
      <w:pPr>
        <w:pStyle w:val="Index2"/>
        <w:tabs>
          <w:tab w:val="right" w:leader="dot" w:pos="9350"/>
        </w:tabs>
        <w:rPr>
          <w:noProof/>
        </w:rPr>
      </w:pPr>
      <w:r>
        <w:rPr>
          <w:noProof/>
        </w:rPr>
        <w:t>Maintain Minimum Levels: Full Service</w:t>
      </w:r>
      <w:r>
        <w:rPr>
          <w:noProof/>
        </w:rPr>
        <w:tab/>
        <w:t>473</w:t>
      </w:r>
    </w:p>
    <w:p w:rsidR="005028F8" w:rsidRDefault="005028F8">
      <w:pPr>
        <w:pStyle w:val="Index2"/>
        <w:tabs>
          <w:tab w:val="right" w:leader="dot" w:pos="9350"/>
        </w:tabs>
        <w:rPr>
          <w:noProof/>
        </w:rPr>
      </w:pPr>
      <w:r>
        <w:rPr>
          <w:noProof/>
        </w:rPr>
        <w:t>MSBOS</w:t>
      </w:r>
      <w:r>
        <w:rPr>
          <w:noProof/>
        </w:rPr>
        <w:tab/>
        <w:t>480</w:t>
      </w:r>
    </w:p>
    <w:p w:rsidR="005028F8" w:rsidRDefault="005028F8">
      <w:pPr>
        <w:pStyle w:val="Index2"/>
        <w:tabs>
          <w:tab w:val="right" w:leader="dot" w:pos="9350"/>
        </w:tabs>
        <w:rPr>
          <w:noProof/>
        </w:rPr>
      </w:pPr>
      <w:r>
        <w:rPr>
          <w:noProof/>
        </w:rPr>
        <w:t>Operational Qualification</w:t>
      </w:r>
      <w:r>
        <w:rPr>
          <w:noProof/>
        </w:rPr>
        <w:tab/>
        <w:t>467</w:t>
      </w:r>
    </w:p>
    <w:p w:rsidR="005028F8" w:rsidRDefault="005028F8">
      <w:pPr>
        <w:pStyle w:val="Index2"/>
        <w:tabs>
          <w:tab w:val="right" w:leader="dot" w:pos="9350"/>
        </w:tabs>
        <w:rPr>
          <w:noProof/>
        </w:rPr>
      </w:pPr>
      <w:r>
        <w:rPr>
          <w:noProof/>
        </w:rPr>
        <w:t>Order Alerts</w:t>
      </w:r>
      <w:r>
        <w:rPr>
          <w:noProof/>
        </w:rPr>
        <w:tab/>
        <w:t>471</w:t>
      </w:r>
    </w:p>
    <w:p w:rsidR="005028F8" w:rsidRDefault="005028F8">
      <w:pPr>
        <w:pStyle w:val="Index2"/>
        <w:tabs>
          <w:tab w:val="right" w:leader="dot" w:pos="9350"/>
        </w:tabs>
        <w:rPr>
          <w:noProof/>
        </w:rPr>
      </w:pPr>
      <w:r>
        <w:rPr>
          <w:noProof/>
        </w:rPr>
        <w:t>Performance Qualification</w:t>
      </w:r>
      <w:r>
        <w:rPr>
          <w:noProof/>
        </w:rPr>
        <w:tab/>
        <w:t>468</w:t>
      </w:r>
    </w:p>
    <w:p w:rsidR="005028F8" w:rsidRDefault="005028F8">
      <w:pPr>
        <w:pStyle w:val="Index2"/>
        <w:tabs>
          <w:tab w:val="right" w:leader="dot" w:pos="9350"/>
        </w:tabs>
        <w:rPr>
          <w:noProof/>
        </w:rPr>
      </w:pPr>
      <w:r>
        <w:rPr>
          <w:noProof/>
        </w:rPr>
        <w:t>Prerequisites</w:t>
      </w:r>
      <w:r>
        <w:rPr>
          <w:noProof/>
        </w:rPr>
        <w:tab/>
        <w:t>468</w:t>
      </w:r>
    </w:p>
    <w:p w:rsidR="005028F8" w:rsidRDefault="005028F8">
      <w:pPr>
        <w:pStyle w:val="Index2"/>
        <w:tabs>
          <w:tab w:val="right" w:leader="dot" w:pos="9350"/>
        </w:tabs>
        <w:rPr>
          <w:noProof/>
        </w:rPr>
      </w:pPr>
      <w:r>
        <w:rPr>
          <w:noProof/>
        </w:rPr>
        <w:t>Product Modifications: Full Service</w:t>
      </w:r>
      <w:r>
        <w:rPr>
          <w:noProof/>
        </w:rPr>
        <w:tab/>
        <w:t>470</w:t>
      </w:r>
    </w:p>
    <w:p w:rsidR="005028F8" w:rsidRDefault="005028F8">
      <w:pPr>
        <w:pStyle w:val="Index2"/>
        <w:tabs>
          <w:tab w:val="right" w:leader="dot" w:pos="9350"/>
        </w:tabs>
        <w:rPr>
          <w:noProof/>
        </w:rPr>
      </w:pPr>
      <w:r>
        <w:rPr>
          <w:noProof/>
        </w:rPr>
        <w:t>Record System Settings</w:t>
      </w:r>
      <w:r>
        <w:rPr>
          <w:noProof/>
        </w:rPr>
        <w:tab/>
        <w:t>469</w:t>
      </w:r>
    </w:p>
    <w:p w:rsidR="005028F8" w:rsidRDefault="005028F8">
      <w:pPr>
        <w:pStyle w:val="Index2"/>
        <w:tabs>
          <w:tab w:val="right" w:leader="dot" w:pos="9350"/>
        </w:tabs>
        <w:rPr>
          <w:noProof/>
        </w:rPr>
      </w:pPr>
      <w:r w:rsidRPr="00813AC6">
        <w:rPr>
          <w:noProof/>
          <w:snapToGrid w:val="0"/>
        </w:rPr>
        <w:t>Testing</w:t>
      </w:r>
      <w:r>
        <w:rPr>
          <w:noProof/>
        </w:rPr>
        <w:tab/>
        <w:t>482</w:t>
      </w:r>
    </w:p>
    <w:p w:rsidR="005028F8" w:rsidRDefault="005028F8">
      <w:pPr>
        <w:pStyle w:val="Index2"/>
        <w:tabs>
          <w:tab w:val="right" w:leader="dot" w:pos="9350"/>
        </w:tabs>
        <w:rPr>
          <w:noProof/>
        </w:rPr>
      </w:pPr>
      <w:r>
        <w:rPr>
          <w:noProof/>
        </w:rPr>
        <w:lastRenderedPageBreak/>
        <w:t>Transfusion Complications</w:t>
      </w:r>
      <w:r>
        <w:rPr>
          <w:noProof/>
        </w:rPr>
        <w:tab/>
        <w:t>478</w:t>
      </w:r>
    </w:p>
    <w:p w:rsidR="005028F8" w:rsidRDefault="005028F8">
      <w:pPr>
        <w:pStyle w:val="Index2"/>
        <w:tabs>
          <w:tab w:val="right" w:leader="dot" w:pos="9350"/>
        </w:tabs>
        <w:rPr>
          <w:noProof/>
        </w:rPr>
      </w:pPr>
      <w:r>
        <w:rPr>
          <w:noProof/>
        </w:rPr>
        <w:t>Transfusion Effectiveness</w:t>
      </w:r>
      <w:r>
        <w:rPr>
          <w:noProof/>
        </w:rPr>
        <w:tab/>
        <w:t>479</w:t>
      </w:r>
    </w:p>
    <w:p w:rsidR="005028F8" w:rsidRDefault="005028F8">
      <w:pPr>
        <w:pStyle w:val="Index2"/>
        <w:tabs>
          <w:tab w:val="right" w:leader="dot" w:pos="9350"/>
        </w:tabs>
        <w:rPr>
          <w:noProof/>
        </w:rPr>
      </w:pPr>
      <w:r>
        <w:rPr>
          <w:noProof/>
        </w:rPr>
        <w:t>Update User Roles</w:t>
      </w:r>
      <w:r>
        <w:rPr>
          <w:noProof/>
        </w:rPr>
        <w:tab/>
        <w:t>482</w:t>
      </w:r>
    </w:p>
    <w:p w:rsidR="005028F8" w:rsidRDefault="005028F8">
      <w:pPr>
        <w:pStyle w:val="Index2"/>
        <w:tabs>
          <w:tab w:val="right" w:leader="dot" w:pos="9350"/>
        </w:tabs>
        <w:rPr>
          <w:noProof/>
        </w:rPr>
      </w:pPr>
      <w:r>
        <w:rPr>
          <w:noProof/>
        </w:rPr>
        <w:t>Validation Plan</w:t>
      </w:r>
      <w:r>
        <w:rPr>
          <w:noProof/>
        </w:rPr>
        <w:tab/>
        <w:t>467</w:t>
      </w:r>
    </w:p>
    <w:p w:rsidR="005028F8" w:rsidRDefault="005028F8">
      <w:pPr>
        <w:pStyle w:val="Index2"/>
        <w:tabs>
          <w:tab w:val="right" w:leader="dot" w:pos="9350"/>
        </w:tabs>
        <w:rPr>
          <w:noProof/>
        </w:rPr>
      </w:pPr>
      <w:r>
        <w:rPr>
          <w:noProof/>
        </w:rPr>
        <w:t>VBECS Forms and Reports</w:t>
      </w:r>
      <w:r>
        <w:rPr>
          <w:noProof/>
        </w:rPr>
        <w:tab/>
        <w:t>483</w:t>
      </w:r>
    </w:p>
    <w:p w:rsidR="005028F8" w:rsidRDefault="005028F8">
      <w:pPr>
        <w:pStyle w:val="Index2"/>
        <w:tabs>
          <w:tab w:val="right" w:leader="dot" w:pos="9350"/>
        </w:tabs>
        <w:rPr>
          <w:noProof/>
        </w:rPr>
      </w:pPr>
      <w:r w:rsidRPr="00813AC6">
        <w:rPr>
          <w:noProof/>
          <w:snapToGrid w:val="0"/>
        </w:rPr>
        <w:t>Workload Codes</w:t>
      </w:r>
      <w:r>
        <w:rPr>
          <w:noProof/>
        </w:rPr>
        <w:tab/>
        <w:t>480</w:t>
      </w:r>
    </w:p>
    <w:p w:rsidR="005028F8" w:rsidRDefault="005028F8">
      <w:pPr>
        <w:pStyle w:val="Index1"/>
        <w:tabs>
          <w:tab w:val="right" w:leader="dot" w:pos="9350"/>
        </w:tabs>
        <w:rPr>
          <w:noProof/>
        </w:rPr>
      </w:pPr>
      <w:r>
        <w:rPr>
          <w:noProof/>
        </w:rPr>
        <w:t>System Validation</w:t>
      </w:r>
      <w:r>
        <w:rPr>
          <w:noProof/>
        </w:rPr>
        <w:tab/>
        <w:t>467</w:t>
      </w:r>
    </w:p>
    <w:p w:rsidR="005028F8" w:rsidRPr="00A1587A" w:rsidRDefault="005028F8">
      <w:pPr>
        <w:pStyle w:val="IndexHeading"/>
        <w:keepNext/>
        <w:tabs>
          <w:tab w:val="right" w:leader="dot" w:pos="9350"/>
        </w:tabs>
        <w:rPr>
          <w:rFonts w:ascii="Calibri" w:hAnsi="Calibri"/>
          <w:b w:val="0"/>
          <w:bCs w:val="0"/>
          <w:noProof/>
        </w:rPr>
      </w:pPr>
      <w:r>
        <w:rPr>
          <w:noProof/>
        </w:rPr>
        <w:t>T</w:t>
      </w:r>
    </w:p>
    <w:p w:rsidR="005028F8" w:rsidRDefault="005028F8">
      <w:pPr>
        <w:pStyle w:val="Index1"/>
        <w:tabs>
          <w:tab w:val="right" w:leader="dot" w:pos="9350"/>
        </w:tabs>
        <w:rPr>
          <w:noProof/>
        </w:rPr>
      </w:pPr>
      <w:r>
        <w:rPr>
          <w:noProof/>
        </w:rPr>
        <w:t>Tables</w:t>
      </w:r>
    </w:p>
    <w:p w:rsidR="005028F8" w:rsidRDefault="005028F8">
      <w:pPr>
        <w:pStyle w:val="Index2"/>
        <w:tabs>
          <w:tab w:val="right" w:leader="dot" w:pos="9350"/>
        </w:tabs>
        <w:rPr>
          <w:noProof/>
        </w:rPr>
      </w:pPr>
      <w:r>
        <w:rPr>
          <w:noProof/>
        </w:rPr>
        <w:t>Alerts That May Occur in Issue Blood Components (Emergency)</w:t>
      </w:r>
      <w:r>
        <w:rPr>
          <w:noProof/>
        </w:rPr>
        <w:tab/>
        <w:t>203</w:t>
      </w:r>
    </w:p>
    <w:p w:rsidR="005028F8" w:rsidRDefault="005028F8">
      <w:pPr>
        <w:pStyle w:val="Index2"/>
        <w:tabs>
          <w:tab w:val="right" w:leader="dot" w:pos="9350"/>
        </w:tabs>
        <w:rPr>
          <w:noProof/>
        </w:rPr>
      </w:pPr>
      <w:r>
        <w:rPr>
          <w:noProof/>
        </w:rPr>
        <w:t>Alerts That May Occur in Issue Blood Components (Routine)</w:t>
      </w:r>
      <w:r>
        <w:rPr>
          <w:noProof/>
        </w:rPr>
        <w:tab/>
        <w:t>201</w:t>
      </w:r>
    </w:p>
    <w:p w:rsidR="005028F8" w:rsidRDefault="005028F8">
      <w:pPr>
        <w:pStyle w:val="Index2"/>
        <w:tabs>
          <w:tab w:val="right" w:leader="dot" w:pos="9350"/>
        </w:tabs>
        <w:rPr>
          <w:noProof/>
        </w:rPr>
      </w:pPr>
      <w:r>
        <w:rPr>
          <w:noProof/>
        </w:rPr>
        <w:t>Alerts That May Occur in Modify Units</w:t>
      </w:r>
      <w:r>
        <w:rPr>
          <w:noProof/>
        </w:rPr>
        <w:tab/>
        <w:t>158</w:t>
      </w:r>
    </w:p>
    <w:p w:rsidR="005028F8" w:rsidRDefault="005028F8">
      <w:pPr>
        <w:pStyle w:val="Index2"/>
        <w:tabs>
          <w:tab w:val="right" w:leader="dot" w:pos="9350"/>
        </w:tabs>
        <w:rPr>
          <w:noProof/>
        </w:rPr>
      </w:pPr>
      <w:r>
        <w:rPr>
          <w:noProof/>
        </w:rPr>
        <w:t>Alerts That May Occur in Patient Testing</w:t>
      </w:r>
    </w:p>
    <w:p w:rsidR="005028F8" w:rsidRDefault="005028F8">
      <w:pPr>
        <w:pStyle w:val="Index3"/>
        <w:tabs>
          <w:tab w:val="right" w:leader="dot" w:pos="9350"/>
        </w:tabs>
        <w:rPr>
          <w:noProof/>
        </w:rPr>
      </w:pPr>
      <w:r>
        <w:rPr>
          <w:noProof/>
        </w:rPr>
        <w:t>General Instructions</w:t>
      </w:r>
      <w:r>
        <w:rPr>
          <w:noProof/>
        </w:rPr>
        <w:tab/>
        <w:t>261</w:t>
      </w:r>
    </w:p>
    <w:p w:rsidR="005028F8" w:rsidRDefault="005028F8">
      <w:pPr>
        <w:pStyle w:val="Index2"/>
        <w:tabs>
          <w:tab w:val="right" w:leader="dot" w:pos="9350"/>
        </w:tabs>
        <w:rPr>
          <w:noProof/>
        </w:rPr>
      </w:pPr>
      <w:r>
        <w:rPr>
          <w:noProof/>
        </w:rPr>
        <w:t>Alerts That May Occur in Print Unit Caution Tag &amp; Transfusion Record Form</w:t>
      </w:r>
      <w:r>
        <w:rPr>
          <w:noProof/>
        </w:rPr>
        <w:tab/>
        <w:t>215</w:t>
      </w:r>
    </w:p>
    <w:p w:rsidR="005028F8" w:rsidRDefault="005028F8">
      <w:pPr>
        <w:pStyle w:val="Index2"/>
        <w:tabs>
          <w:tab w:val="right" w:leader="dot" w:pos="9350"/>
        </w:tabs>
        <w:rPr>
          <w:noProof/>
        </w:rPr>
      </w:pPr>
      <w:r>
        <w:rPr>
          <w:noProof/>
        </w:rPr>
        <w:t>Alerts That May Occur in Select Units</w:t>
      </w:r>
      <w:r>
        <w:rPr>
          <w:noProof/>
        </w:rPr>
        <w:tab/>
        <w:t>190</w:t>
      </w:r>
    </w:p>
    <w:p w:rsidR="005028F8" w:rsidRDefault="005028F8">
      <w:pPr>
        <w:pStyle w:val="Index2"/>
        <w:tabs>
          <w:tab w:val="right" w:leader="dot" w:pos="9350"/>
        </w:tabs>
        <w:rPr>
          <w:noProof/>
        </w:rPr>
      </w:pPr>
      <w:r>
        <w:rPr>
          <w:noProof/>
        </w:rPr>
        <w:t>Allowable Product Modifications by Original Product Type</w:t>
      </w:r>
      <w:r>
        <w:rPr>
          <w:noProof/>
        </w:rPr>
        <w:tab/>
        <w:t>416</w:t>
      </w:r>
    </w:p>
    <w:p w:rsidR="005028F8" w:rsidRDefault="005028F8">
      <w:pPr>
        <w:pStyle w:val="Index2"/>
        <w:tabs>
          <w:tab w:val="right" w:leader="dot" w:pos="9350"/>
        </w:tabs>
        <w:rPr>
          <w:noProof/>
        </w:rPr>
      </w:pPr>
      <w:r>
        <w:rPr>
          <w:noProof/>
        </w:rPr>
        <w:t>Antibody and Antigen Table, Database Conversion</w:t>
      </w:r>
      <w:r>
        <w:rPr>
          <w:noProof/>
        </w:rPr>
        <w:tab/>
        <w:t>396</w:t>
      </w:r>
    </w:p>
    <w:p w:rsidR="005028F8" w:rsidRDefault="005028F8">
      <w:pPr>
        <w:pStyle w:val="Index2"/>
        <w:tabs>
          <w:tab w:val="right" w:leader="dot" w:pos="9350"/>
        </w:tabs>
        <w:rPr>
          <w:noProof/>
        </w:rPr>
      </w:pPr>
      <w:r>
        <w:rPr>
          <w:noProof/>
        </w:rPr>
        <w:t>Antibody and Antigen Table, Irregular Antibodies</w:t>
      </w:r>
      <w:r>
        <w:rPr>
          <w:noProof/>
        </w:rPr>
        <w:tab/>
        <w:t>393</w:t>
      </w:r>
    </w:p>
    <w:p w:rsidR="005028F8" w:rsidRDefault="005028F8">
      <w:pPr>
        <w:pStyle w:val="Index2"/>
        <w:tabs>
          <w:tab w:val="right" w:leader="dot" w:pos="9350"/>
        </w:tabs>
        <w:rPr>
          <w:noProof/>
        </w:rPr>
      </w:pPr>
      <w:r>
        <w:rPr>
          <w:noProof/>
        </w:rPr>
        <w:t>Antibody Screen Test Interpretation</w:t>
      </w:r>
      <w:r>
        <w:rPr>
          <w:noProof/>
        </w:rPr>
        <w:tab/>
        <w:t>397</w:t>
      </w:r>
    </w:p>
    <w:p w:rsidR="005028F8" w:rsidRDefault="005028F8">
      <w:pPr>
        <w:pStyle w:val="Index2"/>
        <w:tabs>
          <w:tab w:val="right" w:leader="dot" w:pos="9350"/>
        </w:tabs>
        <w:rPr>
          <w:noProof/>
        </w:rPr>
      </w:pPr>
      <w:r>
        <w:rPr>
          <w:noProof/>
        </w:rPr>
        <w:t>BCE COTS Message Updates</w:t>
      </w:r>
      <w:r>
        <w:rPr>
          <w:noProof/>
        </w:rPr>
        <w:tab/>
        <w:t>429</w:t>
      </w:r>
    </w:p>
    <w:p w:rsidR="005028F8" w:rsidRDefault="005028F8">
      <w:pPr>
        <w:pStyle w:val="Index2"/>
        <w:tabs>
          <w:tab w:val="right" w:leader="dot" w:pos="9350"/>
        </w:tabs>
        <w:rPr>
          <w:noProof/>
        </w:rPr>
      </w:pPr>
      <w:r>
        <w:rPr>
          <w:noProof/>
        </w:rPr>
        <w:t>Blood Products Worksheet</w:t>
      </w:r>
      <w:r>
        <w:rPr>
          <w:noProof/>
        </w:rPr>
        <w:tab/>
        <w:t>475</w:t>
      </w:r>
    </w:p>
    <w:p w:rsidR="005028F8" w:rsidRDefault="005028F8">
      <w:pPr>
        <w:pStyle w:val="Index2"/>
        <w:tabs>
          <w:tab w:val="right" w:leader="dot" w:pos="9350"/>
        </w:tabs>
        <w:rPr>
          <w:noProof/>
        </w:rPr>
      </w:pPr>
      <w:r>
        <w:rPr>
          <w:noProof/>
        </w:rPr>
        <w:t>Canned Comment Category Types and Text</w:t>
      </w:r>
      <w:r>
        <w:rPr>
          <w:noProof/>
        </w:rPr>
        <w:tab/>
        <w:t>398</w:t>
      </w:r>
    </w:p>
    <w:p w:rsidR="005028F8" w:rsidRDefault="005028F8">
      <w:pPr>
        <w:pStyle w:val="Index2"/>
        <w:tabs>
          <w:tab w:val="right" w:leader="dot" w:pos="9350"/>
        </w:tabs>
        <w:rPr>
          <w:noProof/>
        </w:rPr>
      </w:pPr>
      <w:r>
        <w:rPr>
          <w:noProof/>
        </w:rPr>
        <w:t>Component Class Requirements Worksheet</w:t>
      </w:r>
      <w:r>
        <w:rPr>
          <w:noProof/>
        </w:rPr>
        <w:tab/>
        <w:t>477</w:t>
      </w:r>
    </w:p>
    <w:p w:rsidR="005028F8" w:rsidRDefault="005028F8">
      <w:pPr>
        <w:pStyle w:val="Index2"/>
        <w:tabs>
          <w:tab w:val="right" w:leader="dot" w:pos="9350"/>
        </w:tabs>
        <w:rPr>
          <w:noProof/>
        </w:rPr>
      </w:pPr>
      <w:r>
        <w:rPr>
          <w:noProof/>
        </w:rPr>
        <w:t>CPRS Orderable Blood Components (Component Classes) Mapped to ICCBBA Component Classes</w:t>
      </w:r>
      <w:r>
        <w:rPr>
          <w:noProof/>
        </w:rPr>
        <w:tab/>
        <w:t>407</w:t>
      </w:r>
    </w:p>
    <w:p w:rsidR="005028F8" w:rsidRDefault="005028F8">
      <w:pPr>
        <w:pStyle w:val="Index2"/>
        <w:tabs>
          <w:tab w:val="right" w:leader="dot" w:pos="9350"/>
        </w:tabs>
        <w:rPr>
          <w:noProof/>
        </w:rPr>
      </w:pPr>
      <w:r>
        <w:rPr>
          <w:noProof/>
        </w:rPr>
        <w:t>Crossmatch Interpretations for Print Unit Caution Tag &amp; Transfusion Record Form</w:t>
      </w:r>
      <w:r>
        <w:rPr>
          <w:noProof/>
        </w:rPr>
        <w:tab/>
        <w:t>275</w:t>
      </w:r>
    </w:p>
    <w:p w:rsidR="005028F8" w:rsidRDefault="005028F8">
      <w:pPr>
        <w:pStyle w:val="Index2"/>
        <w:tabs>
          <w:tab w:val="right" w:leader="dot" w:pos="9350"/>
        </w:tabs>
        <w:rPr>
          <w:noProof/>
        </w:rPr>
      </w:pPr>
      <w:r>
        <w:rPr>
          <w:noProof/>
        </w:rPr>
        <w:t>Details in Audit Trail Report</w:t>
      </w:r>
      <w:r>
        <w:rPr>
          <w:noProof/>
        </w:rPr>
        <w:tab/>
        <w:t>408</w:t>
      </w:r>
    </w:p>
    <w:p w:rsidR="005028F8" w:rsidRDefault="005028F8">
      <w:pPr>
        <w:pStyle w:val="Index2"/>
        <w:tabs>
          <w:tab w:val="right" w:leader="dot" w:pos="9350"/>
        </w:tabs>
        <w:rPr>
          <w:noProof/>
        </w:rPr>
      </w:pPr>
      <w:r>
        <w:rPr>
          <w:noProof/>
        </w:rPr>
        <w:t>Details in Exception Report</w:t>
      </w:r>
      <w:r>
        <w:rPr>
          <w:noProof/>
        </w:rPr>
        <w:tab/>
        <w:t>413</w:t>
      </w:r>
    </w:p>
    <w:p w:rsidR="005028F8" w:rsidRDefault="005028F8">
      <w:pPr>
        <w:pStyle w:val="Index2"/>
        <w:tabs>
          <w:tab w:val="right" w:leader="dot" w:pos="9350"/>
        </w:tabs>
        <w:rPr>
          <w:noProof/>
        </w:rPr>
      </w:pPr>
      <w:r>
        <w:rPr>
          <w:noProof/>
        </w:rPr>
        <w:t>Enable Crossmatch Option for OTHER Product Types</w:t>
      </w:r>
      <w:r>
        <w:rPr>
          <w:noProof/>
        </w:rPr>
        <w:tab/>
        <w:t>415</w:t>
      </w:r>
    </w:p>
    <w:p w:rsidR="005028F8" w:rsidRDefault="005028F8">
      <w:pPr>
        <w:pStyle w:val="Index2"/>
        <w:tabs>
          <w:tab w:val="right" w:leader="dot" w:pos="9350"/>
        </w:tabs>
        <w:rPr>
          <w:noProof/>
        </w:rPr>
      </w:pPr>
      <w:r>
        <w:rPr>
          <w:noProof/>
        </w:rPr>
        <w:t>Local Facilities Worksheet</w:t>
      </w:r>
      <w:r>
        <w:rPr>
          <w:noProof/>
        </w:rPr>
        <w:tab/>
        <w:t>476</w:t>
      </w:r>
    </w:p>
    <w:p w:rsidR="005028F8" w:rsidRDefault="005028F8">
      <w:pPr>
        <w:pStyle w:val="Index2"/>
        <w:tabs>
          <w:tab w:val="right" w:leader="dot" w:pos="9350"/>
        </w:tabs>
        <w:rPr>
          <w:noProof/>
        </w:rPr>
      </w:pPr>
      <w:r>
        <w:rPr>
          <w:noProof/>
        </w:rPr>
        <w:t>Modification Types and Costs</w:t>
      </w:r>
      <w:r>
        <w:rPr>
          <w:noProof/>
        </w:rPr>
        <w:tab/>
        <w:t>470</w:t>
      </w:r>
    </w:p>
    <w:p w:rsidR="005028F8" w:rsidRDefault="005028F8">
      <w:pPr>
        <w:pStyle w:val="Index2"/>
        <w:tabs>
          <w:tab w:val="right" w:leader="dot" w:pos="9350"/>
        </w:tabs>
        <w:rPr>
          <w:noProof/>
        </w:rPr>
      </w:pPr>
      <w:r>
        <w:rPr>
          <w:noProof/>
        </w:rPr>
        <w:t>National Treating Specialty Table</w:t>
      </w:r>
      <w:r>
        <w:rPr>
          <w:noProof/>
        </w:rPr>
        <w:tab/>
        <w:t>421</w:t>
      </w:r>
    </w:p>
    <w:p w:rsidR="005028F8" w:rsidRDefault="005028F8">
      <w:pPr>
        <w:pStyle w:val="Index2"/>
        <w:tabs>
          <w:tab w:val="right" w:leader="dot" w:pos="9350"/>
        </w:tabs>
        <w:rPr>
          <w:noProof/>
        </w:rPr>
      </w:pPr>
      <w:r>
        <w:rPr>
          <w:noProof/>
        </w:rPr>
        <w:t>Rules for Electronic and Serologic Crossmatch</w:t>
      </w:r>
      <w:r>
        <w:rPr>
          <w:noProof/>
        </w:rPr>
        <w:tab/>
        <w:t>425</w:t>
      </w:r>
    </w:p>
    <w:p w:rsidR="005028F8" w:rsidRDefault="005028F8">
      <w:pPr>
        <w:pStyle w:val="Index2"/>
        <w:tabs>
          <w:tab w:val="right" w:leader="dot" w:pos="9350"/>
        </w:tabs>
        <w:rPr>
          <w:noProof/>
        </w:rPr>
      </w:pPr>
      <w:r>
        <w:rPr>
          <w:noProof/>
        </w:rPr>
        <w:t>Sample Blood Products Worksheet</w:t>
      </w:r>
      <w:r>
        <w:rPr>
          <w:noProof/>
        </w:rPr>
        <w:tab/>
        <w:t>475</w:t>
      </w:r>
    </w:p>
    <w:p w:rsidR="005028F8" w:rsidRDefault="005028F8">
      <w:pPr>
        <w:pStyle w:val="Index2"/>
        <w:tabs>
          <w:tab w:val="right" w:leader="dot" w:pos="9350"/>
        </w:tabs>
        <w:rPr>
          <w:noProof/>
        </w:rPr>
      </w:pPr>
      <w:r>
        <w:rPr>
          <w:noProof/>
        </w:rPr>
        <w:t>Sample Local Facilities Worksheet</w:t>
      </w:r>
      <w:r>
        <w:rPr>
          <w:noProof/>
        </w:rPr>
        <w:tab/>
        <w:t>476</w:t>
      </w:r>
    </w:p>
    <w:p w:rsidR="005028F8" w:rsidRDefault="005028F8">
      <w:pPr>
        <w:pStyle w:val="Index2"/>
        <w:tabs>
          <w:tab w:val="right" w:leader="dot" w:pos="9350"/>
        </w:tabs>
        <w:rPr>
          <w:noProof/>
        </w:rPr>
      </w:pPr>
      <w:r>
        <w:rPr>
          <w:noProof/>
        </w:rPr>
        <w:t>Transfusion Complications Worksheet</w:t>
      </w:r>
      <w:r>
        <w:rPr>
          <w:noProof/>
        </w:rPr>
        <w:tab/>
        <w:t>478</w:t>
      </w:r>
    </w:p>
    <w:p w:rsidR="005028F8" w:rsidRDefault="005028F8">
      <w:pPr>
        <w:pStyle w:val="Index2"/>
        <w:tabs>
          <w:tab w:val="right" w:leader="dot" w:pos="9350"/>
        </w:tabs>
        <w:rPr>
          <w:noProof/>
        </w:rPr>
      </w:pPr>
      <w:r>
        <w:rPr>
          <w:noProof/>
        </w:rPr>
        <w:t>Transfusion Effectiveness Worksheet</w:t>
      </w:r>
      <w:r>
        <w:rPr>
          <w:noProof/>
        </w:rPr>
        <w:tab/>
        <w:t>479</w:t>
      </w:r>
    </w:p>
    <w:p w:rsidR="005028F8" w:rsidRDefault="005028F8">
      <w:pPr>
        <w:pStyle w:val="Index2"/>
        <w:tabs>
          <w:tab w:val="right" w:leader="dot" w:pos="9350"/>
        </w:tabs>
        <w:rPr>
          <w:noProof/>
        </w:rPr>
      </w:pPr>
      <w:r>
        <w:rPr>
          <w:noProof/>
        </w:rPr>
        <w:t>Transfusion Reaction Types</w:t>
      </w:r>
      <w:r>
        <w:rPr>
          <w:noProof/>
        </w:rPr>
        <w:tab/>
        <w:t>295</w:t>
      </w:r>
    </w:p>
    <w:p w:rsidR="005028F8" w:rsidRDefault="005028F8">
      <w:pPr>
        <w:pStyle w:val="Index2"/>
        <w:tabs>
          <w:tab w:val="right" w:leader="dot" w:pos="9350"/>
        </w:tabs>
        <w:rPr>
          <w:noProof/>
        </w:rPr>
      </w:pPr>
      <w:r>
        <w:rPr>
          <w:noProof/>
        </w:rPr>
        <w:t>User Roles and Functions</w:t>
      </w:r>
      <w:r>
        <w:rPr>
          <w:noProof/>
        </w:rPr>
        <w:tab/>
        <w:t>4</w:t>
      </w:r>
    </w:p>
    <w:p w:rsidR="005028F8" w:rsidRDefault="005028F8">
      <w:pPr>
        <w:pStyle w:val="Index2"/>
        <w:tabs>
          <w:tab w:val="right" w:leader="dot" w:pos="9350"/>
        </w:tabs>
        <w:rPr>
          <w:noProof/>
        </w:rPr>
      </w:pPr>
      <w:r>
        <w:rPr>
          <w:noProof/>
        </w:rPr>
        <w:t>Valid Interpretations</w:t>
      </w:r>
      <w:r>
        <w:rPr>
          <w:noProof/>
        </w:rPr>
        <w:tab/>
        <w:t>139</w:t>
      </w:r>
    </w:p>
    <w:p w:rsidR="005028F8" w:rsidRDefault="005028F8">
      <w:pPr>
        <w:pStyle w:val="Index2"/>
        <w:tabs>
          <w:tab w:val="right" w:leader="dot" w:pos="9350"/>
        </w:tabs>
        <w:rPr>
          <w:noProof/>
        </w:rPr>
      </w:pPr>
      <w:r>
        <w:rPr>
          <w:noProof/>
        </w:rPr>
        <w:t>Valid Observed Test Results Entries</w:t>
      </w:r>
      <w:r>
        <w:rPr>
          <w:noProof/>
        </w:rPr>
        <w:tab/>
        <w:t>14</w:t>
      </w:r>
    </w:p>
    <w:p w:rsidR="005028F8" w:rsidRDefault="005028F8">
      <w:pPr>
        <w:pStyle w:val="Index2"/>
        <w:tabs>
          <w:tab w:val="right" w:leader="dot" w:pos="9350"/>
        </w:tabs>
        <w:rPr>
          <w:noProof/>
        </w:rPr>
      </w:pPr>
      <w:r>
        <w:rPr>
          <w:noProof/>
        </w:rPr>
        <w:t>VBECS Maximum Surgical Blood Order Schedule (MSBOS)</w:t>
      </w:r>
      <w:r>
        <w:rPr>
          <w:noProof/>
        </w:rPr>
        <w:tab/>
        <w:t>428</w:t>
      </w:r>
    </w:p>
    <w:p w:rsidR="005028F8" w:rsidRDefault="005028F8">
      <w:pPr>
        <w:pStyle w:val="Index1"/>
        <w:tabs>
          <w:tab w:val="right" w:leader="dot" w:pos="9350"/>
        </w:tabs>
        <w:rPr>
          <w:noProof/>
        </w:rPr>
      </w:pPr>
      <w:r>
        <w:rPr>
          <w:noProof/>
        </w:rPr>
        <w:t>Terms</w:t>
      </w:r>
      <w:r>
        <w:rPr>
          <w:noProof/>
        </w:rPr>
        <w:tab/>
        <w:t>3</w:t>
      </w:r>
    </w:p>
    <w:p w:rsidR="005028F8" w:rsidRDefault="005028F8">
      <w:pPr>
        <w:pStyle w:val="Index1"/>
        <w:tabs>
          <w:tab w:val="right" w:leader="dot" w:pos="9350"/>
        </w:tabs>
        <w:rPr>
          <w:noProof/>
        </w:rPr>
      </w:pPr>
      <w:r>
        <w:rPr>
          <w:noProof/>
        </w:rPr>
        <w:t>Test Units</w:t>
      </w:r>
      <w:r>
        <w:rPr>
          <w:noProof/>
        </w:rPr>
        <w:tab/>
        <w:t>138</w:t>
      </w:r>
    </w:p>
    <w:p w:rsidR="005028F8" w:rsidRDefault="005028F8">
      <w:pPr>
        <w:pStyle w:val="Index1"/>
        <w:tabs>
          <w:tab w:val="right" w:leader="dot" w:pos="9350"/>
        </w:tabs>
        <w:rPr>
          <w:noProof/>
        </w:rPr>
      </w:pPr>
      <w:r>
        <w:rPr>
          <w:noProof/>
        </w:rPr>
        <w:t>Testing</w:t>
      </w:r>
      <w:r>
        <w:rPr>
          <w:noProof/>
        </w:rPr>
        <w:tab/>
        <w:t>14</w:t>
      </w:r>
    </w:p>
    <w:p w:rsidR="005028F8" w:rsidRDefault="005028F8">
      <w:pPr>
        <w:pStyle w:val="Index1"/>
        <w:tabs>
          <w:tab w:val="right" w:leader="dot" w:pos="9350"/>
        </w:tabs>
        <w:rPr>
          <w:noProof/>
        </w:rPr>
      </w:pPr>
      <w:r>
        <w:rPr>
          <w:noProof/>
        </w:rPr>
        <w:t>Throughout VBECS</w:t>
      </w:r>
      <w:r>
        <w:rPr>
          <w:noProof/>
        </w:rPr>
        <w:tab/>
        <w:t>56</w:t>
      </w:r>
    </w:p>
    <w:p w:rsidR="005028F8" w:rsidRDefault="005028F8">
      <w:pPr>
        <w:pStyle w:val="Index1"/>
        <w:tabs>
          <w:tab w:val="right" w:leader="dot" w:pos="9350"/>
        </w:tabs>
        <w:rPr>
          <w:noProof/>
        </w:rPr>
      </w:pPr>
      <w:r>
        <w:rPr>
          <w:noProof/>
        </w:rPr>
        <w:t>Tool Tips</w:t>
      </w:r>
      <w:r>
        <w:rPr>
          <w:noProof/>
        </w:rPr>
        <w:tab/>
        <w:t>48</w:t>
      </w:r>
    </w:p>
    <w:p w:rsidR="005028F8" w:rsidRDefault="005028F8">
      <w:pPr>
        <w:pStyle w:val="Index1"/>
        <w:tabs>
          <w:tab w:val="right" w:leader="dot" w:pos="9350"/>
        </w:tabs>
        <w:rPr>
          <w:noProof/>
        </w:rPr>
      </w:pPr>
      <w:r>
        <w:rPr>
          <w:noProof/>
        </w:rPr>
        <w:t>Toolbars</w:t>
      </w:r>
      <w:r>
        <w:rPr>
          <w:noProof/>
        </w:rPr>
        <w:tab/>
        <w:t>49</w:t>
      </w:r>
    </w:p>
    <w:p w:rsidR="005028F8" w:rsidRDefault="005028F8">
      <w:pPr>
        <w:pStyle w:val="Index1"/>
        <w:tabs>
          <w:tab w:val="right" w:leader="dot" w:pos="9350"/>
        </w:tabs>
        <w:rPr>
          <w:noProof/>
        </w:rPr>
      </w:pPr>
      <w:r>
        <w:rPr>
          <w:noProof/>
        </w:rPr>
        <w:t>Transfusion Complications Report</w:t>
      </w:r>
      <w:r>
        <w:rPr>
          <w:noProof/>
        </w:rPr>
        <w:tab/>
        <w:t>358</w:t>
      </w:r>
    </w:p>
    <w:p w:rsidR="005028F8" w:rsidRDefault="005028F8">
      <w:pPr>
        <w:pStyle w:val="Index1"/>
        <w:tabs>
          <w:tab w:val="right" w:leader="dot" w:pos="9350"/>
        </w:tabs>
        <w:rPr>
          <w:noProof/>
        </w:rPr>
      </w:pPr>
      <w:r>
        <w:rPr>
          <w:noProof/>
        </w:rPr>
        <w:t>Transfusion Effectiveness</w:t>
      </w:r>
      <w:r>
        <w:rPr>
          <w:noProof/>
        </w:rPr>
        <w:tab/>
        <w:t>88</w:t>
      </w:r>
    </w:p>
    <w:p w:rsidR="005028F8" w:rsidRDefault="005028F8">
      <w:pPr>
        <w:pStyle w:val="Index1"/>
        <w:tabs>
          <w:tab w:val="right" w:leader="dot" w:pos="9350"/>
        </w:tabs>
        <w:rPr>
          <w:noProof/>
        </w:rPr>
      </w:pPr>
      <w:r>
        <w:rPr>
          <w:noProof/>
        </w:rPr>
        <w:t>Transfusion Effectiveness Report</w:t>
      </w:r>
      <w:r>
        <w:rPr>
          <w:noProof/>
        </w:rPr>
        <w:tab/>
        <w:t>360</w:t>
      </w:r>
    </w:p>
    <w:p w:rsidR="005028F8" w:rsidRDefault="005028F8">
      <w:pPr>
        <w:pStyle w:val="Index1"/>
        <w:tabs>
          <w:tab w:val="right" w:leader="dot" w:pos="9350"/>
        </w:tabs>
        <w:rPr>
          <w:noProof/>
        </w:rPr>
      </w:pPr>
      <w:r>
        <w:rPr>
          <w:noProof/>
        </w:rPr>
        <w:t>Transfusion Reaction Count Report</w:t>
      </w:r>
      <w:r>
        <w:rPr>
          <w:noProof/>
        </w:rPr>
        <w:tab/>
        <w:t>362</w:t>
      </w:r>
    </w:p>
    <w:p w:rsidR="005028F8" w:rsidRDefault="005028F8">
      <w:pPr>
        <w:pStyle w:val="Index1"/>
        <w:tabs>
          <w:tab w:val="right" w:leader="dot" w:pos="9350"/>
        </w:tabs>
        <w:rPr>
          <w:noProof/>
        </w:rPr>
      </w:pPr>
      <w:r>
        <w:rPr>
          <w:noProof/>
        </w:rPr>
        <w:t>Transfusion Requirements Report</w:t>
      </w:r>
      <w:r>
        <w:rPr>
          <w:noProof/>
        </w:rPr>
        <w:tab/>
        <w:t>364</w:t>
      </w:r>
    </w:p>
    <w:p w:rsidR="005028F8" w:rsidRPr="00A1587A" w:rsidRDefault="005028F8">
      <w:pPr>
        <w:pStyle w:val="IndexHeading"/>
        <w:keepNext/>
        <w:tabs>
          <w:tab w:val="right" w:leader="dot" w:pos="9350"/>
        </w:tabs>
        <w:rPr>
          <w:rFonts w:ascii="Calibri" w:hAnsi="Calibri"/>
          <w:b w:val="0"/>
          <w:bCs w:val="0"/>
          <w:noProof/>
        </w:rPr>
      </w:pPr>
      <w:r>
        <w:rPr>
          <w:noProof/>
        </w:rPr>
        <w:lastRenderedPageBreak/>
        <w:t>U</w:t>
      </w:r>
    </w:p>
    <w:p w:rsidR="005028F8" w:rsidRDefault="005028F8">
      <w:pPr>
        <w:pStyle w:val="Index1"/>
        <w:tabs>
          <w:tab w:val="right" w:leader="dot" w:pos="9350"/>
        </w:tabs>
        <w:rPr>
          <w:noProof/>
        </w:rPr>
      </w:pPr>
      <w:r>
        <w:rPr>
          <w:noProof/>
        </w:rPr>
        <w:t>Unit ABO/Rh Confirmation Form</w:t>
      </w:r>
      <w:r>
        <w:rPr>
          <w:noProof/>
        </w:rPr>
        <w:tab/>
        <w:t>388</w:t>
      </w:r>
    </w:p>
    <w:p w:rsidR="005028F8" w:rsidRDefault="005028F8">
      <w:pPr>
        <w:pStyle w:val="Index1"/>
        <w:tabs>
          <w:tab w:val="right" w:leader="dot" w:pos="9350"/>
        </w:tabs>
        <w:rPr>
          <w:noProof/>
        </w:rPr>
      </w:pPr>
      <w:r>
        <w:rPr>
          <w:noProof/>
        </w:rPr>
        <w:t>Unit History Report</w:t>
      </w:r>
      <w:r>
        <w:rPr>
          <w:noProof/>
        </w:rPr>
        <w:tab/>
        <w:t>366</w:t>
      </w:r>
    </w:p>
    <w:p w:rsidR="005028F8" w:rsidRDefault="005028F8">
      <w:pPr>
        <w:pStyle w:val="Index1"/>
        <w:tabs>
          <w:tab w:val="right" w:leader="dot" w:pos="9350"/>
        </w:tabs>
        <w:rPr>
          <w:noProof/>
        </w:rPr>
      </w:pPr>
      <w:r>
        <w:rPr>
          <w:noProof/>
        </w:rPr>
        <w:t>Unit Issue and Inspection Log</w:t>
      </w:r>
      <w:r>
        <w:rPr>
          <w:noProof/>
        </w:rPr>
        <w:tab/>
        <w:t>389</w:t>
      </w:r>
    </w:p>
    <w:p w:rsidR="005028F8" w:rsidRDefault="005028F8">
      <w:pPr>
        <w:pStyle w:val="Index1"/>
        <w:tabs>
          <w:tab w:val="right" w:leader="dot" w:pos="9350"/>
        </w:tabs>
        <w:rPr>
          <w:noProof/>
        </w:rPr>
      </w:pPr>
      <w:r>
        <w:rPr>
          <w:noProof/>
        </w:rPr>
        <w:t>Unit Modification Form</w:t>
      </w:r>
      <w:r>
        <w:rPr>
          <w:noProof/>
        </w:rPr>
        <w:tab/>
        <w:t>390</w:t>
      </w:r>
    </w:p>
    <w:p w:rsidR="005028F8" w:rsidRDefault="005028F8">
      <w:pPr>
        <w:pStyle w:val="Index1"/>
        <w:tabs>
          <w:tab w:val="right" w:leader="dot" w:pos="9350"/>
        </w:tabs>
        <w:rPr>
          <w:noProof/>
        </w:rPr>
      </w:pPr>
      <w:r>
        <w:rPr>
          <w:noProof/>
        </w:rPr>
        <w:t>Unit Search Screen</w:t>
      </w:r>
      <w:r>
        <w:rPr>
          <w:noProof/>
        </w:rPr>
        <w:tab/>
        <w:t>136</w:t>
      </w:r>
    </w:p>
    <w:p w:rsidR="005028F8" w:rsidRDefault="005028F8">
      <w:pPr>
        <w:pStyle w:val="Index1"/>
        <w:tabs>
          <w:tab w:val="right" w:leader="dot" w:pos="9350"/>
        </w:tabs>
        <w:rPr>
          <w:noProof/>
        </w:rPr>
      </w:pPr>
      <w:r>
        <w:rPr>
          <w:noProof/>
        </w:rPr>
        <w:t>United Blood Services (UBS) Facility Barcodes</w:t>
      </w:r>
      <w:r>
        <w:rPr>
          <w:noProof/>
        </w:rPr>
        <w:tab/>
        <w:t>503</w:t>
      </w:r>
    </w:p>
    <w:p w:rsidR="005028F8" w:rsidRDefault="005028F8">
      <w:pPr>
        <w:pStyle w:val="Index1"/>
        <w:tabs>
          <w:tab w:val="right" w:leader="dot" w:pos="9350"/>
        </w:tabs>
        <w:rPr>
          <w:noProof/>
        </w:rPr>
      </w:pPr>
      <w:r>
        <w:rPr>
          <w:noProof/>
        </w:rPr>
        <w:t>Update Reagent Inventory</w:t>
      </w:r>
      <w:r>
        <w:rPr>
          <w:noProof/>
        </w:rPr>
        <w:tab/>
        <w:t>102</w:t>
      </w:r>
    </w:p>
    <w:p w:rsidR="005028F8" w:rsidRDefault="005028F8">
      <w:pPr>
        <w:pStyle w:val="Index1"/>
        <w:tabs>
          <w:tab w:val="right" w:leader="dot" w:pos="9350"/>
        </w:tabs>
        <w:rPr>
          <w:noProof/>
        </w:rPr>
      </w:pPr>
      <w:r>
        <w:rPr>
          <w:noProof/>
        </w:rPr>
        <w:t>Update Supply Inventory</w:t>
      </w:r>
      <w:r>
        <w:rPr>
          <w:noProof/>
        </w:rPr>
        <w:tab/>
        <w:t>109</w:t>
      </w:r>
    </w:p>
    <w:p w:rsidR="005028F8" w:rsidRDefault="005028F8">
      <w:pPr>
        <w:pStyle w:val="Index1"/>
        <w:tabs>
          <w:tab w:val="right" w:leader="dot" w:pos="9350"/>
        </w:tabs>
        <w:rPr>
          <w:noProof/>
        </w:rPr>
      </w:pPr>
      <w:r>
        <w:rPr>
          <w:noProof/>
        </w:rPr>
        <w:t>Updated Patients and Deceased Patients</w:t>
      </w:r>
      <w:r>
        <w:rPr>
          <w:noProof/>
        </w:rPr>
        <w:tab/>
        <w:t>257</w:t>
      </w:r>
    </w:p>
    <w:p w:rsidR="005028F8" w:rsidRDefault="005028F8">
      <w:pPr>
        <w:pStyle w:val="Index1"/>
        <w:tabs>
          <w:tab w:val="right" w:leader="dot" w:pos="9350"/>
        </w:tabs>
        <w:rPr>
          <w:noProof/>
        </w:rPr>
      </w:pPr>
      <w:r>
        <w:rPr>
          <w:noProof/>
        </w:rPr>
        <w:t>Using Online Help</w:t>
      </w:r>
      <w:r>
        <w:rPr>
          <w:noProof/>
        </w:rPr>
        <w:tab/>
        <w:t>26</w:t>
      </w:r>
    </w:p>
    <w:p w:rsidR="005028F8" w:rsidRDefault="005028F8">
      <w:pPr>
        <w:pStyle w:val="Index1"/>
        <w:tabs>
          <w:tab w:val="right" w:leader="dot" w:pos="9350"/>
        </w:tabs>
        <w:rPr>
          <w:noProof/>
        </w:rPr>
      </w:pPr>
      <w:r>
        <w:rPr>
          <w:noProof/>
        </w:rPr>
        <w:t>Using the Software</w:t>
      </w:r>
      <w:r>
        <w:rPr>
          <w:noProof/>
        </w:rPr>
        <w:tab/>
        <w:t>10</w:t>
      </w:r>
    </w:p>
    <w:p w:rsidR="005028F8" w:rsidRDefault="005028F8">
      <w:pPr>
        <w:pStyle w:val="Index1"/>
        <w:tabs>
          <w:tab w:val="right" w:leader="dot" w:pos="9350"/>
        </w:tabs>
        <w:rPr>
          <w:noProof/>
        </w:rPr>
      </w:pPr>
      <w:r>
        <w:rPr>
          <w:noProof/>
        </w:rPr>
        <w:t>Using VBECS</w:t>
      </w:r>
      <w:r>
        <w:rPr>
          <w:noProof/>
        </w:rPr>
        <w:tab/>
        <w:t>25</w:t>
      </w:r>
    </w:p>
    <w:p w:rsidR="005028F8" w:rsidRPr="00A1587A" w:rsidRDefault="005028F8">
      <w:pPr>
        <w:pStyle w:val="IndexHeading"/>
        <w:keepNext/>
        <w:tabs>
          <w:tab w:val="right" w:leader="dot" w:pos="9350"/>
        </w:tabs>
        <w:rPr>
          <w:rFonts w:ascii="Calibri" w:hAnsi="Calibri"/>
          <w:b w:val="0"/>
          <w:bCs w:val="0"/>
          <w:noProof/>
        </w:rPr>
      </w:pPr>
      <w:r>
        <w:rPr>
          <w:noProof/>
        </w:rPr>
        <w:t>V</w:t>
      </w:r>
    </w:p>
    <w:p w:rsidR="005028F8" w:rsidRDefault="005028F8">
      <w:pPr>
        <w:pStyle w:val="Index1"/>
        <w:tabs>
          <w:tab w:val="right" w:leader="dot" w:pos="9350"/>
        </w:tabs>
        <w:rPr>
          <w:noProof/>
        </w:rPr>
      </w:pPr>
      <w:r w:rsidRPr="00813AC6">
        <w:rPr>
          <w:b/>
          <w:noProof/>
        </w:rPr>
        <w:t>VA Service Desk</w:t>
      </w:r>
      <w:r>
        <w:rPr>
          <w:noProof/>
        </w:rPr>
        <w:tab/>
        <w:t>10</w:t>
      </w:r>
    </w:p>
    <w:p w:rsidR="005028F8" w:rsidRDefault="005028F8">
      <w:pPr>
        <w:pStyle w:val="Index1"/>
        <w:tabs>
          <w:tab w:val="right" w:leader="dot" w:pos="9350"/>
        </w:tabs>
        <w:rPr>
          <w:noProof/>
        </w:rPr>
      </w:pPr>
      <w:r>
        <w:rPr>
          <w:noProof/>
        </w:rPr>
        <w:t>VBECS User Report</w:t>
      </w:r>
      <w:r>
        <w:rPr>
          <w:noProof/>
        </w:rPr>
        <w:tab/>
        <w:t>60</w:t>
      </w:r>
    </w:p>
    <w:p w:rsidR="005028F8" w:rsidRDefault="005028F8">
      <w:pPr>
        <w:pStyle w:val="Index1"/>
        <w:tabs>
          <w:tab w:val="right" w:leader="dot" w:pos="9350"/>
        </w:tabs>
        <w:rPr>
          <w:noProof/>
        </w:rPr>
      </w:pPr>
      <w:r>
        <w:rPr>
          <w:noProof/>
        </w:rPr>
        <w:t>VBECS Work Flow</w:t>
      </w:r>
      <w:r>
        <w:rPr>
          <w:noProof/>
        </w:rPr>
        <w:tab/>
        <w:t>447</w:t>
      </w:r>
    </w:p>
    <w:p w:rsidR="005028F8" w:rsidRDefault="005028F8">
      <w:pPr>
        <w:pStyle w:val="Index1"/>
        <w:tabs>
          <w:tab w:val="right" w:leader="dot" w:pos="9350"/>
        </w:tabs>
        <w:rPr>
          <w:noProof/>
        </w:rPr>
      </w:pPr>
      <w:r>
        <w:rPr>
          <w:noProof/>
        </w:rPr>
        <w:t>View/Print a Finalized Transfusion Reaction Workup Report</w:t>
      </w:r>
      <w:r>
        <w:rPr>
          <w:noProof/>
        </w:rPr>
        <w:tab/>
        <w:t>294</w:t>
      </w:r>
    </w:p>
    <w:p w:rsidR="005028F8" w:rsidRDefault="005028F8">
      <w:pPr>
        <w:pStyle w:val="Index1"/>
        <w:tabs>
          <w:tab w:val="right" w:leader="dot" w:pos="9350"/>
        </w:tabs>
        <w:rPr>
          <w:noProof/>
        </w:rPr>
      </w:pPr>
      <w:r>
        <w:rPr>
          <w:noProof/>
        </w:rPr>
        <w:t>View/Print Reagent Inventory</w:t>
      </w:r>
      <w:r>
        <w:rPr>
          <w:noProof/>
        </w:rPr>
        <w:tab/>
        <w:t>104</w:t>
      </w:r>
    </w:p>
    <w:p w:rsidR="005028F8" w:rsidRDefault="005028F8">
      <w:pPr>
        <w:pStyle w:val="Index1"/>
        <w:tabs>
          <w:tab w:val="right" w:leader="dot" w:pos="9350"/>
        </w:tabs>
        <w:rPr>
          <w:noProof/>
        </w:rPr>
      </w:pPr>
      <w:r>
        <w:rPr>
          <w:noProof/>
        </w:rPr>
        <w:t>View/Print Supply Inventory</w:t>
      </w:r>
      <w:r>
        <w:rPr>
          <w:noProof/>
        </w:rPr>
        <w:tab/>
        <w:t>110</w:t>
      </w:r>
    </w:p>
    <w:p w:rsidR="005028F8" w:rsidRDefault="005028F8">
      <w:pPr>
        <w:pStyle w:val="Index1"/>
        <w:tabs>
          <w:tab w:val="right" w:leader="dot" w:pos="9350"/>
        </w:tabs>
        <w:rPr>
          <w:noProof/>
        </w:rPr>
      </w:pPr>
      <w:r>
        <w:rPr>
          <w:noProof/>
        </w:rPr>
        <w:t>Viewing the VBECS Version Number</w:t>
      </w:r>
      <w:r>
        <w:rPr>
          <w:noProof/>
        </w:rPr>
        <w:tab/>
        <w:t>32</w:t>
      </w:r>
    </w:p>
    <w:p w:rsidR="005028F8" w:rsidRDefault="005028F8">
      <w:pPr>
        <w:pStyle w:val="Index1"/>
        <w:tabs>
          <w:tab w:val="right" w:leader="dot" w:pos="9350"/>
        </w:tabs>
        <w:rPr>
          <w:noProof/>
        </w:rPr>
      </w:pPr>
      <w:r>
        <w:rPr>
          <w:noProof/>
        </w:rPr>
        <w:t>VistA Records in VBECS</w:t>
      </w:r>
      <w:r>
        <w:rPr>
          <w:noProof/>
        </w:rPr>
        <w:tab/>
        <w:t>35</w:t>
      </w:r>
    </w:p>
    <w:p w:rsidR="005028F8" w:rsidRDefault="005028F8">
      <w:pPr>
        <w:pStyle w:val="Index1"/>
        <w:tabs>
          <w:tab w:val="right" w:leader="dot" w:pos="9350"/>
        </w:tabs>
        <w:rPr>
          <w:noProof/>
        </w:rPr>
      </w:pPr>
      <w:r>
        <w:rPr>
          <w:noProof/>
        </w:rPr>
        <w:t>Volume</w:t>
      </w:r>
      <w:r>
        <w:rPr>
          <w:noProof/>
        </w:rPr>
        <w:tab/>
        <w:t>46</w:t>
      </w:r>
    </w:p>
    <w:p w:rsidR="005028F8" w:rsidRPr="00A1587A" w:rsidRDefault="005028F8">
      <w:pPr>
        <w:pStyle w:val="IndexHeading"/>
        <w:keepNext/>
        <w:tabs>
          <w:tab w:val="right" w:leader="dot" w:pos="9350"/>
        </w:tabs>
        <w:rPr>
          <w:rFonts w:ascii="Calibri" w:hAnsi="Calibri"/>
          <w:b w:val="0"/>
          <w:bCs w:val="0"/>
          <w:noProof/>
        </w:rPr>
      </w:pPr>
      <w:r>
        <w:rPr>
          <w:noProof/>
        </w:rPr>
        <w:t>W</w:t>
      </w:r>
    </w:p>
    <w:p w:rsidR="005028F8" w:rsidRDefault="005028F8">
      <w:pPr>
        <w:pStyle w:val="Index1"/>
        <w:tabs>
          <w:tab w:val="right" w:leader="dot" w:pos="9350"/>
        </w:tabs>
        <w:rPr>
          <w:noProof/>
        </w:rPr>
      </w:pPr>
      <w:r>
        <w:rPr>
          <w:noProof/>
        </w:rPr>
        <w:t>Work Process Flowcharts</w:t>
      </w:r>
      <w:r>
        <w:rPr>
          <w:noProof/>
        </w:rPr>
        <w:tab/>
        <w:t>485</w:t>
      </w:r>
    </w:p>
    <w:p w:rsidR="005028F8" w:rsidRDefault="005028F8">
      <w:pPr>
        <w:pStyle w:val="Index1"/>
        <w:tabs>
          <w:tab w:val="right" w:leader="dot" w:pos="9350"/>
        </w:tabs>
        <w:rPr>
          <w:noProof/>
        </w:rPr>
      </w:pPr>
      <w:r>
        <w:rPr>
          <w:noProof/>
        </w:rPr>
        <w:t>Working with Data</w:t>
      </w:r>
      <w:r>
        <w:rPr>
          <w:noProof/>
        </w:rPr>
        <w:tab/>
        <w:t>12</w:t>
      </w:r>
    </w:p>
    <w:p w:rsidR="005028F8" w:rsidRDefault="005028F8">
      <w:pPr>
        <w:pStyle w:val="Index1"/>
        <w:tabs>
          <w:tab w:val="right" w:leader="dot" w:pos="9350"/>
        </w:tabs>
        <w:rPr>
          <w:noProof/>
        </w:rPr>
      </w:pPr>
      <w:r>
        <w:rPr>
          <w:noProof/>
        </w:rPr>
        <w:t>Workload Codes</w:t>
      </w:r>
      <w:r>
        <w:rPr>
          <w:noProof/>
        </w:rPr>
        <w:tab/>
        <w:t>92</w:t>
      </w:r>
    </w:p>
    <w:p w:rsidR="005028F8" w:rsidRDefault="005028F8">
      <w:pPr>
        <w:pStyle w:val="Index1"/>
        <w:tabs>
          <w:tab w:val="right" w:leader="dot" w:pos="9350"/>
        </w:tabs>
        <w:rPr>
          <w:noProof/>
        </w:rPr>
      </w:pPr>
      <w:r>
        <w:rPr>
          <w:noProof/>
        </w:rPr>
        <w:t>Workload Process Mapping to Application Option Table</w:t>
      </w:r>
      <w:r>
        <w:rPr>
          <w:noProof/>
        </w:rPr>
        <w:tab/>
        <w:t>515</w:t>
      </w:r>
    </w:p>
    <w:p w:rsidR="005028F8" w:rsidRDefault="005028F8">
      <w:pPr>
        <w:pStyle w:val="Index1"/>
        <w:tabs>
          <w:tab w:val="right" w:leader="dot" w:pos="9350"/>
        </w:tabs>
        <w:rPr>
          <w:noProof/>
        </w:rPr>
      </w:pPr>
      <w:r>
        <w:rPr>
          <w:noProof/>
        </w:rPr>
        <w:t>Workload Process to Use Case Mapping Table</w:t>
      </w:r>
      <w:r>
        <w:rPr>
          <w:noProof/>
        </w:rPr>
        <w:tab/>
        <w:t>433</w:t>
      </w:r>
    </w:p>
    <w:p w:rsidR="005028F8" w:rsidRDefault="005028F8" w:rsidP="009C0A99">
      <w:pPr>
        <w:pStyle w:val="BodyText"/>
        <w:jc w:val="center"/>
        <w:rPr>
          <w:rFonts w:ascii="Arial" w:hAnsi="Arial" w:cs="Arial"/>
          <w:b/>
          <w:bCs/>
          <w:noProof/>
          <w:kern w:val="32"/>
        </w:rPr>
        <w:sectPr w:rsidR="005028F8" w:rsidSect="005028F8">
          <w:type w:val="continuous"/>
          <w:pgSz w:w="12240" w:h="15840" w:code="1"/>
          <w:pgMar w:top="1440" w:right="1440" w:bottom="1440" w:left="1440" w:header="720" w:footer="720" w:gutter="0"/>
          <w:cols w:space="720"/>
          <w:docGrid w:linePitch="360"/>
        </w:sectPr>
      </w:pPr>
    </w:p>
    <w:p w:rsidR="00681D23" w:rsidRDefault="00E93F17" w:rsidP="009C0A99">
      <w:pPr>
        <w:pStyle w:val="BodyText"/>
        <w:jc w:val="center"/>
        <w:rPr>
          <w:kern w:val="32"/>
        </w:rPr>
      </w:pPr>
      <w:r w:rsidRPr="00206945">
        <w:rPr>
          <w:kern w:val="32"/>
        </w:rPr>
        <w:lastRenderedPageBreak/>
        <w:fldChar w:fldCharType="end"/>
      </w:r>
    </w:p>
    <w:p w:rsidR="009C0A99" w:rsidRDefault="00F50F30" w:rsidP="00F50F30">
      <w:pPr>
        <w:pStyle w:val="BodyText"/>
        <w:rPr>
          <w:snapToGrid w:val="0"/>
          <w:vanish/>
        </w:rPr>
      </w:pPr>
      <w:r>
        <w:rPr>
          <w:kern w:val="32"/>
        </w:rPr>
        <w:t xml:space="preserve"> </w:t>
      </w:r>
      <w:r w:rsidR="00C033C9">
        <w:rPr>
          <w:kern w:val="32"/>
        </w:rPr>
        <w:br w:type="page"/>
      </w:r>
      <w:r w:rsidR="009C0A99">
        <w:lastRenderedPageBreak/>
        <w:t xml:space="preserve">This is the last page of </w:t>
      </w:r>
      <w:r w:rsidR="009C0A99" w:rsidRPr="009C0A99">
        <w:rPr>
          <w:i/>
        </w:rPr>
        <w:t xml:space="preserve">VistA Blood Establishment Computer Software (VBECS) </w:t>
      </w:r>
      <w:r w:rsidR="00381224">
        <w:rPr>
          <w:i/>
        </w:rPr>
        <w:t>2.2</w:t>
      </w:r>
      <w:r w:rsidR="00CF6FBB">
        <w:rPr>
          <w:i/>
        </w:rPr>
        <w:t>.0</w:t>
      </w:r>
      <w:r w:rsidR="003877E0">
        <w:rPr>
          <w:i/>
        </w:rPr>
        <w:t xml:space="preserve"> </w:t>
      </w:r>
      <w:r w:rsidR="009C0A99" w:rsidRPr="009C0A99">
        <w:rPr>
          <w:i/>
        </w:rPr>
        <w:t>User Guide</w:t>
      </w:r>
      <w:r w:rsidR="009C0A99">
        <w:t>.</w:t>
      </w:r>
    </w:p>
    <w:p w:rsidR="0006165B" w:rsidRPr="009C0A99" w:rsidRDefault="0006165B" w:rsidP="009C0A99">
      <w:pPr>
        <w:pStyle w:val="BodyText"/>
        <w:rPr>
          <w:snapToGrid w:val="0"/>
          <w:vanish/>
        </w:rPr>
      </w:pPr>
    </w:p>
    <w:sectPr w:rsidR="0006165B" w:rsidRPr="009C0A99" w:rsidSect="005028F8">
      <w:type w:val="continuous"/>
      <w:pgSz w:w="12240" w:h="15840" w:code="1"/>
      <w:pgMar w:top="1440" w:right="1440" w:bottom="1440" w:left="1440"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075">
      <wne:macro wne:macroName="PROJECT.NEWMACROS.HIDE"/>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F39" w:rsidRDefault="00561F39">
      <w:r>
        <w:separator/>
      </w:r>
    </w:p>
  </w:endnote>
  <w:endnote w:type="continuationSeparator" w:id="0">
    <w:p w:rsidR="00561F39" w:rsidRDefault="00561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Geneva">
    <w:altName w:val="Arial"/>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Shell Dlg 2">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FEE" w:rsidRDefault="00ED1FE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D1FEE" w:rsidRDefault="00ED1FEE">
    <w:pPr>
      <w:pStyle w:val="Footer"/>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FEE" w:rsidRDefault="00ED1FEE" w:rsidP="00F304F2">
    <w:pPr>
      <w:pStyle w:val="Footer"/>
      <w:tabs>
        <w:tab w:val="clear" w:pos="8640"/>
        <w:tab w:val="right" w:pos="9360"/>
      </w:tabs>
      <w:ind w:right="360"/>
      <w:rPr>
        <w:sz w:val="20"/>
      </w:rPr>
    </w:pPr>
  </w:p>
  <w:p w:rsidR="00ED1FEE" w:rsidRDefault="00ED1FEE" w:rsidP="00F304F2">
    <w:pPr>
      <w:pStyle w:val="Footer"/>
      <w:tabs>
        <w:tab w:val="clear" w:pos="8640"/>
        <w:tab w:val="right" w:pos="9360"/>
      </w:tabs>
      <w:ind w:right="360"/>
      <w:rPr>
        <w:sz w:val="20"/>
      </w:rPr>
    </w:pPr>
  </w:p>
  <w:p w:rsidR="00ED1FEE" w:rsidRDefault="00ED1FEE" w:rsidP="00F304F2">
    <w:pPr>
      <w:pStyle w:val="Footer"/>
      <w:tabs>
        <w:tab w:val="clear" w:pos="4320"/>
        <w:tab w:val="clear" w:pos="8640"/>
        <w:tab w:val="center" w:pos="5040"/>
        <w:tab w:val="right" w:pos="9360"/>
      </w:tabs>
      <w:ind w:right="360"/>
      <w:rPr>
        <w:sz w:val="20"/>
      </w:rPr>
    </w:pPr>
    <w:r>
      <w:rPr>
        <w:sz w:val="20"/>
      </w:rPr>
      <w:t>October 2016</w:t>
    </w:r>
    <w:r>
      <w:rPr>
        <w:sz w:val="20"/>
      </w:rPr>
      <w:tab/>
    </w:r>
    <w:r w:rsidRPr="0085679C">
      <w:rPr>
        <w:sz w:val="20"/>
        <w:szCs w:val="20"/>
      </w:rPr>
      <w:t>VistA</w:t>
    </w:r>
    <w:r>
      <w:rPr>
        <w:sz w:val="20"/>
        <w:szCs w:val="20"/>
      </w:rPr>
      <w:t xml:space="preserve"> B</w:t>
    </w:r>
    <w:r w:rsidRPr="0085679C">
      <w:rPr>
        <w:sz w:val="20"/>
        <w:szCs w:val="20"/>
      </w:rPr>
      <w:t>loo</w:t>
    </w:r>
    <w:r>
      <w:rPr>
        <w:sz w:val="20"/>
      </w:rPr>
      <w:t>d Establishment Computer Software (VBECS) Version 2.2.0</w:t>
    </w:r>
    <w:r>
      <w:rPr>
        <w:sz w:val="20"/>
      </w:rPr>
      <w:tab/>
      <w:t xml:space="preserve">Page </w:t>
    </w:r>
    <w:r>
      <w:rPr>
        <w:sz w:val="20"/>
      </w:rPr>
      <w:fldChar w:fldCharType="begin"/>
    </w:r>
    <w:r>
      <w:rPr>
        <w:sz w:val="20"/>
      </w:rPr>
      <w:instrText xml:space="preserve"> PAGE </w:instrText>
    </w:r>
    <w:r>
      <w:rPr>
        <w:sz w:val="20"/>
      </w:rPr>
      <w:fldChar w:fldCharType="separate"/>
    </w:r>
    <w:r w:rsidR="00634BFC">
      <w:rPr>
        <w:noProof/>
        <w:sz w:val="20"/>
      </w:rPr>
      <w:t>412</w:t>
    </w:r>
    <w:r>
      <w:rPr>
        <w:sz w:val="20"/>
      </w:rPr>
      <w:fldChar w:fldCharType="end"/>
    </w:r>
    <w:r>
      <w:rPr>
        <w:sz w:val="20"/>
      </w:rPr>
      <w:tab/>
    </w:r>
  </w:p>
  <w:p w:rsidR="00ED1FEE" w:rsidRDefault="00ED1FEE" w:rsidP="00F304F2">
    <w:pPr>
      <w:pStyle w:val="Footer"/>
      <w:tabs>
        <w:tab w:val="clear" w:pos="4320"/>
        <w:tab w:val="clear" w:pos="8640"/>
        <w:tab w:val="center" w:pos="5040"/>
        <w:tab w:val="right" w:pos="12960"/>
      </w:tabs>
      <w:ind w:right="360"/>
      <w:rPr>
        <w:sz w:val="20"/>
      </w:rPr>
    </w:pPr>
    <w:r>
      <w:rPr>
        <w:sz w:val="20"/>
      </w:rPr>
      <w:tab/>
      <w:t>User Guide Version 4.0</w:t>
    </w:r>
  </w:p>
  <w:p w:rsidR="00ED1FEE" w:rsidRDefault="00ED1FEE" w:rsidP="00536F22">
    <w:pPr>
      <w:pStyle w:val="Footer"/>
      <w:tabs>
        <w:tab w:val="clear" w:pos="8640"/>
        <w:tab w:val="right" w:pos="9360"/>
      </w:tabs>
      <w:ind w:right="360"/>
      <w:rPr>
        <w:sz w:val="20"/>
      </w:rPr>
    </w:pPr>
  </w:p>
  <w:p w:rsidR="00ED1FEE" w:rsidRDefault="00ED1FEE" w:rsidP="00536F22">
    <w:pPr>
      <w:pStyle w:val="Footer"/>
      <w:tabs>
        <w:tab w:val="clear" w:pos="4320"/>
        <w:tab w:val="clear" w:pos="8640"/>
        <w:tab w:val="center" w:pos="6480"/>
      </w:tabs>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FEE" w:rsidRDefault="00ED1FEE">
    <w:pPr>
      <w:pStyle w:val="Footer"/>
      <w:tabs>
        <w:tab w:val="clear" w:pos="8640"/>
        <w:tab w:val="right" w:pos="12600"/>
      </w:tabs>
      <w:ind w:right="360"/>
      <w:rPr>
        <w:sz w:val="20"/>
      </w:rPr>
    </w:pPr>
  </w:p>
  <w:p w:rsidR="00ED1FEE" w:rsidRDefault="00ED1FEE">
    <w:pPr>
      <w:pStyle w:val="Footer"/>
      <w:tabs>
        <w:tab w:val="clear" w:pos="8640"/>
        <w:tab w:val="right" w:pos="9360"/>
      </w:tabs>
      <w:ind w:right="360"/>
      <w:rPr>
        <w:sz w:val="20"/>
      </w:rPr>
    </w:pPr>
  </w:p>
  <w:p w:rsidR="00ED1FEE" w:rsidRDefault="00ED1FEE" w:rsidP="000753FE">
    <w:pPr>
      <w:pStyle w:val="Footer"/>
      <w:tabs>
        <w:tab w:val="clear" w:pos="4320"/>
        <w:tab w:val="clear" w:pos="8640"/>
        <w:tab w:val="center" w:pos="5040"/>
        <w:tab w:val="right" w:pos="9360"/>
        <w:tab w:val="right" w:pos="12960"/>
      </w:tabs>
      <w:ind w:right="360"/>
      <w:rPr>
        <w:sz w:val="20"/>
      </w:rPr>
    </w:pPr>
    <w:r>
      <w:rPr>
        <w:sz w:val="20"/>
      </w:rPr>
      <w:t>October 2016</w:t>
    </w:r>
    <w:r>
      <w:rPr>
        <w:sz w:val="20"/>
      </w:rPr>
      <w:tab/>
      <w:t>VistA Blood Establishment Computer Software (VBECS) Version 2.2.0</w:t>
    </w:r>
    <w:r>
      <w:rPr>
        <w:sz w:val="20"/>
      </w:rPr>
      <w:tab/>
      <w:t xml:space="preserve">Page </w:t>
    </w:r>
    <w:r>
      <w:rPr>
        <w:sz w:val="20"/>
      </w:rPr>
      <w:fldChar w:fldCharType="begin"/>
    </w:r>
    <w:r>
      <w:rPr>
        <w:sz w:val="20"/>
      </w:rPr>
      <w:instrText xml:space="preserve"> PAGE </w:instrText>
    </w:r>
    <w:r>
      <w:rPr>
        <w:sz w:val="20"/>
      </w:rPr>
      <w:fldChar w:fldCharType="separate"/>
    </w:r>
    <w:r w:rsidR="00634BFC">
      <w:rPr>
        <w:noProof/>
        <w:sz w:val="20"/>
      </w:rPr>
      <w:t>487</w:t>
    </w:r>
    <w:r>
      <w:rPr>
        <w:sz w:val="20"/>
      </w:rPr>
      <w:fldChar w:fldCharType="end"/>
    </w:r>
    <w:r>
      <w:rPr>
        <w:sz w:val="20"/>
      </w:rPr>
      <w:tab/>
    </w:r>
  </w:p>
  <w:p w:rsidR="00ED1FEE" w:rsidRDefault="00ED1FEE" w:rsidP="000753FE">
    <w:pPr>
      <w:pStyle w:val="Footer"/>
      <w:tabs>
        <w:tab w:val="clear" w:pos="4320"/>
        <w:tab w:val="clear" w:pos="8640"/>
        <w:tab w:val="center" w:pos="5040"/>
        <w:tab w:val="right" w:pos="9360"/>
      </w:tabs>
      <w:ind w:right="360"/>
      <w:rPr>
        <w:sz w:val="20"/>
      </w:rPr>
    </w:pPr>
    <w:r>
      <w:rPr>
        <w:sz w:val="20"/>
      </w:rPr>
      <w:tab/>
      <w:t>User Guide Version 4.0</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FEE" w:rsidRDefault="00ED1FEE">
    <w:pPr>
      <w:pStyle w:val="Footer"/>
      <w:tabs>
        <w:tab w:val="clear" w:pos="8640"/>
        <w:tab w:val="right" w:pos="12600"/>
      </w:tabs>
      <w:ind w:right="360"/>
      <w:rPr>
        <w:sz w:val="20"/>
      </w:rPr>
    </w:pPr>
  </w:p>
  <w:p w:rsidR="00ED1FEE" w:rsidRDefault="00ED1FEE">
    <w:pPr>
      <w:pStyle w:val="Footer"/>
      <w:tabs>
        <w:tab w:val="clear" w:pos="8640"/>
        <w:tab w:val="right" w:pos="9360"/>
      </w:tabs>
      <w:ind w:right="360"/>
      <w:rPr>
        <w:sz w:val="20"/>
      </w:rPr>
    </w:pPr>
  </w:p>
  <w:p w:rsidR="00ED1FEE" w:rsidRDefault="00ED1FEE" w:rsidP="000753FE">
    <w:pPr>
      <w:pStyle w:val="Footer"/>
      <w:tabs>
        <w:tab w:val="clear" w:pos="4320"/>
        <w:tab w:val="clear" w:pos="8640"/>
        <w:tab w:val="center" w:pos="6480"/>
        <w:tab w:val="right" w:pos="12960"/>
      </w:tabs>
      <w:ind w:right="360"/>
      <w:rPr>
        <w:sz w:val="20"/>
      </w:rPr>
    </w:pPr>
    <w:r>
      <w:rPr>
        <w:sz w:val="20"/>
      </w:rPr>
      <w:t>October 2016</w:t>
    </w:r>
    <w:r>
      <w:rPr>
        <w:sz w:val="20"/>
      </w:rPr>
      <w:tab/>
      <w:t>VistA Blood Establishment Computer Software (VBECS) Version 2.2.0</w:t>
    </w:r>
    <w:r>
      <w:rPr>
        <w:sz w:val="20"/>
      </w:rPr>
      <w:tab/>
      <w:t xml:space="preserve">Page </w:t>
    </w:r>
    <w:r>
      <w:rPr>
        <w:sz w:val="20"/>
      </w:rPr>
      <w:fldChar w:fldCharType="begin"/>
    </w:r>
    <w:r>
      <w:rPr>
        <w:sz w:val="20"/>
      </w:rPr>
      <w:instrText xml:space="preserve"> PAGE </w:instrText>
    </w:r>
    <w:r>
      <w:rPr>
        <w:sz w:val="20"/>
      </w:rPr>
      <w:fldChar w:fldCharType="separate"/>
    </w:r>
    <w:r w:rsidR="00634BFC">
      <w:rPr>
        <w:noProof/>
        <w:sz w:val="20"/>
      </w:rPr>
      <w:t>489</w:t>
    </w:r>
    <w:r>
      <w:rPr>
        <w:sz w:val="20"/>
      </w:rPr>
      <w:fldChar w:fldCharType="end"/>
    </w:r>
    <w:r>
      <w:rPr>
        <w:sz w:val="20"/>
      </w:rPr>
      <w:tab/>
    </w:r>
  </w:p>
  <w:p w:rsidR="00ED1FEE" w:rsidRDefault="00ED1FEE" w:rsidP="000753FE">
    <w:pPr>
      <w:pStyle w:val="Footer"/>
      <w:tabs>
        <w:tab w:val="clear" w:pos="4320"/>
        <w:tab w:val="clear" w:pos="8640"/>
        <w:tab w:val="center" w:pos="6480"/>
        <w:tab w:val="right" w:pos="12780"/>
      </w:tabs>
      <w:ind w:right="360"/>
      <w:rPr>
        <w:sz w:val="20"/>
      </w:rPr>
    </w:pPr>
    <w:r>
      <w:rPr>
        <w:sz w:val="20"/>
      </w:rPr>
      <w:tab/>
      <w:t>User Guide Version 4.0</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FEE" w:rsidRDefault="00ED1FEE">
    <w:pPr>
      <w:pStyle w:val="Footer"/>
      <w:tabs>
        <w:tab w:val="clear" w:pos="8640"/>
        <w:tab w:val="right" w:pos="12600"/>
      </w:tabs>
      <w:ind w:right="360"/>
      <w:rPr>
        <w:sz w:val="20"/>
      </w:rPr>
    </w:pPr>
  </w:p>
  <w:p w:rsidR="00ED1FEE" w:rsidRDefault="00ED1FEE">
    <w:pPr>
      <w:pStyle w:val="Footer"/>
      <w:tabs>
        <w:tab w:val="clear" w:pos="8640"/>
        <w:tab w:val="right" w:pos="9360"/>
      </w:tabs>
      <w:ind w:right="360"/>
      <w:rPr>
        <w:sz w:val="20"/>
      </w:rPr>
    </w:pPr>
  </w:p>
  <w:p w:rsidR="00ED1FEE" w:rsidRDefault="00ED1FEE" w:rsidP="007566FC">
    <w:pPr>
      <w:pStyle w:val="Footer"/>
      <w:tabs>
        <w:tab w:val="clear" w:pos="4320"/>
        <w:tab w:val="clear" w:pos="8640"/>
        <w:tab w:val="center" w:pos="5040"/>
        <w:tab w:val="right" w:pos="9360"/>
        <w:tab w:val="right" w:pos="12960"/>
      </w:tabs>
      <w:ind w:right="360"/>
      <w:rPr>
        <w:sz w:val="20"/>
      </w:rPr>
    </w:pPr>
    <w:r>
      <w:rPr>
        <w:sz w:val="20"/>
      </w:rPr>
      <w:t>October 2016</w:t>
    </w:r>
    <w:r>
      <w:rPr>
        <w:sz w:val="20"/>
      </w:rPr>
      <w:tab/>
      <w:t>VistA Blood Establishment Computer Software (VBECS) Version 2.2.0</w:t>
    </w:r>
    <w:r>
      <w:rPr>
        <w:sz w:val="20"/>
      </w:rPr>
      <w:tab/>
      <w:t xml:space="preserve">Page </w:t>
    </w:r>
    <w:r>
      <w:rPr>
        <w:sz w:val="20"/>
      </w:rPr>
      <w:fldChar w:fldCharType="begin"/>
    </w:r>
    <w:r>
      <w:rPr>
        <w:sz w:val="20"/>
      </w:rPr>
      <w:instrText xml:space="preserve"> PAGE </w:instrText>
    </w:r>
    <w:r>
      <w:rPr>
        <w:sz w:val="20"/>
      </w:rPr>
      <w:fldChar w:fldCharType="separate"/>
    </w:r>
    <w:r w:rsidR="00634BFC">
      <w:rPr>
        <w:noProof/>
        <w:sz w:val="20"/>
      </w:rPr>
      <w:t>492</w:t>
    </w:r>
    <w:r>
      <w:rPr>
        <w:sz w:val="20"/>
      </w:rPr>
      <w:fldChar w:fldCharType="end"/>
    </w:r>
    <w:r>
      <w:rPr>
        <w:sz w:val="20"/>
      </w:rPr>
      <w:tab/>
    </w:r>
  </w:p>
  <w:p w:rsidR="00ED1FEE" w:rsidRDefault="00ED1FEE" w:rsidP="007566FC">
    <w:pPr>
      <w:pStyle w:val="Footer"/>
      <w:tabs>
        <w:tab w:val="clear" w:pos="4320"/>
        <w:tab w:val="clear" w:pos="8640"/>
        <w:tab w:val="center" w:pos="5040"/>
        <w:tab w:val="right" w:pos="9360"/>
        <w:tab w:val="right" w:pos="12780"/>
      </w:tabs>
      <w:ind w:right="360"/>
      <w:rPr>
        <w:sz w:val="20"/>
      </w:rPr>
    </w:pPr>
    <w:r>
      <w:rPr>
        <w:sz w:val="20"/>
      </w:rPr>
      <w:tab/>
      <w:t>User Guide Version 4.0</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FEE" w:rsidRDefault="00ED1FEE" w:rsidP="007566FC">
    <w:pPr>
      <w:pStyle w:val="Footer"/>
      <w:tabs>
        <w:tab w:val="clear" w:pos="4320"/>
        <w:tab w:val="clear" w:pos="8640"/>
        <w:tab w:val="center" w:pos="6480"/>
        <w:tab w:val="right" w:pos="12960"/>
      </w:tabs>
      <w:ind w:right="360"/>
      <w:rPr>
        <w:sz w:val="20"/>
      </w:rPr>
    </w:pPr>
  </w:p>
  <w:p w:rsidR="00ED1FEE" w:rsidRDefault="00ED1FEE" w:rsidP="007566FC">
    <w:pPr>
      <w:pStyle w:val="Footer"/>
      <w:tabs>
        <w:tab w:val="clear" w:pos="4320"/>
        <w:tab w:val="clear" w:pos="8640"/>
        <w:tab w:val="center" w:pos="6480"/>
        <w:tab w:val="right" w:pos="12960"/>
      </w:tabs>
      <w:ind w:right="360"/>
      <w:rPr>
        <w:sz w:val="20"/>
      </w:rPr>
    </w:pPr>
  </w:p>
  <w:p w:rsidR="00ED1FEE" w:rsidRDefault="00ED1FEE" w:rsidP="007566FC">
    <w:pPr>
      <w:pStyle w:val="Footer"/>
      <w:tabs>
        <w:tab w:val="clear" w:pos="4320"/>
        <w:tab w:val="clear" w:pos="8640"/>
        <w:tab w:val="center" w:pos="6480"/>
        <w:tab w:val="right" w:pos="12780"/>
        <w:tab w:val="right" w:pos="12960"/>
      </w:tabs>
      <w:ind w:right="360"/>
      <w:rPr>
        <w:sz w:val="20"/>
      </w:rPr>
    </w:pPr>
    <w:r>
      <w:rPr>
        <w:sz w:val="20"/>
      </w:rPr>
      <w:t>October 2016</w:t>
    </w:r>
    <w:r>
      <w:rPr>
        <w:sz w:val="20"/>
      </w:rPr>
      <w:tab/>
      <w:t>VistA Blood Establishment Computer Software (VBECS) Version 2.2.0</w:t>
    </w:r>
    <w:r>
      <w:rPr>
        <w:sz w:val="20"/>
      </w:rPr>
      <w:tab/>
      <w:t xml:space="preserve">Page </w:t>
    </w:r>
    <w:r>
      <w:rPr>
        <w:sz w:val="20"/>
      </w:rPr>
      <w:fldChar w:fldCharType="begin"/>
    </w:r>
    <w:r>
      <w:rPr>
        <w:sz w:val="20"/>
      </w:rPr>
      <w:instrText xml:space="preserve"> PAGE </w:instrText>
    </w:r>
    <w:r>
      <w:rPr>
        <w:sz w:val="20"/>
      </w:rPr>
      <w:fldChar w:fldCharType="separate"/>
    </w:r>
    <w:r w:rsidR="00634BFC">
      <w:rPr>
        <w:noProof/>
        <w:sz w:val="20"/>
      </w:rPr>
      <w:t>494</w:t>
    </w:r>
    <w:r>
      <w:rPr>
        <w:sz w:val="20"/>
      </w:rPr>
      <w:fldChar w:fldCharType="end"/>
    </w:r>
    <w:r>
      <w:rPr>
        <w:sz w:val="20"/>
      </w:rPr>
      <w:tab/>
    </w:r>
  </w:p>
  <w:p w:rsidR="00ED1FEE" w:rsidRDefault="00ED1FEE" w:rsidP="007566FC">
    <w:pPr>
      <w:pStyle w:val="Footer"/>
      <w:tabs>
        <w:tab w:val="clear" w:pos="4320"/>
        <w:tab w:val="clear" w:pos="8640"/>
        <w:tab w:val="center" w:pos="6480"/>
        <w:tab w:val="right" w:pos="12960"/>
      </w:tabs>
      <w:ind w:right="360"/>
      <w:rPr>
        <w:sz w:val="20"/>
      </w:rPr>
    </w:pPr>
    <w:r>
      <w:rPr>
        <w:sz w:val="20"/>
      </w:rPr>
      <w:tab/>
      <w:t>User Guide Version 4.0</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FEE" w:rsidRDefault="00ED1FEE" w:rsidP="00F304F2">
    <w:pPr>
      <w:pStyle w:val="Footer"/>
      <w:tabs>
        <w:tab w:val="clear" w:pos="4320"/>
        <w:tab w:val="clear" w:pos="8640"/>
        <w:tab w:val="center" w:pos="5040"/>
        <w:tab w:val="right" w:pos="9360"/>
        <w:tab w:val="right" w:pos="12960"/>
      </w:tabs>
      <w:ind w:right="360"/>
      <w:rPr>
        <w:sz w:val="20"/>
      </w:rPr>
    </w:pPr>
  </w:p>
  <w:p w:rsidR="00ED1FEE" w:rsidRDefault="00ED1FEE" w:rsidP="00F304F2">
    <w:pPr>
      <w:pStyle w:val="Footer"/>
      <w:tabs>
        <w:tab w:val="clear" w:pos="4320"/>
        <w:tab w:val="clear" w:pos="8640"/>
        <w:tab w:val="center" w:pos="5040"/>
        <w:tab w:val="right" w:pos="12960"/>
      </w:tabs>
      <w:ind w:right="360"/>
      <w:rPr>
        <w:sz w:val="20"/>
      </w:rPr>
    </w:pPr>
  </w:p>
  <w:p w:rsidR="00ED1FEE" w:rsidRDefault="00ED1FEE" w:rsidP="000571E4">
    <w:pPr>
      <w:pStyle w:val="Footer"/>
      <w:tabs>
        <w:tab w:val="clear" w:pos="4320"/>
        <w:tab w:val="clear" w:pos="8640"/>
        <w:tab w:val="center" w:pos="5040"/>
        <w:tab w:val="right" w:pos="9360"/>
        <w:tab w:val="right" w:pos="12780"/>
        <w:tab w:val="right" w:pos="12960"/>
      </w:tabs>
      <w:ind w:right="360"/>
      <w:rPr>
        <w:sz w:val="20"/>
      </w:rPr>
    </w:pPr>
    <w:r>
      <w:rPr>
        <w:sz w:val="20"/>
      </w:rPr>
      <w:t>October 2016</w:t>
    </w:r>
    <w:r>
      <w:rPr>
        <w:sz w:val="20"/>
      </w:rPr>
      <w:tab/>
      <w:t>VistA Blood Establishment Computer Software (VBECS) Version 2.2.0</w:t>
    </w:r>
    <w:r>
      <w:rPr>
        <w:sz w:val="20"/>
      </w:rPr>
      <w:tab/>
      <w:t xml:space="preserve">Page </w:t>
    </w:r>
    <w:r>
      <w:rPr>
        <w:sz w:val="20"/>
      </w:rPr>
      <w:fldChar w:fldCharType="begin"/>
    </w:r>
    <w:r>
      <w:rPr>
        <w:sz w:val="20"/>
      </w:rPr>
      <w:instrText xml:space="preserve"> PAGE </w:instrText>
    </w:r>
    <w:r>
      <w:rPr>
        <w:sz w:val="20"/>
      </w:rPr>
      <w:fldChar w:fldCharType="separate"/>
    </w:r>
    <w:r w:rsidR="00634BFC">
      <w:rPr>
        <w:noProof/>
        <w:sz w:val="20"/>
      </w:rPr>
      <w:t>529</w:t>
    </w:r>
    <w:r>
      <w:rPr>
        <w:sz w:val="20"/>
      </w:rPr>
      <w:fldChar w:fldCharType="end"/>
    </w:r>
    <w:r>
      <w:rPr>
        <w:sz w:val="20"/>
      </w:rPr>
      <w:tab/>
    </w:r>
  </w:p>
  <w:p w:rsidR="00ED1FEE" w:rsidRDefault="00ED1FEE" w:rsidP="00F304F2">
    <w:pPr>
      <w:pStyle w:val="Footer"/>
      <w:tabs>
        <w:tab w:val="clear" w:pos="4320"/>
        <w:tab w:val="clear" w:pos="8640"/>
        <w:tab w:val="center" w:pos="5040"/>
        <w:tab w:val="right" w:pos="9360"/>
        <w:tab w:val="right" w:pos="12960"/>
      </w:tabs>
      <w:ind w:right="360"/>
      <w:rPr>
        <w:sz w:val="20"/>
      </w:rPr>
    </w:pPr>
    <w:r>
      <w:rPr>
        <w:sz w:val="20"/>
      </w:rPr>
      <w:tab/>
      <w:t>User Guide Version 4.0</w:t>
    </w:r>
  </w:p>
  <w:p w:rsidR="00ED1FEE" w:rsidRDefault="00ED1FEE"/>
  <w:p w:rsidR="00ED1FEE" w:rsidRDefault="00ED1FE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FEE" w:rsidRDefault="00ED1FEE">
    <w:pPr>
      <w:pStyle w:val="Footer"/>
      <w:tabs>
        <w:tab w:val="clear" w:pos="8640"/>
      </w:tabs>
      <w:ind w:right="360"/>
      <w:rPr>
        <w:sz w:val="20"/>
      </w:rPr>
    </w:pPr>
  </w:p>
  <w:p w:rsidR="00ED1FEE" w:rsidRDefault="00ED1FEE">
    <w:pPr>
      <w:pStyle w:val="Footer"/>
      <w:tabs>
        <w:tab w:val="clear" w:pos="8640"/>
      </w:tabs>
      <w:ind w:right="360"/>
      <w:rPr>
        <w:sz w:val="20"/>
      </w:rPr>
    </w:pPr>
  </w:p>
  <w:p w:rsidR="00ED1FEE" w:rsidRDefault="00ED1FEE">
    <w:pPr>
      <w:pStyle w:val="Footer"/>
      <w:tabs>
        <w:tab w:val="clear" w:pos="4320"/>
        <w:tab w:val="clear" w:pos="8640"/>
        <w:tab w:val="center" w:pos="4860"/>
      </w:tabs>
      <w:ind w:right="360"/>
      <w:rPr>
        <w:sz w:val="20"/>
      </w:rPr>
    </w:pPr>
    <w:r>
      <w:rPr>
        <w:sz w:val="20"/>
      </w:rPr>
      <w:t>October 2016</w:t>
    </w:r>
    <w:r>
      <w:rPr>
        <w:sz w:val="20"/>
      </w:rPr>
      <w:tab/>
      <w:t>VistA Blood Establishment Computer Software (VBECS) Version 2.2.0</w:t>
    </w:r>
  </w:p>
  <w:p w:rsidR="00ED1FEE" w:rsidRDefault="00ED1FEE">
    <w:pPr>
      <w:pStyle w:val="Footer"/>
      <w:tabs>
        <w:tab w:val="clear" w:pos="4320"/>
        <w:tab w:val="center" w:pos="4860"/>
      </w:tabs>
      <w:ind w:right="360"/>
      <w:jc w:val="center"/>
      <w:rPr>
        <w:sz w:val="20"/>
      </w:rPr>
    </w:pPr>
    <w:r>
      <w:rPr>
        <w:sz w:val="20"/>
      </w:rPr>
      <w:t>User Guide Version 4.0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FEE" w:rsidRDefault="00ED1FEE">
    <w:pPr>
      <w:pStyle w:val="Footer"/>
      <w:ind w:right="360"/>
      <w:rPr>
        <w:sz w:val="20"/>
      </w:rPr>
    </w:pPr>
    <w:r>
      <w:rPr>
        <w:sz w:val="20"/>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FEE" w:rsidRDefault="00ED1FEE" w:rsidP="00F7279E">
    <w:pPr>
      <w:pStyle w:val="Footer"/>
      <w:tabs>
        <w:tab w:val="clear" w:pos="8640"/>
        <w:tab w:val="right" w:pos="9360"/>
      </w:tabs>
      <w:ind w:right="360"/>
      <w:rPr>
        <w:sz w:val="20"/>
      </w:rPr>
    </w:pPr>
  </w:p>
  <w:p w:rsidR="00ED1FEE" w:rsidRDefault="00ED1FEE" w:rsidP="00F7279E">
    <w:pPr>
      <w:pStyle w:val="Footer"/>
      <w:tabs>
        <w:tab w:val="clear" w:pos="8640"/>
        <w:tab w:val="right" w:pos="9360"/>
      </w:tabs>
      <w:ind w:right="360"/>
      <w:rPr>
        <w:sz w:val="20"/>
      </w:rPr>
    </w:pPr>
  </w:p>
  <w:p w:rsidR="00ED1FEE" w:rsidRDefault="00ED1FEE" w:rsidP="00F7279E">
    <w:pPr>
      <w:pStyle w:val="Footer"/>
      <w:tabs>
        <w:tab w:val="clear" w:pos="4320"/>
        <w:tab w:val="clear" w:pos="8640"/>
        <w:tab w:val="center" w:pos="5040"/>
        <w:tab w:val="right" w:pos="9360"/>
      </w:tabs>
      <w:ind w:right="360"/>
      <w:rPr>
        <w:sz w:val="20"/>
      </w:rPr>
    </w:pPr>
    <w:r>
      <w:rPr>
        <w:sz w:val="20"/>
      </w:rPr>
      <w:t>October 2016</w:t>
    </w:r>
    <w:r>
      <w:rPr>
        <w:sz w:val="20"/>
      </w:rPr>
      <w:tab/>
    </w:r>
    <w:r w:rsidRPr="0085679C">
      <w:rPr>
        <w:sz w:val="20"/>
        <w:szCs w:val="20"/>
      </w:rPr>
      <w:t>VistA</w:t>
    </w:r>
    <w:r>
      <w:rPr>
        <w:sz w:val="20"/>
        <w:szCs w:val="20"/>
      </w:rPr>
      <w:t xml:space="preserve"> B</w:t>
    </w:r>
    <w:r w:rsidRPr="0085679C">
      <w:rPr>
        <w:sz w:val="20"/>
        <w:szCs w:val="20"/>
      </w:rPr>
      <w:t>loo</w:t>
    </w:r>
    <w:r>
      <w:rPr>
        <w:sz w:val="20"/>
      </w:rPr>
      <w:t>d Establishment Computer Software (VBECS) Version 2.2.0</w:t>
    </w:r>
    <w:r>
      <w:rPr>
        <w:sz w:val="20"/>
      </w:rPr>
      <w:tab/>
      <w:t xml:space="preserve">Page </w:t>
    </w:r>
    <w:r>
      <w:rPr>
        <w:sz w:val="20"/>
      </w:rPr>
      <w:fldChar w:fldCharType="begin"/>
    </w:r>
    <w:r>
      <w:rPr>
        <w:sz w:val="20"/>
      </w:rPr>
      <w:instrText xml:space="preserve"> PAGE </w:instrText>
    </w:r>
    <w:r>
      <w:rPr>
        <w:sz w:val="20"/>
      </w:rPr>
      <w:fldChar w:fldCharType="separate"/>
    </w:r>
    <w:r w:rsidR="00634BFC">
      <w:rPr>
        <w:noProof/>
        <w:sz w:val="20"/>
      </w:rPr>
      <w:t>x</w:t>
    </w:r>
    <w:r>
      <w:rPr>
        <w:sz w:val="20"/>
      </w:rPr>
      <w:fldChar w:fldCharType="end"/>
    </w:r>
    <w:r>
      <w:rPr>
        <w:sz w:val="20"/>
      </w:rPr>
      <w:tab/>
    </w:r>
  </w:p>
  <w:p w:rsidR="00ED1FEE" w:rsidRDefault="00ED1FEE" w:rsidP="00F7279E">
    <w:pPr>
      <w:pStyle w:val="Footer"/>
      <w:tabs>
        <w:tab w:val="clear" w:pos="4320"/>
        <w:tab w:val="clear" w:pos="8640"/>
        <w:tab w:val="center" w:pos="5040"/>
        <w:tab w:val="right" w:pos="9360"/>
      </w:tabs>
      <w:ind w:right="360"/>
      <w:rPr>
        <w:sz w:val="20"/>
      </w:rPr>
    </w:pPr>
    <w:r>
      <w:rPr>
        <w:sz w:val="20"/>
      </w:rPr>
      <w:tab/>
      <w:t>User Guide Version 4.0</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FEE" w:rsidRDefault="00ED1FEE" w:rsidP="00F7279E">
    <w:pPr>
      <w:pStyle w:val="Footer"/>
      <w:tabs>
        <w:tab w:val="clear" w:pos="8640"/>
        <w:tab w:val="right" w:pos="9360"/>
      </w:tabs>
      <w:ind w:right="360"/>
      <w:rPr>
        <w:sz w:val="20"/>
      </w:rPr>
    </w:pPr>
  </w:p>
  <w:p w:rsidR="00ED1FEE" w:rsidRDefault="00ED1FEE" w:rsidP="00F7279E">
    <w:pPr>
      <w:pStyle w:val="Footer"/>
      <w:tabs>
        <w:tab w:val="clear" w:pos="4320"/>
        <w:tab w:val="clear" w:pos="8640"/>
        <w:tab w:val="center" w:pos="5040"/>
        <w:tab w:val="right" w:pos="9360"/>
      </w:tabs>
      <w:ind w:right="360"/>
      <w:rPr>
        <w:sz w:val="20"/>
      </w:rPr>
    </w:pPr>
    <w:r>
      <w:rPr>
        <w:sz w:val="20"/>
      </w:rPr>
      <w:t>October 2016</w:t>
    </w:r>
    <w:r>
      <w:rPr>
        <w:sz w:val="20"/>
      </w:rPr>
      <w:tab/>
    </w:r>
    <w:r w:rsidRPr="0085679C">
      <w:rPr>
        <w:sz w:val="20"/>
        <w:szCs w:val="20"/>
      </w:rPr>
      <w:t>VistA</w:t>
    </w:r>
    <w:r>
      <w:rPr>
        <w:sz w:val="20"/>
        <w:szCs w:val="20"/>
      </w:rPr>
      <w:t xml:space="preserve"> B</w:t>
    </w:r>
    <w:r w:rsidRPr="0085679C">
      <w:rPr>
        <w:sz w:val="20"/>
        <w:szCs w:val="20"/>
      </w:rPr>
      <w:t>loo</w:t>
    </w:r>
    <w:r>
      <w:rPr>
        <w:sz w:val="20"/>
      </w:rPr>
      <w:t>d Establishment Computer Software (VBECS) Version 2.2.0</w:t>
    </w:r>
    <w:r>
      <w:rPr>
        <w:sz w:val="20"/>
      </w:rPr>
      <w:tab/>
      <w:t xml:space="preserve">Page </w:t>
    </w:r>
    <w:r>
      <w:rPr>
        <w:sz w:val="20"/>
      </w:rPr>
      <w:fldChar w:fldCharType="begin"/>
    </w:r>
    <w:r>
      <w:rPr>
        <w:sz w:val="20"/>
      </w:rPr>
      <w:instrText xml:space="preserve"> PAGE </w:instrText>
    </w:r>
    <w:r>
      <w:rPr>
        <w:sz w:val="20"/>
      </w:rPr>
      <w:fldChar w:fldCharType="separate"/>
    </w:r>
    <w:r w:rsidR="00634BFC">
      <w:rPr>
        <w:noProof/>
        <w:sz w:val="20"/>
      </w:rPr>
      <w:t>11</w:t>
    </w:r>
    <w:r>
      <w:rPr>
        <w:sz w:val="20"/>
      </w:rPr>
      <w:fldChar w:fldCharType="end"/>
    </w:r>
    <w:r>
      <w:rPr>
        <w:sz w:val="20"/>
      </w:rPr>
      <w:tab/>
    </w:r>
  </w:p>
  <w:p w:rsidR="00ED1FEE" w:rsidRDefault="00ED1FEE" w:rsidP="00F7279E">
    <w:pPr>
      <w:pStyle w:val="Footer"/>
      <w:tabs>
        <w:tab w:val="clear" w:pos="4320"/>
        <w:tab w:val="clear" w:pos="8640"/>
        <w:tab w:val="center" w:pos="5040"/>
        <w:tab w:val="right" w:pos="9360"/>
      </w:tabs>
      <w:ind w:right="360"/>
      <w:rPr>
        <w:sz w:val="20"/>
      </w:rPr>
    </w:pPr>
    <w:r w:rsidRPr="005B2554">
      <w:rPr>
        <w:sz w:val="20"/>
      </w:rPr>
      <w:tab/>
    </w:r>
    <w:r>
      <w:rPr>
        <w:sz w:val="20"/>
      </w:rPr>
      <w:t>User Guide Version 4.0</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FEE" w:rsidRDefault="00ED1FEE" w:rsidP="00F7279E">
    <w:pPr>
      <w:pStyle w:val="Footer"/>
      <w:tabs>
        <w:tab w:val="clear" w:pos="8640"/>
        <w:tab w:val="right" w:pos="9360"/>
      </w:tabs>
      <w:ind w:right="360"/>
      <w:rPr>
        <w:sz w:val="20"/>
      </w:rPr>
    </w:pPr>
  </w:p>
  <w:p w:rsidR="00ED1FEE" w:rsidRDefault="00ED1FEE" w:rsidP="00F7279E">
    <w:pPr>
      <w:pStyle w:val="Footer"/>
      <w:tabs>
        <w:tab w:val="clear" w:pos="8640"/>
        <w:tab w:val="right" w:pos="9360"/>
      </w:tabs>
      <w:ind w:right="360"/>
      <w:rPr>
        <w:sz w:val="20"/>
      </w:rPr>
    </w:pPr>
  </w:p>
  <w:p w:rsidR="00ED1FEE" w:rsidRDefault="00ED1FEE" w:rsidP="00F7279E">
    <w:pPr>
      <w:pStyle w:val="Footer"/>
      <w:tabs>
        <w:tab w:val="clear" w:pos="4320"/>
        <w:tab w:val="clear" w:pos="8640"/>
        <w:tab w:val="center" w:pos="5040"/>
        <w:tab w:val="right" w:pos="9360"/>
      </w:tabs>
      <w:ind w:right="360"/>
      <w:rPr>
        <w:sz w:val="20"/>
      </w:rPr>
    </w:pPr>
    <w:r>
      <w:rPr>
        <w:sz w:val="20"/>
      </w:rPr>
      <w:t>October 2016</w:t>
    </w:r>
    <w:r>
      <w:rPr>
        <w:sz w:val="20"/>
      </w:rPr>
      <w:tab/>
    </w:r>
    <w:r w:rsidRPr="0085679C">
      <w:rPr>
        <w:sz w:val="20"/>
        <w:szCs w:val="20"/>
      </w:rPr>
      <w:t>VistA</w:t>
    </w:r>
    <w:r>
      <w:rPr>
        <w:sz w:val="20"/>
        <w:szCs w:val="20"/>
      </w:rPr>
      <w:t xml:space="preserve"> B</w:t>
    </w:r>
    <w:r w:rsidRPr="0085679C">
      <w:rPr>
        <w:sz w:val="20"/>
        <w:szCs w:val="20"/>
      </w:rPr>
      <w:t>loo</w:t>
    </w:r>
    <w:r>
      <w:rPr>
        <w:sz w:val="20"/>
      </w:rPr>
      <w:t>d Establishment Computer Software (VBECS) Version 2.2.0</w:t>
    </w:r>
    <w:r>
      <w:rPr>
        <w:sz w:val="20"/>
      </w:rPr>
      <w:tab/>
      <w:t xml:space="preserve">Page </w:t>
    </w:r>
    <w:r>
      <w:rPr>
        <w:sz w:val="20"/>
      </w:rPr>
      <w:fldChar w:fldCharType="begin"/>
    </w:r>
    <w:r>
      <w:rPr>
        <w:sz w:val="20"/>
      </w:rPr>
      <w:instrText xml:space="preserve"> PAGE </w:instrText>
    </w:r>
    <w:r>
      <w:rPr>
        <w:sz w:val="20"/>
      </w:rPr>
      <w:fldChar w:fldCharType="separate"/>
    </w:r>
    <w:r w:rsidR="00634BFC">
      <w:rPr>
        <w:noProof/>
        <w:sz w:val="20"/>
      </w:rPr>
      <w:t>384</w:t>
    </w:r>
    <w:r>
      <w:rPr>
        <w:sz w:val="20"/>
      </w:rPr>
      <w:fldChar w:fldCharType="end"/>
    </w:r>
    <w:r>
      <w:rPr>
        <w:sz w:val="20"/>
      </w:rPr>
      <w:tab/>
    </w:r>
  </w:p>
  <w:p w:rsidR="00ED1FEE" w:rsidRDefault="00ED1FEE" w:rsidP="00F7279E">
    <w:pPr>
      <w:pStyle w:val="Footer"/>
      <w:tabs>
        <w:tab w:val="clear" w:pos="4320"/>
        <w:tab w:val="clear" w:pos="8640"/>
        <w:tab w:val="center" w:pos="5040"/>
        <w:tab w:val="right" w:pos="9360"/>
      </w:tabs>
      <w:ind w:right="360"/>
      <w:rPr>
        <w:sz w:val="20"/>
      </w:rPr>
    </w:pPr>
    <w:r w:rsidRPr="005B2554">
      <w:rPr>
        <w:sz w:val="20"/>
      </w:rPr>
      <w:tab/>
    </w:r>
    <w:r>
      <w:rPr>
        <w:sz w:val="20"/>
      </w:rPr>
      <w:t>User Guide Version 4.0</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FEE" w:rsidRDefault="00ED1FEE" w:rsidP="00140686">
    <w:pPr>
      <w:pStyle w:val="Footer"/>
      <w:tabs>
        <w:tab w:val="clear" w:pos="4320"/>
        <w:tab w:val="clear" w:pos="8640"/>
        <w:tab w:val="center" w:pos="6480"/>
        <w:tab w:val="right" w:pos="12960"/>
      </w:tabs>
      <w:ind w:right="360"/>
      <w:rPr>
        <w:sz w:val="20"/>
      </w:rPr>
    </w:pPr>
  </w:p>
  <w:p w:rsidR="00ED1FEE" w:rsidRDefault="00ED1FEE" w:rsidP="00140686">
    <w:pPr>
      <w:pStyle w:val="Footer"/>
      <w:tabs>
        <w:tab w:val="clear" w:pos="4320"/>
        <w:tab w:val="clear" w:pos="8640"/>
        <w:tab w:val="center" w:pos="6480"/>
        <w:tab w:val="right" w:pos="12960"/>
      </w:tabs>
      <w:ind w:right="360"/>
      <w:rPr>
        <w:sz w:val="20"/>
      </w:rPr>
    </w:pPr>
  </w:p>
  <w:p w:rsidR="00ED1FEE" w:rsidRDefault="00ED1FEE" w:rsidP="00140686">
    <w:pPr>
      <w:pStyle w:val="Footer"/>
      <w:tabs>
        <w:tab w:val="clear" w:pos="4320"/>
        <w:tab w:val="clear" w:pos="8640"/>
        <w:tab w:val="center" w:pos="6480"/>
        <w:tab w:val="right" w:pos="12960"/>
      </w:tabs>
      <w:ind w:right="360"/>
      <w:rPr>
        <w:sz w:val="20"/>
      </w:rPr>
    </w:pPr>
    <w:r>
      <w:rPr>
        <w:sz w:val="20"/>
      </w:rPr>
      <w:t>October 2016</w:t>
    </w:r>
    <w:r>
      <w:rPr>
        <w:sz w:val="20"/>
      </w:rPr>
      <w:tab/>
    </w:r>
    <w:r w:rsidRPr="0085679C">
      <w:rPr>
        <w:sz w:val="20"/>
        <w:szCs w:val="20"/>
      </w:rPr>
      <w:t>VistA</w:t>
    </w:r>
    <w:r>
      <w:rPr>
        <w:sz w:val="20"/>
        <w:szCs w:val="20"/>
      </w:rPr>
      <w:t xml:space="preserve"> B</w:t>
    </w:r>
    <w:r w:rsidRPr="0085679C">
      <w:rPr>
        <w:sz w:val="20"/>
        <w:szCs w:val="20"/>
      </w:rPr>
      <w:t>loo</w:t>
    </w:r>
    <w:r>
      <w:rPr>
        <w:sz w:val="20"/>
      </w:rPr>
      <w:t>d Establishment Computer Software (VBECS) Version 2.2.0</w:t>
    </w:r>
    <w:r>
      <w:rPr>
        <w:sz w:val="20"/>
      </w:rPr>
      <w:tab/>
      <w:t xml:space="preserve">Page </w:t>
    </w:r>
    <w:r>
      <w:rPr>
        <w:sz w:val="20"/>
      </w:rPr>
      <w:fldChar w:fldCharType="begin"/>
    </w:r>
    <w:r>
      <w:rPr>
        <w:sz w:val="20"/>
      </w:rPr>
      <w:instrText xml:space="preserve"> PAGE </w:instrText>
    </w:r>
    <w:r>
      <w:rPr>
        <w:sz w:val="20"/>
      </w:rPr>
      <w:fldChar w:fldCharType="separate"/>
    </w:r>
    <w:r w:rsidR="00634BFC">
      <w:rPr>
        <w:noProof/>
        <w:sz w:val="20"/>
      </w:rPr>
      <w:t>391</w:t>
    </w:r>
    <w:r>
      <w:rPr>
        <w:sz w:val="20"/>
      </w:rPr>
      <w:fldChar w:fldCharType="end"/>
    </w:r>
  </w:p>
  <w:p w:rsidR="00ED1FEE" w:rsidRDefault="00ED1FEE" w:rsidP="00140686">
    <w:pPr>
      <w:pStyle w:val="Footer"/>
      <w:tabs>
        <w:tab w:val="clear" w:pos="4320"/>
        <w:tab w:val="clear" w:pos="8640"/>
        <w:tab w:val="center" w:pos="6480"/>
        <w:tab w:val="right" w:pos="12960"/>
      </w:tabs>
      <w:ind w:right="360"/>
      <w:rPr>
        <w:sz w:val="20"/>
      </w:rPr>
    </w:pPr>
    <w:r>
      <w:rPr>
        <w:sz w:val="20"/>
      </w:rPr>
      <w:tab/>
      <w:t>User Guide Version 4.0</w:t>
    </w:r>
  </w:p>
  <w:p w:rsidR="00ED1FEE" w:rsidRDefault="00ED1FEE" w:rsidP="00536F22">
    <w:pPr>
      <w:pStyle w:val="Footer"/>
      <w:tabs>
        <w:tab w:val="clear" w:pos="8640"/>
        <w:tab w:val="right" w:pos="9360"/>
      </w:tabs>
      <w:ind w:right="360"/>
      <w:rPr>
        <w:sz w:val="20"/>
      </w:rPr>
    </w:pPr>
  </w:p>
  <w:p w:rsidR="00ED1FEE" w:rsidRDefault="00ED1FEE" w:rsidP="00536F22">
    <w:pPr>
      <w:pStyle w:val="Footer"/>
      <w:tabs>
        <w:tab w:val="clear" w:pos="4320"/>
        <w:tab w:val="clear" w:pos="8640"/>
        <w:tab w:val="center" w:pos="6480"/>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FEE" w:rsidRDefault="00ED1FEE" w:rsidP="00F304F2">
    <w:pPr>
      <w:pStyle w:val="Footer"/>
      <w:tabs>
        <w:tab w:val="clear" w:pos="8640"/>
        <w:tab w:val="right" w:pos="9360"/>
      </w:tabs>
      <w:ind w:right="360"/>
      <w:rPr>
        <w:sz w:val="20"/>
      </w:rPr>
    </w:pPr>
  </w:p>
  <w:p w:rsidR="00ED1FEE" w:rsidRDefault="00ED1FEE" w:rsidP="00F304F2">
    <w:pPr>
      <w:pStyle w:val="Footer"/>
      <w:tabs>
        <w:tab w:val="clear" w:pos="8640"/>
        <w:tab w:val="right" w:pos="9360"/>
      </w:tabs>
      <w:ind w:right="360"/>
      <w:rPr>
        <w:sz w:val="20"/>
      </w:rPr>
    </w:pPr>
  </w:p>
  <w:p w:rsidR="00ED1FEE" w:rsidRDefault="00ED1FEE" w:rsidP="00F304F2">
    <w:pPr>
      <w:pStyle w:val="Footer"/>
      <w:tabs>
        <w:tab w:val="clear" w:pos="4320"/>
        <w:tab w:val="clear" w:pos="8640"/>
        <w:tab w:val="center" w:pos="5040"/>
        <w:tab w:val="right" w:pos="9360"/>
      </w:tabs>
      <w:ind w:right="360"/>
      <w:rPr>
        <w:sz w:val="20"/>
      </w:rPr>
    </w:pPr>
    <w:r>
      <w:rPr>
        <w:sz w:val="20"/>
      </w:rPr>
      <w:t>October 2016</w:t>
    </w:r>
    <w:r>
      <w:rPr>
        <w:sz w:val="20"/>
      </w:rPr>
      <w:tab/>
    </w:r>
    <w:r w:rsidRPr="0085679C">
      <w:rPr>
        <w:sz w:val="20"/>
        <w:szCs w:val="20"/>
      </w:rPr>
      <w:t>VistA</w:t>
    </w:r>
    <w:r>
      <w:rPr>
        <w:sz w:val="20"/>
        <w:szCs w:val="20"/>
      </w:rPr>
      <w:t xml:space="preserve"> B</w:t>
    </w:r>
    <w:r w:rsidRPr="0085679C">
      <w:rPr>
        <w:sz w:val="20"/>
        <w:szCs w:val="20"/>
      </w:rPr>
      <w:t>loo</w:t>
    </w:r>
    <w:r>
      <w:rPr>
        <w:sz w:val="20"/>
      </w:rPr>
      <w:t>d Establishment Computer Software (VBECS) Version 2.2.0</w:t>
    </w:r>
    <w:r>
      <w:rPr>
        <w:sz w:val="20"/>
      </w:rPr>
      <w:tab/>
      <w:t xml:space="preserve">Page </w:t>
    </w:r>
    <w:r>
      <w:rPr>
        <w:sz w:val="20"/>
      </w:rPr>
      <w:fldChar w:fldCharType="begin"/>
    </w:r>
    <w:r>
      <w:rPr>
        <w:sz w:val="20"/>
      </w:rPr>
      <w:instrText xml:space="preserve"> PAGE </w:instrText>
    </w:r>
    <w:r>
      <w:rPr>
        <w:sz w:val="20"/>
      </w:rPr>
      <w:fldChar w:fldCharType="separate"/>
    </w:r>
    <w:r w:rsidR="00634BFC">
      <w:rPr>
        <w:noProof/>
        <w:sz w:val="20"/>
      </w:rPr>
      <w:t>397</w:t>
    </w:r>
    <w:r>
      <w:rPr>
        <w:sz w:val="20"/>
      </w:rPr>
      <w:fldChar w:fldCharType="end"/>
    </w:r>
    <w:r>
      <w:rPr>
        <w:sz w:val="20"/>
      </w:rPr>
      <w:tab/>
    </w:r>
  </w:p>
  <w:p w:rsidR="00ED1FEE" w:rsidRDefault="00ED1FEE" w:rsidP="00F304F2">
    <w:pPr>
      <w:pStyle w:val="Footer"/>
      <w:tabs>
        <w:tab w:val="clear" w:pos="4320"/>
        <w:tab w:val="clear" w:pos="8640"/>
        <w:tab w:val="center" w:pos="5040"/>
        <w:tab w:val="right" w:pos="9360"/>
      </w:tabs>
      <w:ind w:right="360"/>
      <w:rPr>
        <w:sz w:val="20"/>
      </w:rPr>
    </w:pPr>
    <w:r>
      <w:rPr>
        <w:sz w:val="20"/>
      </w:rPr>
      <w:tab/>
      <w:t>User Guide Version 4.0</w:t>
    </w:r>
  </w:p>
  <w:p w:rsidR="00ED1FEE" w:rsidRDefault="00ED1FEE" w:rsidP="00536F22">
    <w:pPr>
      <w:pStyle w:val="Footer"/>
      <w:tabs>
        <w:tab w:val="clear" w:pos="4320"/>
        <w:tab w:val="clear" w:pos="8640"/>
        <w:tab w:val="center" w:pos="6480"/>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FEE" w:rsidRDefault="00ED1FEE" w:rsidP="00F304F2">
    <w:pPr>
      <w:pStyle w:val="Footer"/>
      <w:tabs>
        <w:tab w:val="clear" w:pos="4320"/>
        <w:tab w:val="clear" w:pos="8640"/>
        <w:tab w:val="center" w:pos="6480"/>
        <w:tab w:val="right" w:pos="12960"/>
      </w:tabs>
      <w:ind w:right="360"/>
      <w:rPr>
        <w:sz w:val="20"/>
      </w:rPr>
    </w:pPr>
  </w:p>
  <w:p w:rsidR="00ED1FEE" w:rsidRDefault="00ED1FEE" w:rsidP="00F304F2">
    <w:pPr>
      <w:pStyle w:val="Footer"/>
      <w:tabs>
        <w:tab w:val="clear" w:pos="4320"/>
        <w:tab w:val="clear" w:pos="8640"/>
        <w:tab w:val="center" w:pos="6480"/>
        <w:tab w:val="right" w:pos="12960"/>
      </w:tabs>
      <w:ind w:right="360"/>
      <w:rPr>
        <w:sz w:val="20"/>
      </w:rPr>
    </w:pPr>
  </w:p>
  <w:p w:rsidR="00ED1FEE" w:rsidRDefault="00ED1FEE" w:rsidP="00F304F2">
    <w:pPr>
      <w:pStyle w:val="Footer"/>
      <w:tabs>
        <w:tab w:val="clear" w:pos="4320"/>
        <w:tab w:val="clear" w:pos="8640"/>
        <w:tab w:val="center" w:pos="6480"/>
        <w:tab w:val="right" w:pos="12960"/>
      </w:tabs>
      <w:ind w:right="360"/>
      <w:rPr>
        <w:sz w:val="20"/>
      </w:rPr>
    </w:pPr>
    <w:r>
      <w:rPr>
        <w:sz w:val="20"/>
      </w:rPr>
      <w:t>October 2016</w:t>
    </w:r>
    <w:r>
      <w:rPr>
        <w:sz w:val="20"/>
      </w:rPr>
      <w:tab/>
    </w:r>
    <w:r w:rsidRPr="0085679C">
      <w:rPr>
        <w:sz w:val="20"/>
        <w:szCs w:val="20"/>
      </w:rPr>
      <w:t>VistA</w:t>
    </w:r>
    <w:r>
      <w:rPr>
        <w:sz w:val="20"/>
        <w:szCs w:val="20"/>
      </w:rPr>
      <w:t xml:space="preserve"> B</w:t>
    </w:r>
    <w:r w:rsidRPr="0085679C">
      <w:rPr>
        <w:sz w:val="20"/>
        <w:szCs w:val="20"/>
      </w:rPr>
      <w:t>loo</w:t>
    </w:r>
    <w:r>
      <w:rPr>
        <w:sz w:val="20"/>
      </w:rPr>
      <w:t>d Establishment Computer Software (VBECS) Version 2.2.0</w:t>
    </w:r>
    <w:r>
      <w:rPr>
        <w:sz w:val="20"/>
      </w:rPr>
      <w:tab/>
      <w:t xml:space="preserve">Page </w:t>
    </w:r>
    <w:r>
      <w:rPr>
        <w:sz w:val="20"/>
      </w:rPr>
      <w:fldChar w:fldCharType="begin"/>
    </w:r>
    <w:r>
      <w:rPr>
        <w:sz w:val="20"/>
      </w:rPr>
      <w:instrText xml:space="preserve"> PAGE </w:instrText>
    </w:r>
    <w:r>
      <w:rPr>
        <w:sz w:val="20"/>
      </w:rPr>
      <w:fldChar w:fldCharType="separate"/>
    </w:r>
    <w:r w:rsidR="00634BFC">
      <w:rPr>
        <w:noProof/>
        <w:sz w:val="20"/>
      </w:rPr>
      <w:t>406</w:t>
    </w:r>
    <w:r>
      <w:rPr>
        <w:sz w:val="20"/>
      </w:rPr>
      <w:fldChar w:fldCharType="end"/>
    </w:r>
    <w:r>
      <w:rPr>
        <w:sz w:val="20"/>
      </w:rPr>
      <w:tab/>
    </w:r>
  </w:p>
  <w:p w:rsidR="00ED1FEE" w:rsidRDefault="00ED1FEE" w:rsidP="00F304F2">
    <w:pPr>
      <w:pStyle w:val="Footer"/>
      <w:tabs>
        <w:tab w:val="clear" w:pos="4320"/>
        <w:tab w:val="clear" w:pos="8640"/>
        <w:tab w:val="center" w:pos="6480"/>
        <w:tab w:val="right" w:pos="12960"/>
      </w:tabs>
      <w:ind w:right="360"/>
      <w:rPr>
        <w:sz w:val="20"/>
      </w:rPr>
    </w:pPr>
    <w:r>
      <w:rPr>
        <w:sz w:val="20"/>
      </w:rPr>
      <w:tab/>
      <w:t>User Guide Version 4.0</w:t>
    </w:r>
  </w:p>
  <w:p w:rsidR="00ED1FEE" w:rsidRDefault="00ED1FEE" w:rsidP="00536F22">
    <w:pPr>
      <w:pStyle w:val="Footer"/>
      <w:tabs>
        <w:tab w:val="clear" w:pos="4320"/>
        <w:tab w:val="clear" w:pos="8640"/>
        <w:tab w:val="center" w:pos="648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F39" w:rsidRDefault="00561F39">
      <w:r>
        <w:separator/>
      </w:r>
    </w:p>
  </w:footnote>
  <w:footnote w:type="continuationSeparator" w:id="0">
    <w:p w:rsidR="00561F39" w:rsidRDefault="00561F39">
      <w:r>
        <w:continuationSeparator/>
      </w:r>
    </w:p>
  </w:footnote>
  <w:footnote w:id="1">
    <w:p w:rsidR="00ED1FEE" w:rsidRDefault="00ED1FEE">
      <w:pPr>
        <w:pStyle w:val="FootnoteText"/>
      </w:pPr>
      <w:r>
        <w:rPr>
          <w:rStyle w:val="FootnoteReference"/>
        </w:rPr>
        <w:footnoteRef/>
      </w:r>
      <w:r>
        <w:t xml:space="preserve"> There is a slight difference in terminology b</w:t>
      </w:r>
      <w:r w:rsidRPr="00670304">
        <w:t>etween VistA and VBECS: VistA us</w:t>
      </w:r>
      <w:r>
        <w:t>es “log on” and “logon,” and VBECS uses “log in” and “login.” Therefore, both terms are used throughout this guide. “Log in” and “login” are used generically when referring to both systems at one time.</w:t>
      </w:r>
    </w:p>
  </w:footnote>
  <w:footnote w:id="2">
    <w:p w:rsidR="00ED1FEE" w:rsidRDefault="00ED1FEE">
      <w:pPr>
        <w:pStyle w:val="FootnoteText"/>
      </w:pPr>
      <w:r>
        <w:rPr>
          <w:rStyle w:val="FootnoteReference"/>
        </w:rPr>
        <w:footnoteRef/>
      </w:r>
      <w:r>
        <w:t xml:space="preserve"> Larger versions of these icons appear throughout VBECS in the corresponding option windows. They cannot be used to access options.</w:t>
      </w:r>
    </w:p>
  </w:footnote>
  <w:footnote w:id="3">
    <w:p w:rsidR="00ED1FEE" w:rsidRDefault="00ED1FEE" w:rsidP="00F60A24">
      <w:pPr>
        <w:rPr>
          <w:rFonts w:ascii="Arial Bold" w:hAnsi="Arial Bold"/>
        </w:rPr>
      </w:pPr>
      <w:r>
        <w:rPr>
          <w:rStyle w:val="FootnoteReference"/>
        </w:rPr>
        <w:footnoteRef/>
      </w:r>
      <w:r>
        <w:t xml:space="preserve"> </w:t>
      </w:r>
      <w:r w:rsidRPr="00F60A24">
        <w:rPr>
          <w:spacing w:val="-5"/>
          <w:sz w:val="20"/>
          <w:szCs w:val="20"/>
        </w:rPr>
        <w:t xml:space="preserve">Active: VBECS order that is not rejected, canceled or completed.  When the patient update is received and the order is ‘active’, the update is displayed </w:t>
      </w:r>
      <w:r>
        <w:rPr>
          <w:spacing w:val="-5"/>
          <w:sz w:val="20"/>
          <w:szCs w:val="20"/>
        </w:rPr>
        <w:t xml:space="preserve"> </w:t>
      </w:r>
      <w:r w:rsidRPr="00F60A24">
        <w:rPr>
          <w:spacing w:val="-5"/>
          <w:sz w:val="20"/>
          <w:szCs w:val="20"/>
        </w:rPr>
        <w:t>regardless of order cancelation until it is viewed by a VBECS user.</w:t>
      </w:r>
    </w:p>
    <w:p w:rsidR="00ED1FEE" w:rsidRDefault="00ED1FEE">
      <w:pPr>
        <w:pStyle w:val="FootnoteText"/>
      </w:pPr>
    </w:p>
  </w:footnote>
  <w:footnote w:id="4">
    <w:p w:rsidR="00ED1FEE" w:rsidRDefault="00ED1FEE" w:rsidP="004A6408">
      <w:pPr>
        <w:pStyle w:val="FootnoteText"/>
      </w:pPr>
      <w:r>
        <w:rPr>
          <w:rStyle w:val="FootnoteReference"/>
        </w:rPr>
        <w:footnoteRef/>
      </w:r>
      <w:r>
        <w:t xml:space="preserve"> Room Temperature/Immediate Spin</w:t>
      </w:r>
    </w:p>
  </w:footnote>
  <w:footnote w:id="5">
    <w:p w:rsidR="00ED1FEE" w:rsidRDefault="00ED1FEE" w:rsidP="004A6408">
      <w:pPr>
        <w:pStyle w:val="FootnoteText"/>
      </w:pPr>
      <w:r>
        <w:rPr>
          <w:rStyle w:val="FootnoteReference"/>
        </w:rPr>
        <w:footnoteRef/>
      </w:r>
      <w:r>
        <w:t xml:space="preserve"> Anti-Human Globulin</w:t>
      </w:r>
    </w:p>
  </w:footnote>
  <w:footnote w:id="6">
    <w:p w:rsidR="00ED1FEE" w:rsidRDefault="00ED1FEE" w:rsidP="004A6408">
      <w:pPr>
        <w:pStyle w:val="FootnoteText"/>
      </w:pPr>
      <w:r>
        <w:rPr>
          <w:rStyle w:val="FootnoteReference"/>
        </w:rPr>
        <w:footnoteRef/>
      </w:r>
      <w:r>
        <w:t xml:space="preserve"> Coated cell</w:t>
      </w:r>
    </w:p>
  </w:footnote>
  <w:footnote w:id="7">
    <w:p w:rsidR="00ED1FEE" w:rsidRDefault="00ED1FEE" w:rsidP="002F6D7B">
      <w:pPr>
        <w:numPr>
          <w:ilvl w:val="0"/>
          <w:numId w:val="13"/>
        </w:numPr>
        <w:tabs>
          <w:tab w:val="clear" w:pos="720"/>
        </w:tabs>
        <w:spacing w:before="100" w:beforeAutospacing="1" w:after="100" w:afterAutospacing="1"/>
        <w:ind w:left="135"/>
      </w:pPr>
      <w:r>
        <w:rPr>
          <w:rStyle w:val="FootnoteReference"/>
        </w:rPr>
        <w:footnoteRef/>
      </w:r>
      <w:r>
        <w:t xml:space="preserve"> </w:t>
      </w:r>
      <w:r w:rsidRPr="00BE2EB7">
        <w:rPr>
          <w:sz w:val="20"/>
          <w:szCs w:val="20"/>
        </w:rPr>
        <w:t xml:space="preserve">To make a copy of the active window, press </w:t>
      </w:r>
      <w:r w:rsidRPr="00BE2EB7">
        <w:rPr>
          <w:b/>
          <w:bCs/>
          <w:sz w:val="20"/>
          <w:szCs w:val="20"/>
        </w:rPr>
        <w:t>Alt+Print Screen</w:t>
      </w:r>
      <w:r w:rsidRPr="00BE2EB7">
        <w:rPr>
          <w:sz w:val="20"/>
          <w:szCs w:val="20"/>
        </w:rPr>
        <w:t xml:space="preserve">. To copy the entire screen as it appears on your monitor, press </w:t>
      </w:r>
      <w:r w:rsidRPr="00BE2EB7">
        <w:rPr>
          <w:b/>
          <w:bCs/>
          <w:sz w:val="20"/>
          <w:szCs w:val="20"/>
        </w:rPr>
        <w:t>Print Screen</w:t>
      </w:r>
      <w:r w:rsidRPr="00BE2EB7">
        <w:rPr>
          <w:sz w:val="20"/>
          <w:szCs w:val="20"/>
        </w:rPr>
        <w:t xml:space="preserve">. To paste the image into a file in an Office program, open the file you want to paste the image into, click </w:t>
      </w:r>
      <w:r w:rsidRPr="00BE2EB7">
        <w:rPr>
          <w:b/>
          <w:bCs/>
          <w:sz w:val="20"/>
          <w:szCs w:val="20"/>
        </w:rPr>
        <w:t>Edit</w:t>
      </w:r>
      <w:r w:rsidRPr="00BE2EB7">
        <w:rPr>
          <w:sz w:val="20"/>
          <w:szCs w:val="20"/>
        </w:rPr>
        <w:t xml:space="preserve">, and then click </w:t>
      </w:r>
      <w:r w:rsidRPr="00BE2EB7">
        <w:rPr>
          <w:b/>
          <w:bCs/>
          <w:sz w:val="20"/>
          <w:szCs w:val="20"/>
        </w:rPr>
        <w:t>Paste</w:t>
      </w:r>
      <w:r w:rsidRPr="00BE2EB7">
        <w:rPr>
          <w:sz w:val="20"/>
          <w:szCs w:val="20"/>
        </w:rPr>
        <w:t xml:space="preserve">. </w:t>
      </w:r>
    </w:p>
  </w:footnote>
  <w:footnote w:id="8">
    <w:p w:rsidR="00ED1FEE" w:rsidRDefault="00ED1FEE" w:rsidP="002E3C00">
      <w:pPr>
        <w:pStyle w:val="FootnoteText"/>
      </w:pPr>
      <w:r>
        <w:rPr>
          <w:rStyle w:val="FootnoteReference"/>
        </w:rPr>
        <w:footnoteRef/>
      </w:r>
      <w:r>
        <w:t xml:space="preserve"> Default is </w:t>
      </w:r>
      <w:r w:rsidRPr="007121BA">
        <w:t>270</w:t>
      </w:r>
      <w:r>
        <w:t xml:space="preserve"> minutes (4 hours, 30 minutes).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FEE" w:rsidRDefault="00ED1FEE">
    <w:pPr>
      <w:pStyle w:val="Header"/>
      <w:jc w:val="center"/>
      <w:rPr>
        <w:rFonts w:ascii="Arial" w:hAnsi="Arial" w:cs="Arial"/>
        <w:i/>
      </w:rPr>
    </w:pPr>
  </w:p>
  <w:p w:rsidR="00ED1FEE" w:rsidRDefault="00ED1FEE">
    <w:pPr>
      <w:pStyle w:val="Header"/>
      <w:jc w:val="center"/>
    </w:pPr>
  </w:p>
  <w:p w:rsidR="00ED1FEE" w:rsidRDefault="00ED1FEE">
    <w:pPr>
      <w:pStyle w:val="Header"/>
      <w:jc w:val="center"/>
    </w:pPr>
  </w:p>
  <w:p w:rsidR="00ED1FEE" w:rsidRDefault="00ED1FEE">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FEE" w:rsidRDefault="00ED1FEE">
    <w:pPr>
      <w:pStyle w:val="Header"/>
      <w:jc w:val="center"/>
      <w:rPr>
        <w:rFonts w:ascii="Arial" w:hAnsi="Arial" w:cs="Arial"/>
        <w:i/>
      </w:rPr>
    </w:pPr>
  </w:p>
  <w:p w:rsidR="00ED1FEE" w:rsidRDefault="00ED1FEE">
    <w:pPr>
      <w:pStyle w:val="Header"/>
      <w:jc w:val="center"/>
    </w:pPr>
  </w:p>
  <w:p w:rsidR="00ED1FEE" w:rsidRDefault="00ED1FEE">
    <w:pPr>
      <w:pStyle w:val="Header"/>
      <w:jc w:val="center"/>
    </w:pPr>
  </w:p>
  <w:p w:rsidR="00ED1FEE" w:rsidRDefault="00ED1FEE">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FEE" w:rsidRDefault="00ED1FEE" w:rsidP="001971FE">
    <w:pPr>
      <w:pStyle w:val="Header"/>
      <w:jc w:val="center"/>
      <w:rPr>
        <w:rFonts w:ascii="Arial" w:hAnsi="Arial" w:cs="Arial"/>
        <w:i/>
      </w:rPr>
    </w:pPr>
  </w:p>
  <w:p w:rsidR="00ED1FEE" w:rsidRDefault="00ED1FEE" w:rsidP="001971FE">
    <w:pPr>
      <w:pStyle w:val="Header"/>
      <w:jc w:val="center"/>
    </w:pPr>
  </w:p>
  <w:p w:rsidR="00ED1FEE" w:rsidRDefault="00ED1FEE">
    <w:pPr>
      <w:pStyle w:val="Header"/>
      <w:jc w:val="center"/>
    </w:pPr>
  </w:p>
  <w:p w:rsidR="00ED1FEE" w:rsidRDefault="00ED1FEE">
    <w:pPr>
      <w:pStyle w:val="Heade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FEE" w:rsidRDefault="00ED1FEE" w:rsidP="001971FE">
    <w:pPr>
      <w:pStyle w:val="Header"/>
      <w:jc w:val="center"/>
      <w:rPr>
        <w:rFonts w:ascii="Arial" w:hAnsi="Arial" w:cs="Arial"/>
        <w:i/>
      </w:rPr>
    </w:pPr>
  </w:p>
  <w:p w:rsidR="00ED1FEE" w:rsidRDefault="00ED1FEE" w:rsidP="001971FE">
    <w:pPr>
      <w:pStyle w:val="Header"/>
      <w:jc w:val="center"/>
    </w:pPr>
  </w:p>
  <w:p w:rsidR="00ED1FEE" w:rsidRDefault="00ED1FEE">
    <w:pPr>
      <w:pStyle w:val="Header"/>
      <w:jc w:val="center"/>
    </w:pPr>
  </w:p>
  <w:p w:rsidR="00ED1FEE" w:rsidRDefault="00ED1FEE">
    <w:pPr>
      <w:pStyle w:val="Heade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FEE" w:rsidRDefault="00ED1FE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FEE" w:rsidRDefault="00ED1FE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12pt;height:12pt" o:bullet="t">
        <v:imagedata r:id="rId1" o:title="small_msbos"/>
      </v:shape>
    </w:pict>
  </w:numPicBullet>
  <w:numPicBullet w:numPicBulletId="1">
    <w:pict>
      <v:shape id="_x0000_i1082" type="#_x0000_t75" style="width:12pt;height:12pt" o:bullet="t">
        <v:imagedata r:id="rId2" o:title="small_view_order"/>
      </v:shape>
    </w:pict>
  </w:numPicBullet>
  <w:numPicBullet w:numPicBulletId="2">
    <w:pict>
      <v:shape id="_x0000_i1083" type="#_x0000_t75" style="width:15pt;height:15pt" o:bullet="t">
        <v:imagedata r:id="rId3" o:title="small_ellipsis"/>
      </v:shape>
    </w:pict>
  </w:numPicBullet>
  <w:numPicBullet w:numPicBulletId="3">
    <w:pict>
      <v:shape id="_x0000_i1084" type="#_x0000_t75" style="width:12pt;height:12pt" o:bullet="t">
        <v:imagedata r:id="rId4" o:title="small_delete"/>
      </v:shape>
    </w:pict>
  </w:numPicBullet>
  <w:numPicBullet w:numPicBulletId="4">
    <w:pict>
      <v:shape id="_x0000_i1085" type="#_x0000_t75" style="width:3in;height:3in" o:bullet="t"/>
    </w:pict>
  </w:numPicBullet>
  <w:numPicBullet w:numPicBulletId="5">
    <w:pict>
      <v:shape id="_x0000_i1086" type="#_x0000_t75" style="width:3in;height:3in" o:bullet="t"/>
    </w:pict>
  </w:numPicBullet>
  <w:numPicBullet w:numPicBulletId="6">
    <w:pict>
      <v:shape id="_x0000_i1087" type="#_x0000_t75" style="width:3in;height:3in" o:bullet="t"/>
    </w:pict>
  </w:numPicBullet>
  <w:numPicBullet w:numPicBulletId="7">
    <w:pict>
      <v:shape id="_x0000_i1088" type="#_x0000_t75" style="width:20.25pt;height:15pt" o:bullet="t">
        <v:imagedata r:id="rId5" o:title=""/>
      </v:shape>
    </w:pict>
  </w:numPicBullet>
  <w:numPicBullet w:numPicBulletId="8">
    <w:pict>
      <v:shape id="_x0000_i1089" type="#_x0000_t75" style="width:12pt;height:12pt" o:bullet="t">
        <v:imagedata r:id="rId6" o:title="AI_PendingPatientTests"/>
      </v:shape>
    </w:pict>
  </w:numPicBullet>
  <w:numPicBullet w:numPicBulletId="9">
    <w:pict>
      <v:shape id="_x0000_i1090" type="#_x0000_t75" style="width:12pt;height:12pt" o:bullet="t">
        <v:imagedata r:id="rId7" o:title="AI_PendingBloodUnitTests"/>
      </v:shape>
    </w:pict>
  </w:numPicBullet>
  <w:abstractNum w:abstractNumId="0">
    <w:nsid w:val="04613CC0"/>
    <w:multiLevelType w:val="hybridMultilevel"/>
    <w:tmpl w:val="9B14D6CC"/>
    <w:lvl w:ilvl="0">
      <w:start w:val="1"/>
      <w:numFmt w:val="bullet"/>
      <w:pStyle w:val="GlossaryTableTextBullets"/>
      <w:lvlText w:val=""/>
      <w:lvlJc w:val="left"/>
      <w:pPr>
        <w:tabs>
          <w:tab w:val="num" w:pos="648"/>
        </w:tabs>
        <w:ind w:left="648" w:hanging="288"/>
      </w:pPr>
      <w:rPr>
        <w:rFonts w:ascii="Symbol" w:hAnsi="Symbol" w:hint="default"/>
        <w:sz w:val="18"/>
        <w:szCs w:val="18"/>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
    <w:nsid w:val="04EE5285"/>
    <w:multiLevelType w:val="hybridMultilevel"/>
    <w:tmpl w:val="216A64B4"/>
    <w:lvl w:ilvl="0">
      <w:start w:val="1"/>
      <w:numFmt w:val="bullet"/>
      <w:pStyle w:val="TableTextBullet"/>
      <w:lvlText w:val=""/>
      <w:lvlJc w:val="left"/>
      <w:pPr>
        <w:tabs>
          <w:tab w:val="num" w:pos="288"/>
        </w:tabs>
        <w:ind w:left="288" w:hanging="288"/>
      </w:pPr>
      <w:rPr>
        <w:rFonts w:ascii="Symbol" w:hAnsi="Symbol" w:hint="default"/>
        <w:sz w:val="18"/>
        <w:szCs w:val="18"/>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nsid w:val="0A7843AB"/>
    <w:multiLevelType w:val="hybridMultilevel"/>
    <w:tmpl w:val="77E4C056"/>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
    <w:nsid w:val="0C217292"/>
    <w:multiLevelType w:val="hybridMultilevel"/>
    <w:tmpl w:val="AD3C43EC"/>
    <w:lvl w:ilvl="0" w:tplc="FFFFFFFF">
      <w:start w:val="1"/>
      <w:numFmt w:val="bullet"/>
      <w:lvlText w:val=""/>
      <w:lvlJc w:val="left"/>
      <w:pPr>
        <w:tabs>
          <w:tab w:val="num" w:pos="360"/>
        </w:tabs>
        <w:ind w:left="360" w:hanging="360"/>
      </w:pPr>
      <w:rPr>
        <w:rFonts w:ascii="Symbol" w:hAnsi="Symbol" w:hint="default"/>
        <w:sz w:val="18"/>
      </w:rPr>
    </w:lvl>
    <w:lvl w:ilvl="1" w:tplc="04090001">
      <w:start w:val="1"/>
      <w:numFmt w:val="bullet"/>
      <w:lvlText w:val=""/>
      <w:lvlJc w:val="left"/>
      <w:pPr>
        <w:tabs>
          <w:tab w:val="num" w:pos="1440"/>
        </w:tabs>
        <w:ind w:left="1440" w:hanging="360"/>
      </w:pPr>
      <w:rPr>
        <w:rFonts w:ascii="Symbol" w:hAnsi="Symbol" w:hint="default"/>
        <w:sz w:val="1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CE736AE"/>
    <w:multiLevelType w:val="hybridMultilevel"/>
    <w:tmpl w:val="1108E58A"/>
    <w:lvl w:ilvl="0">
      <w:start w:val="1"/>
      <w:numFmt w:val="bullet"/>
      <w:lvlText w:val=""/>
      <w:lvlJc w:val="left"/>
      <w:pPr>
        <w:tabs>
          <w:tab w:val="num" w:pos="288"/>
        </w:tabs>
        <w:ind w:left="288" w:hanging="288"/>
      </w:pPr>
      <w:rPr>
        <w:rFonts w:ascii="Symbol" w:hAnsi="Symbol" w:hint="default"/>
        <w:sz w:val="18"/>
      </w:rPr>
    </w:lvl>
    <w:lvl w:ilvl="1">
      <w:start w:val="1"/>
      <w:numFmt w:val="decimal"/>
      <w:lvlText w:val="%2."/>
      <w:lvlJc w:val="left"/>
      <w:pPr>
        <w:tabs>
          <w:tab w:val="num" w:pos="1440"/>
        </w:tabs>
        <w:ind w:left="1440" w:hanging="360"/>
      </w:pPr>
      <w:rPr>
        <w:rFonts w:hint="default"/>
        <w:sz w:val="18"/>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nsid w:val="0D8A29E3"/>
    <w:multiLevelType w:val="hybridMultilevel"/>
    <w:tmpl w:val="249CF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C85357"/>
    <w:multiLevelType w:val="hybridMultilevel"/>
    <w:tmpl w:val="747E78C4"/>
    <w:lvl w:ilvl="0" w:tplc="8D5EE010">
      <w:start w:val="1"/>
      <w:numFmt w:val="decimal"/>
      <w:pStyle w:val="ListNumber"/>
      <w:lvlText w:val="%1)"/>
      <w:lvlJc w:val="left"/>
      <w:pPr>
        <w:tabs>
          <w:tab w:val="num" w:pos="720"/>
        </w:tabs>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1C5A6219"/>
    <w:multiLevelType w:val="hybridMultilevel"/>
    <w:tmpl w:val="4B28CC3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F175C34"/>
    <w:multiLevelType w:val="hybridMultilevel"/>
    <w:tmpl w:val="EC50602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2BA7A1F"/>
    <w:multiLevelType w:val="hybridMultilevel"/>
    <w:tmpl w:val="5F5E2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940C9D"/>
    <w:multiLevelType w:val="hybridMultilevel"/>
    <w:tmpl w:val="26F4E356"/>
    <w:lvl w:ilvl="0" w:tplc="1D94FEC6">
      <w:start w:val="1"/>
      <w:numFmt w:val="bullet"/>
      <w:lvlText w:val=""/>
      <w:lvlJc w:val="left"/>
      <w:pPr>
        <w:tabs>
          <w:tab w:val="num" w:pos="720"/>
        </w:tabs>
        <w:ind w:left="720" w:hanging="360"/>
      </w:pPr>
      <w:rPr>
        <w:rFonts w:ascii="Symbol" w:hAnsi="Symbol" w:hint="default"/>
        <w:sz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2EC44000"/>
    <w:multiLevelType w:val="hybridMultilevel"/>
    <w:tmpl w:val="4A90CF5E"/>
    <w:lvl w:ilvl="0">
      <w:start w:val="1"/>
      <w:numFmt w:val="bullet"/>
      <w:pStyle w:val="NotesTextBullet"/>
      <w:lvlText w:val=""/>
      <w:lvlJc w:val="left"/>
      <w:pPr>
        <w:tabs>
          <w:tab w:val="num" w:pos="1008"/>
        </w:tabs>
        <w:ind w:left="1008" w:hanging="288"/>
      </w:pPr>
      <w:rPr>
        <w:rFonts w:ascii="Symbol" w:hAnsi="Symbol" w:hint="default"/>
        <w:sz w:val="18"/>
      </w:rPr>
    </w:lvl>
    <w:lvl w:ilvl="1">
      <w:start w:val="1"/>
      <w:numFmt w:val="decimal"/>
      <w:lvlText w:val="%2."/>
      <w:lvlJc w:val="left"/>
      <w:pPr>
        <w:tabs>
          <w:tab w:val="num" w:pos="1440"/>
        </w:tabs>
        <w:ind w:left="1440" w:hanging="360"/>
      </w:pPr>
      <w:rPr>
        <w:rFonts w:hint="default"/>
        <w:sz w:val="18"/>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nsid w:val="2EE70E73"/>
    <w:multiLevelType w:val="hybridMultilevel"/>
    <w:tmpl w:val="092E9928"/>
    <w:lvl w:ilvl="0" w:tplc="FFFFFFFF">
      <w:start w:val="1"/>
      <w:numFmt w:val="bullet"/>
      <w:lvlText w:val=""/>
      <w:lvlJc w:val="left"/>
      <w:pPr>
        <w:tabs>
          <w:tab w:val="num" w:pos="360"/>
        </w:tabs>
        <w:ind w:left="360" w:hanging="360"/>
      </w:pPr>
      <w:rPr>
        <w:rFonts w:ascii="Symbol" w:hAnsi="Symbol" w:hint="default"/>
        <w:sz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2FAB7504"/>
    <w:multiLevelType w:val="hybridMultilevel"/>
    <w:tmpl w:val="DD2ED67C"/>
    <w:lvl w:ilvl="0" w:tplc="FE1C26EE">
      <w:start w:val="1"/>
      <w:numFmt w:val="decimalZero"/>
      <w:pStyle w:val="Substep02"/>
      <w:lvlText w:val="2.%1"/>
      <w:lvlJc w:val="right"/>
      <w:pPr>
        <w:tabs>
          <w:tab w:val="num" w:pos="810"/>
        </w:tabs>
        <w:ind w:left="810" w:firstLine="0"/>
      </w:pPr>
      <w:rPr>
        <w:rFonts w:ascii="Arial" w:hAnsi="Arial" w:hint="default"/>
        <w:sz w:val="18"/>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15A0E22"/>
    <w:multiLevelType w:val="hybridMultilevel"/>
    <w:tmpl w:val="9D14AB3A"/>
    <w:lvl w:ilvl="0" w:tplc="10BC471A">
      <w:start w:val="1"/>
      <w:numFmt w:val="bullet"/>
      <w:pStyle w:val="NotesTextBullet1"/>
      <w:lvlText w:val="o"/>
      <w:lvlJc w:val="left"/>
      <w:pPr>
        <w:tabs>
          <w:tab w:val="num" w:pos="1296"/>
        </w:tabs>
        <w:ind w:left="1296" w:hanging="288"/>
      </w:pPr>
      <w:rPr>
        <w:rFonts w:ascii="Courier New" w:hAnsi="Courier New" w:hint="default"/>
        <w:sz w:val="18"/>
        <w:szCs w:val="18"/>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5114E976"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
    <w:nsid w:val="353979FB"/>
    <w:multiLevelType w:val="hybridMultilevel"/>
    <w:tmpl w:val="AE86DEA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6">
    <w:nsid w:val="38637099"/>
    <w:multiLevelType w:val="hybridMultilevel"/>
    <w:tmpl w:val="BB4E307A"/>
    <w:lvl w:ilvl="0" w:tplc="F82A131E">
      <w:start w:val="1"/>
      <w:numFmt w:val="decimalZero"/>
      <w:pStyle w:val="Substep01"/>
      <w:lvlText w:val="2.%1"/>
      <w:lvlJc w:val="right"/>
      <w:pPr>
        <w:ind w:left="1530" w:hanging="360"/>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7">
    <w:nsid w:val="3FD7621F"/>
    <w:multiLevelType w:val="hybridMultilevel"/>
    <w:tmpl w:val="FFA2B75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400418C6"/>
    <w:multiLevelType w:val="hybridMultilevel"/>
    <w:tmpl w:val="2AAEA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216A8F"/>
    <w:multiLevelType w:val="hybridMultilevel"/>
    <w:tmpl w:val="8188D16A"/>
    <w:lvl w:ilvl="0" w:tplc="1D94FEC6">
      <w:start w:val="1"/>
      <w:numFmt w:val="bullet"/>
      <w:pStyle w:val="TableTextBullet1"/>
      <w:lvlText w:val="o"/>
      <w:lvlJc w:val="left"/>
      <w:pPr>
        <w:tabs>
          <w:tab w:val="num" w:pos="576"/>
        </w:tabs>
        <w:ind w:left="576" w:hanging="288"/>
      </w:pPr>
      <w:rPr>
        <w:rFonts w:ascii="Symbol" w:hAnsi="Symbol" w:hint="default"/>
        <w:sz w:val="18"/>
        <w:szCs w:val="18"/>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44EE31A7"/>
    <w:multiLevelType w:val="hybridMultilevel"/>
    <w:tmpl w:val="78F60CBA"/>
    <w:lvl w:ilvl="0" w:tplc="1D94FEC6">
      <w:start w:val="1"/>
      <w:numFmt w:val="decimal"/>
      <w:pStyle w:val="Bulletlist"/>
      <w:lvlText w:val="%1. "/>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1">
    <w:nsid w:val="46DB09A8"/>
    <w:multiLevelType w:val="hybridMultilevel"/>
    <w:tmpl w:val="5A7234A0"/>
    <w:lvl w:ilvl="0" w:tplc="8928480C">
      <w:start w:val="1"/>
      <w:numFmt w:val="decimal"/>
      <w:pStyle w:val="TableTextNumbers"/>
      <w:lvlText w:val="%1."/>
      <w:lvlJc w:val="left"/>
      <w:pPr>
        <w:tabs>
          <w:tab w:val="num" w:pos="288"/>
        </w:tabs>
        <w:ind w:left="288" w:hanging="288"/>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tabs>
          <w:tab w:val="num" w:pos="1692"/>
        </w:tabs>
        <w:ind w:left="1692" w:hanging="360"/>
      </w:pPr>
    </w:lvl>
    <w:lvl w:ilvl="2" w:tplc="FFFFFFFF" w:tentative="1">
      <w:start w:val="1"/>
      <w:numFmt w:val="lowerRoman"/>
      <w:lvlText w:val="%3."/>
      <w:lvlJc w:val="right"/>
      <w:pPr>
        <w:tabs>
          <w:tab w:val="num" w:pos="2412"/>
        </w:tabs>
        <w:ind w:left="2412" w:hanging="180"/>
      </w:pPr>
    </w:lvl>
    <w:lvl w:ilvl="3" w:tplc="FFFFFFFF" w:tentative="1">
      <w:start w:val="1"/>
      <w:numFmt w:val="decimal"/>
      <w:lvlText w:val="%4."/>
      <w:lvlJc w:val="left"/>
      <w:pPr>
        <w:tabs>
          <w:tab w:val="num" w:pos="3132"/>
        </w:tabs>
        <w:ind w:left="3132" w:hanging="360"/>
      </w:pPr>
    </w:lvl>
    <w:lvl w:ilvl="4" w:tplc="FFFFFFFF" w:tentative="1">
      <w:start w:val="1"/>
      <w:numFmt w:val="lowerLetter"/>
      <w:lvlText w:val="%5."/>
      <w:lvlJc w:val="left"/>
      <w:pPr>
        <w:tabs>
          <w:tab w:val="num" w:pos="3852"/>
        </w:tabs>
        <w:ind w:left="3852" w:hanging="360"/>
      </w:pPr>
    </w:lvl>
    <w:lvl w:ilvl="5" w:tplc="FFFFFFFF" w:tentative="1">
      <w:start w:val="1"/>
      <w:numFmt w:val="lowerRoman"/>
      <w:lvlText w:val="%6."/>
      <w:lvlJc w:val="right"/>
      <w:pPr>
        <w:tabs>
          <w:tab w:val="num" w:pos="4572"/>
        </w:tabs>
        <w:ind w:left="4572" w:hanging="180"/>
      </w:pPr>
    </w:lvl>
    <w:lvl w:ilvl="6" w:tplc="FFFFFFFF" w:tentative="1">
      <w:start w:val="1"/>
      <w:numFmt w:val="decimal"/>
      <w:lvlText w:val="%7."/>
      <w:lvlJc w:val="left"/>
      <w:pPr>
        <w:tabs>
          <w:tab w:val="num" w:pos="5292"/>
        </w:tabs>
        <w:ind w:left="5292" w:hanging="360"/>
      </w:pPr>
    </w:lvl>
    <w:lvl w:ilvl="7" w:tplc="FFFFFFFF" w:tentative="1">
      <w:start w:val="1"/>
      <w:numFmt w:val="lowerLetter"/>
      <w:lvlText w:val="%8."/>
      <w:lvlJc w:val="left"/>
      <w:pPr>
        <w:tabs>
          <w:tab w:val="num" w:pos="6012"/>
        </w:tabs>
        <w:ind w:left="6012" w:hanging="360"/>
      </w:pPr>
    </w:lvl>
    <w:lvl w:ilvl="8" w:tplc="FFFFFFFF" w:tentative="1">
      <w:start w:val="1"/>
      <w:numFmt w:val="lowerRoman"/>
      <w:lvlText w:val="%9."/>
      <w:lvlJc w:val="right"/>
      <w:pPr>
        <w:tabs>
          <w:tab w:val="num" w:pos="6732"/>
        </w:tabs>
        <w:ind w:left="6732" w:hanging="180"/>
      </w:pPr>
    </w:lvl>
  </w:abstractNum>
  <w:abstractNum w:abstractNumId="22">
    <w:nsid w:val="47636A78"/>
    <w:multiLevelType w:val="hybridMultilevel"/>
    <w:tmpl w:val="B538D6D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4BCA39FB"/>
    <w:multiLevelType w:val="multilevel"/>
    <w:tmpl w:val="675251AA"/>
    <w:lvl w:ilvl="0">
      <w:start w:val="1"/>
      <w:numFmt w:val="none"/>
      <w:lvlText w:val="Section 1."/>
      <w:lvlJc w:val="left"/>
      <w:pPr>
        <w:tabs>
          <w:tab w:val="num" w:pos="1080"/>
        </w:tabs>
        <w:ind w:left="0" w:firstLine="0"/>
      </w:pPr>
      <w:rPr>
        <w:rFonts w:hint="default"/>
      </w:rPr>
    </w:lvl>
    <w:lvl w:ilvl="1">
      <w:numFmt w:val="none"/>
      <w:isLgl/>
      <w:lvlText w:val="1"/>
      <w:lvlJc w:val="left"/>
      <w:pPr>
        <w:tabs>
          <w:tab w:val="num" w:pos="360"/>
        </w:tabs>
        <w:ind w:left="0" w:firstLine="0"/>
      </w:pPr>
      <w:rPr>
        <w:rFonts w:hint="default"/>
      </w:rPr>
    </w:lvl>
    <w:lvl w:ilvl="2">
      <w:numFmt w:val="decimal"/>
      <w:lvlText w:val="Section %3"/>
      <w:lvlJc w:val="left"/>
      <w:pPr>
        <w:tabs>
          <w:tab w:val="num" w:pos="1440"/>
        </w:tabs>
        <w:ind w:left="720" w:hanging="720"/>
      </w:pPr>
      <w:rPr>
        <w:rFonts w:hint="default"/>
      </w:rPr>
    </w:lvl>
    <w:lvl w:ilvl="3">
      <w:start w:val="1"/>
      <w:numFmt w:val="lowerRoman"/>
      <w:lvlText w:val="(%4)"/>
      <w:lvlJc w:val="right"/>
      <w:pPr>
        <w:tabs>
          <w:tab w:val="num" w:pos="864"/>
        </w:tabs>
        <w:ind w:left="864" w:hanging="144"/>
      </w:pPr>
      <w:rPr>
        <w:rFonts w:hint="default"/>
      </w:rPr>
    </w:lvl>
    <w:lvl w:ilvl="4">
      <w:start w:val="1"/>
      <w:numFmt w:val="none"/>
      <w:pStyle w:val="Heading5"/>
      <w:lvlText w:val=""/>
      <w:lvlJc w:val="left"/>
      <w:pPr>
        <w:tabs>
          <w:tab w:val="num" w:pos="360"/>
        </w:tabs>
        <w:ind w:left="0" w:firstLine="0"/>
      </w:pPr>
      <w:rPr>
        <w:rFonts w:hint="default"/>
      </w:rPr>
    </w:lvl>
    <w:lvl w:ilvl="5">
      <w:start w:val="1"/>
      <w:numFmt w:val="lowerLetter"/>
      <w:pStyle w:val="Heading6"/>
      <w:lvlText w:val="%6)"/>
      <w:lvlJc w:val="left"/>
      <w:pPr>
        <w:tabs>
          <w:tab w:val="num" w:pos="1152"/>
        </w:tabs>
        <w:ind w:left="1152" w:hanging="432"/>
      </w:pPr>
      <w:rPr>
        <w:rFonts w:hint="default"/>
      </w:rPr>
    </w:lvl>
    <w:lvl w:ilvl="6">
      <w:start w:val="1"/>
      <w:numFmt w:val="lowerRoman"/>
      <w:pStyle w:val="Heading7"/>
      <w:lvlText w:val="%7)"/>
      <w:lvlJc w:val="right"/>
      <w:pPr>
        <w:tabs>
          <w:tab w:val="num" w:pos="1296"/>
        </w:tabs>
        <w:ind w:left="1296" w:hanging="288"/>
      </w:pPr>
      <w:rPr>
        <w:rFonts w:hint="default"/>
      </w:rPr>
    </w:lvl>
    <w:lvl w:ilvl="7">
      <w:start w:val="1"/>
      <w:numFmt w:val="lowerLetter"/>
      <w:pStyle w:val="Heading8"/>
      <w:lvlText w:val="%8."/>
      <w:lvlJc w:val="left"/>
      <w:pPr>
        <w:tabs>
          <w:tab w:val="num" w:pos="1440"/>
        </w:tabs>
        <w:ind w:left="1440" w:hanging="432"/>
      </w:pPr>
      <w:rPr>
        <w:rFonts w:hint="default"/>
      </w:rPr>
    </w:lvl>
    <w:lvl w:ilvl="8">
      <w:start w:val="1"/>
      <w:numFmt w:val="lowerRoman"/>
      <w:pStyle w:val="Heading9"/>
      <w:lvlText w:val="%9."/>
      <w:lvlJc w:val="right"/>
      <w:pPr>
        <w:tabs>
          <w:tab w:val="num" w:pos="1584"/>
        </w:tabs>
        <w:ind w:left="1584" w:hanging="144"/>
      </w:pPr>
      <w:rPr>
        <w:rFonts w:hint="default"/>
      </w:rPr>
    </w:lvl>
  </w:abstractNum>
  <w:abstractNum w:abstractNumId="24">
    <w:nsid w:val="4C1C219C"/>
    <w:multiLevelType w:val="hybridMultilevel"/>
    <w:tmpl w:val="100AC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D37508"/>
    <w:multiLevelType w:val="hybridMultilevel"/>
    <w:tmpl w:val="36DE74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60186C"/>
    <w:multiLevelType w:val="hybridMultilevel"/>
    <w:tmpl w:val="299C9166"/>
    <w:lvl w:ilvl="0" w:tplc="04090001">
      <w:start w:val="1"/>
      <w:numFmt w:val="bullet"/>
      <w:lvlText w:val=""/>
      <w:lvlJc w:val="left"/>
      <w:pPr>
        <w:ind w:left="1496" w:hanging="360"/>
      </w:pPr>
      <w:rPr>
        <w:rFonts w:ascii="Symbol" w:hAnsi="Symbol" w:hint="default"/>
      </w:rPr>
    </w:lvl>
    <w:lvl w:ilvl="1" w:tplc="04090003">
      <w:start w:val="1"/>
      <w:numFmt w:val="bullet"/>
      <w:lvlText w:val="o"/>
      <w:lvlJc w:val="left"/>
      <w:pPr>
        <w:ind w:left="2216" w:hanging="360"/>
      </w:pPr>
      <w:rPr>
        <w:rFonts w:ascii="Courier New" w:hAnsi="Courier New" w:cs="Courier New" w:hint="default"/>
      </w:rPr>
    </w:lvl>
    <w:lvl w:ilvl="2" w:tplc="04090005">
      <w:start w:val="1"/>
      <w:numFmt w:val="bullet"/>
      <w:lvlText w:val=""/>
      <w:lvlJc w:val="left"/>
      <w:pPr>
        <w:ind w:left="2936" w:hanging="360"/>
      </w:pPr>
      <w:rPr>
        <w:rFonts w:ascii="Wingdings" w:hAnsi="Wingdings" w:hint="default"/>
      </w:rPr>
    </w:lvl>
    <w:lvl w:ilvl="3" w:tplc="04090001">
      <w:start w:val="1"/>
      <w:numFmt w:val="bullet"/>
      <w:lvlText w:val=""/>
      <w:lvlJc w:val="left"/>
      <w:pPr>
        <w:ind w:left="3656" w:hanging="360"/>
      </w:pPr>
      <w:rPr>
        <w:rFonts w:ascii="Symbol" w:hAnsi="Symbol" w:hint="default"/>
      </w:rPr>
    </w:lvl>
    <w:lvl w:ilvl="4" w:tplc="04090003">
      <w:start w:val="1"/>
      <w:numFmt w:val="bullet"/>
      <w:lvlText w:val="o"/>
      <w:lvlJc w:val="left"/>
      <w:pPr>
        <w:ind w:left="4376" w:hanging="360"/>
      </w:pPr>
      <w:rPr>
        <w:rFonts w:ascii="Courier New" w:hAnsi="Courier New" w:cs="Courier New" w:hint="default"/>
      </w:rPr>
    </w:lvl>
    <w:lvl w:ilvl="5" w:tplc="04090005">
      <w:start w:val="1"/>
      <w:numFmt w:val="bullet"/>
      <w:lvlText w:val=""/>
      <w:lvlJc w:val="left"/>
      <w:pPr>
        <w:ind w:left="5096" w:hanging="360"/>
      </w:pPr>
      <w:rPr>
        <w:rFonts w:ascii="Wingdings" w:hAnsi="Wingdings" w:hint="default"/>
      </w:rPr>
    </w:lvl>
    <w:lvl w:ilvl="6" w:tplc="04090001">
      <w:start w:val="1"/>
      <w:numFmt w:val="bullet"/>
      <w:lvlText w:val=""/>
      <w:lvlJc w:val="left"/>
      <w:pPr>
        <w:ind w:left="5816" w:hanging="360"/>
      </w:pPr>
      <w:rPr>
        <w:rFonts w:ascii="Symbol" w:hAnsi="Symbol" w:hint="default"/>
      </w:rPr>
    </w:lvl>
    <w:lvl w:ilvl="7" w:tplc="04090003">
      <w:start w:val="1"/>
      <w:numFmt w:val="bullet"/>
      <w:lvlText w:val="o"/>
      <w:lvlJc w:val="left"/>
      <w:pPr>
        <w:ind w:left="6536" w:hanging="360"/>
      </w:pPr>
      <w:rPr>
        <w:rFonts w:ascii="Courier New" w:hAnsi="Courier New" w:cs="Courier New" w:hint="default"/>
      </w:rPr>
    </w:lvl>
    <w:lvl w:ilvl="8" w:tplc="04090005">
      <w:start w:val="1"/>
      <w:numFmt w:val="bullet"/>
      <w:lvlText w:val=""/>
      <w:lvlJc w:val="left"/>
      <w:pPr>
        <w:ind w:left="7256" w:hanging="360"/>
      </w:pPr>
      <w:rPr>
        <w:rFonts w:ascii="Wingdings" w:hAnsi="Wingdings" w:hint="default"/>
      </w:rPr>
    </w:lvl>
  </w:abstractNum>
  <w:abstractNum w:abstractNumId="27">
    <w:nsid w:val="53965C2C"/>
    <w:multiLevelType w:val="hybridMultilevel"/>
    <w:tmpl w:val="B6883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0B6796A"/>
    <w:multiLevelType w:val="hybridMultilevel"/>
    <w:tmpl w:val="A14683B4"/>
    <w:lvl w:ilvl="0">
      <w:start w:val="1"/>
      <w:numFmt w:val="bullet"/>
      <w:pStyle w:val="ListBullet2"/>
      <w:lvlText w:val="o"/>
      <w:lvlJc w:val="left"/>
      <w:pPr>
        <w:tabs>
          <w:tab w:val="num" w:pos="648"/>
        </w:tabs>
        <w:ind w:left="648" w:firstLine="0"/>
      </w:pPr>
      <w:rPr>
        <w:rFonts w:ascii="Symbol" w:hAnsi="Symbol" w:hint="default"/>
        <w:sz w:val="18"/>
        <w:szCs w:val="18"/>
      </w:rPr>
    </w:lvl>
    <w:lvl w:ilvl="1">
      <w:start w:val="1"/>
      <w:numFmt w:val="bullet"/>
      <w:lvlText w:val="o"/>
      <w:lvlJc w:val="left"/>
      <w:pPr>
        <w:tabs>
          <w:tab w:val="num" w:pos="1728"/>
        </w:tabs>
        <w:ind w:left="1728" w:hanging="360"/>
      </w:pPr>
      <w:rPr>
        <w:rFonts w:ascii="Courier New" w:hAnsi="Courier New" w:cs="Courier New" w:hint="default"/>
      </w:rPr>
    </w:lvl>
    <w:lvl w:ilvl="2" w:tentative="1">
      <w:start w:val="1"/>
      <w:numFmt w:val="bullet"/>
      <w:lvlText w:val=""/>
      <w:lvlJc w:val="left"/>
      <w:pPr>
        <w:tabs>
          <w:tab w:val="num" w:pos="2448"/>
        </w:tabs>
        <w:ind w:left="2448" w:hanging="360"/>
      </w:pPr>
      <w:rPr>
        <w:rFonts w:ascii="Wingdings" w:hAnsi="Wingdings" w:hint="default"/>
      </w:rPr>
    </w:lvl>
    <w:lvl w:ilvl="3" w:tentative="1">
      <w:start w:val="1"/>
      <w:numFmt w:val="bullet"/>
      <w:lvlText w:val=""/>
      <w:lvlJc w:val="left"/>
      <w:pPr>
        <w:tabs>
          <w:tab w:val="num" w:pos="3168"/>
        </w:tabs>
        <w:ind w:left="3168" w:hanging="360"/>
      </w:pPr>
      <w:rPr>
        <w:rFonts w:ascii="Symbol" w:hAnsi="Symbol" w:hint="default"/>
      </w:rPr>
    </w:lvl>
    <w:lvl w:ilvl="4" w:tentative="1">
      <w:start w:val="1"/>
      <w:numFmt w:val="bullet"/>
      <w:lvlText w:val="o"/>
      <w:lvlJc w:val="left"/>
      <w:pPr>
        <w:tabs>
          <w:tab w:val="num" w:pos="3888"/>
        </w:tabs>
        <w:ind w:left="3888" w:hanging="360"/>
      </w:pPr>
      <w:rPr>
        <w:rFonts w:ascii="Courier New" w:hAnsi="Courier New" w:cs="Courier New" w:hint="default"/>
      </w:rPr>
    </w:lvl>
    <w:lvl w:ilvl="5" w:tentative="1">
      <w:start w:val="1"/>
      <w:numFmt w:val="bullet"/>
      <w:lvlText w:val=""/>
      <w:lvlJc w:val="left"/>
      <w:pPr>
        <w:tabs>
          <w:tab w:val="num" w:pos="4608"/>
        </w:tabs>
        <w:ind w:left="4608" w:hanging="360"/>
      </w:pPr>
      <w:rPr>
        <w:rFonts w:ascii="Wingdings" w:hAnsi="Wingdings" w:hint="default"/>
      </w:rPr>
    </w:lvl>
    <w:lvl w:ilvl="6" w:tentative="1">
      <w:start w:val="1"/>
      <w:numFmt w:val="bullet"/>
      <w:lvlText w:val=""/>
      <w:lvlJc w:val="left"/>
      <w:pPr>
        <w:tabs>
          <w:tab w:val="num" w:pos="5328"/>
        </w:tabs>
        <w:ind w:left="5328" w:hanging="360"/>
      </w:pPr>
      <w:rPr>
        <w:rFonts w:ascii="Symbol" w:hAnsi="Symbol" w:hint="default"/>
      </w:rPr>
    </w:lvl>
    <w:lvl w:ilvl="7" w:tentative="1">
      <w:start w:val="1"/>
      <w:numFmt w:val="bullet"/>
      <w:lvlText w:val="o"/>
      <w:lvlJc w:val="left"/>
      <w:pPr>
        <w:tabs>
          <w:tab w:val="num" w:pos="6048"/>
        </w:tabs>
        <w:ind w:left="6048" w:hanging="360"/>
      </w:pPr>
      <w:rPr>
        <w:rFonts w:ascii="Courier New" w:hAnsi="Courier New" w:cs="Courier New" w:hint="default"/>
      </w:rPr>
    </w:lvl>
    <w:lvl w:ilvl="8" w:tentative="1">
      <w:start w:val="1"/>
      <w:numFmt w:val="bullet"/>
      <w:lvlText w:val=""/>
      <w:lvlJc w:val="left"/>
      <w:pPr>
        <w:tabs>
          <w:tab w:val="num" w:pos="6768"/>
        </w:tabs>
        <w:ind w:left="6768" w:hanging="360"/>
      </w:pPr>
      <w:rPr>
        <w:rFonts w:ascii="Wingdings" w:hAnsi="Wingdings" w:hint="default"/>
      </w:rPr>
    </w:lvl>
  </w:abstractNum>
  <w:abstractNum w:abstractNumId="29">
    <w:nsid w:val="62F059BA"/>
    <w:multiLevelType w:val="multilevel"/>
    <w:tmpl w:val="ED14D640"/>
    <w:lvl w:ilvl="0">
      <w:start w:val="1"/>
      <w:numFmt w:val="bullet"/>
      <w:lvlText w:val=""/>
      <w:lvlPicBulletId w:val="4"/>
      <w:lvlJc w:val="left"/>
      <w:pPr>
        <w:tabs>
          <w:tab w:val="num" w:pos="720"/>
        </w:tabs>
        <w:ind w:left="720" w:hanging="360"/>
      </w:pPr>
      <w:rPr>
        <w:rFonts w:ascii="Symbol" w:hAnsi="Symbol" w:hint="default"/>
        <w:sz w:val="20"/>
      </w:rPr>
    </w:lvl>
    <w:lvl w:ilvl="1" w:tentative="1">
      <w:start w:val="1"/>
      <w:numFmt w:val="bullet"/>
      <w:lvlText w:val="o"/>
      <w:lvlPicBulletId w:val="5"/>
      <w:lvlJc w:val="left"/>
      <w:pPr>
        <w:tabs>
          <w:tab w:val="num" w:pos="1440"/>
        </w:tabs>
        <w:ind w:left="1440" w:hanging="360"/>
      </w:pPr>
      <w:rPr>
        <w:rFonts w:ascii="Courier New" w:hAnsi="Courier New" w:hint="default"/>
        <w:sz w:val="20"/>
      </w:rPr>
    </w:lvl>
    <w:lvl w:ilvl="2" w:tentative="1">
      <w:start w:val="1"/>
      <w:numFmt w:val="bullet"/>
      <w:lvlText w:val=""/>
      <w:lvlPicBulletId w:val="6"/>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3F8780D"/>
    <w:multiLevelType w:val="hybridMultilevel"/>
    <w:tmpl w:val="A010FCEA"/>
    <w:lvl w:ilvl="0">
      <w:start w:val="1"/>
      <w:numFmt w:val="bullet"/>
      <w:pStyle w:val="ListBullet"/>
      <w:lvlText w:val=""/>
      <w:lvlJc w:val="left"/>
      <w:pPr>
        <w:tabs>
          <w:tab w:val="num" w:pos="648"/>
        </w:tabs>
        <w:ind w:left="648" w:hanging="360"/>
      </w:pPr>
      <w:rPr>
        <w:rFonts w:ascii="Symbol" w:hAnsi="Symbol" w:hint="default"/>
        <w:strike w:val="0"/>
        <w:dstrike w:val="0"/>
        <w:color w:val="auto"/>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
    <w:nsid w:val="63FC7FED"/>
    <w:multiLevelType w:val="hybridMultilevel"/>
    <w:tmpl w:val="05969A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2A86BD2"/>
    <w:multiLevelType w:val="singleLevel"/>
    <w:tmpl w:val="606ED0A8"/>
    <w:lvl w:ilvl="0">
      <w:start w:val="1"/>
      <w:numFmt w:val="bullet"/>
      <w:lvlText w:val=""/>
      <w:lvlJc w:val="left"/>
      <w:pPr>
        <w:tabs>
          <w:tab w:val="num" w:pos="720"/>
        </w:tabs>
        <w:ind w:left="720" w:hanging="360"/>
      </w:pPr>
      <w:rPr>
        <w:rFonts w:ascii="Symbol" w:hAnsi="Symbol" w:hint="default"/>
        <w:sz w:val="24"/>
      </w:rPr>
    </w:lvl>
  </w:abstractNum>
  <w:abstractNum w:abstractNumId="33">
    <w:nsid w:val="758D651D"/>
    <w:multiLevelType w:val="hybridMultilevel"/>
    <w:tmpl w:val="C210867C"/>
    <w:lvl w:ilvl="0" w:tplc="9C84FF40">
      <w:start w:val="1"/>
      <w:numFmt w:val="bullet"/>
      <w:pStyle w:val="TableTextNumbersBullet"/>
      <w:lvlText w:val=""/>
      <w:lvlJc w:val="left"/>
      <w:pPr>
        <w:tabs>
          <w:tab w:val="num" w:pos="288"/>
        </w:tabs>
        <w:ind w:left="288" w:firstLine="0"/>
      </w:pPr>
      <w:rPr>
        <w:rFonts w:ascii="Symbol" w:hAnsi="Symbol" w:hint="default"/>
        <w:sz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1256CB54"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C022B11"/>
    <w:multiLevelType w:val="hybridMultilevel"/>
    <w:tmpl w:val="B60A4BCE"/>
    <w:lvl w:ilvl="0" w:tplc="FFFFFFFF">
      <w:start w:val="2"/>
      <w:numFmt w:val="bullet"/>
      <w:lvlText w:val=""/>
      <w:lvlJc w:val="left"/>
      <w:pPr>
        <w:tabs>
          <w:tab w:val="num" w:pos="795"/>
        </w:tabs>
        <w:ind w:left="795" w:hanging="405"/>
      </w:pPr>
      <w:rPr>
        <w:rFonts w:ascii="Symbol" w:eastAsia="Times New Roman" w:hAnsi="Symbol" w:cs="Arial" w:hint="default"/>
      </w:rPr>
    </w:lvl>
    <w:lvl w:ilvl="1" w:tplc="04090001">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nsid w:val="7ECB7E7E"/>
    <w:multiLevelType w:val="hybridMultilevel"/>
    <w:tmpl w:val="EF403034"/>
    <w:lvl w:ilvl="0" w:tplc="851AB840">
      <w:start w:val="1"/>
      <w:numFmt w:val="decimal"/>
      <w:pStyle w:val="ListNumber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4"/>
  </w:num>
  <w:num w:numId="3">
    <w:abstractNumId w:val="11"/>
  </w:num>
  <w:num w:numId="4">
    <w:abstractNumId w:val="21"/>
  </w:num>
  <w:num w:numId="5">
    <w:abstractNumId w:val="14"/>
  </w:num>
  <w:num w:numId="6">
    <w:abstractNumId w:val="19"/>
  </w:num>
  <w:num w:numId="7">
    <w:abstractNumId w:val="33"/>
  </w:num>
  <w:num w:numId="8">
    <w:abstractNumId w:val="28"/>
  </w:num>
  <w:num w:numId="9">
    <w:abstractNumId w:val="20"/>
  </w:num>
  <w:num w:numId="10">
    <w:abstractNumId w:val="10"/>
  </w:num>
  <w:num w:numId="11">
    <w:abstractNumId w:val="0"/>
  </w:num>
  <w:num w:numId="12">
    <w:abstractNumId w:val="1"/>
  </w:num>
  <w:num w:numId="13">
    <w:abstractNumId w:val="29"/>
  </w:num>
  <w:num w:numId="14">
    <w:abstractNumId w:val="22"/>
  </w:num>
  <w:num w:numId="15">
    <w:abstractNumId w:val="30"/>
  </w:num>
  <w:num w:numId="16">
    <w:abstractNumId w:val="6"/>
    <w:lvlOverride w:ilvl="0">
      <w:startOverride w:val="1"/>
    </w:lvlOverride>
  </w:num>
  <w:num w:numId="17">
    <w:abstractNumId w:val="6"/>
    <w:lvlOverride w:ilvl="0">
      <w:startOverride w:val="1"/>
    </w:lvlOverride>
  </w:num>
  <w:num w:numId="18">
    <w:abstractNumId w:val="6"/>
    <w:lvlOverride w:ilvl="0">
      <w:startOverride w:val="1"/>
    </w:lvlOverride>
  </w:num>
  <w:num w:numId="19">
    <w:abstractNumId w:val="6"/>
    <w:lvlOverride w:ilvl="0">
      <w:startOverride w:val="1"/>
    </w:lvlOverride>
  </w:num>
  <w:num w:numId="20">
    <w:abstractNumId w:val="6"/>
  </w:num>
  <w:num w:numId="21">
    <w:abstractNumId w:val="6"/>
    <w:lvlOverride w:ilvl="0">
      <w:startOverride w:val="1"/>
    </w:lvlOverride>
  </w:num>
  <w:num w:numId="22">
    <w:abstractNumId w:val="6"/>
    <w:lvlOverride w:ilvl="0">
      <w:startOverride w:val="1"/>
    </w:lvlOverride>
  </w:num>
  <w:num w:numId="23">
    <w:abstractNumId w:val="6"/>
    <w:lvlOverride w:ilvl="0">
      <w:startOverride w:val="1"/>
    </w:lvlOverride>
  </w:num>
  <w:num w:numId="24">
    <w:abstractNumId w:val="6"/>
    <w:lvlOverride w:ilvl="0">
      <w:startOverride w:val="1"/>
    </w:lvlOverride>
  </w:num>
  <w:num w:numId="25">
    <w:abstractNumId w:val="6"/>
    <w:lvlOverride w:ilvl="0">
      <w:startOverride w:val="1"/>
    </w:lvlOverride>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6"/>
    <w:lvlOverride w:ilvl="0">
      <w:startOverride w:val="1"/>
    </w:lvlOverride>
  </w:num>
  <w:num w:numId="30">
    <w:abstractNumId w:val="6"/>
    <w:lvlOverride w:ilvl="0">
      <w:startOverride w:val="1"/>
    </w:lvlOverride>
  </w:num>
  <w:num w:numId="31">
    <w:abstractNumId w:val="6"/>
    <w:lvlOverride w:ilvl="0">
      <w:startOverride w:val="1"/>
    </w:lvlOverride>
  </w:num>
  <w:num w:numId="32">
    <w:abstractNumId w:val="6"/>
    <w:lvlOverride w:ilvl="0">
      <w:startOverride w:val="1"/>
    </w:lvlOverride>
  </w:num>
  <w:num w:numId="33">
    <w:abstractNumId w:val="6"/>
    <w:lvlOverride w:ilvl="0">
      <w:startOverride w:val="1"/>
    </w:lvlOverride>
  </w:num>
  <w:num w:numId="34">
    <w:abstractNumId w:val="6"/>
    <w:lvlOverride w:ilvl="0">
      <w:startOverride w:val="1"/>
    </w:lvlOverride>
  </w:num>
  <w:num w:numId="35">
    <w:abstractNumId w:val="17"/>
  </w:num>
  <w:num w:numId="36">
    <w:abstractNumId w:val="12"/>
  </w:num>
  <w:num w:numId="37">
    <w:abstractNumId w:val="3"/>
  </w:num>
  <w:num w:numId="38">
    <w:abstractNumId w:val="25"/>
  </w:num>
  <w:num w:numId="39">
    <w:abstractNumId w:val="7"/>
  </w:num>
  <w:num w:numId="40">
    <w:abstractNumId w:val="24"/>
  </w:num>
  <w:num w:numId="41">
    <w:abstractNumId w:val="9"/>
  </w:num>
  <w:num w:numId="42">
    <w:abstractNumId w:val="3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21"/>
    <w:lvlOverride w:ilvl="0">
      <w:startOverride w:val="1"/>
    </w:lvlOverride>
  </w:num>
  <w:num w:numId="45">
    <w:abstractNumId w:val="21"/>
    <w:lvlOverride w:ilvl="0">
      <w:startOverride w:val="1"/>
    </w:lvlOverride>
  </w:num>
  <w:num w:numId="46">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7"/>
  </w:num>
  <w:num w:numId="48">
    <w:abstractNumId w:val="35"/>
  </w:num>
  <w:num w:numId="49">
    <w:abstractNumId w:val="35"/>
    <w:lvlOverride w:ilvl="0">
      <w:startOverride w:val="1"/>
    </w:lvlOverride>
  </w:num>
  <w:num w:numId="50">
    <w:abstractNumId w:val="26"/>
    <w:lvlOverride w:ilvl="0"/>
    <w:lvlOverride w:ilvl="1"/>
    <w:lvlOverride w:ilvl="2"/>
    <w:lvlOverride w:ilvl="3"/>
    <w:lvlOverride w:ilvl="4"/>
    <w:lvlOverride w:ilvl="5"/>
    <w:lvlOverride w:ilvl="6"/>
    <w:lvlOverride w:ilvl="7"/>
    <w:lvlOverride w:ilvl="8"/>
  </w:num>
  <w:num w:numId="51">
    <w:abstractNumId w:val="32"/>
  </w:num>
  <w:num w:numId="52">
    <w:abstractNumId w:val="8"/>
  </w:num>
  <w:num w:numId="53">
    <w:abstractNumId w:val="16"/>
  </w:num>
  <w:num w:numId="54">
    <w:abstractNumId w:val="2"/>
  </w:num>
  <w:num w:numId="55">
    <w:abstractNumId w:val="21"/>
    <w:lvlOverride w:ilvl="0">
      <w:startOverride w:val="1"/>
    </w:lvlOverride>
  </w:num>
  <w:num w:numId="56">
    <w:abstractNumId w:val="21"/>
    <w:lvlOverride w:ilvl="0">
      <w:startOverride w:val="1"/>
    </w:lvlOverride>
  </w:num>
  <w:num w:numId="57">
    <w:abstractNumId w:val="13"/>
  </w:num>
  <w:num w:numId="58">
    <w:abstractNumId w:val="31"/>
  </w:num>
  <w:num w:numId="59">
    <w:abstractNumId w:val="21"/>
    <w:lvlOverride w:ilvl="0">
      <w:startOverride w:val="1"/>
    </w:lvlOverride>
  </w:num>
  <w:num w:numId="60">
    <w:abstractNumId w:val="18"/>
  </w:num>
  <w:num w:numId="61">
    <w:abstractNumId w:val="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activeWritingStyle w:appName="MSWord" w:lang="en-US" w:vendorID="64" w:dllVersion="131078" w:nlCheck="1" w:checkStyle="0"/>
  <w:activeWritingStyle w:appName="MSWord" w:lang="en-US" w:vendorID="64" w:dllVersion="131077" w:nlCheck="1" w:checkStyle="1"/>
  <w:activeWritingStyle w:appName="MSWord" w:lang="es-ES" w:vendorID="64" w:dllVersion="131078" w:nlCheck="1" w:checkStyle="1"/>
  <w:activeWritingStyle w:appName="MSWord" w:lang="fr-CA"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F5"/>
    <w:rsid w:val="0000095B"/>
    <w:rsid w:val="00000A27"/>
    <w:rsid w:val="00000CF1"/>
    <w:rsid w:val="000013B4"/>
    <w:rsid w:val="000014DD"/>
    <w:rsid w:val="000016CF"/>
    <w:rsid w:val="00002564"/>
    <w:rsid w:val="0000295A"/>
    <w:rsid w:val="00002A54"/>
    <w:rsid w:val="00002D13"/>
    <w:rsid w:val="00002DA1"/>
    <w:rsid w:val="000037E8"/>
    <w:rsid w:val="00003944"/>
    <w:rsid w:val="00003AD3"/>
    <w:rsid w:val="00003AD8"/>
    <w:rsid w:val="00004139"/>
    <w:rsid w:val="0000455C"/>
    <w:rsid w:val="00004786"/>
    <w:rsid w:val="00004A4C"/>
    <w:rsid w:val="0000544A"/>
    <w:rsid w:val="000054DE"/>
    <w:rsid w:val="00005C14"/>
    <w:rsid w:val="00005EFF"/>
    <w:rsid w:val="0000620B"/>
    <w:rsid w:val="00006808"/>
    <w:rsid w:val="00006D30"/>
    <w:rsid w:val="00006D86"/>
    <w:rsid w:val="000075A9"/>
    <w:rsid w:val="000075AF"/>
    <w:rsid w:val="00007986"/>
    <w:rsid w:val="00007EFF"/>
    <w:rsid w:val="00007FC3"/>
    <w:rsid w:val="00010613"/>
    <w:rsid w:val="00010A5B"/>
    <w:rsid w:val="00010CF8"/>
    <w:rsid w:val="00011036"/>
    <w:rsid w:val="0001199A"/>
    <w:rsid w:val="00011A43"/>
    <w:rsid w:val="00011FD2"/>
    <w:rsid w:val="000120C4"/>
    <w:rsid w:val="000120CE"/>
    <w:rsid w:val="0001265E"/>
    <w:rsid w:val="00013002"/>
    <w:rsid w:val="00013047"/>
    <w:rsid w:val="0001312C"/>
    <w:rsid w:val="00013932"/>
    <w:rsid w:val="000143B5"/>
    <w:rsid w:val="000144A0"/>
    <w:rsid w:val="000144FD"/>
    <w:rsid w:val="000145FB"/>
    <w:rsid w:val="000148C3"/>
    <w:rsid w:val="00014955"/>
    <w:rsid w:val="00014BE4"/>
    <w:rsid w:val="00014EFE"/>
    <w:rsid w:val="0001548D"/>
    <w:rsid w:val="00015581"/>
    <w:rsid w:val="00015AFD"/>
    <w:rsid w:val="000162F5"/>
    <w:rsid w:val="000166D4"/>
    <w:rsid w:val="0001680D"/>
    <w:rsid w:val="00016901"/>
    <w:rsid w:val="00016C78"/>
    <w:rsid w:val="00017EC9"/>
    <w:rsid w:val="000200AF"/>
    <w:rsid w:val="00020721"/>
    <w:rsid w:val="0002125E"/>
    <w:rsid w:val="00021B72"/>
    <w:rsid w:val="00021CEB"/>
    <w:rsid w:val="00021E64"/>
    <w:rsid w:val="000221BC"/>
    <w:rsid w:val="0002312A"/>
    <w:rsid w:val="00023520"/>
    <w:rsid w:val="00024989"/>
    <w:rsid w:val="00024B9F"/>
    <w:rsid w:val="0002560C"/>
    <w:rsid w:val="0002571B"/>
    <w:rsid w:val="00025A5C"/>
    <w:rsid w:val="00025A95"/>
    <w:rsid w:val="00025A9B"/>
    <w:rsid w:val="00025BD0"/>
    <w:rsid w:val="00025CF7"/>
    <w:rsid w:val="00026099"/>
    <w:rsid w:val="0002675E"/>
    <w:rsid w:val="00026AC5"/>
    <w:rsid w:val="00026F72"/>
    <w:rsid w:val="00026FF3"/>
    <w:rsid w:val="00027368"/>
    <w:rsid w:val="00027505"/>
    <w:rsid w:val="000275FF"/>
    <w:rsid w:val="00027667"/>
    <w:rsid w:val="00027EC0"/>
    <w:rsid w:val="00027ED3"/>
    <w:rsid w:val="00027FF5"/>
    <w:rsid w:val="000305DD"/>
    <w:rsid w:val="00030D9B"/>
    <w:rsid w:val="00030E55"/>
    <w:rsid w:val="00031138"/>
    <w:rsid w:val="0003186D"/>
    <w:rsid w:val="0003186E"/>
    <w:rsid w:val="000318FD"/>
    <w:rsid w:val="000319CE"/>
    <w:rsid w:val="000325C4"/>
    <w:rsid w:val="00032782"/>
    <w:rsid w:val="000332A7"/>
    <w:rsid w:val="0003355D"/>
    <w:rsid w:val="00033916"/>
    <w:rsid w:val="00034390"/>
    <w:rsid w:val="000349A0"/>
    <w:rsid w:val="00034C09"/>
    <w:rsid w:val="000350E5"/>
    <w:rsid w:val="0003580E"/>
    <w:rsid w:val="0003596C"/>
    <w:rsid w:val="00035A64"/>
    <w:rsid w:val="00035BA7"/>
    <w:rsid w:val="00035CDC"/>
    <w:rsid w:val="00035F16"/>
    <w:rsid w:val="0003608A"/>
    <w:rsid w:val="00036095"/>
    <w:rsid w:val="000360F1"/>
    <w:rsid w:val="00036285"/>
    <w:rsid w:val="000362A2"/>
    <w:rsid w:val="00036449"/>
    <w:rsid w:val="00036C25"/>
    <w:rsid w:val="000371B2"/>
    <w:rsid w:val="00037976"/>
    <w:rsid w:val="00037A18"/>
    <w:rsid w:val="00037BAD"/>
    <w:rsid w:val="00037C16"/>
    <w:rsid w:val="000405AD"/>
    <w:rsid w:val="0004065B"/>
    <w:rsid w:val="00040807"/>
    <w:rsid w:val="00040832"/>
    <w:rsid w:val="00040E28"/>
    <w:rsid w:val="00040E3B"/>
    <w:rsid w:val="00041C69"/>
    <w:rsid w:val="00041FCF"/>
    <w:rsid w:val="0004202A"/>
    <w:rsid w:val="000428C6"/>
    <w:rsid w:val="00042A07"/>
    <w:rsid w:val="00042A36"/>
    <w:rsid w:val="00042B1F"/>
    <w:rsid w:val="0004302A"/>
    <w:rsid w:val="00043785"/>
    <w:rsid w:val="00044822"/>
    <w:rsid w:val="00045009"/>
    <w:rsid w:val="0004514D"/>
    <w:rsid w:val="0004545F"/>
    <w:rsid w:val="00045736"/>
    <w:rsid w:val="00045762"/>
    <w:rsid w:val="00045CEA"/>
    <w:rsid w:val="00045ED7"/>
    <w:rsid w:val="00046402"/>
    <w:rsid w:val="0004660C"/>
    <w:rsid w:val="00046907"/>
    <w:rsid w:val="00046C55"/>
    <w:rsid w:val="00046D06"/>
    <w:rsid w:val="00046F4B"/>
    <w:rsid w:val="0004774A"/>
    <w:rsid w:val="00047C2D"/>
    <w:rsid w:val="000502C3"/>
    <w:rsid w:val="000502D2"/>
    <w:rsid w:val="00050576"/>
    <w:rsid w:val="000507E1"/>
    <w:rsid w:val="000509A8"/>
    <w:rsid w:val="00050BB7"/>
    <w:rsid w:val="000513B1"/>
    <w:rsid w:val="000518ED"/>
    <w:rsid w:val="00051E30"/>
    <w:rsid w:val="00052726"/>
    <w:rsid w:val="00052821"/>
    <w:rsid w:val="00052BC6"/>
    <w:rsid w:val="00052C4E"/>
    <w:rsid w:val="00053349"/>
    <w:rsid w:val="0005419D"/>
    <w:rsid w:val="000545BF"/>
    <w:rsid w:val="000546CB"/>
    <w:rsid w:val="00054FA6"/>
    <w:rsid w:val="000558FF"/>
    <w:rsid w:val="00055B6C"/>
    <w:rsid w:val="000566D6"/>
    <w:rsid w:val="000568BA"/>
    <w:rsid w:val="00056BCC"/>
    <w:rsid w:val="00056CBF"/>
    <w:rsid w:val="000571E4"/>
    <w:rsid w:val="000574B4"/>
    <w:rsid w:val="00057898"/>
    <w:rsid w:val="00057ADC"/>
    <w:rsid w:val="00060964"/>
    <w:rsid w:val="00060DE4"/>
    <w:rsid w:val="00061040"/>
    <w:rsid w:val="0006165B"/>
    <w:rsid w:val="000618E0"/>
    <w:rsid w:val="00061930"/>
    <w:rsid w:val="00061AEC"/>
    <w:rsid w:val="00061FCF"/>
    <w:rsid w:val="00062D0F"/>
    <w:rsid w:val="00062E99"/>
    <w:rsid w:val="00063114"/>
    <w:rsid w:val="00063AED"/>
    <w:rsid w:val="00063D3D"/>
    <w:rsid w:val="000640BC"/>
    <w:rsid w:val="00064198"/>
    <w:rsid w:val="0006424F"/>
    <w:rsid w:val="0006459B"/>
    <w:rsid w:val="00064B66"/>
    <w:rsid w:val="00064B9D"/>
    <w:rsid w:val="00064E16"/>
    <w:rsid w:val="00065387"/>
    <w:rsid w:val="00065725"/>
    <w:rsid w:val="00066305"/>
    <w:rsid w:val="000664AE"/>
    <w:rsid w:val="000668C0"/>
    <w:rsid w:val="00066B1B"/>
    <w:rsid w:val="00066BE2"/>
    <w:rsid w:val="0006735F"/>
    <w:rsid w:val="000673C5"/>
    <w:rsid w:val="00067592"/>
    <w:rsid w:val="00067A9E"/>
    <w:rsid w:val="00067C65"/>
    <w:rsid w:val="000700FB"/>
    <w:rsid w:val="00070C5D"/>
    <w:rsid w:val="00070CCC"/>
    <w:rsid w:val="00070D1C"/>
    <w:rsid w:val="000717C2"/>
    <w:rsid w:val="00071FAF"/>
    <w:rsid w:val="00072131"/>
    <w:rsid w:val="00072475"/>
    <w:rsid w:val="0007268D"/>
    <w:rsid w:val="00073695"/>
    <w:rsid w:val="0007426E"/>
    <w:rsid w:val="0007472F"/>
    <w:rsid w:val="000753FE"/>
    <w:rsid w:val="0007544E"/>
    <w:rsid w:val="00075AA3"/>
    <w:rsid w:val="00075CB7"/>
    <w:rsid w:val="00076459"/>
    <w:rsid w:val="00076A4A"/>
    <w:rsid w:val="00077037"/>
    <w:rsid w:val="000772BA"/>
    <w:rsid w:val="0007734F"/>
    <w:rsid w:val="000809E3"/>
    <w:rsid w:val="00080A13"/>
    <w:rsid w:val="00080BF3"/>
    <w:rsid w:val="00080E52"/>
    <w:rsid w:val="0008169A"/>
    <w:rsid w:val="000826CF"/>
    <w:rsid w:val="0008272B"/>
    <w:rsid w:val="00082F78"/>
    <w:rsid w:val="0008348E"/>
    <w:rsid w:val="00083924"/>
    <w:rsid w:val="00083AC1"/>
    <w:rsid w:val="00083B7D"/>
    <w:rsid w:val="000844AF"/>
    <w:rsid w:val="000848EE"/>
    <w:rsid w:val="00084DB4"/>
    <w:rsid w:val="00084E6B"/>
    <w:rsid w:val="000850E3"/>
    <w:rsid w:val="00085DCF"/>
    <w:rsid w:val="00086085"/>
    <w:rsid w:val="000860BB"/>
    <w:rsid w:val="000866EE"/>
    <w:rsid w:val="00086F22"/>
    <w:rsid w:val="00086FDE"/>
    <w:rsid w:val="000873D0"/>
    <w:rsid w:val="000876E5"/>
    <w:rsid w:val="0008774E"/>
    <w:rsid w:val="00087860"/>
    <w:rsid w:val="00087BEA"/>
    <w:rsid w:val="00087DA6"/>
    <w:rsid w:val="00087E50"/>
    <w:rsid w:val="00090795"/>
    <w:rsid w:val="00090B68"/>
    <w:rsid w:val="00090B78"/>
    <w:rsid w:val="00091096"/>
    <w:rsid w:val="00091338"/>
    <w:rsid w:val="00091792"/>
    <w:rsid w:val="00091DC8"/>
    <w:rsid w:val="000921F1"/>
    <w:rsid w:val="00092254"/>
    <w:rsid w:val="00092276"/>
    <w:rsid w:val="0009235F"/>
    <w:rsid w:val="000925E5"/>
    <w:rsid w:val="00092A53"/>
    <w:rsid w:val="00092B96"/>
    <w:rsid w:val="00092CFE"/>
    <w:rsid w:val="00092F48"/>
    <w:rsid w:val="00093181"/>
    <w:rsid w:val="0009383F"/>
    <w:rsid w:val="00093E5D"/>
    <w:rsid w:val="0009404D"/>
    <w:rsid w:val="000949C9"/>
    <w:rsid w:val="00094C7D"/>
    <w:rsid w:val="00095650"/>
    <w:rsid w:val="00095AA1"/>
    <w:rsid w:val="00095BAC"/>
    <w:rsid w:val="00095C5D"/>
    <w:rsid w:val="00095D68"/>
    <w:rsid w:val="000961DF"/>
    <w:rsid w:val="0009655B"/>
    <w:rsid w:val="000969E3"/>
    <w:rsid w:val="00096D10"/>
    <w:rsid w:val="00096EDC"/>
    <w:rsid w:val="00096F7A"/>
    <w:rsid w:val="000975BF"/>
    <w:rsid w:val="000977A4"/>
    <w:rsid w:val="00097F10"/>
    <w:rsid w:val="00097FB3"/>
    <w:rsid w:val="000A04D8"/>
    <w:rsid w:val="000A04E1"/>
    <w:rsid w:val="000A0BE8"/>
    <w:rsid w:val="000A10EE"/>
    <w:rsid w:val="000A1199"/>
    <w:rsid w:val="000A12C5"/>
    <w:rsid w:val="000A15BA"/>
    <w:rsid w:val="000A2260"/>
    <w:rsid w:val="000A273B"/>
    <w:rsid w:val="000A29E2"/>
    <w:rsid w:val="000A2FBB"/>
    <w:rsid w:val="000A38A4"/>
    <w:rsid w:val="000A3973"/>
    <w:rsid w:val="000A3D20"/>
    <w:rsid w:val="000A3D88"/>
    <w:rsid w:val="000A4886"/>
    <w:rsid w:val="000A4A97"/>
    <w:rsid w:val="000A4BAE"/>
    <w:rsid w:val="000A4CE0"/>
    <w:rsid w:val="000A5167"/>
    <w:rsid w:val="000A5281"/>
    <w:rsid w:val="000A5385"/>
    <w:rsid w:val="000A62C9"/>
    <w:rsid w:val="000A6348"/>
    <w:rsid w:val="000A6572"/>
    <w:rsid w:val="000A66AC"/>
    <w:rsid w:val="000A6837"/>
    <w:rsid w:val="000A7B84"/>
    <w:rsid w:val="000B0115"/>
    <w:rsid w:val="000B0170"/>
    <w:rsid w:val="000B0A9D"/>
    <w:rsid w:val="000B0AFD"/>
    <w:rsid w:val="000B12DA"/>
    <w:rsid w:val="000B1BA7"/>
    <w:rsid w:val="000B284D"/>
    <w:rsid w:val="000B2B9F"/>
    <w:rsid w:val="000B2EB2"/>
    <w:rsid w:val="000B2F76"/>
    <w:rsid w:val="000B3B22"/>
    <w:rsid w:val="000B407A"/>
    <w:rsid w:val="000B4E47"/>
    <w:rsid w:val="000B5252"/>
    <w:rsid w:val="000B56AE"/>
    <w:rsid w:val="000B5827"/>
    <w:rsid w:val="000B5A85"/>
    <w:rsid w:val="000B5EBA"/>
    <w:rsid w:val="000B674A"/>
    <w:rsid w:val="000B755C"/>
    <w:rsid w:val="000B78C2"/>
    <w:rsid w:val="000B7930"/>
    <w:rsid w:val="000B7965"/>
    <w:rsid w:val="000B79B3"/>
    <w:rsid w:val="000B7C21"/>
    <w:rsid w:val="000B7DDB"/>
    <w:rsid w:val="000C0082"/>
    <w:rsid w:val="000C010D"/>
    <w:rsid w:val="000C01A8"/>
    <w:rsid w:val="000C0600"/>
    <w:rsid w:val="000C0757"/>
    <w:rsid w:val="000C0766"/>
    <w:rsid w:val="000C156B"/>
    <w:rsid w:val="000C18F8"/>
    <w:rsid w:val="000C1C7E"/>
    <w:rsid w:val="000C1CCE"/>
    <w:rsid w:val="000C206C"/>
    <w:rsid w:val="000C22E7"/>
    <w:rsid w:val="000C342D"/>
    <w:rsid w:val="000C3495"/>
    <w:rsid w:val="000C3870"/>
    <w:rsid w:val="000C38E7"/>
    <w:rsid w:val="000C3AB4"/>
    <w:rsid w:val="000C3D5C"/>
    <w:rsid w:val="000C426C"/>
    <w:rsid w:val="000C4296"/>
    <w:rsid w:val="000C4324"/>
    <w:rsid w:val="000C4603"/>
    <w:rsid w:val="000C50E9"/>
    <w:rsid w:val="000C5126"/>
    <w:rsid w:val="000C56A3"/>
    <w:rsid w:val="000C577B"/>
    <w:rsid w:val="000C57EB"/>
    <w:rsid w:val="000C5C2A"/>
    <w:rsid w:val="000C5F71"/>
    <w:rsid w:val="000C6318"/>
    <w:rsid w:val="000C647B"/>
    <w:rsid w:val="000C6A48"/>
    <w:rsid w:val="000C6CEA"/>
    <w:rsid w:val="000C6D24"/>
    <w:rsid w:val="000C6D97"/>
    <w:rsid w:val="000C7684"/>
    <w:rsid w:val="000C7C69"/>
    <w:rsid w:val="000D0591"/>
    <w:rsid w:val="000D0722"/>
    <w:rsid w:val="000D08F0"/>
    <w:rsid w:val="000D091B"/>
    <w:rsid w:val="000D14B2"/>
    <w:rsid w:val="000D169A"/>
    <w:rsid w:val="000D1D29"/>
    <w:rsid w:val="000D2373"/>
    <w:rsid w:val="000D30B7"/>
    <w:rsid w:val="000D380C"/>
    <w:rsid w:val="000D3E2E"/>
    <w:rsid w:val="000D4240"/>
    <w:rsid w:val="000D4810"/>
    <w:rsid w:val="000D5534"/>
    <w:rsid w:val="000D609E"/>
    <w:rsid w:val="000D669E"/>
    <w:rsid w:val="000D69CE"/>
    <w:rsid w:val="000D6A15"/>
    <w:rsid w:val="000D6CFB"/>
    <w:rsid w:val="000D70D6"/>
    <w:rsid w:val="000D7828"/>
    <w:rsid w:val="000D79B6"/>
    <w:rsid w:val="000D7B0F"/>
    <w:rsid w:val="000E05CB"/>
    <w:rsid w:val="000E07BD"/>
    <w:rsid w:val="000E07D2"/>
    <w:rsid w:val="000E19EE"/>
    <w:rsid w:val="000E1BFF"/>
    <w:rsid w:val="000E1D69"/>
    <w:rsid w:val="000E2446"/>
    <w:rsid w:val="000E286D"/>
    <w:rsid w:val="000E2D6A"/>
    <w:rsid w:val="000E2F87"/>
    <w:rsid w:val="000E3E6B"/>
    <w:rsid w:val="000E44DC"/>
    <w:rsid w:val="000E54C1"/>
    <w:rsid w:val="000E5D5B"/>
    <w:rsid w:val="000E5D74"/>
    <w:rsid w:val="000E6247"/>
    <w:rsid w:val="000E6280"/>
    <w:rsid w:val="000E64BC"/>
    <w:rsid w:val="000E6B34"/>
    <w:rsid w:val="000E6B9F"/>
    <w:rsid w:val="000E6E10"/>
    <w:rsid w:val="000E6F32"/>
    <w:rsid w:val="000E7079"/>
    <w:rsid w:val="000E7610"/>
    <w:rsid w:val="000E7760"/>
    <w:rsid w:val="000E7C07"/>
    <w:rsid w:val="000E7CF5"/>
    <w:rsid w:val="000F0115"/>
    <w:rsid w:val="000F0DE8"/>
    <w:rsid w:val="000F12D4"/>
    <w:rsid w:val="000F217B"/>
    <w:rsid w:val="000F2235"/>
    <w:rsid w:val="000F2292"/>
    <w:rsid w:val="000F29F3"/>
    <w:rsid w:val="000F2E95"/>
    <w:rsid w:val="000F339C"/>
    <w:rsid w:val="000F37DC"/>
    <w:rsid w:val="000F4421"/>
    <w:rsid w:val="000F4B1D"/>
    <w:rsid w:val="000F4CFE"/>
    <w:rsid w:val="000F5236"/>
    <w:rsid w:val="000F54F2"/>
    <w:rsid w:val="000F57D8"/>
    <w:rsid w:val="000F5E1B"/>
    <w:rsid w:val="000F62D6"/>
    <w:rsid w:val="000F697A"/>
    <w:rsid w:val="000F6DC4"/>
    <w:rsid w:val="000F6EEA"/>
    <w:rsid w:val="000F7202"/>
    <w:rsid w:val="00100276"/>
    <w:rsid w:val="00100447"/>
    <w:rsid w:val="00100549"/>
    <w:rsid w:val="001005F3"/>
    <w:rsid w:val="00100655"/>
    <w:rsid w:val="00100767"/>
    <w:rsid w:val="00101169"/>
    <w:rsid w:val="001012DA"/>
    <w:rsid w:val="001016A5"/>
    <w:rsid w:val="0010177C"/>
    <w:rsid w:val="001017A2"/>
    <w:rsid w:val="00101CFA"/>
    <w:rsid w:val="00102607"/>
    <w:rsid w:val="00102700"/>
    <w:rsid w:val="0010275E"/>
    <w:rsid w:val="00102A03"/>
    <w:rsid w:val="0010333F"/>
    <w:rsid w:val="0010335E"/>
    <w:rsid w:val="00103E20"/>
    <w:rsid w:val="00104940"/>
    <w:rsid w:val="001051D0"/>
    <w:rsid w:val="00105DF5"/>
    <w:rsid w:val="00105E53"/>
    <w:rsid w:val="001061A4"/>
    <w:rsid w:val="00106476"/>
    <w:rsid w:val="00107232"/>
    <w:rsid w:val="0010751B"/>
    <w:rsid w:val="00107CEB"/>
    <w:rsid w:val="00107EFE"/>
    <w:rsid w:val="0011003A"/>
    <w:rsid w:val="001116E3"/>
    <w:rsid w:val="00111B5F"/>
    <w:rsid w:val="00112590"/>
    <w:rsid w:val="00112C24"/>
    <w:rsid w:val="00113274"/>
    <w:rsid w:val="001132DE"/>
    <w:rsid w:val="001137FD"/>
    <w:rsid w:val="00113ABA"/>
    <w:rsid w:val="00113B6A"/>
    <w:rsid w:val="00113E2C"/>
    <w:rsid w:val="0011459B"/>
    <w:rsid w:val="001149DC"/>
    <w:rsid w:val="00114FA8"/>
    <w:rsid w:val="0011500D"/>
    <w:rsid w:val="001150D4"/>
    <w:rsid w:val="0011539C"/>
    <w:rsid w:val="0011594A"/>
    <w:rsid w:val="00115A2A"/>
    <w:rsid w:val="0011624B"/>
    <w:rsid w:val="00116B25"/>
    <w:rsid w:val="0011791A"/>
    <w:rsid w:val="00120B78"/>
    <w:rsid w:val="00120C4C"/>
    <w:rsid w:val="00120C66"/>
    <w:rsid w:val="00121110"/>
    <w:rsid w:val="00121179"/>
    <w:rsid w:val="0012140C"/>
    <w:rsid w:val="00121AA6"/>
    <w:rsid w:val="00121ACC"/>
    <w:rsid w:val="00121ADB"/>
    <w:rsid w:val="00121C95"/>
    <w:rsid w:val="00122108"/>
    <w:rsid w:val="001221A1"/>
    <w:rsid w:val="0012237C"/>
    <w:rsid w:val="001228C1"/>
    <w:rsid w:val="00122C0A"/>
    <w:rsid w:val="00122C59"/>
    <w:rsid w:val="00122EF8"/>
    <w:rsid w:val="001231A9"/>
    <w:rsid w:val="001233F2"/>
    <w:rsid w:val="001235FC"/>
    <w:rsid w:val="00123629"/>
    <w:rsid w:val="00123B55"/>
    <w:rsid w:val="00123ED4"/>
    <w:rsid w:val="00124A3D"/>
    <w:rsid w:val="00124B88"/>
    <w:rsid w:val="00124F98"/>
    <w:rsid w:val="001255DD"/>
    <w:rsid w:val="001257A2"/>
    <w:rsid w:val="0012630F"/>
    <w:rsid w:val="001266F5"/>
    <w:rsid w:val="00126AF8"/>
    <w:rsid w:val="001272CA"/>
    <w:rsid w:val="001275DD"/>
    <w:rsid w:val="00132178"/>
    <w:rsid w:val="0013234C"/>
    <w:rsid w:val="00132576"/>
    <w:rsid w:val="00132628"/>
    <w:rsid w:val="00132A9A"/>
    <w:rsid w:val="00132F6A"/>
    <w:rsid w:val="00133B5F"/>
    <w:rsid w:val="00133C70"/>
    <w:rsid w:val="00134050"/>
    <w:rsid w:val="00134DFF"/>
    <w:rsid w:val="00135C07"/>
    <w:rsid w:val="00135D5B"/>
    <w:rsid w:val="00136649"/>
    <w:rsid w:val="00136C64"/>
    <w:rsid w:val="0013758B"/>
    <w:rsid w:val="00137BAE"/>
    <w:rsid w:val="0014066B"/>
    <w:rsid w:val="00140686"/>
    <w:rsid w:val="00140BE5"/>
    <w:rsid w:val="00141167"/>
    <w:rsid w:val="00141448"/>
    <w:rsid w:val="00141AB2"/>
    <w:rsid w:val="00141E2B"/>
    <w:rsid w:val="00142837"/>
    <w:rsid w:val="00142B16"/>
    <w:rsid w:val="00142CC6"/>
    <w:rsid w:val="00142D18"/>
    <w:rsid w:val="0014338C"/>
    <w:rsid w:val="00144335"/>
    <w:rsid w:val="00144CDF"/>
    <w:rsid w:val="00144F94"/>
    <w:rsid w:val="0014520D"/>
    <w:rsid w:val="00145AD0"/>
    <w:rsid w:val="00145EEC"/>
    <w:rsid w:val="001467B6"/>
    <w:rsid w:val="001475F1"/>
    <w:rsid w:val="00150254"/>
    <w:rsid w:val="00150930"/>
    <w:rsid w:val="00150E0F"/>
    <w:rsid w:val="00151384"/>
    <w:rsid w:val="00151456"/>
    <w:rsid w:val="00151982"/>
    <w:rsid w:val="00151D93"/>
    <w:rsid w:val="00152357"/>
    <w:rsid w:val="00152A88"/>
    <w:rsid w:val="00152B83"/>
    <w:rsid w:val="00152E7B"/>
    <w:rsid w:val="001530DF"/>
    <w:rsid w:val="0015352F"/>
    <w:rsid w:val="001535D0"/>
    <w:rsid w:val="001536FA"/>
    <w:rsid w:val="001537A7"/>
    <w:rsid w:val="001537BB"/>
    <w:rsid w:val="001537F5"/>
    <w:rsid w:val="0015382B"/>
    <w:rsid w:val="00153A27"/>
    <w:rsid w:val="00153AA4"/>
    <w:rsid w:val="00153CC7"/>
    <w:rsid w:val="00154095"/>
    <w:rsid w:val="00154561"/>
    <w:rsid w:val="001545B8"/>
    <w:rsid w:val="00154CBC"/>
    <w:rsid w:val="00155120"/>
    <w:rsid w:val="00155471"/>
    <w:rsid w:val="001556AE"/>
    <w:rsid w:val="00155827"/>
    <w:rsid w:val="00155CB2"/>
    <w:rsid w:val="00155F6F"/>
    <w:rsid w:val="00156247"/>
    <w:rsid w:val="00156636"/>
    <w:rsid w:val="0015667D"/>
    <w:rsid w:val="00156726"/>
    <w:rsid w:val="00156AFA"/>
    <w:rsid w:val="00157C43"/>
    <w:rsid w:val="001604D4"/>
    <w:rsid w:val="00160BC7"/>
    <w:rsid w:val="00160D7B"/>
    <w:rsid w:val="00161065"/>
    <w:rsid w:val="00161069"/>
    <w:rsid w:val="00161247"/>
    <w:rsid w:val="001615A5"/>
    <w:rsid w:val="0016162F"/>
    <w:rsid w:val="00162AEE"/>
    <w:rsid w:val="00162B31"/>
    <w:rsid w:val="001631DF"/>
    <w:rsid w:val="00163C35"/>
    <w:rsid w:val="00164B44"/>
    <w:rsid w:val="00164C0F"/>
    <w:rsid w:val="001650CB"/>
    <w:rsid w:val="00165119"/>
    <w:rsid w:val="0016517C"/>
    <w:rsid w:val="00165C19"/>
    <w:rsid w:val="00165FF7"/>
    <w:rsid w:val="0016677C"/>
    <w:rsid w:val="00166B86"/>
    <w:rsid w:val="00166C27"/>
    <w:rsid w:val="00167101"/>
    <w:rsid w:val="001676C5"/>
    <w:rsid w:val="00167B8B"/>
    <w:rsid w:val="00167CC5"/>
    <w:rsid w:val="00170060"/>
    <w:rsid w:val="00170556"/>
    <w:rsid w:val="001705B2"/>
    <w:rsid w:val="00170A14"/>
    <w:rsid w:val="00170EEF"/>
    <w:rsid w:val="001710A2"/>
    <w:rsid w:val="0017175D"/>
    <w:rsid w:val="00171C51"/>
    <w:rsid w:val="00171D3D"/>
    <w:rsid w:val="001723A8"/>
    <w:rsid w:val="0017266E"/>
    <w:rsid w:val="0017270C"/>
    <w:rsid w:val="00172967"/>
    <w:rsid w:val="00172B07"/>
    <w:rsid w:val="00172C39"/>
    <w:rsid w:val="0017307E"/>
    <w:rsid w:val="00173187"/>
    <w:rsid w:val="0017341A"/>
    <w:rsid w:val="001737EE"/>
    <w:rsid w:val="0017387F"/>
    <w:rsid w:val="00173A2B"/>
    <w:rsid w:val="00173BDA"/>
    <w:rsid w:val="001740D6"/>
    <w:rsid w:val="001743E6"/>
    <w:rsid w:val="00174514"/>
    <w:rsid w:val="00174BD8"/>
    <w:rsid w:val="00174E42"/>
    <w:rsid w:val="00174F0E"/>
    <w:rsid w:val="0017553F"/>
    <w:rsid w:val="00175FCB"/>
    <w:rsid w:val="0017630B"/>
    <w:rsid w:val="0017641A"/>
    <w:rsid w:val="00176587"/>
    <w:rsid w:val="00176725"/>
    <w:rsid w:val="00176C67"/>
    <w:rsid w:val="00177110"/>
    <w:rsid w:val="00177419"/>
    <w:rsid w:val="00177470"/>
    <w:rsid w:val="001774BD"/>
    <w:rsid w:val="00177E10"/>
    <w:rsid w:val="00177E5C"/>
    <w:rsid w:val="001809EC"/>
    <w:rsid w:val="00181ECD"/>
    <w:rsid w:val="0018209A"/>
    <w:rsid w:val="00182103"/>
    <w:rsid w:val="0018258A"/>
    <w:rsid w:val="00182B9B"/>
    <w:rsid w:val="00182C38"/>
    <w:rsid w:val="00182D07"/>
    <w:rsid w:val="00183575"/>
    <w:rsid w:val="00183964"/>
    <w:rsid w:val="00183B36"/>
    <w:rsid w:val="00183B56"/>
    <w:rsid w:val="00184325"/>
    <w:rsid w:val="00184401"/>
    <w:rsid w:val="00184A1D"/>
    <w:rsid w:val="00184ABE"/>
    <w:rsid w:val="00184EA4"/>
    <w:rsid w:val="00185119"/>
    <w:rsid w:val="00185D0C"/>
    <w:rsid w:val="00185DBB"/>
    <w:rsid w:val="0018661D"/>
    <w:rsid w:val="0018665E"/>
    <w:rsid w:val="001866C8"/>
    <w:rsid w:val="00186E73"/>
    <w:rsid w:val="00187BDC"/>
    <w:rsid w:val="00187C2A"/>
    <w:rsid w:val="001902A0"/>
    <w:rsid w:val="00190420"/>
    <w:rsid w:val="00190939"/>
    <w:rsid w:val="00190AFA"/>
    <w:rsid w:val="00190BD2"/>
    <w:rsid w:val="00190D04"/>
    <w:rsid w:val="001911CF"/>
    <w:rsid w:val="001912FC"/>
    <w:rsid w:val="00191509"/>
    <w:rsid w:val="00191560"/>
    <w:rsid w:val="00191728"/>
    <w:rsid w:val="001917A7"/>
    <w:rsid w:val="00191920"/>
    <w:rsid w:val="00191BC6"/>
    <w:rsid w:val="00191CFE"/>
    <w:rsid w:val="00191FE7"/>
    <w:rsid w:val="00192A95"/>
    <w:rsid w:val="00192E38"/>
    <w:rsid w:val="00192F17"/>
    <w:rsid w:val="0019303F"/>
    <w:rsid w:val="00193128"/>
    <w:rsid w:val="001931A6"/>
    <w:rsid w:val="001931D9"/>
    <w:rsid w:val="00193544"/>
    <w:rsid w:val="00193561"/>
    <w:rsid w:val="001941CC"/>
    <w:rsid w:val="00194509"/>
    <w:rsid w:val="00194BD4"/>
    <w:rsid w:val="00194D2F"/>
    <w:rsid w:val="0019510C"/>
    <w:rsid w:val="001952FA"/>
    <w:rsid w:val="00195C16"/>
    <w:rsid w:val="001970AB"/>
    <w:rsid w:val="001971FE"/>
    <w:rsid w:val="001973DB"/>
    <w:rsid w:val="00197566"/>
    <w:rsid w:val="00197E75"/>
    <w:rsid w:val="001A009A"/>
    <w:rsid w:val="001A044F"/>
    <w:rsid w:val="001A05C6"/>
    <w:rsid w:val="001A07EC"/>
    <w:rsid w:val="001A0BF6"/>
    <w:rsid w:val="001A1559"/>
    <w:rsid w:val="001A16B3"/>
    <w:rsid w:val="001A1C71"/>
    <w:rsid w:val="001A1D10"/>
    <w:rsid w:val="001A21EF"/>
    <w:rsid w:val="001A234F"/>
    <w:rsid w:val="001A27D6"/>
    <w:rsid w:val="001A3140"/>
    <w:rsid w:val="001A3179"/>
    <w:rsid w:val="001A3E89"/>
    <w:rsid w:val="001A4C83"/>
    <w:rsid w:val="001A505C"/>
    <w:rsid w:val="001A535D"/>
    <w:rsid w:val="001A5555"/>
    <w:rsid w:val="001A5A46"/>
    <w:rsid w:val="001A5EAA"/>
    <w:rsid w:val="001A6891"/>
    <w:rsid w:val="001A6986"/>
    <w:rsid w:val="001A6C60"/>
    <w:rsid w:val="001A7E50"/>
    <w:rsid w:val="001B0664"/>
    <w:rsid w:val="001B08E3"/>
    <w:rsid w:val="001B0C97"/>
    <w:rsid w:val="001B0CCD"/>
    <w:rsid w:val="001B15EC"/>
    <w:rsid w:val="001B1D2F"/>
    <w:rsid w:val="001B2013"/>
    <w:rsid w:val="001B2258"/>
    <w:rsid w:val="001B2AED"/>
    <w:rsid w:val="001B3283"/>
    <w:rsid w:val="001B3ADD"/>
    <w:rsid w:val="001B40D7"/>
    <w:rsid w:val="001B4207"/>
    <w:rsid w:val="001B4885"/>
    <w:rsid w:val="001B48FE"/>
    <w:rsid w:val="001B4B71"/>
    <w:rsid w:val="001B4DFE"/>
    <w:rsid w:val="001B51FE"/>
    <w:rsid w:val="001B61AF"/>
    <w:rsid w:val="001B61D3"/>
    <w:rsid w:val="001B63FE"/>
    <w:rsid w:val="001B6D4B"/>
    <w:rsid w:val="001B7165"/>
    <w:rsid w:val="001B7883"/>
    <w:rsid w:val="001B7A70"/>
    <w:rsid w:val="001C0682"/>
    <w:rsid w:val="001C0D36"/>
    <w:rsid w:val="001C0F6A"/>
    <w:rsid w:val="001C1207"/>
    <w:rsid w:val="001C13FD"/>
    <w:rsid w:val="001C156E"/>
    <w:rsid w:val="001C1693"/>
    <w:rsid w:val="001C17DF"/>
    <w:rsid w:val="001C2F8E"/>
    <w:rsid w:val="001C317F"/>
    <w:rsid w:val="001C322D"/>
    <w:rsid w:val="001C3305"/>
    <w:rsid w:val="001C3823"/>
    <w:rsid w:val="001C4394"/>
    <w:rsid w:val="001C43BE"/>
    <w:rsid w:val="001C50C2"/>
    <w:rsid w:val="001C59D2"/>
    <w:rsid w:val="001C6432"/>
    <w:rsid w:val="001C6BDD"/>
    <w:rsid w:val="001C6D3A"/>
    <w:rsid w:val="001C6DF7"/>
    <w:rsid w:val="001C6FF1"/>
    <w:rsid w:val="001C73EE"/>
    <w:rsid w:val="001C7911"/>
    <w:rsid w:val="001D005F"/>
    <w:rsid w:val="001D0217"/>
    <w:rsid w:val="001D105E"/>
    <w:rsid w:val="001D107A"/>
    <w:rsid w:val="001D11AD"/>
    <w:rsid w:val="001D1301"/>
    <w:rsid w:val="001D18C3"/>
    <w:rsid w:val="001D19BF"/>
    <w:rsid w:val="001D1E93"/>
    <w:rsid w:val="001D2967"/>
    <w:rsid w:val="001D2AE3"/>
    <w:rsid w:val="001D2CDB"/>
    <w:rsid w:val="001D38DE"/>
    <w:rsid w:val="001D3AB2"/>
    <w:rsid w:val="001D3D7A"/>
    <w:rsid w:val="001D400E"/>
    <w:rsid w:val="001D443D"/>
    <w:rsid w:val="001D485D"/>
    <w:rsid w:val="001D48EE"/>
    <w:rsid w:val="001D520F"/>
    <w:rsid w:val="001D555B"/>
    <w:rsid w:val="001D5657"/>
    <w:rsid w:val="001D5829"/>
    <w:rsid w:val="001D5D91"/>
    <w:rsid w:val="001D6217"/>
    <w:rsid w:val="001D6377"/>
    <w:rsid w:val="001D65B4"/>
    <w:rsid w:val="001D6DF1"/>
    <w:rsid w:val="001D706D"/>
    <w:rsid w:val="001D72C9"/>
    <w:rsid w:val="001D7BF3"/>
    <w:rsid w:val="001D7C3B"/>
    <w:rsid w:val="001E0047"/>
    <w:rsid w:val="001E0347"/>
    <w:rsid w:val="001E0858"/>
    <w:rsid w:val="001E0FBA"/>
    <w:rsid w:val="001E22C4"/>
    <w:rsid w:val="001E26D9"/>
    <w:rsid w:val="001E283B"/>
    <w:rsid w:val="001E2D42"/>
    <w:rsid w:val="001E2DC7"/>
    <w:rsid w:val="001E30A0"/>
    <w:rsid w:val="001E365B"/>
    <w:rsid w:val="001E373B"/>
    <w:rsid w:val="001E396B"/>
    <w:rsid w:val="001E3E16"/>
    <w:rsid w:val="001E3F01"/>
    <w:rsid w:val="001E3F16"/>
    <w:rsid w:val="001E4018"/>
    <w:rsid w:val="001E4417"/>
    <w:rsid w:val="001E467F"/>
    <w:rsid w:val="001E4DCC"/>
    <w:rsid w:val="001E56DE"/>
    <w:rsid w:val="001E63D9"/>
    <w:rsid w:val="001E6766"/>
    <w:rsid w:val="001E70A1"/>
    <w:rsid w:val="001E7158"/>
    <w:rsid w:val="001E71B2"/>
    <w:rsid w:val="001E721D"/>
    <w:rsid w:val="001E72A0"/>
    <w:rsid w:val="001E72D4"/>
    <w:rsid w:val="001E7428"/>
    <w:rsid w:val="001E75C5"/>
    <w:rsid w:val="001E7716"/>
    <w:rsid w:val="001E776B"/>
    <w:rsid w:val="001E7BDC"/>
    <w:rsid w:val="001E7E71"/>
    <w:rsid w:val="001F08A5"/>
    <w:rsid w:val="001F0B1B"/>
    <w:rsid w:val="001F0C1C"/>
    <w:rsid w:val="001F0C54"/>
    <w:rsid w:val="001F1013"/>
    <w:rsid w:val="001F1E91"/>
    <w:rsid w:val="001F2000"/>
    <w:rsid w:val="001F24A4"/>
    <w:rsid w:val="001F2A3E"/>
    <w:rsid w:val="001F2D31"/>
    <w:rsid w:val="001F31BB"/>
    <w:rsid w:val="001F33D5"/>
    <w:rsid w:val="001F3C29"/>
    <w:rsid w:val="001F4C96"/>
    <w:rsid w:val="001F4F33"/>
    <w:rsid w:val="001F561F"/>
    <w:rsid w:val="001F5982"/>
    <w:rsid w:val="001F59E4"/>
    <w:rsid w:val="001F6038"/>
    <w:rsid w:val="001F6288"/>
    <w:rsid w:val="001F65E7"/>
    <w:rsid w:val="001F67CE"/>
    <w:rsid w:val="001F7479"/>
    <w:rsid w:val="001F7C24"/>
    <w:rsid w:val="00200346"/>
    <w:rsid w:val="00200425"/>
    <w:rsid w:val="002007C8"/>
    <w:rsid w:val="00200A93"/>
    <w:rsid w:val="00200B6D"/>
    <w:rsid w:val="00200CB8"/>
    <w:rsid w:val="00201E35"/>
    <w:rsid w:val="00202406"/>
    <w:rsid w:val="002027D9"/>
    <w:rsid w:val="00202ACF"/>
    <w:rsid w:val="00202B10"/>
    <w:rsid w:val="00202EA9"/>
    <w:rsid w:val="00202F37"/>
    <w:rsid w:val="002032E5"/>
    <w:rsid w:val="00203597"/>
    <w:rsid w:val="002036D0"/>
    <w:rsid w:val="00203702"/>
    <w:rsid w:val="00203E11"/>
    <w:rsid w:val="00203F78"/>
    <w:rsid w:val="002041DB"/>
    <w:rsid w:val="002042B3"/>
    <w:rsid w:val="00204383"/>
    <w:rsid w:val="002044C1"/>
    <w:rsid w:val="00204BFB"/>
    <w:rsid w:val="00204E17"/>
    <w:rsid w:val="0020561E"/>
    <w:rsid w:val="00205693"/>
    <w:rsid w:val="0020636F"/>
    <w:rsid w:val="00206455"/>
    <w:rsid w:val="002064C3"/>
    <w:rsid w:val="0020651B"/>
    <w:rsid w:val="00206945"/>
    <w:rsid w:val="00206A59"/>
    <w:rsid w:val="00207055"/>
    <w:rsid w:val="0020776C"/>
    <w:rsid w:val="002077C2"/>
    <w:rsid w:val="002104CB"/>
    <w:rsid w:val="00210588"/>
    <w:rsid w:val="002106D5"/>
    <w:rsid w:val="00210B19"/>
    <w:rsid w:val="00210FF2"/>
    <w:rsid w:val="00211013"/>
    <w:rsid w:val="0021145C"/>
    <w:rsid w:val="002118B0"/>
    <w:rsid w:val="00211DDA"/>
    <w:rsid w:val="00212116"/>
    <w:rsid w:val="00212476"/>
    <w:rsid w:val="00212601"/>
    <w:rsid w:val="002126A9"/>
    <w:rsid w:val="00212C6F"/>
    <w:rsid w:val="00212FC4"/>
    <w:rsid w:val="0021365D"/>
    <w:rsid w:val="00214097"/>
    <w:rsid w:val="002148F4"/>
    <w:rsid w:val="00214959"/>
    <w:rsid w:val="00214B12"/>
    <w:rsid w:val="00215030"/>
    <w:rsid w:val="0021522A"/>
    <w:rsid w:val="0021580D"/>
    <w:rsid w:val="00215931"/>
    <w:rsid w:val="00215B6B"/>
    <w:rsid w:val="00215B87"/>
    <w:rsid w:val="00215DFC"/>
    <w:rsid w:val="00216287"/>
    <w:rsid w:val="0021744C"/>
    <w:rsid w:val="002200A8"/>
    <w:rsid w:val="00220341"/>
    <w:rsid w:val="00220380"/>
    <w:rsid w:val="00220D0D"/>
    <w:rsid w:val="00220E09"/>
    <w:rsid w:val="00221C70"/>
    <w:rsid w:val="00222046"/>
    <w:rsid w:val="00223208"/>
    <w:rsid w:val="00223221"/>
    <w:rsid w:val="002232A3"/>
    <w:rsid w:val="0022364B"/>
    <w:rsid w:val="00223B1E"/>
    <w:rsid w:val="00223F83"/>
    <w:rsid w:val="002240DC"/>
    <w:rsid w:val="002242A0"/>
    <w:rsid w:val="0022447D"/>
    <w:rsid w:val="002244F1"/>
    <w:rsid w:val="002249FA"/>
    <w:rsid w:val="00224DA1"/>
    <w:rsid w:val="00225093"/>
    <w:rsid w:val="002260EF"/>
    <w:rsid w:val="002261E8"/>
    <w:rsid w:val="0022648D"/>
    <w:rsid w:val="00226B6D"/>
    <w:rsid w:val="002274F1"/>
    <w:rsid w:val="002275D4"/>
    <w:rsid w:val="002276FF"/>
    <w:rsid w:val="002277BE"/>
    <w:rsid w:val="0022795C"/>
    <w:rsid w:val="00230295"/>
    <w:rsid w:val="00230695"/>
    <w:rsid w:val="00230841"/>
    <w:rsid w:val="0023089C"/>
    <w:rsid w:val="0023089E"/>
    <w:rsid w:val="00231060"/>
    <w:rsid w:val="002316B0"/>
    <w:rsid w:val="002316BA"/>
    <w:rsid w:val="002317C3"/>
    <w:rsid w:val="00231909"/>
    <w:rsid w:val="00231D7D"/>
    <w:rsid w:val="00232203"/>
    <w:rsid w:val="002323FF"/>
    <w:rsid w:val="00232453"/>
    <w:rsid w:val="0023261D"/>
    <w:rsid w:val="002326F7"/>
    <w:rsid w:val="002329E3"/>
    <w:rsid w:val="00232E13"/>
    <w:rsid w:val="00232E43"/>
    <w:rsid w:val="00233049"/>
    <w:rsid w:val="0023368D"/>
    <w:rsid w:val="002338BC"/>
    <w:rsid w:val="00233CBB"/>
    <w:rsid w:val="00234222"/>
    <w:rsid w:val="00234375"/>
    <w:rsid w:val="00234C98"/>
    <w:rsid w:val="00234D60"/>
    <w:rsid w:val="00234DBC"/>
    <w:rsid w:val="0023512A"/>
    <w:rsid w:val="0023533F"/>
    <w:rsid w:val="00235766"/>
    <w:rsid w:val="00236000"/>
    <w:rsid w:val="00236F8C"/>
    <w:rsid w:val="002371EC"/>
    <w:rsid w:val="00237C52"/>
    <w:rsid w:val="00237CFD"/>
    <w:rsid w:val="0024008D"/>
    <w:rsid w:val="0024117A"/>
    <w:rsid w:val="00241D23"/>
    <w:rsid w:val="00241E5D"/>
    <w:rsid w:val="0024222C"/>
    <w:rsid w:val="00242CD3"/>
    <w:rsid w:val="00242F6D"/>
    <w:rsid w:val="00243046"/>
    <w:rsid w:val="00243084"/>
    <w:rsid w:val="0024379A"/>
    <w:rsid w:val="002439BB"/>
    <w:rsid w:val="002444AD"/>
    <w:rsid w:val="002448F0"/>
    <w:rsid w:val="00244A5B"/>
    <w:rsid w:val="00244FCD"/>
    <w:rsid w:val="0024511B"/>
    <w:rsid w:val="00245B2C"/>
    <w:rsid w:val="00245D72"/>
    <w:rsid w:val="00246026"/>
    <w:rsid w:val="00246656"/>
    <w:rsid w:val="00246EC0"/>
    <w:rsid w:val="00246F04"/>
    <w:rsid w:val="002470B4"/>
    <w:rsid w:val="00247207"/>
    <w:rsid w:val="00247208"/>
    <w:rsid w:val="00247663"/>
    <w:rsid w:val="00250434"/>
    <w:rsid w:val="002506AC"/>
    <w:rsid w:val="002506F7"/>
    <w:rsid w:val="00250CF9"/>
    <w:rsid w:val="00250E0F"/>
    <w:rsid w:val="00250F92"/>
    <w:rsid w:val="002511AB"/>
    <w:rsid w:val="00251330"/>
    <w:rsid w:val="002514CF"/>
    <w:rsid w:val="00251999"/>
    <w:rsid w:val="0025200B"/>
    <w:rsid w:val="0025233A"/>
    <w:rsid w:val="00252E3E"/>
    <w:rsid w:val="00253B86"/>
    <w:rsid w:val="002546AC"/>
    <w:rsid w:val="002548EA"/>
    <w:rsid w:val="00254E7B"/>
    <w:rsid w:val="00255293"/>
    <w:rsid w:val="002556BE"/>
    <w:rsid w:val="0025598B"/>
    <w:rsid w:val="00256CC3"/>
    <w:rsid w:val="0026010A"/>
    <w:rsid w:val="0026033F"/>
    <w:rsid w:val="00260BEA"/>
    <w:rsid w:val="00260D14"/>
    <w:rsid w:val="002611BC"/>
    <w:rsid w:val="002615AD"/>
    <w:rsid w:val="002622E1"/>
    <w:rsid w:val="00262311"/>
    <w:rsid w:val="002623C5"/>
    <w:rsid w:val="002623D0"/>
    <w:rsid w:val="002624D5"/>
    <w:rsid w:val="00262C32"/>
    <w:rsid w:val="0026301E"/>
    <w:rsid w:val="00263A9D"/>
    <w:rsid w:val="00263B24"/>
    <w:rsid w:val="00263B38"/>
    <w:rsid w:val="00263DBD"/>
    <w:rsid w:val="00263F21"/>
    <w:rsid w:val="00264588"/>
    <w:rsid w:val="00264CE8"/>
    <w:rsid w:val="00264D79"/>
    <w:rsid w:val="0026628A"/>
    <w:rsid w:val="002662A7"/>
    <w:rsid w:val="00266B50"/>
    <w:rsid w:val="00266EAB"/>
    <w:rsid w:val="00267432"/>
    <w:rsid w:val="00267A85"/>
    <w:rsid w:val="00267B4C"/>
    <w:rsid w:val="00270083"/>
    <w:rsid w:val="00270245"/>
    <w:rsid w:val="00270551"/>
    <w:rsid w:val="002705FF"/>
    <w:rsid w:val="00270ABE"/>
    <w:rsid w:val="00270C17"/>
    <w:rsid w:val="002713C2"/>
    <w:rsid w:val="00272139"/>
    <w:rsid w:val="0027248B"/>
    <w:rsid w:val="002728D7"/>
    <w:rsid w:val="002729BB"/>
    <w:rsid w:val="00272A86"/>
    <w:rsid w:val="00272CC5"/>
    <w:rsid w:val="00272D65"/>
    <w:rsid w:val="00272E51"/>
    <w:rsid w:val="00273602"/>
    <w:rsid w:val="00273A7F"/>
    <w:rsid w:val="002743C3"/>
    <w:rsid w:val="00274D41"/>
    <w:rsid w:val="002755DA"/>
    <w:rsid w:val="002758D9"/>
    <w:rsid w:val="00275D49"/>
    <w:rsid w:val="002761E3"/>
    <w:rsid w:val="00276D5E"/>
    <w:rsid w:val="00276D68"/>
    <w:rsid w:val="00280310"/>
    <w:rsid w:val="00280A84"/>
    <w:rsid w:val="00280C3F"/>
    <w:rsid w:val="00280CA9"/>
    <w:rsid w:val="00280CC1"/>
    <w:rsid w:val="00280EE5"/>
    <w:rsid w:val="00281172"/>
    <w:rsid w:val="0028137A"/>
    <w:rsid w:val="002813A3"/>
    <w:rsid w:val="00281640"/>
    <w:rsid w:val="00282464"/>
    <w:rsid w:val="0028250A"/>
    <w:rsid w:val="0028263C"/>
    <w:rsid w:val="00282A20"/>
    <w:rsid w:val="00283637"/>
    <w:rsid w:val="00283731"/>
    <w:rsid w:val="002838D6"/>
    <w:rsid w:val="00283A6A"/>
    <w:rsid w:val="002841B8"/>
    <w:rsid w:val="002848BD"/>
    <w:rsid w:val="00284D64"/>
    <w:rsid w:val="00284E36"/>
    <w:rsid w:val="002851C8"/>
    <w:rsid w:val="0028547D"/>
    <w:rsid w:val="00285D6A"/>
    <w:rsid w:val="002868D4"/>
    <w:rsid w:val="00287898"/>
    <w:rsid w:val="00287C4D"/>
    <w:rsid w:val="00287C58"/>
    <w:rsid w:val="002900DC"/>
    <w:rsid w:val="00290CD1"/>
    <w:rsid w:val="00290E11"/>
    <w:rsid w:val="00290EF8"/>
    <w:rsid w:val="0029147B"/>
    <w:rsid w:val="0029150B"/>
    <w:rsid w:val="00291592"/>
    <w:rsid w:val="00291798"/>
    <w:rsid w:val="00291D67"/>
    <w:rsid w:val="00291DD6"/>
    <w:rsid w:val="00291F3E"/>
    <w:rsid w:val="00292A7B"/>
    <w:rsid w:val="00292B85"/>
    <w:rsid w:val="00292ED0"/>
    <w:rsid w:val="002939A8"/>
    <w:rsid w:val="002944DE"/>
    <w:rsid w:val="0029473B"/>
    <w:rsid w:val="00294C0F"/>
    <w:rsid w:val="00294FD3"/>
    <w:rsid w:val="002956AC"/>
    <w:rsid w:val="00295719"/>
    <w:rsid w:val="002959BC"/>
    <w:rsid w:val="00295AB3"/>
    <w:rsid w:val="00295E4F"/>
    <w:rsid w:val="00295FAE"/>
    <w:rsid w:val="00296054"/>
    <w:rsid w:val="0029663A"/>
    <w:rsid w:val="002979CF"/>
    <w:rsid w:val="00297ACE"/>
    <w:rsid w:val="00297B57"/>
    <w:rsid w:val="00297B5F"/>
    <w:rsid w:val="00297C8C"/>
    <w:rsid w:val="002A03C9"/>
    <w:rsid w:val="002A09A9"/>
    <w:rsid w:val="002A0E70"/>
    <w:rsid w:val="002A0F47"/>
    <w:rsid w:val="002A11A1"/>
    <w:rsid w:val="002A137C"/>
    <w:rsid w:val="002A14F9"/>
    <w:rsid w:val="002A160A"/>
    <w:rsid w:val="002A1669"/>
    <w:rsid w:val="002A1A3A"/>
    <w:rsid w:val="002A21AE"/>
    <w:rsid w:val="002A249F"/>
    <w:rsid w:val="002A2D1C"/>
    <w:rsid w:val="002A2E1E"/>
    <w:rsid w:val="002A2FBF"/>
    <w:rsid w:val="002A30DF"/>
    <w:rsid w:val="002A3666"/>
    <w:rsid w:val="002A36EF"/>
    <w:rsid w:val="002A4159"/>
    <w:rsid w:val="002A4A77"/>
    <w:rsid w:val="002A4CB4"/>
    <w:rsid w:val="002A4F71"/>
    <w:rsid w:val="002A55D3"/>
    <w:rsid w:val="002A5604"/>
    <w:rsid w:val="002A6002"/>
    <w:rsid w:val="002A65A7"/>
    <w:rsid w:val="002A675D"/>
    <w:rsid w:val="002A68B8"/>
    <w:rsid w:val="002A6CE1"/>
    <w:rsid w:val="002A6D29"/>
    <w:rsid w:val="002A7432"/>
    <w:rsid w:val="002A770E"/>
    <w:rsid w:val="002A7EE9"/>
    <w:rsid w:val="002B04EB"/>
    <w:rsid w:val="002B0525"/>
    <w:rsid w:val="002B06B2"/>
    <w:rsid w:val="002B0ABF"/>
    <w:rsid w:val="002B0F17"/>
    <w:rsid w:val="002B0F51"/>
    <w:rsid w:val="002B1949"/>
    <w:rsid w:val="002B1D25"/>
    <w:rsid w:val="002B292C"/>
    <w:rsid w:val="002B2AFE"/>
    <w:rsid w:val="002B2BCF"/>
    <w:rsid w:val="002B2CB0"/>
    <w:rsid w:val="002B2F04"/>
    <w:rsid w:val="002B3469"/>
    <w:rsid w:val="002B3604"/>
    <w:rsid w:val="002B4501"/>
    <w:rsid w:val="002B50FE"/>
    <w:rsid w:val="002B51D0"/>
    <w:rsid w:val="002B570D"/>
    <w:rsid w:val="002B58EA"/>
    <w:rsid w:val="002B5CD5"/>
    <w:rsid w:val="002B5DD3"/>
    <w:rsid w:val="002B5E51"/>
    <w:rsid w:val="002B5F2E"/>
    <w:rsid w:val="002B6A72"/>
    <w:rsid w:val="002B6B38"/>
    <w:rsid w:val="002B7556"/>
    <w:rsid w:val="002B7882"/>
    <w:rsid w:val="002B7BBB"/>
    <w:rsid w:val="002C02CC"/>
    <w:rsid w:val="002C0670"/>
    <w:rsid w:val="002C06CC"/>
    <w:rsid w:val="002C0830"/>
    <w:rsid w:val="002C0A80"/>
    <w:rsid w:val="002C0B9B"/>
    <w:rsid w:val="002C10CA"/>
    <w:rsid w:val="002C10F6"/>
    <w:rsid w:val="002C1235"/>
    <w:rsid w:val="002C15CF"/>
    <w:rsid w:val="002C166A"/>
    <w:rsid w:val="002C179C"/>
    <w:rsid w:val="002C1D13"/>
    <w:rsid w:val="002C1E45"/>
    <w:rsid w:val="002C2030"/>
    <w:rsid w:val="002C2034"/>
    <w:rsid w:val="002C213E"/>
    <w:rsid w:val="002C2290"/>
    <w:rsid w:val="002C235F"/>
    <w:rsid w:val="002C25F5"/>
    <w:rsid w:val="002C3287"/>
    <w:rsid w:val="002C3607"/>
    <w:rsid w:val="002C3957"/>
    <w:rsid w:val="002C3B06"/>
    <w:rsid w:val="002C3F2F"/>
    <w:rsid w:val="002C40F2"/>
    <w:rsid w:val="002C4684"/>
    <w:rsid w:val="002C4BF5"/>
    <w:rsid w:val="002C4D39"/>
    <w:rsid w:val="002C4F7C"/>
    <w:rsid w:val="002C50EA"/>
    <w:rsid w:val="002C5829"/>
    <w:rsid w:val="002C6669"/>
    <w:rsid w:val="002C66BA"/>
    <w:rsid w:val="002C698D"/>
    <w:rsid w:val="002C6BD1"/>
    <w:rsid w:val="002C7462"/>
    <w:rsid w:val="002C7A21"/>
    <w:rsid w:val="002C7E73"/>
    <w:rsid w:val="002C7ED1"/>
    <w:rsid w:val="002C7EF9"/>
    <w:rsid w:val="002D0252"/>
    <w:rsid w:val="002D126B"/>
    <w:rsid w:val="002D153F"/>
    <w:rsid w:val="002D23D2"/>
    <w:rsid w:val="002D2742"/>
    <w:rsid w:val="002D2971"/>
    <w:rsid w:val="002D2A08"/>
    <w:rsid w:val="002D3100"/>
    <w:rsid w:val="002D3ACD"/>
    <w:rsid w:val="002D4435"/>
    <w:rsid w:val="002D4794"/>
    <w:rsid w:val="002D4C4A"/>
    <w:rsid w:val="002D4F18"/>
    <w:rsid w:val="002D516C"/>
    <w:rsid w:val="002D59D6"/>
    <w:rsid w:val="002D5CBF"/>
    <w:rsid w:val="002D6306"/>
    <w:rsid w:val="002D640B"/>
    <w:rsid w:val="002D6427"/>
    <w:rsid w:val="002D6470"/>
    <w:rsid w:val="002D67BB"/>
    <w:rsid w:val="002D7202"/>
    <w:rsid w:val="002D7272"/>
    <w:rsid w:val="002D7C7C"/>
    <w:rsid w:val="002D7D8C"/>
    <w:rsid w:val="002E04F5"/>
    <w:rsid w:val="002E08AA"/>
    <w:rsid w:val="002E1917"/>
    <w:rsid w:val="002E1B10"/>
    <w:rsid w:val="002E23D2"/>
    <w:rsid w:val="002E2988"/>
    <w:rsid w:val="002E2AAE"/>
    <w:rsid w:val="002E3308"/>
    <w:rsid w:val="002E3B5D"/>
    <w:rsid w:val="002E3C00"/>
    <w:rsid w:val="002E4771"/>
    <w:rsid w:val="002E5001"/>
    <w:rsid w:val="002E50AD"/>
    <w:rsid w:val="002E5248"/>
    <w:rsid w:val="002E69EB"/>
    <w:rsid w:val="002E6B82"/>
    <w:rsid w:val="002E6DDE"/>
    <w:rsid w:val="002E7C67"/>
    <w:rsid w:val="002E7EBF"/>
    <w:rsid w:val="002F026F"/>
    <w:rsid w:val="002F0C57"/>
    <w:rsid w:val="002F1289"/>
    <w:rsid w:val="002F1554"/>
    <w:rsid w:val="002F1731"/>
    <w:rsid w:val="002F1E2B"/>
    <w:rsid w:val="002F200D"/>
    <w:rsid w:val="002F2043"/>
    <w:rsid w:val="002F218F"/>
    <w:rsid w:val="002F2520"/>
    <w:rsid w:val="002F2927"/>
    <w:rsid w:val="002F2B09"/>
    <w:rsid w:val="002F2DC5"/>
    <w:rsid w:val="002F2DF7"/>
    <w:rsid w:val="002F3A14"/>
    <w:rsid w:val="002F3BCC"/>
    <w:rsid w:val="002F55AF"/>
    <w:rsid w:val="002F619E"/>
    <w:rsid w:val="002F627F"/>
    <w:rsid w:val="002F629E"/>
    <w:rsid w:val="002F692D"/>
    <w:rsid w:val="002F6D2F"/>
    <w:rsid w:val="002F6D7B"/>
    <w:rsid w:val="002F7047"/>
    <w:rsid w:val="002F766E"/>
    <w:rsid w:val="002F7A52"/>
    <w:rsid w:val="002F7D16"/>
    <w:rsid w:val="002F7FF1"/>
    <w:rsid w:val="003002BD"/>
    <w:rsid w:val="003004A7"/>
    <w:rsid w:val="00300682"/>
    <w:rsid w:val="00300710"/>
    <w:rsid w:val="0030185B"/>
    <w:rsid w:val="00301F2A"/>
    <w:rsid w:val="0030208D"/>
    <w:rsid w:val="00302434"/>
    <w:rsid w:val="00303708"/>
    <w:rsid w:val="003039DA"/>
    <w:rsid w:val="0030405B"/>
    <w:rsid w:val="00304382"/>
    <w:rsid w:val="00304B73"/>
    <w:rsid w:val="00304F8D"/>
    <w:rsid w:val="0030530D"/>
    <w:rsid w:val="00305385"/>
    <w:rsid w:val="00305772"/>
    <w:rsid w:val="00305882"/>
    <w:rsid w:val="00307125"/>
    <w:rsid w:val="003075DA"/>
    <w:rsid w:val="003078AD"/>
    <w:rsid w:val="00307D76"/>
    <w:rsid w:val="003111E4"/>
    <w:rsid w:val="00311A54"/>
    <w:rsid w:val="0031243B"/>
    <w:rsid w:val="00312A53"/>
    <w:rsid w:val="0031313E"/>
    <w:rsid w:val="003139BF"/>
    <w:rsid w:val="00313C6B"/>
    <w:rsid w:val="00314127"/>
    <w:rsid w:val="0031442B"/>
    <w:rsid w:val="00314505"/>
    <w:rsid w:val="003148A8"/>
    <w:rsid w:val="00314F62"/>
    <w:rsid w:val="0031530E"/>
    <w:rsid w:val="0031537C"/>
    <w:rsid w:val="0031555E"/>
    <w:rsid w:val="0031563C"/>
    <w:rsid w:val="00315950"/>
    <w:rsid w:val="00317A11"/>
    <w:rsid w:val="00317A8A"/>
    <w:rsid w:val="00317E41"/>
    <w:rsid w:val="00320118"/>
    <w:rsid w:val="0032011A"/>
    <w:rsid w:val="003206E9"/>
    <w:rsid w:val="00320B43"/>
    <w:rsid w:val="00320DAE"/>
    <w:rsid w:val="00321988"/>
    <w:rsid w:val="003221AE"/>
    <w:rsid w:val="003221B7"/>
    <w:rsid w:val="0032260E"/>
    <w:rsid w:val="003226D0"/>
    <w:rsid w:val="00322AF0"/>
    <w:rsid w:val="00322C74"/>
    <w:rsid w:val="00323155"/>
    <w:rsid w:val="003234B3"/>
    <w:rsid w:val="00323744"/>
    <w:rsid w:val="00323872"/>
    <w:rsid w:val="00323F55"/>
    <w:rsid w:val="00323FCD"/>
    <w:rsid w:val="003246B1"/>
    <w:rsid w:val="003247FD"/>
    <w:rsid w:val="003248C0"/>
    <w:rsid w:val="00324E04"/>
    <w:rsid w:val="00325067"/>
    <w:rsid w:val="003254B7"/>
    <w:rsid w:val="00325943"/>
    <w:rsid w:val="00325D9E"/>
    <w:rsid w:val="003261A4"/>
    <w:rsid w:val="00326353"/>
    <w:rsid w:val="00326882"/>
    <w:rsid w:val="00326CD8"/>
    <w:rsid w:val="00327353"/>
    <w:rsid w:val="00327477"/>
    <w:rsid w:val="00327839"/>
    <w:rsid w:val="00327B76"/>
    <w:rsid w:val="00327BDD"/>
    <w:rsid w:val="00327C06"/>
    <w:rsid w:val="003306DB"/>
    <w:rsid w:val="00330868"/>
    <w:rsid w:val="003308A2"/>
    <w:rsid w:val="003309E7"/>
    <w:rsid w:val="00331163"/>
    <w:rsid w:val="00331BB3"/>
    <w:rsid w:val="00331C0A"/>
    <w:rsid w:val="00331E98"/>
    <w:rsid w:val="00332140"/>
    <w:rsid w:val="00332C22"/>
    <w:rsid w:val="00332E10"/>
    <w:rsid w:val="003331D6"/>
    <w:rsid w:val="00333209"/>
    <w:rsid w:val="0033390D"/>
    <w:rsid w:val="00334E5D"/>
    <w:rsid w:val="003350E0"/>
    <w:rsid w:val="003354C6"/>
    <w:rsid w:val="003354F2"/>
    <w:rsid w:val="003356B8"/>
    <w:rsid w:val="00335F1C"/>
    <w:rsid w:val="003360CC"/>
    <w:rsid w:val="00336253"/>
    <w:rsid w:val="00336F10"/>
    <w:rsid w:val="00336F17"/>
    <w:rsid w:val="00337673"/>
    <w:rsid w:val="00337961"/>
    <w:rsid w:val="00340259"/>
    <w:rsid w:val="00340676"/>
    <w:rsid w:val="00340D5B"/>
    <w:rsid w:val="00340DF3"/>
    <w:rsid w:val="00342230"/>
    <w:rsid w:val="003427EE"/>
    <w:rsid w:val="003429BE"/>
    <w:rsid w:val="00342C0E"/>
    <w:rsid w:val="00342DE3"/>
    <w:rsid w:val="00342FD6"/>
    <w:rsid w:val="00343AB5"/>
    <w:rsid w:val="00343DC4"/>
    <w:rsid w:val="00344C04"/>
    <w:rsid w:val="00344E38"/>
    <w:rsid w:val="00345053"/>
    <w:rsid w:val="0034563E"/>
    <w:rsid w:val="003458BC"/>
    <w:rsid w:val="00345DE8"/>
    <w:rsid w:val="00346026"/>
    <w:rsid w:val="003468D8"/>
    <w:rsid w:val="00346B6E"/>
    <w:rsid w:val="0034736F"/>
    <w:rsid w:val="00347F10"/>
    <w:rsid w:val="0035003C"/>
    <w:rsid w:val="00350772"/>
    <w:rsid w:val="00350AFF"/>
    <w:rsid w:val="00350F40"/>
    <w:rsid w:val="003510BE"/>
    <w:rsid w:val="00351221"/>
    <w:rsid w:val="003523E4"/>
    <w:rsid w:val="00352790"/>
    <w:rsid w:val="00352C41"/>
    <w:rsid w:val="00352CE6"/>
    <w:rsid w:val="00353557"/>
    <w:rsid w:val="00353E04"/>
    <w:rsid w:val="003540DE"/>
    <w:rsid w:val="003540F5"/>
    <w:rsid w:val="0035498D"/>
    <w:rsid w:val="003549BA"/>
    <w:rsid w:val="0035653E"/>
    <w:rsid w:val="00357A19"/>
    <w:rsid w:val="003604F3"/>
    <w:rsid w:val="00360515"/>
    <w:rsid w:val="003605E3"/>
    <w:rsid w:val="00360927"/>
    <w:rsid w:val="0036114D"/>
    <w:rsid w:val="00361237"/>
    <w:rsid w:val="0036138B"/>
    <w:rsid w:val="00361446"/>
    <w:rsid w:val="0036182E"/>
    <w:rsid w:val="00361CDE"/>
    <w:rsid w:val="00362731"/>
    <w:rsid w:val="00363509"/>
    <w:rsid w:val="00363693"/>
    <w:rsid w:val="00363757"/>
    <w:rsid w:val="003640CD"/>
    <w:rsid w:val="00364222"/>
    <w:rsid w:val="0036471F"/>
    <w:rsid w:val="003653C0"/>
    <w:rsid w:val="003653DB"/>
    <w:rsid w:val="003655E8"/>
    <w:rsid w:val="003658F2"/>
    <w:rsid w:val="003659FC"/>
    <w:rsid w:val="00365B90"/>
    <w:rsid w:val="00365D8A"/>
    <w:rsid w:val="00366313"/>
    <w:rsid w:val="00366433"/>
    <w:rsid w:val="00366819"/>
    <w:rsid w:val="00366922"/>
    <w:rsid w:val="00366A22"/>
    <w:rsid w:val="00366DE1"/>
    <w:rsid w:val="00367903"/>
    <w:rsid w:val="0037016B"/>
    <w:rsid w:val="00370263"/>
    <w:rsid w:val="00371243"/>
    <w:rsid w:val="003715C0"/>
    <w:rsid w:val="00371670"/>
    <w:rsid w:val="00371750"/>
    <w:rsid w:val="00371B65"/>
    <w:rsid w:val="00372736"/>
    <w:rsid w:val="00372F13"/>
    <w:rsid w:val="00372FC9"/>
    <w:rsid w:val="003738EE"/>
    <w:rsid w:val="00373926"/>
    <w:rsid w:val="00373A49"/>
    <w:rsid w:val="00373CB1"/>
    <w:rsid w:val="00374647"/>
    <w:rsid w:val="003747EB"/>
    <w:rsid w:val="00375257"/>
    <w:rsid w:val="003752A4"/>
    <w:rsid w:val="0037534D"/>
    <w:rsid w:val="00375678"/>
    <w:rsid w:val="003760D3"/>
    <w:rsid w:val="003767D2"/>
    <w:rsid w:val="003772C7"/>
    <w:rsid w:val="003773D7"/>
    <w:rsid w:val="00377DCA"/>
    <w:rsid w:val="00377EE1"/>
    <w:rsid w:val="003802FB"/>
    <w:rsid w:val="00380967"/>
    <w:rsid w:val="00380ACC"/>
    <w:rsid w:val="00380E19"/>
    <w:rsid w:val="00381224"/>
    <w:rsid w:val="003814BF"/>
    <w:rsid w:val="00381733"/>
    <w:rsid w:val="00381E1B"/>
    <w:rsid w:val="00381F26"/>
    <w:rsid w:val="00382123"/>
    <w:rsid w:val="003823FE"/>
    <w:rsid w:val="003829A4"/>
    <w:rsid w:val="00382DF2"/>
    <w:rsid w:val="00382EB1"/>
    <w:rsid w:val="00383C83"/>
    <w:rsid w:val="00383EAC"/>
    <w:rsid w:val="0038414C"/>
    <w:rsid w:val="0038450D"/>
    <w:rsid w:val="00384773"/>
    <w:rsid w:val="00384BB6"/>
    <w:rsid w:val="003850B6"/>
    <w:rsid w:val="00385548"/>
    <w:rsid w:val="003855BB"/>
    <w:rsid w:val="0038568C"/>
    <w:rsid w:val="0038583A"/>
    <w:rsid w:val="003864A6"/>
    <w:rsid w:val="00386899"/>
    <w:rsid w:val="00386AFE"/>
    <w:rsid w:val="003874E8"/>
    <w:rsid w:val="003877E0"/>
    <w:rsid w:val="00387ADD"/>
    <w:rsid w:val="00387CBE"/>
    <w:rsid w:val="00390A6F"/>
    <w:rsid w:val="00390AEF"/>
    <w:rsid w:val="00390E15"/>
    <w:rsid w:val="00390FB2"/>
    <w:rsid w:val="003917DD"/>
    <w:rsid w:val="003919A6"/>
    <w:rsid w:val="00391C50"/>
    <w:rsid w:val="00391CDF"/>
    <w:rsid w:val="00392897"/>
    <w:rsid w:val="00392A54"/>
    <w:rsid w:val="00392B0E"/>
    <w:rsid w:val="003933CD"/>
    <w:rsid w:val="003937C6"/>
    <w:rsid w:val="00393FDF"/>
    <w:rsid w:val="0039408D"/>
    <w:rsid w:val="0039428E"/>
    <w:rsid w:val="003947A4"/>
    <w:rsid w:val="003947ED"/>
    <w:rsid w:val="003951A7"/>
    <w:rsid w:val="003953F4"/>
    <w:rsid w:val="003955C7"/>
    <w:rsid w:val="003957B5"/>
    <w:rsid w:val="00395AB5"/>
    <w:rsid w:val="00395ABB"/>
    <w:rsid w:val="0039610E"/>
    <w:rsid w:val="003964D7"/>
    <w:rsid w:val="00396A5D"/>
    <w:rsid w:val="00396ACB"/>
    <w:rsid w:val="00396B2B"/>
    <w:rsid w:val="00396D65"/>
    <w:rsid w:val="0039792B"/>
    <w:rsid w:val="00397F00"/>
    <w:rsid w:val="003A05F7"/>
    <w:rsid w:val="003A0C34"/>
    <w:rsid w:val="003A0F91"/>
    <w:rsid w:val="003A130E"/>
    <w:rsid w:val="003A1472"/>
    <w:rsid w:val="003A1809"/>
    <w:rsid w:val="003A1D65"/>
    <w:rsid w:val="003A25D4"/>
    <w:rsid w:val="003A2D61"/>
    <w:rsid w:val="003A3116"/>
    <w:rsid w:val="003A32EE"/>
    <w:rsid w:val="003A360F"/>
    <w:rsid w:val="003A39EF"/>
    <w:rsid w:val="003A447F"/>
    <w:rsid w:val="003A4489"/>
    <w:rsid w:val="003A44FF"/>
    <w:rsid w:val="003A4566"/>
    <w:rsid w:val="003A463D"/>
    <w:rsid w:val="003A485D"/>
    <w:rsid w:val="003A4D1E"/>
    <w:rsid w:val="003A514F"/>
    <w:rsid w:val="003A649B"/>
    <w:rsid w:val="003A6ADE"/>
    <w:rsid w:val="003A6D3F"/>
    <w:rsid w:val="003A6D5C"/>
    <w:rsid w:val="003A7199"/>
    <w:rsid w:val="003A742F"/>
    <w:rsid w:val="003A7C77"/>
    <w:rsid w:val="003A7D91"/>
    <w:rsid w:val="003B03EA"/>
    <w:rsid w:val="003B174C"/>
    <w:rsid w:val="003B1AEA"/>
    <w:rsid w:val="003B1EFF"/>
    <w:rsid w:val="003B2005"/>
    <w:rsid w:val="003B23F8"/>
    <w:rsid w:val="003B2553"/>
    <w:rsid w:val="003B2567"/>
    <w:rsid w:val="003B2A68"/>
    <w:rsid w:val="003B2CDC"/>
    <w:rsid w:val="003B2E74"/>
    <w:rsid w:val="003B302A"/>
    <w:rsid w:val="003B3B94"/>
    <w:rsid w:val="003B45DC"/>
    <w:rsid w:val="003B475F"/>
    <w:rsid w:val="003B4820"/>
    <w:rsid w:val="003B4BF0"/>
    <w:rsid w:val="003B4C67"/>
    <w:rsid w:val="003B4E1C"/>
    <w:rsid w:val="003B4F07"/>
    <w:rsid w:val="003B501A"/>
    <w:rsid w:val="003B5560"/>
    <w:rsid w:val="003B5719"/>
    <w:rsid w:val="003B5F9B"/>
    <w:rsid w:val="003B64FF"/>
    <w:rsid w:val="003B6B93"/>
    <w:rsid w:val="003B6D5A"/>
    <w:rsid w:val="003B6DA6"/>
    <w:rsid w:val="003B6F20"/>
    <w:rsid w:val="003B7116"/>
    <w:rsid w:val="003B75D4"/>
    <w:rsid w:val="003B7F11"/>
    <w:rsid w:val="003B7FE5"/>
    <w:rsid w:val="003C0028"/>
    <w:rsid w:val="003C0B48"/>
    <w:rsid w:val="003C1116"/>
    <w:rsid w:val="003C2102"/>
    <w:rsid w:val="003C2390"/>
    <w:rsid w:val="003C244C"/>
    <w:rsid w:val="003C263E"/>
    <w:rsid w:val="003C2FA5"/>
    <w:rsid w:val="003C3262"/>
    <w:rsid w:val="003C3409"/>
    <w:rsid w:val="003C36B3"/>
    <w:rsid w:val="003C37E0"/>
    <w:rsid w:val="003C3D1E"/>
    <w:rsid w:val="003C40AF"/>
    <w:rsid w:val="003C4FA9"/>
    <w:rsid w:val="003C5356"/>
    <w:rsid w:val="003C6490"/>
    <w:rsid w:val="003C6BC7"/>
    <w:rsid w:val="003C6D47"/>
    <w:rsid w:val="003C77C1"/>
    <w:rsid w:val="003D06B5"/>
    <w:rsid w:val="003D0759"/>
    <w:rsid w:val="003D0CA1"/>
    <w:rsid w:val="003D17C8"/>
    <w:rsid w:val="003D1CB1"/>
    <w:rsid w:val="003D2064"/>
    <w:rsid w:val="003D20FA"/>
    <w:rsid w:val="003D2805"/>
    <w:rsid w:val="003D2BAD"/>
    <w:rsid w:val="003D2EAC"/>
    <w:rsid w:val="003D2F26"/>
    <w:rsid w:val="003D328E"/>
    <w:rsid w:val="003D3531"/>
    <w:rsid w:val="003D36B6"/>
    <w:rsid w:val="003D36BC"/>
    <w:rsid w:val="003D39FC"/>
    <w:rsid w:val="003D40BE"/>
    <w:rsid w:val="003D4345"/>
    <w:rsid w:val="003D47D0"/>
    <w:rsid w:val="003D487D"/>
    <w:rsid w:val="003D5578"/>
    <w:rsid w:val="003D5A93"/>
    <w:rsid w:val="003D604B"/>
    <w:rsid w:val="003D6B91"/>
    <w:rsid w:val="003D719C"/>
    <w:rsid w:val="003D71A3"/>
    <w:rsid w:val="003D7296"/>
    <w:rsid w:val="003D73A0"/>
    <w:rsid w:val="003D7C1C"/>
    <w:rsid w:val="003D7CE5"/>
    <w:rsid w:val="003D7CE8"/>
    <w:rsid w:val="003D7F63"/>
    <w:rsid w:val="003E0921"/>
    <w:rsid w:val="003E0BAF"/>
    <w:rsid w:val="003E12DE"/>
    <w:rsid w:val="003E1565"/>
    <w:rsid w:val="003E1884"/>
    <w:rsid w:val="003E18A3"/>
    <w:rsid w:val="003E1A15"/>
    <w:rsid w:val="003E1A45"/>
    <w:rsid w:val="003E1D32"/>
    <w:rsid w:val="003E28C1"/>
    <w:rsid w:val="003E292B"/>
    <w:rsid w:val="003E3565"/>
    <w:rsid w:val="003E3D07"/>
    <w:rsid w:val="003E3E86"/>
    <w:rsid w:val="003E4324"/>
    <w:rsid w:val="003E5484"/>
    <w:rsid w:val="003E560F"/>
    <w:rsid w:val="003E5C27"/>
    <w:rsid w:val="003E5FF8"/>
    <w:rsid w:val="003E636E"/>
    <w:rsid w:val="003E698A"/>
    <w:rsid w:val="003E6DD2"/>
    <w:rsid w:val="003E754E"/>
    <w:rsid w:val="003E76A8"/>
    <w:rsid w:val="003E7781"/>
    <w:rsid w:val="003F03F0"/>
    <w:rsid w:val="003F0440"/>
    <w:rsid w:val="003F0771"/>
    <w:rsid w:val="003F0C14"/>
    <w:rsid w:val="003F0E4F"/>
    <w:rsid w:val="003F10A5"/>
    <w:rsid w:val="003F1199"/>
    <w:rsid w:val="003F11ED"/>
    <w:rsid w:val="003F1660"/>
    <w:rsid w:val="003F1CE8"/>
    <w:rsid w:val="003F1DDA"/>
    <w:rsid w:val="003F212E"/>
    <w:rsid w:val="003F29BE"/>
    <w:rsid w:val="003F2CA0"/>
    <w:rsid w:val="003F3122"/>
    <w:rsid w:val="003F33F3"/>
    <w:rsid w:val="003F354B"/>
    <w:rsid w:val="003F3754"/>
    <w:rsid w:val="003F3A76"/>
    <w:rsid w:val="003F3AC9"/>
    <w:rsid w:val="003F3B4B"/>
    <w:rsid w:val="003F3F74"/>
    <w:rsid w:val="003F40DD"/>
    <w:rsid w:val="003F44A2"/>
    <w:rsid w:val="003F4F8B"/>
    <w:rsid w:val="003F57BD"/>
    <w:rsid w:val="003F57C7"/>
    <w:rsid w:val="003F59AB"/>
    <w:rsid w:val="003F68AD"/>
    <w:rsid w:val="003F6E8A"/>
    <w:rsid w:val="003F7046"/>
    <w:rsid w:val="003F7207"/>
    <w:rsid w:val="003F73CA"/>
    <w:rsid w:val="003F789D"/>
    <w:rsid w:val="003F7ACD"/>
    <w:rsid w:val="003F7BEF"/>
    <w:rsid w:val="003F7F15"/>
    <w:rsid w:val="00400505"/>
    <w:rsid w:val="004008D5"/>
    <w:rsid w:val="00400E39"/>
    <w:rsid w:val="0040176F"/>
    <w:rsid w:val="004017CC"/>
    <w:rsid w:val="00401847"/>
    <w:rsid w:val="00402784"/>
    <w:rsid w:val="00402919"/>
    <w:rsid w:val="00402D04"/>
    <w:rsid w:val="00403724"/>
    <w:rsid w:val="00403743"/>
    <w:rsid w:val="00403765"/>
    <w:rsid w:val="004038FF"/>
    <w:rsid w:val="00403BE1"/>
    <w:rsid w:val="00403DE4"/>
    <w:rsid w:val="00403F3E"/>
    <w:rsid w:val="004045A9"/>
    <w:rsid w:val="00404602"/>
    <w:rsid w:val="0040465D"/>
    <w:rsid w:val="004047E3"/>
    <w:rsid w:val="00404B65"/>
    <w:rsid w:val="00405A24"/>
    <w:rsid w:val="00405F19"/>
    <w:rsid w:val="00406682"/>
    <w:rsid w:val="00406B37"/>
    <w:rsid w:val="00407283"/>
    <w:rsid w:val="004073E6"/>
    <w:rsid w:val="00407BAC"/>
    <w:rsid w:val="00410757"/>
    <w:rsid w:val="004107C2"/>
    <w:rsid w:val="0041098D"/>
    <w:rsid w:val="004109CF"/>
    <w:rsid w:val="00410B0E"/>
    <w:rsid w:val="00411087"/>
    <w:rsid w:val="00411292"/>
    <w:rsid w:val="004120BD"/>
    <w:rsid w:val="00412219"/>
    <w:rsid w:val="004126D3"/>
    <w:rsid w:val="00412E1A"/>
    <w:rsid w:val="0041300C"/>
    <w:rsid w:val="004132D2"/>
    <w:rsid w:val="00413345"/>
    <w:rsid w:val="00413876"/>
    <w:rsid w:val="00413A92"/>
    <w:rsid w:val="00413C4F"/>
    <w:rsid w:val="00413CBC"/>
    <w:rsid w:val="00413ECA"/>
    <w:rsid w:val="00414644"/>
    <w:rsid w:val="004146C8"/>
    <w:rsid w:val="00414A38"/>
    <w:rsid w:val="00414E65"/>
    <w:rsid w:val="004151E6"/>
    <w:rsid w:val="00415C5B"/>
    <w:rsid w:val="00415DBF"/>
    <w:rsid w:val="004162BD"/>
    <w:rsid w:val="0041670F"/>
    <w:rsid w:val="00416BB3"/>
    <w:rsid w:val="00416C59"/>
    <w:rsid w:val="00416D54"/>
    <w:rsid w:val="004170C6"/>
    <w:rsid w:val="004171E1"/>
    <w:rsid w:val="00417381"/>
    <w:rsid w:val="00417531"/>
    <w:rsid w:val="00417CFD"/>
    <w:rsid w:val="00417F88"/>
    <w:rsid w:val="00417F9B"/>
    <w:rsid w:val="004206EE"/>
    <w:rsid w:val="004208AF"/>
    <w:rsid w:val="0042160F"/>
    <w:rsid w:val="004216FC"/>
    <w:rsid w:val="00421C6E"/>
    <w:rsid w:val="00422274"/>
    <w:rsid w:val="00422796"/>
    <w:rsid w:val="0042280F"/>
    <w:rsid w:val="00422830"/>
    <w:rsid w:val="0042288E"/>
    <w:rsid w:val="00422A44"/>
    <w:rsid w:val="00422E3E"/>
    <w:rsid w:val="00422E94"/>
    <w:rsid w:val="004231E2"/>
    <w:rsid w:val="00423606"/>
    <w:rsid w:val="0042360C"/>
    <w:rsid w:val="00423948"/>
    <w:rsid w:val="00423966"/>
    <w:rsid w:val="00423B9B"/>
    <w:rsid w:val="00423CC1"/>
    <w:rsid w:val="0042433B"/>
    <w:rsid w:val="004248F5"/>
    <w:rsid w:val="00424B5E"/>
    <w:rsid w:val="00424DA7"/>
    <w:rsid w:val="00424EF8"/>
    <w:rsid w:val="00424F28"/>
    <w:rsid w:val="00424F4F"/>
    <w:rsid w:val="00425089"/>
    <w:rsid w:val="004254A3"/>
    <w:rsid w:val="00425938"/>
    <w:rsid w:val="00425A23"/>
    <w:rsid w:val="00425BC3"/>
    <w:rsid w:val="00425FC2"/>
    <w:rsid w:val="0042617D"/>
    <w:rsid w:val="00426234"/>
    <w:rsid w:val="00426375"/>
    <w:rsid w:val="00426E4D"/>
    <w:rsid w:val="00427BD6"/>
    <w:rsid w:val="00427C4A"/>
    <w:rsid w:val="004304B5"/>
    <w:rsid w:val="004304E8"/>
    <w:rsid w:val="004305BC"/>
    <w:rsid w:val="00430868"/>
    <w:rsid w:val="00430883"/>
    <w:rsid w:val="004309FB"/>
    <w:rsid w:val="00430B64"/>
    <w:rsid w:val="00430EF6"/>
    <w:rsid w:val="004310DB"/>
    <w:rsid w:val="004313E4"/>
    <w:rsid w:val="00431655"/>
    <w:rsid w:val="004329D9"/>
    <w:rsid w:val="00432A30"/>
    <w:rsid w:val="00432B50"/>
    <w:rsid w:val="00432F57"/>
    <w:rsid w:val="00432FCC"/>
    <w:rsid w:val="00433406"/>
    <w:rsid w:val="0043405B"/>
    <w:rsid w:val="004342D1"/>
    <w:rsid w:val="00434529"/>
    <w:rsid w:val="00434D54"/>
    <w:rsid w:val="00434F15"/>
    <w:rsid w:val="004356BF"/>
    <w:rsid w:val="00435B71"/>
    <w:rsid w:val="00435F15"/>
    <w:rsid w:val="0043608A"/>
    <w:rsid w:val="00436271"/>
    <w:rsid w:val="00436668"/>
    <w:rsid w:val="0043684E"/>
    <w:rsid w:val="0043733A"/>
    <w:rsid w:val="00437C28"/>
    <w:rsid w:val="00440657"/>
    <w:rsid w:val="0044084A"/>
    <w:rsid w:val="00440A75"/>
    <w:rsid w:val="00440BE1"/>
    <w:rsid w:val="00440D46"/>
    <w:rsid w:val="00440DF9"/>
    <w:rsid w:val="00441124"/>
    <w:rsid w:val="00441150"/>
    <w:rsid w:val="00441450"/>
    <w:rsid w:val="00441C53"/>
    <w:rsid w:val="00441D44"/>
    <w:rsid w:val="00441F14"/>
    <w:rsid w:val="00443024"/>
    <w:rsid w:val="0044329E"/>
    <w:rsid w:val="004435A0"/>
    <w:rsid w:val="004437ED"/>
    <w:rsid w:val="00443802"/>
    <w:rsid w:val="00443BD5"/>
    <w:rsid w:val="00443C18"/>
    <w:rsid w:val="004442B3"/>
    <w:rsid w:val="0044519A"/>
    <w:rsid w:val="00445298"/>
    <w:rsid w:val="00445B34"/>
    <w:rsid w:val="00445BE7"/>
    <w:rsid w:val="00445C85"/>
    <w:rsid w:val="0044609E"/>
    <w:rsid w:val="0044651B"/>
    <w:rsid w:val="004468FC"/>
    <w:rsid w:val="00446911"/>
    <w:rsid w:val="00446BC3"/>
    <w:rsid w:val="00446D96"/>
    <w:rsid w:val="00447051"/>
    <w:rsid w:val="004475C7"/>
    <w:rsid w:val="004479C5"/>
    <w:rsid w:val="004503BD"/>
    <w:rsid w:val="00450A29"/>
    <w:rsid w:val="004511F4"/>
    <w:rsid w:val="0045130F"/>
    <w:rsid w:val="00451456"/>
    <w:rsid w:val="0045199A"/>
    <w:rsid w:val="0045199E"/>
    <w:rsid w:val="00451E78"/>
    <w:rsid w:val="00452AD2"/>
    <w:rsid w:val="00452BA4"/>
    <w:rsid w:val="00452E06"/>
    <w:rsid w:val="0045387D"/>
    <w:rsid w:val="00453B6E"/>
    <w:rsid w:val="004540A8"/>
    <w:rsid w:val="00454122"/>
    <w:rsid w:val="004545DE"/>
    <w:rsid w:val="004547A0"/>
    <w:rsid w:val="004547D5"/>
    <w:rsid w:val="00454FA9"/>
    <w:rsid w:val="0045517B"/>
    <w:rsid w:val="00455195"/>
    <w:rsid w:val="00455261"/>
    <w:rsid w:val="00456850"/>
    <w:rsid w:val="00460102"/>
    <w:rsid w:val="0046013A"/>
    <w:rsid w:val="004607B4"/>
    <w:rsid w:val="00460918"/>
    <w:rsid w:val="00460F61"/>
    <w:rsid w:val="00461A0A"/>
    <w:rsid w:val="00462332"/>
    <w:rsid w:val="0046254C"/>
    <w:rsid w:val="00462E2C"/>
    <w:rsid w:val="00462FB1"/>
    <w:rsid w:val="00463112"/>
    <w:rsid w:val="004635C9"/>
    <w:rsid w:val="0046409A"/>
    <w:rsid w:val="004641E8"/>
    <w:rsid w:val="004645AA"/>
    <w:rsid w:val="00464BEC"/>
    <w:rsid w:val="00464CB2"/>
    <w:rsid w:val="004654F5"/>
    <w:rsid w:val="00466326"/>
    <w:rsid w:val="004673EA"/>
    <w:rsid w:val="004675B3"/>
    <w:rsid w:val="00467976"/>
    <w:rsid w:val="00467C77"/>
    <w:rsid w:val="00467CDF"/>
    <w:rsid w:val="00467E7D"/>
    <w:rsid w:val="00470387"/>
    <w:rsid w:val="004707BA"/>
    <w:rsid w:val="004707E2"/>
    <w:rsid w:val="004709F8"/>
    <w:rsid w:val="00470C7E"/>
    <w:rsid w:val="00470DA1"/>
    <w:rsid w:val="00471BF6"/>
    <w:rsid w:val="00471C69"/>
    <w:rsid w:val="00472043"/>
    <w:rsid w:val="004723F8"/>
    <w:rsid w:val="004724C0"/>
    <w:rsid w:val="004728E4"/>
    <w:rsid w:val="00473130"/>
    <w:rsid w:val="0047319C"/>
    <w:rsid w:val="004736C2"/>
    <w:rsid w:val="00473BFF"/>
    <w:rsid w:val="00473EA6"/>
    <w:rsid w:val="00474116"/>
    <w:rsid w:val="00474488"/>
    <w:rsid w:val="004748D6"/>
    <w:rsid w:val="0047520D"/>
    <w:rsid w:val="00475D01"/>
    <w:rsid w:val="00475DFC"/>
    <w:rsid w:val="0047615C"/>
    <w:rsid w:val="0047626A"/>
    <w:rsid w:val="00476B3E"/>
    <w:rsid w:val="00476D76"/>
    <w:rsid w:val="004772E5"/>
    <w:rsid w:val="00477524"/>
    <w:rsid w:val="004776BB"/>
    <w:rsid w:val="0047798B"/>
    <w:rsid w:val="004802D9"/>
    <w:rsid w:val="0048099F"/>
    <w:rsid w:val="00480CBD"/>
    <w:rsid w:val="00480E2C"/>
    <w:rsid w:val="00481912"/>
    <w:rsid w:val="004819A5"/>
    <w:rsid w:val="00482018"/>
    <w:rsid w:val="004831F9"/>
    <w:rsid w:val="0048389A"/>
    <w:rsid w:val="00483D1C"/>
    <w:rsid w:val="004840A0"/>
    <w:rsid w:val="00484306"/>
    <w:rsid w:val="0048460C"/>
    <w:rsid w:val="00484BDB"/>
    <w:rsid w:val="00484E57"/>
    <w:rsid w:val="004853C7"/>
    <w:rsid w:val="004854B6"/>
    <w:rsid w:val="004854EF"/>
    <w:rsid w:val="0048564C"/>
    <w:rsid w:val="00485934"/>
    <w:rsid w:val="00485B8F"/>
    <w:rsid w:val="0048604A"/>
    <w:rsid w:val="00486B15"/>
    <w:rsid w:val="004870C9"/>
    <w:rsid w:val="0048718E"/>
    <w:rsid w:val="00487AC6"/>
    <w:rsid w:val="00487EF6"/>
    <w:rsid w:val="00487FDC"/>
    <w:rsid w:val="004903EE"/>
    <w:rsid w:val="00490C06"/>
    <w:rsid w:val="00490CE4"/>
    <w:rsid w:val="00490EE6"/>
    <w:rsid w:val="004910BC"/>
    <w:rsid w:val="004918C6"/>
    <w:rsid w:val="00491ECD"/>
    <w:rsid w:val="0049229F"/>
    <w:rsid w:val="00492551"/>
    <w:rsid w:val="004926E0"/>
    <w:rsid w:val="0049278C"/>
    <w:rsid w:val="00492DAA"/>
    <w:rsid w:val="00492FDB"/>
    <w:rsid w:val="004935D1"/>
    <w:rsid w:val="00493623"/>
    <w:rsid w:val="00493CA8"/>
    <w:rsid w:val="00493CE3"/>
    <w:rsid w:val="0049417B"/>
    <w:rsid w:val="00494357"/>
    <w:rsid w:val="00494EC6"/>
    <w:rsid w:val="0049582B"/>
    <w:rsid w:val="00495A5C"/>
    <w:rsid w:val="0049662F"/>
    <w:rsid w:val="00496B33"/>
    <w:rsid w:val="00496E08"/>
    <w:rsid w:val="0049702F"/>
    <w:rsid w:val="00497307"/>
    <w:rsid w:val="004974ED"/>
    <w:rsid w:val="00497752"/>
    <w:rsid w:val="004977B7"/>
    <w:rsid w:val="004A00CB"/>
    <w:rsid w:val="004A05E8"/>
    <w:rsid w:val="004A0E3F"/>
    <w:rsid w:val="004A1342"/>
    <w:rsid w:val="004A178C"/>
    <w:rsid w:val="004A183B"/>
    <w:rsid w:val="004A1BB9"/>
    <w:rsid w:val="004A1C69"/>
    <w:rsid w:val="004A2487"/>
    <w:rsid w:val="004A2D6F"/>
    <w:rsid w:val="004A39DB"/>
    <w:rsid w:val="004A497A"/>
    <w:rsid w:val="004A4EC2"/>
    <w:rsid w:val="004A51F9"/>
    <w:rsid w:val="004A523E"/>
    <w:rsid w:val="004A5EF6"/>
    <w:rsid w:val="004A62C5"/>
    <w:rsid w:val="004A63D6"/>
    <w:rsid w:val="004A6408"/>
    <w:rsid w:val="004A69AE"/>
    <w:rsid w:val="004A6E1E"/>
    <w:rsid w:val="004A7373"/>
    <w:rsid w:val="004A7FC2"/>
    <w:rsid w:val="004B00E6"/>
    <w:rsid w:val="004B042B"/>
    <w:rsid w:val="004B05D1"/>
    <w:rsid w:val="004B05DD"/>
    <w:rsid w:val="004B07C4"/>
    <w:rsid w:val="004B0D8E"/>
    <w:rsid w:val="004B1206"/>
    <w:rsid w:val="004B1F58"/>
    <w:rsid w:val="004B1FAC"/>
    <w:rsid w:val="004B2579"/>
    <w:rsid w:val="004B2EE5"/>
    <w:rsid w:val="004B2F32"/>
    <w:rsid w:val="004B3110"/>
    <w:rsid w:val="004B333E"/>
    <w:rsid w:val="004B355F"/>
    <w:rsid w:val="004B3CB3"/>
    <w:rsid w:val="004B47DA"/>
    <w:rsid w:val="004B490E"/>
    <w:rsid w:val="004B4E91"/>
    <w:rsid w:val="004B54A9"/>
    <w:rsid w:val="004B54B4"/>
    <w:rsid w:val="004B557B"/>
    <w:rsid w:val="004B5608"/>
    <w:rsid w:val="004B56E3"/>
    <w:rsid w:val="004B5DCB"/>
    <w:rsid w:val="004B5E89"/>
    <w:rsid w:val="004B6116"/>
    <w:rsid w:val="004B6655"/>
    <w:rsid w:val="004B6CA9"/>
    <w:rsid w:val="004B6CC0"/>
    <w:rsid w:val="004B7492"/>
    <w:rsid w:val="004B7649"/>
    <w:rsid w:val="004B7774"/>
    <w:rsid w:val="004B7CCC"/>
    <w:rsid w:val="004C00DF"/>
    <w:rsid w:val="004C0250"/>
    <w:rsid w:val="004C0655"/>
    <w:rsid w:val="004C08ED"/>
    <w:rsid w:val="004C0AFB"/>
    <w:rsid w:val="004C0FCC"/>
    <w:rsid w:val="004C1952"/>
    <w:rsid w:val="004C19CC"/>
    <w:rsid w:val="004C1CD0"/>
    <w:rsid w:val="004C1D60"/>
    <w:rsid w:val="004C1E6C"/>
    <w:rsid w:val="004C2360"/>
    <w:rsid w:val="004C2614"/>
    <w:rsid w:val="004C2A71"/>
    <w:rsid w:val="004C2B4C"/>
    <w:rsid w:val="004C2C6A"/>
    <w:rsid w:val="004C3298"/>
    <w:rsid w:val="004C35A7"/>
    <w:rsid w:val="004C470C"/>
    <w:rsid w:val="004C51AE"/>
    <w:rsid w:val="004C51CB"/>
    <w:rsid w:val="004C51FE"/>
    <w:rsid w:val="004C53EA"/>
    <w:rsid w:val="004C542E"/>
    <w:rsid w:val="004C5440"/>
    <w:rsid w:val="004C5781"/>
    <w:rsid w:val="004C5B40"/>
    <w:rsid w:val="004C5C7D"/>
    <w:rsid w:val="004C5CD0"/>
    <w:rsid w:val="004C65E3"/>
    <w:rsid w:val="004C6777"/>
    <w:rsid w:val="004C67AB"/>
    <w:rsid w:val="004C67FE"/>
    <w:rsid w:val="004C6ACF"/>
    <w:rsid w:val="004C7A9B"/>
    <w:rsid w:val="004C7D98"/>
    <w:rsid w:val="004D02C0"/>
    <w:rsid w:val="004D0818"/>
    <w:rsid w:val="004D098F"/>
    <w:rsid w:val="004D0C24"/>
    <w:rsid w:val="004D1052"/>
    <w:rsid w:val="004D1B25"/>
    <w:rsid w:val="004D1D94"/>
    <w:rsid w:val="004D224B"/>
    <w:rsid w:val="004D2640"/>
    <w:rsid w:val="004D3195"/>
    <w:rsid w:val="004D3303"/>
    <w:rsid w:val="004D3348"/>
    <w:rsid w:val="004D3B33"/>
    <w:rsid w:val="004D3DC9"/>
    <w:rsid w:val="004D3F67"/>
    <w:rsid w:val="004D45B3"/>
    <w:rsid w:val="004D4C69"/>
    <w:rsid w:val="004D5297"/>
    <w:rsid w:val="004D55F4"/>
    <w:rsid w:val="004D5AC4"/>
    <w:rsid w:val="004D5FBF"/>
    <w:rsid w:val="004D656F"/>
    <w:rsid w:val="004D6F51"/>
    <w:rsid w:val="004D735A"/>
    <w:rsid w:val="004D7585"/>
    <w:rsid w:val="004D763D"/>
    <w:rsid w:val="004D7ECB"/>
    <w:rsid w:val="004E0016"/>
    <w:rsid w:val="004E0061"/>
    <w:rsid w:val="004E0154"/>
    <w:rsid w:val="004E0817"/>
    <w:rsid w:val="004E0B69"/>
    <w:rsid w:val="004E0E40"/>
    <w:rsid w:val="004E10A2"/>
    <w:rsid w:val="004E1268"/>
    <w:rsid w:val="004E13DE"/>
    <w:rsid w:val="004E21D6"/>
    <w:rsid w:val="004E2729"/>
    <w:rsid w:val="004E27E6"/>
    <w:rsid w:val="004E2AB6"/>
    <w:rsid w:val="004E2F2D"/>
    <w:rsid w:val="004E334C"/>
    <w:rsid w:val="004E33C4"/>
    <w:rsid w:val="004E3501"/>
    <w:rsid w:val="004E39CE"/>
    <w:rsid w:val="004E3F70"/>
    <w:rsid w:val="004E4368"/>
    <w:rsid w:val="004E454E"/>
    <w:rsid w:val="004E4882"/>
    <w:rsid w:val="004E4889"/>
    <w:rsid w:val="004E48A3"/>
    <w:rsid w:val="004E4A9E"/>
    <w:rsid w:val="004E4C50"/>
    <w:rsid w:val="004E501B"/>
    <w:rsid w:val="004E5290"/>
    <w:rsid w:val="004E54FD"/>
    <w:rsid w:val="004E57F7"/>
    <w:rsid w:val="004E61FE"/>
    <w:rsid w:val="004E67E9"/>
    <w:rsid w:val="004E7582"/>
    <w:rsid w:val="004E75A5"/>
    <w:rsid w:val="004E776A"/>
    <w:rsid w:val="004E7B0C"/>
    <w:rsid w:val="004F0095"/>
    <w:rsid w:val="004F0102"/>
    <w:rsid w:val="004F0553"/>
    <w:rsid w:val="004F09C6"/>
    <w:rsid w:val="004F0F48"/>
    <w:rsid w:val="004F17EB"/>
    <w:rsid w:val="004F1EFA"/>
    <w:rsid w:val="004F2A5E"/>
    <w:rsid w:val="004F2A80"/>
    <w:rsid w:val="004F2D49"/>
    <w:rsid w:val="004F2FEA"/>
    <w:rsid w:val="004F3B19"/>
    <w:rsid w:val="004F3C85"/>
    <w:rsid w:val="004F3E1E"/>
    <w:rsid w:val="004F468E"/>
    <w:rsid w:val="004F4B17"/>
    <w:rsid w:val="004F51D3"/>
    <w:rsid w:val="004F5220"/>
    <w:rsid w:val="004F54A1"/>
    <w:rsid w:val="004F556C"/>
    <w:rsid w:val="004F5F28"/>
    <w:rsid w:val="004F6AD4"/>
    <w:rsid w:val="004F6DD8"/>
    <w:rsid w:val="004F76F6"/>
    <w:rsid w:val="004F7C26"/>
    <w:rsid w:val="00500872"/>
    <w:rsid w:val="00500C2F"/>
    <w:rsid w:val="00501170"/>
    <w:rsid w:val="00501AF4"/>
    <w:rsid w:val="0050203A"/>
    <w:rsid w:val="005027B3"/>
    <w:rsid w:val="00502896"/>
    <w:rsid w:val="005028F8"/>
    <w:rsid w:val="00502986"/>
    <w:rsid w:val="00502C90"/>
    <w:rsid w:val="00503461"/>
    <w:rsid w:val="00503680"/>
    <w:rsid w:val="00503D13"/>
    <w:rsid w:val="00503F5E"/>
    <w:rsid w:val="00504818"/>
    <w:rsid w:val="00504CD6"/>
    <w:rsid w:val="0050577D"/>
    <w:rsid w:val="00505EB4"/>
    <w:rsid w:val="00505F89"/>
    <w:rsid w:val="0050722E"/>
    <w:rsid w:val="00507482"/>
    <w:rsid w:val="00510232"/>
    <w:rsid w:val="005104DE"/>
    <w:rsid w:val="005109EB"/>
    <w:rsid w:val="00511118"/>
    <w:rsid w:val="0051192A"/>
    <w:rsid w:val="005122E2"/>
    <w:rsid w:val="005125FD"/>
    <w:rsid w:val="0051299B"/>
    <w:rsid w:val="005129E1"/>
    <w:rsid w:val="005129F7"/>
    <w:rsid w:val="00512A32"/>
    <w:rsid w:val="005131BC"/>
    <w:rsid w:val="00513477"/>
    <w:rsid w:val="00513A28"/>
    <w:rsid w:val="005148B9"/>
    <w:rsid w:val="00514A3F"/>
    <w:rsid w:val="00514E4C"/>
    <w:rsid w:val="00514F60"/>
    <w:rsid w:val="0051565D"/>
    <w:rsid w:val="00515843"/>
    <w:rsid w:val="00516048"/>
    <w:rsid w:val="00516158"/>
    <w:rsid w:val="00516242"/>
    <w:rsid w:val="00516480"/>
    <w:rsid w:val="00516804"/>
    <w:rsid w:val="00516846"/>
    <w:rsid w:val="005168D9"/>
    <w:rsid w:val="00516B97"/>
    <w:rsid w:val="0051757B"/>
    <w:rsid w:val="005178BE"/>
    <w:rsid w:val="00517AC6"/>
    <w:rsid w:val="00517C55"/>
    <w:rsid w:val="00520684"/>
    <w:rsid w:val="00520FD5"/>
    <w:rsid w:val="005215D6"/>
    <w:rsid w:val="0052183E"/>
    <w:rsid w:val="005218E2"/>
    <w:rsid w:val="00522467"/>
    <w:rsid w:val="0052263C"/>
    <w:rsid w:val="0052270D"/>
    <w:rsid w:val="00522BC8"/>
    <w:rsid w:val="00522DBA"/>
    <w:rsid w:val="00523073"/>
    <w:rsid w:val="00523956"/>
    <w:rsid w:val="00523E61"/>
    <w:rsid w:val="00523FA9"/>
    <w:rsid w:val="00524280"/>
    <w:rsid w:val="005243B6"/>
    <w:rsid w:val="005243DA"/>
    <w:rsid w:val="00524D66"/>
    <w:rsid w:val="00524EDF"/>
    <w:rsid w:val="005259AC"/>
    <w:rsid w:val="00525BBD"/>
    <w:rsid w:val="00525F62"/>
    <w:rsid w:val="00526331"/>
    <w:rsid w:val="0052655C"/>
    <w:rsid w:val="005267D9"/>
    <w:rsid w:val="00526D93"/>
    <w:rsid w:val="005270AE"/>
    <w:rsid w:val="005270B4"/>
    <w:rsid w:val="005274EE"/>
    <w:rsid w:val="0052794C"/>
    <w:rsid w:val="00530348"/>
    <w:rsid w:val="00531232"/>
    <w:rsid w:val="00531737"/>
    <w:rsid w:val="0053173B"/>
    <w:rsid w:val="00531E18"/>
    <w:rsid w:val="005321B0"/>
    <w:rsid w:val="005333AF"/>
    <w:rsid w:val="00533912"/>
    <w:rsid w:val="00533A82"/>
    <w:rsid w:val="005346F4"/>
    <w:rsid w:val="0053487B"/>
    <w:rsid w:val="005349B4"/>
    <w:rsid w:val="00534BA9"/>
    <w:rsid w:val="00534C65"/>
    <w:rsid w:val="00535898"/>
    <w:rsid w:val="00536074"/>
    <w:rsid w:val="00536DA7"/>
    <w:rsid w:val="00536F22"/>
    <w:rsid w:val="0053799A"/>
    <w:rsid w:val="0054052C"/>
    <w:rsid w:val="0054068F"/>
    <w:rsid w:val="0054099E"/>
    <w:rsid w:val="00540AE2"/>
    <w:rsid w:val="00540EB1"/>
    <w:rsid w:val="00541483"/>
    <w:rsid w:val="005418F0"/>
    <w:rsid w:val="00541DC0"/>
    <w:rsid w:val="00542729"/>
    <w:rsid w:val="00542733"/>
    <w:rsid w:val="005427E1"/>
    <w:rsid w:val="0054285E"/>
    <w:rsid w:val="00542972"/>
    <w:rsid w:val="00542C41"/>
    <w:rsid w:val="00542EA2"/>
    <w:rsid w:val="00543271"/>
    <w:rsid w:val="0054359F"/>
    <w:rsid w:val="005438DD"/>
    <w:rsid w:val="00543B0D"/>
    <w:rsid w:val="00543C20"/>
    <w:rsid w:val="00543DAF"/>
    <w:rsid w:val="00544637"/>
    <w:rsid w:val="00544B8C"/>
    <w:rsid w:val="00544CE2"/>
    <w:rsid w:val="00544EE5"/>
    <w:rsid w:val="005452F7"/>
    <w:rsid w:val="00545642"/>
    <w:rsid w:val="00545664"/>
    <w:rsid w:val="005457F3"/>
    <w:rsid w:val="00545A03"/>
    <w:rsid w:val="005460E8"/>
    <w:rsid w:val="0054623C"/>
    <w:rsid w:val="00546EB6"/>
    <w:rsid w:val="005477A8"/>
    <w:rsid w:val="00547F23"/>
    <w:rsid w:val="00547F29"/>
    <w:rsid w:val="00550123"/>
    <w:rsid w:val="00550732"/>
    <w:rsid w:val="00550959"/>
    <w:rsid w:val="00550AB5"/>
    <w:rsid w:val="00550B93"/>
    <w:rsid w:val="00551508"/>
    <w:rsid w:val="0055162E"/>
    <w:rsid w:val="005517DD"/>
    <w:rsid w:val="00551EF1"/>
    <w:rsid w:val="005523E4"/>
    <w:rsid w:val="00552811"/>
    <w:rsid w:val="00553320"/>
    <w:rsid w:val="005534A6"/>
    <w:rsid w:val="0055373D"/>
    <w:rsid w:val="0055390C"/>
    <w:rsid w:val="005539DE"/>
    <w:rsid w:val="00553AC4"/>
    <w:rsid w:val="0055440E"/>
    <w:rsid w:val="005548CE"/>
    <w:rsid w:val="005556BB"/>
    <w:rsid w:val="0055679E"/>
    <w:rsid w:val="00556F9B"/>
    <w:rsid w:val="00557655"/>
    <w:rsid w:val="0055788D"/>
    <w:rsid w:val="00557A54"/>
    <w:rsid w:val="00557C79"/>
    <w:rsid w:val="00560239"/>
    <w:rsid w:val="005602F1"/>
    <w:rsid w:val="00560BC1"/>
    <w:rsid w:val="005618E9"/>
    <w:rsid w:val="0056195D"/>
    <w:rsid w:val="00561A59"/>
    <w:rsid w:val="00561EA7"/>
    <w:rsid w:val="00561F39"/>
    <w:rsid w:val="00562075"/>
    <w:rsid w:val="005622A6"/>
    <w:rsid w:val="005623EC"/>
    <w:rsid w:val="005627A6"/>
    <w:rsid w:val="00562B7F"/>
    <w:rsid w:val="00562E66"/>
    <w:rsid w:val="00562F1A"/>
    <w:rsid w:val="00563120"/>
    <w:rsid w:val="00563318"/>
    <w:rsid w:val="0056366F"/>
    <w:rsid w:val="00563B9C"/>
    <w:rsid w:val="00563F93"/>
    <w:rsid w:val="00564CD2"/>
    <w:rsid w:val="00565835"/>
    <w:rsid w:val="0056586B"/>
    <w:rsid w:val="00565951"/>
    <w:rsid w:val="00565C18"/>
    <w:rsid w:val="005662A4"/>
    <w:rsid w:val="005662AB"/>
    <w:rsid w:val="005663D0"/>
    <w:rsid w:val="00566A3F"/>
    <w:rsid w:val="00566EC6"/>
    <w:rsid w:val="0056722D"/>
    <w:rsid w:val="00567255"/>
    <w:rsid w:val="005705B4"/>
    <w:rsid w:val="00570AA8"/>
    <w:rsid w:val="00570EC1"/>
    <w:rsid w:val="00571B9E"/>
    <w:rsid w:val="00571D70"/>
    <w:rsid w:val="005720E7"/>
    <w:rsid w:val="00572225"/>
    <w:rsid w:val="0057318C"/>
    <w:rsid w:val="00573228"/>
    <w:rsid w:val="00573292"/>
    <w:rsid w:val="00573977"/>
    <w:rsid w:val="005739D0"/>
    <w:rsid w:val="00573C72"/>
    <w:rsid w:val="0057402B"/>
    <w:rsid w:val="005742CF"/>
    <w:rsid w:val="00574346"/>
    <w:rsid w:val="00574388"/>
    <w:rsid w:val="005743BF"/>
    <w:rsid w:val="00574581"/>
    <w:rsid w:val="00574875"/>
    <w:rsid w:val="00574ED4"/>
    <w:rsid w:val="005752AE"/>
    <w:rsid w:val="0057536E"/>
    <w:rsid w:val="005753B8"/>
    <w:rsid w:val="005759DC"/>
    <w:rsid w:val="00575BE5"/>
    <w:rsid w:val="00575E6D"/>
    <w:rsid w:val="005764AC"/>
    <w:rsid w:val="00576ACA"/>
    <w:rsid w:val="00576CEA"/>
    <w:rsid w:val="00576D72"/>
    <w:rsid w:val="0057713A"/>
    <w:rsid w:val="005773E9"/>
    <w:rsid w:val="00577C1F"/>
    <w:rsid w:val="00577C74"/>
    <w:rsid w:val="00577E43"/>
    <w:rsid w:val="0058040F"/>
    <w:rsid w:val="00580422"/>
    <w:rsid w:val="0058054E"/>
    <w:rsid w:val="00580934"/>
    <w:rsid w:val="00580E36"/>
    <w:rsid w:val="00581448"/>
    <w:rsid w:val="00581935"/>
    <w:rsid w:val="00581FC8"/>
    <w:rsid w:val="005829AE"/>
    <w:rsid w:val="00583027"/>
    <w:rsid w:val="00583062"/>
    <w:rsid w:val="005840BC"/>
    <w:rsid w:val="0058499D"/>
    <w:rsid w:val="00584AF9"/>
    <w:rsid w:val="0058549F"/>
    <w:rsid w:val="005857F1"/>
    <w:rsid w:val="005860B5"/>
    <w:rsid w:val="005862F8"/>
    <w:rsid w:val="00586388"/>
    <w:rsid w:val="005869C8"/>
    <w:rsid w:val="005874E9"/>
    <w:rsid w:val="00587744"/>
    <w:rsid w:val="005878B9"/>
    <w:rsid w:val="00587B27"/>
    <w:rsid w:val="00587EE2"/>
    <w:rsid w:val="00590097"/>
    <w:rsid w:val="0059018D"/>
    <w:rsid w:val="00590248"/>
    <w:rsid w:val="005908E7"/>
    <w:rsid w:val="0059092A"/>
    <w:rsid w:val="00590A7C"/>
    <w:rsid w:val="0059143B"/>
    <w:rsid w:val="00591508"/>
    <w:rsid w:val="00592134"/>
    <w:rsid w:val="005922EA"/>
    <w:rsid w:val="005926FE"/>
    <w:rsid w:val="00592846"/>
    <w:rsid w:val="0059346C"/>
    <w:rsid w:val="005944FC"/>
    <w:rsid w:val="005945B6"/>
    <w:rsid w:val="00594F36"/>
    <w:rsid w:val="00594F8A"/>
    <w:rsid w:val="00595334"/>
    <w:rsid w:val="0059553A"/>
    <w:rsid w:val="005956D0"/>
    <w:rsid w:val="0059575A"/>
    <w:rsid w:val="005957FF"/>
    <w:rsid w:val="00595AFA"/>
    <w:rsid w:val="00595F71"/>
    <w:rsid w:val="00596172"/>
    <w:rsid w:val="00596706"/>
    <w:rsid w:val="0059697E"/>
    <w:rsid w:val="00596A24"/>
    <w:rsid w:val="00596A35"/>
    <w:rsid w:val="00597198"/>
    <w:rsid w:val="00597891"/>
    <w:rsid w:val="00597D83"/>
    <w:rsid w:val="00597E97"/>
    <w:rsid w:val="00597EEA"/>
    <w:rsid w:val="005A02EB"/>
    <w:rsid w:val="005A03A5"/>
    <w:rsid w:val="005A0799"/>
    <w:rsid w:val="005A09B4"/>
    <w:rsid w:val="005A0A97"/>
    <w:rsid w:val="005A0B3F"/>
    <w:rsid w:val="005A0CC5"/>
    <w:rsid w:val="005A0CF9"/>
    <w:rsid w:val="005A110F"/>
    <w:rsid w:val="005A1C30"/>
    <w:rsid w:val="005A1FF9"/>
    <w:rsid w:val="005A2BEE"/>
    <w:rsid w:val="005A3214"/>
    <w:rsid w:val="005A3928"/>
    <w:rsid w:val="005A423A"/>
    <w:rsid w:val="005A4768"/>
    <w:rsid w:val="005A4994"/>
    <w:rsid w:val="005A4EF4"/>
    <w:rsid w:val="005A51C9"/>
    <w:rsid w:val="005A52F3"/>
    <w:rsid w:val="005A5F5C"/>
    <w:rsid w:val="005A67BF"/>
    <w:rsid w:val="005A68C1"/>
    <w:rsid w:val="005A6F50"/>
    <w:rsid w:val="005A6F7E"/>
    <w:rsid w:val="005A7048"/>
    <w:rsid w:val="005A73A7"/>
    <w:rsid w:val="005A7636"/>
    <w:rsid w:val="005A7651"/>
    <w:rsid w:val="005A769A"/>
    <w:rsid w:val="005A79F3"/>
    <w:rsid w:val="005A7EE0"/>
    <w:rsid w:val="005B034A"/>
    <w:rsid w:val="005B08F5"/>
    <w:rsid w:val="005B0C5A"/>
    <w:rsid w:val="005B10BD"/>
    <w:rsid w:val="005B1DF4"/>
    <w:rsid w:val="005B1EF1"/>
    <w:rsid w:val="005B2554"/>
    <w:rsid w:val="005B265F"/>
    <w:rsid w:val="005B29A7"/>
    <w:rsid w:val="005B2BDB"/>
    <w:rsid w:val="005B2FFA"/>
    <w:rsid w:val="005B3104"/>
    <w:rsid w:val="005B4041"/>
    <w:rsid w:val="005B4B2C"/>
    <w:rsid w:val="005B4E11"/>
    <w:rsid w:val="005B5C06"/>
    <w:rsid w:val="005B5E25"/>
    <w:rsid w:val="005B60F7"/>
    <w:rsid w:val="005B6A94"/>
    <w:rsid w:val="005B6E37"/>
    <w:rsid w:val="005B6E47"/>
    <w:rsid w:val="005B6F39"/>
    <w:rsid w:val="005B71C6"/>
    <w:rsid w:val="005B7897"/>
    <w:rsid w:val="005C01E3"/>
    <w:rsid w:val="005C03DD"/>
    <w:rsid w:val="005C043C"/>
    <w:rsid w:val="005C0559"/>
    <w:rsid w:val="005C076D"/>
    <w:rsid w:val="005C09DF"/>
    <w:rsid w:val="005C1078"/>
    <w:rsid w:val="005C1490"/>
    <w:rsid w:val="005C1767"/>
    <w:rsid w:val="005C1947"/>
    <w:rsid w:val="005C28A5"/>
    <w:rsid w:val="005C2BD7"/>
    <w:rsid w:val="005C2D6C"/>
    <w:rsid w:val="005C3958"/>
    <w:rsid w:val="005C40A1"/>
    <w:rsid w:val="005C42D0"/>
    <w:rsid w:val="005C4586"/>
    <w:rsid w:val="005C4619"/>
    <w:rsid w:val="005C48D9"/>
    <w:rsid w:val="005C4CB5"/>
    <w:rsid w:val="005C5BD9"/>
    <w:rsid w:val="005C6950"/>
    <w:rsid w:val="005C696D"/>
    <w:rsid w:val="005C73EB"/>
    <w:rsid w:val="005C7504"/>
    <w:rsid w:val="005C768D"/>
    <w:rsid w:val="005C7822"/>
    <w:rsid w:val="005C7C1A"/>
    <w:rsid w:val="005C7E46"/>
    <w:rsid w:val="005C7E5F"/>
    <w:rsid w:val="005D07D7"/>
    <w:rsid w:val="005D0D2B"/>
    <w:rsid w:val="005D0D6B"/>
    <w:rsid w:val="005D0E40"/>
    <w:rsid w:val="005D1016"/>
    <w:rsid w:val="005D141F"/>
    <w:rsid w:val="005D1568"/>
    <w:rsid w:val="005D1D72"/>
    <w:rsid w:val="005D2BC2"/>
    <w:rsid w:val="005D32B0"/>
    <w:rsid w:val="005D36D3"/>
    <w:rsid w:val="005D3F4F"/>
    <w:rsid w:val="005D400B"/>
    <w:rsid w:val="005D406B"/>
    <w:rsid w:val="005D42CA"/>
    <w:rsid w:val="005D46EC"/>
    <w:rsid w:val="005D4C0E"/>
    <w:rsid w:val="005D4CCC"/>
    <w:rsid w:val="005D4DA6"/>
    <w:rsid w:val="005D53C2"/>
    <w:rsid w:val="005D558B"/>
    <w:rsid w:val="005D61D3"/>
    <w:rsid w:val="005D6419"/>
    <w:rsid w:val="005D6BE7"/>
    <w:rsid w:val="005D6C7F"/>
    <w:rsid w:val="005D6F0D"/>
    <w:rsid w:val="005D7312"/>
    <w:rsid w:val="005D757C"/>
    <w:rsid w:val="005D7668"/>
    <w:rsid w:val="005D7E72"/>
    <w:rsid w:val="005E0472"/>
    <w:rsid w:val="005E0771"/>
    <w:rsid w:val="005E1395"/>
    <w:rsid w:val="005E16D4"/>
    <w:rsid w:val="005E1B14"/>
    <w:rsid w:val="005E1E2B"/>
    <w:rsid w:val="005E1E95"/>
    <w:rsid w:val="005E2369"/>
    <w:rsid w:val="005E262B"/>
    <w:rsid w:val="005E26A6"/>
    <w:rsid w:val="005E27C3"/>
    <w:rsid w:val="005E27E7"/>
    <w:rsid w:val="005E2F10"/>
    <w:rsid w:val="005E30B8"/>
    <w:rsid w:val="005E385B"/>
    <w:rsid w:val="005E39DA"/>
    <w:rsid w:val="005E3EC4"/>
    <w:rsid w:val="005E40BF"/>
    <w:rsid w:val="005E4113"/>
    <w:rsid w:val="005E42EC"/>
    <w:rsid w:val="005E431D"/>
    <w:rsid w:val="005E4C78"/>
    <w:rsid w:val="005E4FB0"/>
    <w:rsid w:val="005E50DC"/>
    <w:rsid w:val="005E5594"/>
    <w:rsid w:val="005E58CF"/>
    <w:rsid w:val="005E5E9E"/>
    <w:rsid w:val="005E61C9"/>
    <w:rsid w:val="005E6352"/>
    <w:rsid w:val="005E64B5"/>
    <w:rsid w:val="005E6617"/>
    <w:rsid w:val="005E6EBD"/>
    <w:rsid w:val="005E6F80"/>
    <w:rsid w:val="005E70E7"/>
    <w:rsid w:val="005E7952"/>
    <w:rsid w:val="005F07D8"/>
    <w:rsid w:val="005F0E72"/>
    <w:rsid w:val="005F1427"/>
    <w:rsid w:val="005F1F08"/>
    <w:rsid w:val="005F23AD"/>
    <w:rsid w:val="005F339F"/>
    <w:rsid w:val="005F34AE"/>
    <w:rsid w:val="005F3685"/>
    <w:rsid w:val="005F38BC"/>
    <w:rsid w:val="005F4119"/>
    <w:rsid w:val="005F446F"/>
    <w:rsid w:val="005F470C"/>
    <w:rsid w:val="005F521F"/>
    <w:rsid w:val="005F536B"/>
    <w:rsid w:val="005F5509"/>
    <w:rsid w:val="005F578B"/>
    <w:rsid w:val="005F5BAD"/>
    <w:rsid w:val="005F6016"/>
    <w:rsid w:val="005F65D6"/>
    <w:rsid w:val="005F68E7"/>
    <w:rsid w:val="005F708B"/>
    <w:rsid w:val="005F77ED"/>
    <w:rsid w:val="005F7A43"/>
    <w:rsid w:val="005F7BF5"/>
    <w:rsid w:val="005F7D8B"/>
    <w:rsid w:val="00600497"/>
    <w:rsid w:val="00600921"/>
    <w:rsid w:val="00600D06"/>
    <w:rsid w:val="00600F6F"/>
    <w:rsid w:val="00601320"/>
    <w:rsid w:val="006017E2"/>
    <w:rsid w:val="00601D23"/>
    <w:rsid w:val="00601F55"/>
    <w:rsid w:val="006020B2"/>
    <w:rsid w:val="006021DF"/>
    <w:rsid w:val="006023F8"/>
    <w:rsid w:val="0060282D"/>
    <w:rsid w:val="00602A93"/>
    <w:rsid w:val="00602AD7"/>
    <w:rsid w:val="00602E53"/>
    <w:rsid w:val="00603680"/>
    <w:rsid w:val="00604046"/>
    <w:rsid w:val="00604154"/>
    <w:rsid w:val="00606669"/>
    <w:rsid w:val="006068DE"/>
    <w:rsid w:val="00606AFC"/>
    <w:rsid w:val="00606FB0"/>
    <w:rsid w:val="00607122"/>
    <w:rsid w:val="0060740E"/>
    <w:rsid w:val="00607E31"/>
    <w:rsid w:val="006105C7"/>
    <w:rsid w:val="00610798"/>
    <w:rsid w:val="006107EF"/>
    <w:rsid w:val="006109D2"/>
    <w:rsid w:val="006111EE"/>
    <w:rsid w:val="0061127F"/>
    <w:rsid w:val="00611406"/>
    <w:rsid w:val="00611855"/>
    <w:rsid w:val="006119C3"/>
    <w:rsid w:val="00611EBC"/>
    <w:rsid w:val="00611F44"/>
    <w:rsid w:val="00611F7B"/>
    <w:rsid w:val="006128A6"/>
    <w:rsid w:val="006129D0"/>
    <w:rsid w:val="00612A0C"/>
    <w:rsid w:val="00613584"/>
    <w:rsid w:val="0061366C"/>
    <w:rsid w:val="00613D46"/>
    <w:rsid w:val="00613D4E"/>
    <w:rsid w:val="00613DA8"/>
    <w:rsid w:val="00613E18"/>
    <w:rsid w:val="00614535"/>
    <w:rsid w:val="00614566"/>
    <w:rsid w:val="0061512B"/>
    <w:rsid w:val="006153CE"/>
    <w:rsid w:val="00615747"/>
    <w:rsid w:val="00615A4E"/>
    <w:rsid w:val="00615D5F"/>
    <w:rsid w:val="00615E44"/>
    <w:rsid w:val="00616B9E"/>
    <w:rsid w:val="00616EF4"/>
    <w:rsid w:val="00616F66"/>
    <w:rsid w:val="0061702F"/>
    <w:rsid w:val="006176B8"/>
    <w:rsid w:val="006178E5"/>
    <w:rsid w:val="0062036F"/>
    <w:rsid w:val="0062092C"/>
    <w:rsid w:val="00620A0C"/>
    <w:rsid w:val="006212E6"/>
    <w:rsid w:val="00621E98"/>
    <w:rsid w:val="00622085"/>
    <w:rsid w:val="0062218F"/>
    <w:rsid w:val="00622767"/>
    <w:rsid w:val="00622918"/>
    <w:rsid w:val="006229D4"/>
    <w:rsid w:val="00622BC0"/>
    <w:rsid w:val="00622C54"/>
    <w:rsid w:val="00622FCB"/>
    <w:rsid w:val="00623965"/>
    <w:rsid w:val="00623CD2"/>
    <w:rsid w:val="00623E7F"/>
    <w:rsid w:val="00623E8F"/>
    <w:rsid w:val="006240A3"/>
    <w:rsid w:val="0062436F"/>
    <w:rsid w:val="00624828"/>
    <w:rsid w:val="00624D16"/>
    <w:rsid w:val="0062532A"/>
    <w:rsid w:val="00625C47"/>
    <w:rsid w:val="00626AC8"/>
    <w:rsid w:val="00626C6A"/>
    <w:rsid w:val="00627114"/>
    <w:rsid w:val="006272C5"/>
    <w:rsid w:val="0062763B"/>
    <w:rsid w:val="00627B0C"/>
    <w:rsid w:val="00630012"/>
    <w:rsid w:val="0063037F"/>
    <w:rsid w:val="006304EB"/>
    <w:rsid w:val="00630535"/>
    <w:rsid w:val="00631299"/>
    <w:rsid w:val="006312DC"/>
    <w:rsid w:val="0063194E"/>
    <w:rsid w:val="00631FAC"/>
    <w:rsid w:val="00632100"/>
    <w:rsid w:val="00632D82"/>
    <w:rsid w:val="00633420"/>
    <w:rsid w:val="006337EA"/>
    <w:rsid w:val="006340B9"/>
    <w:rsid w:val="00634903"/>
    <w:rsid w:val="00634A15"/>
    <w:rsid w:val="00634A84"/>
    <w:rsid w:val="00634BFC"/>
    <w:rsid w:val="00634DAB"/>
    <w:rsid w:val="00634F12"/>
    <w:rsid w:val="00634FC7"/>
    <w:rsid w:val="00634FD1"/>
    <w:rsid w:val="006356BA"/>
    <w:rsid w:val="006361BC"/>
    <w:rsid w:val="00636531"/>
    <w:rsid w:val="00636659"/>
    <w:rsid w:val="00636AB3"/>
    <w:rsid w:val="00636B4A"/>
    <w:rsid w:val="00636D3D"/>
    <w:rsid w:val="00636D5D"/>
    <w:rsid w:val="0063728A"/>
    <w:rsid w:val="00637941"/>
    <w:rsid w:val="00637E48"/>
    <w:rsid w:val="00640159"/>
    <w:rsid w:val="00640245"/>
    <w:rsid w:val="006402C7"/>
    <w:rsid w:val="006406D8"/>
    <w:rsid w:val="00640909"/>
    <w:rsid w:val="00640A26"/>
    <w:rsid w:val="006410F0"/>
    <w:rsid w:val="006414F2"/>
    <w:rsid w:val="00641529"/>
    <w:rsid w:val="0064291B"/>
    <w:rsid w:val="00642C27"/>
    <w:rsid w:val="0064308B"/>
    <w:rsid w:val="006439A2"/>
    <w:rsid w:val="00643C9A"/>
    <w:rsid w:val="006442F7"/>
    <w:rsid w:val="00644B37"/>
    <w:rsid w:val="006452B0"/>
    <w:rsid w:val="00645F63"/>
    <w:rsid w:val="006462CD"/>
    <w:rsid w:val="0064667E"/>
    <w:rsid w:val="00646873"/>
    <w:rsid w:val="00646F65"/>
    <w:rsid w:val="00647046"/>
    <w:rsid w:val="0064751E"/>
    <w:rsid w:val="006476D3"/>
    <w:rsid w:val="00647F54"/>
    <w:rsid w:val="0065062F"/>
    <w:rsid w:val="00650B52"/>
    <w:rsid w:val="00650BB9"/>
    <w:rsid w:val="00650FE1"/>
    <w:rsid w:val="00651291"/>
    <w:rsid w:val="0065168F"/>
    <w:rsid w:val="00651874"/>
    <w:rsid w:val="00651EB0"/>
    <w:rsid w:val="0065280E"/>
    <w:rsid w:val="00652842"/>
    <w:rsid w:val="0065349F"/>
    <w:rsid w:val="00653553"/>
    <w:rsid w:val="00653917"/>
    <w:rsid w:val="00653EEA"/>
    <w:rsid w:val="0065423E"/>
    <w:rsid w:val="0065457E"/>
    <w:rsid w:val="00654CF2"/>
    <w:rsid w:val="00654F19"/>
    <w:rsid w:val="0065539A"/>
    <w:rsid w:val="006560ED"/>
    <w:rsid w:val="00656F30"/>
    <w:rsid w:val="00657069"/>
    <w:rsid w:val="006572AB"/>
    <w:rsid w:val="00657A5C"/>
    <w:rsid w:val="00660511"/>
    <w:rsid w:val="006605B8"/>
    <w:rsid w:val="006608E3"/>
    <w:rsid w:val="00660E46"/>
    <w:rsid w:val="0066150B"/>
    <w:rsid w:val="00661DF0"/>
    <w:rsid w:val="00661E8D"/>
    <w:rsid w:val="00662235"/>
    <w:rsid w:val="00662374"/>
    <w:rsid w:val="00662531"/>
    <w:rsid w:val="00662F2F"/>
    <w:rsid w:val="0066302A"/>
    <w:rsid w:val="00663B27"/>
    <w:rsid w:val="00664161"/>
    <w:rsid w:val="0066425F"/>
    <w:rsid w:val="00664477"/>
    <w:rsid w:val="00664C74"/>
    <w:rsid w:val="00665443"/>
    <w:rsid w:val="00665554"/>
    <w:rsid w:val="00665AD9"/>
    <w:rsid w:val="00665B77"/>
    <w:rsid w:val="00665D6A"/>
    <w:rsid w:val="006663CB"/>
    <w:rsid w:val="0066648D"/>
    <w:rsid w:val="00666930"/>
    <w:rsid w:val="00666ED4"/>
    <w:rsid w:val="00667357"/>
    <w:rsid w:val="006678F5"/>
    <w:rsid w:val="00667BD5"/>
    <w:rsid w:val="00670304"/>
    <w:rsid w:val="00670529"/>
    <w:rsid w:val="006709A3"/>
    <w:rsid w:val="00670FE8"/>
    <w:rsid w:val="00671081"/>
    <w:rsid w:val="0067160B"/>
    <w:rsid w:val="00671830"/>
    <w:rsid w:val="00671ACB"/>
    <w:rsid w:val="00671B1C"/>
    <w:rsid w:val="00671BB5"/>
    <w:rsid w:val="00671E1A"/>
    <w:rsid w:val="00671F08"/>
    <w:rsid w:val="00672426"/>
    <w:rsid w:val="00672710"/>
    <w:rsid w:val="00672FA8"/>
    <w:rsid w:val="006730CD"/>
    <w:rsid w:val="006733D0"/>
    <w:rsid w:val="0067377C"/>
    <w:rsid w:val="006737F1"/>
    <w:rsid w:val="006738EE"/>
    <w:rsid w:val="006751FA"/>
    <w:rsid w:val="0067521A"/>
    <w:rsid w:val="00675961"/>
    <w:rsid w:val="00675FB9"/>
    <w:rsid w:val="0067601B"/>
    <w:rsid w:val="00676095"/>
    <w:rsid w:val="0067689F"/>
    <w:rsid w:val="0067711F"/>
    <w:rsid w:val="00677B86"/>
    <w:rsid w:val="0068031E"/>
    <w:rsid w:val="006805FF"/>
    <w:rsid w:val="00680669"/>
    <w:rsid w:val="00680E9A"/>
    <w:rsid w:val="00681070"/>
    <w:rsid w:val="00681D23"/>
    <w:rsid w:val="00681D37"/>
    <w:rsid w:val="00681DED"/>
    <w:rsid w:val="006822AA"/>
    <w:rsid w:val="00682345"/>
    <w:rsid w:val="0068235D"/>
    <w:rsid w:val="006826E5"/>
    <w:rsid w:val="006829C9"/>
    <w:rsid w:val="00682B5F"/>
    <w:rsid w:val="00682C9E"/>
    <w:rsid w:val="00682CF5"/>
    <w:rsid w:val="00682EC8"/>
    <w:rsid w:val="006831BE"/>
    <w:rsid w:val="0068324F"/>
    <w:rsid w:val="006832A2"/>
    <w:rsid w:val="006832AA"/>
    <w:rsid w:val="006832BE"/>
    <w:rsid w:val="0068383A"/>
    <w:rsid w:val="00683B19"/>
    <w:rsid w:val="00683F3A"/>
    <w:rsid w:val="006849F6"/>
    <w:rsid w:val="00684FB4"/>
    <w:rsid w:val="00685492"/>
    <w:rsid w:val="0068564B"/>
    <w:rsid w:val="00686785"/>
    <w:rsid w:val="00686D38"/>
    <w:rsid w:val="00686D70"/>
    <w:rsid w:val="00687B1C"/>
    <w:rsid w:val="00687D72"/>
    <w:rsid w:val="00690134"/>
    <w:rsid w:val="0069022E"/>
    <w:rsid w:val="006906F1"/>
    <w:rsid w:val="00690E42"/>
    <w:rsid w:val="00691342"/>
    <w:rsid w:val="00691DFF"/>
    <w:rsid w:val="006926EB"/>
    <w:rsid w:val="00692DD1"/>
    <w:rsid w:val="0069322D"/>
    <w:rsid w:val="00693288"/>
    <w:rsid w:val="0069334D"/>
    <w:rsid w:val="00693ADE"/>
    <w:rsid w:val="00693D9B"/>
    <w:rsid w:val="00693E8E"/>
    <w:rsid w:val="00694B70"/>
    <w:rsid w:val="00694D7D"/>
    <w:rsid w:val="00694DE8"/>
    <w:rsid w:val="0069540E"/>
    <w:rsid w:val="00695BEA"/>
    <w:rsid w:val="00695EBA"/>
    <w:rsid w:val="00696609"/>
    <w:rsid w:val="00696E9C"/>
    <w:rsid w:val="00696F28"/>
    <w:rsid w:val="00696F59"/>
    <w:rsid w:val="0069720B"/>
    <w:rsid w:val="00697939"/>
    <w:rsid w:val="006A0979"/>
    <w:rsid w:val="006A09D6"/>
    <w:rsid w:val="006A0A4A"/>
    <w:rsid w:val="006A0E05"/>
    <w:rsid w:val="006A0FD6"/>
    <w:rsid w:val="006A1989"/>
    <w:rsid w:val="006A1E28"/>
    <w:rsid w:val="006A1E55"/>
    <w:rsid w:val="006A1E58"/>
    <w:rsid w:val="006A3356"/>
    <w:rsid w:val="006A3A5A"/>
    <w:rsid w:val="006A3BA4"/>
    <w:rsid w:val="006A40D8"/>
    <w:rsid w:val="006A47B1"/>
    <w:rsid w:val="006A49AE"/>
    <w:rsid w:val="006A4DD7"/>
    <w:rsid w:val="006A5231"/>
    <w:rsid w:val="006A52B9"/>
    <w:rsid w:val="006A5562"/>
    <w:rsid w:val="006A57C4"/>
    <w:rsid w:val="006A5B6D"/>
    <w:rsid w:val="006A5D0F"/>
    <w:rsid w:val="006A611A"/>
    <w:rsid w:val="006A65A5"/>
    <w:rsid w:val="006A65AB"/>
    <w:rsid w:val="006A754F"/>
    <w:rsid w:val="006B014A"/>
    <w:rsid w:val="006B03C9"/>
    <w:rsid w:val="006B06A0"/>
    <w:rsid w:val="006B0790"/>
    <w:rsid w:val="006B08CD"/>
    <w:rsid w:val="006B09A9"/>
    <w:rsid w:val="006B0CBD"/>
    <w:rsid w:val="006B0F81"/>
    <w:rsid w:val="006B122E"/>
    <w:rsid w:val="006B1442"/>
    <w:rsid w:val="006B174A"/>
    <w:rsid w:val="006B1C23"/>
    <w:rsid w:val="006B2239"/>
    <w:rsid w:val="006B2374"/>
    <w:rsid w:val="006B270F"/>
    <w:rsid w:val="006B2F1A"/>
    <w:rsid w:val="006B3A4A"/>
    <w:rsid w:val="006B3EDF"/>
    <w:rsid w:val="006B3F9A"/>
    <w:rsid w:val="006B4284"/>
    <w:rsid w:val="006B4836"/>
    <w:rsid w:val="006B4DC5"/>
    <w:rsid w:val="006B4DCB"/>
    <w:rsid w:val="006B4F71"/>
    <w:rsid w:val="006B5F50"/>
    <w:rsid w:val="006B60EF"/>
    <w:rsid w:val="006B6B74"/>
    <w:rsid w:val="006B6C5C"/>
    <w:rsid w:val="006B6F60"/>
    <w:rsid w:val="006B7258"/>
    <w:rsid w:val="006B7AA9"/>
    <w:rsid w:val="006C0002"/>
    <w:rsid w:val="006C04E6"/>
    <w:rsid w:val="006C04EE"/>
    <w:rsid w:val="006C1277"/>
    <w:rsid w:val="006C1480"/>
    <w:rsid w:val="006C1675"/>
    <w:rsid w:val="006C187F"/>
    <w:rsid w:val="006C18E7"/>
    <w:rsid w:val="006C1F1B"/>
    <w:rsid w:val="006C279E"/>
    <w:rsid w:val="006C2ED3"/>
    <w:rsid w:val="006C322B"/>
    <w:rsid w:val="006C34C0"/>
    <w:rsid w:val="006C3C54"/>
    <w:rsid w:val="006C3D7F"/>
    <w:rsid w:val="006C453A"/>
    <w:rsid w:val="006C4777"/>
    <w:rsid w:val="006C52EE"/>
    <w:rsid w:val="006C558B"/>
    <w:rsid w:val="006C579D"/>
    <w:rsid w:val="006C5ACC"/>
    <w:rsid w:val="006C5E2E"/>
    <w:rsid w:val="006C5E3A"/>
    <w:rsid w:val="006C5F62"/>
    <w:rsid w:val="006C67E5"/>
    <w:rsid w:val="006C6B3A"/>
    <w:rsid w:val="006C74FF"/>
    <w:rsid w:val="006C7F04"/>
    <w:rsid w:val="006D0362"/>
    <w:rsid w:val="006D078C"/>
    <w:rsid w:val="006D093A"/>
    <w:rsid w:val="006D09BD"/>
    <w:rsid w:val="006D0C21"/>
    <w:rsid w:val="006D0CA6"/>
    <w:rsid w:val="006D0F49"/>
    <w:rsid w:val="006D0FAC"/>
    <w:rsid w:val="006D384A"/>
    <w:rsid w:val="006D38E5"/>
    <w:rsid w:val="006D3D24"/>
    <w:rsid w:val="006D3E64"/>
    <w:rsid w:val="006D40D4"/>
    <w:rsid w:val="006D442F"/>
    <w:rsid w:val="006D484B"/>
    <w:rsid w:val="006D4A3C"/>
    <w:rsid w:val="006D54AE"/>
    <w:rsid w:val="006D571D"/>
    <w:rsid w:val="006D5D00"/>
    <w:rsid w:val="006D5D06"/>
    <w:rsid w:val="006D6005"/>
    <w:rsid w:val="006D628A"/>
    <w:rsid w:val="006D65F1"/>
    <w:rsid w:val="006D6752"/>
    <w:rsid w:val="006D7C53"/>
    <w:rsid w:val="006D7CA0"/>
    <w:rsid w:val="006D7FC0"/>
    <w:rsid w:val="006E00AE"/>
    <w:rsid w:val="006E021E"/>
    <w:rsid w:val="006E036F"/>
    <w:rsid w:val="006E05B3"/>
    <w:rsid w:val="006E0BC0"/>
    <w:rsid w:val="006E12D3"/>
    <w:rsid w:val="006E1BB2"/>
    <w:rsid w:val="006E1C12"/>
    <w:rsid w:val="006E1CCC"/>
    <w:rsid w:val="006E2086"/>
    <w:rsid w:val="006E22F3"/>
    <w:rsid w:val="006E2907"/>
    <w:rsid w:val="006E2A12"/>
    <w:rsid w:val="006E2EC6"/>
    <w:rsid w:val="006E3123"/>
    <w:rsid w:val="006E3236"/>
    <w:rsid w:val="006E36EF"/>
    <w:rsid w:val="006E4031"/>
    <w:rsid w:val="006E44D8"/>
    <w:rsid w:val="006E59DC"/>
    <w:rsid w:val="006E5BE1"/>
    <w:rsid w:val="006E5C1E"/>
    <w:rsid w:val="006E65B3"/>
    <w:rsid w:val="006E6F00"/>
    <w:rsid w:val="006E7172"/>
    <w:rsid w:val="006E71C0"/>
    <w:rsid w:val="006E71D9"/>
    <w:rsid w:val="006E734E"/>
    <w:rsid w:val="006E74F2"/>
    <w:rsid w:val="006E7D73"/>
    <w:rsid w:val="006E7EAC"/>
    <w:rsid w:val="006F0124"/>
    <w:rsid w:val="006F0636"/>
    <w:rsid w:val="006F0C35"/>
    <w:rsid w:val="006F0C87"/>
    <w:rsid w:val="006F1241"/>
    <w:rsid w:val="006F1457"/>
    <w:rsid w:val="006F17F7"/>
    <w:rsid w:val="006F1B1A"/>
    <w:rsid w:val="006F2228"/>
    <w:rsid w:val="006F25B6"/>
    <w:rsid w:val="006F2884"/>
    <w:rsid w:val="006F2D7E"/>
    <w:rsid w:val="006F371C"/>
    <w:rsid w:val="006F3CD3"/>
    <w:rsid w:val="006F3D70"/>
    <w:rsid w:val="006F3F08"/>
    <w:rsid w:val="006F3F85"/>
    <w:rsid w:val="006F4071"/>
    <w:rsid w:val="006F4516"/>
    <w:rsid w:val="006F4ADF"/>
    <w:rsid w:val="006F4AE2"/>
    <w:rsid w:val="006F4B80"/>
    <w:rsid w:val="006F5013"/>
    <w:rsid w:val="006F51AC"/>
    <w:rsid w:val="006F5AE0"/>
    <w:rsid w:val="006F6393"/>
    <w:rsid w:val="006F6D8E"/>
    <w:rsid w:val="006F7FC5"/>
    <w:rsid w:val="007004B1"/>
    <w:rsid w:val="00700BB0"/>
    <w:rsid w:val="00700CAA"/>
    <w:rsid w:val="00700CE1"/>
    <w:rsid w:val="007019DF"/>
    <w:rsid w:val="00701B90"/>
    <w:rsid w:val="0070243C"/>
    <w:rsid w:val="00702921"/>
    <w:rsid w:val="00702B01"/>
    <w:rsid w:val="00702C05"/>
    <w:rsid w:val="00703780"/>
    <w:rsid w:val="00703B36"/>
    <w:rsid w:val="00703FFF"/>
    <w:rsid w:val="0070432F"/>
    <w:rsid w:val="00704854"/>
    <w:rsid w:val="00704C96"/>
    <w:rsid w:val="007055F6"/>
    <w:rsid w:val="007056F9"/>
    <w:rsid w:val="00705AC7"/>
    <w:rsid w:val="00705CE7"/>
    <w:rsid w:val="00705F3D"/>
    <w:rsid w:val="00706360"/>
    <w:rsid w:val="00706D5B"/>
    <w:rsid w:val="00706DB3"/>
    <w:rsid w:val="00707B78"/>
    <w:rsid w:val="00710318"/>
    <w:rsid w:val="00710732"/>
    <w:rsid w:val="0071094D"/>
    <w:rsid w:val="007109BA"/>
    <w:rsid w:val="00710D3A"/>
    <w:rsid w:val="00710E7E"/>
    <w:rsid w:val="0071127B"/>
    <w:rsid w:val="007113A2"/>
    <w:rsid w:val="00711C37"/>
    <w:rsid w:val="00711E45"/>
    <w:rsid w:val="007122D4"/>
    <w:rsid w:val="007124A6"/>
    <w:rsid w:val="007124F8"/>
    <w:rsid w:val="0071264A"/>
    <w:rsid w:val="0071317D"/>
    <w:rsid w:val="0071381D"/>
    <w:rsid w:val="00713A26"/>
    <w:rsid w:val="00714365"/>
    <w:rsid w:val="007144AE"/>
    <w:rsid w:val="00714B30"/>
    <w:rsid w:val="00714C4E"/>
    <w:rsid w:val="00714D28"/>
    <w:rsid w:val="007151EF"/>
    <w:rsid w:val="007152DF"/>
    <w:rsid w:val="0071531B"/>
    <w:rsid w:val="0071550C"/>
    <w:rsid w:val="007160AE"/>
    <w:rsid w:val="007161A8"/>
    <w:rsid w:val="007163E2"/>
    <w:rsid w:val="00716444"/>
    <w:rsid w:val="0071657D"/>
    <w:rsid w:val="0071663C"/>
    <w:rsid w:val="00716890"/>
    <w:rsid w:val="00716AE6"/>
    <w:rsid w:val="00716B49"/>
    <w:rsid w:val="00716ED8"/>
    <w:rsid w:val="00716F04"/>
    <w:rsid w:val="00716FBE"/>
    <w:rsid w:val="0071712C"/>
    <w:rsid w:val="0071792D"/>
    <w:rsid w:val="00717BAF"/>
    <w:rsid w:val="00720464"/>
    <w:rsid w:val="00720552"/>
    <w:rsid w:val="00720D80"/>
    <w:rsid w:val="0072124A"/>
    <w:rsid w:val="00721301"/>
    <w:rsid w:val="007217AC"/>
    <w:rsid w:val="00721A8D"/>
    <w:rsid w:val="00721D09"/>
    <w:rsid w:val="00722031"/>
    <w:rsid w:val="00722837"/>
    <w:rsid w:val="007228E1"/>
    <w:rsid w:val="00722B84"/>
    <w:rsid w:val="00722DBF"/>
    <w:rsid w:val="00723261"/>
    <w:rsid w:val="00723A42"/>
    <w:rsid w:val="00723EC0"/>
    <w:rsid w:val="00724738"/>
    <w:rsid w:val="007250D4"/>
    <w:rsid w:val="0072553E"/>
    <w:rsid w:val="007255FB"/>
    <w:rsid w:val="00725902"/>
    <w:rsid w:val="00725947"/>
    <w:rsid w:val="00725E6E"/>
    <w:rsid w:val="0072673B"/>
    <w:rsid w:val="00726BF3"/>
    <w:rsid w:val="00726DAC"/>
    <w:rsid w:val="00726EA5"/>
    <w:rsid w:val="00726EAD"/>
    <w:rsid w:val="00727092"/>
    <w:rsid w:val="007270C3"/>
    <w:rsid w:val="007276E5"/>
    <w:rsid w:val="00727879"/>
    <w:rsid w:val="00727AC7"/>
    <w:rsid w:val="007305E4"/>
    <w:rsid w:val="00730B0B"/>
    <w:rsid w:val="00730FE6"/>
    <w:rsid w:val="007310D5"/>
    <w:rsid w:val="0073125C"/>
    <w:rsid w:val="007313EB"/>
    <w:rsid w:val="007315F6"/>
    <w:rsid w:val="00731BFF"/>
    <w:rsid w:val="00732401"/>
    <w:rsid w:val="00732AEE"/>
    <w:rsid w:val="00732D3D"/>
    <w:rsid w:val="0073347F"/>
    <w:rsid w:val="0073350C"/>
    <w:rsid w:val="0073377E"/>
    <w:rsid w:val="00733A12"/>
    <w:rsid w:val="00733A22"/>
    <w:rsid w:val="00733B28"/>
    <w:rsid w:val="0073493B"/>
    <w:rsid w:val="00735422"/>
    <w:rsid w:val="00735532"/>
    <w:rsid w:val="0073632E"/>
    <w:rsid w:val="007370E3"/>
    <w:rsid w:val="007375B1"/>
    <w:rsid w:val="00737AD4"/>
    <w:rsid w:val="0074084F"/>
    <w:rsid w:val="00741071"/>
    <w:rsid w:val="00741357"/>
    <w:rsid w:val="007419B3"/>
    <w:rsid w:val="00741C68"/>
    <w:rsid w:val="0074247E"/>
    <w:rsid w:val="007426D1"/>
    <w:rsid w:val="00742850"/>
    <w:rsid w:val="00742E5F"/>
    <w:rsid w:val="00742F59"/>
    <w:rsid w:val="00744C58"/>
    <w:rsid w:val="00745630"/>
    <w:rsid w:val="00745692"/>
    <w:rsid w:val="00745FA3"/>
    <w:rsid w:val="00746317"/>
    <w:rsid w:val="00746454"/>
    <w:rsid w:val="00746496"/>
    <w:rsid w:val="00746E4C"/>
    <w:rsid w:val="00747468"/>
    <w:rsid w:val="00747AD3"/>
    <w:rsid w:val="00747D92"/>
    <w:rsid w:val="00750533"/>
    <w:rsid w:val="007505C4"/>
    <w:rsid w:val="00750760"/>
    <w:rsid w:val="00750861"/>
    <w:rsid w:val="00751F83"/>
    <w:rsid w:val="00752960"/>
    <w:rsid w:val="00752B7A"/>
    <w:rsid w:val="007536F3"/>
    <w:rsid w:val="00753E10"/>
    <w:rsid w:val="00754086"/>
    <w:rsid w:val="007540C1"/>
    <w:rsid w:val="007548B5"/>
    <w:rsid w:val="00754947"/>
    <w:rsid w:val="00754B24"/>
    <w:rsid w:val="0075507D"/>
    <w:rsid w:val="00755193"/>
    <w:rsid w:val="0075548B"/>
    <w:rsid w:val="007554C5"/>
    <w:rsid w:val="007556BD"/>
    <w:rsid w:val="007566FC"/>
    <w:rsid w:val="007567E9"/>
    <w:rsid w:val="00756D8E"/>
    <w:rsid w:val="0075704D"/>
    <w:rsid w:val="007577E5"/>
    <w:rsid w:val="00757A26"/>
    <w:rsid w:val="00757C69"/>
    <w:rsid w:val="00760165"/>
    <w:rsid w:val="00760201"/>
    <w:rsid w:val="00760A4D"/>
    <w:rsid w:val="00760B98"/>
    <w:rsid w:val="00761B47"/>
    <w:rsid w:val="00761DA0"/>
    <w:rsid w:val="007621B7"/>
    <w:rsid w:val="0076230B"/>
    <w:rsid w:val="00762A84"/>
    <w:rsid w:val="00763143"/>
    <w:rsid w:val="007632DC"/>
    <w:rsid w:val="00763D7F"/>
    <w:rsid w:val="00764A64"/>
    <w:rsid w:val="00764B28"/>
    <w:rsid w:val="00764C92"/>
    <w:rsid w:val="00764EF1"/>
    <w:rsid w:val="00765991"/>
    <w:rsid w:val="00765FF5"/>
    <w:rsid w:val="00766604"/>
    <w:rsid w:val="00766706"/>
    <w:rsid w:val="00766E31"/>
    <w:rsid w:val="007672FC"/>
    <w:rsid w:val="00767604"/>
    <w:rsid w:val="00767921"/>
    <w:rsid w:val="0077041C"/>
    <w:rsid w:val="00770FF0"/>
    <w:rsid w:val="0077168F"/>
    <w:rsid w:val="007716F7"/>
    <w:rsid w:val="00771C65"/>
    <w:rsid w:val="00771DBD"/>
    <w:rsid w:val="00772004"/>
    <w:rsid w:val="0077206E"/>
    <w:rsid w:val="0077268F"/>
    <w:rsid w:val="00772B21"/>
    <w:rsid w:val="00772B87"/>
    <w:rsid w:val="00772C9B"/>
    <w:rsid w:val="00772DD7"/>
    <w:rsid w:val="00772F06"/>
    <w:rsid w:val="0077367B"/>
    <w:rsid w:val="00773947"/>
    <w:rsid w:val="00773FF6"/>
    <w:rsid w:val="007743E5"/>
    <w:rsid w:val="00774911"/>
    <w:rsid w:val="00774A57"/>
    <w:rsid w:val="00774C40"/>
    <w:rsid w:val="00775123"/>
    <w:rsid w:val="00775B6D"/>
    <w:rsid w:val="00775C2B"/>
    <w:rsid w:val="00775EFA"/>
    <w:rsid w:val="007762A7"/>
    <w:rsid w:val="00776377"/>
    <w:rsid w:val="00776535"/>
    <w:rsid w:val="00776A08"/>
    <w:rsid w:val="00776AAE"/>
    <w:rsid w:val="00776B38"/>
    <w:rsid w:val="00776D53"/>
    <w:rsid w:val="0077759F"/>
    <w:rsid w:val="00777BB5"/>
    <w:rsid w:val="00777EF9"/>
    <w:rsid w:val="0078056E"/>
    <w:rsid w:val="00780763"/>
    <w:rsid w:val="007809C3"/>
    <w:rsid w:val="00780A01"/>
    <w:rsid w:val="007810A1"/>
    <w:rsid w:val="00781113"/>
    <w:rsid w:val="00781200"/>
    <w:rsid w:val="007815DE"/>
    <w:rsid w:val="007819AD"/>
    <w:rsid w:val="00781DAE"/>
    <w:rsid w:val="00781DD4"/>
    <w:rsid w:val="00782056"/>
    <w:rsid w:val="00782487"/>
    <w:rsid w:val="007826D2"/>
    <w:rsid w:val="007827C4"/>
    <w:rsid w:val="007829E4"/>
    <w:rsid w:val="00782BAB"/>
    <w:rsid w:val="0078302A"/>
    <w:rsid w:val="007832E1"/>
    <w:rsid w:val="0078339D"/>
    <w:rsid w:val="00783596"/>
    <w:rsid w:val="0078512B"/>
    <w:rsid w:val="00785616"/>
    <w:rsid w:val="00785DA1"/>
    <w:rsid w:val="0079067D"/>
    <w:rsid w:val="00790C4B"/>
    <w:rsid w:val="00790D7A"/>
    <w:rsid w:val="00790EF7"/>
    <w:rsid w:val="00791497"/>
    <w:rsid w:val="00791DA3"/>
    <w:rsid w:val="00792086"/>
    <w:rsid w:val="00792C64"/>
    <w:rsid w:val="007934CF"/>
    <w:rsid w:val="0079413B"/>
    <w:rsid w:val="007942CB"/>
    <w:rsid w:val="00794B04"/>
    <w:rsid w:val="00794BA2"/>
    <w:rsid w:val="00794C02"/>
    <w:rsid w:val="00794E90"/>
    <w:rsid w:val="00794FD5"/>
    <w:rsid w:val="007951E4"/>
    <w:rsid w:val="00795493"/>
    <w:rsid w:val="0079582B"/>
    <w:rsid w:val="00795836"/>
    <w:rsid w:val="00795EC9"/>
    <w:rsid w:val="00796039"/>
    <w:rsid w:val="00796516"/>
    <w:rsid w:val="007965E6"/>
    <w:rsid w:val="0079794A"/>
    <w:rsid w:val="00797BC0"/>
    <w:rsid w:val="00797D35"/>
    <w:rsid w:val="007A00DE"/>
    <w:rsid w:val="007A011D"/>
    <w:rsid w:val="007A04AD"/>
    <w:rsid w:val="007A0867"/>
    <w:rsid w:val="007A099E"/>
    <w:rsid w:val="007A0E65"/>
    <w:rsid w:val="007A10BB"/>
    <w:rsid w:val="007A1463"/>
    <w:rsid w:val="007A20C1"/>
    <w:rsid w:val="007A247B"/>
    <w:rsid w:val="007A3914"/>
    <w:rsid w:val="007A3930"/>
    <w:rsid w:val="007A3D1B"/>
    <w:rsid w:val="007A3EAF"/>
    <w:rsid w:val="007A413F"/>
    <w:rsid w:val="007A44AD"/>
    <w:rsid w:val="007A44E4"/>
    <w:rsid w:val="007A4841"/>
    <w:rsid w:val="007A48D1"/>
    <w:rsid w:val="007A49E1"/>
    <w:rsid w:val="007A4C70"/>
    <w:rsid w:val="007A4F14"/>
    <w:rsid w:val="007A55DC"/>
    <w:rsid w:val="007A5917"/>
    <w:rsid w:val="007A5CE1"/>
    <w:rsid w:val="007A5DC2"/>
    <w:rsid w:val="007A6452"/>
    <w:rsid w:val="007A674E"/>
    <w:rsid w:val="007A67A4"/>
    <w:rsid w:val="007A68B6"/>
    <w:rsid w:val="007A6EB0"/>
    <w:rsid w:val="007A71D3"/>
    <w:rsid w:val="007A7F88"/>
    <w:rsid w:val="007B0550"/>
    <w:rsid w:val="007B07CA"/>
    <w:rsid w:val="007B08C6"/>
    <w:rsid w:val="007B0EF4"/>
    <w:rsid w:val="007B1023"/>
    <w:rsid w:val="007B1281"/>
    <w:rsid w:val="007B14DA"/>
    <w:rsid w:val="007B1B11"/>
    <w:rsid w:val="007B2424"/>
    <w:rsid w:val="007B2B68"/>
    <w:rsid w:val="007B2C73"/>
    <w:rsid w:val="007B3410"/>
    <w:rsid w:val="007B344D"/>
    <w:rsid w:val="007B3769"/>
    <w:rsid w:val="007B38A2"/>
    <w:rsid w:val="007B3972"/>
    <w:rsid w:val="007B4751"/>
    <w:rsid w:val="007B4770"/>
    <w:rsid w:val="007B47C2"/>
    <w:rsid w:val="007B4959"/>
    <w:rsid w:val="007B4D2A"/>
    <w:rsid w:val="007B52EA"/>
    <w:rsid w:val="007B5529"/>
    <w:rsid w:val="007B5AB4"/>
    <w:rsid w:val="007B5D98"/>
    <w:rsid w:val="007B6183"/>
    <w:rsid w:val="007B6632"/>
    <w:rsid w:val="007B681E"/>
    <w:rsid w:val="007B71AE"/>
    <w:rsid w:val="007B7967"/>
    <w:rsid w:val="007B799D"/>
    <w:rsid w:val="007B7DEC"/>
    <w:rsid w:val="007C035C"/>
    <w:rsid w:val="007C07F9"/>
    <w:rsid w:val="007C0883"/>
    <w:rsid w:val="007C0946"/>
    <w:rsid w:val="007C0A3F"/>
    <w:rsid w:val="007C0D69"/>
    <w:rsid w:val="007C1329"/>
    <w:rsid w:val="007C191F"/>
    <w:rsid w:val="007C1C6C"/>
    <w:rsid w:val="007C2BA3"/>
    <w:rsid w:val="007C3261"/>
    <w:rsid w:val="007C336F"/>
    <w:rsid w:val="007C37E8"/>
    <w:rsid w:val="007C3851"/>
    <w:rsid w:val="007C4093"/>
    <w:rsid w:val="007C457A"/>
    <w:rsid w:val="007C4707"/>
    <w:rsid w:val="007C5DEF"/>
    <w:rsid w:val="007C5F98"/>
    <w:rsid w:val="007C6377"/>
    <w:rsid w:val="007C6390"/>
    <w:rsid w:val="007C6471"/>
    <w:rsid w:val="007C6513"/>
    <w:rsid w:val="007C6538"/>
    <w:rsid w:val="007C6E0E"/>
    <w:rsid w:val="007C7B04"/>
    <w:rsid w:val="007C7B3C"/>
    <w:rsid w:val="007C7F66"/>
    <w:rsid w:val="007D0155"/>
    <w:rsid w:val="007D0ECC"/>
    <w:rsid w:val="007D11F6"/>
    <w:rsid w:val="007D14F9"/>
    <w:rsid w:val="007D18D8"/>
    <w:rsid w:val="007D2056"/>
    <w:rsid w:val="007D23B5"/>
    <w:rsid w:val="007D28E0"/>
    <w:rsid w:val="007D3828"/>
    <w:rsid w:val="007D3E9A"/>
    <w:rsid w:val="007D3F07"/>
    <w:rsid w:val="007D43E6"/>
    <w:rsid w:val="007D4423"/>
    <w:rsid w:val="007D4544"/>
    <w:rsid w:val="007D4886"/>
    <w:rsid w:val="007D4E77"/>
    <w:rsid w:val="007D4F6D"/>
    <w:rsid w:val="007D5130"/>
    <w:rsid w:val="007D535F"/>
    <w:rsid w:val="007D540F"/>
    <w:rsid w:val="007D57F9"/>
    <w:rsid w:val="007D5C00"/>
    <w:rsid w:val="007D5C40"/>
    <w:rsid w:val="007D5DAE"/>
    <w:rsid w:val="007D5F3E"/>
    <w:rsid w:val="007D652A"/>
    <w:rsid w:val="007D695D"/>
    <w:rsid w:val="007D6E11"/>
    <w:rsid w:val="007D7651"/>
    <w:rsid w:val="007D7738"/>
    <w:rsid w:val="007D7744"/>
    <w:rsid w:val="007D7892"/>
    <w:rsid w:val="007E0010"/>
    <w:rsid w:val="007E004C"/>
    <w:rsid w:val="007E0090"/>
    <w:rsid w:val="007E0908"/>
    <w:rsid w:val="007E0D77"/>
    <w:rsid w:val="007E0D91"/>
    <w:rsid w:val="007E0DEB"/>
    <w:rsid w:val="007E11BF"/>
    <w:rsid w:val="007E150C"/>
    <w:rsid w:val="007E1789"/>
    <w:rsid w:val="007E180B"/>
    <w:rsid w:val="007E1AF8"/>
    <w:rsid w:val="007E1B6B"/>
    <w:rsid w:val="007E1C53"/>
    <w:rsid w:val="007E2543"/>
    <w:rsid w:val="007E27AF"/>
    <w:rsid w:val="007E34C8"/>
    <w:rsid w:val="007E34DA"/>
    <w:rsid w:val="007E35AC"/>
    <w:rsid w:val="007E3941"/>
    <w:rsid w:val="007E3BC4"/>
    <w:rsid w:val="007E4649"/>
    <w:rsid w:val="007E4714"/>
    <w:rsid w:val="007E4F3D"/>
    <w:rsid w:val="007E59D0"/>
    <w:rsid w:val="007E5D37"/>
    <w:rsid w:val="007E5E6A"/>
    <w:rsid w:val="007E668B"/>
    <w:rsid w:val="007E6942"/>
    <w:rsid w:val="007E6BE0"/>
    <w:rsid w:val="007E7C08"/>
    <w:rsid w:val="007F0132"/>
    <w:rsid w:val="007F032F"/>
    <w:rsid w:val="007F04F4"/>
    <w:rsid w:val="007F054B"/>
    <w:rsid w:val="007F06CA"/>
    <w:rsid w:val="007F074A"/>
    <w:rsid w:val="007F12F1"/>
    <w:rsid w:val="007F14B8"/>
    <w:rsid w:val="007F1742"/>
    <w:rsid w:val="007F1B07"/>
    <w:rsid w:val="007F1DC7"/>
    <w:rsid w:val="007F1FF7"/>
    <w:rsid w:val="007F2B6A"/>
    <w:rsid w:val="007F2C58"/>
    <w:rsid w:val="007F2F11"/>
    <w:rsid w:val="007F32A0"/>
    <w:rsid w:val="007F357B"/>
    <w:rsid w:val="007F3AFA"/>
    <w:rsid w:val="007F4102"/>
    <w:rsid w:val="007F427E"/>
    <w:rsid w:val="007F4644"/>
    <w:rsid w:val="007F4949"/>
    <w:rsid w:val="007F4CB3"/>
    <w:rsid w:val="007F4E51"/>
    <w:rsid w:val="007F5FAC"/>
    <w:rsid w:val="007F5FC3"/>
    <w:rsid w:val="007F6293"/>
    <w:rsid w:val="007F641C"/>
    <w:rsid w:val="007F6441"/>
    <w:rsid w:val="007F68C7"/>
    <w:rsid w:val="007F6D1A"/>
    <w:rsid w:val="007F6D8D"/>
    <w:rsid w:val="007F70AA"/>
    <w:rsid w:val="007F7AC7"/>
    <w:rsid w:val="008000E5"/>
    <w:rsid w:val="008000FB"/>
    <w:rsid w:val="00800320"/>
    <w:rsid w:val="008013A7"/>
    <w:rsid w:val="008013F1"/>
    <w:rsid w:val="0080180A"/>
    <w:rsid w:val="00801D1F"/>
    <w:rsid w:val="008026A6"/>
    <w:rsid w:val="00802A86"/>
    <w:rsid w:val="00802EB1"/>
    <w:rsid w:val="00802EE9"/>
    <w:rsid w:val="00803E72"/>
    <w:rsid w:val="0080417F"/>
    <w:rsid w:val="008047C2"/>
    <w:rsid w:val="00804C2E"/>
    <w:rsid w:val="00804DED"/>
    <w:rsid w:val="00805EFD"/>
    <w:rsid w:val="0080615E"/>
    <w:rsid w:val="0080651E"/>
    <w:rsid w:val="0080656D"/>
    <w:rsid w:val="00806F29"/>
    <w:rsid w:val="008074CB"/>
    <w:rsid w:val="00807BFB"/>
    <w:rsid w:val="00810930"/>
    <w:rsid w:val="00810934"/>
    <w:rsid w:val="0081093E"/>
    <w:rsid w:val="00810E0A"/>
    <w:rsid w:val="008110A2"/>
    <w:rsid w:val="00811354"/>
    <w:rsid w:val="008114AB"/>
    <w:rsid w:val="00811C2D"/>
    <w:rsid w:val="00811C5F"/>
    <w:rsid w:val="008137F4"/>
    <w:rsid w:val="00814342"/>
    <w:rsid w:val="00814F27"/>
    <w:rsid w:val="008150DF"/>
    <w:rsid w:val="00815360"/>
    <w:rsid w:val="008159B8"/>
    <w:rsid w:val="00815E4A"/>
    <w:rsid w:val="00815ED8"/>
    <w:rsid w:val="008164FC"/>
    <w:rsid w:val="008167A1"/>
    <w:rsid w:val="0081699D"/>
    <w:rsid w:val="00816CEB"/>
    <w:rsid w:val="00816D1E"/>
    <w:rsid w:val="0081763F"/>
    <w:rsid w:val="00817976"/>
    <w:rsid w:val="00817AB2"/>
    <w:rsid w:val="00817EC6"/>
    <w:rsid w:val="008208AE"/>
    <w:rsid w:val="00820D94"/>
    <w:rsid w:val="00820E97"/>
    <w:rsid w:val="0082101B"/>
    <w:rsid w:val="00821CAB"/>
    <w:rsid w:val="008230F8"/>
    <w:rsid w:val="00823734"/>
    <w:rsid w:val="00823797"/>
    <w:rsid w:val="008240E2"/>
    <w:rsid w:val="008240F1"/>
    <w:rsid w:val="00824338"/>
    <w:rsid w:val="00824389"/>
    <w:rsid w:val="00824505"/>
    <w:rsid w:val="008245AB"/>
    <w:rsid w:val="00825170"/>
    <w:rsid w:val="008251CD"/>
    <w:rsid w:val="00825A62"/>
    <w:rsid w:val="00826F79"/>
    <w:rsid w:val="00827811"/>
    <w:rsid w:val="00827C1C"/>
    <w:rsid w:val="008303D4"/>
    <w:rsid w:val="00830887"/>
    <w:rsid w:val="0083097C"/>
    <w:rsid w:val="00830A4C"/>
    <w:rsid w:val="00831141"/>
    <w:rsid w:val="00831235"/>
    <w:rsid w:val="0083176A"/>
    <w:rsid w:val="00831D8F"/>
    <w:rsid w:val="00831FB5"/>
    <w:rsid w:val="00832442"/>
    <w:rsid w:val="00832C9D"/>
    <w:rsid w:val="00832E21"/>
    <w:rsid w:val="00833047"/>
    <w:rsid w:val="0083331E"/>
    <w:rsid w:val="00833746"/>
    <w:rsid w:val="008338F6"/>
    <w:rsid w:val="00833958"/>
    <w:rsid w:val="00833BEF"/>
    <w:rsid w:val="00833E13"/>
    <w:rsid w:val="008343A9"/>
    <w:rsid w:val="0083451B"/>
    <w:rsid w:val="008356D0"/>
    <w:rsid w:val="0083579B"/>
    <w:rsid w:val="0083592C"/>
    <w:rsid w:val="00835CE2"/>
    <w:rsid w:val="00835E85"/>
    <w:rsid w:val="0083673C"/>
    <w:rsid w:val="00836786"/>
    <w:rsid w:val="00836A99"/>
    <w:rsid w:val="00836F52"/>
    <w:rsid w:val="00837204"/>
    <w:rsid w:val="0083737B"/>
    <w:rsid w:val="00837FCD"/>
    <w:rsid w:val="00840036"/>
    <w:rsid w:val="00840DB0"/>
    <w:rsid w:val="00841A4F"/>
    <w:rsid w:val="00841AF8"/>
    <w:rsid w:val="00841CCA"/>
    <w:rsid w:val="00841D96"/>
    <w:rsid w:val="00842346"/>
    <w:rsid w:val="008426BA"/>
    <w:rsid w:val="008428FB"/>
    <w:rsid w:val="0084410F"/>
    <w:rsid w:val="008442AA"/>
    <w:rsid w:val="00844381"/>
    <w:rsid w:val="00844C3F"/>
    <w:rsid w:val="00844E41"/>
    <w:rsid w:val="0084506A"/>
    <w:rsid w:val="008450AE"/>
    <w:rsid w:val="008452BB"/>
    <w:rsid w:val="00845709"/>
    <w:rsid w:val="00845D52"/>
    <w:rsid w:val="008462F6"/>
    <w:rsid w:val="00846371"/>
    <w:rsid w:val="008465FA"/>
    <w:rsid w:val="0084673B"/>
    <w:rsid w:val="00846A7D"/>
    <w:rsid w:val="0084755D"/>
    <w:rsid w:val="00847748"/>
    <w:rsid w:val="00847A1C"/>
    <w:rsid w:val="008517DB"/>
    <w:rsid w:val="00851D5B"/>
    <w:rsid w:val="008521F4"/>
    <w:rsid w:val="008522AF"/>
    <w:rsid w:val="008525C3"/>
    <w:rsid w:val="00852952"/>
    <w:rsid w:val="00852AC1"/>
    <w:rsid w:val="00853060"/>
    <w:rsid w:val="008534C3"/>
    <w:rsid w:val="00853776"/>
    <w:rsid w:val="00853E5F"/>
    <w:rsid w:val="00854112"/>
    <w:rsid w:val="0085412D"/>
    <w:rsid w:val="008553F6"/>
    <w:rsid w:val="00855659"/>
    <w:rsid w:val="00855A2D"/>
    <w:rsid w:val="00855CAD"/>
    <w:rsid w:val="00855ECD"/>
    <w:rsid w:val="0085679C"/>
    <w:rsid w:val="00857128"/>
    <w:rsid w:val="00857363"/>
    <w:rsid w:val="0085788A"/>
    <w:rsid w:val="00857A1A"/>
    <w:rsid w:val="00857D5F"/>
    <w:rsid w:val="0086066C"/>
    <w:rsid w:val="00860C46"/>
    <w:rsid w:val="0086100A"/>
    <w:rsid w:val="008614C5"/>
    <w:rsid w:val="0086195D"/>
    <w:rsid w:val="00861F92"/>
    <w:rsid w:val="0086218A"/>
    <w:rsid w:val="008621D6"/>
    <w:rsid w:val="00862343"/>
    <w:rsid w:val="008623CE"/>
    <w:rsid w:val="00862FE6"/>
    <w:rsid w:val="008631E9"/>
    <w:rsid w:val="0086329A"/>
    <w:rsid w:val="008632FE"/>
    <w:rsid w:val="00863A70"/>
    <w:rsid w:val="00863F3E"/>
    <w:rsid w:val="0086419A"/>
    <w:rsid w:val="00864906"/>
    <w:rsid w:val="00864B3A"/>
    <w:rsid w:val="00864FFA"/>
    <w:rsid w:val="0086504B"/>
    <w:rsid w:val="008653BE"/>
    <w:rsid w:val="00865A02"/>
    <w:rsid w:val="0086617D"/>
    <w:rsid w:val="0086695B"/>
    <w:rsid w:val="00867146"/>
    <w:rsid w:val="00867443"/>
    <w:rsid w:val="008674D1"/>
    <w:rsid w:val="00867B83"/>
    <w:rsid w:val="0087088B"/>
    <w:rsid w:val="008712AB"/>
    <w:rsid w:val="0087152B"/>
    <w:rsid w:val="00871639"/>
    <w:rsid w:val="00871BF5"/>
    <w:rsid w:val="008723D3"/>
    <w:rsid w:val="0087272D"/>
    <w:rsid w:val="00872A1B"/>
    <w:rsid w:val="00872BB8"/>
    <w:rsid w:val="00872BFC"/>
    <w:rsid w:val="00873E92"/>
    <w:rsid w:val="00873EEB"/>
    <w:rsid w:val="0087414D"/>
    <w:rsid w:val="008746E5"/>
    <w:rsid w:val="00874D0E"/>
    <w:rsid w:val="0087535C"/>
    <w:rsid w:val="00875713"/>
    <w:rsid w:val="008758CB"/>
    <w:rsid w:val="0087596E"/>
    <w:rsid w:val="00875D04"/>
    <w:rsid w:val="0087613F"/>
    <w:rsid w:val="008761B6"/>
    <w:rsid w:val="00876271"/>
    <w:rsid w:val="008763A7"/>
    <w:rsid w:val="008764F2"/>
    <w:rsid w:val="00876568"/>
    <w:rsid w:val="00876AF8"/>
    <w:rsid w:val="0087742E"/>
    <w:rsid w:val="008775C9"/>
    <w:rsid w:val="00877F00"/>
    <w:rsid w:val="0088039E"/>
    <w:rsid w:val="008803E6"/>
    <w:rsid w:val="008807BD"/>
    <w:rsid w:val="0088097C"/>
    <w:rsid w:val="00880C72"/>
    <w:rsid w:val="00881170"/>
    <w:rsid w:val="008811BC"/>
    <w:rsid w:val="0088139E"/>
    <w:rsid w:val="00881649"/>
    <w:rsid w:val="0088290C"/>
    <w:rsid w:val="00882921"/>
    <w:rsid w:val="00882BA3"/>
    <w:rsid w:val="00882CF0"/>
    <w:rsid w:val="00882DB5"/>
    <w:rsid w:val="00883DA7"/>
    <w:rsid w:val="00883DE9"/>
    <w:rsid w:val="008847AA"/>
    <w:rsid w:val="008850F8"/>
    <w:rsid w:val="008852A5"/>
    <w:rsid w:val="008856D4"/>
    <w:rsid w:val="00885F7E"/>
    <w:rsid w:val="008867E6"/>
    <w:rsid w:val="00886E52"/>
    <w:rsid w:val="00887627"/>
    <w:rsid w:val="00887834"/>
    <w:rsid w:val="008879B5"/>
    <w:rsid w:val="00887BC6"/>
    <w:rsid w:val="008902F4"/>
    <w:rsid w:val="0089077C"/>
    <w:rsid w:val="00890F91"/>
    <w:rsid w:val="008915A6"/>
    <w:rsid w:val="00891F94"/>
    <w:rsid w:val="00892350"/>
    <w:rsid w:val="008923B1"/>
    <w:rsid w:val="008925E8"/>
    <w:rsid w:val="00892AB1"/>
    <w:rsid w:val="00892C58"/>
    <w:rsid w:val="008930BE"/>
    <w:rsid w:val="00893456"/>
    <w:rsid w:val="008938A1"/>
    <w:rsid w:val="00893E8A"/>
    <w:rsid w:val="00893F52"/>
    <w:rsid w:val="008941EC"/>
    <w:rsid w:val="008945EE"/>
    <w:rsid w:val="008952A8"/>
    <w:rsid w:val="008959B2"/>
    <w:rsid w:val="00896015"/>
    <w:rsid w:val="008964A9"/>
    <w:rsid w:val="00896783"/>
    <w:rsid w:val="0089681A"/>
    <w:rsid w:val="00896B41"/>
    <w:rsid w:val="00896F17"/>
    <w:rsid w:val="00897252"/>
    <w:rsid w:val="008975CC"/>
    <w:rsid w:val="00897618"/>
    <w:rsid w:val="00897BEF"/>
    <w:rsid w:val="008A1B3C"/>
    <w:rsid w:val="008A1BFD"/>
    <w:rsid w:val="008A1C39"/>
    <w:rsid w:val="008A248A"/>
    <w:rsid w:val="008A26CB"/>
    <w:rsid w:val="008A27B8"/>
    <w:rsid w:val="008A2805"/>
    <w:rsid w:val="008A28BF"/>
    <w:rsid w:val="008A2FBC"/>
    <w:rsid w:val="008A379C"/>
    <w:rsid w:val="008A3A5A"/>
    <w:rsid w:val="008A3E67"/>
    <w:rsid w:val="008A403A"/>
    <w:rsid w:val="008A42DA"/>
    <w:rsid w:val="008A65C2"/>
    <w:rsid w:val="008A6E48"/>
    <w:rsid w:val="008A6FC3"/>
    <w:rsid w:val="008A701E"/>
    <w:rsid w:val="008A734B"/>
    <w:rsid w:val="008A7706"/>
    <w:rsid w:val="008A7F65"/>
    <w:rsid w:val="008B0328"/>
    <w:rsid w:val="008B0C9A"/>
    <w:rsid w:val="008B1A1C"/>
    <w:rsid w:val="008B1D60"/>
    <w:rsid w:val="008B207B"/>
    <w:rsid w:val="008B2510"/>
    <w:rsid w:val="008B2A87"/>
    <w:rsid w:val="008B2D49"/>
    <w:rsid w:val="008B2D7F"/>
    <w:rsid w:val="008B31CD"/>
    <w:rsid w:val="008B31EE"/>
    <w:rsid w:val="008B4555"/>
    <w:rsid w:val="008B4F22"/>
    <w:rsid w:val="008B527F"/>
    <w:rsid w:val="008B578F"/>
    <w:rsid w:val="008B5CC4"/>
    <w:rsid w:val="008B5EEE"/>
    <w:rsid w:val="008B5F62"/>
    <w:rsid w:val="008B601B"/>
    <w:rsid w:val="008B6796"/>
    <w:rsid w:val="008B6AB9"/>
    <w:rsid w:val="008B6CFB"/>
    <w:rsid w:val="008B6D25"/>
    <w:rsid w:val="008B6EAE"/>
    <w:rsid w:val="008B6F70"/>
    <w:rsid w:val="008B70C7"/>
    <w:rsid w:val="008B7391"/>
    <w:rsid w:val="008B7427"/>
    <w:rsid w:val="008B7AF1"/>
    <w:rsid w:val="008B7F48"/>
    <w:rsid w:val="008B7FE3"/>
    <w:rsid w:val="008C12E3"/>
    <w:rsid w:val="008C169C"/>
    <w:rsid w:val="008C1BD3"/>
    <w:rsid w:val="008C1F08"/>
    <w:rsid w:val="008C1F25"/>
    <w:rsid w:val="008C249A"/>
    <w:rsid w:val="008C2886"/>
    <w:rsid w:val="008C2E0E"/>
    <w:rsid w:val="008C3117"/>
    <w:rsid w:val="008C3BED"/>
    <w:rsid w:val="008C4A72"/>
    <w:rsid w:val="008C4B26"/>
    <w:rsid w:val="008C5564"/>
    <w:rsid w:val="008C5A8F"/>
    <w:rsid w:val="008C6185"/>
    <w:rsid w:val="008C618B"/>
    <w:rsid w:val="008C62E1"/>
    <w:rsid w:val="008C6502"/>
    <w:rsid w:val="008C657D"/>
    <w:rsid w:val="008C66C5"/>
    <w:rsid w:val="008C69E2"/>
    <w:rsid w:val="008C6BC5"/>
    <w:rsid w:val="008C7599"/>
    <w:rsid w:val="008C77D4"/>
    <w:rsid w:val="008C7BB5"/>
    <w:rsid w:val="008C7C03"/>
    <w:rsid w:val="008C7D5C"/>
    <w:rsid w:val="008D0654"/>
    <w:rsid w:val="008D0814"/>
    <w:rsid w:val="008D0D33"/>
    <w:rsid w:val="008D0D9B"/>
    <w:rsid w:val="008D0E7B"/>
    <w:rsid w:val="008D0F28"/>
    <w:rsid w:val="008D12CC"/>
    <w:rsid w:val="008D1324"/>
    <w:rsid w:val="008D134F"/>
    <w:rsid w:val="008D14C3"/>
    <w:rsid w:val="008D18B9"/>
    <w:rsid w:val="008D2364"/>
    <w:rsid w:val="008D25BA"/>
    <w:rsid w:val="008D2925"/>
    <w:rsid w:val="008D2AF6"/>
    <w:rsid w:val="008D2B2C"/>
    <w:rsid w:val="008D2E60"/>
    <w:rsid w:val="008D32F7"/>
    <w:rsid w:val="008D333F"/>
    <w:rsid w:val="008D371F"/>
    <w:rsid w:val="008D39F5"/>
    <w:rsid w:val="008D3B52"/>
    <w:rsid w:val="008D41C5"/>
    <w:rsid w:val="008D45B6"/>
    <w:rsid w:val="008D5174"/>
    <w:rsid w:val="008D51BC"/>
    <w:rsid w:val="008D574C"/>
    <w:rsid w:val="008D5F1F"/>
    <w:rsid w:val="008D65DA"/>
    <w:rsid w:val="008D65FA"/>
    <w:rsid w:val="008D6720"/>
    <w:rsid w:val="008D6DF2"/>
    <w:rsid w:val="008D7438"/>
    <w:rsid w:val="008D7526"/>
    <w:rsid w:val="008E012C"/>
    <w:rsid w:val="008E07C8"/>
    <w:rsid w:val="008E08AF"/>
    <w:rsid w:val="008E0A1A"/>
    <w:rsid w:val="008E0EE4"/>
    <w:rsid w:val="008E18C4"/>
    <w:rsid w:val="008E1D4F"/>
    <w:rsid w:val="008E2286"/>
    <w:rsid w:val="008E2767"/>
    <w:rsid w:val="008E2D0A"/>
    <w:rsid w:val="008E2E30"/>
    <w:rsid w:val="008E3E1C"/>
    <w:rsid w:val="008E3EDC"/>
    <w:rsid w:val="008E3FCB"/>
    <w:rsid w:val="008E45C7"/>
    <w:rsid w:val="008E48F6"/>
    <w:rsid w:val="008E5063"/>
    <w:rsid w:val="008E51D5"/>
    <w:rsid w:val="008E55B7"/>
    <w:rsid w:val="008E6099"/>
    <w:rsid w:val="008E6859"/>
    <w:rsid w:val="008E68C8"/>
    <w:rsid w:val="008E68EC"/>
    <w:rsid w:val="008E6B35"/>
    <w:rsid w:val="008E6E94"/>
    <w:rsid w:val="008E7065"/>
    <w:rsid w:val="008E7C49"/>
    <w:rsid w:val="008F0300"/>
    <w:rsid w:val="008F079B"/>
    <w:rsid w:val="008F096C"/>
    <w:rsid w:val="008F0A39"/>
    <w:rsid w:val="008F0BCD"/>
    <w:rsid w:val="008F128B"/>
    <w:rsid w:val="008F12E8"/>
    <w:rsid w:val="008F16A0"/>
    <w:rsid w:val="008F1B39"/>
    <w:rsid w:val="008F1BE0"/>
    <w:rsid w:val="008F1BF3"/>
    <w:rsid w:val="008F2199"/>
    <w:rsid w:val="008F2343"/>
    <w:rsid w:val="008F297C"/>
    <w:rsid w:val="008F2BFA"/>
    <w:rsid w:val="008F2E2A"/>
    <w:rsid w:val="008F2FBA"/>
    <w:rsid w:val="008F34DC"/>
    <w:rsid w:val="008F3522"/>
    <w:rsid w:val="008F406C"/>
    <w:rsid w:val="008F4AA6"/>
    <w:rsid w:val="008F5298"/>
    <w:rsid w:val="008F5BF3"/>
    <w:rsid w:val="008F6093"/>
    <w:rsid w:val="008F6227"/>
    <w:rsid w:val="008F675A"/>
    <w:rsid w:val="008F6BF1"/>
    <w:rsid w:val="008F6D1E"/>
    <w:rsid w:val="008F6EC2"/>
    <w:rsid w:val="008F72F4"/>
    <w:rsid w:val="008F78FC"/>
    <w:rsid w:val="008F7EF9"/>
    <w:rsid w:val="00900927"/>
    <w:rsid w:val="00902159"/>
    <w:rsid w:val="009023E2"/>
    <w:rsid w:val="009026B6"/>
    <w:rsid w:val="00902B08"/>
    <w:rsid w:val="00902D46"/>
    <w:rsid w:val="00903FB7"/>
    <w:rsid w:val="009046B4"/>
    <w:rsid w:val="009046D3"/>
    <w:rsid w:val="00905466"/>
    <w:rsid w:val="00905C47"/>
    <w:rsid w:val="00905CBA"/>
    <w:rsid w:val="0090615F"/>
    <w:rsid w:val="0090671D"/>
    <w:rsid w:val="009068D5"/>
    <w:rsid w:val="00906AE3"/>
    <w:rsid w:val="0090746A"/>
    <w:rsid w:val="009078D6"/>
    <w:rsid w:val="0090790B"/>
    <w:rsid w:val="00907CE9"/>
    <w:rsid w:val="00907EB7"/>
    <w:rsid w:val="00910117"/>
    <w:rsid w:val="0091034E"/>
    <w:rsid w:val="00910609"/>
    <w:rsid w:val="00910AA5"/>
    <w:rsid w:val="009110F0"/>
    <w:rsid w:val="00911AD9"/>
    <w:rsid w:val="00911DAD"/>
    <w:rsid w:val="00911E1E"/>
    <w:rsid w:val="00911EA4"/>
    <w:rsid w:val="009125FD"/>
    <w:rsid w:val="009129BC"/>
    <w:rsid w:val="00912C44"/>
    <w:rsid w:val="00912E70"/>
    <w:rsid w:val="00912F51"/>
    <w:rsid w:val="0091378E"/>
    <w:rsid w:val="0091394A"/>
    <w:rsid w:val="00913F95"/>
    <w:rsid w:val="0091416B"/>
    <w:rsid w:val="009141CF"/>
    <w:rsid w:val="009142E5"/>
    <w:rsid w:val="009144AE"/>
    <w:rsid w:val="009148E8"/>
    <w:rsid w:val="00914E35"/>
    <w:rsid w:val="009155B0"/>
    <w:rsid w:val="0091577E"/>
    <w:rsid w:val="00915AC0"/>
    <w:rsid w:val="00915BA2"/>
    <w:rsid w:val="00915BD8"/>
    <w:rsid w:val="009162DB"/>
    <w:rsid w:val="00916418"/>
    <w:rsid w:val="0091688B"/>
    <w:rsid w:val="00916D36"/>
    <w:rsid w:val="00917338"/>
    <w:rsid w:val="009174D5"/>
    <w:rsid w:val="00917E9F"/>
    <w:rsid w:val="00917F0B"/>
    <w:rsid w:val="00917FF2"/>
    <w:rsid w:val="00920200"/>
    <w:rsid w:val="0092040A"/>
    <w:rsid w:val="009204CC"/>
    <w:rsid w:val="0092083D"/>
    <w:rsid w:val="00920AB3"/>
    <w:rsid w:val="00920C19"/>
    <w:rsid w:val="00920D43"/>
    <w:rsid w:val="009212B0"/>
    <w:rsid w:val="00921485"/>
    <w:rsid w:val="00922413"/>
    <w:rsid w:val="00922793"/>
    <w:rsid w:val="00922AD8"/>
    <w:rsid w:val="00922B68"/>
    <w:rsid w:val="00922C77"/>
    <w:rsid w:val="00922EBC"/>
    <w:rsid w:val="009230AA"/>
    <w:rsid w:val="009239B8"/>
    <w:rsid w:val="00923C23"/>
    <w:rsid w:val="00924105"/>
    <w:rsid w:val="009246B3"/>
    <w:rsid w:val="00924E7B"/>
    <w:rsid w:val="00925541"/>
    <w:rsid w:val="009256FE"/>
    <w:rsid w:val="0092694F"/>
    <w:rsid w:val="00927199"/>
    <w:rsid w:val="009277FD"/>
    <w:rsid w:val="00927973"/>
    <w:rsid w:val="00927C99"/>
    <w:rsid w:val="009303DE"/>
    <w:rsid w:val="009303F8"/>
    <w:rsid w:val="009310A7"/>
    <w:rsid w:val="0093195D"/>
    <w:rsid w:val="00931AD5"/>
    <w:rsid w:val="00931B8D"/>
    <w:rsid w:val="00931F96"/>
    <w:rsid w:val="00932460"/>
    <w:rsid w:val="0093263B"/>
    <w:rsid w:val="00932948"/>
    <w:rsid w:val="00932962"/>
    <w:rsid w:val="009329C1"/>
    <w:rsid w:val="009333B1"/>
    <w:rsid w:val="009335DA"/>
    <w:rsid w:val="0093421C"/>
    <w:rsid w:val="00934D16"/>
    <w:rsid w:val="00935E73"/>
    <w:rsid w:val="009363FF"/>
    <w:rsid w:val="0093641C"/>
    <w:rsid w:val="009368F1"/>
    <w:rsid w:val="00936CE0"/>
    <w:rsid w:val="0093725F"/>
    <w:rsid w:val="00937534"/>
    <w:rsid w:val="00937FC3"/>
    <w:rsid w:val="0094087F"/>
    <w:rsid w:val="009409EA"/>
    <w:rsid w:val="00941175"/>
    <w:rsid w:val="009412D6"/>
    <w:rsid w:val="00941683"/>
    <w:rsid w:val="00941DC2"/>
    <w:rsid w:val="00942363"/>
    <w:rsid w:val="00942B0D"/>
    <w:rsid w:val="009434C7"/>
    <w:rsid w:val="009439F8"/>
    <w:rsid w:val="00943A7A"/>
    <w:rsid w:val="00943CDD"/>
    <w:rsid w:val="009446C7"/>
    <w:rsid w:val="009446CC"/>
    <w:rsid w:val="0094527A"/>
    <w:rsid w:val="00945750"/>
    <w:rsid w:val="009457C8"/>
    <w:rsid w:val="009458A9"/>
    <w:rsid w:val="00945BF5"/>
    <w:rsid w:val="009463A6"/>
    <w:rsid w:val="00947497"/>
    <w:rsid w:val="009478A5"/>
    <w:rsid w:val="00947B35"/>
    <w:rsid w:val="00947E91"/>
    <w:rsid w:val="00947FF8"/>
    <w:rsid w:val="0095049A"/>
    <w:rsid w:val="00950605"/>
    <w:rsid w:val="00950FBB"/>
    <w:rsid w:val="009512B4"/>
    <w:rsid w:val="009515D3"/>
    <w:rsid w:val="009516A4"/>
    <w:rsid w:val="00951CA8"/>
    <w:rsid w:val="0095211D"/>
    <w:rsid w:val="009521D3"/>
    <w:rsid w:val="009522A6"/>
    <w:rsid w:val="00952440"/>
    <w:rsid w:val="00952749"/>
    <w:rsid w:val="00952F27"/>
    <w:rsid w:val="009532BE"/>
    <w:rsid w:val="009533C6"/>
    <w:rsid w:val="009535FF"/>
    <w:rsid w:val="00953FEE"/>
    <w:rsid w:val="009544D4"/>
    <w:rsid w:val="00954B52"/>
    <w:rsid w:val="0095508A"/>
    <w:rsid w:val="00955317"/>
    <w:rsid w:val="009554A6"/>
    <w:rsid w:val="0095563F"/>
    <w:rsid w:val="00955FA3"/>
    <w:rsid w:val="00956196"/>
    <w:rsid w:val="009562EE"/>
    <w:rsid w:val="0095659A"/>
    <w:rsid w:val="009567C2"/>
    <w:rsid w:val="009567F0"/>
    <w:rsid w:val="00956BE1"/>
    <w:rsid w:val="00956E0B"/>
    <w:rsid w:val="00956F9E"/>
    <w:rsid w:val="00957095"/>
    <w:rsid w:val="0095796B"/>
    <w:rsid w:val="00957EE4"/>
    <w:rsid w:val="00957F1C"/>
    <w:rsid w:val="0096027B"/>
    <w:rsid w:val="009602CB"/>
    <w:rsid w:val="009605EB"/>
    <w:rsid w:val="00960693"/>
    <w:rsid w:val="0096089A"/>
    <w:rsid w:val="00961362"/>
    <w:rsid w:val="009615B1"/>
    <w:rsid w:val="00961D71"/>
    <w:rsid w:val="00961F12"/>
    <w:rsid w:val="009629A0"/>
    <w:rsid w:val="00962AB6"/>
    <w:rsid w:val="009631E6"/>
    <w:rsid w:val="00963650"/>
    <w:rsid w:val="00963715"/>
    <w:rsid w:val="00963A79"/>
    <w:rsid w:val="00963F12"/>
    <w:rsid w:val="009644D4"/>
    <w:rsid w:val="00964647"/>
    <w:rsid w:val="00964844"/>
    <w:rsid w:val="00964CD2"/>
    <w:rsid w:val="00965666"/>
    <w:rsid w:val="00965A17"/>
    <w:rsid w:val="00965ABC"/>
    <w:rsid w:val="00965B34"/>
    <w:rsid w:val="009660C3"/>
    <w:rsid w:val="00966310"/>
    <w:rsid w:val="00966400"/>
    <w:rsid w:val="00966967"/>
    <w:rsid w:val="0096773B"/>
    <w:rsid w:val="009677B9"/>
    <w:rsid w:val="009678E8"/>
    <w:rsid w:val="00967B44"/>
    <w:rsid w:val="00967CF7"/>
    <w:rsid w:val="00967E07"/>
    <w:rsid w:val="00970274"/>
    <w:rsid w:val="0097048D"/>
    <w:rsid w:val="00970581"/>
    <w:rsid w:val="00970D3B"/>
    <w:rsid w:val="00970E91"/>
    <w:rsid w:val="009710F9"/>
    <w:rsid w:val="009715FB"/>
    <w:rsid w:val="00971715"/>
    <w:rsid w:val="00971852"/>
    <w:rsid w:val="00971928"/>
    <w:rsid w:val="00971AB8"/>
    <w:rsid w:val="00971D59"/>
    <w:rsid w:val="00971ED0"/>
    <w:rsid w:val="00972041"/>
    <w:rsid w:val="0097243A"/>
    <w:rsid w:val="00973023"/>
    <w:rsid w:val="0097326A"/>
    <w:rsid w:val="00973D6E"/>
    <w:rsid w:val="00973E11"/>
    <w:rsid w:val="00973F74"/>
    <w:rsid w:val="00974B9D"/>
    <w:rsid w:val="00974FEB"/>
    <w:rsid w:val="009750D1"/>
    <w:rsid w:val="00976013"/>
    <w:rsid w:val="009763FC"/>
    <w:rsid w:val="00976552"/>
    <w:rsid w:val="009771E4"/>
    <w:rsid w:val="00977387"/>
    <w:rsid w:val="009801C4"/>
    <w:rsid w:val="0098047D"/>
    <w:rsid w:val="00980BAD"/>
    <w:rsid w:val="00981244"/>
    <w:rsid w:val="0098139A"/>
    <w:rsid w:val="00981B25"/>
    <w:rsid w:val="00981F3F"/>
    <w:rsid w:val="00983382"/>
    <w:rsid w:val="0098344D"/>
    <w:rsid w:val="00983972"/>
    <w:rsid w:val="00985762"/>
    <w:rsid w:val="00985C6D"/>
    <w:rsid w:val="00985C7F"/>
    <w:rsid w:val="00985DA9"/>
    <w:rsid w:val="009861A9"/>
    <w:rsid w:val="009863F4"/>
    <w:rsid w:val="009868ED"/>
    <w:rsid w:val="00986CD3"/>
    <w:rsid w:val="00987442"/>
    <w:rsid w:val="009874B8"/>
    <w:rsid w:val="00987559"/>
    <w:rsid w:val="00987823"/>
    <w:rsid w:val="00987983"/>
    <w:rsid w:val="0099011A"/>
    <w:rsid w:val="00990297"/>
    <w:rsid w:val="00990452"/>
    <w:rsid w:val="0099063F"/>
    <w:rsid w:val="009907C9"/>
    <w:rsid w:val="009915D1"/>
    <w:rsid w:val="0099163C"/>
    <w:rsid w:val="00991A9A"/>
    <w:rsid w:val="00991CFE"/>
    <w:rsid w:val="00992121"/>
    <w:rsid w:val="00992C7D"/>
    <w:rsid w:val="00992C86"/>
    <w:rsid w:val="00992E88"/>
    <w:rsid w:val="009930F5"/>
    <w:rsid w:val="00993A74"/>
    <w:rsid w:val="0099420A"/>
    <w:rsid w:val="009942EE"/>
    <w:rsid w:val="0099484F"/>
    <w:rsid w:val="00994C11"/>
    <w:rsid w:val="00994CA0"/>
    <w:rsid w:val="00994DBA"/>
    <w:rsid w:val="00994FF2"/>
    <w:rsid w:val="00995145"/>
    <w:rsid w:val="009954AF"/>
    <w:rsid w:val="009958D8"/>
    <w:rsid w:val="00995DAE"/>
    <w:rsid w:val="00995EAA"/>
    <w:rsid w:val="009965B7"/>
    <w:rsid w:val="0099729D"/>
    <w:rsid w:val="0099776A"/>
    <w:rsid w:val="009A0308"/>
    <w:rsid w:val="009A061C"/>
    <w:rsid w:val="009A0DEE"/>
    <w:rsid w:val="009A11C7"/>
    <w:rsid w:val="009A12DC"/>
    <w:rsid w:val="009A16E2"/>
    <w:rsid w:val="009A1825"/>
    <w:rsid w:val="009A1A60"/>
    <w:rsid w:val="009A1BA7"/>
    <w:rsid w:val="009A27D3"/>
    <w:rsid w:val="009A2B4C"/>
    <w:rsid w:val="009A316C"/>
    <w:rsid w:val="009A3191"/>
    <w:rsid w:val="009A3321"/>
    <w:rsid w:val="009A3E00"/>
    <w:rsid w:val="009A3F10"/>
    <w:rsid w:val="009A4943"/>
    <w:rsid w:val="009A4A6D"/>
    <w:rsid w:val="009A4F88"/>
    <w:rsid w:val="009A5050"/>
    <w:rsid w:val="009A51A9"/>
    <w:rsid w:val="009A6575"/>
    <w:rsid w:val="009A667D"/>
    <w:rsid w:val="009A68E3"/>
    <w:rsid w:val="009A6A1E"/>
    <w:rsid w:val="009A7383"/>
    <w:rsid w:val="009A78E5"/>
    <w:rsid w:val="009A793B"/>
    <w:rsid w:val="009A7994"/>
    <w:rsid w:val="009A7DAC"/>
    <w:rsid w:val="009B0422"/>
    <w:rsid w:val="009B07A5"/>
    <w:rsid w:val="009B0C1B"/>
    <w:rsid w:val="009B0FB2"/>
    <w:rsid w:val="009B102E"/>
    <w:rsid w:val="009B1E9C"/>
    <w:rsid w:val="009B2103"/>
    <w:rsid w:val="009B2E0B"/>
    <w:rsid w:val="009B3993"/>
    <w:rsid w:val="009B3BFC"/>
    <w:rsid w:val="009B3CD1"/>
    <w:rsid w:val="009B3F24"/>
    <w:rsid w:val="009B4224"/>
    <w:rsid w:val="009B4546"/>
    <w:rsid w:val="009B4615"/>
    <w:rsid w:val="009B4927"/>
    <w:rsid w:val="009B4D9E"/>
    <w:rsid w:val="009B5127"/>
    <w:rsid w:val="009B557A"/>
    <w:rsid w:val="009B5B80"/>
    <w:rsid w:val="009B65B1"/>
    <w:rsid w:val="009B7D62"/>
    <w:rsid w:val="009C003E"/>
    <w:rsid w:val="009C033B"/>
    <w:rsid w:val="009C0490"/>
    <w:rsid w:val="009C0568"/>
    <w:rsid w:val="009C0A67"/>
    <w:rsid w:val="009C0A99"/>
    <w:rsid w:val="009C0ACB"/>
    <w:rsid w:val="009C0BE9"/>
    <w:rsid w:val="009C0C39"/>
    <w:rsid w:val="009C1360"/>
    <w:rsid w:val="009C1A31"/>
    <w:rsid w:val="009C1E5E"/>
    <w:rsid w:val="009C289E"/>
    <w:rsid w:val="009C28F1"/>
    <w:rsid w:val="009C295C"/>
    <w:rsid w:val="009C2D6F"/>
    <w:rsid w:val="009C30D6"/>
    <w:rsid w:val="009C3193"/>
    <w:rsid w:val="009C34E7"/>
    <w:rsid w:val="009C362B"/>
    <w:rsid w:val="009C36F9"/>
    <w:rsid w:val="009C3F2B"/>
    <w:rsid w:val="009C40FA"/>
    <w:rsid w:val="009C413A"/>
    <w:rsid w:val="009C49A0"/>
    <w:rsid w:val="009C4EA7"/>
    <w:rsid w:val="009C4F04"/>
    <w:rsid w:val="009C5939"/>
    <w:rsid w:val="009C59AD"/>
    <w:rsid w:val="009C7023"/>
    <w:rsid w:val="009C7104"/>
    <w:rsid w:val="009C72EC"/>
    <w:rsid w:val="009C72FA"/>
    <w:rsid w:val="009C762F"/>
    <w:rsid w:val="009C7A5F"/>
    <w:rsid w:val="009C7B46"/>
    <w:rsid w:val="009C7B5E"/>
    <w:rsid w:val="009C7C13"/>
    <w:rsid w:val="009C7DA7"/>
    <w:rsid w:val="009C7E9A"/>
    <w:rsid w:val="009C7F4B"/>
    <w:rsid w:val="009D00C1"/>
    <w:rsid w:val="009D0259"/>
    <w:rsid w:val="009D13E4"/>
    <w:rsid w:val="009D1680"/>
    <w:rsid w:val="009D19D5"/>
    <w:rsid w:val="009D2266"/>
    <w:rsid w:val="009D2560"/>
    <w:rsid w:val="009D2990"/>
    <w:rsid w:val="009D2C1A"/>
    <w:rsid w:val="009D2C46"/>
    <w:rsid w:val="009D2CEA"/>
    <w:rsid w:val="009D3041"/>
    <w:rsid w:val="009D316D"/>
    <w:rsid w:val="009D330C"/>
    <w:rsid w:val="009D3830"/>
    <w:rsid w:val="009D390D"/>
    <w:rsid w:val="009D411A"/>
    <w:rsid w:val="009D44AC"/>
    <w:rsid w:val="009D459D"/>
    <w:rsid w:val="009D4700"/>
    <w:rsid w:val="009D47C1"/>
    <w:rsid w:val="009D4805"/>
    <w:rsid w:val="009D4EED"/>
    <w:rsid w:val="009D4F33"/>
    <w:rsid w:val="009D548A"/>
    <w:rsid w:val="009D57A6"/>
    <w:rsid w:val="009D5AF3"/>
    <w:rsid w:val="009D5F16"/>
    <w:rsid w:val="009D60F4"/>
    <w:rsid w:val="009D642A"/>
    <w:rsid w:val="009D66C2"/>
    <w:rsid w:val="009D6B4E"/>
    <w:rsid w:val="009D6D56"/>
    <w:rsid w:val="009D7052"/>
    <w:rsid w:val="009D7320"/>
    <w:rsid w:val="009D787A"/>
    <w:rsid w:val="009D79E4"/>
    <w:rsid w:val="009D7E1B"/>
    <w:rsid w:val="009E080B"/>
    <w:rsid w:val="009E0C3C"/>
    <w:rsid w:val="009E1D3B"/>
    <w:rsid w:val="009E20D1"/>
    <w:rsid w:val="009E22E2"/>
    <w:rsid w:val="009E2D49"/>
    <w:rsid w:val="009E2EF4"/>
    <w:rsid w:val="009E307C"/>
    <w:rsid w:val="009E30CF"/>
    <w:rsid w:val="009E33ED"/>
    <w:rsid w:val="009E40D9"/>
    <w:rsid w:val="009E4D93"/>
    <w:rsid w:val="009E55BF"/>
    <w:rsid w:val="009E5BAC"/>
    <w:rsid w:val="009E656C"/>
    <w:rsid w:val="009E6A51"/>
    <w:rsid w:val="009F0813"/>
    <w:rsid w:val="009F0876"/>
    <w:rsid w:val="009F0A55"/>
    <w:rsid w:val="009F0BAF"/>
    <w:rsid w:val="009F0D10"/>
    <w:rsid w:val="009F11B0"/>
    <w:rsid w:val="009F12F3"/>
    <w:rsid w:val="009F1B54"/>
    <w:rsid w:val="009F1C96"/>
    <w:rsid w:val="009F1CF2"/>
    <w:rsid w:val="009F1FD4"/>
    <w:rsid w:val="009F22AE"/>
    <w:rsid w:val="009F2628"/>
    <w:rsid w:val="009F26EA"/>
    <w:rsid w:val="009F2865"/>
    <w:rsid w:val="009F2DE7"/>
    <w:rsid w:val="009F3403"/>
    <w:rsid w:val="009F35E5"/>
    <w:rsid w:val="009F406F"/>
    <w:rsid w:val="009F424B"/>
    <w:rsid w:val="009F431C"/>
    <w:rsid w:val="009F4352"/>
    <w:rsid w:val="009F45BF"/>
    <w:rsid w:val="009F4E8F"/>
    <w:rsid w:val="009F4EF4"/>
    <w:rsid w:val="009F522D"/>
    <w:rsid w:val="009F53F3"/>
    <w:rsid w:val="009F55FD"/>
    <w:rsid w:val="009F591F"/>
    <w:rsid w:val="009F642C"/>
    <w:rsid w:val="009F6F64"/>
    <w:rsid w:val="009F7017"/>
    <w:rsid w:val="009F7BF9"/>
    <w:rsid w:val="00A001E2"/>
    <w:rsid w:val="00A0045D"/>
    <w:rsid w:val="00A00502"/>
    <w:rsid w:val="00A00904"/>
    <w:rsid w:val="00A0090C"/>
    <w:rsid w:val="00A0100F"/>
    <w:rsid w:val="00A013ED"/>
    <w:rsid w:val="00A01C54"/>
    <w:rsid w:val="00A01EB8"/>
    <w:rsid w:val="00A02439"/>
    <w:rsid w:val="00A027B1"/>
    <w:rsid w:val="00A03A28"/>
    <w:rsid w:val="00A03B5F"/>
    <w:rsid w:val="00A04663"/>
    <w:rsid w:val="00A047A4"/>
    <w:rsid w:val="00A04B86"/>
    <w:rsid w:val="00A04F10"/>
    <w:rsid w:val="00A052EB"/>
    <w:rsid w:val="00A05433"/>
    <w:rsid w:val="00A058F9"/>
    <w:rsid w:val="00A06C7F"/>
    <w:rsid w:val="00A06E05"/>
    <w:rsid w:val="00A06F82"/>
    <w:rsid w:val="00A07263"/>
    <w:rsid w:val="00A07F43"/>
    <w:rsid w:val="00A10483"/>
    <w:rsid w:val="00A1063F"/>
    <w:rsid w:val="00A11E4D"/>
    <w:rsid w:val="00A1211F"/>
    <w:rsid w:val="00A12407"/>
    <w:rsid w:val="00A12663"/>
    <w:rsid w:val="00A12E97"/>
    <w:rsid w:val="00A13077"/>
    <w:rsid w:val="00A134BA"/>
    <w:rsid w:val="00A134D8"/>
    <w:rsid w:val="00A137C8"/>
    <w:rsid w:val="00A138D2"/>
    <w:rsid w:val="00A13E40"/>
    <w:rsid w:val="00A14B79"/>
    <w:rsid w:val="00A15240"/>
    <w:rsid w:val="00A15357"/>
    <w:rsid w:val="00A154CD"/>
    <w:rsid w:val="00A156FA"/>
    <w:rsid w:val="00A1587A"/>
    <w:rsid w:val="00A15B42"/>
    <w:rsid w:val="00A15C65"/>
    <w:rsid w:val="00A1725C"/>
    <w:rsid w:val="00A1734A"/>
    <w:rsid w:val="00A17FC6"/>
    <w:rsid w:val="00A202AF"/>
    <w:rsid w:val="00A20472"/>
    <w:rsid w:val="00A20CA7"/>
    <w:rsid w:val="00A212C9"/>
    <w:rsid w:val="00A2164C"/>
    <w:rsid w:val="00A21742"/>
    <w:rsid w:val="00A21E6F"/>
    <w:rsid w:val="00A2206D"/>
    <w:rsid w:val="00A22105"/>
    <w:rsid w:val="00A224DE"/>
    <w:rsid w:val="00A22686"/>
    <w:rsid w:val="00A22A23"/>
    <w:rsid w:val="00A23019"/>
    <w:rsid w:val="00A23B3A"/>
    <w:rsid w:val="00A23C48"/>
    <w:rsid w:val="00A23F41"/>
    <w:rsid w:val="00A23F58"/>
    <w:rsid w:val="00A24624"/>
    <w:rsid w:val="00A24EC1"/>
    <w:rsid w:val="00A256BB"/>
    <w:rsid w:val="00A25BC9"/>
    <w:rsid w:val="00A25D30"/>
    <w:rsid w:val="00A2613A"/>
    <w:rsid w:val="00A2785C"/>
    <w:rsid w:val="00A302F5"/>
    <w:rsid w:val="00A304AE"/>
    <w:rsid w:val="00A30CD7"/>
    <w:rsid w:val="00A30DD1"/>
    <w:rsid w:val="00A31105"/>
    <w:rsid w:val="00A3113A"/>
    <w:rsid w:val="00A31869"/>
    <w:rsid w:val="00A31A8A"/>
    <w:rsid w:val="00A31E0C"/>
    <w:rsid w:val="00A3235A"/>
    <w:rsid w:val="00A3263D"/>
    <w:rsid w:val="00A328F4"/>
    <w:rsid w:val="00A32CB7"/>
    <w:rsid w:val="00A33011"/>
    <w:rsid w:val="00A33841"/>
    <w:rsid w:val="00A33872"/>
    <w:rsid w:val="00A33DDA"/>
    <w:rsid w:val="00A3442C"/>
    <w:rsid w:val="00A3449E"/>
    <w:rsid w:val="00A34BEB"/>
    <w:rsid w:val="00A3557C"/>
    <w:rsid w:val="00A35742"/>
    <w:rsid w:val="00A3608B"/>
    <w:rsid w:val="00A360E3"/>
    <w:rsid w:val="00A36148"/>
    <w:rsid w:val="00A36571"/>
    <w:rsid w:val="00A36582"/>
    <w:rsid w:val="00A3661B"/>
    <w:rsid w:val="00A367A9"/>
    <w:rsid w:val="00A36884"/>
    <w:rsid w:val="00A36A29"/>
    <w:rsid w:val="00A36DF2"/>
    <w:rsid w:val="00A36E70"/>
    <w:rsid w:val="00A36F63"/>
    <w:rsid w:val="00A374BA"/>
    <w:rsid w:val="00A4028C"/>
    <w:rsid w:val="00A403FD"/>
    <w:rsid w:val="00A40D01"/>
    <w:rsid w:val="00A41070"/>
    <w:rsid w:val="00A41378"/>
    <w:rsid w:val="00A415D8"/>
    <w:rsid w:val="00A41AB9"/>
    <w:rsid w:val="00A41AE1"/>
    <w:rsid w:val="00A42B8B"/>
    <w:rsid w:val="00A42CB6"/>
    <w:rsid w:val="00A4315F"/>
    <w:rsid w:val="00A43571"/>
    <w:rsid w:val="00A43714"/>
    <w:rsid w:val="00A43B9B"/>
    <w:rsid w:val="00A43D4B"/>
    <w:rsid w:val="00A43E29"/>
    <w:rsid w:val="00A43F15"/>
    <w:rsid w:val="00A447A2"/>
    <w:rsid w:val="00A4517B"/>
    <w:rsid w:val="00A4526B"/>
    <w:rsid w:val="00A452AD"/>
    <w:rsid w:val="00A452DC"/>
    <w:rsid w:val="00A45578"/>
    <w:rsid w:val="00A458F8"/>
    <w:rsid w:val="00A45CEB"/>
    <w:rsid w:val="00A4668B"/>
    <w:rsid w:val="00A46BBA"/>
    <w:rsid w:val="00A46C74"/>
    <w:rsid w:val="00A47004"/>
    <w:rsid w:val="00A4721F"/>
    <w:rsid w:val="00A479CC"/>
    <w:rsid w:val="00A47D9A"/>
    <w:rsid w:val="00A50BB5"/>
    <w:rsid w:val="00A510F2"/>
    <w:rsid w:val="00A517D3"/>
    <w:rsid w:val="00A51B57"/>
    <w:rsid w:val="00A51EC1"/>
    <w:rsid w:val="00A51F68"/>
    <w:rsid w:val="00A5265A"/>
    <w:rsid w:val="00A52884"/>
    <w:rsid w:val="00A52BB6"/>
    <w:rsid w:val="00A5332E"/>
    <w:rsid w:val="00A537E6"/>
    <w:rsid w:val="00A542EE"/>
    <w:rsid w:val="00A544E8"/>
    <w:rsid w:val="00A54A01"/>
    <w:rsid w:val="00A54AD7"/>
    <w:rsid w:val="00A54BDD"/>
    <w:rsid w:val="00A54EE5"/>
    <w:rsid w:val="00A55189"/>
    <w:rsid w:val="00A55202"/>
    <w:rsid w:val="00A556E8"/>
    <w:rsid w:val="00A55BC7"/>
    <w:rsid w:val="00A55D3A"/>
    <w:rsid w:val="00A5602F"/>
    <w:rsid w:val="00A56386"/>
    <w:rsid w:val="00A56896"/>
    <w:rsid w:val="00A56951"/>
    <w:rsid w:val="00A569CE"/>
    <w:rsid w:val="00A56DAE"/>
    <w:rsid w:val="00A57031"/>
    <w:rsid w:val="00A576D7"/>
    <w:rsid w:val="00A57833"/>
    <w:rsid w:val="00A601D8"/>
    <w:rsid w:val="00A60522"/>
    <w:rsid w:val="00A60ABB"/>
    <w:rsid w:val="00A611B6"/>
    <w:rsid w:val="00A6148D"/>
    <w:rsid w:val="00A61C33"/>
    <w:rsid w:val="00A61E75"/>
    <w:rsid w:val="00A61FFD"/>
    <w:rsid w:val="00A62219"/>
    <w:rsid w:val="00A62307"/>
    <w:rsid w:val="00A62384"/>
    <w:rsid w:val="00A6279D"/>
    <w:rsid w:val="00A63649"/>
    <w:rsid w:val="00A6373D"/>
    <w:rsid w:val="00A6383B"/>
    <w:rsid w:val="00A64A6F"/>
    <w:rsid w:val="00A65139"/>
    <w:rsid w:val="00A654A0"/>
    <w:rsid w:val="00A65805"/>
    <w:rsid w:val="00A65947"/>
    <w:rsid w:val="00A65C62"/>
    <w:rsid w:val="00A65EB4"/>
    <w:rsid w:val="00A66245"/>
    <w:rsid w:val="00A66441"/>
    <w:rsid w:val="00A664FA"/>
    <w:rsid w:val="00A6655A"/>
    <w:rsid w:val="00A668AC"/>
    <w:rsid w:val="00A66B66"/>
    <w:rsid w:val="00A6761F"/>
    <w:rsid w:val="00A67B18"/>
    <w:rsid w:val="00A67B62"/>
    <w:rsid w:val="00A67E6C"/>
    <w:rsid w:val="00A70533"/>
    <w:rsid w:val="00A717D3"/>
    <w:rsid w:val="00A71A4A"/>
    <w:rsid w:val="00A71D77"/>
    <w:rsid w:val="00A723D5"/>
    <w:rsid w:val="00A72402"/>
    <w:rsid w:val="00A72ACA"/>
    <w:rsid w:val="00A73927"/>
    <w:rsid w:val="00A73D1E"/>
    <w:rsid w:val="00A74496"/>
    <w:rsid w:val="00A751E4"/>
    <w:rsid w:val="00A752B1"/>
    <w:rsid w:val="00A757C3"/>
    <w:rsid w:val="00A7582C"/>
    <w:rsid w:val="00A75997"/>
    <w:rsid w:val="00A76142"/>
    <w:rsid w:val="00A762BD"/>
    <w:rsid w:val="00A76428"/>
    <w:rsid w:val="00A76634"/>
    <w:rsid w:val="00A76671"/>
    <w:rsid w:val="00A7670D"/>
    <w:rsid w:val="00A76854"/>
    <w:rsid w:val="00A7700F"/>
    <w:rsid w:val="00A777D2"/>
    <w:rsid w:val="00A77C51"/>
    <w:rsid w:val="00A77C69"/>
    <w:rsid w:val="00A77D1F"/>
    <w:rsid w:val="00A80240"/>
    <w:rsid w:val="00A8093E"/>
    <w:rsid w:val="00A8101B"/>
    <w:rsid w:val="00A81342"/>
    <w:rsid w:val="00A814C4"/>
    <w:rsid w:val="00A815F7"/>
    <w:rsid w:val="00A817A2"/>
    <w:rsid w:val="00A81E34"/>
    <w:rsid w:val="00A81F1B"/>
    <w:rsid w:val="00A82452"/>
    <w:rsid w:val="00A8283D"/>
    <w:rsid w:val="00A82B7B"/>
    <w:rsid w:val="00A82D1A"/>
    <w:rsid w:val="00A82F4B"/>
    <w:rsid w:val="00A8302F"/>
    <w:rsid w:val="00A83117"/>
    <w:rsid w:val="00A83A22"/>
    <w:rsid w:val="00A83DCA"/>
    <w:rsid w:val="00A83F42"/>
    <w:rsid w:val="00A849FC"/>
    <w:rsid w:val="00A8507A"/>
    <w:rsid w:val="00A86581"/>
    <w:rsid w:val="00A86640"/>
    <w:rsid w:val="00A86D14"/>
    <w:rsid w:val="00A86E1F"/>
    <w:rsid w:val="00A87224"/>
    <w:rsid w:val="00A873D4"/>
    <w:rsid w:val="00A874CE"/>
    <w:rsid w:val="00A8756B"/>
    <w:rsid w:val="00A878E4"/>
    <w:rsid w:val="00A87A13"/>
    <w:rsid w:val="00A87DA2"/>
    <w:rsid w:val="00A87E0D"/>
    <w:rsid w:val="00A90031"/>
    <w:rsid w:val="00A90191"/>
    <w:rsid w:val="00A901D7"/>
    <w:rsid w:val="00A902A8"/>
    <w:rsid w:val="00A906CD"/>
    <w:rsid w:val="00A90872"/>
    <w:rsid w:val="00A908CC"/>
    <w:rsid w:val="00A90D0A"/>
    <w:rsid w:val="00A91655"/>
    <w:rsid w:val="00A91B09"/>
    <w:rsid w:val="00A91B57"/>
    <w:rsid w:val="00A91B7F"/>
    <w:rsid w:val="00A91BAF"/>
    <w:rsid w:val="00A92A24"/>
    <w:rsid w:val="00A9337E"/>
    <w:rsid w:val="00A9345E"/>
    <w:rsid w:val="00A937B3"/>
    <w:rsid w:val="00A93B85"/>
    <w:rsid w:val="00A9420F"/>
    <w:rsid w:val="00A9458F"/>
    <w:rsid w:val="00A95362"/>
    <w:rsid w:val="00A95965"/>
    <w:rsid w:val="00A9622F"/>
    <w:rsid w:val="00A96590"/>
    <w:rsid w:val="00A96766"/>
    <w:rsid w:val="00A9688A"/>
    <w:rsid w:val="00A96E2F"/>
    <w:rsid w:val="00A97275"/>
    <w:rsid w:val="00A97628"/>
    <w:rsid w:val="00A9799D"/>
    <w:rsid w:val="00AA0019"/>
    <w:rsid w:val="00AA089C"/>
    <w:rsid w:val="00AA0BD3"/>
    <w:rsid w:val="00AA1115"/>
    <w:rsid w:val="00AA14D7"/>
    <w:rsid w:val="00AA1751"/>
    <w:rsid w:val="00AA19CB"/>
    <w:rsid w:val="00AA1F95"/>
    <w:rsid w:val="00AA251D"/>
    <w:rsid w:val="00AA2B2E"/>
    <w:rsid w:val="00AA2CBA"/>
    <w:rsid w:val="00AA2DDD"/>
    <w:rsid w:val="00AA30D4"/>
    <w:rsid w:val="00AA3193"/>
    <w:rsid w:val="00AA3667"/>
    <w:rsid w:val="00AA3950"/>
    <w:rsid w:val="00AA3964"/>
    <w:rsid w:val="00AA40AC"/>
    <w:rsid w:val="00AA4AB6"/>
    <w:rsid w:val="00AA5115"/>
    <w:rsid w:val="00AA511E"/>
    <w:rsid w:val="00AA54B0"/>
    <w:rsid w:val="00AA54D2"/>
    <w:rsid w:val="00AA5561"/>
    <w:rsid w:val="00AA5CED"/>
    <w:rsid w:val="00AA6360"/>
    <w:rsid w:val="00AA68B2"/>
    <w:rsid w:val="00AA69EA"/>
    <w:rsid w:val="00AA6C54"/>
    <w:rsid w:val="00AA6FFB"/>
    <w:rsid w:val="00AA7152"/>
    <w:rsid w:val="00AA736C"/>
    <w:rsid w:val="00AA7470"/>
    <w:rsid w:val="00AA7825"/>
    <w:rsid w:val="00AA7A38"/>
    <w:rsid w:val="00AA7C58"/>
    <w:rsid w:val="00AA7C63"/>
    <w:rsid w:val="00AA7F84"/>
    <w:rsid w:val="00AB00F0"/>
    <w:rsid w:val="00AB0325"/>
    <w:rsid w:val="00AB0BEB"/>
    <w:rsid w:val="00AB0C95"/>
    <w:rsid w:val="00AB0E74"/>
    <w:rsid w:val="00AB0EAC"/>
    <w:rsid w:val="00AB19A8"/>
    <w:rsid w:val="00AB1E83"/>
    <w:rsid w:val="00AB1F58"/>
    <w:rsid w:val="00AB21DA"/>
    <w:rsid w:val="00AB225C"/>
    <w:rsid w:val="00AB2467"/>
    <w:rsid w:val="00AB25A4"/>
    <w:rsid w:val="00AB28A7"/>
    <w:rsid w:val="00AB292E"/>
    <w:rsid w:val="00AB2CA4"/>
    <w:rsid w:val="00AB31E8"/>
    <w:rsid w:val="00AB3B2D"/>
    <w:rsid w:val="00AB3BA1"/>
    <w:rsid w:val="00AB3D10"/>
    <w:rsid w:val="00AB4026"/>
    <w:rsid w:val="00AB4ABB"/>
    <w:rsid w:val="00AB5121"/>
    <w:rsid w:val="00AB5461"/>
    <w:rsid w:val="00AB565A"/>
    <w:rsid w:val="00AB59B8"/>
    <w:rsid w:val="00AB6531"/>
    <w:rsid w:val="00AB67A6"/>
    <w:rsid w:val="00AB6CCA"/>
    <w:rsid w:val="00AB6F2A"/>
    <w:rsid w:val="00AB6F67"/>
    <w:rsid w:val="00AB786F"/>
    <w:rsid w:val="00AC01A5"/>
    <w:rsid w:val="00AC0313"/>
    <w:rsid w:val="00AC0D1C"/>
    <w:rsid w:val="00AC12B8"/>
    <w:rsid w:val="00AC14FC"/>
    <w:rsid w:val="00AC171B"/>
    <w:rsid w:val="00AC2186"/>
    <w:rsid w:val="00AC2AFF"/>
    <w:rsid w:val="00AC2D9E"/>
    <w:rsid w:val="00AC3860"/>
    <w:rsid w:val="00AC3E67"/>
    <w:rsid w:val="00AC406E"/>
    <w:rsid w:val="00AC457B"/>
    <w:rsid w:val="00AC50BB"/>
    <w:rsid w:val="00AC51A5"/>
    <w:rsid w:val="00AC52D9"/>
    <w:rsid w:val="00AC5979"/>
    <w:rsid w:val="00AC5C4C"/>
    <w:rsid w:val="00AC5D7B"/>
    <w:rsid w:val="00AC5DC7"/>
    <w:rsid w:val="00AC6742"/>
    <w:rsid w:val="00AC6BE6"/>
    <w:rsid w:val="00AC6D7D"/>
    <w:rsid w:val="00AC6F94"/>
    <w:rsid w:val="00AC7151"/>
    <w:rsid w:val="00AC7173"/>
    <w:rsid w:val="00AC75B2"/>
    <w:rsid w:val="00AC7C16"/>
    <w:rsid w:val="00AC7D2D"/>
    <w:rsid w:val="00AC7D64"/>
    <w:rsid w:val="00AC7D83"/>
    <w:rsid w:val="00AC7E3C"/>
    <w:rsid w:val="00AD0481"/>
    <w:rsid w:val="00AD04D3"/>
    <w:rsid w:val="00AD07B3"/>
    <w:rsid w:val="00AD09BA"/>
    <w:rsid w:val="00AD0B01"/>
    <w:rsid w:val="00AD0CD3"/>
    <w:rsid w:val="00AD1081"/>
    <w:rsid w:val="00AD124E"/>
    <w:rsid w:val="00AD1A09"/>
    <w:rsid w:val="00AD1B87"/>
    <w:rsid w:val="00AD21B2"/>
    <w:rsid w:val="00AD29E0"/>
    <w:rsid w:val="00AD4A3C"/>
    <w:rsid w:val="00AD4A89"/>
    <w:rsid w:val="00AD4E42"/>
    <w:rsid w:val="00AD5117"/>
    <w:rsid w:val="00AD53C1"/>
    <w:rsid w:val="00AD547D"/>
    <w:rsid w:val="00AD591C"/>
    <w:rsid w:val="00AD5BA9"/>
    <w:rsid w:val="00AD60CF"/>
    <w:rsid w:val="00AD6662"/>
    <w:rsid w:val="00AD6A88"/>
    <w:rsid w:val="00AD6F42"/>
    <w:rsid w:val="00AD6F61"/>
    <w:rsid w:val="00AD70BB"/>
    <w:rsid w:val="00AD77D1"/>
    <w:rsid w:val="00AD7B8A"/>
    <w:rsid w:val="00AE02FE"/>
    <w:rsid w:val="00AE062E"/>
    <w:rsid w:val="00AE0830"/>
    <w:rsid w:val="00AE0895"/>
    <w:rsid w:val="00AE0916"/>
    <w:rsid w:val="00AE1227"/>
    <w:rsid w:val="00AE1751"/>
    <w:rsid w:val="00AE19A0"/>
    <w:rsid w:val="00AE22B8"/>
    <w:rsid w:val="00AE23F9"/>
    <w:rsid w:val="00AE271A"/>
    <w:rsid w:val="00AE2C2C"/>
    <w:rsid w:val="00AE2DC1"/>
    <w:rsid w:val="00AE3053"/>
    <w:rsid w:val="00AE36CC"/>
    <w:rsid w:val="00AE3C64"/>
    <w:rsid w:val="00AE3CC7"/>
    <w:rsid w:val="00AE3F2C"/>
    <w:rsid w:val="00AE455B"/>
    <w:rsid w:val="00AE4DB4"/>
    <w:rsid w:val="00AE51D7"/>
    <w:rsid w:val="00AE521B"/>
    <w:rsid w:val="00AE65B3"/>
    <w:rsid w:val="00AE68C3"/>
    <w:rsid w:val="00AE73C3"/>
    <w:rsid w:val="00AE76CF"/>
    <w:rsid w:val="00AF089A"/>
    <w:rsid w:val="00AF08FF"/>
    <w:rsid w:val="00AF09D3"/>
    <w:rsid w:val="00AF0AA5"/>
    <w:rsid w:val="00AF0CAA"/>
    <w:rsid w:val="00AF0CB8"/>
    <w:rsid w:val="00AF0F0D"/>
    <w:rsid w:val="00AF0FCE"/>
    <w:rsid w:val="00AF1A26"/>
    <w:rsid w:val="00AF2382"/>
    <w:rsid w:val="00AF274B"/>
    <w:rsid w:val="00AF2BF1"/>
    <w:rsid w:val="00AF2D0E"/>
    <w:rsid w:val="00AF37DA"/>
    <w:rsid w:val="00AF37FE"/>
    <w:rsid w:val="00AF3CA7"/>
    <w:rsid w:val="00AF43CC"/>
    <w:rsid w:val="00AF4568"/>
    <w:rsid w:val="00AF48B3"/>
    <w:rsid w:val="00AF54AC"/>
    <w:rsid w:val="00AF5504"/>
    <w:rsid w:val="00AF5893"/>
    <w:rsid w:val="00AF59E4"/>
    <w:rsid w:val="00AF5D80"/>
    <w:rsid w:val="00AF5EE3"/>
    <w:rsid w:val="00AF61AA"/>
    <w:rsid w:val="00AF72B8"/>
    <w:rsid w:val="00AF76D5"/>
    <w:rsid w:val="00AF7F40"/>
    <w:rsid w:val="00B00127"/>
    <w:rsid w:val="00B008B5"/>
    <w:rsid w:val="00B00959"/>
    <w:rsid w:val="00B00DEF"/>
    <w:rsid w:val="00B00EFA"/>
    <w:rsid w:val="00B01176"/>
    <w:rsid w:val="00B028E4"/>
    <w:rsid w:val="00B0341E"/>
    <w:rsid w:val="00B03E70"/>
    <w:rsid w:val="00B04E4F"/>
    <w:rsid w:val="00B04F70"/>
    <w:rsid w:val="00B05289"/>
    <w:rsid w:val="00B059A9"/>
    <w:rsid w:val="00B05B28"/>
    <w:rsid w:val="00B05CCE"/>
    <w:rsid w:val="00B05FA5"/>
    <w:rsid w:val="00B062CD"/>
    <w:rsid w:val="00B06B4F"/>
    <w:rsid w:val="00B06E01"/>
    <w:rsid w:val="00B071D4"/>
    <w:rsid w:val="00B07D95"/>
    <w:rsid w:val="00B100F7"/>
    <w:rsid w:val="00B1085A"/>
    <w:rsid w:val="00B10AB7"/>
    <w:rsid w:val="00B11528"/>
    <w:rsid w:val="00B11C93"/>
    <w:rsid w:val="00B12169"/>
    <w:rsid w:val="00B1272B"/>
    <w:rsid w:val="00B12B42"/>
    <w:rsid w:val="00B1359E"/>
    <w:rsid w:val="00B13D1F"/>
    <w:rsid w:val="00B13E4A"/>
    <w:rsid w:val="00B1413B"/>
    <w:rsid w:val="00B146F8"/>
    <w:rsid w:val="00B14C4D"/>
    <w:rsid w:val="00B14E03"/>
    <w:rsid w:val="00B14F35"/>
    <w:rsid w:val="00B1560A"/>
    <w:rsid w:val="00B157B4"/>
    <w:rsid w:val="00B15CB1"/>
    <w:rsid w:val="00B15FF8"/>
    <w:rsid w:val="00B16194"/>
    <w:rsid w:val="00B16403"/>
    <w:rsid w:val="00B1655A"/>
    <w:rsid w:val="00B166B3"/>
    <w:rsid w:val="00B173C6"/>
    <w:rsid w:val="00B173E0"/>
    <w:rsid w:val="00B20020"/>
    <w:rsid w:val="00B20440"/>
    <w:rsid w:val="00B20446"/>
    <w:rsid w:val="00B2123B"/>
    <w:rsid w:val="00B2129A"/>
    <w:rsid w:val="00B21C4F"/>
    <w:rsid w:val="00B21CEA"/>
    <w:rsid w:val="00B21F7F"/>
    <w:rsid w:val="00B2267D"/>
    <w:rsid w:val="00B2275D"/>
    <w:rsid w:val="00B22EAF"/>
    <w:rsid w:val="00B234DF"/>
    <w:rsid w:val="00B239C9"/>
    <w:rsid w:val="00B23B06"/>
    <w:rsid w:val="00B24419"/>
    <w:rsid w:val="00B249FF"/>
    <w:rsid w:val="00B24B8C"/>
    <w:rsid w:val="00B2513B"/>
    <w:rsid w:val="00B25AD0"/>
    <w:rsid w:val="00B25CE5"/>
    <w:rsid w:val="00B25E96"/>
    <w:rsid w:val="00B25F6C"/>
    <w:rsid w:val="00B26579"/>
    <w:rsid w:val="00B26E41"/>
    <w:rsid w:val="00B27967"/>
    <w:rsid w:val="00B27B40"/>
    <w:rsid w:val="00B27B63"/>
    <w:rsid w:val="00B306AF"/>
    <w:rsid w:val="00B30800"/>
    <w:rsid w:val="00B308A7"/>
    <w:rsid w:val="00B313F2"/>
    <w:rsid w:val="00B313F9"/>
    <w:rsid w:val="00B315BC"/>
    <w:rsid w:val="00B31C95"/>
    <w:rsid w:val="00B31CBF"/>
    <w:rsid w:val="00B31DA1"/>
    <w:rsid w:val="00B31DEA"/>
    <w:rsid w:val="00B31E5A"/>
    <w:rsid w:val="00B31FAC"/>
    <w:rsid w:val="00B320F4"/>
    <w:rsid w:val="00B3268F"/>
    <w:rsid w:val="00B32A27"/>
    <w:rsid w:val="00B32F1A"/>
    <w:rsid w:val="00B33802"/>
    <w:rsid w:val="00B3380F"/>
    <w:rsid w:val="00B33CCA"/>
    <w:rsid w:val="00B33E9C"/>
    <w:rsid w:val="00B33FB0"/>
    <w:rsid w:val="00B3421C"/>
    <w:rsid w:val="00B34268"/>
    <w:rsid w:val="00B3440A"/>
    <w:rsid w:val="00B345E0"/>
    <w:rsid w:val="00B3507E"/>
    <w:rsid w:val="00B358AC"/>
    <w:rsid w:val="00B3615E"/>
    <w:rsid w:val="00B363BE"/>
    <w:rsid w:val="00B369ED"/>
    <w:rsid w:val="00B36B12"/>
    <w:rsid w:val="00B3702D"/>
    <w:rsid w:val="00B37335"/>
    <w:rsid w:val="00B40499"/>
    <w:rsid w:val="00B40A66"/>
    <w:rsid w:val="00B40DB2"/>
    <w:rsid w:val="00B40DDD"/>
    <w:rsid w:val="00B42650"/>
    <w:rsid w:val="00B42C52"/>
    <w:rsid w:val="00B43207"/>
    <w:rsid w:val="00B433DD"/>
    <w:rsid w:val="00B4342A"/>
    <w:rsid w:val="00B439DD"/>
    <w:rsid w:val="00B43E0D"/>
    <w:rsid w:val="00B441D9"/>
    <w:rsid w:val="00B44271"/>
    <w:rsid w:val="00B447A2"/>
    <w:rsid w:val="00B44A92"/>
    <w:rsid w:val="00B44B37"/>
    <w:rsid w:val="00B44EA6"/>
    <w:rsid w:val="00B452BD"/>
    <w:rsid w:val="00B45A6E"/>
    <w:rsid w:val="00B45FA2"/>
    <w:rsid w:val="00B46534"/>
    <w:rsid w:val="00B4679A"/>
    <w:rsid w:val="00B46881"/>
    <w:rsid w:val="00B46CB0"/>
    <w:rsid w:val="00B46EEA"/>
    <w:rsid w:val="00B473F5"/>
    <w:rsid w:val="00B506F6"/>
    <w:rsid w:val="00B5070F"/>
    <w:rsid w:val="00B50BC4"/>
    <w:rsid w:val="00B51382"/>
    <w:rsid w:val="00B51535"/>
    <w:rsid w:val="00B51A86"/>
    <w:rsid w:val="00B51CFF"/>
    <w:rsid w:val="00B52244"/>
    <w:rsid w:val="00B52267"/>
    <w:rsid w:val="00B52688"/>
    <w:rsid w:val="00B528ED"/>
    <w:rsid w:val="00B52C54"/>
    <w:rsid w:val="00B53715"/>
    <w:rsid w:val="00B540C0"/>
    <w:rsid w:val="00B547A8"/>
    <w:rsid w:val="00B54E55"/>
    <w:rsid w:val="00B54EB6"/>
    <w:rsid w:val="00B55723"/>
    <w:rsid w:val="00B5574D"/>
    <w:rsid w:val="00B55CA5"/>
    <w:rsid w:val="00B55D31"/>
    <w:rsid w:val="00B55DA0"/>
    <w:rsid w:val="00B5630B"/>
    <w:rsid w:val="00B564E7"/>
    <w:rsid w:val="00B5706B"/>
    <w:rsid w:val="00B571AC"/>
    <w:rsid w:val="00B5721B"/>
    <w:rsid w:val="00B577D9"/>
    <w:rsid w:val="00B578C9"/>
    <w:rsid w:val="00B57938"/>
    <w:rsid w:val="00B5793B"/>
    <w:rsid w:val="00B57CCA"/>
    <w:rsid w:val="00B57F4C"/>
    <w:rsid w:val="00B606BA"/>
    <w:rsid w:val="00B60A67"/>
    <w:rsid w:val="00B6138E"/>
    <w:rsid w:val="00B61495"/>
    <w:rsid w:val="00B61D4E"/>
    <w:rsid w:val="00B62541"/>
    <w:rsid w:val="00B628D6"/>
    <w:rsid w:val="00B62A0A"/>
    <w:rsid w:val="00B62E05"/>
    <w:rsid w:val="00B62EFB"/>
    <w:rsid w:val="00B63930"/>
    <w:rsid w:val="00B6397E"/>
    <w:rsid w:val="00B63D3C"/>
    <w:rsid w:val="00B63D9F"/>
    <w:rsid w:val="00B63DE9"/>
    <w:rsid w:val="00B63E26"/>
    <w:rsid w:val="00B640AC"/>
    <w:rsid w:val="00B64A43"/>
    <w:rsid w:val="00B64CEA"/>
    <w:rsid w:val="00B6504D"/>
    <w:rsid w:val="00B650FB"/>
    <w:rsid w:val="00B6515C"/>
    <w:rsid w:val="00B65627"/>
    <w:rsid w:val="00B65BA7"/>
    <w:rsid w:val="00B66535"/>
    <w:rsid w:val="00B67E8C"/>
    <w:rsid w:val="00B7005E"/>
    <w:rsid w:val="00B70069"/>
    <w:rsid w:val="00B70590"/>
    <w:rsid w:val="00B707F8"/>
    <w:rsid w:val="00B70DAA"/>
    <w:rsid w:val="00B71FC4"/>
    <w:rsid w:val="00B71FE6"/>
    <w:rsid w:val="00B7202A"/>
    <w:rsid w:val="00B720AE"/>
    <w:rsid w:val="00B725CC"/>
    <w:rsid w:val="00B725ED"/>
    <w:rsid w:val="00B7268F"/>
    <w:rsid w:val="00B72E6E"/>
    <w:rsid w:val="00B738A1"/>
    <w:rsid w:val="00B73CEF"/>
    <w:rsid w:val="00B73D6A"/>
    <w:rsid w:val="00B743A4"/>
    <w:rsid w:val="00B7440C"/>
    <w:rsid w:val="00B74754"/>
    <w:rsid w:val="00B74C11"/>
    <w:rsid w:val="00B74D8D"/>
    <w:rsid w:val="00B75028"/>
    <w:rsid w:val="00B750D6"/>
    <w:rsid w:val="00B75780"/>
    <w:rsid w:val="00B75AA9"/>
    <w:rsid w:val="00B75ABB"/>
    <w:rsid w:val="00B769D3"/>
    <w:rsid w:val="00B76CAA"/>
    <w:rsid w:val="00B77280"/>
    <w:rsid w:val="00B77358"/>
    <w:rsid w:val="00B77B17"/>
    <w:rsid w:val="00B77F89"/>
    <w:rsid w:val="00B80078"/>
    <w:rsid w:val="00B8081D"/>
    <w:rsid w:val="00B80B4A"/>
    <w:rsid w:val="00B80F86"/>
    <w:rsid w:val="00B81061"/>
    <w:rsid w:val="00B81464"/>
    <w:rsid w:val="00B818B2"/>
    <w:rsid w:val="00B8218D"/>
    <w:rsid w:val="00B82472"/>
    <w:rsid w:val="00B82C53"/>
    <w:rsid w:val="00B82F36"/>
    <w:rsid w:val="00B83530"/>
    <w:rsid w:val="00B84872"/>
    <w:rsid w:val="00B84A3B"/>
    <w:rsid w:val="00B84D5D"/>
    <w:rsid w:val="00B84DA4"/>
    <w:rsid w:val="00B85085"/>
    <w:rsid w:val="00B85812"/>
    <w:rsid w:val="00B85891"/>
    <w:rsid w:val="00B85B86"/>
    <w:rsid w:val="00B86586"/>
    <w:rsid w:val="00B86B92"/>
    <w:rsid w:val="00B90391"/>
    <w:rsid w:val="00B90645"/>
    <w:rsid w:val="00B90653"/>
    <w:rsid w:val="00B90A0D"/>
    <w:rsid w:val="00B90CA2"/>
    <w:rsid w:val="00B913DA"/>
    <w:rsid w:val="00B91603"/>
    <w:rsid w:val="00B917A8"/>
    <w:rsid w:val="00B9192F"/>
    <w:rsid w:val="00B91CE3"/>
    <w:rsid w:val="00B92169"/>
    <w:rsid w:val="00B921EE"/>
    <w:rsid w:val="00B92857"/>
    <w:rsid w:val="00B92ABF"/>
    <w:rsid w:val="00B93109"/>
    <w:rsid w:val="00B93273"/>
    <w:rsid w:val="00B93577"/>
    <w:rsid w:val="00B937AA"/>
    <w:rsid w:val="00B93A05"/>
    <w:rsid w:val="00B93B42"/>
    <w:rsid w:val="00B94768"/>
    <w:rsid w:val="00B948D2"/>
    <w:rsid w:val="00B95A32"/>
    <w:rsid w:val="00B96FB6"/>
    <w:rsid w:val="00B97078"/>
    <w:rsid w:val="00B97198"/>
    <w:rsid w:val="00B97396"/>
    <w:rsid w:val="00B973E2"/>
    <w:rsid w:val="00B97587"/>
    <w:rsid w:val="00BA0222"/>
    <w:rsid w:val="00BA0AD9"/>
    <w:rsid w:val="00BA0CA6"/>
    <w:rsid w:val="00BA0F42"/>
    <w:rsid w:val="00BA14E9"/>
    <w:rsid w:val="00BA15F6"/>
    <w:rsid w:val="00BA1811"/>
    <w:rsid w:val="00BA1AE3"/>
    <w:rsid w:val="00BA1CBC"/>
    <w:rsid w:val="00BA1FF8"/>
    <w:rsid w:val="00BA2D0A"/>
    <w:rsid w:val="00BA2FFC"/>
    <w:rsid w:val="00BA41E2"/>
    <w:rsid w:val="00BA43D4"/>
    <w:rsid w:val="00BA4C24"/>
    <w:rsid w:val="00BA4C80"/>
    <w:rsid w:val="00BA4D88"/>
    <w:rsid w:val="00BA4FB1"/>
    <w:rsid w:val="00BA595C"/>
    <w:rsid w:val="00BA5BE4"/>
    <w:rsid w:val="00BA627C"/>
    <w:rsid w:val="00BA6C77"/>
    <w:rsid w:val="00BA7846"/>
    <w:rsid w:val="00BA7963"/>
    <w:rsid w:val="00BB0316"/>
    <w:rsid w:val="00BB0C34"/>
    <w:rsid w:val="00BB0EAB"/>
    <w:rsid w:val="00BB113E"/>
    <w:rsid w:val="00BB1616"/>
    <w:rsid w:val="00BB1657"/>
    <w:rsid w:val="00BB1B50"/>
    <w:rsid w:val="00BB1D04"/>
    <w:rsid w:val="00BB1F95"/>
    <w:rsid w:val="00BB236F"/>
    <w:rsid w:val="00BB27CE"/>
    <w:rsid w:val="00BB304F"/>
    <w:rsid w:val="00BB3198"/>
    <w:rsid w:val="00BB39EC"/>
    <w:rsid w:val="00BB3E6D"/>
    <w:rsid w:val="00BB46CB"/>
    <w:rsid w:val="00BB4942"/>
    <w:rsid w:val="00BB51B1"/>
    <w:rsid w:val="00BB5288"/>
    <w:rsid w:val="00BB52F5"/>
    <w:rsid w:val="00BB5AEC"/>
    <w:rsid w:val="00BB61B3"/>
    <w:rsid w:val="00BB6868"/>
    <w:rsid w:val="00BB6AB5"/>
    <w:rsid w:val="00BB6D3D"/>
    <w:rsid w:val="00BB7719"/>
    <w:rsid w:val="00BC05B4"/>
    <w:rsid w:val="00BC0E81"/>
    <w:rsid w:val="00BC0FC1"/>
    <w:rsid w:val="00BC1999"/>
    <w:rsid w:val="00BC200A"/>
    <w:rsid w:val="00BC255F"/>
    <w:rsid w:val="00BC28AE"/>
    <w:rsid w:val="00BC2C05"/>
    <w:rsid w:val="00BC3003"/>
    <w:rsid w:val="00BC3138"/>
    <w:rsid w:val="00BC3647"/>
    <w:rsid w:val="00BC3648"/>
    <w:rsid w:val="00BC3A1C"/>
    <w:rsid w:val="00BC4A37"/>
    <w:rsid w:val="00BC4AAC"/>
    <w:rsid w:val="00BC4AB6"/>
    <w:rsid w:val="00BC4B7B"/>
    <w:rsid w:val="00BC4D3D"/>
    <w:rsid w:val="00BC58B1"/>
    <w:rsid w:val="00BC6032"/>
    <w:rsid w:val="00BC617E"/>
    <w:rsid w:val="00BC62B7"/>
    <w:rsid w:val="00BC6433"/>
    <w:rsid w:val="00BC664F"/>
    <w:rsid w:val="00BC7420"/>
    <w:rsid w:val="00BC74A8"/>
    <w:rsid w:val="00BC7526"/>
    <w:rsid w:val="00BC7A6E"/>
    <w:rsid w:val="00BC7F26"/>
    <w:rsid w:val="00BD090B"/>
    <w:rsid w:val="00BD0C05"/>
    <w:rsid w:val="00BD15BD"/>
    <w:rsid w:val="00BD202E"/>
    <w:rsid w:val="00BD2134"/>
    <w:rsid w:val="00BD22C1"/>
    <w:rsid w:val="00BD3287"/>
    <w:rsid w:val="00BD44DA"/>
    <w:rsid w:val="00BD4990"/>
    <w:rsid w:val="00BD5467"/>
    <w:rsid w:val="00BD5506"/>
    <w:rsid w:val="00BD5A8A"/>
    <w:rsid w:val="00BD5D3B"/>
    <w:rsid w:val="00BD5D9D"/>
    <w:rsid w:val="00BD658A"/>
    <w:rsid w:val="00BD6594"/>
    <w:rsid w:val="00BD67C7"/>
    <w:rsid w:val="00BD6C59"/>
    <w:rsid w:val="00BD6F6A"/>
    <w:rsid w:val="00BD7275"/>
    <w:rsid w:val="00BD738E"/>
    <w:rsid w:val="00BD76D0"/>
    <w:rsid w:val="00BD7769"/>
    <w:rsid w:val="00BD7BF7"/>
    <w:rsid w:val="00BE013F"/>
    <w:rsid w:val="00BE05CD"/>
    <w:rsid w:val="00BE0DF4"/>
    <w:rsid w:val="00BE0F31"/>
    <w:rsid w:val="00BE14D5"/>
    <w:rsid w:val="00BE1A93"/>
    <w:rsid w:val="00BE1AC3"/>
    <w:rsid w:val="00BE2824"/>
    <w:rsid w:val="00BE2D19"/>
    <w:rsid w:val="00BE2EB7"/>
    <w:rsid w:val="00BE2F01"/>
    <w:rsid w:val="00BE3237"/>
    <w:rsid w:val="00BE3500"/>
    <w:rsid w:val="00BE3C21"/>
    <w:rsid w:val="00BE425A"/>
    <w:rsid w:val="00BE46B0"/>
    <w:rsid w:val="00BE4A3F"/>
    <w:rsid w:val="00BE4A91"/>
    <w:rsid w:val="00BE5264"/>
    <w:rsid w:val="00BE53DD"/>
    <w:rsid w:val="00BE554D"/>
    <w:rsid w:val="00BE5CA2"/>
    <w:rsid w:val="00BE60A1"/>
    <w:rsid w:val="00BE66DE"/>
    <w:rsid w:val="00BE7172"/>
    <w:rsid w:val="00BE74B9"/>
    <w:rsid w:val="00BE78D6"/>
    <w:rsid w:val="00BE7EE3"/>
    <w:rsid w:val="00BF016E"/>
    <w:rsid w:val="00BF0467"/>
    <w:rsid w:val="00BF0499"/>
    <w:rsid w:val="00BF0538"/>
    <w:rsid w:val="00BF053B"/>
    <w:rsid w:val="00BF0784"/>
    <w:rsid w:val="00BF08A0"/>
    <w:rsid w:val="00BF09AE"/>
    <w:rsid w:val="00BF0C0F"/>
    <w:rsid w:val="00BF1242"/>
    <w:rsid w:val="00BF133F"/>
    <w:rsid w:val="00BF1993"/>
    <w:rsid w:val="00BF1B17"/>
    <w:rsid w:val="00BF20D3"/>
    <w:rsid w:val="00BF2379"/>
    <w:rsid w:val="00BF2429"/>
    <w:rsid w:val="00BF2568"/>
    <w:rsid w:val="00BF2692"/>
    <w:rsid w:val="00BF2719"/>
    <w:rsid w:val="00BF2783"/>
    <w:rsid w:val="00BF2E41"/>
    <w:rsid w:val="00BF2E8B"/>
    <w:rsid w:val="00BF3020"/>
    <w:rsid w:val="00BF31E9"/>
    <w:rsid w:val="00BF41BF"/>
    <w:rsid w:val="00BF4239"/>
    <w:rsid w:val="00BF430F"/>
    <w:rsid w:val="00BF43B0"/>
    <w:rsid w:val="00BF4474"/>
    <w:rsid w:val="00BF4680"/>
    <w:rsid w:val="00BF4964"/>
    <w:rsid w:val="00BF4B65"/>
    <w:rsid w:val="00BF56F1"/>
    <w:rsid w:val="00BF57E6"/>
    <w:rsid w:val="00BF6145"/>
    <w:rsid w:val="00BF61AC"/>
    <w:rsid w:val="00BF677A"/>
    <w:rsid w:val="00BF6A7C"/>
    <w:rsid w:val="00BF7321"/>
    <w:rsid w:val="00BF73DF"/>
    <w:rsid w:val="00BF7676"/>
    <w:rsid w:val="00C0022B"/>
    <w:rsid w:val="00C00476"/>
    <w:rsid w:val="00C00C0D"/>
    <w:rsid w:val="00C01442"/>
    <w:rsid w:val="00C0195C"/>
    <w:rsid w:val="00C01C9A"/>
    <w:rsid w:val="00C01D0A"/>
    <w:rsid w:val="00C01E45"/>
    <w:rsid w:val="00C0219F"/>
    <w:rsid w:val="00C02647"/>
    <w:rsid w:val="00C033C9"/>
    <w:rsid w:val="00C0345E"/>
    <w:rsid w:val="00C037E6"/>
    <w:rsid w:val="00C0383C"/>
    <w:rsid w:val="00C03916"/>
    <w:rsid w:val="00C03A17"/>
    <w:rsid w:val="00C04329"/>
    <w:rsid w:val="00C04389"/>
    <w:rsid w:val="00C045C1"/>
    <w:rsid w:val="00C04E79"/>
    <w:rsid w:val="00C05FB7"/>
    <w:rsid w:val="00C06111"/>
    <w:rsid w:val="00C06130"/>
    <w:rsid w:val="00C0624B"/>
    <w:rsid w:val="00C0646F"/>
    <w:rsid w:val="00C069F1"/>
    <w:rsid w:val="00C077A2"/>
    <w:rsid w:val="00C077EE"/>
    <w:rsid w:val="00C07E84"/>
    <w:rsid w:val="00C10667"/>
    <w:rsid w:val="00C11291"/>
    <w:rsid w:val="00C1162B"/>
    <w:rsid w:val="00C11664"/>
    <w:rsid w:val="00C11930"/>
    <w:rsid w:val="00C1265E"/>
    <w:rsid w:val="00C12CF8"/>
    <w:rsid w:val="00C12DEC"/>
    <w:rsid w:val="00C133B1"/>
    <w:rsid w:val="00C13840"/>
    <w:rsid w:val="00C13B70"/>
    <w:rsid w:val="00C13BF4"/>
    <w:rsid w:val="00C1401A"/>
    <w:rsid w:val="00C14688"/>
    <w:rsid w:val="00C14773"/>
    <w:rsid w:val="00C14A0B"/>
    <w:rsid w:val="00C15299"/>
    <w:rsid w:val="00C153F2"/>
    <w:rsid w:val="00C15633"/>
    <w:rsid w:val="00C15725"/>
    <w:rsid w:val="00C15C74"/>
    <w:rsid w:val="00C1669F"/>
    <w:rsid w:val="00C166BB"/>
    <w:rsid w:val="00C16B3B"/>
    <w:rsid w:val="00C170E4"/>
    <w:rsid w:val="00C172A4"/>
    <w:rsid w:val="00C17389"/>
    <w:rsid w:val="00C179C6"/>
    <w:rsid w:val="00C17A11"/>
    <w:rsid w:val="00C17F7C"/>
    <w:rsid w:val="00C212DC"/>
    <w:rsid w:val="00C21893"/>
    <w:rsid w:val="00C21BB9"/>
    <w:rsid w:val="00C2223B"/>
    <w:rsid w:val="00C22A63"/>
    <w:rsid w:val="00C2360C"/>
    <w:rsid w:val="00C239D1"/>
    <w:rsid w:val="00C23AF8"/>
    <w:rsid w:val="00C242AA"/>
    <w:rsid w:val="00C243AB"/>
    <w:rsid w:val="00C24647"/>
    <w:rsid w:val="00C249B1"/>
    <w:rsid w:val="00C24B2A"/>
    <w:rsid w:val="00C25228"/>
    <w:rsid w:val="00C266B8"/>
    <w:rsid w:val="00C2698E"/>
    <w:rsid w:val="00C26BE6"/>
    <w:rsid w:val="00C26EE9"/>
    <w:rsid w:val="00C2774B"/>
    <w:rsid w:val="00C30AE1"/>
    <w:rsid w:val="00C30B6F"/>
    <w:rsid w:val="00C30E99"/>
    <w:rsid w:val="00C30F9C"/>
    <w:rsid w:val="00C3145B"/>
    <w:rsid w:val="00C314B5"/>
    <w:rsid w:val="00C322C9"/>
    <w:rsid w:val="00C3266A"/>
    <w:rsid w:val="00C3293E"/>
    <w:rsid w:val="00C330B4"/>
    <w:rsid w:val="00C335E3"/>
    <w:rsid w:val="00C33E1D"/>
    <w:rsid w:val="00C341A6"/>
    <w:rsid w:val="00C345E8"/>
    <w:rsid w:val="00C34869"/>
    <w:rsid w:val="00C34B1D"/>
    <w:rsid w:val="00C3558E"/>
    <w:rsid w:val="00C357BB"/>
    <w:rsid w:val="00C3594D"/>
    <w:rsid w:val="00C35D84"/>
    <w:rsid w:val="00C36763"/>
    <w:rsid w:val="00C36A62"/>
    <w:rsid w:val="00C36D9B"/>
    <w:rsid w:val="00C36F54"/>
    <w:rsid w:val="00C370A3"/>
    <w:rsid w:val="00C37282"/>
    <w:rsid w:val="00C377F3"/>
    <w:rsid w:val="00C400F4"/>
    <w:rsid w:val="00C4014D"/>
    <w:rsid w:val="00C401F7"/>
    <w:rsid w:val="00C40441"/>
    <w:rsid w:val="00C40873"/>
    <w:rsid w:val="00C40D13"/>
    <w:rsid w:val="00C41A95"/>
    <w:rsid w:val="00C41C1D"/>
    <w:rsid w:val="00C41CB0"/>
    <w:rsid w:val="00C41CB8"/>
    <w:rsid w:val="00C4235F"/>
    <w:rsid w:val="00C423E9"/>
    <w:rsid w:val="00C425B6"/>
    <w:rsid w:val="00C42744"/>
    <w:rsid w:val="00C428B3"/>
    <w:rsid w:val="00C429EA"/>
    <w:rsid w:val="00C42AF4"/>
    <w:rsid w:val="00C43421"/>
    <w:rsid w:val="00C43566"/>
    <w:rsid w:val="00C43733"/>
    <w:rsid w:val="00C43B9C"/>
    <w:rsid w:val="00C44000"/>
    <w:rsid w:val="00C4437D"/>
    <w:rsid w:val="00C447CB"/>
    <w:rsid w:val="00C447DA"/>
    <w:rsid w:val="00C44D44"/>
    <w:rsid w:val="00C4509A"/>
    <w:rsid w:val="00C451C9"/>
    <w:rsid w:val="00C45888"/>
    <w:rsid w:val="00C45D69"/>
    <w:rsid w:val="00C461C7"/>
    <w:rsid w:val="00C46568"/>
    <w:rsid w:val="00C46850"/>
    <w:rsid w:val="00C46D06"/>
    <w:rsid w:val="00C46FA2"/>
    <w:rsid w:val="00C47144"/>
    <w:rsid w:val="00C475D0"/>
    <w:rsid w:val="00C47F9D"/>
    <w:rsid w:val="00C5000E"/>
    <w:rsid w:val="00C50703"/>
    <w:rsid w:val="00C50CD2"/>
    <w:rsid w:val="00C510BD"/>
    <w:rsid w:val="00C51C45"/>
    <w:rsid w:val="00C5239A"/>
    <w:rsid w:val="00C52D15"/>
    <w:rsid w:val="00C52F72"/>
    <w:rsid w:val="00C53077"/>
    <w:rsid w:val="00C53602"/>
    <w:rsid w:val="00C54571"/>
    <w:rsid w:val="00C545DC"/>
    <w:rsid w:val="00C54677"/>
    <w:rsid w:val="00C549FA"/>
    <w:rsid w:val="00C55227"/>
    <w:rsid w:val="00C5528C"/>
    <w:rsid w:val="00C55514"/>
    <w:rsid w:val="00C55908"/>
    <w:rsid w:val="00C56496"/>
    <w:rsid w:val="00C5661E"/>
    <w:rsid w:val="00C5671A"/>
    <w:rsid w:val="00C56F35"/>
    <w:rsid w:val="00C5700C"/>
    <w:rsid w:val="00C570DF"/>
    <w:rsid w:val="00C57219"/>
    <w:rsid w:val="00C57974"/>
    <w:rsid w:val="00C57DD2"/>
    <w:rsid w:val="00C57E2F"/>
    <w:rsid w:val="00C57F9C"/>
    <w:rsid w:val="00C602D5"/>
    <w:rsid w:val="00C60EBB"/>
    <w:rsid w:val="00C61968"/>
    <w:rsid w:val="00C61E60"/>
    <w:rsid w:val="00C61F42"/>
    <w:rsid w:val="00C622F7"/>
    <w:rsid w:val="00C626C6"/>
    <w:rsid w:val="00C62792"/>
    <w:rsid w:val="00C62A42"/>
    <w:rsid w:val="00C62C4D"/>
    <w:rsid w:val="00C63E18"/>
    <w:rsid w:val="00C64169"/>
    <w:rsid w:val="00C64288"/>
    <w:rsid w:val="00C644E6"/>
    <w:rsid w:val="00C64C05"/>
    <w:rsid w:val="00C64E50"/>
    <w:rsid w:val="00C64FC8"/>
    <w:rsid w:val="00C662A3"/>
    <w:rsid w:val="00C663F2"/>
    <w:rsid w:val="00C679D7"/>
    <w:rsid w:val="00C700E2"/>
    <w:rsid w:val="00C70194"/>
    <w:rsid w:val="00C707CC"/>
    <w:rsid w:val="00C71106"/>
    <w:rsid w:val="00C712E7"/>
    <w:rsid w:val="00C71503"/>
    <w:rsid w:val="00C7159B"/>
    <w:rsid w:val="00C718D7"/>
    <w:rsid w:val="00C71A37"/>
    <w:rsid w:val="00C71E72"/>
    <w:rsid w:val="00C72656"/>
    <w:rsid w:val="00C72BEC"/>
    <w:rsid w:val="00C732CF"/>
    <w:rsid w:val="00C73BF5"/>
    <w:rsid w:val="00C73C48"/>
    <w:rsid w:val="00C73F67"/>
    <w:rsid w:val="00C74683"/>
    <w:rsid w:val="00C74852"/>
    <w:rsid w:val="00C749CF"/>
    <w:rsid w:val="00C74FED"/>
    <w:rsid w:val="00C757A0"/>
    <w:rsid w:val="00C75D6B"/>
    <w:rsid w:val="00C761CD"/>
    <w:rsid w:val="00C776DB"/>
    <w:rsid w:val="00C77D0D"/>
    <w:rsid w:val="00C805FB"/>
    <w:rsid w:val="00C80C8C"/>
    <w:rsid w:val="00C80DEB"/>
    <w:rsid w:val="00C80F0F"/>
    <w:rsid w:val="00C814B7"/>
    <w:rsid w:val="00C816A6"/>
    <w:rsid w:val="00C81715"/>
    <w:rsid w:val="00C81AB4"/>
    <w:rsid w:val="00C81E8B"/>
    <w:rsid w:val="00C82313"/>
    <w:rsid w:val="00C827F9"/>
    <w:rsid w:val="00C82886"/>
    <w:rsid w:val="00C828CA"/>
    <w:rsid w:val="00C82FD1"/>
    <w:rsid w:val="00C830DE"/>
    <w:rsid w:val="00C8315E"/>
    <w:rsid w:val="00C83CF0"/>
    <w:rsid w:val="00C84455"/>
    <w:rsid w:val="00C84564"/>
    <w:rsid w:val="00C8482D"/>
    <w:rsid w:val="00C84BC5"/>
    <w:rsid w:val="00C84E95"/>
    <w:rsid w:val="00C852BF"/>
    <w:rsid w:val="00C85450"/>
    <w:rsid w:val="00C85D52"/>
    <w:rsid w:val="00C8608B"/>
    <w:rsid w:val="00C8670F"/>
    <w:rsid w:val="00C868B9"/>
    <w:rsid w:val="00C8713B"/>
    <w:rsid w:val="00C873F6"/>
    <w:rsid w:val="00C877D1"/>
    <w:rsid w:val="00C900C7"/>
    <w:rsid w:val="00C90418"/>
    <w:rsid w:val="00C905E4"/>
    <w:rsid w:val="00C909C1"/>
    <w:rsid w:val="00C90C09"/>
    <w:rsid w:val="00C90CCC"/>
    <w:rsid w:val="00C911D5"/>
    <w:rsid w:val="00C91824"/>
    <w:rsid w:val="00C91926"/>
    <w:rsid w:val="00C921F5"/>
    <w:rsid w:val="00C92456"/>
    <w:rsid w:val="00C92722"/>
    <w:rsid w:val="00C92953"/>
    <w:rsid w:val="00C92B1A"/>
    <w:rsid w:val="00C931C4"/>
    <w:rsid w:val="00C93673"/>
    <w:rsid w:val="00C93B6B"/>
    <w:rsid w:val="00C940AF"/>
    <w:rsid w:val="00C94245"/>
    <w:rsid w:val="00C95314"/>
    <w:rsid w:val="00C95A11"/>
    <w:rsid w:val="00C95AD0"/>
    <w:rsid w:val="00C95ED8"/>
    <w:rsid w:val="00C963C1"/>
    <w:rsid w:val="00C96530"/>
    <w:rsid w:val="00C968F6"/>
    <w:rsid w:val="00C96BF6"/>
    <w:rsid w:val="00C9718C"/>
    <w:rsid w:val="00C97617"/>
    <w:rsid w:val="00C97C16"/>
    <w:rsid w:val="00C97C28"/>
    <w:rsid w:val="00CA0045"/>
    <w:rsid w:val="00CA009F"/>
    <w:rsid w:val="00CA00AA"/>
    <w:rsid w:val="00CA0133"/>
    <w:rsid w:val="00CA0937"/>
    <w:rsid w:val="00CA0DB7"/>
    <w:rsid w:val="00CA0F98"/>
    <w:rsid w:val="00CA119C"/>
    <w:rsid w:val="00CA195A"/>
    <w:rsid w:val="00CA1AFE"/>
    <w:rsid w:val="00CA1FAF"/>
    <w:rsid w:val="00CA1FF9"/>
    <w:rsid w:val="00CA2400"/>
    <w:rsid w:val="00CA248D"/>
    <w:rsid w:val="00CA2640"/>
    <w:rsid w:val="00CA30DE"/>
    <w:rsid w:val="00CA3E27"/>
    <w:rsid w:val="00CA4662"/>
    <w:rsid w:val="00CA479B"/>
    <w:rsid w:val="00CA495D"/>
    <w:rsid w:val="00CA4C79"/>
    <w:rsid w:val="00CA4C8E"/>
    <w:rsid w:val="00CA4E29"/>
    <w:rsid w:val="00CA57D7"/>
    <w:rsid w:val="00CA67F2"/>
    <w:rsid w:val="00CA6970"/>
    <w:rsid w:val="00CA6C45"/>
    <w:rsid w:val="00CA6E27"/>
    <w:rsid w:val="00CA79F6"/>
    <w:rsid w:val="00CA7D1E"/>
    <w:rsid w:val="00CA7F03"/>
    <w:rsid w:val="00CA7F67"/>
    <w:rsid w:val="00CB023F"/>
    <w:rsid w:val="00CB07D2"/>
    <w:rsid w:val="00CB127B"/>
    <w:rsid w:val="00CB1721"/>
    <w:rsid w:val="00CB1989"/>
    <w:rsid w:val="00CB1C51"/>
    <w:rsid w:val="00CB1D74"/>
    <w:rsid w:val="00CB20E3"/>
    <w:rsid w:val="00CB2427"/>
    <w:rsid w:val="00CB3DB1"/>
    <w:rsid w:val="00CB4177"/>
    <w:rsid w:val="00CB4C8E"/>
    <w:rsid w:val="00CB4D59"/>
    <w:rsid w:val="00CB5A2D"/>
    <w:rsid w:val="00CB5B26"/>
    <w:rsid w:val="00CB5B48"/>
    <w:rsid w:val="00CB5D7E"/>
    <w:rsid w:val="00CB5E41"/>
    <w:rsid w:val="00CB6A89"/>
    <w:rsid w:val="00CB6B0C"/>
    <w:rsid w:val="00CB70E3"/>
    <w:rsid w:val="00CB7676"/>
    <w:rsid w:val="00CB7AD5"/>
    <w:rsid w:val="00CB7D9B"/>
    <w:rsid w:val="00CB7E7B"/>
    <w:rsid w:val="00CC006F"/>
    <w:rsid w:val="00CC0418"/>
    <w:rsid w:val="00CC07A6"/>
    <w:rsid w:val="00CC086A"/>
    <w:rsid w:val="00CC08BC"/>
    <w:rsid w:val="00CC140A"/>
    <w:rsid w:val="00CC188C"/>
    <w:rsid w:val="00CC1911"/>
    <w:rsid w:val="00CC1A13"/>
    <w:rsid w:val="00CC1D39"/>
    <w:rsid w:val="00CC1E5B"/>
    <w:rsid w:val="00CC271E"/>
    <w:rsid w:val="00CC2F39"/>
    <w:rsid w:val="00CC3C89"/>
    <w:rsid w:val="00CC4183"/>
    <w:rsid w:val="00CC4422"/>
    <w:rsid w:val="00CC4B22"/>
    <w:rsid w:val="00CC50D7"/>
    <w:rsid w:val="00CC526E"/>
    <w:rsid w:val="00CC588F"/>
    <w:rsid w:val="00CC58D8"/>
    <w:rsid w:val="00CC5F64"/>
    <w:rsid w:val="00CC61DA"/>
    <w:rsid w:val="00CC6396"/>
    <w:rsid w:val="00CC6497"/>
    <w:rsid w:val="00CC6520"/>
    <w:rsid w:val="00CC6534"/>
    <w:rsid w:val="00CC6997"/>
    <w:rsid w:val="00CC69D1"/>
    <w:rsid w:val="00CC7215"/>
    <w:rsid w:val="00CC774E"/>
    <w:rsid w:val="00CC7800"/>
    <w:rsid w:val="00CC782A"/>
    <w:rsid w:val="00CC794B"/>
    <w:rsid w:val="00CD07D1"/>
    <w:rsid w:val="00CD0FD7"/>
    <w:rsid w:val="00CD25C8"/>
    <w:rsid w:val="00CD2BE3"/>
    <w:rsid w:val="00CD2EF6"/>
    <w:rsid w:val="00CD34EB"/>
    <w:rsid w:val="00CD3C64"/>
    <w:rsid w:val="00CD40A5"/>
    <w:rsid w:val="00CD423B"/>
    <w:rsid w:val="00CD49E2"/>
    <w:rsid w:val="00CD4A6F"/>
    <w:rsid w:val="00CD5D6A"/>
    <w:rsid w:val="00CD5F82"/>
    <w:rsid w:val="00CD6052"/>
    <w:rsid w:val="00CD60A2"/>
    <w:rsid w:val="00CD612D"/>
    <w:rsid w:val="00CD6B13"/>
    <w:rsid w:val="00CD6CF3"/>
    <w:rsid w:val="00CD6D3C"/>
    <w:rsid w:val="00CD6F06"/>
    <w:rsid w:val="00CD7224"/>
    <w:rsid w:val="00CE0474"/>
    <w:rsid w:val="00CE0A76"/>
    <w:rsid w:val="00CE0A80"/>
    <w:rsid w:val="00CE0AAB"/>
    <w:rsid w:val="00CE0EEE"/>
    <w:rsid w:val="00CE12EA"/>
    <w:rsid w:val="00CE16C3"/>
    <w:rsid w:val="00CE1BCA"/>
    <w:rsid w:val="00CE2473"/>
    <w:rsid w:val="00CE2A94"/>
    <w:rsid w:val="00CE38AA"/>
    <w:rsid w:val="00CE3961"/>
    <w:rsid w:val="00CE445B"/>
    <w:rsid w:val="00CE44A1"/>
    <w:rsid w:val="00CE47BA"/>
    <w:rsid w:val="00CE47EE"/>
    <w:rsid w:val="00CE4B07"/>
    <w:rsid w:val="00CE51B0"/>
    <w:rsid w:val="00CE5345"/>
    <w:rsid w:val="00CE551A"/>
    <w:rsid w:val="00CE570E"/>
    <w:rsid w:val="00CE58B6"/>
    <w:rsid w:val="00CE58C1"/>
    <w:rsid w:val="00CE5E55"/>
    <w:rsid w:val="00CE5ED2"/>
    <w:rsid w:val="00CE6574"/>
    <w:rsid w:val="00CE6B22"/>
    <w:rsid w:val="00CE6B6A"/>
    <w:rsid w:val="00CE7258"/>
    <w:rsid w:val="00CE743B"/>
    <w:rsid w:val="00CE7BD2"/>
    <w:rsid w:val="00CF05C5"/>
    <w:rsid w:val="00CF09E3"/>
    <w:rsid w:val="00CF0BDB"/>
    <w:rsid w:val="00CF1546"/>
    <w:rsid w:val="00CF1D18"/>
    <w:rsid w:val="00CF1DBE"/>
    <w:rsid w:val="00CF1F7F"/>
    <w:rsid w:val="00CF225C"/>
    <w:rsid w:val="00CF276B"/>
    <w:rsid w:val="00CF29CE"/>
    <w:rsid w:val="00CF29E2"/>
    <w:rsid w:val="00CF2D0E"/>
    <w:rsid w:val="00CF2E5F"/>
    <w:rsid w:val="00CF3044"/>
    <w:rsid w:val="00CF3293"/>
    <w:rsid w:val="00CF32F4"/>
    <w:rsid w:val="00CF3AEF"/>
    <w:rsid w:val="00CF3D0F"/>
    <w:rsid w:val="00CF410C"/>
    <w:rsid w:val="00CF47D5"/>
    <w:rsid w:val="00CF4AA9"/>
    <w:rsid w:val="00CF4AB6"/>
    <w:rsid w:val="00CF52E0"/>
    <w:rsid w:val="00CF5477"/>
    <w:rsid w:val="00CF5ACD"/>
    <w:rsid w:val="00CF5E49"/>
    <w:rsid w:val="00CF5F76"/>
    <w:rsid w:val="00CF62EC"/>
    <w:rsid w:val="00CF695A"/>
    <w:rsid w:val="00CF6FBB"/>
    <w:rsid w:val="00CF7148"/>
    <w:rsid w:val="00CF72C6"/>
    <w:rsid w:val="00CF735D"/>
    <w:rsid w:val="00CF755A"/>
    <w:rsid w:val="00CF76AE"/>
    <w:rsid w:val="00CF7C81"/>
    <w:rsid w:val="00CF7D15"/>
    <w:rsid w:val="00D00389"/>
    <w:rsid w:val="00D00CAC"/>
    <w:rsid w:val="00D00E0D"/>
    <w:rsid w:val="00D00E79"/>
    <w:rsid w:val="00D0186E"/>
    <w:rsid w:val="00D02628"/>
    <w:rsid w:val="00D0283D"/>
    <w:rsid w:val="00D02BED"/>
    <w:rsid w:val="00D037AE"/>
    <w:rsid w:val="00D037D5"/>
    <w:rsid w:val="00D039A6"/>
    <w:rsid w:val="00D03A42"/>
    <w:rsid w:val="00D03BCF"/>
    <w:rsid w:val="00D0406D"/>
    <w:rsid w:val="00D044A1"/>
    <w:rsid w:val="00D047FB"/>
    <w:rsid w:val="00D04945"/>
    <w:rsid w:val="00D0496E"/>
    <w:rsid w:val="00D051B7"/>
    <w:rsid w:val="00D055B0"/>
    <w:rsid w:val="00D059AF"/>
    <w:rsid w:val="00D05F0F"/>
    <w:rsid w:val="00D064F8"/>
    <w:rsid w:val="00D06B44"/>
    <w:rsid w:val="00D06CE4"/>
    <w:rsid w:val="00D06D15"/>
    <w:rsid w:val="00D06F67"/>
    <w:rsid w:val="00D072DE"/>
    <w:rsid w:val="00D07403"/>
    <w:rsid w:val="00D075C1"/>
    <w:rsid w:val="00D07AA6"/>
    <w:rsid w:val="00D07DA1"/>
    <w:rsid w:val="00D07E1B"/>
    <w:rsid w:val="00D10407"/>
    <w:rsid w:val="00D1049C"/>
    <w:rsid w:val="00D105E2"/>
    <w:rsid w:val="00D10CA6"/>
    <w:rsid w:val="00D10EF6"/>
    <w:rsid w:val="00D1100E"/>
    <w:rsid w:val="00D11FAB"/>
    <w:rsid w:val="00D1234D"/>
    <w:rsid w:val="00D12FCD"/>
    <w:rsid w:val="00D1343E"/>
    <w:rsid w:val="00D1367D"/>
    <w:rsid w:val="00D139BB"/>
    <w:rsid w:val="00D139EE"/>
    <w:rsid w:val="00D13B7F"/>
    <w:rsid w:val="00D13C07"/>
    <w:rsid w:val="00D143F4"/>
    <w:rsid w:val="00D14444"/>
    <w:rsid w:val="00D1486F"/>
    <w:rsid w:val="00D148D7"/>
    <w:rsid w:val="00D1493E"/>
    <w:rsid w:val="00D1498F"/>
    <w:rsid w:val="00D1509A"/>
    <w:rsid w:val="00D1536D"/>
    <w:rsid w:val="00D1551A"/>
    <w:rsid w:val="00D1572E"/>
    <w:rsid w:val="00D1603E"/>
    <w:rsid w:val="00D169C0"/>
    <w:rsid w:val="00D171D2"/>
    <w:rsid w:val="00D175A0"/>
    <w:rsid w:val="00D20331"/>
    <w:rsid w:val="00D204B0"/>
    <w:rsid w:val="00D207B7"/>
    <w:rsid w:val="00D20B3E"/>
    <w:rsid w:val="00D20E3E"/>
    <w:rsid w:val="00D210F0"/>
    <w:rsid w:val="00D21A67"/>
    <w:rsid w:val="00D21A82"/>
    <w:rsid w:val="00D21BA8"/>
    <w:rsid w:val="00D21D3F"/>
    <w:rsid w:val="00D221DA"/>
    <w:rsid w:val="00D22248"/>
    <w:rsid w:val="00D2265D"/>
    <w:rsid w:val="00D231F7"/>
    <w:rsid w:val="00D23470"/>
    <w:rsid w:val="00D23C29"/>
    <w:rsid w:val="00D23EF9"/>
    <w:rsid w:val="00D24746"/>
    <w:rsid w:val="00D24B68"/>
    <w:rsid w:val="00D25382"/>
    <w:rsid w:val="00D257A5"/>
    <w:rsid w:val="00D258CC"/>
    <w:rsid w:val="00D25A01"/>
    <w:rsid w:val="00D25AEB"/>
    <w:rsid w:val="00D25CCE"/>
    <w:rsid w:val="00D2638B"/>
    <w:rsid w:val="00D2652F"/>
    <w:rsid w:val="00D26686"/>
    <w:rsid w:val="00D268A9"/>
    <w:rsid w:val="00D26DD7"/>
    <w:rsid w:val="00D26EE8"/>
    <w:rsid w:val="00D279DE"/>
    <w:rsid w:val="00D27B59"/>
    <w:rsid w:val="00D30796"/>
    <w:rsid w:val="00D3109A"/>
    <w:rsid w:val="00D3121D"/>
    <w:rsid w:val="00D31229"/>
    <w:rsid w:val="00D3124A"/>
    <w:rsid w:val="00D31340"/>
    <w:rsid w:val="00D31691"/>
    <w:rsid w:val="00D318BB"/>
    <w:rsid w:val="00D31A97"/>
    <w:rsid w:val="00D31AD8"/>
    <w:rsid w:val="00D31EC9"/>
    <w:rsid w:val="00D323CC"/>
    <w:rsid w:val="00D323F5"/>
    <w:rsid w:val="00D32546"/>
    <w:rsid w:val="00D3261A"/>
    <w:rsid w:val="00D3276C"/>
    <w:rsid w:val="00D32778"/>
    <w:rsid w:val="00D327A3"/>
    <w:rsid w:val="00D32A05"/>
    <w:rsid w:val="00D32DD0"/>
    <w:rsid w:val="00D3308B"/>
    <w:rsid w:val="00D3324B"/>
    <w:rsid w:val="00D33B43"/>
    <w:rsid w:val="00D33C56"/>
    <w:rsid w:val="00D33C6B"/>
    <w:rsid w:val="00D33FE0"/>
    <w:rsid w:val="00D34365"/>
    <w:rsid w:val="00D346CE"/>
    <w:rsid w:val="00D347ED"/>
    <w:rsid w:val="00D34814"/>
    <w:rsid w:val="00D34E74"/>
    <w:rsid w:val="00D34F22"/>
    <w:rsid w:val="00D35035"/>
    <w:rsid w:val="00D350BA"/>
    <w:rsid w:val="00D352FC"/>
    <w:rsid w:val="00D354F9"/>
    <w:rsid w:val="00D35B68"/>
    <w:rsid w:val="00D3672D"/>
    <w:rsid w:val="00D36CDB"/>
    <w:rsid w:val="00D36FE1"/>
    <w:rsid w:val="00D3708F"/>
    <w:rsid w:val="00D37276"/>
    <w:rsid w:val="00D37C37"/>
    <w:rsid w:val="00D37CF1"/>
    <w:rsid w:val="00D4024A"/>
    <w:rsid w:val="00D4027E"/>
    <w:rsid w:val="00D4062E"/>
    <w:rsid w:val="00D407D0"/>
    <w:rsid w:val="00D40C44"/>
    <w:rsid w:val="00D40D04"/>
    <w:rsid w:val="00D40EB2"/>
    <w:rsid w:val="00D41170"/>
    <w:rsid w:val="00D412AF"/>
    <w:rsid w:val="00D415FB"/>
    <w:rsid w:val="00D418A4"/>
    <w:rsid w:val="00D41D7A"/>
    <w:rsid w:val="00D41F17"/>
    <w:rsid w:val="00D4220E"/>
    <w:rsid w:val="00D42994"/>
    <w:rsid w:val="00D42999"/>
    <w:rsid w:val="00D429D1"/>
    <w:rsid w:val="00D42D20"/>
    <w:rsid w:val="00D42E9C"/>
    <w:rsid w:val="00D42F05"/>
    <w:rsid w:val="00D430C4"/>
    <w:rsid w:val="00D43171"/>
    <w:rsid w:val="00D43DB8"/>
    <w:rsid w:val="00D43EF7"/>
    <w:rsid w:val="00D441C9"/>
    <w:rsid w:val="00D443BD"/>
    <w:rsid w:val="00D44691"/>
    <w:rsid w:val="00D452FC"/>
    <w:rsid w:val="00D4562A"/>
    <w:rsid w:val="00D4567F"/>
    <w:rsid w:val="00D45E58"/>
    <w:rsid w:val="00D470AE"/>
    <w:rsid w:val="00D47277"/>
    <w:rsid w:val="00D47504"/>
    <w:rsid w:val="00D4760F"/>
    <w:rsid w:val="00D47674"/>
    <w:rsid w:val="00D47A5A"/>
    <w:rsid w:val="00D47D4A"/>
    <w:rsid w:val="00D47D80"/>
    <w:rsid w:val="00D50617"/>
    <w:rsid w:val="00D50784"/>
    <w:rsid w:val="00D50813"/>
    <w:rsid w:val="00D5085C"/>
    <w:rsid w:val="00D5087E"/>
    <w:rsid w:val="00D509C6"/>
    <w:rsid w:val="00D5161F"/>
    <w:rsid w:val="00D51933"/>
    <w:rsid w:val="00D51A40"/>
    <w:rsid w:val="00D51A80"/>
    <w:rsid w:val="00D51EEA"/>
    <w:rsid w:val="00D5222B"/>
    <w:rsid w:val="00D52250"/>
    <w:rsid w:val="00D524CB"/>
    <w:rsid w:val="00D52554"/>
    <w:rsid w:val="00D52783"/>
    <w:rsid w:val="00D52853"/>
    <w:rsid w:val="00D528D2"/>
    <w:rsid w:val="00D52B1C"/>
    <w:rsid w:val="00D52F09"/>
    <w:rsid w:val="00D531B9"/>
    <w:rsid w:val="00D5325D"/>
    <w:rsid w:val="00D53681"/>
    <w:rsid w:val="00D53DC3"/>
    <w:rsid w:val="00D53FD3"/>
    <w:rsid w:val="00D54264"/>
    <w:rsid w:val="00D54CFF"/>
    <w:rsid w:val="00D550CD"/>
    <w:rsid w:val="00D5538E"/>
    <w:rsid w:val="00D55805"/>
    <w:rsid w:val="00D55B9E"/>
    <w:rsid w:val="00D5657D"/>
    <w:rsid w:val="00D567C9"/>
    <w:rsid w:val="00D57F25"/>
    <w:rsid w:val="00D601EA"/>
    <w:rsid w:val="00D607F1"/>
    <w:rsid w:val="00D611E5"/>
    <w:rsid w:val="00D612C6"/>
    <w:rsid w:val="00D627EB"/>
    <w:rsid w:val="00D627F3"/>
    <w:rsid w:val="00D62811"/>
    <w:rsid w:val="00D6284B"/>
    <w:rsid w:val="00D62E7A"/>
    <w:rsid w:val="00D62E87"/>
    <w:rsid w:val="00D63110"/>
    <w:rsid w:val="00D63149"/>
    <w:rsid w:val="00D64989"/>
    <w:rsid w:val="00D64A23"/>
    <w:rsid w:val="00D64EFA"/>
    <w:rsid w:val="00D654A6"/>
    <w:rsid w:val="00D6556D"/>
    <w:rsid w:val="00D65592"/>
    <w:rsid w:val="00D657B7"/>
    <w:rsid w:val="00D657C3"/>
    <w:rsid w:val="00D65A81"/>
    <w:rsid w:val="00D65C6C"/>
    <w:rsid w:val="00D6657D"/>
    <w:rsid w:val="00D66AEF"/>
    <w:rsid w:val="00D671CA"/>
    <w:rsid w:val="00D67AB0"/>
    <w:rsid w:val="00D67ABB"/>
    <w:rsid w:val="00D67E13"/>
    <w:rsid w:val="00D701D3"/>
    <w:rsid w:val="00D70242"/>
    <w:rsid w:val="00D702AF"/>
    <w:rsid w:val="00D70548"/>
    <w:rsid w:val="00D7085B"/>
    <w:rsid w:val="00D71C8D"/>
    <w:rsid w:val="00D71D64"/>
    <w:rsid w:val="00D71D82"/>
    <w:rsid w:val="00D723CF"/>
    <w:rsid w:val="00D72649"/>
    <w:rsid w:val="00D7283A"/>
    <w:rsid w:val="00D7329E"/>
    <w:rsid w:val="00D73AB9"/>
    <w:rsid w:val="00D73EB3"/>
    <w:rsid w:val="00D74B71"/>
    <w:rsid w:val="00D75676"/>
    <w:rsid w:val="00D75808"/>
    <w:rsid w:val="00D75AEC"/>
    <w:rsid w:val="00D75B18"/>
    <w:rsid w:val="00D75EF6"/>
    <w:rsid w:val="00D7606A"/>
    <w:rsid w:val="00D7626B"/>
    <w:rsid w:val="00D76A13"/>
    <w:rsid w:val="00D76C2F"/>
    <w:rsid w:val="00D76C47"/>
    <w:rsid w:val="00D77438"/>
    <w:rsid w:val="00D7769F"/>
    <w:rsid w:val="00D776D1"/>
    <w:rsid w:val="00D77997"/>
    <w:rsid w:val="00D804B8"/>
    <w:rsid w:val="00D806A1"/>
    <w:rsid w:val="00D80D5F"/>
    <w:rsid w:val="00D81675"/>
    <w:rsid w:val="00D82160"/>
    <w:rsid w:val="00D82443"/>
    <w:rsid w:val="00D827B9"/>
    <w:rsid w:val="00D82D94"/>
    <w:rsid w:val="00D836A2"/>
    <w:rsid w:val="00D8375D"/>
    <w:rsid w:val="00D84237"/>
    <w:rsid w:val="00D843BF"/>
    <w:rsid w:val="00D84AB3"/>
    <w:rsid w:val="00D84B16"/>
    <w:rsid w:val="00D84EE7"/>
    <w:rsid w:val="00D8503C"/>
    <w:rsid w:val="00D8515B"/>
    <w:rsid w:val="00D852A0"/>
    <w:rsid w:val="00D85353"/>
    <w:rsid w:val="00D855DB"/>
    <w:rsid w:val="00D85C1C"/>
    <w:rsid w:val="00D86197"/>
    <w:rsid w:val="00D8628A"/>
    <w:rsid w:val="00D867BF"/>
    <w:rsid w:val="00D86843"/>
    <w:rsid w:val="00D86E4C"/>
    <w:rsid w:val="00D876E0"/>
    <w:rsid w:val="00D87C3A"/>
    <w:rsid w:val="00D905FE"/>
    <w:rsid w:val="00D914A9"/>
    <w:rsid w:val="00D916CC"/>
    <w:rsid w:val="00D91C73"/>
    <w:rsid w:val="00D91CE5"/>
    <w:rsid w:val="00D91CEA"/>
    <w:rsid w:val="00D91D7B"/>
    <w:rsid w:val="00D9211C"/>
    <w:rsid w:val="00D923F9"/>
    <w:rsid w:val="00D92814"/>
    <w:rsid w:val="00D92AAC"/>
    <w:rsid w:val="00D92BE9"/>
    <w:rsid w:val="00D931C3"/>
    <w:rsid w:val="00D93317"/>
    <w:rsid w:val="00D9344D"/>
    <w:rsid w:val="00D93651"/>
    <w:rsid w:val="00D938AE"/>
    <w:rsid w:val="00D93B3E"/>
    <w:rsid w:val="00D93BF3"/>
    <w:rsid w:val="00D94DA3"/>
    <w:rsid w:val="00D950D3"/>
    <w:rsid w:val="00D952D2"/>
    <w:rsid w:val="00D95552"/>
    <w:rsid w:val="00D9569F"/>
    <w:rsid w:val="00D95812"/>
    <w:rsid w:val="00D96746"/>
    <w:rsid w:val="00D96905"/>
    <w:rsid w:val="00D96C4E"/>
    <w:rsid w:val="00D97277"/>
    <w:rsid w:val="00D974D0"/>
    <w:rsid w:val="00D97A3D"/>
    <w:rsid w:val="00DA05C9"/>
    <w:rsid w:val="00DA09BD"/>
    <w:rsid w:val="00DA0A28"/>
    <w:rsid w:val="00DA12E9"/>
    <w:rsid w:val="00DA1590"/>
    <w:rsid w:val="00DA1CA7"/>
    <w:rsid w:val="00DA2271"/>
    <w:rsid w:val="00DA233E"/>
    <w:rsid w:val="00DA27C7"/>
    <w:rsid w:val="00DA3237"/>
    <w:rsid w:val="00DA3ECA"/>
    <w:rsid w:val="00DA3EDD"/>
    <w:rsid w:val="00DA41E4"/>
    <w:rsid w:val="00DA43CD"/>
    <w:rsid w:val="00DA499D"/>
    <w:rsid w:val="00DA5187"/>
    <w:rsid w:val="00DA53D3"/>
    <w:rsid w:val="00DA5ED4"/>
    <w:rsid w:val="00DA5F37"/>
    <w:rsid w:val="00DA62A4"/>
    <w:rsid w:val="00DA6312"/>
    <w:rsid w:val="00DA64B1"/>
    <w:rsid w:val="00DA6624"/>
    <w:rsid w:val="00DA6A8C"/>
    <w:rsid w:val="00DA7128"/>
    <w:rsid w:val="00DA7212"/>
    <w:rsid w:val="00DA747E"/>
    <w:rsid w:val="00DA75F5"/>
    <w:rsid w:val="00DA7A2E"/>
    <w:rsid w:val="00DA7D7F"/>
    <w:rsid w:val="00DA7DE2"/>
    <w:rsid w:val="00DB0629"/>
    <w:rsid w:val="00DB0A6F"/>
    <w:rsid w:val="00DB12F9"/>
    <w:rsid w:val="00DB1497"/>
    <w:rsid w:val="00DB1C20"/>
    <w:rsid w:val="00DB1D38"/>
    <w:rsid w:val="00DB1EB3"/>
    <w:rsid w:val="00DB201F"/>
    <w:rsid w:val="00DB209C"/>
    <w:rsid w:val="00DB268C"/>
    <w:rsid w:val="00DB2C4C"/>
    <w:rsid w:val="00DB2DCD"/>
    <w:rsid w:val="00DB3377"/>
    <w:rsid w:val="00DB35FC"/>
    <w:rsid w:val="00DB3762"/>
    <w:rsid w:val="00DB3E37"/>
    <w:rsid w:val="00DB3F75"/>
    <w:rsid w:val="00DB41BA"/>
    <w:rsid w:val="00DB4890"/>
    <w:rsid w:val="00DB4B42"/>
    <w:rsid w:val="00DB529D"/>
    <w:rsid w:val="00DB5319"/>
    <w:rsid w:val="00DB597E"/>
    <w:rsid w:val="00DB5CF1"/>
    <w:rsid w:val="00DB5E0C"/>
    <w:rsid w:val="00DB64F1"/>
    <w:rsid w:val="00DB68D8"/>
    <w:rsid w:val="00DB6CA0"/>
    <w:rsid w:val="00DB6CF8"/>
    <w:rsid w:val="00DB7013"/>
    <w:rsid w:val="00DB7466"/>
    <w:rsid w:val="00DB7814"/>
    <w:rsid w:val="00DB7837"/>
    <w:rsid w:val="00DB7FBC"/>
    <w:rsid w:val="00DC0467"/>
    <w:rsid w:val="00DC0882"/>
    <w:rsid w:val="00DC0EB7"/>
    <w:rsid w:val="00DC0F5E"/>
    <w:rsid w:val="00DC11D0"/>
    <w:rsid w:val="00DC1403"/>
    <w:rsid w:val="00DC22C9"/>
    <w:rsid w:val="00DC36C4"/>
    <w:rsid w:val="00DC3B23"/>
    <w:rsid w:val="00DC3BBD"/>
    <w:rsid w:val="00DC40FC"/>
    <w:rsid w:val="00DC4674"/>
    <w:rsid w:val="00DC49C6"/>
    <w:rsid w:val="00DC4D3E"/>
    <w:rsid w:val="00DC53CB"/>
    <w:rsid w:val="00DC5A13"/>
    <w:rsid w:val="00DC5B95"/>
    <w:rsid w:val="00DC5F89"/>
    <w:rsid w:val="00DC622C"/>
    <w:rsid w:val="00DC622D"/>
    <w:rsid w:val="00DC63E8"/>
    <w:rsid w:val="00DC645C"/>
    <w:rsid w:val="00DC673E"/>
    <w:rsid w:val="00DC6B68"/>
    <w:rsid w:val="00DC6BEF"/>
    <w:rsid w:val="00DC6C19"/>
    <w:rsid w:val="00DC70D1"/>
    <w:rsid w:val="00DC7696"/>
    <w:rsid w:val="00DC786E"/>
    <w:rsid w:val="00DC79C9"/>
    <w:rsid w:val="00DC7C0B"/>
    <w:rsid w:val="00DD022C"/>
    <w:rsid w:val="00DD0BFD"/>
    <w:rsid w:val="00DD0E58"/>
    <w:rsid w:val="00DD1728"/>
    <w:rsid w:val="00DD1D7D"/>
    <w:rsid w:val="00DD2CF2"/>
    <w:rsid w:val="00DD2E4A"/>
    <w:rsid w:val="00DD355C"/>
    <w:rsid w:val="00DD41F5"/>
    <w:rsid w:val="00DD4232"/>
    <w:rsid w:val="00DD4445"/>
    <w:rsid w:val="00DD4AD4"/>
    <w:rsid w:val="00DD4B65"/>
    <w:rsid w:val="00DD5226"/>
    <w:rsid w:val="00DD593E"/>
    <w:rsid w:val="00DD6197"/>
    <w:rsid w:val="00DD635C"/>
    <w:rsid w:val="00DD68ED"/>
    <w:rsid w:val="00DD69D0"/>
    <w:rsid w:val="00DD69EC"/>
    <w:rsid w:val="00DD6A31"/>
    <w:rsid w:val="00DD6B21"/>
    <w:rsid w:val="00DD71C6"/>
    <w:rsid w:val="00DD73AD"/>
    <w:rsid w:val="00DD74E6"/>
    <w:rsid w:val="00DD755B"/>
    <w:rsid w:val="00DD75E5"/>
    <w:rsid w:val="00DD77DC"/>
    <w:rsid w:val="00DD7967"/>
    <w:rsid w:val="00DD7CAF"/>
    <w:rsid w:val="00DD7D29"/>
    <w:rsid w:val="00DE022E"/>
    <w:rsid w:val="00DE090E"/>
    <w:rsid w:val="00DE0AC4"/>
    <w:rsid w:val="00DE0F15"/>
    <w:rsid w:val="00DE10EE"/>
    <w:rsid w:val="00DE19EA"/>
    <w:rsid w:val="00DE253F"/>
    <w:rsid w:val="00DE2DE7"/>
    <w:rsid w:val="00DE3DFB"/>
    <w:rsid w:val="00DE3E37"/>
    <w:rsid w:val="00DE3FDB"/>
    <w:rsid w:val="00DE4723"/>
    <w:rsid w:val="00DE4AFC"/>
    <w:rsid w:val="00DE4B5F"/>
    <w:rsid w:val="00DE4FF7"/>
    <w:rsid w:val="00DE5376"/>
    <w:rsid w:val="00DE5EF3"/>
    <w:rsid w:val="00DE6289"/>
    <w:rsid w:val="00DE6822"/>
    <w:rsid w:val="00DE6961"/>
    <w:rsid w:val="00DE69E1"/>
    <w:rsid w:val="00DE7899"/>
    <w:rsid w:val="00DE7B75"/>
    <w:rsid w:val="00DE7D08"/>
    <w:rsid w:val="00DF031C"/>
    <w:rsid w:val="00DF12C8"/>
    <w:rsid w:val="00DF1B1E"/>
    <w:rsid w:val="00DF1C73"/>
    <w:rsid w:val="00DF1FB3"/>
    <w:rsid w:val="00DF2243"/>
    <w:rsid w:val="00DF2305"/>
    <w:rsid w:val="00DF2468"/>
    <w:rsid w:val="00DF2BDA"/>
    <w:rsid w:val="00DF3323"/>
    <w:rsid w:val="00DF355E"/>
    <w:rsid w:val="00DF36B1"/>
    <w:rsid w:val="00DF389C"/>
    <w:rsid w:val="00DF46B4"/>
    <w:rsid w:val="00DF4846"/>
    <w:rsid w:val="00DF542F"/>
    <w:rsid w:val="00DF5525"/>
    <w:rsid w:val="00DF5739"/>
    <w:rsid w:val="00DF5920"/>
    <w:rsid w:val="00DF6CCC"/>
    <w:rsid w:val="00DF73EF"/>
    <w:rsid w:val="00DF74D1"/>
    <w:rsid w:val="00DF7D1A"/>
    <w:rsid w:val="00E0031B"/>
    <w:rsid w:val="00E00A07"/>
    <w:rsid w:val="00E00D0E"/>
    <w:rsid w:val="00E01A40"/>
    <w:rsid w:val="00E01AD8"/>
    <w:rsid w:val="00E01F4B"/>
    <w:rsid w:val="00E02437"/>
    <w:rsid w:val="00E032D7"/>
    <w:rsid w:val="00E03582"/>
    <w:rsid w:val="00E037D2"/>
    <w:rsid w:val="00E039E6"/>
    <w:rsid w:val="00E047E8"/>
    <w:rsid w:val="00E055FF"/>
    <w:rsid w:val="00E0721C"/>
    <w:rsid w:val="00E07645"/>
    <w:rsid w:val="00E079D4"/>
    <w:rsid w:val="00E10142"/>
    <w:rsid w:val="00E102F6"/>
    <w:rsid w:val="00E105E6"/>
    <w:rsid w:val="00E10815"/>
    <w:rsid w:val="00E10A42"/>
    <w:rsid w:val="00E11118"/>
    <w:rsid w:val="00E1190F"/>
    <w:rsid w:val="00E11A15"/>
    <w:rsid w:val="00E11C56"/>
    <w:rsid w:val="00E11F6C"/>
    <w:rsid w:val="00E12095"/>
    <w:rsid w:val="00E124DD"/>
    <w:rsid w:val="00E1279C"/>
    <w:rsid w:val="00E12A85"/>
    <w:rsid w:val="00E12CB9"/>
    <w:rsid w:val="00E12CD1"/>
    <w:rsid w:val="00E133A1"/>
    <w:rsid w:val="00E13587"/>
    <w:rsid w:val="00E14736"/>
    <w:rsid w:val="00E150F0"/>
    <w:rsid w:val="00E15517"/>
    <w:rsid w:val="00E155EF"/>
    <w:rsid w:val="00E15889"/>
    <w:rsid w:val="00E15B34"/>
    <w:rsid w:val="00E15CC7"/>
    <w:rsid w:val="00E1642D"/>
    <w:rsid w:val="00E170B3"/>
    <w:rsid w:val="00E1797A"/>
    <w:rsid w:val="00E20237"/>
    <w:rsid w:val="00E207EA"/>
    <w:rsid w:val="00E20BD6"/>
    <w:rsid w:val="00E20CC0"/>
    <w:rsid w:val="00E20E0E"/>
    <w:rsid w:val="00E215ED"/>
    <w:rsid w:val="00E218C7"/>
    <w:rsid w:val="00E21A6B"/>
    <w:rsid w:val="00E21E67"/>
    <w:rsid w:val="00E21F36"/>
    <w:rsid w:val="00E22621"/>
    <w:rsid w:val="00E22860"/>
    <w:rsid w:val="00E229A9"/>
    <w:rsid w:val="00E22CE7"/>
    <w:rsid w:val="00E23074"/>
    <w:rsid w:val="00E23312"/>
    <w:rsid w:val="00E23893"/>
    <w:rsid w:val="00E246C6"/>
    <w:rsid w:val="00E248ED"/>
    <w:rsid w:val="00E24CBD"/>
    <w:rsid w:val="00E24DD0"/>
    <w:rsid w:val="00E24FF2"/>
    <w:rsid w:val="00E2587F"/>
    <w:rsid w:val="00E25AC9"/>
    <w:rsid w:val="00E267A8"/>
    <w:rsid w:val="00E26FB3"/>
    <w:rsid w:val="00E274BF"/>
    <w:rsid w:val="00E27C04"/>
    <w:rsid w:val="00E27D9F"/>
    <w:rsid w:val="00E27E7A"/>
    <w:rsid w:val="00E303B4"/>
    <w:rsid w:val="00E3059E"/>
    <w:rsid w:val="00E309DC"/>
    <w:rsid w:val="00E30BA6"/>
    <w:rsid w:val="00E30E04"/>
    <w:rsid w:val="00E316CA"/>
    <w:rsid w:val="00E319DD"/>
    <w:rsid w:val="00E31C46"/>
    <w:rsid w:val="00E31C5D"/>
    <w:rsid w:val="00E31D14"/>
    <w:rsid w:val="00E31D65"/>
    <w:rsid w:val="00E31D7C"/>
    <w:rsid w:val="00E31FC6"/>
    <w:rsid w:val="00E32A64"/>
    <w:rsid w:val="00E32B87"/>
    <w:rsid w:val="00E32CFA"/>
    <w:rsid w:val="00E32E71"/>
    <w:rsid w:val="00E33396"/>
    <w:rsid w:val="00E33504"/>
    <w:rsid w:val="00E337E6"/>
    <w:rsid w:val="00E33ACF"/>
    <w:rsid w:val="00E3402B"/>
    <w:rsid w:val="00E344DC"/>
    <w:rsid w:val="00E344FB"/>
    <w:rsid w:val="00E3453A"/>
    <w:rsid w:val="00E34CA7"/>
    <w:rsid w:val="00E34F9D"/>
    <w:rsid w:val="00E35400"/>
    <w:rsid w:val="00E35561"/>
    <w:rsid w:val="00E363D5"/>
    <w:rsid w:val="00E365A8"/>
    <w:rsid w:val="00E36CAB"/>
    <w:rsid w:val="00E36F43"/>
    <w:rsid w:val="00E3701B"/>
    <w:rsid w:val="00E37DB9"/>
    <w:rsid w:val="00E4088B"/>
    <w:rsid w:val="00E40CA3"/>
    <w:rsid w:val="00E40CDE"/>
    <w:rsid w:val="00E40D5A"/>
    <w:rsid w:val="00E40DE4"/>
    <w:rsid w:val="00E413E2"/>
    <w:rsid w:val="00E4140F"/>
    <w:rsid w:val="00E41620"/>
    <w:rsid w:val="00E42BF8"/>
    <w:rsid w:val="00E42F78"/>
    <w:rsid w:val="00E43586"/>
    <w:rsid w:val="00E435B5"/>
    <w:rsid w:val="00E43C60"/>
    <w:rsid w:val="00E43DE4"/>
    <w:rsid w:val="00E44A2A"/>
    <w:rsid w:val="00E44A83"/>
    <w:rsid w:val="00E44B03"/>
    <w:rsid w:val="00E451C2"/>
    <w:rsid w:val="00E4593F"/>
    <w:rsid w:val="00E45C48"/>
    <w:rsid w:val="00E46422"/>
    <w:rsid w:val="00E4667F"/>
    <w:rsid w:val="00E46E21"/>
    <w:rsid w:val="00E46ECA"/>
    <w:rsid w:val="00E47147"/>
    <w:rsid w:val="00E4754E"/>
    <w:rsid w:val="00E4760A"/>
    <w:rsid w:val="00E47A23"/>
    <w:rsid w:val="00E47F66"/>
    <w:rsid w:val="00E500A5"/>
    <w:rsid w:val="00E50119"/>
    <w:rsid w:val="00E501C5"/>
    <w:rsid w:val="00E502AA"/>
    <w:rsid w:val="00E50460"/>
    <w:rsid w:val="00E506B0"/>
    <w:rsid w:val="00E507A1"/>
    <w:rsid w:val="00E50945"/>
    <w:rsid w:val="00E50AC4"/>
    <w:rsid w:val="00E50B6B"/>
    <w:rsid w:val="00E51319"/>
    <w:rsid w:val="00E5138A"/>
    <w:rsid w:val="00E516F6"/>
    <w:rsid w:val="00E51B8B"/>
    <w:rsid w:val="00E51D8E"/>
    <w:rsid w:val="00E52DD4"/>
    <w:rsid w:val="00E5394A"/>
    <w:rsid w:val="00E53D6C"/>
    <w:rsid w:val="00E5424A"/>
    <w:rsid w:val="00E54729"/>
    <w:rsid w:val="00E54962"/>
    <w:rsid w:val="00E549F3"/>
    <w:rsid w:val="00E54FDB"/>
    <w:rsid w:val="00E551C3"/>
    <w:rsid w:val="00E5529A"/>
    <w:rsid w:val="00E555D2"/>
    <w:rsid w:val="00E55982"/>
    <w:rsid w:val="00E55D7B"/>
    <w:rsid w:val="00E55FB0"/>
    <w:rsid w:val="00E56534"/>
    <w:rsid w:val="00E56A79"/>
    <w:rsid w:val="00E56D5C"/>
    <w:rsid w:val="00E56D86"/>
    <w:rsid w:val="00E56FC3"/>
    <w:rsid w:val="00E57109"/>
    <w:rsid w:val="00E5778C"/>
    <w:rsid w:val="00E57896"/>
    <w:rsid w:val="00E57947"/>
    <w:rsid w:val="00E57D56"/>
    <w:rsid w:val="00E57FEA"/>
    <w:rsid w:val="00E602F7"/>
    <w:rsid w:val="00E6048C"/>
    <w:rsid w:val="00E613F2"/>
    <w:rsid w:val="00E614F2"/>
    <w:rsid w:val="00E61994"/>
    <w:rsid w:val="00E62059"/>
    <w:rsid w:val="00E627F1"/>
    <w:rsid w:val="00E62B9E"/>
    <w:rsid w:val="00E62C51"/>
    <w:rsid w:val="00E635C9"/>
    <w:rsid w:val="00E645A6"/>
    <w:rsid w:val="00E653FE"/>
    <w:rsid w:val="00E658BB"/>
    <w:rsid w:val="00E659AB"/>
    <w:rsid w:val="00E661A1"/>
    <w:rsid w:val="00E66267"/>
    <w:rsid w:val="00E662B2"/>
    <w:rsid w:val="00E673CF"/>
    <w:rsid w:val="00E706B1"/>
    <w:rsid w:val="00E71039"/>
    <w:rsid w:val="00E712C8"/>
    <w:rsid w:val="00E719B9"/>
    <w:rsid w:val="00E71AA5"/>
    <w:rsid w:val="00E71B91"/>
    <w:rsid w:val="00E7240A"/>
    <w:rsid w:val="00E72A55"/>
    <w:rsid w:val="00E72BC8"/>
    <w:rsid w:val="00E73CD7"/>
    <w:rsid w:val="00E73D86"/>
    <w:rsid w:val="00E73DEB"/>
    <w:rsid w:val="00E73E6C"/>
    <w:rsid w:val="00E7478C"/>
    <w:rsid w:val="00E75307"/>
    <w:rsid w:val="00E755C0"/>
    <w:rsid w:val="00E756E9"/>
    <w:rsid w:val="00E75E0A"/>
    <w:rsid w:val="00E7644F"/>
    <w:rsid w:val="00E767E6"/>
    <w:rsid w:val="00E768A3"/>
    <w:rsid w:val="00E77D78"/>
    <w:rsid w:val="00E805F0"/>
    <w:rsid w:val="00E80CAD"/>
    <w:rsid w:val="00E8165D"/>
    <w:rsid w:val="00E81AA8"/>
    <w:rsid w:val="00E81B37"/>
    <w:rsid w:val="00E81D01"/>
    <w:rsid w:val="00E81DF0"/>
    <w:rsid w:val="00E8242F"/>
    <w:rsid w:val="00E82663"/>
    <w:rsid w:val="00E82BF2"/>
    <w:rsid w:val="00E82F44"/>
    <w:rsid w:val="00E831C2"/>
    <w:rsid w:val="00E8340D"/>
    <w:rsid w:val="00E8359C"/>
    <w:rsid w:val="00E84514"/>
    <w:rsid w:val="00E847FD"/>
    <w:rsid w:val="00E84D85"/>
    <w:rsid w:val="00E84F5F"/>
    <w:rsid w:val="00E856B9"/>
    <w:rsid w:val="00E85768"/>
    <w:rsid w:val="00E85CF4"/>
    <w:rsid w:val="00E860C6"/>
    <w:rsid w:val="00E8667B"/>
    <w:rsid w:val="00E86718"/>
    <w:rsid w:val="00E867FD"/>
    <w:rsid w:val="00E86D2E"/>
    <w:rsid w:val="00E87A80"/>
    <w:rsid w:val="00E87A8E"/>
    <w:rsid w:val="00E9078C"/>
    <w:rsid w:val="00E90C1E"/>
    <w:rsid w:val="00E91492"/>
    <w:rsid w:val="00E91569"/>
    <w:rsid w:val="00E92B60"/>
    <w:rsid w:val="00E932DA"/>
    <w:rsid w:val="00E938B7"/>
    <w:rsid w:val="00E93A51"/>
    <w:rsid w:val="00E93F17"/>
    <w:rsid w:val="00E9481A"/>
    <w:rsid w:val="00E95395"/>
    <w:rsid w:val="00E9554D"/>
    <w:rsid w:val="00E957B1"/>
    <w:rsid w:val="00E959B5"/>
    <w:rsid w:val="00E95B9F"/>
    <w:rsid w:val="00E968FE"/>
    <w:rsid w:val="00E96A36"/>
    <w:rsid w:val="00E97883"/>
    <w:rsid w:val="00EA0428"/>
    <w:rsid w:val="00EA1839"/>
    <w:rsid w:val="00EA26C1"/>
    <w:rsid w:val="00EA2B38"/>
    <w:rsid w:val="00EA2B46"/>
    <w:rsid w:val="00EA2FA8"/>
    <w:rsid w:val="00EA31C5"/>
    <w:rsid w:val="00EA34D7"/>
    <w:rsid w:val="00EA35CD"/>
    <w:rsid w:val="00EA3B30"/>
    <w:rsid w:val="00EA3BEB"/>
    <w:rsid w:val="00EA42FC"/>
    <w:rsid w:val="00EA44F9"/>
    <w:rsid w:val="00EA450A"/>
    <w:rsid w:val="00EA47A6"/>
    <w:rsid w:val="00EA4C2C"/>
    <w:rsid w:val="00EA4FD2"/>
    <w:rsid w:val="00EA51B4"/>
    <w:rsid w:val="00EA5AA6"/>
    <w:rsid w:val="00EA5E95"/>
    <w:rsid w:val="00EA6850"/>
    <w:rsid w:val="00EA6F14"/>
    <w:rsid w:val="00EA7670"/>
    <w:rsid w:val="00EA7989"/>
    <w:rsid w:val="00EB00A3"/>
    <w:rsid w:val="00EB0865"/>
    <w:rsid w:val="00EB121B"/>
    <w:rsid w:val="00EB1438"/>
    <w:rsid w:val="00EB160D"/>
    <w:rsid w:val="00EB17AC"/>
    <w:rsid w:val="00EB1894"/>
    <w:rsid w:val="00EB1C18"/>
    <w:rsid w:val="00EB1C92"/>
    <w:rsid w:val="00EB1E5A"/>
    <w:rsid w:val="00EB1E75"/>
    <w:rsid w:val="00EB2579"/>
    <w:rsid w:val="00EB26A1"/>
    <w:rsid w:val="00EB26C9"/>
    <w:rsid w:val="00EB26CD"/>
    <w:rsid w:val="00EB27C1"/>
    <w:rsid w:val="00EB2CC3"/>
    <w:rsid w:val="00EB30CB"/>
    <w:rsid w:val="00EB3107"/>
    <w:rsid w:val="00EB3B6D"/>
    <w:rsid w:val="00EB3EBF"/>
    <w:rsid w:val="00EB4235"/>
    <w:rsid w:val="00EB46F8"/>
    <w:rsid w:val="00EB4BDF"/>
    <w:rsid w:val="00EB5139"/>
    <w:rsid w:val="00EB53BF"/>
    <w:rsid w:val="00EB5A90"/>
    <w:rsid w:val="00EB5BD0"/>
    <w:rsid w:val="00EB5D2F"/>
    <w:rsid w:val="00EB6924"/>
    <w:rsid w:val="00EB6BAC"/>
    <w:rsid w:val="00EB70AF"/>
    <w:rsid w:val="00EB7DE3"/>
    <w:rsid w:val="00EB7EC5"/>
    <w:rsid w:val="00EB7F00"/>
    <w:rsid w:val="00EB7F52"/>
    <w:rsid w:val="00EB7F66"/>
    <w:rsid w:val="00EC10DB"/>
    <w:rsid w:val="00EC113B"/>
    <w:rsid w:val="00EC1460"/>
    <w:rsid w:val="00EC1534"/>
    <w:rsid w:val="00EC1B75"/>
    <w:rsid w:val="00EC1C2B"/>
    <w:rsid w:val="00EC2271"/>
    <w:rsid w:val="00EC2B23"/>
    <w:rsid w:val="00EC3106"/>
    <w:rsid w:val="00EC3254"/>
    <w:rsid w:val="00EC34E1"/>
    <w:rsid w:val="00EC352E"/>
    <w:rsid w:val="00EC4710"/>
    <w:rsid w:val="00EC4F2C"/>
    <w:rsid w:val="00EC593F"/>
    <w:rsid w:val="00EC5AEF"/>
    <w:rsid w:val="00EC673F"/>
    <w:rsid w:val="00EC6847"/>
    <w:rsid w:val="00EC6D86"/>
    <w:rsid w:val="00EC7489"/>
    <w:rsid w:val="00EC7AE4"/>
    <w:rsid w:val="00EC7F87"/>
    <w:rsid w:val="00ED1076"/>
    <w:rsid w:val="00ED1C1B"/>
    <w:rsid w:val="00ED1FEE"/>
    <w:rsid w:val="00ED20E2"/>
    <w:rsid w:val="00ED22BD"/>
    <w:rsid w:val="00ED2629"/>
    <w:rsid w:val="00ED280E"/>
    <w:rsid w:val="00ED325E"/>
    <w:rsid w:val="00ED3496"/>
    <w:rsid w:val="00ED3C7A"/>
    <w:rsid w:val="00ED4264"/>
    <w:rsid w:val="00ED4660"/>
    <w:rsid w:val="00ED4B9C"/>
    <w:rsid w:val="00ED4D95"/>
    <w:rsid w:val="00ED5339"/>
    <w:rsid w:val="00ED5745"/>
    <w:rsid w:val="00ED59FA"/>
    <w:rsid w:val="00ED5AC5"/>
    <w:rsid w:val="00ED5FB6"/>
    <w:rsid w:val="00ED67B4"/>
    <w:rsid w:val="00ED6B65"/>
    <w:rsid w:val="00ED7401"/>
    <w:rsid w:val="00ED76AD"/>
    <w:rsid w:val="00ED7DAC"/>
    <w:rsid w:val="00EE020A"/>
    <w:rsid w:val="00EE046A"/>
    <w:rsid w:val="00EE0907"/>
    <w:rsid w:val="00EE0D73"/>
    <w:rsid w:val="00EE1017"/>
    <w:rsid w:val="00EE1033"/>
    <w:rsid w:val="00EE11ED"/>
    <w:rsid w:val="00EE1726"/>
    <w:rsid w:val="00EE1981"/>
    <w:rsid w:val="00EE1C61"/>
    <w:rsid w:val="00EE1EA0"/>
    <w:rsid w:val="00EE2299"/>
    <w:rsid w:val="00EE2911"/>
    <w:rsid w:val="00EE352A"/>
    <w:rsid w:val="00EE3873"/>
    <w:rsid w:val="00EE38AD"/>
    <w:rsid w:val="00EE3DFF"/>
    <w:rsid w:val="00EE3F5F"/>
    <w:rsid w:val="00EE438C"/>
    <w:rsid w:val="00EE44F1"/>
    <w:rsid w:val="00EE4647"/>
    <w:rsid w:val="00EE5132"/>
    <w:rsid w:val="00EE573C"/>
    <w:rsid w:val="00EE57A3"/>
    <w:rsid w:val="00EE5809"/>
    <w:rsid w:val="00EE644B"/>
    <w:rsid w:val="00EE665E"/>
    <w:rsid w:val="00EE6DB5"/>
    <w:rsid w:val="00EE6F41"/>
    <w:rsid w:val="00EE76B5"/>
    <w:rsid w:val="00EE771C"/>
    <w:rsid w:val="00EE7A38"/>
    <w:rsid w:val="00EE7E79"/>
    <w:rsid w:val="00EF0A66"/>
    <w:rsid w:val="00EF0C55"/>
    <w:rsid w:val="00EF0F79"/>
    <w:rsid w:val="00EF230F"/>
    <w:rsid w:val="00EF233F"/>
    <w:rsid w:val="00EF39BA"/>
    <w:rsid w:val="00EF41C4"/>
    <w:rsid w:val="00EF43FE"/>
    <w:rsid w:val="00EF47AF"/>
    <w:rsid w:val="00EF4DDE"/>
    <w:rsid w:val="00EF5693"/>
    <w:rsid w:val="00EF577C"/>
    <w:rsid w:val="00EF6001"/>
    <w:rsid w:val="00EF68AD"/>
    <w:rsid w:val="00EF69E2"/>
    <w:rsid w:val="00EF6BBD"/>
    <w:rsid w:val="00EF6D41"/>
    <w:rsid w:val="00EF6F2A"/>
    <w:rsid w:val="00EF717F"/>
    <w:rsid w:val="00EF77F8"/>
    <w:rsid w:val="00EF795B"/>
    <w:rsid w:val="00F0003E"/>
    <w:rsid w:val="00F002ED"/>
    <w:rsid w:val="00F00594"/>
    <w:rsid w:val="00F00D44"/>
    <w:rsid w:val="00F00E49"/>
    <w:rsid w:val="00F00E6D"/>
    <w:rsid w:val="00F0184E"/>
    <w:rsid w:val="00F01B32"/>
    <w:rsid w:val="00F01E9E"/>
    <w:rsid w:val="00F0285D"/>
    <w:rsid w:val="00F02B80"/>
    <w:rsid w:val="00F037B9"/>
    <w:rsid w:val="00F04185"/>
    <w:rsid w:val="00F043CF"/>
    <w:rsid w:val="00F04725"/>
    <w:rsid w:val="00F048D5"/>
    <w:rsid w:val="00F05A1E"/>
    <w:rsid w:val="00F05A35"/>
    <w:rsid w:val="00F05B26"/>
    <w:rsid w:val="00F05FA1"/>
    <w:rsid w:val="00F06707"/>
    <w:rsid w:val="00F067E0"/>
    <w:rsid w:val="00F06ADF"/>
    <w:rsid w:val="00F06D63"/>
    <w:rsid w:val="00F06EF0"/>
    <w:rsid w:val="00F076AF"/>
    <w:rsid w:val="00F07B1C"/>
    <w:rsid w:val="00F07C4D"/>
    <w:rsid w:val="00F07DC8"/>
    <w:rsid w:val="00F07E1D"/>
    <w:rsid w:val="00F100A6"/>
    <w:rsid w:val="00F104D3"/>
    <w:rsid w:val="00F104FA"/>
    <w:rsid w:val="00F10EB3"/>
    <w:rsid w:val="00F11052"/>
    <w:rsid w:val="00F113B9"/>
    <w:rsid w:val="00F11554"/>
    <w:rsid w:val="00F12769"/>
    <w:rsid w:val="00F12D69"/>
    <w:rsid w:val="00F130A1"/>
    <w:rsid w:val="00F13656"/>
    <w:rsid w:val="00F13AC5"/>
    <w:rsid w:val="00F13FBE"/>
    <w:rsid w:val="00F1401D"/>
    <w:rsid w:val="00F1437A"/>
    <w:rsid w:val="00F1479E"/>
    <w:rsid w:val="00F14EA0"/>
    <w:rsid w:val="00F1519B"/>
    <w:rsid w:val="00F15743"/>
    <w:rsid w:val="00F161F6"/>
    <w:rsid w:val="00F17965"/>
    <w:rsid w:val="00F17D26"/>
    <w:rsid w:val="00F17F64"/>
    <w:rsid w:val="00F200F0"/>
    <w:rsid w:val="00F208B7"/>
    <w:rsid w:val="00F20BC5"/>
    <w:rsid w:val="00F20C8C"/>
    <w:rsid w:val="00F21253"/>
    <w:rsid w:val="00F21D1F"/>
    <w:rsid w:val="00F22438"/>
    <w:rsid w:val="00F22926"/>
    <w:rsid w:val="00F22C7B"/>
    <w:rsid w:val="00F233CC"/>
    <w:rsid w:val="00F240F4"/>
    <w:rsid w:val="00F2448A"/>
    <w:rsid w:val="00F246F3"/>
    <w:rsid w:val="00F24DE3"/>
    <w:rsid w:val="00F24F99"/>
    <w:rsid w:val="00F25CDA"/>
    <w:rsid w:val="00F2615F"/>
    <w:rsid w:val="00F26575"/>
    <w:rsid w:val="00F26886"/>
    <w:rsid w:val="00F26AB4"/>
    <w:rsid w:val="00F26AD6"/>
    <w:rsid w:val="00F26B72"/>
    <w:rsid w:val="00F26D97"/>
    <w:rsid w:val="00F272D5"/>
    <w:rsid w:val="00F2752C"/>
    <w:rsid w:val="00F276FF"/>
    <w:rsid w:val="00F27904"/>
    <w:rsid w:val="00F27D24"/>
    <w:rsid w:val="00F3003E"/>
    <w:rsid w:val="00F3007B"/>
    <w:rsid w:val="00F3010E"/>
    <w:rsid w:val="00F3040D"/>
    <w:rsid w:val="00F304F2"/>
    <w:rsid w:val="00F317E7"/>
    <w:rsid w:val="00F31DE0"/>
    <w:rsid w:val="00F328F5"/>
    <w:rsid w:val="00F32AB8"/>
    <w:rsid w:val="00F32DB0"/>
    <w:rsid w:val="00F32F10"/>
    <w:rsid w:val="00F331EC"/>
    <w:rsid w:val="00F33412"/>
    <w:rsid w:val="00F3392A"/>
    <w:rsid w:val="00F33FC0"/>
    <w:rsid w:val="00F345F3"/>
    <w:rsid w:val="00F347B1"/>
    <w:rsid w:val="00F34F6F"/>
    <w:rsid w:val="00F35843"/>
    <w:rsid w:val="00F35EF5"/>
    <w:rsid w:val="00F36127"/>
    <w:rsid w:val="00F36A56"/>
    <w:rsid w:val="00F36CD8"/>
    <w:rsid w:val="00F3761C"/>
    <w:rsid w:val="00F37D55"/>
    <w:rsid w:val="00F37DFC"/>
    <w:rsid w:val="00F4012D"/>
    <w:rsid w:val="00F4090A"/>
    <w:rsid w:val="00F40F83"/>
    <w:rsid w:val="00F40FC0"/>
    <w:rsid w:val="00F413C7"/>
    <w:rsid w:val="00F414D6"/>
    <w:rsid w:val="00F41673"/>
    <w:rsid w:val="00F42A5B"/>
    <w:rsid w:val="00F42CBB"/>
    <w:rsid w:val="00F42E27"/>
    <w:rsid w:val="00F432B8"/>
    <w:rsid w:val="00F4349B"/>
    <w:rsid w:val="00F437F8"/>
    <w:rsid w:val="00F43DD1"/>
    <w:rsid w:val="00F44658"/>
    <w:rsid w:val="00F45086"/>
    <w:rsid w:val="00F45B42"/>
    <w:rsid w:val="00F468B5"/>
    <w:rsid w:val="00F468F8"/>
    <w:rsid w:val="00F46B5A"/>
    <w:rsid w:val="00F47160"/>
    <w:rsid w:val="00F47488"/>
    <w:rsid w:val="00F479D4"/>
    <w:rsid w:val="00F47ABD"/>
    <w:rsid w:val="00F47B77"/>
    <w:rsid w:val="00F47ED0"/>
    <w:rsid w:val="00F5017E"/>
    <w:rsid w:val="00F509E6"/>
    <w:rsid w:val="00F50D62"/>
    <w:rsid w:val="00F50F30"/>
    <w:rsid w:val="00F5130E"/>
    <w:rsid w:val="00F51319"/>
    <w:rsid w:val="00F51906"/>
    <w:rsid w:val="00F52014"/>
    <w:rsid w:val="00F520A3"/>
    <w:rsid w:val="00F528F3"/>
    <w:rsid w:val="00F52F54"/>
    <w:rsid w:val="00F53404"/>
    <w:rsid w:val="00F538A1"/>
    <w:rsid w:val="00F53A23"/>
    <w:rsid w:val="00F53F2A"/>
    <w:rsid w:val="00F552C7"/>
    <w:rsid w:val="00F5540E"/>
    <w:rsid w:val="00F55505"/>
    <w:rsid w:val="00F55611"/>
    <w:rsid w:val="00F55832"/>
    <w:rsid w:val="00F558F9"/>
    <w:rsid w:val="00F5623C"/>
    <w:rsid w:val="00F569CC"/>
    <w:rsid w:val="00F56A27"/>
    <w:rsid w:val="00F56B85"/>
    <w:rsid w:val="00F56CD4"/>
    <w:rsid w:val="00F56D8C"/>
    <w:rsid w:val="00F574E0"/>
    <w:rsid w:val="00F6028D"/>
    <w:rsid w:val="00F60998"/>
    <w:rsid w:val="00F60A24"/>
    <w:rsid w:val="00F60AD6"/>
    <w:rsid w:val="00F60E07"/>
    <w:rsid w:val="00F61448"/>
    <w:rsid w:val="00F62041"/>
    <w:rsid w:val="00F622E0"/>
    <w:rsid w:val="00F6243D"/>
    <w:rsid w:val="00F62735"/>
    <w:rsid w:val="00F62D64"/>
    <w:rsid w:val="00F632F2"/>
    <w:rsid w:val="00F63333"/>
    <w:rsid w:val="00F6394D"/>
    <w:rsid w:val="00F648D5"/>
    <w:rsid w:val="00F64B5C"/>
    <w:rsid w:val="00F65BDF"/>
    <w:rsid w:val="00F66AA6"/>
    <w:rsid w:val="00F6717A"/>
    <w:rsid w:val="00F676B6"/>
    <w:rsid w:val="00F70849"/>
    <w:rsid w:val="00F70D0F"/>
    <w:rsid w:val="00F71213"/>
    <w:rsid w:val="00F7149C"/>
    <w:rsid w:val="00F717BC"/>
    <w:rsid w:val="00F71BDD"/>
    <w:rsid w:val="00F71DEE"/>
    <w:rsid w:val="00F7279E"/>
    <w:rsid w:val="00F72DE4"/>
    <w:rsid w:val="00F730A9"/>
    <w:rsid w:val="00F73F51"/>
    <w:rsid w:val="00F73F69"/>
    <w:rsid w:val="00F7488D"/>
    <w:rsid w:val="00F74A56"/>
    <w:rsid w:val="00F74DDE"/>
    <w:rsid w:val="00F75784"/>
    <w:rsid w:val="00F759ED"/>
    <w:rsid w:val="00F75AEF"/>
    <w:rsid w:val="00F75F11"/>
    <w:rsid w:val="00F765F2"/>
    <w:rsid w:val="00F76707"/>
    <w:rsid w:val="00F77032"/>
    <w:rsid w:val="00F77438"/>
    <w:rsid w:val="00F778F0"/>
    <w:rsid w:val="00F77995"/>
    <w:rsid w:val="00F77B4F"/>
    <w:rsid w:val="00F77C01"/>
    <w:rsid w:val="00F77D38"/>
    <w:rsid w:val="00F77F81"/>
    <w:rsid w:val="00F801AC"/>
    <w:rsid w:val="00F8157F"/>
    <w:rsid w:val="00F81C9D"/>
    <w:rsid w:val="00F81D5E"/>
    <w:rsid w:val="00F81F1E"/>
    <w:rsid w:val="00F823C3"/>
    <w:rsid w:val="00F82BC3"/>
    <w:rsid w:val="00F82F41"/>
    <w:rsid w:val="00F8353F"/>
    <w:rsid w:val="00F83540"/>
    <w:rsid w:val="00F83A57"/>
    <w:rsid w:val="00F83B9E"/>
    <w:rsid w:val="00F83BC3"/>
    <w:rsid w:val="00F8408D"/>
    <w:rsid w:val="00F841C0"/>
    <w:rsid w:val="00F844EC"/>
    <w:rsid w:val="00F84DED"/>
    <w:rsid w:val="00F8539F"/>
    <w:rsid w:val="00F854CF"/>
    <w:rsid w:val="00F859D5"/>
    <w:rsid w:val="00F85F11"/>
    <w:rsid w:val="00F8605F"/>
    <w:rsid w:val="00F862E5"/>
    <w:rsid w:val="00F8698E"/>
    <w:rsid w:val="00F86A79"/>
    <w:rsid w:val="00F86E44"/>
    <w:rsid w:val="00F86F3A"/>
    <w:rsid w:val="00F871C1"/>
    <w:rsid w:val="00F87646"/>
    <w:rsid w:val="00F87DE3"/>
    <w:rsid w:val="00F90585"/>
    <w:rsid w:val="00F90DFB"/>
    <w:rsid w:val="00F911DD"/>
    <w:rsid w:val="00F91233"/>
    <w:rsid w:val="00F9149B"/>
    <w:rsid w:val="00F915DD"/>
    <w:rsid w:val="00F9187A"/>
    <w:rsid w:val="00F91A36"/>
    <w:rsid w:val="00F91DAB"/>
    <w:rsid w:val="00F91EB9"/>
    <w:rsid w:val="00F92484"/>
    <w:rsid w:val="00F928F8"/>
    <w:rsid w:val="00F92A28"/>
    <w:rsid w:val="00F92E22"/>
    <w:rsid w:val="00F92E73"/>
    <w:rsid w:val="00F92E92"/>
    <w:rsid w:val="00F92F72"/>
    <w:rsid w:val="00F93209"/>
    <w:rsid w:val="00F93821"/>
    <w:rsid w:val="00F93836"/>
    <w:rsid w:val="00F93CA8"/>
    <w:rsid w:val="00F93F8F"/>
    <w:rsid w:val="00F9403F"/>
    <w:rsid w:val="00F94855"/>
    <w:rsid w:val="00F94F44"/>
    <w:rsid w:val="00F951EC"/>
    <w:rsid w:val="00F9533F"/>
    <w:rsid w:val="00F95664"/>
    <w:rsid w:val="00F95727"/>
    <w:rsid w:val="00F959DF"/>
    <w:rsid w:val="00F95BCA"/>
    <w:rsid w:val="00F964B4"/>
    <w:rsid w:val="00F96DC5"/>
    <w:rsid w:val="00F9743C"/>
    <w:rsid w:val="00F974A5"/>
    <w:rsid w:val="00F9765E"/>
    <w:rsid w:val="00F9795E"/>
    <w:rsid w:val="00F97B06"/>
    <w:rsid w:val="00F97FAE"/>
    <w:rsid w:val="00FA09D0"/>
    <w:rsid w:val="00FA0A29"/>
    <w:rsid w:val="00FA0A42"/>
    <w:rsid w:val="00FA0E50"/>
    <w:rsid w:val="00FA0EEB"/>
    <w:rsid w:val="00FA1175"/>
    <w:rsid w:val="00FA200F"/>
    <w:rsid w:val="00FA205C"/>
    <w:rsid w:val="00FA2570"/>
    <w:rsid w:val="00FA2CA2"/>
    <w:rsid w:val="00FA2D4C"/>
    <w:rsid w:val="00FA311E"/>
    <w:rsid w:val="00FA3797"/>
    <w:rsid w:val="00FA3FEA"/>
    <w:rsid w:val="00FA4685"/>
    <w:rsid w:val="00FA4CF1"/>
    <w:rsid w:val="00FA50BA"/>
    <w:rsid w:val="00FA50D0"/>
    <w:rsid w:val="00FA5837"/>
    <w:rsid w:val="00FA5AF0"/>
    <w:rsid w:val="00FA6054"/>
    <w:rsid w:val="00FA6560"/>
    <w:rsid w:val="00FA66E3"/>
    <w:rsid w:val="00FA6AB9"/>
    <w:rsid w:val="00FA7227"/>
    <w:rsid w:val="00FA724E"/>
    <w:rsid w:val="00FA72BD"/>
    <w:rsid w:val="00FA7E65"/>
    <w:rsid w:val="00FB0025"/>
    <w:rsid w:val="00FB0351"/>
    <w:rsid w:val="00FB0BC4"/>
    <w:rsid w:val="00FB0D05"/>
    <w:rsid w:val="00FB13EC"/>
    <w:rsid w:val="00FB1B3C"/>
    <w:rsid w:val="00FB1C86"/>
    <w:rsid w:val="00FB1D7D"/>
    <w:rsid w:val="00FB1DC1"/>
    <w:rsid w:val="00FB2809"/>
    <w:rsid w:val="00FB2870"/>
    <w:rsid w:val="00FB2BD7"/>
    <w:rsid w:val="00FB3B3B"/>
    <w:rsid w:val="00FB3CC8"/>
    <w:rsid w:val="00FB4DCB"/>
    <w:rsid w:val="00FB4E58"/>
    <w:rsid w:val="00FB501B"/>
    <w:rsid w:val="00FB5428"/>
    <w:rsid w:val="00FB59E5"/>
    <w:rsid w:val="00FB5BBB"/>
    <w:rsid w:val="00FB5C42"/>
    <w:rsid w:val="00FB5D3A"/>
    <w:rsid w:val="00FB5E31"/>
    <w:rsid w:val="00FB63B5"/>
    <w:rsid w:val="00FB63B8"/>
    <w:rsid w:val="00FB6C46"/>
    <w:rsid w:val="00FB6E03"/>
    <w:rsid w:val="00FB7E5D"/>
    <w:rsid w:val="00FC0074"/>
    <w:rsid w:val="00FC0086"/>
    <w:rsid w:val="00FC0845"/>
    <w:rsid w:val="00FC0A61"/>
    <w:rsid w:val="00FC12DC"/>
    <w:rsid w:val="00FC156E"/>
    <w:rsid w:val="00FC35D4"/>
    <w:rsid w:val="00FC3666"/>
    <w:rsid w:val="00FC3A2C"/>
    <w:rsid w:val="00FC3ADF"/>
    <w:rsid w:val="00FC3B68"/>
    <w:rsid w:val="00FC4396"/>
    <w:rsid w:val="00FC497A"/>
    <w:rsid w:val="00FC580E"/>
    <w:rsid w:val="00FC5E37"/>
    <w:rsid w:val="00FC61FD"/>
    <w:rsid w:val="00FC6604"/>
    <w:rsid w:val="00FC6E10"/>
    <w:rsid w:val="00FC6E3B"/>
    <w:rsid w:val="00FC724F"/>
    <w:rsid w:val="00FC73FB"/>
    <w:rsid w:val="00FC74A0"/>
    <w:rsid w:val="00FC76B3"/>
    <w:rsid w:val="00FD0BB8"/>
    <w:rsid w:val="00FD0D9D"/>
    <w:rsid w:val="00FD0E16"/>
    <w:rsid w:val="00FD24BA"/>
    <w:rsid w:val="00FD27DB"/>
    <w:rsid w:val="00FD2A6F"/>
    <w:rsid w:val="00FD2E46"/>
    <w:rsid w:val="00FD2F46"/>
    <w:rsid w:val="00FD4CE9"/>
    <w:rsid w:val="00FD6164"/>
    <w:rsid w:val="00FD697C"/>
    <w:rsid w:val="00FD6C8B"/>
    <w:rsid w:val="00FD6D00"/>
    <w:rsid w:val="00FD6D16"/>
    <w:rsid w:val="00FD711C"/>
    <w:rsid w:val="00FD73D3"/>
    <w:rsid w:val="00FD755C"/>
    <w:rsid w:val="00FD7646"/>
    <w:rsid w:val="00FD79F9"/>
    <w:rsid w:val="00FE0782"/>
    <w:rsid w:val="00FE0C0C"/>
    <w:rsid w:val="00FE0CA8"/>
    <w:rsid w:val="00FE11FD"/>
    <w:rsid w:val="00FE130E"/>
    <w:rsid w:val="00FE1ABC"/>
    <w:rsid w:val="00FE1BEB"/>
    <w:rsid w:val="00FE1F14"/>
    <w:rsid w:val="00FE2092"/>
    <w:rsid w:val="00FE21E2"/>
    <w:rsid w:val="00FE21EA"/>
    <w:rsid w:val="00FE23D2"/>
    <w:rsid w:val="00FE2A0C"/>
    <w:rsid w:val="00FE2B42"/>
    <w:rsid w:val="00FE3062"/>
    <w:rsid w:val="00FE39F0"/>
    <w:rsid w:val="00FE3AE6"/>
    <w:rsid w:val="00FE3C1C"/>
    <w:rsid w:val="00FE3DC1"/>
    <w:rsid w:val="00FE3EC4"/>
    <w:rsid w:val="00FE3FF7"/>
    <w:rsid w:val="00FE419B"/>
    <w:rsid w:val="00FE459D"/>
    <w:rsid w:val="00FE49A2"/>
    <w:rsid w:val="00FE49C1"/>
    <w:rsid w:val="00FE4D07"/>
    <w:rsid w:val="00FE4FD5"/>
    <w:rsid w:val="00FE525E"/>
    <w:rsid w:val="00FE59B9"/>
    <w:rsid w:val="00FE6398"/>
    <w:rsid w:val="00FE64A7"/>
    <w:rsid w:val="00FE697C"/>
    <w:rsid w:val="00FE6B9A"/>
    <w:rsid w:val="00FE6C5B"/>
    <w:rsid w:val="00FE6E79"/>
    <w:rsid w:val="00FE73F7"/>
    <w:rsid w:val="00FE7547"/>
    <w:rsid w:val="00FF00E0"/>
    <w:rsid w:val="00FF05B8"/>
    <w:rsid w:val="00FF0A49"/>
    <w:rsid w:val="00FF0A85"/>
    <w:rsid w:val="00FF10BE"/>
    <w:rsid w:val="00FF1406"/>
    <w:rsid w:val="00FF15AD"/>
    <w:rsid w:val="00FF1708"/>
    <w:rsid w:val="00FF176A"/>
    <w:rsid w:val="00FF18BD"/>
    <w:rsid w:val="00FF198A"/>
    <w:rsid w:val="00FF1A08"/>
    <w:rsid w:val="00FF1B65"/>
    <w:rsid w:val="00FF1D9A"/>
    <w:rsid w:val="00FF225E"/>
    <w:rsid w:val="00FF255C"/>
    <w:rsid w:val="00FF2A0D"/>
    <w:rsid w:val="00FF2F43"/>
    <w:rsid w:val="00FF33C3"/>
    <w:rsid w:val="00FF4225"/>
    <w:rsid w:val="00FF4766"/>
    <w:rsid w:val="00FF5006"/>
    <w:rsid w:val="00FF500D"/>
    <w:rsid w:val="00FF50AC"/>
    <w:rsid w:val="00FF5AF5"/>
    <w:rsid w:val="00FF6295"/>
    <w:rsid w:val="00FF6514"/>
    <w:rsid w:val="00FF6A0A"/>
    <w:rsid w:val="00FF7B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index heading"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E4113"/>
    <w:rPr>
      <w:sz w:val="24"/>
      <w:szCs w:val="24"/>
    </w:rPr>
  </w:style>
  <w:style w:type="paragraph" w:styleId="Heading1">
    <w:name w:val="heading 1"/>
    <w:basedOn w:val="Normal"/>
    <w:next w:val="Normal"/>
    <w:link w:val="Heading1Char"/>
    <w:qFormat/>
    <w:pPr>
      <w:keepNext/>
      <w:spacing w:before="240" w:after="60"/>
      <w:outlineLvl w:val="0"/>
    </w:pPr>
    <w:rPr>
      <w:rFonts w:ascii="Arial" w:hAnsi="Arial" w:cs="Arial"/>
      <w:b/>
      <w:bCs/>
      <w:kern w:val="32"/>
      <w:sz w:val="36"/>
      <w:szCs w:val="32"/>
    </w:rPr>
  </w:style>
  <w:style w:type="paragraph" w:styleId="Heading2">
    <w:name w:val="heading 2"/>
    <w:aliases w:val="Heading for title,head 2"/>
    <w:basedOn w:val="Normal"/>
    <w:next w:val="Normal"/>
    <w:link w:val="Heading2Char"/>
    <w:qFormat/>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1"/>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pPr>
      <w:keepNext/>
      <w:spacing w:before="240" w:after="60"/>
      <w:outlineLvl w:val="3"/>
    </w:pPr>
    <w:rPr>
      <w:rFonts w:ascii="Arial" w:hAnsi="Arial"/>
      <w:b/>
      <w:sz w:val="22"/>
    </w:rPr>
  </w:style>
  <w:style w:type="paragraph" w:styleId="Heading5">
    <w:name w:val="heading 5"/>
    <w:basedOn w:val="Normal"/>
    <w:next w:val="Normal"/>
    <w:qFormat/>
    <w:pPr>
      <w:keepNext/>
      <w:numPr>
        <w:ilvl w:val="4"/>
        <w:numId w:val="1"/>
      </w:numPr>
      <w:outlineLvl w:val="4"/>
    </w:pPr>
    <w:rPr>
      <w:b/>
      <w:szCs w:val="20"/>
    </w:rPr>
  </w:style>
  <w:style w:type="paragraph" w:styleId="Heading6">
    <w:name w:val="heading 6"/>
    <w:basedOn w:val="Normal"/>
    <w:next w:val="Normal"/>
    <w:qFormat/>
    <w:pPr>
      <w:numPr>
        <w:ilvl w:val="5"/>
        <w:numId w:val="1"/>
      </w:numPr>
      <w:spacing w:before="240" w:after="60"/>
      <w:outlineLvl w:val="5"/>
    </w:pPr>
    <w:rPr>
      <w:b/>
      <w:sz w:val="22"/>
      <w:szCs w:val="20"/>
    </w:rPr>
  </w:style>
  <w:style w:type="paragraph" w:styleId="Heading7">
    <w:name w:val="heading 7"/>
    <w:basedOn w:val="Normal"/>
    <w:next w:val="Normal"/>
    <w:qFormat/>
    <w:pPr>
      <w:numPr>
        <w:ilvl w:val="6"/>
        <w:numId w:val="1"/>
      </w:numPr>
      <w:spacing w:before="240" w:after="60"/>
      <w:outlineLvl w:val="6"/>
    </w:pPr>
    <w:rPr>
      <w:szCs w:val="20"/>
    </w:rPr>
  </w:style>
  <w:style w:type="paragraph" w:styleId="Heading8">
    <w:name w:val="heading 8"/>
    <w:basedOn w:val="Normal"/>
    <w:next w:val="Normal"/>
    <w:qFormat/>
    <w:pPr>
      <w:numPr>
        <w:ilvl w:val="7"/>
        <w:numId w:val="1"/>
      </w:numPr>
      <w:spacing w:before="240" w:after="60"/>
      <w:outlineLvl w:val="7"/>
    </w:pPr>
    <w:rPr>
      <w:i/>
      <w:szCs w:val="20"/>
    </w:rPr>
  </w:style>
  <w:style w:type="paragraph" w:styleId="Heading9">
    <w:name w:val="heading 9"/>
    <w:basedOn w:val="Normal"/>
    <w:next w:val="Normal"/>
    <w:qFormat/>
    <w:pPr>
      <w:numPr>
        <w:ilvl w:val="8"/>
        <w:numId w:val="1"/>
      </w:numPr>
      <w:spacing w:before="240" w:after="60"/>
      <w:outlineLvl w:val="8"/>
    </w:pPr>
    <w:rPr>
      <w:rFonts w:ascii="Arial" w:hAnsi="Arial"/>
      <w:sz w:val="22"/>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rsid w:val="002E3C00"/>
    <w:rPr>
      <w:rFonts w:ascii="Arial" w:hAnsi="Arial" w:cs="Arial"/>
      <w:b/>
      <w:bCs/>
      <w:kern w:val="32"/>
      <w:sz w:val="36"/>
      <w:szCs w:val="32"/>
      <w:lang w:val="en-US" w:eastAsia="en-US" w:bidi="ar-SA"/>
    </w:rPr>
  </w:style>
  <w:style w:type="character" w:customStyle="1" w:styleId="Heading3Char1">
    <w:name w:val="Heading 3 Char1"/>
    <w:link w:val="Heading3"/>
    <w:rsid w:val="00C12CF8"/>
    <w:rPr>
      <w:rFonts w:ascii="Arial" w:hAnsi="Arial" w:cs="Arial"/>
      <w:b/>
      <w:bCs/>
      <w:sz w:val="26"/>
      <w:szCs w:val="26"/>
      <w:lang w:val="en-US" w:eastAsia="en-US" w:bidi="ar-SA"/>
    </w:rPr>
  </w:style>
  <w:style w:type="character" w:customStyle="1" w:styleId="Heading4Char">
    <w:name w:val="Heading 4 Char"/>
    <w:link w:val="Heading4"/>
    <w:rsid w:val="00896F17"/>
    <w:rPr>
      <w:rFonts w:ascii="Arial" w:hAnsi="Arial"/>
      <w:b/>
      <w:sz w:val="22"/>
      <w:szCs w:val="24"/>
      <w:lang w:val="en-US" w:eastAsia="en-US" w:bidi="ar-SA"/>
    </w:rPr>
  </w:style>
  <w:style w:type="character" w:customStyle="1" w:styleId="Char">
    <w:name w:val=" Char"/>
    <w:semiHidden/>
    <w:rPr>
      <w:sz w:val="22"/>
      <w:lang w:val="en-US" w:eastAsia="en-US" w:bidi="ar-SA"/>
    </w:rPr>
  </w:style>
  <w:style w:type="paragraph" w:styleId="Header">
    <w:name w:val="header"/>
    <w:basedOn w:val="Normal"/>
    <w:pPr>
      <w:tabs>
        <w:tab w:val="center" w:pos="4320"/>
        <w:tab w:val="right" w:pos="8640"/>
      </w:tabs>
    </w:pPr>
  </w:style>
  <w:style w:type="paragraph" w:customStyle="1" w:styleId="TitlePage">
    <w:name w:val="TitlePage"/>
    <w:basedOn w:val="Normal"/>
    <w:rPr>
      <w:rFonts w:ascii="Arial" w:hAnsi="Arial"/>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OC1">
    <w:name w:val="toc 1"/>
    <w:basedOn w:val="Normal"/>
    <w:next w:val="Normal"/>
    <w:uiPriority w:val="39"/>
    <w:pPr>
      <w:spacing w:before="120" w:after="120"/>
    </w:pPr>
    <w:rPr>
      <w:b/>
      <w:caps/>
      <w:sz w:val="22"/>
      <w:szCs w:val="22"/>
    </w:rPr>
  </w:style>
  <w:style w:type="paragraph" w:styleId="TOC2">
    <w:name w:val="toc 2"/>
    <w:basedOn w:val="Normal"/>
    <w:next w:val="Normal"/>
    <w:uiPriority w:val="39"/>
    <w:pPr>
      <w:ind w:left="245"/>
    </w:pPr>
    <w:rPr>
      <w:smallCaps/>
      <w:sz w:val="22"/>
      <w:szCs w:val="22"/>
    </w:rPr>
  </w:style>
  <w:style w:type="paragraph" w:styleId="TOC3">
    <w:name w:val="toc 3"/>
    <w:basedOn w:val="Normal"/>
    <w:next w:val="Normal"/>
    <w:uiPriority w:val="39"/>
    <w:pPr>
      <w:ind w:left="475"/>
    </w:pPr>
    <w:rPr>
      <w:sz w:val="22"/>
      <w:szCs w:val="22"/>
    </w:rPr>
  </w:style>
  <w:style w:type="paragraph" w:styleId="TOC4">
    <w:name w:val="toc 4"/>
    <w:basedOn w:val="Normal"/>
    <w:next w:val="Normal"/>
    <w:uiPriority w:val="39"/>
    <w:pPr>
      <w:ind w:left="720"/>
    </w:pPr>
    <w:rPr>
      <w:sz w:val="22"/>
    </w:r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character" w:styleId="Hyperlink">
    <w:name w:val="Hyperlink"/>
    <w:uiPriority w:val="99"/>
    <w:rPr>
      <w:color w:val="0000FF"/>
      <w:u w:val="single"/>
    </w:rPr>
  </w:style>
  <w:style w:type="paragraph" w:styleId="ListBullet">
    <w:name w:val="List Bullet"/>
    <w:basedOn w:val="Normal"/>
    <w:rsid w:val="00BB52F5"/>
    <w:pPr>
      <w:numPr>
        <w:numId w:val="15"/>
      </w:numPr>
      <w:spacing w:line="240" w:lineRule="atLeast"/>
    </w:pPr>
    <w:rPr>
      <w:spacing w:val="-5"/>
      <w:sz w:val="22"/>
      <w:szCs w:val="22"/>
    </w:rPr>
  </w:style>
  <w:style w:type="paragraph" w:customStyle="1" w:styleId="Bullhorn">
    <w:name w:val="Bullhorn"/>
    <w:basedOn w:val="TableText"/>
    <w:next w:val="TableText"/>
    <w:link w:val="BullhornChar"/>
    <w:rsid w:val="00896F17"/>
    <w:rPr>
      <w:rFonts w:ascii="Webdings" w:hAnsi="Webdings"/>
      <w:sz w:val="40"/>
    </w:rPr>
  </w:style>
  <w:style w:type="paragraph" w:customStyle="1" w:styleId="TableText">
    <w:name w:val="Table Text"/>
    <w:basedOn w:val="Normal"/>
    <w:link w:val="TableTextChar6"/>
    <w:rsid w:val="00584AF9"/>
    <w:rPr>
      <w:rFonts w:ascii="Arial" w:hAnsi="Arial"/>
      <w:sz w:val="18"/>
    </w:rPr>
  </w:style>
  <w:style w:type="character" w:customStyle="1" w:styleId="TableTextChar6">
    <w:name w:val="Table Text Char6"/>
    <w:link w:val="TableText"/>
    <w:rsid w:val="00584AF9"/>
    <w:rPr>
      <w:rFonts w:ascii="Arial" w:hAnsi="Arial"/>
      <w:sz w:val="18"/>
      <w:szCs w:val="24"/>
      <w:lang w:val="en-US" w:eastAsia="en-US" w:bidi="ar-SA"/>
    </w:rPr>
  </w:style>
  <w:style w:type="character" w:customStyle="1" w:styleId="BullhornChar">
    <w:name w:val="Bullhorn Char"/>
    <w:link w:val="Bullhorn"/>
    <w:rsid w:val="00896F17"/>
    <w:rPr>
      <w:rFonts w:ascii="Webdings" w:hAnsi="Webdings"/>
      <w:sz w:val="40"/>
      <w:szCs w:val="24"/>
      <w:lang w:val="en-US" w:eastAsia="en-US" w:bidi="ar-SA"/>
    </w:rPr>
  </w:style>
  <w:style w:type="paragraph" w:styleId="BodyText">
    <w:name w:val="Body Text"/>
    <w:basedOn w:val="Normal"/>
    <w:link w:val="BodyTextChar"/>
    <w:rsid w:val="00EE665E"/>
    <w:pPr>
      <w:spacing w:before="60" w:after="120"/>
    </w:pPr>
    <w:rPr>
      <w:sz w:val="22"/>
      <w:szCs w:val="22"/>
    </w:rPr>
  </w:style>
  <w:style w:type="character" w:customStyle="1" w:styleId="BodyTextChar">
    <w:name w:val="Body Text Char"/>
    <w:link w:val="BodyText"/>
    <w:rsid w:val="00EE665E"/>
    <w:rPr>
      <w:sz w:val="22"/>
      <w:szCs w:val="22"/>
      <w:lang w:val="en-US" w:eastAsia="en-US" w:bidi="ar-SA"/>
    </w:rPr>
  </w:style>
  <w:style w:type="table" w:styleId="TableGrid">
    <w:name w:val="Table Grid"/>
    <w:basedOn w:val="TableNormal"/>
    <w:rsid w:val="005F65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Normal"/>
    <w:autoRedefine/>
    <w:pPr>
      <w:numPr>
        <w:numId w:val="9"/>
      </w:numPr>
      <w:tabs>
        <w:tab w:val="clear" w:pos="1080"/>
        <w:tab w:val="left" w:pos="1350"/>
      </w:tabs>
      <w:ind w:left="0" w:firstLine="0"/>
    </w:pPr>
    <w:rPr>
      <w:rFonts w:ascii="Geneva" w:hAnsi="Geneva"/>
      <w:sz w:val="22"/>
      <w:szCs w:val="20"/>
    </w:rPr>
  </w:style>
  <w:style w:type="paragraph" w:customStyle="1" w:styleId="TableofContents">
    <w:name w:val="Table of Contents"/>
    <w:basedOn w:val="Heading1"/>
  </w:style>
  <w:style w:type="paragraph" w:customStyle="1" w:styleId="GlossaryTableTextBullets">
    <w:name w:val="Glossary Table Text Bullets"/>
    <w:basedOn w:val="GlossaryTableText"/>
    <w:pPr>
      <w:numPr>
        <w:numId w:val="11"/>
      </w:numPr>
    </w:pPr>
  </w:style>
  <w:style w:type="paragraph" w:customStyle="1" w:styleId="GlossaryTableText">
    <w:name w:val="Glossary Table Text"/>
    <w:basedOn w:val="TableText"/>
    <w:next w:val="TableText"/>
    <w:pPr>
      <w:spacing w:after="60"/>
    </w:pPr>
    <w:rPr>
      <w:rFonts w:eastAsia="Symbol"/>
      <w:sz w:val="20"/>
      <w:szCs w:val="20"/>
    </w:rPr>
  </w:style>
  <w:style w:type="character" w:customStyle="1" w:styleId="TableTextChar1">
    <w:name w:val="Table Text Char1"/>
    <w:rPr>
      <w:rFonts w:ascii="Arial" w:hAnsi="Arial"/>
      <w:sz w:val="18"/>
      <w:szCs w:val="24"/>
      <w:lang w:val="en-US" w:eastAsia="en-US" w:bidi="ar-SA"/>
    </w:rPr>
  </w:style>
  <w:style w:type="paragraph" w:styleId="ListBullet2">
    <w:name w:val="List Bullet 2"/>
    <w:basedOn w:val="BodyText"/>
    <w:rsid w:val="00EB1E75"/>
    <w:pPr>
      <w:numPr>
        <w:numId w:val="8"/>
      </w:numPr>
      <w:spacing w:before="0" w:after="0"/>
    </w:pPr>
  </w:style>
  <w:style w:type="character" w:customStyle="1" w:styleId="NotesTextChar5">
    <w:name w:val="Notes Text Char5"/>
    <w:rPr>
      <w:rFonts w:ascii="Arial" w:hAnsi="Arial"/>
      <w:color w:val="000000"/>
      <w:sz w:val="18"/>
      <w:szCs w:val="24"/>
      <w:lang w:val="en-US" w:eastAsia="en-US" w:bidi="ar-SA"/>
    </w:rPr>
  </w:style>
  <w:style w:type="character" w:styleId="CommentReference">
    <w:name w:val="annotation reference"/>
    <w:semiHidden/>
    <w:rPr>
      <w:sz w:val="16"/>
      <w:szCs w:val="16"/>
    </w:rPr>
  </w:style>
  <w:style w:type="paragraph" w:styleId="CommentText">
    <w:name w:val="annotation text"/>
    <w:basedOn w:val="Normal"/>
    <w:link w:val="CommentTextChar"/>
    <w:pPr>
      <w:tabs>
        <w:tab w:val="num" w:pos="1080"/>
      </w:tabs>
      <w:ind w:left="1080" w:hanging="360"/>
    </w:pPr>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sz w:val="16"/>
      <w:szCs w:val="16"/>
    </w:rPr>
  </w:style>
  <w:style w:type="paragraph" w:customStyle="1" w:styleId="StyleTitlePageCentered">
    <w:name w:val="Style TitlePage + Centered"/>
    <w:basedOn w:val="TitlePage"/>
    <w:pPr>
      <w:jc w:val="center"/>
    </w:pPr>
    <w:rPr>
      <w:sz w:val="44"/>
      <w:szCs w:val="44"/>
    </w:rPr>
  </w:style>
  <w:style w:type="paragraph" w:customStyle="1" w:styleId="StyleTitlePageBottom">
    <w:name w:val="StyleTitlePageBottom"/>
    <w:basedOn w:val="StyleTitlePageCentered"/>
    <w:rPr>
      <w:sz w:val="28"/>
    </w:rPr>
  </w:style>
  <w:style w:type="paragraph" w:customStyle="1" w:styleId="proclabel">
    <w:name w:val="proclabel"/>
    <w:basedOn w:val="Normal"/>
    <w:pPr>
      <w:spacing w:before="100" w:beforeAutospacing="1" w:after="100" w:afterAutospacing="1"/>
    </w:pPr>
  </w:style>
  <w:style w:type="character" w:styleId="FollowedHyperlink">
    <w:name w:val="FollowedHyperlink"/>
    <w:rPr>
      <w:color w:val="800080"/>
      <w:u w:val="single"/>
    </w:rPr>
  </w:style>
  <w:style w:type="paragraph" w:styleId="Caption">
    <w:name w:val="caption"/>
    <w:basedOn w:val="Normal"/>
    <w:next w:val="BodyText"/>
    <w:link w:val="CaptionChar1"/>
    <w:qFormat/>
    <w:rsid w:val="00453B6E"/>
    <w:pPr>
      <w:keepNext/>
      <w:spacing w:before="120" w:after="120"/>
    </w:pPr>
    <w:rPr>
      <w:b/>
      <w:sz w:val="22"/>
      <w:szCs w:val="22"/>
    </w:rPr>
  </w:style>
  <w:style w:type="character" w:customStyle="1" w:styleId="Char1">
    <w:name w:val=" Char1"/>
    <w:semiHidden/>
    <w:rPr>
      <w:rFonts w:ascii="Arial" w:hAnsi="Arial" w:cs="Arial"/>
      <w:b/>
      <w:bCs/>
      <w:sz w:val="26"/>
      <w:szCs w:val="26"/>
      <w:lang w:val="en-US" w:eastAsia="en-US" w:bidi="ar-SA"/>
    </w:rPr>
  </w:style>
  <w:style w:type="paragraph" w:customStyle="1" w:styleId="TableTextBullet">
    <w:name w:val="Table Text Bullet"/>
    <w:basedOn w:val="TableText"/>
    <w:link w:val="TableTextBulletChar1"/>
    <w:rsid w:val="00B93B42"/>
    <w:pPr>
      <w:numPr>
        <w:numId w:val="12"/>
      </w:numPr>
    </w:pPr>
  </w:style>
  <w:style w:type="paragraph" w:styleId="BodyTextIndent2">
    <w:name w:val="Body Text Indent 2"/>
    <w:basedOn w:val="Normal"/>
    <w:pPr>
      <w:spacing w:after="120" w:line="480" w:lineRule="auto"/>
      <w:ind w:left="360"/>
    </w:pPr>
  </w:style>
  <w:style w:type="paragraph" w:styleId="Index1">
    <w:name w:val="index 1"/>
    <w:basedOn w:val="Normal"/>
    <w:next w:val="Normal"/>
    <w:uiPriority w:val="99"/>
    <w:semiHidden/>
    <w:rsid w:val="00E93F17"/>
    <w:pPr>
      <w:ind w:left="240" w:hanging="240"/>
    </w:pPr>
    <w:rPr>
      <w:sz w:val="18"/>
      <w:szCs w:val="18"/>
    </w:rPr>
  </w:style>
  <w:style w:type="paragraph" w:styleId="Index2">
    <w:name w:val="index 2"/>
    <w:basedOn w:val="Normal"/>
    <w:next w:val="Normal"/>
    <w:uiPriority w:val="99"/>
    <w:semiHidden/>
    <w:pPr>
      <w:ind w:left="480" w:hanging="240"/>
    </w:pPr>
    <w:rPr>
      <w:sz w:val="18"/>
      <w:szCs w:val="18"/>
    </w:rPr>
  </w:style>
  <w:style w:type="paragraph" w:styleId="Index3">
    <w:name w:val="index 3"/>
    <w:basedOn w:val="Normal"/>
    <w:next w:val="Normal"/>
    <w:autoRedefine/>
    <w:uiPriority w:val="99"/>
    <w:semiHidden/>
    <w:pPr>
      <w:ind w:left="720" w:hanging="240"/>
    </w:pPr>
    <w:rPr>
      <w:sz w:val="18"/>
      <w:szCs w:val="18"/>
    </w:rPr>
  </w:style>
  <w:style w:type="paragraph" w:styleId="Index4">
    <w:name w:val="index 4"/>
    <w:basedOn w:val="Normal"/>
    <w:next w:val="Normal"/>
    <w:autoRedefine/>
    <w:semiHidden/>
    <w:pPr>
      <w:ind w:left="960" w:hanging="240"/>
    </w:pPr>
    <w:rPr>
      <w:sz w:val="18"/>
      <w:szCs w:val="18"/>
    </w:rPr>
  </w:style>
  <w:style w:type="paragraph" w:customStyle="1" w:styleId="TableTextNumbers">
    <w:name w:val="Table Text Numbers"/>
    <w:basedOn w:val="TableText"/>
    <w:link w:val="TableTextNumbersCharChar"/>
    <w:rsid w:val="00584AF9"/>
    <w:pPr>
      <w:numPr>
        <w:numId w:val="4"/>
      </w:numPr>
    </w:pPr>
  </w:style>
  <w:style w:type="character" w:customStyle="1" w:styleId="TableTextNumbersCharChar">
    <w:name w:val="Table Text Numbers Char Char"/>
    <w:basedOn w:val="TableTextChar6"/>
    <w:link w:val="TableTextNumbers"/>
    <w:rsid w:val="00584AF9"/>
    <w:rPr>
      <w:rFonts w:ascii="Arial" w:hAnsi="Arial"/>
      <w:sz w:val="18"/>
      <w:szCs w:val="24"/>
      <w:lang w:val="en-US" w:eastAsia="en-US" w:bidi="ar-SA"/>
    </w:rPr>
  </w:style>
  <w:style w:type="character" w:customStyle="1" w:styleId="TableTextNumbersChar">
    <w:name w:val="Table Text Numbers Char"/>
    <w:rPr>
      <w:rFonts w:ascii="Arial" w:hAnsi="Arial"/>
      <w:sz w:val="18"/>
      <w:szCs w:val="24"/>
      <w:lang w:val="en-US" w:eastAsia="en-US" w:bidi="ar-SA"/>
    </w:rPr>
  </w:style>
  <w:style w:type="character" w:customStyle="1" w:styleId="Heading3Char">
    <w:name w:val="Heading 3 Char"/>
    <w:rPr>
      <w:rFonts w:ascii="Arial" w:hAnsi="Arial" w:cs="Arial"/>
      <w:b/>
      <w:bCs/>
      <w:sz w:val="26"/>
      <w:szCs w:val="26"/>
      <w:lang w:val="en-US" w:eastAsia="en-US" w:bidi="ar-SA"/>
    </w:rPr>
  </w:style>
  <w:style w:type="paragraph" w:customStyle="1" w:styleId="Caution">
    <w:name w:val="Caution"/>
    <w:basedOn w:val="Normal"/>
    <w:link w:val="CautionChar"/>
    <w:pPr>
      <w:pBdr>
        <w:top w:val="single" w:sz="4" w:space="6" w:color="auto"/>
        <w:left w:val="single" w:sz="4" w:space="4" w:color="auto"/>
        <w:bottom w:val="single" w:sz="4" w:space="6" w:color="auto"/>
        <w:right w:val="single" w:sz="4" w:space="0" w:color="auto"/>
      </w:pBdr>
      <w:spacing w:before="120" w:after="120"/>
    </w:pPr>
    <w:rPr>
      <w:i/>
      <w:iCs/>
      <w:sz w:val="22"/>
      <w:szCs w:val="20"/>
    </w:rPr>
  </w:style>
  <w:style w:type="character" w:customStyle="1" w:styleId="CautionChar">
    <w:name w:val="Caution Char"/>
    <w:link w:val="Caution"/>
    <w:rsid w:val="002E3C00"/>
    <w:rPr>
      <w:i/>
      <w:iCs/>
      <w:sz w:val="22"/>
      <w:lang w:val="en-US" w:eastAsia="en-US" w:bidi="ar-SA"/>
    </w:rPr>
  </w:style>
  <w:style w:type="paragraph" w:customStyle="1" w:styleId="TableTextBullet1">
    <w:name w:val="Table Text Bullet 1"/>
    <w:basedOn w:val="TableText"/>
    <w:pPr>
      <w:numPr>
        <w:numId w:val="6"/>
      </w:numPr>
    </w:pPr>
  </w:style>
  <w:style w:type="character" w:customStyle="1" w:styleId="CaptionChar1">
    <w:name w:val="Caption Char1"/>
    <w:link w:val="Caption"/>
    <w:rsid w:val="00453B6E"/>
    <w:rPr>
      <w:b/>
      <w:sz w:val="22"/>
      <w:szCs w:val="22"/>
      <w:lang w:val="en-US" w:eastAsia="en-US" w:bidi="ar-SA"/>
    </w:rPr>
  </w:style>
  <w:style w:type="paragraph" w:customStyle="1" w:styleId="StyleTableText9ptChar">
    <w:name w:val="Style Table Text + 9 pt Char"/>
    <w:basedOn w:val="TableText"/>
    <w:rsid w:val="00A906CD"/>
    <w:rPr>
      <w:color w:val="000000"/>
      <w:szCs w:val="18"/>
    </w:rPr>
  </w:style>
  <w:style w:type="character" w:customStyle="1" w:styleId="historydatafont1">
    <w:name w:val="historydatafont1"/>
    <w:rPr>
      <w:rFonts w:ascii="Arial" w:hAnsi="Arial" w:cs="Arial" w:hint="default"/>
      <w:color w:val="000000"/>
      <w:sz w:val="20"/>
      <w:szCs w:val="20"/>
    </w:rPr>
  </w:style>
  <w:style w:type="paragraph" w:customStyle="1" w:styleId="HeaderDocumentType">
    <w:name w:val="Header Document Type"/>
    <w:basedOn w:val="Normal"/>
    <w:pPr>
      <w:spacing w:after="120"/>
      <w:jc w:val="center"/>
    </w:pPr>
    <w:rPr>
      <w:szCs w:val="20"/>
    </w:rPr>
  </w:style>
  <w:style w:type="paragraph" w:customStyle="1" w:styleId="TableTextHeader">
    <w:name w:val="Table Text Header"/>
    <w:basedOn w:val="TableText"/>
    <w:pPr>
      <w:jc w:val="center"/>
    </w:pPr>
    <w:rPr>
      <w:b/>
      <w:color w:val="000000"/>
      <w:szCs w:val="20"/>
    </w:rPr>
  </w:style>
  <w:style w:type="paragraph" w:styleId="ListNumber">
    <w:name w:val="List Number"/>
    <w:basedOn w:val="Normal"/>
    <w:rsid w:val="006B270F"/>
    <w:pPr>
      <w:numPr>
        <w:numId w:val="20"/>
      </w:numPr>
    </w:pPr>
    <w:rPr>
      <w:sz w:val="22"/>
      <w:szCs w:val="22"/>
    </w:rPr>
  </w:style>
  <w:style w:type="paragraph" w:styleId="ListNumber2">
    <w:name w:val="List Number 2"/>
    <w:basedOn w:val="Normal"/>
    <w:pPr>
      <w:numPr>
        <w:numId w:val="48"/>
      </w:numPr>
    </w:pPr>
    <w:rPr>
      <w:szCs w:val="20"/>
    </w:rPr>
  </w:style>
  <w:style w:type="paragraph" w:customStyle="1" w:styleId="Version">
    <w:name w:val="Version"/>
    <w:basedOn w:val="Normal"/>
    <w:next w:val="Normal"/>
    <w:pPr>
      <w:spacing w:after="480"/>
      <w:jc w:val="center"/>
    </w:pPr>
    <w:rPr>
      <w:b/>
      <w:szCs w:val="20"/>
    </w:rPr>
  </w:style>
  <w:style w:type="paragraph" w:customStyle="1" w:styleId="Part">
    <w:name w:val="Part"/>
    <w:basedOn w:val="Normal"/>
    <w:pPr>
      <w:pBdr>
        <w:top w:val="single" w:sz="4" w:space="1" w:color="auto"/>
      </w:pBdr>
      <w:ind w:left="720"/>
    </w:pPr>
    <w:rPr>
      <w:rFonts w:ascii="Symbol" w:hAnsi="Symbol"/>
      <w:b/>
      <w:color w:val="808080"/>
      <w:sz w:val="48"/>
      <w:szCs w:val="20"/>
    </w:rPr>
  </w:style>
  <w:style w:type="paragraph" w:customStyle="1" w:styleId="Style1">
    <w:name w:val="Style1"/>
    <w:basedOn w:val="Normal"/>
    <w:autoRedefine/>
    <w:rPr>
      <w:b/>
      <w:bCs/>
      <w:szCs w:val="20"/>
    </w:rPr>
  </w:style>
  <w:style w:type="paragraph" w:styleId="ListNumber3">
    <w:name w:val="List Number 3"/>
    <w:pPr>
      <w:tabs>
        <w:tab w:val="num" w:pos="1080"/>
      </w:tabs>
      <w:ind w:left="1080" w:hanging="360"/>
    </w:pPr>
    <w:rPr>
      <w:sz w:val="24"/>
    </w:rPr>
  </w:style>
  <w:style w:type="paragraph" w:customStyle="1" w:styleId="IOPTitle">
    <w:name w:val="IOP Title"/>
    <w:basedOn w:val="Normal"/>
    <w:autoRedefine/>
    <w:pPr>
      <w:jc w:val="right"/>
    </w:pPr>
    <w:rPr>
      <w:rFonts w:ascii="Symbol" w:hAnsi="Symbol"/>
      <w:b/>
      <w:sz w:val="28"/>
      <w:szCs w:val="20"/>
    </w:rPr>
  </w:style>
  <w:style w:type="paragraph" w:customStyle="1" w:styleId="Outline1">
    <w:name w:val="Outline 1"/>
    <w:basedOn w:val="Normal"/>
    <w:rPr>
      <w:szCs w:val="20"/>
    </w:rPr>
  </w:style>
  <w:style w:type="paragraph" w:customStyle="1" w:styleId="Outline3">
    <w:name w:val="Outline 3"/>
    <w:basedOn w:val="Normal"/>
    <w:rPr>
      <w:szCs w:val="20"/>
    </w:rPr>
  </w:style>
  <w:style w:type="paragraph" w:customStyle="1" w:styleId="InfoBlue">
    <w:name w:val="InfoBlue"/>
    <w:basedOn w:val="Normal"/>
    <w:next w:val="BodyText"/>
    <w:autoRedefine/>
    <w:pPr>
      <w:widowControl w:val="0"/>
      <w:spacing w:after="120" w:line="240" w:lineRule="atLeast"/>
    </w:pPr>
    <w:rPr>
      <w:i/>
      <w:color w:val="0000FF"/>
      <w:szCs w:val="20"/>
    </w:rPr>
  </w:style>
  <w:style w:type="paragraph" w:customStyle="1" w:styleId="Outline2">
    <w:name w:val="Outline 2"/>
    <w:basedOn w:val="Normal"/>
    <w:pPr>
      <w:tabs>
        <w:tab w:val="num" w:pos="720"/>
      </w:tabs>
      <w:ind w:left="720" w:hanging="360"/>
    </w:pPr>
    <w:rPr>
      <w:szCs w:val="20"/>
    </w:rPr>
  </w:style>
  <w:style w:type="paragraph" w:customStyle="1" w:styleId="Heading3Subsection">
    <w:name w:val="Heading 3 Subsection"/>
    <w:basedOn w:val="Outline1"/>
    <w:pPr>
      <w:tabs>
        <w:tab w:val="num" w:pos="720"/>
      </w:tabs>
      <w:spacing w:before="240" w:after="60"/>
      <w:ind w:left="1440" w:hanging="720"/>
    </w:pPr>
    <w:rPr>
      <w:rFonts w:ascii="Geneva" w:hAnsi="Geneva"/>
      <w:b/>
      <w:sz w:val="22"/>
    </w:rPr>
  </w:style>
  <w:style w:type="character" w:customStyle="1" w:styleId="DarleneBrill">
    <w:name w:val="Darlene Brill"/>
    <w:semiHidden/>
    <w:rPr>
      <w:rFonts w:ascii="Arial" w:hAnsi="Arial" w:cs="Arial"/>
      <w:color w:val="auto"/>
      <w:sz w:val="20"/>
      <w:szCs w:val="20"/>
    </w:rPr>
  </w:style>
  <w:style w:type="paragraph" w:customStyle="1" w:styleId="ListBulletLast">
    <w:name w:val="List Bullet Last"/>
    <w:basedOn w:val="ListBullet"/>
    <w:next w:val="BodyText"/>
    <w:pPr>
      <w:numPr>
        <w:numId w:val="0"/>
      </w:numPr>
      <w:tabs>
        <w:tab w:val="num" w:pos="1080"/>
      </w:tabs>
      <w:spacing w:after="120"/>
    </w:pPr>
  </w:style>
  <w:style w:type="paragraph" w:customStyle="1" w:styleId="NotesTextBullet">
    <w:name w:val="Notes Text Bullet"/>
    <w:basedOn w:val="TableTextBullet"/>
    <w:pPr>
      <w:numPr>
        <w:numId w:val="3"/>
      </w:numPr>
    </w:pPr>
  </w:style>
  <w:style w:type="paragraph" w:customStyle="1" w:styleId="NotesText">
    <w:name w:val="Notes Text"/>
    <w:basedOn w:val="TableText"/>
    <w:pPr>
      <w:ind w:left="720"/>
    </w:pPr>
  </w:style>
  <w:style w:type="paragraph" w:customStyle="1" w:styleId="TableTextNumbersContinued">
    <w:name w:val="Table Text Numbers Continued"/>
    <w:basedOn w:val="TableTextNumbers"/>
    <w:pPr>
      <w:numPr>
        <w:numId w:val="0"/>
      </w:numPr>
      <w:ind w:left="288"/>
    </w:pPr>
  </w:style>
  <w:style w:type="character" w:customStyle="1" w:styleId="TableTextNumbersContinuedChar1">
    <w:name w:val="Table Text Numbers Continued Char1"/>
    <w:rPr>
      <w:rFonts w:ascii="Arial" w:hAnsi="Arial"/>
      <w:sz w:val="18"/>
      <w:szCs w:val="24"/>
      <w:lang w:val="en-US" w:eastAsia="en-US" w:bidi="ar-SA"/>
    </w:rPr>
  </w:style>
  <w:style w:type="paragraph" w:customStyle="1" w:styleId="NotesTextBullet1">
    <w:name w:val="Notes Text Bullet 1"/>
    <w:basedOn w:val="TableTextBullet1"/>
    <w:pPr>
      <w:numPr>
        <w:numId w:val="5"/>
      </w:numPr>
    </w:pPr>
  </w:style>
  <w:style w:type="paragraph" w:styleId="BlockText">
    <w:name w:val="Block Text"/>
    <w:basedOn w:val="Normal"/>
    <w:pPr>
      <w:spacing w:after="120"/>
      <w:ind w:left="1440" w:right="1440"/>
    </w:pPr>
  </w:style>
  <w:style w:type="paragraph" w:customStyle="1" w:styleId="TableTextBullet2">
    <w:name w:val="Table Text Bullet 2"/>
    <w:pPr>
      <w:tabs>
        <w:tab w:val="num" w:pos="288"/>
      </w:tabs>
      <w:ind w:left="288" w:firstLine="288"/>
    </w:pPr>
    <w:rPr>
      <w:rFonts w:ascii="Arial" w:hAnsi="Arial"/>
      <w:sz w:val="18"/>
      <w:szCs w:val="18"/>
    </w:rPr>
  </w:style>
  <w:style w:type="character" w:customStyle="1" w:styleId="TableTextNumbersContinuedChar">
    <w:name w:val="Table Text Numbers Continued Char"/>
    <w:rPr>
      <w:rFonts w:ascii="Arial" w:hAnsi="Arial"/>
      <w:sz w:val="18"/>
      <w:szCs w:val="24"/>
      <w:lang w:val="en-US" w:eastAsia="en-US" w:bidi="ar-SA"/>
    </w:rPr>
  </w:style>
  <w:style w:type="paragraph" w:styleId="FootnoteText">
    <w:name w:val="footnote text"/>
    <w:basedOn w:val="Normal"/>
    <w:link w:val="FootnoteTextChar"/>
    <w:uiPriority w:val="99"/>
    <w:semiHidden/>
    <w:rPr>
      <w:sz w:val="20"/>
      <w:szCs w:val="20"/>
    </w:rPr>
  </w:style>
  <w:style w:type="character" w:styleId="FootnoteReference">
    <w:name w:val="footnote reference"/>
    <w:uiPriority w:val="99"/>
    <w:semiHidden/>
    <w:rPr>
      <w:vertAlign w:val="superscript"/>
    </w:rPr>
  </w:style>
  <w:style w:type="paragraph" w:customStyle="1" w:styleId="TableTextNumbersBullet">
    <w:name w:val="Table Text Numbers Bullet"/>
    <w:basedOn w:val="TableTextNumbersContinued"/>
    <w:pPr>
      <w:numPr>
        <w:numId w:val="7"/>
      </w:numPr>
      <w:ind w:left="576" w:hanging="288"/>
    </w:pPr>
  </w:style>
  <w:style w:type="paragraph" w:styleId="Title">
    <w:name w:val="Title"/>
    <w:basedOn w:val="Normal"/>
    <w:next w:val="Normal"/>
    <w:qFormat/>
    <w:pPr>
      <w:widowControl w:val="0"/>
      <w:jc w:val="center"/>
    </w:pPr>
    <w:rPr>
      <w:rFonts w:ascii="Arial" w:hAnsi="Arial"/>
      <w:b/>
      <w:sz w:val="36"/>
      <w:szCs w:val="20"/>
    </w:rPr>
  </w:style>
  <w:style w:type="paragraph" w:styleId="ListBullet3">
    <w:name w:val="List Bullet 3"/>
    <w:basedOn w:val="Normal"/>
    <w:pPr>
      <w:tabs>
        <w:tab w:val="num" w:pos="1080"/>
      </w:tabs>
      <w:ind w:left="1440" w:hanging="360"/>
    </w:pPr>
    <w:rPr>
      <w:sz w:val="22"/>
    </w:rPr>
  </w:style>
  <w:style w:type="character" w:customStyle="1" w:styleId="NotesTextChar4">
    <w:name w:val="Notes Text Char4"/>
    <w:rPr>
      <w:rFonts w:ascii="Arial" w:hAnsi="Arial"/>
      <w:sz w:val="18"/>
      <w:szCs w:val="24"/>
      <w:lang w:val="en-US" w:eastAsia="en-US" w:bidi="ar-SA"/>
    </w:rPr>
  </w:style>
  <w:style w:type="character" w:customStyle="1" w:styleId="TableTextChar2">
    <w:name w:val="Table Text Char2"/>
    <w:rPr>
      <w:rFonts w:ascii="Arial" w:hAnsi="Arial"/>
      <w:sz w:val="18"/>
      <w:szCs w:val="24"/>
      <w:lang w:val="en-US" w:eastAsia="en-US" w:bidi="ar-SA"/>
    </w:rPr>
  </w:style>
  <w:style w:type="character" w:customStyle="1" w:styleId="StyleTableText9ptCharChar">
    <w:name w:val="Style Table Text + 9 pt Char Char"/>
    <w:rsid w:val="007809C3"/>
    <w:rPr>
      <w:rFonts w:ascii="Arial" w:hAnsi="Arial"/>
      <w:noProof/>
      <w:color w:val="000000"/>
      <w:sz w:val="18"/>
      <w:szCs w:val="24"/>
      <w:lang w:val="en-US" w:eastAsia="en-US" w:bidi="ar-SA"/>
    </w:rPr>
  </w:style>
  <w:style w:type="character" w:customStyle="1" w:styleId="TableTextChar4">
    <w:name w:val="Table Text Char4"/>
    <w:rPr>
      <w:rFonts w:ascii="Arial" w:hAnsi="Arial"/>
      <w:sz w:val="18"/>
      <w:szCs w:val="24"/>
      <w:lang w:val="en-US" w:eastAsia="en-US" w:bidi="ar-SA"/>
    </w:rPr>
  </w:style>
  <w:style w:type="character" w:customStyle="1" w:styleId="TableTextBullet1Char">
    <w:name w:val="Table Text Bullet 1 Char"/>
    <w:rPr>
      <w:rFonts w:ascii="Arial" w:hAnsi="Arial"/>
      <w:color w:val="000000"/>
      <w:sz w:val="18"/>
      <w:szCs w:val="24"/>
      <w:lang w:val="en-US" w:eastAsia="en-US" w:bidi="ar-SA"/>
    </w:rPr>
  </w:style>
  <w:style w:type="character" w:customStyle="1" w:styleId="NotesTextBullet1Char">
    <w:name w:val="Notes Text Bullet 1 Char"/>
    <w:basedOn w:val="TableTextBullet1Char"/>
    <w:rPr>
      <w:rFonts w:ascii="Arial" w:hAnsi="Arial"/>
      <w:color w:val="000000"/>
      <w:sz w:val="18"/>
      <w:szCs w:val="24"/>
      <w:lang w:val="en-US" w:eastAsia="en-US" w:bidi="ar-SA"/>
    </w:rPr>
  </w:style>
  <w:style w:type="character" w:customStyle="1" w:styleId="ListBulletChar">
    <w:name w:val="List Bullet Char"/>
    <w:rPr>
      <w:spacing w:val="-5"/>
      <w:sz w:val="22"/>
      <w:szCs w:val="22"/>
      <w:lang w:val="en-US" w:eastAsia="en-US" w:bidi="ar-SA"/>
    </w:rPr>
  </w:style>
  <w:style w:type="paragraph" w:customStyle="1" w:styleId="Paragraph2">
    <w:name w:val="Paragraph2"/>
    <w:basedOn w:val="Normal"/>
    <w:autoRedefine/>
    <w:pPr>
      <w:spacing w:before="80"/>
    </w:pPr>
    <w:rPr>
      <w:color w:val="000000"/>
      <w:szCs w:val="20"/>
    </w:rPr>
  </w:style>
  <w:style w:type="character" w:customStyle="1" w:styleId="TableTextBulletChar">
    <w:name w:val="Table Text Bullet Char"/>
    <w:basedOn w:val="TableTextChar1"/>
    <w:rPr>
      <w:rFonts w:ascii="Arial" w:hAnsi="Arial"/>
      <w:sz w:val="18"/>
      <w:szCs w:val="24"/>
      <w:lang w:val="en-US" w:eastAsia="en-US" w:bidi="ar-SA"/>
    </w:rPr>
  </w:style>
  <w:style w:type="character" w:customStyle="1" w:styleId="TableTextNumbersChar1">
    <w:name w:val="Table Text Numbers Char1"/>
    <w:basedOn w:val="TableTextChar2"/>
    <w:rPr>
      <w:rFonts w:ascii="Arial" w:hAnsi="Arial"/>
      <w:sz w:val="18"/>
      <w:szCs w:val="24"/>
      <w:lang w:val="en-US" w:eastAsia="en-US" w:bidi="ar-SA"/>
    </w:rPr>
  </w:style>
  <w:style w:type="character" w:customStyle="1" w:styleId="Char3">
    <w:name w:val=" Char3"/>
    <w:semiHidden/>
    <w:rPr>
      <w:rFonts w:ascii="Arial" w:hAnsi="Arial" w:cs="Arial"/>
      <w:b/>
      <w:bCs/>
      <w:sz w:val="26"/>
      <w:szCs w:val="26"/>
      <w:lang w:val="en-US" w:eastAsia="en-US" w:bidi="ar-SA"/>
    </w:rPr>
  </w:style>
  <w:style w:type="character" w:customStyle="1" w:styleId="TableTextChar">
    <w:name w:val="Table Text Char"/>
    <w:rPr>
      <w:rFonts w:ascii="Arial" w:hAnsi="Arial"/>
      <w:sz w:val="18"/>
      <w:szCs w:val="24"/>
      <w:lang w:val="en-US" w:eastAsia="en-US" w:bidi="ar-SA"/>
    </w:rPr>
  </w:style>
  <w:style w:type="character" w:customStyle="1" w:styleId="TableTextBulletChar2">
    <w:name w:val="Table Text Bullet Char2"/>
    <w:basedOn w:val="TableTextChar4"/>
    <w:rPr>
      <w:rFonts w:ascii="Arial" w:hAnsi="Arial"/>
      <w:sz w:val="18"/>
      <w:szCs w:val="24"/>
      <w:lang w:val="en-US" w:eastAsia="en-US" w:bidi="ar-SA"/>
    </w:rPr>
  </w:style>
  <w:style w:type="paragraph" w:customStyle="1" w:styleId="Bulletlistindented1">
    <w:name w:val="Bullet list indented1"/>
    <w:basedOn w:val="Normal"/>
    <w:autoRedefine/>
    <w:pPr>
      <w:tabs>
        <w:tab w:val="left" w:pos="1350"/>
        <w:tab w:val="num" w:pos="1440"/>
      </w:tabs>
      <w:ind w:left="1440" w:hanging="360"/>
    </w:pPr>
    <w:rPr>
      <w:rFonts w:ascii="Geneva" w:hAnsi="Geneva"/>
      <w:sz w:val="22"/>
      <w:szCs w:val="20"/>
    </w:rPr>
  </w:style>
  <w:style w:type="paragraph" w:customStyle="1" w:styleId="Tabletext0">
    <w:name w:val="Tabletext"/>
    <w:basedOn w:val="Normal"/>
    <w:pPr>
      <w:keepLines/>
      <w:widowControl w:val="0"/>
      <w:spacing w:after="120" w:line="240" w:lineRule="atLeast"/>
    </w:pPr>
    <w:rPr>
      <w:sz w:val="20"/>
      <w:szCs w:val="20"/>
    </w:rPr>
  </w:style>
  <w:style w:type="paragraph" w:styleId="NoteHeading">
    <w:name w:val="Note Heading"/>
    <w:basedOn w:val="Normal"/>
    <w:next w:val="Normal"/>
    <w:pPr>
      <w:widowControl w:val="0"/>
      <w:spacing w:line="240" w:lineRule="atLeast"/>
    </w:pPr>
    <w:rPr>
      <w:rFonts w:ascii="Arial" w:hAnsi="Arial"/>
      <w:b/>
      <w:szCs w:val="20"/>
    </w:rPr>
  </w:style>
  <w:style w:type="paragraph" w:customStyle="1" w:styleId="xl72">
    <w:name w:val="xl72"/>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color w:val="993366"/>
      <w:sz w:val="16"/>
      <w:szCs w:val="16"/>
    </w:rPr>
  </w:style>
  <w:style w:type="paragraph" w:styleId="BodyText2">
    <w:name w:val="Body Text 2"/>
    <w:basedOn w:val="Normal"/>
    <w:pPr>
      <w:jc w:val="center"/>
    </w:pPr>
    <w:rPr>
      <w:rFonts w:ascii="Arial" w:hAnsi="Arial"/>
      <w:b/>
      <w:sz w:val="20"/>
    </w:rPr>
  </w:style>
  <w:style w:type="paragraph" w:customStyle="1" w:styleId="StyleTableTextNumbersWhite1">
    <w:name w:val="Style Table Text Numbers + White1"/>
    <w:basedOn w:val="TableTextNumbers"/>
    <w:link w:val="StyleTableTextNumbersWhite1Char"/>
    <w:rsid w:val="00B93B42"/>
    <w:rPr>
      <w:vanish/>
      <w:color w:val="FFFFFF"/>
      <w:szCs w:val="18"/>
    </w:rPr>
  </w:style>
  <w:style w:type="character" w:customStyle="1" w:styleId="StyleTableTextNumbersWhite1Char">
    <w:name w:val="Style Table Text Numbers + White1 Char"/>
    <w:link w:val="StyleTableTextNumbersWhite1"/>
    <w:rsid w:val="00B93B42"/>
    <w:rPr>
      <w:rFonts w:ascii="Arial" w:hAnsi="Arial"/>
      <w:vanish/>
      <w:color w:val="FFFFFF"/>
      <w:sz w:val="18"/>
      <w:szCs w:val="18"/>
    </w:rPr>
  </w:style>
  <w:style w:type="paragraph" w:styleId="BodyText3">
    <w:name w:val="Body Text 3"/>
    <w:basedOn w:val="Normal"/>
    <w:rPr>
      <w:strike/>
      <w:color w:val="999999"/>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Symbol" w:eastAsia="Symbol" w:hAnsi="Symbol" w:cs="Symbol"/>
    </w:rPr>
  </w:style>
  <w:style w:type="paragraph" w:customStyle="1" w:styleId="xl25">
    <w:name w:val="xl25"/>
    <w:basedOn w:val="Normal"/>
    <w:pPr>
      <w:pBdr>
        <w:top w:val="single" w:sz="4" w:space="0" w:color="auto"/>
        <w:left w:val="single" w:sz="4" w:space="0" w:color="auto"/>
        <w:bottom w:val="single" w:sz="4" w:space="0" w:color="auto"/>
      </w:pBdr>
      <w:spacing w:before="100" w:beforeAutospacing="1" w:after="100" w:afterAutospacing="1"/>
    </w:pPr>
    <w:rPr>
      <w:rFonts w:ascii="Symbol" w:eastAsia="Symbol" w:hAnsi="Symbol" w:cs="Symbol"/>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b/>
      <w:bCs/>
    </w:rPr>
  </w:style>
  <w:style w:type="paragraph" w:customStyle="1" w:styleId="xl27">
    <w:name w:val="xl27"/>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Symbol" w:hAnsi="Arial" w:cs="Arial"/>
      <w:b/>
      <w:bCs/>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rPr>
  </w:style>
  <w:style w:type="paragraph" w:customStyle="1" w:styleId="xl29">
    <w:name w:val="xl29"/>
    <w:basedOn w:val="Normal"/>
    <w:pPr>
      <w:spacing w:before="100" w:beforeAutospacing="1" w:after="100" w:afterAutospacing="1"/>
      <w:jc w:val="center"/>
      <w:textAlignment w:val="center"/>
    </w:pPr>
    <w:rPr>
      <w:rFonts w:ascii="Arial" w:eastAsia="Symbol" w:hAnsi="Arial" w:cs="Arial"/>
      <w:b/>
      <w:bCs/>
    </w:rPr>
  </w:style>
  <w:style w:type="paragraph" w:customStyle="1" w:styleId="xl30">
    <w:name w:val="xl30"/>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Symbol" w:hAnsi="Arial" w:cs="Arial"/>
    </w:rPr>
  </w:style>
  <w:style w:type="paragraph" w:customStyle="1" w:styleId="xl31">
    <w:name w:val="xl31"/>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Symbol" w:eastAsia="Symbol" w:hAnsi="Symbol" w:cs="Symbol"/>
    </w:rPr>
  </w:style>
  <w:style w:type="paragraph" w:customStyle="1" w:styleId="xl32">
    <w:name w:val="xl32"/>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Symbol" w:hAnsi="Arial" w:cs="Arial"/>
      <w:b/>
      <w:bCs/>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Symbol" w:hAnsi="Arial" w:cs="Arial"/>
    </w:rPr>
  </w:style>
  <w:style w:type="paragraph" w:customStyle="1" w:styleId="xl34">
    <w:name w:val="xl34"/>
    <w:basedOn w:val="Normal"/>
    <w:pPr>
      <w:shd w:val="clear" w:color="auto" w:fill="C0C0C0"/>
      <w:spacing w:before="100" w:beforeAutospacing="1" w:after="100" w:afterAutospacing="1"/>
    </w:pPr>
    <w:rPr>
      <w:rFonts w:ascii="Symbol" w:eastAsia="Symbol" w:hAnsi="Symbol" w:cs="Symbol"/>
    </w:rPr>
  </w:style>
  <w:style w:type="paragraph" w:customStyle="1" w:styleId="xl35">
    <w:name w:val="xl35"/>
    <w:basedOn w:val="Normal"/>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pPr>
    <w:rPr>
      <w:rFonts w:ascii="Symbol" w:eastAsia="Symbol" w:hAnsi="Symbol" w:cs="Symbol"/>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jc w:val="center"/>
      <w:textAlignment w:val="center"/>
    </w:pPr>
    <w:rPr>
      <w:rFonts w:ascii="Arial" w:eastAsia="Symbol" w:hAnsi="Arial" w:cs="Arial"/>
      <w:b/>
      <w:bCs/>
    </w:rPr>
  </w:style>
  <w:style w:type="paragraph" w:customStyle="1" w:styleId="xl37">
    <w:name w:val="xl37"/>
    <w:basedOn w:val="Normal"/>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jc w:val="center"/>
      <w:textAlignment w:val="center"/>
    </w:pPr>
    <w:rPr>
      <w:rFonts w:ascii="Arial" w:eastAsia="Symbol" w:hAnsi="Arial" w:cs="Arial"/>
    </w:rPr>
  </w:style>
  <w:style w:type="character" w:customStyle="1" w:styleId="CaptionChar">
    <w:name w:val="Caption Char"/>
    <w:rPr>
      <w:b/>
      <w:noProof w:val="0"/>
      <w:sz w:val="24"/>
      <w:szCs w:val="24"/>
      <w:lang w:val="en-US" w:eastAsia="en-US" w:bidi="ar-SA"/>
    </w:rPr>
  </w:style>
  <w:style w:type="character" w:customStyle="1" w:styleId="ListChar">
    <w:name w:val="List Char"/>
    <w:rPr>
      <w:noProof w:val="0"/>
      <w:sz w:val="24"/>
      <w:lang w:val="en-US" w:eastAsia="en-US" w:bidi="ar-SA"/>
    </w:rPr>
  </w:style>
  <w:style w:type="character" w:customStyle="1" w:styleId="TableTextChar3">
    <w:name w:val="Table Text Char3"/>
    <w:rPr>
      <w:rFonts w:ascii="Arial" w:hAnsi="Arial"/>
      <w:sz w:val="18"/>
      <w:szCs w:val="24"/>
      <w:lang w:val="en-US" w:eastAsia="en-US" w:bidi="ar-SA"/>
    </w:rPr>
  </w:style>
  <w:style w:type="paragraph" w:customStyle="1" w:styleId="ListRole">
    <w:name w:val="List Role"/>
    <w:basedOn w:val="BodyText"/>
    <w:pPr>
      <w:ind w:left="360"/>
    </w:pPr>
  </w:style>
  <w:style w:type="paragraph" w:customStyle="1" w:styleId="Roles">
    <w:name w:val="Roles"/>
    <w:basedOn w:val="BodyText"/>
    <w:link w:val="RolesChar1"/>
    <w:rsid w:val="00237C52"/>
    <w:pPr>
      <w:spacing w:before="0" w:after="0"/>
      <w:ind w:left="288"/>
    </w:pPr>
  </w:style>
  <w:style w:type="character" w:customStyle="1" w:styleId="RolesChar1">
    <w:name w:val="Roles Char1"/>
    <w:basedOn w:val="BodyTextChar"/>
    <w:link w:val="Roles"/>
    <w:rsid w:val="00237C52"/>
    <w:rPr>
      <w:sz w:val="22"/>
      <w:szCs w:val="22"/>
      <w:lang w:val="en-US" w:eastAsia="en-US" w:bidi="ar-SA"/>
    </w:rPr>
  </w:style>
  <w:style w:type="character" w:customStyle="1" w:styleId="RolesChar">
    <w:name w:val="Roles Char"/>
    <w:rPr>
      <w:sz w:val="22"/>
      <w:lang w:val="en-US" w:eastAsia="en-US" w:bidi="ar-SA"/>
    </w:rPr>
  </w:style>
  <w:style w:type="character" w:customStyle="1" w:styleId="TableTextChar5">
    <w:name w:val="Table Text Char5"/>
    <w:rPr>
      <w:rFonts w:ascii="Arial" w:hAnsi="Arial"/>
      <w:sz w:val="18"/>
      <w:szCs w:val="24"/>
      <w:lang w:val="en-US" w:eastAsia="en-US" w:bidi="ar-SA"/>
    </w:rPr>
  </w:style>
  <w:style w:type="character" w:customStyle="1" w:styleId="TableTextNumbersChar2">
    <w:name w:val="Table Text Numbers Char2"/>
    <w:basedOn w:val="TableTextChar5"/>
    <w:rPr>
      <w:rFonts w:ascii="Arial" w:hAnsi="Arial"/>
      <w:sz w:val="18"/>
      <w:szCs w:val="24"/>
      <w:lang w:val="en-US" w:eastAsia="en-US" w:bidi="ar-SA"/>
    </w:rPr>
  </w:style>
  <w:style w:type="paragraph" w:customStyle="1" w:styleId="StyleTableTextBlack">
    <w:name w:val="Style Table Text + Black"/>
    <w:basedOn w:val="TableText"/>
    <w:link w:val="StyleTableTextBlackChar"/>
    <w:rsid w:val="00584AF9"/>
    <w:rPr>
      <w:color w:val="000000"/>
    </w:rPr>
  </w:style>
  <w:style w:type="paragraph" w:customStyle="1" w:styleId="StyleTableTextNumbersWhite2">
    <w:name w:val="Style Table Text Numbers + White2"/>
    <w:basedOn w:val="TableTextNumbers"/>
    <w:link w:val="StyleTableTextNumbersWhite2Char"/>
    <w:rsid w:val="00912F51"/>
    <w:rPr>
      <w:vanish/>
      <w:color w:val="FFFFFF"/>
      <w:szCs w:val="18"/>
    </w:rPr>
  </w:style>
  <w:style w:type="character" w:customStyle="1" w:styleId="StyleTableTextNumbersWhite2Char">
    <w:name w:val="Style Table Text Numbers + White2 Char"/>
    <w:link w:val="StyleTableTextNumbersWhite2"/>
    <w:rsid w:val="00912F51"/>
    <w:rPr>
      <w:rFonts w:ascii="Arial" w:hAnsi="Arial"/>
      <w:vanish/>
      <w:color w:val="FFFFFF"/>
      <w:sz w:val="18"/>
      <w:szCs w:val="18"/>
    </w:rPr>
  </w:style>
  <w:style w:type="character" w:customStyle="1" w:styleId="StyleTableTextBlackChar">
    <w:name w:val="Style Table Text + Black Char"/>
    <w:link w:val="StyleTableTextBlack"/>
    <w:rsid w:val="00584AF9"/>
    <w:rPr>
      <w:rFonts w:ascii="Arial" w:hAnsi="Arial"/>
      <w:color w:val="000000"/>
      <w:sz w:val="18"/>
      <w:szCs w:val="24"/>
      <w:lang w:val="en-US" w:eastAsia="en-US" w:bidi="ar-SA"/>
    </w:rPr>
  </w:style>
  <w:style w:type="paragraph" w:customStyle="1" w:styleId="StyleBodyTextArial9ptBold">
    <w:name w:val="Style Body Text + Arial 9 pt Bold"/>
    <w:basedOn w:val="BodyText"/>
    <w:rsid w:val="00963F12"/>
    <w:pPr>
      <w:spacing w:before="0" w:after="0"/>
    </w:pPr>
    <w:rPr>
      <w:rFonts w:ascii="Arial" w:hAnsi="Arial"/>
      <w:b/>
      <w:bCs/>
      <w:sz w:val="18"/>
    </w:rPr>
  </w:style>
  <w:style w:type="paragraph" w:styleId="List2">
    <w:name w:val="List 2"/>
    <w:basedOn w:val="Normal"/>
    <w:rsid w:val="00FA7E65"/>
    <w:pPr>
      <w:ind w:left="720" w:hanging="360"/>
    </w:pPr>
  </w:style>
  <w:style w:type="paragraph" w:styleId="BodyTextIndent">
    <w:name w:val="Body Text Indent"/>
    <w:basedOn w:val="Normal"/>
    <w:rsid w:val="00FA7E65"/>
    <w:pPr>
      <w:spacing w:after="120"/>
      <w:ind w:left="360"/>
    </w:pPr>
  </w:style>
  <w:style w:type="paragraph" w:styleId="NormalWeb">
    <w:name w:val="Normal (Web)"/>
    <w:basedOn w:val="Normal"/>
    <w:rsid w:val="001D19BF"/>
    <w:pPr>
      <w:spacing w:before="100" w:beforeAutospacing="1" w:after="100" w:afterAutospacing="1"/>
    </w:pPr>
  </w:style>
  <w:style w:type="paragraph" w:customStyle="1" w:styleId="tabletext1">
    <w:name w:val="tabletext"/>
    <w:basedOn w:val="Normal"/>
    <w:rsid w:val="00194509"/>
    <w:rPr>
      <w:rFonts w:ascii="Arial" w:hAnsi="Arial" w:cs="Arial"/>
      <w:color w:val="000000"/>
      <w:sz w:val="18"/>
      <w:szCs w:val="18"/>
    </w:rPr>
  </w:style>
  <w:style w:type="paragraph" w:styleId="Index5">
    <w:name w:val="index 5"/>
    <w:basedOn w:val="Normal"/>
    <w:next w:val="Normal"/>
    <w:autoRedefine/>
    <w:semiHidden/>
    <w:rsid w:val="00E93F17"/>
    <w:pPr>
      <w:ind w:left="1200" w:hanging="240"/>
    </w:pPr>
    <w:rPr>
      <w:sz w:val="18"/>
      <w:szCs w:val="18"/>
    </w:rPr>
  </w:style>
  <w:style w:type="paragraph" w:styleId="Index6">
    <w:name w:val="index 6"/>
    <w:basedOn w:val="Normal"/>
    <w:next w:val="Normal"/>
    <w:autoRedefine/>
    <w:semiHidden/>
    <w:rsid w:val="00E93F17"/>
    <w:pPr>
      <w:ind w:left="1440" w:hanging="240"/>
    </w:pPr>
    <w:rPr>
      <w:sz w:val="18"/>
      <w:szCs w:val="18"/>
    </w:rPr>
  </w:style>
  <w:style w:type="paragraph" w:styleId="Index7">
    <w:name w:val="index 7"/>
    <w:basedOn w:val="Normal"/>
    <w:next w:val="Normal"/>
    <w:autoRedefine/>
    <w:semiHidden/>
    <w:rsid w:val="00E93F17"/>
    <w:pPr>
      <w:ind w:left="1680" w:hanging="240"/>
    </w:pPr>
    <w:rPr>
      <w:sz w:val="18"/>
      <w:szCs w:val="18"/>
    </w:rPr>
  </w:style>
  <w:style w:type="paragraph" w:styleId="Index8">
    <w:name w:val="index 8"/>
    <w:basedOn w:val="Normal"/>
    <w:next w:val="Normal"/>
    <w:autoRedefine/>
    <w:semiHidden/>
    <w:rsid w:val="00E93F17"/>
    <w:pPr>
      <w:ind w:left="1920" w:hanging="240"/>
    </w:pPr>
    <w:rPr>
      <w:sz w:val="18"/>
      <w:szCs w:val="18"/>
    </w:rPr>
  </w:style>
  <w:style w:type="paragraph" w:styleId="Index9">
    <w:name w:val="index 9"/>
    <w:basedOn w:val="Normal"/>
    <w:next w:val="Normal"/>
    <w:autoRedefine/>
    <w:semiHidden/>
    <w:rsid w:val="00E93F17"/>
    <w:pPr>
      <w:ind w:left="2160" w:hanging="240"/>
    </w:pPr>
    <w:rPr>
      <w:sz w:val="18"/>
      <w:szCs w:val="18"/>
    </w:rPr>
  </w:style>
  <w:style w:type="paragraph" w:styleId="IndexHeading">
    <w:name w:val="index heading"/>
    <w:basedOn w:val="Normal"/>
    <w:next w:val="Index1"/>
    <w:uiPriority w:val="99"/>
    <w:semiHidden/>
    <w:rsid w:val="00E93F17"/>
    <w:pPr>
      <w:spacing w:before="240" w:after="120"/>
      <w:jc w:val="center"/>
    </w:pPr>
    <w:rPr>
      <w:b/>
      <w:bCs/>
      <w:sz w:val="26"/>
      <w:szCs w:val="26"/>
    </w:rPr>
  </w:style>
  <w:style w:type="character" w:customStyle="1" w:styleId="VHAISHbrilld">
    <w:name w:val="VHAISHbrilld"/>
    <w:semiHidden/>
    <w:rsid w:val="00DE7D08"/>
    <w:rPr>
      <w:rFonts w:ascii="Arial" w:hAnsi="Arial" w:cs="Arial"/>
      <w:color w:val="auto"/>
      <w:sz w:val="20"/>
      <w:szCs w:val="20"/>
    </w:rPr>
  </w:style>
  <w:style w:type="character" w:customStyle="1" w:styleId="TableTextBulletChar1">
    <w:name w:val="Table Text Bullet Char1"/>
    <w:basedOn w:val="TableTextChar6"/>
    <w:link w:val="TableTextBullet"/>
    <w:rsid w:val="00CC50D7"/>
    <w:rPr>
      <w:rFonts w:ascii="Arial" w:hAnsi="Arial"/>
      <w:sz w:val="18"/>
      <w:szCs w:val="24"/>
      <w:lang w:val="en-US" w:eastAsia="en-US" w:bidi="ar-SA"/>
    </w:rPr>
  </w:style>
  <w:style w:type="character" w:customStyle="1" w:styleId="BodyTextChar1">
    <w:name w:val="Body Text Char1"/>
    <w:rsid w:val="00EE44F1"/>
    <w:rPr>
      <w:sz w:val="22"/>
      <w:szCs w:val="22"/>
      <w:lang w:val="en-US" w:eastAsia="en-US" w:bidi="ar-SA"/>
    </w:rPr>
  </w:style>
  <w:style w:type="character" w:customStyle="1" w:styleId="Heading3Char2">
    <w:name w:val="Heading 3 Char2"/>
    <w:rsid w:val="008A701E"/>
    <w:rPr>
      <w:rFonts w:ascii="Arial" w:hAnsi="Arial" w:cs="Arial"/>
      <w:b/>
      <w:bCs/>
      <w:sz w:val="26"/>
      <w:szCs w:val="26"/>
      <w:lang w:val="en-US" w:eastAsia="en-US" w:bidi="ar-SA"/>
    </w:rPr>
  </w:style>
  <w:style w:type="character" w:customStyle="1" w:styleId="CaptionChar2">
    <w:name w:val="Caption Char2"/>
    <w:rsid w:val="008A701E"/>
    <w:rPr>
      <w:b/>
      <w:sz w:val="22"/>
      <w:szCs w:val="22"/>
      <w:lang w:val="en-US" w:eastAsia="en-US" w:bidi="ar-SA"/>
    </w:rPr>
  </w:style>
  <w:style w:type="character" w:customStyle="1" w:styleId="CommentTextChar">
    <w:name w:val="Comment Text Char"/>
    <w:basedOn w:val="DefaultParagraphFont"/>
    <w:link w:val="CommentText"/>
    <w:rsid w:val="00E36CAB"/>
  </w:style>
  <w:style w:type="character" w:customStyle="1" w:styleId="TableTextCharChar">
    <w:name w:val="Table Text Char Char"/>
    <w:rsid w:val="00D32A05"/>
    <w:rPr>
      <w:rFonts w:ascii="Arial" w:hAnsi="Arial"/>
      <w:sz w:val="18"/>
      <w:szCs w:val="24"/>
      <w:lang w:val="en-US" w:eastAsia="en-US" w:bidi="ar-SA"/>
    </w:rPr>
  </w:style>
  <w:style w:type="paragraph" w:styleId="ListParagraph">
    <w:name w:val="List Paragraph"/>
    <w:basedOn w:val="Normal"/>
    <w:uiPriority w:val="34"/>
    <w:qFormat/>
    <w:rsid w:val="00C33E1D"/>
    <w:pPr>
      <w:spacing w:after="200" w:line="276" w:lineRule="auto"/>
      <w:ind w:left="720"/>
      <w:contextualSpacing/>
    </w:pPr>
    <w:rPr>
      <w:rFonts w:ascii="Calibri" w:eastAsia="Calibri" w:hAnsi="Calibri"/>
      <w:sz w:val="22"/>
      <w:szCs w:val="22"/>
    </w:rPr>
  </w:style>
  <w:style w:type="character" w:customStyle="1" w:styleId="FootnoteTextChar">
    <w:name w:val="Footnote Text Char"/>
    <w:basedOn w:val="DefaultParagraphFont"/>
    <w:link w:val="FootnoteText"/>
    <w:uiPriority w:val="99"/>
    <w:semiHidden/>
    <w:rsid w:val="00FC3B68"/>
  </w:style>
  <w:style w:type="character" w:customStyle="1" w:styleId="Heading2Char">
    <w:name w:val="Heading 2 Char"/>
    <w:aliases w:val="Heading for title Char,head 2 Char"/>
    <w:link w:val="Heading2"/>
    <w:rsid w:val="000F6EEA"/>
    <w:rPr>
      <w:rFonts w:ascii="Arial" w:hAnsi="Arial" w:cs="Arial"/>
      <w:b/>
      <w:bCs/>
      <w:i/>
      <w:iCs/>
      <w:sz w:val="28"/>
      <w:szCs w:val="28"/>
    </w:rPr>
  </w:style>
  <w:style w:type="paragraph" w:styleId="NoSpacing">
    <w:name w:val="No Spacing"/>
    <w:uiPriority w:val="1"/>
    <w:qFormat/>
    <w:rsid w:val="00280C3F"/>
    <w:rPr>
      <w:rFonts w:ascii="Calibri" w:eastAsia="Calibri" w:hAnsi="Calibri"/>
      <w:sz w:val="22"/>
      <w:szCs w:val="22"/>
    </w:rPr>
  </w:style>
  <w:style w:type="paragraph" w:styleId="HTMLPreformatted">
    <w:name w:val="HTML Preformatted"/>
    <w:basedOn w:val="Normal"/>
    <w:link w:val="HTMLPreformattedChar"/>
    <w:rsid w:val="00392B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sz w:val="20"/>
      <w:szCs w:val="20"/>
    </w:rPr>
  </w:style>
  <w:style w:type="character" w:customStyle="1" w:styleId="HTMLPreformattedChar">
    <w:name w:val="HTML Preformatted Char"/>
    <w:link w:val="HTMLPreformatted"/>
    <w:rsid w:val="00392B0E"/>
    <w:rPr>
      <w:rFonts w:ascii="Courier New" w:hAnsi="Courier New"/>
    </w:rPr>
  </w:style>
  <w:style w:type="paragraph" w:customStyle="1" w:styleId="Substep01">
    <w:name w:val="Substep 01"/>
    <w:basedOn w:val="TableText"/>
    <w:rsid w:val="00DB1497"/>
    <w:pPr>
      <w:numPr>
        <w:numId w:val="53"/>
      </w:numPr>
      <w:jc w:val="right"/>
    </w:pPr>
    <w:rPr>
      <w:color w:val="000000"/>
      <w:szCs w:val="20"/>
    </w:rPr>
  </w:style>
  <w:style w:type="paragraph" w:customStyle="1" w:styleId="CellBodyLeft">
    <w:name w:val="CellBodyLeft"/>
    <w:basedOn w:val="Normal"/>
    <w:rsid w:val="00DC70D1"/>
    <w:pPr>
      <w:spacing w:before="60"/>
      <w:ind w:left="72"/>
    </w:pPr>
    <w:rPr>
      <w:rFonts w:ascii="Arial" w:hAnsi="Arial"/>
      <w:color w:val="000000"/>
      <w:sz w:val="16"/>
      <w:szCs w:val="20"/>
    </w:rPr>
  </w:style>
  <w:style w:type="paragraph" w:customStyle="1" w:styleId="CellBodyCenter">
    <w:name w:val="CellBodyCenter"/>
    <w:basedOn w:val="Normal"/>
    <w:rsid w:val="00DC70D1"/>
    <w:pPr>
      <w:keepLines/>
      <w:jc w:val="center"/>
    </w:pPr>
    <w:rPr>
      <w:rFonts w:ascii="Arial" w:hAnsi="Arial"/>
      <w:color w:val="000000"/>
      <w:sz w:val="16"/>
      <w:szCs w:val="20"/>
    </w:rPr>
  </w:style>
  <w:style w:type="paragraph" w:customStyle="1" w:styleId="Substep02">
    <w:name w:val="Substep 02"/>
    <w:basedOn w:val="Substep01"/>
    <w:rsid w:val="001809EC"/>
    <w:pPr>
      <w:numPr>
        <w:numId w:val="57"/>
      </w:numPr>
    </w:pPr>
  </w:style>
  <w:style w:type="paragraph" w:styleId="PlainText">
    <w:name w:val="Plain Text"/>
    <w:basedOn w:val="Normal"/>
    <w:link w:val="PlainTextChar"/>
    <w:uiPriority w:val="99"/>
    <w:unhideWhenUsed/>
    <w:rsid w:val="00D53DC3"/>
    <w:rPr>
      <w:rFonts w:ascii="Calibri" w:eastAsia="Calibri" w:hAnsi="Calibri"/>
      <w:sz w:val="22"/>
      <w:szCs w:val="21"/>
    </w:rPr>
  </w:style>
  <w:style w:type="character" w:customStyle="1" w:styleId="PlainTextChar">
    <w:name w:val="Plain Text Char"/>
    <w:link w:val="PlainText"/>
    <w:uiPriority w:val="99"/>
    <w:rsid w:val="00D53DC3"/>
    <w:rPr>
      <w:rFonts w:ascii="Calibri" w:eastAsia="Calibri" w:hAnsi="Calibri"/>
      <w:sz w:val="2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index heading"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E4113"/>
    <w:rPr>
      <w:sz w:val="24"/>
      <w:szCs w:val="24"/>
    </w:rPr>
  </w:style>
  <w:style w:type="paragraph" w:styleId="Heading1">
    <w:name w:val="heading 1"/>
    <w:basedOn w:val="Normal"/>
    <w:next w:val="Normal"/>
    <w:link w:val="Heading1Char"/>
    <w:qFormat/>
    <w:pPr>
      <w:keepNext/>
      <w:spacing w:before="240" w:after="60"/>
      <w:outlineLvl w:val="0"/>
    </w:pPr>
    <w:rPr>
      <w:rFonts w:ascii="Arial" w:hAnsi="Arial" w:cs="Arial"/>
      <w:b/>
      <w:bCs/>
      <w:kern w:val="32"/>
      <w:sz w:val="36"/>
      <w:szCs w:val="32"/>
    </w:rPr>
  </w:style>
  <w:style w:type="paragraph" w:styleId="Heading2">
    <w:name w:val="heading 2"/>
    <w:aliases w:val="Heading for title,head 2"/>
    <w:basedOn w:val="Normal"/>
    <w:next w:val="Normal"/>
    <w:link w:val="Heading2Char"/>
    <w:qFormat/>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1"/>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pPr>
      <w:keepNext/>
      <w:spacing w:before="240" w:after="60"/>
      <w:outlineLvl w:val="3"/>
    </w:pPr>
    <w:rPr>
      <w:rFonts w:ascii="Arial" w:hAnsi="Arial"/>
      <w:b/>
      <w:sz w:val="22"/>
    </w:rPr>
  </w:style>
  <w:style w:type="paragraph" w:styleId="Heading5">
    <w:name w:val="heading 5"/>
    <w:basedOn w:val="Normal"/>
    <w:next w:val="Normal"/>
    <w:qFormat/>
    <w:pPr>
      <w:keepNext/>
      <w:numPr>
        <w:ilvl w:val="4"/>
        <w:numId w:val="1"/>
      </w:numPr>
      <w:outlineLvl w:val="4"/>
    </w:pPr>
    <w:rPr>
      <w:b/>
      <w:szCs w:val="20"/>
    </w:rPr>
  </w:style>
  <w:style w:type="paragraph" w:styleId="Heading6">
    <w:name w:val="heading 6"/>
    <w:basedOn w:val="Normal"/>
    <w:next w:val="Normal"/>
    <w:qFormat/>
    <w:pPr>
      <w:numPr>
        <w:ilvl w:val="5"/>
        <w:numId w:val="1"/>
      </w:numPr>
      <w:spacing w:before="240" w:after="60"/>
      <w:outlineLvl w:val="5"/>
    </w:pPr>
    <w:rPr>
      <w:b/>
      <w:sz w:val="22"/>
      <w:szCs w:val="20"/>
    </w:rPr>
  </w:style>
  <w:style w:type="paragraph" w:styleId="Heading7">
    <w:name w:val="heading 7"/>
    <w:basedOn w:val="Normal"/>
    <w:next w:val="Normal"/>
    <w:qFormat/>
    <w:pPr>
      <w:numPr>
        <w:ilvl w:val="6"/>
        <w:numId w:val="1"/>
      </w:numPr>
      <w:spacing w:before="240" w:after="60"/>
      <w:outlineLvl w:val="6"/>
    </w:pPr>
    <w:rPr>
      <w:szCs w:val="20"/>
    </w:rPr>
  </w:style>
  <w:style w:type="paragraph" w:styleId="Heading8">
    <w:name w:val="heading 8"/>
    <w:basedOn w:val="Normal"/>
    <w:next w:val="Normal"/>
    <w:qFormat/>
    <w:pPr>
      <w:numPr>
        <w:ilvl w:val="7"/>
        <w:numId w:val="1"/>
      </w:numPr>
      <w:spacing w:before="240" w:after="60"/>
      <w:outlineLvl w:val="7"/>
    </w:pPr>
    <w:rPr>
      <w:i/>
      <w:szCs w:val="20"/>
    </w:rPr>
  </w:style>
  <w:style w:type="paragraph" w:styleId="Heading9">
    <w:name w:val="heading 9"/>
    <w:basedOn w:val="Normal"/>
    <w:next w:val="Normal"/>
    <w:qFormat/>
    <w:pPr>
      <w:numPr>
        <w:ilvl w:val="8"/>
        <w:numId w:val="1"/>
      </w:numPr>
      <w:spacing w:before="240" w:after="60"/>
      <w:outlineLvl w:val="8"/>
    </w:pPr>
    <w:rPr>
      <w:rFonts w:ascii="Arial" w:hAnsi="Arial"/>
      <w:sz w:val="22"/>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rsid w:val="002E3C00"/>
    <w:rPr>
      <w:rFonts w:ascii="Arial" w:hAnsi="Arial" w:cs="Arial"/>
      <w:b/>
      <w:bCs/>
      <w:kern w:val="32"/>
      <w:sz w:val="36"/>
      <w:szCs w:val="32"/>
      <w:lang w:val="en-US" w:eastAsia="en-US" w:bidi="ar-SA"/>
    </w:rPr>
  </w:style>
  <w:style w:type="character" w:customStyle="1" w:styleId="Heading3Char1">
    <w:name w:val="Heading 3 Char1"/>
    <w:link w:val="Heading3"/>
    <w:rsid w:val="00C12CF8"/>
    <w:rPr>
      <w:rFonts w:ascii="Arial" w:hAnsi="Arial" w:cs="Arial"/>
      <w:b/>
      <w:bCs/>
      <w:sz w:val="26"/>
      <w:szCs w:val="26"/>
      <w:lang w:val="en-US" w:eastAsia="en-US" w:bidi="ar-SA"/>
    </w:rPr>
  </w:style>
  <w:style w:type="character" w:customStyle="1" w:styleId="Heading4Char">
    <w:name w:val="Heading 4 Char"/>
    <w:link w:val="Heading4"/>
    <w:rsid w:val="00896F17"/>
    <w:rPr>
      <w:rFonts w:ascii="Arial" w:hAnsi="Arial"/>
      <w:b/>
      <w:sz w:val="22"/>
      <w:szCs w:val="24"/>
      <w:lang w:val="en-US" w:eastAsia="en-US" w:bidi="ar-SA"/>
    </w:rPr>
  </w:style>
  <w:style w:type="character" w:customStyle="1" w:styleId="Char">
    <w:name w:val=" Char"/>
    <w:semiHidden/>
    <w:rPr>
      <w:sz w:val="22"/>
      <w:lang w:val="en-US" w:eastAsia="en-US" w:bidi="ar-SA"/>
    </w:rPr>
  </w:style>
  <w:style w:type="paragraph" w:styleId="Header">
    <w:name w:val="header"/>
    <w:basedOn w:val="Normal"/>
    <w:pPr>
      <w:tabs>
        <w:tab w:val="center" w:pos="4320"/>
        <w:tab w:val="right" w:pos="8640"/>
      </w:tabs>
    </w:pPr>
  </w:style>
  <w:style w:type="paragraph" w:customStyle="1" w:styleId="TitlePage">
    <w:name w:val="TitlePage"/>
    <w:basedOn w:val="Normal"/>
    <w:rPr>
      <w:rFonts w:ascii="Arial" w:hAnsi="Arial"/>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OC1">
    <w:name w:val="toc 1"/>
    <w:basedOn w:val="Normal"/>
    <w:next w:val="Normal"/>
    <w:uiPriority w:val="39"/>
    <w:pPr>
      <w:spacing w:before="120" w:after="120"/>
    </w:pPr>
    <w:rPr>
      <w:b/>
      <w:caps/>
      <w:sz w:val="22"/>
      <w:szCs w:val="22"/>
    </w:rPr>
  </w:style>
  <w:style w:type="paragraph" w:styleId="TOC2">
    <w:name w:val="toc 2"/>
    <w:basedOn w:val="Normal"/>
    <w:next w:val="Normal"/>
    <w:uiPriority w:val="39"/>
    <w:pPr>
      <w:ind w:left="245"/>
    </w:pPr>
    <w:rPr>
      <w:smallCaps/>
      <w:sz w:val="22"/>
      <w:szCs w:val="22"/>
    </w:rPr>
  </w:style>
  <w:style w:type="paragraph" w:styleId="TOC3">
    <w:name w:val="toc 3"/>
    <w:basedOn w:val="Normal"/>
    <w:next w:val="Normal"/>
    <w:uiPriority w:val="39"/>
    <w:pPr>
      <w:ind w:left="475"/>
    </w:pPr>
    <w:rPr>
      <w:sz w:val="22"/>
      <w:szCs w:val="22"/>
    </w:rPr>
  </w:style>
  <w:style w:type="paragraph" w:styleId="TOC4">
    <w:name w:val="toc 4"/>
    <w:basedOn w:val="Normal"/>
    <w:next w:val="Normal"/>
    <w:uiPriority w:val="39"/>
    <w:pPr>
      <w:ind w:left="720"/>
    </w:pPr>
    <w:rPr>
      <w:sz w:val="22"/>
    </w:r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character" w:styleId="Hyperlink">
    <w:name w:val="Hyperlink"/>
    <w:uiPriority w:val="99"/>
    <w:rPr>
      <w:color w:val="0000FF"/>
      <w:u w:val="single"/>
    </w:rPr>
  </w:style>
  <w:style w:type="paragraph" w:styleId="ListBullet">
    <w:name w:val="List Bullet"/>
    <w:basedOn w:val="Normal"/>
    <w:rsid w:val="00BB52F5"/>
    <w:pPr>
      <w:numPr>
        <w:numId w:val="15"/>
      </w:numPr>
      <w:spacing w:line="240" w:lineRule="atLeast"/>
    </w:pPr>
    <w:rPr>
      <w:spacing w:val="-5"/>
      <w:sz w:val="22"/>
      <w:szCs w:val="22"/>
    </w:rPr>
  </w:style>
  <w:style w:type="paragraph" w:customStyle="1" w:styleId="Bullhorn">
    <w:name w:val="Bullhorn"/>
    <w:basedOn w:val="TableText"/>
    <w:next w:val="TableText"/>
    <w:link w:val="BullhornChar"/>
    <w:rsid w:val="00896F17"/>
    <w:rPr>
      <w:rFonts w:ascii="Webdings" w:hAnsi="Webdings"/>
      <w:sz w:val="40"/>
    </w:rPr>
  </w:style>
  <w:style w:type="paragraph" w:customStyle="1" w:styleId="TableText">
    <w:name w:val="Table Text"/>
    <w:basedOn w:val="Normal"/>
    <w:link w:val="TableTextChar6"/>
    <w:rsid w:val="00584AF9"/>
    <w:rPr>
      <w:rFonts w:ascii="Arial" w:hAnsi="Arial"/>
      <w:sz w:val="18"/>
    </w:rPr>
  </w:style>
  <w:style w:type="character" w:customStyle="1" w:styleId="TableTextChar6">
    <w:name w:val="Table Text Char6"/>
    <w:link w:val="TableText"/>
    <w:rsid w:val="00584AF9"/>
    <w:rPr>
      <w:rFonts w:ascii="Arial" w:hAnsi="Arial"/>
      <w:sz w:val="18"/>
      <w:szCs w:val="24"/>
      <w:lang w:val="en-US" w:eastAsia="en-US" w:bidi="ar-SA"/>
    </w:rPr>
  </w:style>
  <w:style w:type="character" w:customStyle="1" w:styleId="BullhornChar">
    <w:name w:val="Bullhorn Char"/>
    <w:link w:val="Bullhorn"/>
    <w:rsid w:val="00896F17"/>
    <w:rPr>
      <w:rFonts w:ascii="Webdings" w:hAnsi="Webdings"/>
      <w:sz w:val="40"/>
      <w:szCs w:val="24"/>
      <w:lang w:val="en-US" w:eastAsia="en-US" w:bidi="ar-SA"/>
    </w:rPr>
  </w:style>
  <w:style w:type="paragraph" w:styleId="BodyText">
    <w:name w:val="Body Text"/>
    <w:basedOn w:val="Normal"/>
    <w:link w:val="BodyTextChar"/>
    <w:rsid w:val="00EE665E"/>
    <w:pPr>
      <w:spacing w:before="60" w:after="120"/>
    </w:pPr>
    <w:rPr>
      <w:sz w:val="22"/>
      <w:szCs w:val="22"/>
    </w:rPr>
  </w:style>
  <w:style w:type="character" w:customStyle="1" w:styleId="BodyTextChar">
    <w:name w:val="Body Text Char"/>
    <w:link w:val="BodyText"/>
    <w:rsid w:val="00EE665E"/>
    <w:rPr>
      <w:sz w:val="22"/>
      <w:szCs w:val="22"/>
      <w:lang w:val="en-US" w:eastAsia="en-US" w:bidi="ar-SA"/>
    </w:rPr>
  </w:style>
  <w:style w:type="table" w:styleId="TableGrid">
    <w:name w:val="Table Grid"/>
    <w:basedOn w:val="TableNormal"/>
    <w:rsid w:val="005F65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Normal"/>
    <w:autoRedefine/>
    <w:pPr>
      <w:numPr>
        <w:numId w:val="9"/>
      </w:numPr>
      <w:tabs>
        <w:tab w:val="clear" w:pos="1080"/>
        <w:tab w:val="left" w:pos="1350"/>
      </w:tabs>
      <w:ind w:left="0" w:firstLine="0"/>
    </w:pPr>
    <w:rPr>
      <w:rFonts w:ascii="Geneva" w:hAnsi="Geneva"/>
      <w:sz w:val="22"/>
      <w:szCs w:val="20"/>
    </w:rPr>
  </w:style>
  <w:style w:type="paragraph" w:customStyle="1" w:styleId="TableofContents">
    <w:name w:val="Table of Contents"/>
    <w:basedOn w:val="Heading1"/>
  </w:style>
  <w:style w:type="paragraph" w:customStyle="1" w:styleId="GlossaryTableTextBullets">
    <w:name w:val="Glossary Table Text Bullets"/>
    <w:basedOn w:val="GlossaryTableText"/>
    <w:pPr>
      <w:numPr>
        <w:numId w:val="11"/>
      </w:numPr>
    </w:pPr>
  </w:style>
  <w:style w:type="paragraph" w:customStyle="1" w:styleId="GlossaryTableText">
    <w:name w:val="Glossary Table Text"/>
    <w:basedOn w:val="TableText"/>
    <w:next w:val="TableText"/>
    <w:pPr>
      <w:spacing w:after="60"/>
    </w:pPr>
    <w:rPr>
      <w:rFonts w:eastAsia="Symbol"/>
      <w:sz w:val="20"/>
      <w:szCs w:val="20"/>
    </w:rPr>
  </w:style>
  <w:style w:type="character" w:customStyle="1" w:styleId="TableTextChar1">
    <w:name w:val="Table Text Char1"/>
    <w:rPr>
      <w:rFonts w:ascii="Arial" w:hAnsi="Arial"/>
      <w:sz w:val="18"/>
      <w:szCs w:val="24"/>
      <w:lang w:val="en-US" w:eastAsia="en-US" w:bidi="ar-SA"/>
    </w:rPr>
  </w:style>
  <w:style w:type="paragraph" w:styleId="ListBullet2">
    <w:name w:val="List Bullet 2"/>
    <w:basedOn w:val="BodyText"/>
    <w:rsid w:val="00EB1E75"/>
    <w:pPr>
      <w:numPr>
        <w:numId w:val="8"/>
      </w:numPr>
      <w:spacing w:before="0" w:after="0"/>
    </w:pPr>
  </w:style>
  <w:style w:type="character" w:customStyle="1" w:styleId="NotesTextChar5">
    <w:name w:val="Notes Text Char5"/>
    <w:rPr>
      <w:rFonts w:ascii="Arial" w:hAnsi="Arial"/>
      <w:color w:val="000000"/>
      <w:sz w:val="18"/>
      <w:szCs w:val="24"/>
      <w:lang w:val="en-US" w:eastAsia="en-US" w:bidi="ar-SA"/>
    </w:rPr>
  </w:style>
  <w:style w:type="character" w:styleId="CommentReference">
    <w:name w:val="annotation reference"/>
    <w:semiHidden/>
    <w:rPr>
      <w:sz w:val="16"/>
      <w:szCs w:val="16"/>
    </w:rPr>
  </w:style>
  <w:style w:type="paragraph" w:styleId="CommentText">
    <w:name w:val="annotation text"/>
    <w:basedOn w:val="Normal"/>
    <w:link w:val="CommentTextChar"/>
    <w:pPr>
      <w:tabs>
        <w:tab w:val="num" w:pos="1080"/>
      </w:tabs>
      <w:ind w:left="1080" w:hanging="360"/>
    </w:pPr>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sz w:val="16"/>
      <w:szCs w:val="16"/>
    </w:rPr>
  </w:style>
  <w:style w:type="paragraph" w:customStyle="1" w:styleId="StyleTitlePageCentered">
    <w:name w:val="Style TitlePage + Centered"/>
    <w:basedOn w:val="TitlePage"/>
    <w:pPr>
      <w:jc w:val="center"/>
    </w:pPr>
    <w:rPr>
      <w:sz w:val="44"/>
      <w:szCs w:val="44"/>
    </w:rPr>
  </w:style>
  <w:style w:type="paragraph" w:customStyle="1" w:styleId="StyleTitlePageBottom">
    <w:name w:val="StyleTitlePageBottom"/>
    <w:basedOn w:val="StyleTitlePageCentered"/>
    <w:rPr>
      <w:sz w:val="28"/>
    </w:rPr>
  </w:style>
  <w:style w:type="paragraph" w:customStyle="1" w:styleId="proclabel">
    <w:name w:val="proclabel"/>
    <w:basedOn w:val="Normal"/>
    <w:pPr>
      <w:spacing w:before="100" w:beforeAutospacing="1" w:after="100" w:afterAutospacing="1"/>
    </w:pPr>
  </w:style>
  <w:style w:type="character" w:styleId="FollowedHyperlink">
    <w:name w:val="FollowedHyperlink"/>
    <w:rPr>
      <w:color w:val="800080"/>
      <w:u w:val="single"/>
    </w:rPr>
  </w:style>
  <w:style w:type="paragraph" w:styleId="Caption">
    <w:name w:val="caption"/>
    <w:basedOn w:val="Normal"/>
    <w:next w:val="BodyText"/>
    <w:link w:val="CaptionChar1"/>
    <w:qFormat/>
    <w:rsid w:val="00453B6E"/>
    <w:pPr>
      <w:keepNext/>
      <w:spacing w:before="120" w:after="120"/>
    </w:pPr>
    <w:rPr>
      <w:b/>
      <w:sz w:val="22"/>
      <w:szCs w:val="22"/>
    </w:rPr>
  </w:style>
  <w:style w:type="character" w:customStyle="1" w:styleId="Char1">
    <w:name w:val=" Char1"/>
    <w:semiHidden/>
    <w:rPr>
      <w:rFonts w:ascii="Arial" w:hAnsi="Arial" w:cs="Arial"/>
      <w:b/>
      <w:bCs/>
      <w:sz w:val="26"/>
      <w:szCs w:val="26"/>
      <w:lang w:val="en-US" w:eastAsia="en-US" w:bidi="ar-SA"/>
    </w:rPr>
  </w:style>
  <w:style w:type="paragraph" w:customStyle="1" w:styleId="TableTextBullet">
    <w:name w:val="Table Text Bullet"/>
    <w:basedOn w:val="TableText"/>
    <w:link w:val="TableTextBulletChar1"/>
    <w:rsid w:val="00B93B42"/>
    <w:pPr>
      <w:numPr>
        <w:numId w:val="12"/>
      </w:numPr>
    </w:pPr>
  </w:style>
  <w:style w:type="paragraph" w:styleId="BodyTextIndent2">
    <w:name w:val="Body Text Indent 2"/>
    <w:basedOn w:val="Normal"/>
    <w:pPr>
      <w:spacing w:after="120" w:line="480" w:lineRule="auto"/>
      <w:ind w:left="360"/>
    </w:pPr>
  </w:style>
  <w:style w:type="paragraph" w:styleId="Index1">
    <w:name w:val="index 1"/>
    <w:basedOn w:val="Normal"/>
    <w:next w:val="Normal"/>
    <w:uiPriority w:val="99"/>
    <w:semiHidden/>
    <w:rsid w:val="00E93F17"/>
    <w:pPr>
      <w:ind w:left="240" w:hanging="240"/>
    </w:pPr>
    <w:rPr>
      <w:sz w:val="18"/>
      <w:szCs w:val="18"/>
    </w:rPr>
  </w:style>
  <w:style w:type="paragraph" w:styleId="Index2">
    <w:name w:val="index 2"/>
    <w:basedOn w:val="Normal"/>
    <w:next w:val="Normal"/>
    <w:uiPriority w:val="99"/>
    <w:semiHidden/>
    <w:pPr>
      <w:ind w:left="480" w:hanging="240"/>
    </w:pPr>
    <w:rPr>
      <w:sz w:val="18"/>
      <w:szCs w:val="18"/>
    </w:rPr>
  </w:style>
  <w:style w:type="paragraph" w:styleId="Index3">
    <w:name w:val="index 3"/>
    <w:basedOn w:val="Normal"/>
    <w:next w:val="Normal"/>
    <w:autoRedefine/>
    <w:uiPriority w:val="99"/>
    <w:semiHidden/>
    <w:pPr>
      <w:ind w:left="720" w:hanging="240"/>
    </w:pPr>
    <w:rPr>
      <w:sz w:val="18"/>
      <w:szCs w:val="18"/>
    </w:rPr>
  </w:style>
  <w:style w:type="paragraph" w:styleId="Index4">
    <w:name w:val="index 4"/>
    <w:basedOn w:val="Normal"/>
    <w:next w:val="Normal"/>
    <w:autoRedefine/>
    <w:semiHidden/>
    <w:pPr>
      <w:ind w:left="960" w:hanging="240"/>
    </w:pPr>
    <w:rPr>
      <w:sz w:val="18"/>
      <w:szCs w:val="18"/>
    </w:rPr>
  </w:style>
  <w:style w:type="paragraph" w:customStyle="1" w:styleId="TableTextNumbers">
    <w:name w:val="Table Text Numbers"/>
    <w:basedOn w:val="TableText"/>
    <w:link w:val="TableTextNumbersCharChar"/>
    <w:rsid w:val="00584AF9"/>
    <w:pPr>
      <w:numPr>
        <w:numId w:val="4"/>
      </w:numPr>
    </w:pPr>
  </w:style>
  <w:style w:type="character" w:customStyle="1" w:styleId="TableTextNumbersCharChar">
    <w:name w:val="Table Text Numbers Char Char"/>
    <w:basedOn w:val="TableTextChar6"/>
    <w:link w:val="TableTextNumbers"/>
    <w:rsid w:val="00584AF9"/>
    <w:rPr>
      <w:rFonts w:ascii="Arial" w:hAnsi="Arial"/>
      <w:sz w:val="18"/>
      <w:szCs w:val="24"/>
      <w:lang w:val="en-US" w:eastAsia="en-US" w:bidi="ar-SA"/>
    </w:rPr>
  </w:style>
  <w:style w:type="character" w:customStyle="1" w:styleId="TableTextNumbersChar">
    <w:name w:val="Table Text Numbers Char"/>
    <w:rPr>
      <w:rFonts w:ascii="Arial" w:hAnsi="Arial"/>
      <w:sz w:val="18"/>
      <w:szCs w:val="24"/>
      <w:lang w:val="en-US" w:eastAsia="en-US" w:bidi="ar-SA"/>
    </w:rPr>
  </w:style>
  <w:style w:type="character" w:customStyle="1" w:styleId="Heading3Char">
    <w:name w:val="Heading 3 Char"/>
    <w:rPr>
      <w:rFonts w:ascii="Arial" w:hAnsi="Arial" w:cs="Arial"/>
      <w:b/>
      <w:bCs/>
      <w:sz w:val="26"/>
      <w:szCs w:val="26"/>
      <w:lang w:val="en-US" w:eastAsia="en-US" w:bidi="ar-SA"/>
    </w:rPr>
  </w:style>
  <w:style w:type="paragraph" w:customStyle="1" w:styleId="Caution">
    <w:name w:val="Caution"/>
    <w:basedOn w:val="Normal"/>
    <w:link w:val="CautionChar"/>
    <w:pPr>
      <w:pBdr>
        <w:top w:val="single" w:sz="4" w:space="6" w:color="auto"/>
        <w:left w:val="single" w:sz="4" w:space="4" w:color="auto"/>
        <w:bottom w:val="single" w:sz="4" w:space="6" w:color="auto"/>
        <w:right w:val="single" w:sz="4" w:space="0" w:color="auto"/>
      </w:pBdr>
      <w:spacing w:before="120" w:after="120"/>
    </w:pPr>
    <w:rPr>
      <w:i/>
      <w:iCs/>
      <w:sz w:val="22"/>
      <w:szCs w:val="20"/>
    </w:rPr>
  </w:style>
  <w:style w:type="character" w:customStyle="1" w:styleId="CautionChar">
    <w:name w:val="Caution Char"/>
    <w:link w:val="Caution"/>
    <w:rsid w:val="002E3C00"/>
    <w:rPr>
      <w:i/>
      <w:iCs/>
      <w:sz w:val="22"/>
      <w:lang w:val="en-US" w:eastAsia="en-US" w:bidi="ar-SA"/>
    </w:rPr>
  </w:style>
  <w:style w:type="paragraph" w:customStyle="1" w:styleId="TableTextBullet1">
    <w:name w:val="Table Text Bullet 1"/>
    <w:basedOn w:val="TableText"/>
    <w:pPr>
      <w:numPr>
        <w:numId w:val="6"/>
      </w:numPr>
    </w:pPr>
  </w:style>
  <w:style w:type="character" w:customStyle="1" w:styleId="CaptionChar1">
    <w:name w:val="Caption Char1"/>
    <w:link w:val="Caption"/>
    <w:rsid w:val="00453B6E"/>
    <w:rPr>
      <w:b/>
      <w:sz w:val="22"/>
      <w:szCs w:val="22"/>
      <w:lang w:val="en-US" w:eastAsia="en-US" w:bidi="ar-SA"/>
    </w:rPr>
  </w:style>
  <w:style w:type="paragraph" w:customStyle="1" w:styleId="StyleTableText9ptChar">
    <w:name w:val="Style Table Text + 9 pt Char"/>
    <w:basedOn w:val="TableText"/>
    <w:rsid w:val="00A906CD"/>
    <w:rPr>
      <w:color w:val="000000"/>
      <w:szCs w:val="18"/>
    </w:rPr>
  </w:style>
  <w:style w:type="character" w:customStyle="1" w:styleId="historydatafont1">
    <w:name w:val="historydatafont1"/>
    <w:rPr>
      <w:rFonts w:ascii="Arial" w:hAnsi="Arial" w:cs="Arial" w:hint="default"/>
      <w:color w:val="000000"/>
      <w:sz w:val="20"/>
      <w:szCs w:val="20"/>
    </w:rPr>
  </w:style>
  <w:style w:type="paragraph" w:customStyle="1" w:styleId="HeaderDocumentType">
    <w:name w:val="Header Document Type"/>
    <w:basedOn w:val="Normal"/>
    <w:pPr>
      <w:spacing w:after="120"/>
      <w:jc w:val="center"/>
    </w:pPr>
    <w:rPr>
      <w:szCs w:val="20"/>
    </w:rPr>
  </w:style>
  <w:style w:type="paragraph" w:customStyle="1" w:styleId="TableTextHeader">
    <w:name w:val="Table Text Header"/>
    <w:basedOn w:val="TableText"/>
    <w:pPr>
      <w:jc w:val="center"/>
    </w:pPr>
    <w:rPr>
      <w:b/>
      <w:color w:val="000000"/>
      <w:szCs w:val="20"/>
    </w:rPr>
  </w:style>
  <w:style w:type="paragraph" w:styleId="ListNumber">
    <w:name w:val="List Number"/>
    <w:basedOn w:val="Normal"/>
    <w:rsid w:val="006B270F"/>
    <w:pPr>
      <w:numPr>
        <w:numId w:val="20"/>
      </w:numPr>
    </w:pPr>
    <w:rPr>
      <w:sz w:val="22"/>
      <w:szCs w:val="22"/>
    </w:rPr>
  </w:style>
  <w:style w:type="paragraph" w:styleId="ListNumber2">
    <w:name w:val="List Number 2"/>
    <w:basedOn w:val="Normal"/>
    <w:pPr>
      <w:numPr>
        <w:numId w:val="48"/>
      </w:numPr>
    </w:pPr>
    <w:rPr>
      <w:szCs w:val="20"/>
    </w:rPr>
  </w:style>
  <w:style w:type="paragraph" w:customStyle="1" w:styleId="Version">
    <w:name w:val="Version"/>
    <w:basedOn w:val="Normal"/>
    <w:next w:val="Normal"/>
    <w:pPr>
      <w:spacing w:after="480"/>
      <w:jc w:val="center"/>
    </w:pPr>
    <w:rPr>
      <w:b/>
      <w:szCs w:val="20"/>
    </w:rPr>
  </w:style>
  <w:style w:type="paragraph" w:customStyle="1" w:styleId="Part">
    <w:name w:val="Part"/>
    <w:basedOn w:val="Normal"/>
    <w:pPr>
      <w:pBdr>
        <w:top w:val="single" w:sz="4" w:space="1" w:color="auto"/>
      </w:pBdr>
      <w:ind w:left="720"/>
    </w:pPr>
    <w:rPr>
      <w:rFonts w:ascii="Symbol" w:hAnsi="Symbol"/>
      <w:b/>
      <w:color w:val="808080"/>
      <w:sz w:val="48"/>
      <w:szCs w:val="20"/>
    </w:rPr>
  </w:style>
  <w:style w:type="paragraph" w:customStyle="1" w:styleId="Style1">
    <w:name w:val="Style1"/>
    <w:basedOn w:val="Normal"/>
    <w:autoRedefine/>
    <w:rPr>
      <w:b/>
      <w:bCs/>
      <w:szCs w:val="20"/>
    </w:rPr>
  </w:style>
  <w:style w:type="paragraph" w:styleId="ListNumber3">
    <w:name w:val="List Number 3"/>
    <w:pPr>
      <w:tabs>
        <w:tab w:val="num" w:pos="1080"/>
      </w:tabs>
      <w:ind w:left="1080" w:hanging="360"/>
    </w:pPr>
    <w:rPr>
      <w:sz w:val="24"/>
    </w:rPr>
  </w:style>
  <w:style w:type="paragraph" w:customStyle="1" w:styleId="IOPTitle">
    <w:name w:val="IOP Title"/>
    <w:basedOn w:val="Normal"/>
    <w:autoRedefine/>
    <w:pPr>
      <w:jc w:val="right"/>
    </w:pPr>
    <w:rPr>
      <w:rFonts w:ascii="Symbol" w:hAnsi="Symbol"/>
      <w:b/>
      <w:sz w:val="28"/>
      <w:szCs w:val="20"/>
    </w:rPr>
  </w:style>
  <w:style w:type="paragraph" w:customStyle="1" w:styleId="Outline1">
    <w:name w:val="Outline 1"/>
    <w:basedOn w:val="Normal"/>
    <w:rPr>
      <w:szCs w:val="20"/>
    </w:rPr>
  </w:style>
  <w:style w:type="paragraph" w:customStyle="1" w:styleId="Outline3">
    <w:name w:val="Outline 3"/>
    <w:basedOn w:val="Normal"/>
    <w:rPr>
      <w:szCs w:val="20"/>
    </w:rPr>
  </w:style>
  <w:style w:type="paragraph" w:customStyle="1" w:styleId="InfoBlue">
    <w:name w:val="InfoBlue"/>
    <w:basedOn w:val="Normal"/>
    <w:next w:val="BodyText"/>
    <w:autoRedefine/>
    <w:pPr>
      <w:widowControl w:val="0"/>
      <w:spacing w:after="120" w:line="240" w:lineRule="atLeast"/>
    </w:pPr>
    <w:rPr>
      <w:i/>
      <w:color w:val="0000FF"/>
      <w:szCs w:val="20"/>
    </w:rPr>
  </w:style>
  <w:style w:type="paragraph" w:customStyle="1" w:styleId="Outline2">
    <w:name w:val="Outline 2"/>
    <w:basedOn w:val="Normal"/>
    <w:pPr>
      <w:tabs>
        <w:tab w:val="num" w:pos="720"/>
      </w:tabs>
      <w:ind w:left="720" w:hanging="360"/>
    </w:pPr>
    <w:rPr>
      <w:szCs w:val="20"/>
    </w:rPr>
  </w:style>
  <w:style w:type="paragraph" w:customStyle="1" w:styleId="Heading3Subsection">
    <w:name w:val="Heading 3 Subsection"/>
    <w:basedOn w:val="Outline1"/>
    <w:pPr>
      <w:tabs>
        <w:tab w:val="num" w:pos="720"/>
      </w:tabs>
      <w:spacing w:before="240" w:after="60"/>
      <w:ind w:left="1440" w:hanging="720"/>
    </w:pPr>
    <w:rPr>
      <w:rFonts w:ascii="Geneva" w:hAnsi="Geneva"/>
      <w:b/>
      <w:sz w:val="22"/>
    </w:rPr>
  </w:style>
  <w:style w:type="character" w:customStyle="1" w:styleId="DarleneBrill">
    <w:name w:val="Darlene Brill"/>
    <w:semiHidden/>
    <w:rPr>
      <w:rFonts w:ascii="Arial" w:hAnsi="Arial" w:cs="Arial"/>
      <w:color w:val="auto"/>
      <w:sz w:val="20"/>
      <w:szCs w:val="20"/>
    </w:rPr>
  </w:style>
  <w:style w:type="paragraph" w:customStyle="1" w:styleId="ListBulletLast">
    <w:name w:val="List Bullet Last"/>
    <w:basedOn w:val="ListBullet"/>
    <w:next w:val="BodyText"/>
    <w:pPr>
      <w:numPr>
        <w:numId w:val="0"/>
      </w:numPr>
      <w:tabs>
        <w:tab w:val="num" w:pos="1080"/>
      </w:tabs>
      <w:spacing w:after="120"/>
    </w:pPr>
  </w:style>
  <w:style w:type="paragraph" w:customStyle="1" w:styleId="NotesTextBullet">
    <w:name w:val="Notes Text Bullet"/>
    <w:basedOn w:val="TableTextBullet"/>
    <w:pPr>
      <w:numPr>
        <w:numId w:val="3"/>
      </w:numPr>
    </w:pPr>
  </w:style>
  <w:style w:type="paragraph" w:customStyle="1" w:styleId="NotesText">
    <w:name w:val="Notes Text"/>
    <w:basedOn w:val="TableText"/>
    <w:pPr>
      <w:ind w:left="720"/>
    </w:pPr>
  </w:style>
  <w:style w:type="paragraph" w:customStyle="1" w:styleId="TableTextNumbersContinued">
    <w:name w:val="Table Text Numbers Continued"/>
    <w:basedOn w:val="TableTextNumbers"/>
    <w:pPr>
      <w:numPr>
        <w:numId w:val="0"/>
      </w:numPr>
      <w:ind w:left="288"/>
    </w:pPr>
  </w:style>
  <w:style w:type="character" w:customStyle="1" w:styleId="TableTextNumbersContinuedChar1">
    <w:name w:val="Table Text Numbers Continued Char1"/>
    <w:rPr>
      <w:rFonts w:ascii="Arial" w:hAnsi="Arial"/>
      <w:sz w:val="18"/>
      <w:szCs w:val="24"/>
      <w:lang w:val="en-US" w:eastAsia="en-US" w:bidi="ar-SA"/>
    </w:rPr>
  </w:style>
  <w:style w:type="paragraph" w:customStyle="1" w:styleId="NotesTextBullet1">
    <w:name w:val="Notes Text Bullet 1"/>
    <w:basedOn w:val="TableTextBullet1"/>
    <w:pPr>
      <w:numPr>
        <w:numId w:val="5"/>
      </w:numPr>
    </w:pPr>
  </w:style>
  <w:style w:type="paragraph" w:styleId="BlockText">
    <w:name w:val="Block Text"/>
    <w:basedOn w:val="Normal"/>
    <w:pPr>
      <w:spacing w:after="120"/>
      <w:ind w:left="1440" w:right="1440"/>
    </w:pPr>
  </w:style>
  <w:style w:type="paragraph" w:customStyle="1" w:styleId="TableTextBullet2">
    <w:name w:val="Table Text Bullet 2"/>
    <w:pPr>
      <w:tabs>
        <w:tab w:val="num" w:pos="288"/>
      </w:tabs>
      <w:ind w:left="288" w:firstLine="288"/>
    </w:pPr>
    <w:rPr>
      <w:rFonts w:ascii="Arial" w:hAnsi="Arial"/>
      <w:sz w:val="18"/>
      <w:szCs w:val="18"/>
    </w:rPr>
  </w:style>
  <w:style w:type="character" w:customStyle="1" w:styleId="TableTextNumbersContinuedChar">
    <w:name w:val="Table Text Numbers Continued Char"/>
    <w:rPr>
      <w:rFonts w:ascii="Arial" w:hAnsi="Arial"/>
      <w:sz w:val="18"/>
      <w:szCs w:val="24"/>
      <w:lang w:val="en-US" w:eastAsia="en-US" w:bidi="ar-SA"/>
    </w:rPr>
  </w:style>
  <w:style w:type="paragraph" w:styleId="FootnoteText">
    <w:name w:val="footnote text"/>
    <w:basedOn w:val="Normal"/>
    <w:link w:val="FootnoteTextChar"/>
    <w:uiPriority w:val="99"/>
    <w:semiHidden/>
    <w:rPr>
      <w:sz w:val="20"/>
      <w:szCs w:val="20"/>
    </w:rPr>
  </w:style>
  <w:style w:type="character" w:styleId="FootnoteReference">
    <w:name w:val="footnote reference"/>
    <w:uiPriority w:val="99"/>
    <w:semiHidden/>
    <w:rPr>
      <w:vertAlign w:val="superscript"/>
    </w:rPr>
  </w:style>
  <w:style w:type="paragraph" w:customStyle="1" w:styleId="TableTextNumbersBullet">
    <w:name w:val="Table Text Numbers Bullet"/>
    <w:basedOn w:val="TableTextNumbersContinued"/>
    <w:pPr>
      <w:numPr>
        <w:numId w:val="7"/>
      </w:numPr>
      <w:ind w:left="576" w:hanging="288"/>
    </w:pPr>
  </w:style>
  <w:style w:type="paragraph" w:styleId="Title">
    <w:name w:val="Title"/>
    <w:basedOn w:val="Normal"/>
    <w:next w:val="Normal"/>
    <w:qFormat/>
    <w:pPr>
      <w:widowControl w:val="0"/>
      <w:jc w:val="center"/>
    </w:pPr>
    <w:rPr>
      <w:rFonts w:ascii="Arial" w:hAnsi="Arial"/>
      <w:b/>
      <w:sz w:val="36"/>
      <w:szCs w:val="20"/>
    </w:rPr>
  </w:style>
  <w:style w:type="paragraph" w:styleId="ListBullet3">
    <w:name w:val="List Bullet 3"/>
    <w:basedOn w:val="Normal"/>
    <w:pPr>
      <w:tabs>
        <w:tab w:val="num" w:pos="1080"/>
      </w:tabs>
      <w:ind w:left="1440" w:hanging="360"/>
    </w:pPr>
    <w:rPr>
      <w:sz w:val="22"/>
    </w:rPr>
  </w:style>
  <w:style w:type="character" w:customStyle="1" w:styleId="NotesTextChar4">
    <w:name w:val="Notes Text Char4"/>
    <w:rPr>
      <w:rFonts w:ascii="Arial" w:hAnsi="Arial"/>
      <w:sz w:val="18"/>
      <w:szCs w:val="24"/>
      <w:lang w:val="en-US" w:eastAsia="en-US" w:bidi="ar-SA"/>
    </w:rPr>
  </w:style>
  <w:style w:type="character" w:customStyle="1" w:styleId="TableTextChar2">
    <w:name w:val="Table Text Char2"/>
    <w:rPr>
      <w:rFonts w:ascii="Arial" w:hAnsi="Arial"/>
      <w:sz w:val="18"/>
      <w:szCs w:val="24"/>
      <w:lang w:val="en-US" w:eastAsia="en-US" w:bidi="ar-SA"/>
    </w:rPr>
  </w:style>
  <w:style w:type="character" w:customStyle="1" w:styleId="StyleTableText9ptCharChar">
    <w:name w:val="Style Table Text + 9 pt Char Char"/>
    <w:rsid w:val="007809C3"/>
    <w:rPr>
      <w:rFonts w:ascii="Arial" w:hAnsi="Arial"/>
      <w:noProof/>
      <w:color w:val="000000"/>
      <w:sz w:val="18"/>
      <w:szCs w:val="24"/>
      <w:lang w:val="en-US" w:eastAsia="en-US" w:bidi="ar-SA"/>
    </w:rPr>
  </w:style>
  <w:style w:type="character" w:customStyle="1" w:styleId="TableTextChar4">
    <w:name w:val="Table Text Char4"/>
    <w:rPr>
      <w:rFonts w:ascii="Arial" w:hAnsi="Arial"/>
      <w:sz w:val="18"/>
      <w:szCs w:val="24"/>
      <w:lang w:val="en-US" w:eastAsia="en-US" w:bidi="ar-SA"/>
    </w:rPr>
  </w:style>
  <w:style w:type="character" w:customStyle="1" w:styleId="TableTextBullet1Char">
    <w:name w:val="Table Text Bullet 1 Char"/>
    <w:rPr>
      <w:rFonts w:ascii="Arial" w:hAnsi="Arial"/>
      <w:color w:val="000000"/>
      <w:sz w:val="18"/>
      <w:szCs w:val="24"/>
      <w:lang w:val="en-US" w:eastAsia="en-US" w:bidi="ar-SA"/>
    </w:rPr>
  </w:style>
  <w:style w:type="character" w:customStyle="1" w:styleId="NotesTextBullet1Char">
    <w:name w:val="Notes Text Bullet 1 Char"/>
    <w:basedOn w:val="TableTextBullet1Char"/>
    <w:rPr>
      <w:rFonts w:ascii="Arial" w:hAnsi="Arial"/>
      <w:color w:val="000000"/>
      <w:sz w:val="18"/>
      <w:szCs w:val="24"/>
      <w:lang w:val="en-US" w:eastAsia="en-US" w:bidi="ar-SA"/>
    </w:rPr>
  </w:style>
  <w:style w:type="character" w:customStyle="1" w:styleId="ListBulletChar">
    <w:name w:val="List Bullet Char"/>
    <w:rPr>
      <w:spacing w:val="-5"/>
      <w:sz w:val="22"/>
      <w:szCs w:val="22"/>
      <w:lang w:val="en-US" w:eastAsia="en-US" w:bidi="ar-SA"/>
    </w:rPr>
  </w:style>
  <w:style w:type="paragraph" w:customStyle="1" w:styleId="Paragraph2">
    <w:name w:val="Paragraph2"/>
    <w:basedOn w:val="Normal"/>
    <w:autoRedefine/>
    <w:pPr>
      <w:spacing w:before="80"/>
    </w:pPr>
    <w:rPr>
      <w:color w:val="000000"/>
      <w:szCs w:val="20"/>
    </w:rPr>
  </w:style>
  <w:style w:type="character" w:customStyle="1" w:styleId="TableTextBulletChar">
    <w:name w:val="Table Text Bullet Char"/>
    <w:basedOn w:val="TableTextChar1"/>
    <w:rPr>
      <w:rFonts w:ascii="Arial" w:hAnsi="Arial"/>
      <w:sz w:val="18"/>
      <w:szCs w:val="24"/>
      <w:lang w:val="en-US" w:eastAsia="en-US" w:bidi="ar-SA"/>
    </w:rPr>
  </w:style>
  <w:style w:type="character" w:customStyle="1" w:styleId="TableTextNumbersChar1">
    <w:name w:val="Table Text Numbers Char1"/>
    <w:basedOn w:val="TableTextChar2"/>
    <w:rPr>
      <w:rFonts w:ascii="Arial" w:hAnsi="Arial"/>
      <w:sz w:val="18"/>
      <w:szCs w:val="24"/>
      <w:lang w:val="en-US" w:eastAsia="en-US" w:bidi="ar-SA"/>
    </w:rPr>
  </w:style>
  <w:style w:type="character" w:customStyle="1" w:styleId="Char3">
    <w:name w:val=" Char3"/>
    <w:semiHidden/>
    <w:rPr>
      <w:rFonts w:ascii="Arial" w:hAnsi="Arial" w:cs="Arial"/>
      <w:b/>
      <w:bCs/>
      <w:sz w:val="26"/>
      <w:szCs w:val="26"/>
      <w:lang w:val="en-US" w:eastAsia="en-US" w:bidi="ar-SA"/>
    </w:rPr>
  </w:style>
  <w:style w:type="character" w:customStyle="1" w:styleId="TableTextChar">
    <w:name w:val="Table Text Char"/>
    <w:rPr>
      <w:rFonts w:ascii="Arial" w:hAnsi="Arial"/>
      <w:sz w:val="18"/>
      <w:szCs w:val="24"/>
      <w:lang w:val="en-US" w:eastAsia="en-US" w:bidi="ar-SA"/>
    </w:rPr>
  </w:style>
  <w:style w:type="character" w:customStyle="1" w:styleId="TableTextBulletChar2">
    <w:name w:val="Table Text Bullet Char2"/>
    <w:basedOn w:val="TableTextChar4"/>
    <w:rPr>
      <w:rFonts w:ascii="Arial" w:hAnsi="Arial"/>
      <w:sz w:val="18"/>
      <w:szCs w:val="24"/>
      <w:lang w:val="en-US" w:eastAsia="en-US" w:bidi="ar-SA"/>
    </w:rPr>
  </w:style>
  <w:style w:type="paragraph" w:customStyle="1" w:styleId="Bulletlistindented1">
    <w:name w:val="Bullet list indented1"/>
    <w:basedOn w:val="Normal"/>
    <w:autoRedefine/>
    <w:pPr>
      <w:tabs>
        <w:tab w:val="left" w:pos="1350"/>
        <w:tab w:val="num" w:pos="1440"/>
      </w:tabs>
      <w:ind w:left="1440" w:hanging="360"/>
    </w:pPr>
    <w:rPr>
      <w:rFonts w:ascii="Geneva" w:hAnsi="Geneva"/>
      <w:sz w:val="22"/>
      <w:szCs w:val="20"/>
    </w:rPr>
  </w:style>
  <w:style w:type="paragraph" w:customStyle="1" w:styleId="Tabletext0">
    <w:name w:val="Tabletext"/>
    <w:basedOn w:val="Normal"/>
    <w:pPr>
      <w:keepLines/>
      <w:widowControl w:val="0"/>
      <w:spacing w:after="120" w:line="240" w:lineRule="atLeast"/>
    </w:pPr>
    <w:rPr>
      <w:sz w:val="20"/>
      <w:szCs w:val="20"/>
    </w:rPr>
  </w:style>
  <w:style w:type="paragraph" w:styleId="NoteHeading">
    <w:name w:val="Note Heading"/>
    <w:basedOn w:val="Normal"/>
    <w:next w:val="Normal"/>
    <w:pPr>
      <w:widowControl w:val="0"/>
      <w:spacing w:line="240" w:lineRule="atLeast"/>
    </w:pPr>
    <w:rPr>
      <w:rFonts w:ascii="Arial" w:hAnsi="Arial"/>
      <w:b/>
      <w:szCs w:val="20"/>
    </w:rPr>
  </w:style>
  <w:style w:type="paragraph" w:customStyle="1" w:styleId="xl72">
    <w:name w:val="xl72"/>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color w:val="993366"/>
      <w:sz w:val="16"/>
      <w:szCs w:val="16"/>
    </w:rPr>
  </w:style>
  <w:style w:type="paragraph" w:styleId="BodyText2">
    <w:name w:val="Body Text 2"/>
    <w:basedOn w:val="Normal"/>
    <w:pPr>
      <w:jc w:val="center"/>
    </w:pPr>
    <w:rPr>
      <w:rFonts w:ascii="Arial" w:hAnsi="Arial"/>
      <w:b/>
      <w:sz w:val="20"/>
    </w:rPr>
  </w:style>
  <w:style w:type="paragraph" w:customStyle="1" w:styleId="StyleTableTextNumbersWhite1">
    <w:name w:val="Style Table Text Numbers + White1"/>
    <w:basedOn w:val="TableTextNumbers"/>
    <w:link w:val="StyleTableTextNumbersWhite1Char"/>
    <w:rsid w:val="00B93B42"/>
    <w:rPr>
      <w:vanish/>
      <w:color w:val="FFFFFF"/>
      <w:szCs w:val="18"/>
    </w:rPr>
  </w:style>
  <w:style w:type="character" w:customStyle="1" w:styleId="StyleTableTextNumbersWhite1Char">
    <w:name w:val="Style Table Text Numbers + White1 Char"/>
    <w:link w:val="StyleTableTextNumbersWhite1"/>
    <w:rsid w:val="00B93B42"/>
    <w:rPr>
      <w:rFonts w:ascii="Arial" w:hAnsi="Arial"/>
      <w:vanish/>
      <w:color w:val="FFFFFF"/>
      <w:sz w:val="18"/>
      <w:szCs w:val="18"/>
    </w:rPr>
  </w:style>
  <w:style w:type="paragraph" w:styleId="BodyText3">
    <w:name w:val="Body Text 3"/>
    <w:basedOn w:val="Normal"/>
    <w:rPr>
      <w:strike/>
      <w:color w:val="999999"/>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Symbol" w:eastAsia="Symbol" w:hAnsi="Symbol" w:cs="Symbol"/>
    </w:rPr>
  </w:style>
  <w:style w:type="paragraph" w:customStyle="1" w:styleId="xl25">
    <w:name w:val="xl25"/>
    <w:basedOn w:val="Normal"/>
    <w:pPr>
      <w:pBdr>
        <w:top w:val="single" w:sz="4" w:space="0" w:color="auto"/>
        <w:left w:val="single" w:sz="4" w:space="0" w:color="auto"/>
        <w:bottom w:val="single" w:sz="4" w:space="0" w:color="auto"/>
      </w:pBdr>
      <w:spacing w:before="100" w:beforeAutospacing="1" w:after="100" w:afterAutospacing="1"/>
    </w:pPr>
    <w:rPr>
      <w:rFonts w:ascii="Symbol" w:eastAsia="Symbol" w:hAnsi="Symbol" w:cs="Symbol"/>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b/>
      <w:bCs/>
    </w:rPr>
  </w:style>
  <w:style w:type="paragraph" w:customStyle="1" w:styleId="xl27">
    <w:name w:val="xl27"/>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Symbol" w:hAnsi="Arial" w:cs="Arial"/>
      <w:b/>
      <w:bCs/>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rPr>
  </w:style>
  <w:style w:type="paragraph" w:customStyle="1" w:styleId="xl29">
    <w:name w:val="xl29"/>
    <w:basedOn w:val="Normal"/>
    <w:pPr>
      <w:spacing w:before="100" w:beforeAutospacing="1" w:after="100" w:afterAutospacing="1"/>
      <w:jc w:val="center"/>
      <w:textAlignment w:val="center"/>
    </w:pPr>
    <w:rPr>
      <w:rFonts w:ascii="Arial" w:eastAsia="Symbol" w:hAnsi="Arial" w:cs="Arial"/>
      <w:b/>
      <w:bCs/>
    </w:rPr>
  </w:style>
  <w:style w:type="paragraph" w:customStyle="1" w:styleId="xl30">
    <w:name w:val="xl30"/>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Symbol" w:hAnsi="Arial" w:cs="Arial"/>
    </w:rPr>
  </w:style>
  <w:style w:type="paragraph" w:customStyle="1" w:styleId="xl31">
    <w:name w:val="xl31"/>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Symbol" w:eastAsia="Symbol" w:hAnsi="Symbol" w:cs="Symbol"/>
    </w:rPr>
  </w:style>
  <w:style w:type="paragraph" w:customStyle="1" w:styleId="xl32">
    <w:name w:val="xl32"/>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Symbol" w:hAnsi="Arial" w:cs="Arial"/>
      <w:b/>
      <w:bCs/>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Symbol" w:hAnsi="Arial" w:cs="Arial"/>
    </w:rPr>
  </w:style>
  <w:style w:type="paragraph" w:customStyle="1" w:styleId="xl34">
    <w:name w:val="xl34"/>
    <w:basedOn w:val="Normal"/>
    <w:pPr>
      <w:shd w:val="clear" w:color="auto" w:fill="C0C0C0"/>
      <w:spacing w:before="100" w:beforeAutospacing="1" w:after="100" w:afterAutospacing="1"/>
    </w:pPr>
    <w:rPr>
      <w:rFonts w:ascii="Symbol" w:eastAsia="Symbol" w:hAnsi="Symbol" w:cs="Symbol"/>
    </w:rPr>
  </w:style>
  <w:style w:type="paragraph" w:customStyle="1" w:styleId="xl35">
    <w:name w:val="xl35"/>
    <w:basedOn w:val="Normal"/>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pPr>
    <w:rPr>
      <w:rFonts w:ascii="Symbol" w:eastAsia="Symbol" w:hAnsi="Symbol" w:cs="Symbol"/>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jc w:val="center"/>
      <w:textAlignment w:val="center"/>
    </w:pPr>
    <w:rPr>
      <w:rFonts w:ascii="Arial" w:eastAsia="Symbol" w:hAnsi="Arial" w:cs="Arial"/>
      <w:b/>
      <w:bCs/>
    </w:rPr>
  </w:style>
  <w:style w:type="paragraph" w:customStyle="1" w:styleId="xl37">
    <w:name w:val="xl37"/>
    <w:basedOn w:val="Normal"/>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jc w:val="center"/>
      <w:textAlignment w:val="center"/>
    </w:pPr>
    <w:rPr>
      <w:rFonts w:ascii="Arial" w:eastAsia="Symbol" w:hAnsi="Arial" w:cs="Arial"/>
    </w:rPr>
  </w:style>
  <w:style w:type="character" w:customStyle="1" w:styleId="CaptionChar">
    <w:name w:val="Caption Char"/>
    <w:rPr>
      <w:b/>
      <w:noProof w:val="0"/>
      <w:sz w:val="24"/>
      <w:szCs w:val="24"/>
      <w:lang w:val="en-US" w:eastAsia="en-US" w:bidi="ar-SA"/>
    </w:rPr>
  </w:style>
  <w:style w:type="character" w:customStyle="1" w:styleId="ListChar">
    <w:name w:val="List Char"/>
    <w:rPr>
      <w:noProof w:val="0"/>
      <w:sz w:val="24"/>
      <w:lang w:val="en-US" w:eastAsia="en-US" w:bidi="ar-SA"/>
    </w:rPr>
  </w:style>
  <w:style w:type="character" w:customStyle="1" w:styleId="TableTextChar3">
    <w:name w:val="Table Text Char3"/>
    <w:rPr>
      <w:rFonts w:ascii="Arial" w:hAnsi="Arial"/>
      <w:sz w:val="18"/>
      <w:szCs w:val="24"/>
      <w:lang w:val="en-US" w:eastAsia="en-US" w:bidi="ar-SA"/>
    </w:rPr>
  </w:style>
  <w:style w:type="paragraph" w:customStyle="1" w:styleId="ListRole">
    <w:name w:val="List Role"/>
    <w:basedOn w:val="BodyText"/>
    <w:pPr>
      <w:ind w:left="360"/>
    </w:pPr>
  </w:style>
  <w:style w:type="paragraph" w:customStyle="1" w:styleId="Roles">
    <w:name w:val="Roles"/>
    <w:basedOn w:val="BodyText"/>
    <w:link w:val="RolesChar1"/>
    <w:rsid w:val="00237C52"/>
    <w:pPr>
      <w:spacing w:before="0" w:after="0"/>
      <w:ind w:left="288"/>
    </w:pPr>
  </w:style>
  <w:style w:type="character" w:customStyle="1" w:styleId="RolesChar1">
    <w:name w:val="Roles Char1"/>
    <w:basedOn w:val="BodyTextChar"/>
    <w:link w:val="Roles"/>
    <w:rsid w:val="00237C52"/>
    <w:rPr>
      <w:sz w:val="22"/>
      <w:szCs w:val="22"/>
      <w:lang w:val="en-US" w:eastAsia="en-US" w:bidi="ar-SA"/>
    </w:rPr>
  </w:style>
  <w:style w:type="character" w:customStyle="1" w:styleId="RolesChar">
    <w:name w:val="Roles Char"/>
    <w:rPr>
      <w:sz w:val="22"/>
      <w:lang w:val="en-US" w:eastAsia="en-US" w:bidi="ar-SA"/>
    </w:rPr>
  </w:style>
  <w:style w:type="character" w:customStyle="1" w:styleId="TableTextChar5">
    <w:name w:val="Table Text Char5"/>
    <w:rPr>
      <w:rFonts w:ascii="Arial" w:hAnsi="Arial"/>
      <w:sz w:val="18"/>
      <w:szCs w:val="24"/>
      <w:lang w:val="en-US" w:eastAsia="en-US" w:bidi="ar-SA"/>
    </w:rPr>
  </w:style>
  <w:style w:type="character" w:customStyle="1" w:styleId="TableTextNumbersChar2">
    <w:name w:val="Table Text Numbers Char2"/>
    <w:basedOn w:val="TableTextChar5"/>
    <w:rPr>
      <w:rFonts w:ascii="Arial" w:hAnsi="Arial"/>
      <w:sz w:val="18"/>
      <w:szCs w:val="24"/>
      <w:lang w:val="en-US" w:eastAsia="en-US" w:bidi="ar-SA"/>
    </w:rPr>
  </w:style>
  <w:style w:type="paragraph" w:customStyle="1" w:styleId="StyleTableTextBlack">
    <w:name w:val="Style Table Text + Black"/>
    <w:basedOn w:val="TableText"/>
    <w:link w:val="StyleTableTextBlackChar"/>
    <w:rsid w:val="00584AF9"/>
    <w:rPr>
      <w:color w:val="000000"/>
    </w:rPr>
  </w:style>
  <w:style w:type="paragraph" w:customStyle="1" w:styleId="StyleTableTextNumbersWhite2">
    <w:name w:val="Style Table Text Numbers + White2"/>
    <w:basedOn w:val="TableTextNumbers"/>
    <w:link w:val="StyleTableTextNumbersWhite2Char"/>
    <w:rsid w:val="00912F51"/>
    <w:rPr>
      <w:vanish/>
      <w:color w:val="FFFFFF"/>
      <w:szCs w:val="18"/>
    </w:rPr>
  </w:style>
  <w:style w:type="character" w:customStyle="1" w:styleId="StyleTableTextNumbersWhite2Char">
    <w:name w:val="Style Table Text Numbers + White2 Char"/>
    <w:link w:val="StyleTableTextNumbersWhite2"/>
    <w:rsid w:val="00912F51"/>
    <w:rPr>
      <w:rFonts w:ascii="Arial" w:hAnsi="Arial"/>
      <w:vanish/>
      <w:color w:val="FFFFFF"/>
      <w:sz w:val="18"/>
      <w:szCs w:val="18"/>
    </w:rPr>
  </w:style>
  <w:style w:type="character" w:customStyle="1" w:styleId="StyleTableTextBlackChar">
    <w:name w:val="Style Table Text + Black Char"/>
    <w:link w:val="StyleTableTextBlack"/>
    <w:rsid w:val="00584AF9"/>
    <w:rPr>
      <w:rFonts w:ascii="Arial" w:hAnsi="Arial"/>
      <w:color w:val="000000"/>
      <w:sz w:val="18"/>
      <w:szCs w:val="24"/>
      <w:lang w:val="en-US" w:eastAsia="en-US" w:bidi="ar-SA"/>
    </w:rPr>
  </w:style>
  <w:style w:type="paragraph" w:customStyle="1" w:styleId="StyleBodyTextArial9ptBold">
    <w:name w:val="Style Body Text + Arial 9 pt Bold"/>
    <w:basedOn w:val="BodyText"/>
    <w:rsid w:val="00963F12"/>
    <w:pPr>
      <w:spacing w:before="0" w:after="0"/>
    </w:pPr>
    <w:rPr>
      <w:rFonts w:ascii="Arial" w:hAnsi="Arial"/>
      <w:b/>
      <w:bCs/>
      <w:sz w:val="18"/>
    </w:rPr>
  </w:style>
  <w:style w:type="paragraph" w:styleId="List2">
    <w:name w:val="List 2"/>
    <w:basedOn w:val="Normal"/>
    <w:rsid w:val="00FA7E65"/>
    <w:pPr>
      <w:ind w:left="720" w:hanging="360"/>
    </w:pPr>
  </w:style>
  <w:style w:type="paragraph" w:styleId="BodyTextIndent">
    <w:name w:val="Body Text Indent"/>
    <w:basedOn w:val="Normal"/>
    <w:rsid w:val="00FA7E65"/>
    <w:pPr>
      <w:spacing w:after="120"/>
      <w:ind w:left="360"/>
    </w:pPr>
  </w:style>
  <w:style w:type="paragraph" w:styleId="NormalWeb">
    <w:name w:val="Normal (Web)"/>
    <w:basedOn w:val="Normal"/>
    <w:rsid w:val="001D19BF"/>
    <w:pPr>
      <w:spacing w:before="100" w:beforeAutospacing="1" w:after="100" w:afterAutospacing="1"/>
    </w:pPr>
  </w:style>
  <w:style w:type="paragraph" w:customStyle="1" w:styleId="tabletext1">
    <w:name w:val="tabletext"/>
    <w:basedOn w:val="Normal"/>
    <w:rsid w:val="00194509"/>
    <w:rPr>
      <w:rFonts w:ascii="Arial" w:hAnsi="Arial" w:cs="Arial"/>
      <w:color w:val="000000"/>
      <w:sz w:val="18"/>
      <w:szCs w:val="18"/>
    </w:rPr>
  </w:style>
  <w:style w:type="paragraph" w:styleId="Index5">
    <w:name w:val="index 5"/>
    <w:basedOn w:val="Normal"/>
    <w:next w:val="Normal"/>
    <w:autoRedefine/>
    <w:semiHidden/>
    <w:rsid w:val="00E93F17"/>
    <w:pPr>
      <w:ind w:left="1200" w:hanging="240"/>
    </w:pPr>
    <w:rPr>
      <w:sz w:val="18"/>
      <w:szCs w:val="18"/>
    </w:rPr>
  </w:style>
  <w:style w:type="paragraph" w:styleId="Index6">
    <w:name w:val="index 6"/>
    <w:basedOn w:val="Normal"/>
    <w:next w:val="Normal"/>
    <w:autoRedefine/>
    <w:semiHidden/>
    <w:rsid w:val="00E93F17"/>
    <w:pPr>
      <w:ind w:left="1440" w:hanging="240"/>
    </w:pPr>
    <w:rPr>
      <w:sz w:val="18"/>
      <w:szCs w:val="18"/>
    </w:rPr>
  </w:style>
  <w:style w:type="paragraph" w:styleId="Index7">
    <w:name w:val="index 7"/>
    <w:basedOn w:val="Normal"/>
    <w:next w:val="Normal"/>
    <w:autoRedefine/>
    <w:semiHidden/>
    <w:rsid w:val="00E93F17"/>
    <w:pPr>
      <w:ind w:left="1680" w:hanging="240"/>
    </w:pPr>
    <w:rPr>
      <w:sz w:val="18"/>
      <w:szCs w:val="18"/>
    </w:rPr>
  </w:style>
  <w:style w:type="paragraph" w:styleId="Index8">
    <w:name w:val="index 8"/>
    <w:basedOn w:val="Normal"/>
    <w:next w:val="Normal"/>
    <w:autoRedefine/>
    <w:semiHidden/>
    <w:rsid w:val="00E93F17"/>
    <w:pPr>
      <w:ind w:left="1920" w:hanging="240"/>
    </w:pPr>
    <w:rPr>
      <w:sz w:val="18"/>
      <w:szCs w:val="18"/>
    </w:rPr>
  </w:style>
  <w:style w:type="paragraph" w:styleId="Index9">
    <w:name w:val="index 9"/>
    <w:basedOn w:val="Normal"/>
    <w:next w:val="Normal"/>
    <w:autoRedefine/>
    <w:semiHidden/>
    <w:rsid w:val="00E93F17"/>
    <w:pPr>
      <w:ind w:left="2160" w:hanging="240"/>
    </w:pPr>
    <w:rPr>
      <w:sz w:val="18"/>
      <w:szCs w:val="18"/>
    </w:rPr>
  </w:style>
  <w:style w:type="paragraph" w:styleId="IndexHeading">
    <w:name w:val="index heading"/>
    <w:basedOn w:val="Normal"/>
    <w:next w:val="Index1"/>
    <w:uiPriority w:val="99"/>
    <w:semiHidden/>
    <w:rsid w:val="00E93F17"/>
    <w:pPr>
      <w:spacing w:before="240" w:after="120"/>
      <w:jc w:val="center"/>
    </w:pPr>
    <w:rPr>
      <w:b/>
      <w:bCs/>
      <w:sz w:val="26"/>
      <w:szCs w:val="26"/>
    </w:rPr>
  </w:style>
  <w:style w:type="character" w:customStyle="1" w:styleId="VHAISHbrilld">
    <w:name w:val="VHAISHbrilld"/>
    <w:semiHidden/>
    <w:rsid w:val="00DE7D08"/>
    <w:rPr>
      <w:rFonts w:ascii="Arial" w:hAnsi="Arial" w:cs="Arial"/>
      <w:color w:val="auto"/>
      <w:sz w:val="20"/>
      <w:szCs w:val="20"/>
    </w:rPr>
  </w:style>
  <w:style w:type="character" w:customStyle="1" w:styleId="TableTextBulletChar1">
    <w:name w:val="Table Text Bullet Char1"/>
    <w:basedOn w:val="TableTextChar6"/>
    <w:link w:val="TableTextBullet"/>
    <w:rsid w:val="00CC50D7"/>
    <w:rPr>
      <w:rFonts w:ascii="Arial" w:hAnsi="Arial"/>
      <w:sz w:val="18"/>
      <w:szCs w:val="24"/>
      <w:lang w:val="en-US" w:eastAsia="en-US" w:bidi="ar-SA"/>
    </w:rPr>
  </w:style>
  <w:style w:type="character" w:customStyle="1" w:styleId="BodyTextChar1">
    <w:name w:val="Body Text Char1"/>
    <w:rsid w:val="00EE44F1"/>
    <w:rPr>
      <w:sz w:val="22"/>
      <w:szCs w:val="22"/>
      <w:lang w:val="en-US" w:eastAsia="en-US" w:bidi="ar-SA"/>
    </w:rPr>
  </w:style>
  <w:style w:type="character" w:customStyle="1" w:styleId="Heading3Char2">
    <w:name w:val="Heading 3 Char2"/>
    <w:rsid w:val="008A701E"/>
    <w:rPr>
      <w:rFonts w:ascii="Arial" w:hAnsi="Arial" w:cs="Arial"/>
      <w:b/>
      <w:bCs/>
      <w:sz w:val="26"/>
      <w:szCs w:val="26"/>
      <w:lang w:val="en-US" w:eastAsia="en-US" w:bidi="ar-SA"/>
    </w:rPr>
  </w:style>
  <w:style w:type="character" w:customStyle="1" w:styleId="CaptionChar2">
    <w:name w:val="Caption Char2"/>
    <w:rsid w:val="008A701E"/>
    <w:rPr>
      <w:b/>
      <w:sz w:val="22"/>
      <w:szCs w:val="22"/>
      <w:lang w:val="en-US" w:eastAsia="en-US" w:bidi="ar-SA"/>
    </w:rPr>
  </w:style>
  <w:style w:type="character" w:customStyle="1" w:styleId="CommentTextChar">
    <w:name w:val="Comment Text Char"/>
    <w:basedOn w:val="DefaultParagraphFont"/>
    <w:link w:val="CommentText"/>
    <w:rsid w:val="00E36CAB"/>
  </w:style>
  <w:style w:type="character" w:customStyle="1" w:styleId="TableTextCharChar">
    <w:name w:val="Table Text Char Char"/>
    <w:rsid w:val="00D32A05"/>
    <w:rPr>
      <w:rFonts w:ascii="Arial" w:hAnsi="Arial"/>
      <w:sz w:val="18"/>
      <w:szCs w:val="24"/>
      <w:lang w:val="en-US" w:eastAsia="en-US" w:bidi="ar-SA"/>
    </w:rPr>
  </w:style>
  <w:style w:type="paragraph" w:styleId="ListParagraph">
    <w:name w:val="List Paragraph"/>
    <w:basedOn w:val="Normal"/>
    <w:uiPriority w:val="34"/>
    <w:qFormat/>
    <w:rsid w:val="00C33E1D"/>
    <w:pPr>
      <w:spacing w:after="200" w:line="276" w:lineRule="auto"/>
      <w:ind w:left="720"/>
      <w:contextualSpacing/>
    </w:pPr>
    <w:rPr>
      <w:rFonts w:ascii="Calibri" w:eastAsia="Calibri" w:hAnsi="Calibri"/>
      <w:sz w:val="22"/>
      <w:szCs w:val="22"/>
    </w:rPr>
  </w:style>
  <w:style w:type="character" w:customStyle="1" w:styleId="FootnoteTextChar">
    <w:name w:val="Footnote Text Char"/>
    <w:basedOn w:val="DefaultParagraphFont"/>
    <w:link w:val="FootnoteText"/>
    <w:uiPriority w:val="99"/>
    <w:semiHidden/>
    <w:rsid w:val="00FC3B68"/>
  </w:style>
  <w:style w:type="character" w:customStyle="1" w:styleId="Heading2Char">
    <w:name w:val="Heading 2 Char"/>
    <w:aliases w:val="Heading for title Char,head 2 Char"/>
    <w:link w:val="Heading2"/>
    <w:rsid w:val="000F6EEA"/>
    <w:rPr>
      <w:rFonts w:ascii="Arial" w:hAnsi="Arial" w:cs="Arial"/>
      <w:b/>
      <w:bCs/>
      <w:i/>
      <w:iCs/>
      <w:sz w:val="28"/>
      <w:szCs w:val="28"/>
    </w:rPr>
  </w:style>
  <w:style w:type="paragraph" w:styleId="NoSpacing">
    <w:name w:val="No Spacing"/>
    <w:uiPriority w:val="1"/>
    <w:qFormat/>
    <w:rsid w:val="00280C3F"/>
    <w:rPr>
      <w:rFonts w:ascii="Calibri" w:eastAsia="Calibri" w:hAnsi="Calibri"/>
      <w:sz w:val="22"/>
      <w:szCs w:val="22"/>
    </w:rPr>
  </w:style>
  <w:style w:type="paragraph" w:styleId="HTMLPreformatted">
    <w:name w:val="HTML Preformatted"/>
    <w:basedOn w:val="Normal"/>
    <w:link w:val="HTMLPreformattedChar"/>
    <w:rsid w:val="00392B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sz w:val="20"/>
      <w:szCs w:val="20"/>
    </w:rPr>
  </w:style>
  <w:style w:type="character" w:customStyle="1" w:styleId="HTMLPreformattedChar">
    <w:name w:val="HTML Preformatted Char"/>
    <w:link w:val="HTMLPreformatted"/>
    <w:rsid w:val="00392B0E"/>
    <w:rPr>
      <w:rFonts w:ascii="Courier New" w:hAnsi="Courier New"/>
    </w:rPr>
  </w:style>
  <w:style w:type="paragraph" w:customStyle="1" w:styleId="Substep01">
    <w:name w:val="Substep 01"/>
    <w:basedOn w:val="TableText"/>
    <w:rsid w:val="00DB1497"/>
    <w:pPr>
      <w:numPr>
        <w:numId w:val="53"/>
      </w:numPr>
      <w:jc w:val="right"/>
    </w:pPr>
    <w:rPr>
      <w:color w:val="000000"/>
      <w:szCs w:val="20"/>
    </w:rPr>
  </w:style>
  <w:style w:type="paragraph" w:customStyle="1" w:styleId="CellBodyLeft">
    <w:name w:val="CellBodyLeft"/>
    <w:basedOn w:val="Normal"/>
    <w:rsid w:val="00DC70D1"/>
    <w:pPr>
      <w:spacing w:before="60"/>
      <w:ind w:left="72"/>
    </w:pPr>
    <w:rPr>
      <w:rFonts w:ascii="Arial" w:hAnsi="Arial"/>
      <w:color w:val="000000"/>
      <w:sz w:val="16"/>
      <w:szCs w:val="20"/>
    </w:rPr>
  </w:style>
  <w:style w:type="paragraph" w:customStyle="1" w:styleId="CellBodyCenter">
    <w:name w:val="CellBodyCenter"/>
    <w:basedOn w:val="Normal"/>
    <w:rsid w:val="00DC70D1"/>
    <w:pPr>
      <w:keepLines/>
      <w:jc w:val="center"/>
    </w:pPr>
    <w:rPr>
      <w:rFonts w:ascii="Arial" w:hAnsi="Arial"/>
      <w:color w:val="000000"/>
      <w:sz w:val="16"/>
      <w:szCs w:val="20"/>
    </w:rPr>
  </w:style>
  <w:style w:type="paragraph" w:customStyle="1" w:styleId="Substep02">
    <w:name w:val="Substep 02"/>
    <w:basedOn w:val="Substep01"/>
    <w:rsid w:val="001809EC"/>
    <w:pPr>
      <w:numPr>
        <w:numId w:val="57"/>
      </w:numPr>
    </w:pPr>
  </w:style>
  <w:style w:type="paragraph" w:styleId="PlainText">
    <w:name w:val="Plain Text"/>
    <w:basedOn w:val="Normal"/>
    <w:link w:val="PlainTextChar"/>
    <w:uiPriority w:val="99"/>
    <w:unhideWhenUsed/>
    <w:rsid w:val="00D53DC3"/>
    <w:rPr>
      <w:rFonts w:ascii="Calibri" w:eastAsia="Calibri" w:hAnsi="Calibri"/>
      <w:sz w:val="22"/>
      <w:szCs w:val="21"/>
    </w:rPr>
  </w:style>
  <w:style w:type="character" w:customStyle="1" w:styleId="PlainTextChar">
    <w:name w:val="Plain Text Char"/>
    <w:link w:val="PlainText"/>
    <w:uiPriority w:val="99"/>
    <w:rsid w:val="00D53DC3"/>
    <w:rPr>
      <w:rFonts w:ascii="Calibri" w:eastAsia="Calibri" w:hAnsi="Calibr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7333">
      <w:bodyDiv w:val="1"/>
      <w:marLeft w:val="0"/>
      <w:marRight w:val="0"/>
      <w:marTop w:val="0"/>
      <w:marBottom w:val="0"/>
      <w:divBdr>
        <w:top w:val="none" w:sz="0" w:space="0" w:color="auto"/>
        <w:left w:val="none" w:sz="0" w:space="0" w:color="auto"/>
        <w:bottom w:val="none" w:sz="0" w:space="0" w:color="auto"/>
        <w:right w:val="none" w:sz="0" w:space="0" w:color="auto"/>
      </w:divBdr>
    </w:div>
    <w:div w:id="100035678">
      <w:bodyDiv w:val="1"/>
      <w:marLeft w:val="0"/>
      <w:marRight w:val="0"/>
      <w:marTop w:val="0"/>
      <w:marBottom w:val="0"/>
      <w:divBdr>
        <w:top w:val="none" w:sz="0" w:space="0" w:color="auto"/>
        <w:left w:val="none" w:sz="0" w:space="0" w:color="auto"/>
        <w:bottom w:val="none" w:sz="0" w:space="0" w:color="auto"/>
        <w:right w:val="none" w:sz="0" w:space="0" w:color="auto"/>
      </w:divBdr>
    </w:div>
    <w:div w:id="270086669">
      <w:bodyDiv w:val="1"/>
      <w:marLeft w:val="0"/>
      <w:marRight w:val="0"/>
      <w:marTop w:val="0"/>
      <w:marBottom w:val="0"/>
      <w:divBdr>
        <w:top w:val="none" w:sz="0" w:space="0" w:color="auto"/>
        <w:left w:val="none" w:sz="0" w:space="0" w:color="auto"/>
        <w:bottom w:val="none" w:sz="0" w:space="0" w:color="auto"/>
        <w:right w:val="none" w:sz="0" w:space="0" w:color="auto"/>
      </w:divBdr>
    </w:div>
    <w:div w:id="345592832">
      <w:bodyDiv w:val="1"/>
      <w:marLeft w:val="0"/>
      <w:marRight w:val="0"/>
      <w:marTop w:val="0"/>
      <w:marBottom w:val="0"/>
      <w:divBdr>
        <w:top w:val="none" w:sz="0" w:space="0" w:color="auto"/>
        <w:left w:val="none" w:sz="0" w:space="0" w:color="auto"/>
        <w:bottom w:val="none" w:sz="0" w:space="0" w:color="auto"/>
        <w:right w:val="none" w:sz="0" w:space="0" w:color="auto"/>
      </w:divBdr>
    </w:div>
    <w:div w:id="435910963">
      <w:bodyDiv w:val="1"/>
      <w:marLeft w:val="0"/>
      <w:marRight w:val="0"/>
      <w:marTop w:val="0"/>
      <w:marBottom w:val="0"/>
      <w:divBdr>
        <w:top w:val="none" w:sz="0" w:space="0" w:color="auto"/>
        <w:left w:val="none" w:sz="0" w:space="0" w:color="auto"/>
        <w:bottom w:val="none" w:sz="0" w:space="0" w:color="auto"/>
        <w:right w:val="none" w:sz="0" w:space="0" w:color="auto"/>
      </w:divBdr>
    </w:div>
    <w:div w:id="452335249">
      <w:bodyDiv w:val="1"/>
      <w:marLeft w:val="0"/>
      <w:marRight w:val="0"/>
      <w:marTop w:val="0"/>
      <w:marBottom w:val="0"/>
      <w:divBdr>
        <w:top w:val="none" w:sz="0" w:space="0" w:color="auto"/>
        <w:left w:val="none" w:sz="0" w:space="0" w:color="auto"/>
        <w:bottom w:val="none" w:sz="0" w:space="0" w:color="auto"/>
        <w:right w:val="none" w:sz="0" w:space="0" w:color="auto"/>
      </w:divBdr>
    </w:div>
    <w:div w:id="470564108">
      <w:bodyDiv w:val="1"/>
      <w:marLeft w:val="0"/>
      <w:marRight w:val="0"/>
      <w:marTop w:val="0"/>
      <w:marBottom w:val="0"/>
      <w:divBdr>
        <w:top w:val="none" w:sz="0" w:space="0" w:color="auto"/>
        <w:left w:val="none" w:sz="0" w:space="0" w:color="auto"/>
        <w:bottom w:val="none" w:sz="0" w:space="0" w:color="auto"/>
        <w:right w:val="none" w:sz="0" w:space="0" w:color="auto"/>
      </w:divBdr>
    </w:div>
    <w:div w:id="532160172">
      <w:bodyDiv w:val="1"/>
      <w:marLeft w:val="0"/>
      <w:marRight w:val="0"/>
      <w:marTop w:val="0"/>
      <w:marBottom w:val="0"/>
      <w:divBdr>
        <w:top w:val="none" w:sz="0" w:space="0" w:color="auto"/>
        <w:left w:val="none" w:sz="0" w:space="0" w:color="auto"/>
        <w:bottom w:val="none" w:sz="0" w:space="0" w:color="auto"/>
        <w:right w:val="none" w:sz="0" w:space="0" w:color="auto"/>
      </w:divBdr>
    </w:div>
    <w:div w:id="600920004">
      <w:bodyDiv w:val="1"/>
      <w:marLeft w:val="0"/>
      <w:marRight w:val="0"/>
      <w:marTop w:val="0"/>
      <w:marBottom w:val="0"/>
      <w:divBdr>
        <w:top w:val="none" w:sz="0" w:space="0" w:color="auto"/>
        <w:left w:val="none" w:sz="0" w:space="0" w:color="auto"/>
        <w:bottom w:val="none" w:sz="0" w:space="0" w:color="auto"/>
        <w:right w:val="none" w:sz="0" w:space="0" w:color="auto"/>
      </w:divBdr>
    </w:div>
    <w:div w:id="641808994">
      <w:bodyDiv w:val="1"/>
      <w:marLeft w:val="0"/>
      <w:marRight w:val="0"/>
      <w:marTop w:val="0"/>
      <w:marBottom w:val="0"/>
      <w:divBdr>
        <w:top w:val="none" w:sz="0" w:space="0" w:color="auto"/>
        <w:left w:val="none" w:sz="0" w:space="0" w:color="auto"/>
        <w:bottom w:val="none" w:sz="0" w:space="0" w:color="auto"/>
        <w:right w:val="none" w:sz="0" w:space="0" w:color="auto"/>
      </w:divBdr>
    </w:div>
    <w:div w:id="743725817">
      <w:bodyDiv w:val="1"/>
      <w:marLeft w:val="0"/>
      <w:marRight w:val="0"/>
      <w:marTop w:val="0"/>
      <w:marBottom w:val="0"/>
      <w:divBdr>
        <w:top w:val="none" w:sz="0" w:space="0" w:color="auto"/>
        <w:left w:val="none" w:sz="0" w:space="0" w:color="auto"/>
        <w:bottom w:val="none" w:sz="0" w:space="0" w:color="auto"/>
        <w:right w:val="none" w:sz="0" w:space="0" w:color="auto"/>
      </w:divBdr>
      <w:divsChild>
        <w:div w:id="1759789068">
          <w:marLeft w:val="0"/>
          <w:marRight w:val="0"/>
          <w:marTop w:val="0"/>
          <w:marBottom w:val="0"/>
          <w:divBdr>
            <w:top w:val="none" w:sz="0" w:space="0" w:color="auto"/>
            <w:left w:val="none" w:sz="0" w:space="0" w:color="auto"/>
            <w:bottom w:val="none" w:sz="0" w:space="0" w:color="auto"/>
            <w:right w:val="none" w:sz="0" w:space="0" w:color="auto"/>
          </w:divBdr>
        </w:div>
      </w:divsChild>
    </w:div>
    <w:div w:id="793910605">
      <w:bodyDiv w:val="1"/>
      <w:marLeft w:val="0"/>
      <w:marRight w:val="0"/>
      <w:marTop w:val="0"/>
      <w:marBottom w:val="0"/>
      <w:divBdr>
        <w:top w:val="none" w:sz="0" w:space="0" w:color="auto"/>
        <w:left w:val="none" w:sz="0" w:space="0" w:color="auto"/>
        <w:bottom w:val="none" w:sz="0" w:space="0" w:color="auto"/>
        <w:right w:val="none" w:sz="0" w:space="0" w:color="auto"/>
      </w:divBdr>
    </w:div>
    <w:div w:id="812789749">
      <w:bodyDiv w:val="1"/>
      <w:marLeft w:val="30"/>
      <w:marRight w:val="30"/>
      <w:marTop w:val="0"/>
      <w:marBottom w:val="0"/>
      <w:divBdr>
        <w:top w:val="none" w:sz="0" w:space="0" w:color="auto"/>
        <w:left w:val="none" w:sz="0" w:space="0" w:color="auto"/>
        <w:bottom w:val="none" w:sz="0" w:space="0" w:color="auto"/>
        <w:right w:val="none" w:sz="0" w:space="0" w:color="auto"/>
      </w:divBdr>
      <w:divsChild>
        <w:div w:id="632369473">
          <w:marLeft w:val="0"/>
          <w:marRight w:val="0"/>
          <w:marTop w:val="0"/>
          <w:marBottom w:val="0"/>
          <w:divBdr>
            <w:top w:val="none" w:sz="0" w:space="0" w:color="auto"/>
            <w:left w:val="none" w:sz="0" w:space="0" w:color="auto"/>
            <w:bottom w:val="none" w:sz="0" w:space="0" w:color="auto"/>
            <w:right w:val="none" w:sz="0" w:space="0" w:color="auto"/>
          </w:divBdr>
          <w:divsChild>
            <w:div w:id="1539126824">
              <w:marLeft w:val="0"/>
              <w:marRight w:val="0"/>
              <w:marTop w:val="0"/>
              <w:marBottom w:val="0"/>
              <w:divBdr>
                <w:top w:val="none" w:sz="0" w:space="0" w:color="auto"/>
                <w:left w:val="none" w:sz="0" w:space="0" w:color="auto"/>
                <w:bottom w:val="none" w:sz="0" w:space="0" w:color="auto"/>
                <w:right w:val="none" w:sz="0" w:space="0" w:color="auto"/>
              </w:divBdr>
              <w:divsChild>
                <w:div w:id="1736971308">
                  <w:marLeft w:val="180"/>
                  <w:marRight w:val="0"/>
                  <w:marTop w:val="0"/>
                  <w:marBottom w:val="0"/>
                  <w:divBdr>
                    <w:top w:val="none" w:sz="0" w:space="0" w:color="auto"/>
                    <w:left w:val="none" w:sz="0" w:space="0" w:color="auto"/>
                    <w:bottom w:val="none" w:sz="0" w:space="0" w:color="auto"/>
                    <w:right w:val="none" w:sz="0" w:space="0" w:color="auto"/>
                  </w:divBdr>
                  <w:divsChild>
                    <w:div w:id="20246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240086">
      <w:bodyDiv w:val="1"/>
      <w:marLeft w:val="0"/>
      <w:marRight w:val="0"/>
      <w:marTop w:val="0"/>
      <w:marBottom w:val="0"/>
      <w:divBdr>
        <w:top w:val="none" w:sz="0" w:space="0" w:color="auto"/>
        <w:left w:val="none" w:sz="0" w:space="0" w:color="auto"/>
        <w:bottom w:val="none" w:sz="0" w:space="0" w:color="auto"/>
        <w:right w:val="none" w:sz="0" w:space="0" w:color="auto"/>
      </w:divBdr>
      <w:divsChild>
        <w:div w:id="1176388080">
          <w:marLeft w:val="0"/>
          <w:marRight w:val="0"/>
          <w:marTop w:val="0"/>
          <w:marBottom w:val="0"/>
          <w:divBdr>
            <w:top w:val="none" w:sz="0" w:space="0" w:color="auto"/>
            <w:left w:val="none" w:sz="0" w:space="0" w:color="auto"/>
            <w:bottom w:val="none" w:sz="0" w:space="0" w:color="auto"/>
            <w:right w:val="none" w:sz="0" w:space="0" w:color="auto"/>
          </w:divBdr>
          <w:divsChild>
            <w:div w:id="1006859337">
              <w:marLeft w:val="0"/>
              <w:marRight w:val="0"/>
              <w:marTop w:val="0"/>
              <w:marBottom w:val="0"/>
              <w:divBdr>
                <w:top w:val="none" w:sz="0" w:space="0" w:color="auto"/>
                <w:left w:val="none" w:sz="0" w:space="0" w:color="auto"/>
                <w:bottom w:val="none" w:sz="0" w:space="0" w:color="auto"/>
                <w:right w:val="none" w:sz="0" w:space="0" w:color="auto"/>
              </w:divBdr>
              <w:divsChild>
                <w:div w:id="1723211576">
                  <w:marLeft w:val="2928"/>
                  <w:marRight w:val="0"/>
                  <w:marTop w:val="720"/>
                  <w:marBottom w:val="0"/>
                  <w:divBdr>
                    <w:top w:val="none" w:sz="0" w:space="0" w:color="auto"/>
                    <w:left w:val="none" w:sz="0" w:space="0" w:color="auto"/>
                    <w:bottom w:val="none" w:sz="0" w:space="0" w:color="auto"/>
                    <w:right w:val="none" w:sz="0" w:space="0" w:color="auto"/>
                  </w:divBdr>
                  <w:divsChild>
                    <w:div w:id="98501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360084">
      <w:bodyDiv w:val="1"/>
      <w:marLeft w:val="0"/>
      <w:marRight w:val="0"/>
      <w:marTop w:val="0"/>
      <w:marBottom w:val="0"/>
      <w:divBdr>
        <w:top w:val="none" w:sz="0" w:space="0" w:color="auto"/>
        <w:left w:val="none" w:sz="0" w:space="0" w:color="auto"/>
        <w:bottom w:val="none" w:sz="0" w:space="0" w:color="auto"/>
        <w:right w:val="none" w:sz="0" w:space="0" w:color="auto"/>
      </w:divBdr>
    </w:div>
    <w:div w:id="1026836370">
      <w:bodyDiv w:val="1"/>
      <w:marLeft w:val="0"/>
      <w:marRight w:val="0"/>
      <w:marTop w:val="0"/>
      <w:marBottom w:val="0"/>
      <w:divBdr>
        <w:top w:val="none" w:sz="0" w:space="0" w:color="auto"/>
        <w:left w:val="none" w:sz="0" w:space="0" w:color="auto"/>
        <w:bottom w:val="none" w:sz="0" w:space="0" w:color="auto"/>
        <w:right w:val="none" w:sz="0" w:space="0" w:color="auto"/>
      </w:divBdr>
    </w:div>
    <w:div w:id="1069226113">
      <w:bodyDiv w:val="1"/>
      <w:marLeft w:val="0"/>
      <w:marRight w:val="0"/>
      <w:marTop w:val="0"/>
      <w:marBottom w:val="0"/>
      <w:divBdr>
        <w:top w:val="none" w:sz="0" w:space="0" w:color="auto"/>
        <w:left w:val="none" w:sz="0" w:space="0" w:color="auto"/>
        <w:bottom w:val="none" w:sz="0" w:space="0" w:color="auto"/>
        <w:right w:val="none" w:sz="0" w:space="0" w:color="auto"/>
      </w:divBdr>
    </w:div>
    <w:div w:id="1085225097">
      <w:bodyDiv w:val="1"/>
      <w:marLeft w:val="0"/>
      <w:marRight w:val="0"/>
      <w:marTop w:val="0"/>
      <w:marBottom w:val="0"/>
      <w:divBdr>
        <w:top w:val="none" w:sz="0" w:space="0" w:color="auto"/>
        <w:left w:val="none" w:sz="0" w:space="0" w:color="auto"/>
        <w:bottom w:val="none" w:sz="0" w:space="0" w:color="auto"/>
        <w:right w:val="none" w:sz="0" w:space="0" w:color="auto"/>
      </w:divBdr>
    </w:div>
    <w:div w:id="1123816073">
      <w:bodyDiv w:val="1"/>
      <w:marLeft w:val="0"/>
      <w:marRight w:val="0"/>
      <w:marTop w:val="0"/>
      <w:marBottom w:val="0"/>
      <w:divBdr>
        <w:top w:val="none" w:sz="0" w:space="0" w:color="auto"/>
        <w:left w:val="none" w:sz="0" w:space="0" w:color="auto"/>
        <w:bottom w:val="none" w:sz="0" w:space="0" w:color="auto"/>
        <w:right w:val="none" w:sz="0" w:space="0" w:color="auto"/>
      </w:divBdr>
    </w:div>
    <w:div w:id="1155805781">
      <w:bodyDiv w:val="1"/>
      <w:marLeft w:val="0"/>
      <w:marRight w:val="0"/>
      <w:marTop w:val="0"/>
      <w:marBottom w:val="0"/>
      <w:divBdr>
        <w:top w:val="none" w:sz="0" w:space="0" w:color="auto"/>
        <w:left w:val="none" w:sz="0" w:space="0" w:color="auto"/>
        <w:bottom w:val="none" w:sz="0" w:space="0" w:color="auto"/>
        <w:right w:val="none" w:sz="0" w:space="0" w:color="auto"/>
      </w:divBdr>
    </w:div>
    <w:div w:id="1168979066">
      <w:bodyDiv w:val="1"/>
      <w:marLeft w:val="0"/>
      <w:marRight w:val="0"/>
      <w:marTop w:val="0"/>
      <w:marBottom w:val="0"/>
      <w:divBdr>
        <w:top w:val="none" w:sz="0" w:space="0" w:color="auto"/>
        <w:left w:val="none" w:sz="0" w:space="0" w:color="auto"/>
        <w:bottom w:val="none" w:sz="0" w:space="0" w:color="auto"/>
        <w:right w:val="none" w:sz="0" w:space="0" w:color="auto"/>
      </w:divBdr>
    </w:div>
    <w:div w:id="1195194650">
      <w:bodyDiv w:val="1"/>
      <w:marLeft w:val="0"/>
      <w:marRight w:val="0"/>
      <w:marTop w:val="0"/>
      <w:marBottom w:val="0"/>
      <w:divBdr>
        <w:top w:val="none" w:sz="0" w:space="0" w:color="auto"/>
        <w:left w:val="none" w:sz="0" w:space="0" w:color="auto"/>
        <w:bottom w:val="none" w:sz="0" w:space="0" w:color="auto"/>
        <w:right w:val="none" w:sz="0" w:space="0" w:color="auto"/>
      </w:divBdr>
    </w:div>
    <w:div w:id="1200625548">
      <w:bodyDiv w:val="1"/>
      <w:marLeft w:val="0"/>
      <w:marRight w:val="0"/>
      <w:marTop w:val="0"/>
      <w:marBottom w:val="0"/>
      <w:divBdr>
        <w:top w:val="none" w:sz="0" w:space="0" w:color="auto"/>
        <w:left w:val="none" w:sz="0" w:space="0" w:color="auto"/>
        <w:bottom w:val="none" w:sz="0" w:space="0" w:color="auto"/>
        <w:right w:val="none" w:sz="0" w:space="0" w:color="auto"/>
      </w:divBdr>
    </w:div>
    <w:div w:id="1223449721">
      <w:bodyDiv w:val="1"/>
      <w:marLeft w:val="0"/>
      <w:marRight w:val="0"/>
      <w:marTop w:val="0"/>
      <w:marBottom w:val="0"/>
      <w:divBdr>
        <w:top w:val="none" w:sz="0" w:space="0" w:color="auto"/>
        <w:left w:val="none" w:sz="0" w:space="0" w:color="auto"/>
        <w:bottom w:val="none" w:sz="0" w:space="0" w:color="auto"/>
        <w:right w:val="none" w:sz="0" w:space="0" w:color="auto"/>
      </w:divBdr>
    </w:div>
    <w:div w:id="1283146152">
      <w:bodyDiv w:val="1"/>
      <w:marLeft w:val="0"/>
      <w:marRight w:val="0"/>
      <w:marTop w:val="0"/>
      <w:marBottom w:val="0"/>
      <w:divBdr>
        <w:top w:val="none" w:sz="0" w:space="0" w:color="auto"/>
        <w:left w:val="none" w:sz="0" w:space="0" w:color="auto"/>
        <w:bottom w:val="none" w:sz="0" w:space="0" w:color="auto"/>
        <w:right w:val="none" w:sz="0" w:space="0" w:color="auto"/>
      </w:divBdr>
    </w:div>
    <w:div w:id="1394157505">
      <w:bodyDiv w:val="1"/>
      <w:marLeft w:val="30"/>
      <w:marRight w:val="30"/>
      <w:marTop w:val="0"/>
      <w:marBottom w:val="0"/>
      <w:divBdr>
        <w:top w:val="none" w:sz="0" w:space="0" w:color="auto"/>
        <w:left w:val="none" w:sz="0" w:space="0" w:color="auto"/>
        <w:bottom w:val="none" w:sz="0" w:space="0" w:color="auto"/>
        <w:right w:val="none" w:sz="0" w:space="0" w:color="auto"/>
      </w:divBdr>
      <w:divsChild>
        <w:div w:id="829906142">
          <w:marLeft w:val="0"/>
          <w:marRight w:val="0"/>
          <w:marTop w:val="0"/>
          <w:marBottom w:val="0"/>
          <w:divBdr>
            <w:top w:val="none" w:sz="0" w:space="0" w:color="auto"/>
            <w:left w:val="none" w:sz="0" w:space="0" w:color="auto"/>
            <w:bottom w:val="none" w:sz="0" w:space="0" w:color="auto"/>
            <w:right w:val="none" w:sz="0" w:space="0" w:color="auto"/>
          </w:divBdr>
          <w:divsChild>
            <w:div w:id="2076706731">
              <w:marLeft w:val="0"/>
              <w:marRight w:val="0"/>
              <w:marTop w:val="0"/>
              <w:marBottom w:val="0"/>
              <w:divBdr>
                <w:top w:val="none" w:sz="0" w:space="0" w:color="auto"/>
                <w:left w:val="none" w:sz="0" w:space="0" w:color="auto"/>
                <w:bottom w:val="none" w:sz="0" w:space="0" w:color="auto"/>
                <w:right w:val="none" w:sz="0" w:space="0" w:color="auto"/>
              </w:divBdr>
              <w:divsChild>
                <w:div w:id="537623510">
                  <w:marLeft w:val="180"/>
                  <w:marRight w:val="0"/>
                  <w:marTop w:val="0"/>
                  <w:marBottom w:val="0"/>
                  <w:divBdr>
                    <w:top w:val="none" w:sz="0" w:space="0" w:color="auto"/>
                    <w:left w:val="none" w:sz="0" w:space="0" w:color="auto"/>
                    <w:bottom w:val="none" w:sz="0" w:space="0" w:color="auto"/>
                    <w:right w:val="none" w:sz="0" w:space="0" w:color="auto"/>
                  </w:divBdr>
                  <w:divsChild>
                    <w:div w:id="2488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730323">
      <w:bodyDiv w:val="1"/>
      <w:marLeft w:val="0"/>
      <w:marRight w:val="0"/>
      <w:marTop w:val="0"/>
      <w:marBottom w:val="0"/>
      <w:divBdr>
        <w:top w:val="none" w:sz="0" w:space="0" w:color="auto"/>
        <w:left w:val="none" w:sz="0" w:space="0" w:color="auto"/>
        <w:bottom w:val="none" w:sz="0" w:space="0" w:color="auto"/>
        <w:right w:val="none" w:sz="0" w:space="0" w:color="auto"/>
      </w:divBdr>
      <w:divsChild>
        <w:div w:id="1328365962">
          <w:marLeft w:val="0"/>
          <w:marRight w:val="0"/>
          <w:marTop w:val="0"/>
          <w:marBottom w:val="0"/>
          <w:divBdr>
            <w:top w:val="none" w:sz="0" w:space="0" w:color="auto"/>
            <w:left w:val="none" w:sz="0" w:space="0" w:color="auto"/>
            <w:bottom w:val="none" w:sz="0" w:space="0" w:color="auto"/>
            <w:right w:val="none" w:sz="0" w:space="0" w:color="auto"/>
          </w:divBdr>
          <w:divsChild>
            <w:div w:id="281306064">
              <w:marLeft w:val="0"/>
              <w:marRight w:val="0"/>
              <w:marTop w:val="0"/>
              <w:marBottom w:val="0"/>
              <w:divBdr>
                <w:top w:val="none" w:sz="0" w:space="0" w:color="auto"/>
                <w:left w:val="none" w:sz="0" w:space="0" w:color="auto"/>
                <w:bottom w:val="none" w:sz="0" w:space="0" w:color="auto"/>
                <w:right w:val="none" w:sz="0" w:space="0" w:color="auto"/>
              </w:divBdr>
              <w:divsChild>
                <w:div w:id="630088605">
                  <w:marLeft w:val="2928"/>
                  <w:marRight w:val="0"/>
                  <w:marTop w:val="720"/>
                  <w:marBottom w:val="0"/>
                  <w:divBdr>
                    <w:top w:val="none" w:sz="0" w:space="0" w:color="auto"/>
                    <w:left w:val="none" w:sz="0" w:space="0" w:color="auto"/>
                    <w:bottom w:val="none" w:sz="0" w:space="0" w:color="auto"/>
                    <w:right w:val="none" w:sz="0" w:space="0" w:color="auto"/>
                  </w:divBdr>
                  <w:divsChild>
                    <w:div w:id="85311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442920">
      <w:bodyDiv w:val="1"/>
      <w:marLeft w:val="0"/>
      <w:marRight w:val="0"/>
      <w:marTop w:val="0"/>
      <w:marBottom w:val="0"/>
      <w:divBdr>
        <w:top w:val="none" w:sz="0" w:space="0" w:color="auto"/>
        <w:left w:val="none" w:sz="0" w:space="0" w:color="auto"/>
        <w:bottom w:val="none" w:sz="0" w:space="0" w:color="auto"/>
        <w:right w:val="none" w:sz="0" w:space="0" w:color="auto"/>
      </w:divBdr>
    </w:div>
    <w:div w:id="1521969979">
      <w:bodyDiv w:val="1"/>
      <w:marLeft w:val="0"/>
      <w:marRight w:val="0"/>
      <w:marTop w:val="0"/>
      <w:marBottom w:val="0"/>
      <w:divBdr>
        <w:top w:val="none" w:sz="0" w:space="0" w:color="auto"/>
        <w:left w:val="none" w:sz="0" w:space="0" w:color="auto"/>
        <w:bottom w:val="none" w:sz="0" w:space="0" w:color="auto"/>
        <w:right w:val="none" w:sz="0" w:space="0" w:color="auto"/>
      </w:divBdr>
    </w:div>
    <w:div w:id="1571770610">
      <w:bodyDiv w:val="1"/>
      <w:marLeft w:val="0"/>
      <w:marRight w:val="0"/>
      <w:marTop w:val="0"/>
      <w:marBottom w:val="0"/>
      <w:divBdr>
        <w:top w:val="none" w:sz="0" w:space="0" w:color="auto"/>
        <w:left w:val="none" w:sz="0" w:space="0" w:color="auto"/>
        <w:bottom w:val="none" w:sz="0" w:space="0" w:color="auto"/>
        <w:right w:val="none" w:sz="0" w:space="0" w:color="auto"/>
      </w:divBdr>
    </w:div>
    <w:div w:id="1611820335">
      <w:bodyDiv w:val="1"/>
      <w:marLeft w:val="0"/>
      <w:marRight w:val="0"/>
      <w:marTop w:val="0"/>
      <w:marBottom w:val="0"/>
      <w:divBdr>
        <w:top w:val="none" w:sz="0" w:space="0" w:color="auto"/>
        <w:left w:val="none" w:sz="0" w:space="0" w:color="auto"/>
        <w:bottom w:val="none" w:sz="0" w:space="0" w:color="auto"/>
        <w:right w:val="none" w:sz="0" w:space="0" w:color="auto"/>
      </w:divBdr>
    </w:div>
    <w:div w:id="1716008199">
      <w:bodyDiv w:val="1"/>
      <w:marLeft w:val="0"/>
      <w:marRight w:val="0"/>
      <w:marTop w:val="0"/>
      <w:marBottom w:val="0"/>
      <w:divBdr>
        <w:top w:val="none" w:sz="0" w:space="0" w:color="auto"/>
        <w:left w:val="none" w:sz="0" w:space="0" w:color="auto"/>
        <w:bottom w:val="none" w:sz="0" w:space="0" w:color="auto"/>
        <w:right w:val="none" w:sz="0" w:space="0" w:color="auto"/>
      </w:divBdr>
    </w:div>
    <w:div w:id="1722944796">
      <w:bodyDiv w:val="1"/>
      <w:marLeft w:val="0"/>
      <w:marRight w:val="0"/>
      <w:marTop w:val="0"/>
      <w:marBottom w:val="0"/>
      <w:divBdr>
        <w:top w:val="none" w:sz="0" w:space="0" w:color="auto"/>
        <w:left w:val="none" w:sz="0" w:space="0" w:color="auto"/>
        <w:bottom w:val="none" w:sz="0" w:space="0" w:color="auto"/>
        <w:right w:val="none" w:sz="0" w:space="0" w:color="auto"/>
      </w:divBdr>
    </w:div>
    <w:div w:id="1788085837">
      <w:bodyDiv w:val="1"/>
      <w:marLeft w:val="0"/>
      <w:marRight w:val="0"/>
      <w:marTop w:val="0"/>
      <w:marBottom w:val="0"/>
      <w:divBdr>
        <w:top w:val="none" w:sz="0" w:space="0" w:color="auto"/>
        <w:left w:val="none" w:sz="0" w:space="0" w:color="auto"/>
        <w:bottom w:val="none" w:sz="0" w:space="0" w:color="auto"/>
        <w:right w:val="none" w:sz="0" w:space="0" w:color="auto"/>
      </w:divBdr>
    </w:div>
    <w:div w:id="1809011044">
      <w:bodyDiv w:val="1"/>
      <w:marLeft w:val="0"/>
      <w:marRight w:val="0"/>
      <w:marTop w:val="0"/>
      <w:marBottom w:val="0"/>
      <w:divBdr>
        <w:top w:val="none" w:sz="0" w:space="0" w:color="auto"/>
        <w:left w:val="none" w:sz="0" w:space="0" w:color="auto"/>
        <w:bottom w:val="none" w:sz="0" w:space="0" w:color="auto"/>
        <w:right w:val="none" w:sz="0" w:space="0" w:color="auto"/>
      </w:divBdr>
    </w:div>
    <w:div w:id="1829127317">
      <w:bodyDiv w:val="1"/>
      <w:marLeft w:val="0"/>
      <w:marRight w:val="0"/>
      <w:marTop w:val="0"/>
      <w:marBottom w:val="0"/>
      <w:divBdr>
        <w:top w:val="none" w:sz="0" w:space="0" w:color="auto"/>
        <w:left w:val="none" w:sz="0" w:space="0" w:color="auto"/>
        <w:bottom w:val="none" w:sz="0" w:space="0" w:color="auto"/>
        <w:right w:val="none" w:sz="0" w:space="0" w:color="auto"/>
      </w:divBdr>
    </w:div>
    <w:div w:id="1839270799">
      <w:bodyDiv w:val="1"/>
      <w:marLeft w:val="0"/>
      <w:marRight w:val="0"/>
      <w:marTop w:val="0"/>
      <w:marBottom w:val="0"/>
      <w:divBdr>
        <w:top w:val="none" w:sz="0" w:space="0" w:color="auto"/>
        <w:left w:val="none" w:sz="0" w:space="0" w:color="auto"/>
        <w:bottom w:val="none" w:sz="0" w:space="0" w:color="auto"/>
        <w:right w:val="none" w:sz="0" w:space="0" w:color="auto"/>
      </w:divBdr>
    </w:div>
    <w:div w:id="1893685321">
      <w:bodyDiv w:val="1"/>
      <w:marLeft w:val="0"/>
      <w:marRight w:val="0"/>
      <w:marTop w:val="0"/>
      <w:marBottom w:val="0"/>
      <w:divBdr>
        <w:top w:val="none" w:sz="0" w:space="0" w:color="auto"/>
        <w:left w:val="none" w:sz="0" w:space="0" w:color="auto"/>
        <w:bottom w:val="none" w:sz="0" w:space="0" w:color="auto"/>
        <w:right w:val="none" w:sz="0" w:space="0" w:color="auto"/>
      </w:divBdr>
    </w:div>
    <w:div w:id="1896892857">
      <w:bodyDiv w:val="1"/>
      <w:marLeft w:val="0"/>
      <w:marRight w:val="0"/>
      <w:marTop w:val="0"/>
      <w:marBottom w:val="0"/>
      <w:divBdr>
        <w:top w:val="none" w:sz="0" w:space="0" w:color="auto"/>
        <w:left w:val="none" w:sz="0" w:space="0" w:color="auto"/>
        <w:bottom w:val="none" w:sz="0" w:space="0" w:color="auto"/>
        <w:right w:val="none" w:sz="0" w:space="0" w:color="auto"/>
      </w:divBdr>
    </w:div>
    <w:div w:id="1932859667">
      <w:bodyDiv w:val="1"/>
      <w:marLeft w:val="0"/>
      <w:marRight w:val="0"/>
      <w:marTop w:val="0"/>
      <w:marBottom w:val="0"/>
      <w:divBdr>
        <w:top w:val="none" w:sz="0" w:space="0" w:color="auto"/>
        <w:left w:val="none" w:sz="0" w:space="0" w:color="auto"/>
        <w:bottom w:val="none" w:sz="0" w:space="0" w:color="auto"/>
        <w:right w:val="none" w:sz="0" w:space="0" w:color="auto"/>
      </w:divBdr>
    </w:div>
    <w:div w:id="1956591473">
      <w:bodyDiv w:val="1"/>
      <w:marLeft w:val="0"/>
      <w:marRight w:val="0"/>
      <w:marTop w:val="0"/>
      <w:marBottom w:val="0"/>
      <w:divBdr>
        <w:top w:val="none" w:sz="0" w:space="0" w:color="auto"/>
        <w:left w:val="none" w:sz="0" w:space="0" w:color="auto"/>
        <w:bottom w:val="none" w:sz="0" w:space="0" w:color="auto"/>
        <w:right w:val="none" w:sz="0" w:space="0" w:color="auto"/>
      </w:divBdr>
    </w:div>
    <w:div w:id="1978336924">
      <w:bodyDiv w:val="1"/>
      <w:marLeft w:val="30"/>
      <w:marRight w:val="30"/>
      <w:marTop w:val="0"/>
      <w:marBottom w:val="0"/>
      <w:divBdr>
        <w:top w:val="none" w:sz="0" w:space="0" w:color="auto"/>
        <w:left w:val="none" w:sz="0" w:space="0" w:color="auto"/>
        <w:bottom w:val="none" w:sz="0" w:space="0" w:color="auto"/>
        <w:right w:val="none" w:sz="0" w:space="0" w:color="auto"/>
      </w:divBdr>
      <w:divsChild>
        <w:div w:id="373431204">
          <w:marLeft w:val="0"/>
          <w:marRight w:val="0"/>
          <w:marTop w:val="0"/>
          <w:marBottom w:val="0"/>
          <w:divBdr>
            <w:top w:val="none" w:sz="0" w:space="0" w:color="auto"/>
            <w:left w:val="none" w:sz="0" w:space="0" w:color="auto"/>
            <w:bottom w:val="none" w:sz="0" w:space="0" w:color="auto"/>
            <w:right w:val="none" w:sz="0" w:space="0" w:color="auto"/>
          </w:divBdr>
          <w:divsChild>
            <w:div w:id="616251807">
              <w:marLeft w:val="0"/>
              <w:marRight w:val="0"/>
              <w:marTop w:val="0"/>
              <w:marBottom w:val="0"/>
              <w:divBdr>
                <w:top w:val="none" w:sz="0" w:space="0" w:color="auto"/>
                <w:left w:val="none" w:sz="0" w:space="0" w:color="auto"/>
                <w:bottom w:val="none" w:sz="0" w:space="0" w:color="auto"/>
                <w:right w:val="none" w:sz="0" w:space="0" w:color="auto"/>
              </w:divBdr>
              <w:divsChild>
                <w:div w:id="861091678">
                  <w:marLeft w:val="180"/>
                  <w:marRight w:val="0"/>
                  <w:marTop w:val="0"/>
                  <w:marBottom w:val="0"/>
                  <w:divBdr>
                    <w:top w:val="none" w:sz="0" w:space="0" w:color="auto"/>
                    <w:left w:val="none" w:sz="0" w:space="0" w:color="auto"/>
                    <w:bottom w:val="none" w:sz="0" w:space="0" w:color="auto"/>
                    <w:right w:val="none" w:sz="0" w:space="0" w:color="auto"/>
                  </w:divBdr>
                  <w:divsChild>
                    <w:div w:id="14159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540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hyperlink" Target="#_Medication_Profile_UC_46"/><Relationship Id="rId21" Type="http://schemas.openxmlformats.org/officeDocument/2006/relationships/footer" Target="footer4.xml"/><Relationship Id="rId42" Type="http://schemas.openxmlformats.org/officeDocument/2006/relationships/image" Target="media/image28.png"/><Relationship Id="rId63" Type="http://schemas.openxmlformats.org/officeDocument/2006/relationships/image" Target="media/image44.png"/><Relationship Id="rId84" Type="http://schemas.openxmlformats.org/officeDocument/2006/relationships/image" Target="media/image63.png"/><Relationship Id="rId138" Type="http://schemas.openxmlformats.org/officeDocument/2006/relationships/image" Target="media/image97.png"/><Relationship Id="rId159" Type="http://schemas.openxmlformats.org/officeDocument/2006/relationships/image" Target="media/image118.png"/><Relationship Id="rId170" Type="http://schemas.openxmlformats.org/officeDocument/2006/relationships/image" Target="media/image129.png"/><Relationship Id="rId191" Type="http://schemas.openxmlformats.org/officeDocument/2006/relationships/oleObject" Target="embeddings/oleObject4.bin"/><Relationship Id="rId205" Type="http://schemas.openxmlformats.org/officeDocument/2006/relationships/image" Target="media/image159.png"/><Relationship Id="rId226" Type="http://schemas.openxmlformats.org/officeDocument/2006/relationships/image" Target="cid:image001.jpg@01CFF8D3.98CB1E30" TargetMode="External"/><Relationship Id="rId247" Type="http://schemas.openxmlformats.org/officeDocument/2006/relationships/oleObject" Target="embeddings/oleObject8.bin"/><Relationship Id="rId107" Type="http://schemas.openxmlformats.org/officeDocument/2006/relationships/image" Target="media/image75.png"/><Relationship Id="rId268" Type="http://schemas.openxmlformats.org/officeDocument/2006/relationships/oleObject" Target="embeddings/oleObject17.bin"/><Relationship Id="rId289" Type="http://schemas.openxmlformats.org/officeDocument/2006/relationships/image" Target="media/image217.jpeg"/><Relationship Id="rId11" Type="http://schemas.openxmlformats.org/officeDocument/2006/relationships/header" Target="header1.xml"/><Relationship Id="rId32" Type="http://schemas.openxmlformats.org/officeDocument/2006/relationships/image" Target="media/image20.png"/><Relationship Id="rId53" Type="http://schemas.openxmlformats.org/officeDocument/2006/relationships/image" Target="cid:image001.png@01CE3F3B.609C9D20" TargetMode="External"/><Relationship Id="rId74" Type="http://schemas.openxmlformats.org/officeDocument/2006/relationships/image" Target="media/image55.png"/><Relationship Id="rId128" Type="http://schemas.openxmlformats.org/officeDocument/2006/relationships/image" Target="media/image87.png"/><Relationship Id="rId149" Type="http://schemas.openxmlformats.org/officeDocument/2006/relationships/image" Target="media/image108.png"/><Relationship Id="rId5" Type="http://schemas.microsoft.com/office/2007/relationships/stylesWithEffects" Target="stylesWithEffects.xml"/><Relationship Id="rId95" Type="http://schemas.openxmlformats.org/officeDocument/2006/relationships/hyperlink" Target="#_Modify_Units"/><Relationship Id="rId160" Type="http://schemas.openxmlformats.org/officeDocument/2006/relationships/image" Target="media/image119.png"/><Relationship Id="rId181" Type="http://schemas.openxmlformats.org/officeDocument/2006/relationships/image" Target="media/image139.png"/><Relationship Id="rId216" Type="http://schemas.openxmlformats.org/officeDocument/2006/relationships/image" Target="media/image170.png"/><Relationship Id="rId237" Type="http://schemas.openxmlformats.org/officeDocument/2006/relationships/footer" Target="footer9.xml"/><Relationship Id="rId258" Type="http://schemas.openxmlformats.org/officeDocument/2006/relationships/image" Target="media/image196.emf"/><Relationship Id="rId279" Type="http://schemas.openxmlformats.org/officeDocument/2006/relationships/image" Target="media/image207.jpeg"/><Relationship Id="rId22" Type="http://schemas.openxmlformats.org/officeDocument/2006/relationships/image" Target="media/image15.png"/><Relationship Id="rId43" Type="http://schemas.openxmlformats.org/officeDocument/2006/relationships/image" Target="media/image29.png"/><Relationship Id="rId64" Type="http://schemas.openxmlformats.org/officeDocument/2006/relationships/image" Target="media/image45.png"/><Relationship Id="rId118" Type="http://schemas.openxmlformats.org/officeDocument/2006/relationships/hyperlink" Target="#_Patient_Information_Toolbar:_Recent"/><Relationship Id="rId139" Type="http://schemas.openxmlformats.org/officeDocument/2006/relationships/image" Target="media/image98.png"/><Relationship Id="rId290" Type="http://schemas.openxmlformats.org/officeDocument/2006/relationships/header" Target="header6.xml"/><Relationship Id="rId85" Type="http://schemas.openxmlformats.org/officeDocument/2006/relationships/image" Target="media/image64.png"/><Relationship Id="rId150" Type="http://schemas.openxmlformats.org/officeDocument/2006/relationships/image" Target="media/image109.png"/><Relationship Id="rId171" Type="http://schemas.openxmlformats.org/officeDocument/2006/relationships/image" Target="media/image130.png"/><Relationship Id="rId192" Type="http://schemas.openxmlformats.org/officeDocument/2006/relationships/image" Target="media/image149.png"/><Relationship Id="rId206" Type="http://schemas.openxmlformats.org/officeDocument/2006/relationships/image" Target="media/image160.png"/><Relationship Id="rId227" Type="http://schemas.openxmlformats.org/officeDocument/2006/relationships/image" Target="media/image180.png"/><Relationship Id="rId248" Type="http://schemas.openxmlformats.org/officeDocument/2006/relationships/header" Target="header5.xml"/><Relationship Id="rId269" Type="http://schemas.openxmlformats.org/officeDocument/2006/relationships/image" Target="media/image201.emf"/><Relationship Id="rId12" Type="http://schemas.openxmlformats.org/officeDocument/2006/relationships/footer" Target="footer1.xml"/><Relationship Id="rId33" Type="http://schemas.openxmlformats.org/officeDocument/2006/relationships/image" Target="media/image21.png"/><Relationship Id="rId108" Type="http://schemas.openxmlformats.org/officeDocument/2006/relationships/image" Target="media/image76.png"/><Relationship Id="rId129" Type="http://schemas.openxmlformats.org/officeDocument/2006/relationships/image" Target="media/image88.png"/><Relationship Id="rId280" Type="http://schemas.openxmlformats.org/officeDocument/2006/relationships/image" Target="media/image208.jpeg"/><Relationship Id="rId54" Type="http://schemas.openxmlformats.org/officeDocument/2006/relationships/image" Target="media/image37.png"/><Relationship Id="rId75" Type="http://schemas.openxmlformats.org/officeDocument/2006/relationships/image" Target="media/image56.png"/><Relationship Id="rId96" Type="http://schemas.openxmlformats.org/officeDocument/2006/relationships/image" Target="media/image69.png"/><Relationship Id="rId140" Type="http://schemas.openxmlformats.org/officeDocument/2006/relationships/image" Target="media/image99.png"/><Relationship Id="rId161" Type="http://schemas.openxmlformats.org/officeDocument/2006/relationships/image" Target="media/image120.png"/><Relationship Id="rId182" Type="http://schemas.openxmlformats.org/officeDocument/2006/relationships/image" Target="media/image140.png"/><Relationship Id="rId217" Type="http://schemas.openxmlformats.org/officeDocument/2006/relationships/image" Target="media/image171.png"/><Relationship Id="rId6" Type="http://schemas.openxmlformats.org/officeDocument/2006/relationships/settings" Target="settings.xml"/><Relationship Id="rId238" Type="http://schemas.openxmlformats.org/officeDocument/2006/relationships/footer" Target="footer10.xml"/><Relationship Id="rId259" Type="http://schemas.openxmlformats.org/officeDocument/2006/relationships/oleObject" Target="embeddings/oleObject13.bin"/><Relationship Id="rId23" Type="http://schemas.openxmlformats.org/officeDocument/2006/relationships/hyperlink" Target="http://www.foia.va.gov/FOIA_Offices.asp" TargetMode="External"/><Relationship Id="rId119" Type="http://schemas.openxmlformats.org/officeDocument/2006/relationships/hyperlink" Target="#_View_Special_Instructions_and Trans"/><Relationship Id="rId270" Type="http://schemas.openxmlformats.org/officeDocument/2006/relationships/oleObject" Target="embeddings/oleObject18.bin"/><Relationship Id="rId291" Type="http://schemas.openxmlformats.org/officeDocument/2006/relationships/fontTable" Target="fontTable.xml"/><Relationship Id="rId44" Type="http://schemas.openxmlformats.org/officeDocument/2006/relationships/image" Target="media/image30.png"/><Relationship Id="rId65" Type="http://schemas.openxmlformats.org/officeDocument/2006/relationships/image" Target="media/image46.png"/><Relationship Id="rId86" Type="http://schemas.openxmlformats.org/officeDocument/2006/relationships/image" Target="http://msdn.microsoft.com/library/en-us/dnacc/html/atg_keyboardshortcuts_10.gif" TargetMode="External"/><Relationship Id="rId130" Type="http://schemas.openxmlformats.org/officeDocument/2006/relationships/image" Target="media/image89.png"/><Relationship Id="rId151" Type="http://schemas.openxmlformats.org/officeDocument/2006/relationships/image" Target="media/image110.png"/><Relationship Id="rId172" Type="http://schemas.openxmlformats.org/officeDocument/2006/relationships/header" Target="header3.xml"/><Relationship Id="rId193" Type="http://schemas.openxmlformats.org/officeDocument/2006/relationships/image" Target="media/image150.png"/><Relationship Id="rId207" Type="http://schemas.openxmlformats.org/officeDocument/2006/relationships/image" Target="media/image161.png"/><Relationship Id="rId228" Type="http://schemas.openxmlformats.org/officeDocument/2006/relationships/image" Target="media/image181.png"/><Relationship Id="rId249" Type="http://schemas.openxmlformats.org/officeDocument/2006/relationships/image" Target="media/image192.emf"/><Relationship Id="rId13" Type="http://schemas.openxmlformats.org/officeDocument/2006/relationships/footer" Target="footer2.xml"/><Relationship Id="rId109" Type="http://schemas.openxmlformats.org/officeDocument/2006/relationships/hyperlink" Target="#_Select_Units_1"/><Relationship Id="rId260" Type="http://schemas.openxmlformats.org/officeDocument/2006/relationships/image" Target="media/image197.emf"/><Relationship Id="rId281" Type="http://schemas.openxmlformats.org/officeDocument/2006/relationships/image" Target="media/image209.jpeg"/><Relationship Id="rId34" Type="http://schemas.openxmlformats.org/officeDocument/2006/relationships/header" Target="header2.xml"/><Relationship Id="rId50" Type="http://schemas.openxmlformats.org/officeDocument/2006/relationships/image" Target="cid:image001.png@01CE3B7C.276C5E40" TargetMode="External"/><Relationship Id="rId55" Type="http://schemas.openxmlformats.org/officeDocument/2006/relationships/image" Target="media/image38.png"/><Relationship Id="rId76" Type="http://schemas.openxmlformats.org/officeDocument/2006/relationships/oleObject" Target="embeddings/oleObject2.bin"/><Relationship Id="rId97" Type="http://schemas.openxmlformats.org/officeDocument/2006/relationships/hyperlink" Target="#_Unit_Antigen_Typing"/><Relationship Id="rId104" Type="http://schemas.openxmlformats.org/officeDocument/2006/relationships/image" Target="media/image73.png"/><Relationship Id="rId120" Type="http://schemas.openxmlformats.org/officeDocument/2006/relationships/hyperlink" Target="#_Patient_Information_Toolbar:_Recent_1"/><Relationship Id="rId125" Type="http://schemas.openxmlformats.org/officeDocument/2006/relationships/image" Target="media/image84.png"/><Relationship Id="rId141" Type="http://schemas.openxmlformats.org/officeDocument/2006/relationships/image" Target="media/image100.png"/><Relationship Id="rId146" Type="http://schemas.openxmlformats.org/officeDocument/2006/relationships/image" Target="media/image105.png"/><Relationship Id="rId167" Type="http://schemas.openxmlformats.org/officeDocument/2006/relationships/image" Target="media/image126.png"/><Relationship Id="rId188" Type="http://schemas.openxmlformats.org/officeDocument/2006/relationships/image" Target="media/image146.png"/><Relationship Id="rId7" Type="http://schemas.openxmlformats.org/officeDocument/2006/relationships/webSettings" Target="webSettings.xml"/><Relationship Id="rId71" Type="http://schemas.openxmlformats.org/officeDocument/2006/relationships/image" Target="media/image52.png"/><Relationship Id="rId92" Type="http://schemas.openxmlformats.org/officeDocument/2006/relationships/image" Target="media/image67.png"/><Relationship Id="rId162" Type="http://schemas.openxmlformats.org/officeDocument/2006/relationships/image" Target="media/image121.png"/><Relationship Id="rId183" Type="http://schemas.openxmlformats.org/officeDocument/2006/relationships/image" Target="media/image141.png"/><Relationship Id="rId213" Type="http://schemas.openxmlformats.org/officeDocument/2006/relationships/image" Target="media/image167.png"/><Relationship Id="rId218" Type="http://schemas.openxmlformats.org/officeDocument/2006/relationships/image" Target="media/image172.png"/><Relationship Id="rId234" Type="http://schemas.openxmlformats.org/officeDocument/2006/relationships/image" Target="media/image187.png"/><Relationship Id="rId239" Type="http://schemas.openxmlformats.org/officeDocument/2006/relationships/image" Target="media/image188.emf"/><Relationship Id="rId2" Type="http://schemas.openxmlformats.org/officeDocument/2006/relationships/customXml" Target="../customXml/item1.xml"/><Relationship Id="rId29" Type="http://schemas.openxmlformats.org/officeDocument/2006/relationships/image" Target="media/image18.png"/><Relationship Id="rId250" Type="http://schemas.openxmlformats.org/officeDocument/2006/relationships/oleObject" Target="embeddings/oleObject9.bin"/><Relationship Id="rId255" Type="http://schemas.openxmlformats.org/officeDocument/2006/relationships/image" Target="media/image195.emf"/><Relationship Id="rId271" Type="http://schemas.openxmlformats.org/officeDocument/2006/relationships/footer" Target="footer14.xml"/><Relationship Id="rId276" Type="http://schemas.openxmlformats.org/officeDocument/2006/relationships/image" Target="media/image204.jpeg"/><Relationship Id="rId292" Type="http://schemas.openxmlformats.org/officeDocument/2006/relationships/theme" Target="theme/theme1.xml"/><Relationship Id="rId24" Type="http://schemas.openxmlformats.org/officeDocument/2006/relationships/image" Target="media/image16.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47.png"/><Relationship Id="rId87" Type="http://schemas.openxmlformats.org/officeDocument/2006/relationships/hyperlink" Target="#_Log_In_Reagents,_Update Inventory, "/><Relationship Id="rId110" Type="http://schemas.openxmlformats.org/officeDocument/2006/relationships/image" Target="media/image77.png"/><Relationship Id="rId115" Type="http://schemas.openxmlformats.org/officeDocument/2006/relationships/hyperlink" Target="#_Blood_Availability_UC_49"/><Relationship Id="rId131" Type="http://schemas.openxmlformats.org/officeDocument/2006/relationships/image" Target="media/image90.png"/><Relationship Id="rId136" Type="http://schemas.openxmlformats.org/officeDocument/2006/relationships/image" Target="media/image95.png"/><Relationship Id="rId157" Type="http://schemas.openxmlformats.org/officeDocument/2006/relationships/image" Target="media/image116.png"/><Relationship Id="rId178" Type="http://schemas.openxmlformats.org/officeDocument/2006/relationships/image" Target="media/image136.png"/><Relationship Id="rId61" Type="http://schemas.openxmlformats.org/officeDocument/2006/relationships/hyperlink" Target="http://www.va.gov/vdl/application.asp?appid=182" TargetMode="External"/><Relationship Id="rId82" Type="http://schemas.openxmlformats.org/officeDocument/2006/relationships/image" Target="media/image61.png"/><Relationship Id="rId152" Type="http://schemas.openxmlformats.org/officeDocument/2006/relationships/image" Target="media/image111.png"/><Relationship Id="rId173" Type="http://schemas.openxmlformats.org/officeDocument/2006/relationships/image" Target="media/image131.png"/><Relationship Id="rId194" Type="http://schemas.openxmlformats.org/officeDocument/2006/relationships/image" Target="media/image151.png"/><Relationship Id="rId199" Type="http://schemas.openxmlformats.org/officeDocument/2006/relationships/image" Target="media/image154.png"/><Relationship Id="rId203" Type="http://schemas.openxmlformats.org/officeDocument/2006/relationships/image" Target="media/image157.png"/><Relationship Id="rId208" Type="http://schemas.openxmlformats.org/officeDocument/2006/relationships/image" Target="media/image162.png"/><Relationship Id="rId229" Type="http://schemas.openxmlformats.org/officeDocument/2006/relationships/image" Target="media/image182.png"/><Relationship Id="rId19" Type="http://schemas.openxmlformats.org/officeDocument/2006/relationships/image" Target="media/image13.png"/><Relationship Id="rId224" Type="http://schemas.openxmlformats.org/officeDocument/2006/relationships/image" Target="media/image178.png"/><Relationship Id="rId240" Type="http://schemas.openxmlformats.org/officeDocument/2006/relationships/oleObject" Target="embeddings/oleObject5.bin"/><Relationship Id="rId245" Type="http://schemas.openxmlformats.org/officeDocument/2006/relationships/oleObject" Target="embeddings/oleObject7.bin"/><Relationship Id="rId261" Type="http://schemas.openxmlformats.org/officeDocument/2006/relationships/oleObject" Target="embeddings/oleObject14.bin"/><Relationship Id="rId266" Type="http://schemas.openxmlformats.org/officeDocument/2006/relationships/oleObject" Target="embeddings/oleObject16.bin"/><Relationship Id="rId287" Type="http://schemas.openxmlformats.org/officeDocument/2006/relationships/image" Target="media/image215.jpeg"/><Relationship Id="rId14" Type="http://schemas.openxmlformats.org/officeDocument/2006/relationships/footer" Target="footer3.xml"/><Relationship Id="rId30" Type="http://schemas.openxmlformats.org/officeDocument/2006/relationships/image" Target="media/image19.png"/><Relationship Id="rId35" Type="http://schemas.openxmlformats.org/officeDocument/2006/relationships/footer" Target="footer6.xml"/><Relationship Id="rId56" Type="http://schemas.openxmlformats.org/officeDocument/2006/relationships/image" Target="media/image39.png"/><Relationship Id="rId77" Type="http://schemas.openxmlformats.org/officeDocument/2006/relationships/image" Target="media/image57.png"/><Relationship Id="rId100" Type="http://schemas.openxmlformats.org/officeDocument/2006/relationships/image" Target="media/image71.png"/><Relationship Id="rId105" Type="http://schemas.openxmlformats.org/officeDocument/2006/relationships/hyperlink" Target="#_Patient_Testing:_Record_1"/><Relationship Id="rId126" Type="http://schemas.openxmlformats.org/officeDocument/2006/relationships/image" Target="media/image85.png"/><Relationship Id="rId147" Type="http://schemas.openxmlformats.org/officeDocument/2006/relationships/image" Target="media/image106.png"/><Relationship Id="rId168" Type="http://schemas.openxmlformats.org/officeDocument/2006/relationships/image" Target="media/image127.png"/><Relationship Id="rId282" Type="http://schemas.openxmlformats.org/officeDocument/2006/relationships/image" Target="media/image210.jpeg"/><Relationship Id="rId8" Type="http://schemas.openxmlformats.org/officeDocument/2006/relationships/footnotes" Target="footnotes.xml"/><Relationship Id="rId51" Type="http://schemas.openxmlformats.org/officeDocument/2006/relationships/image" Target="media/image35.png"/><Relationship Id="rId72" Type="http://schemas.openxmlformats.org/officeDocument/2006/relationships/image" Target="media/image53.png"/><Relationship Id="rId93" Type="http://schemas.openxmlformats.org/officeDocument/2006/relationships/hyperlink" Target="#_ABO/Rh_Confirmation"/><Relationship Id="rId98" Type="http://schemas.openxmlformats.org/officeDocument/2006/relationships/image" Target="media/image70.png"/><Relationship Id="rId121" Type="http://schemas.openxmlformats.org/officeDocument/2006/relationships/hyperlink" Target="#_Patient_Information_Toolbar:_Transf"/><Relationship Id="rId142" Type="http://schemas.openxmlformats.org/officeDocument/2006/relationships/image" Target="media/image101.png"/><Relationship Id="rId163" Type="http://schemas.openxmlformats.org/officeDocument/2006/relationships/image" Target="media/image122.png"/><Relationship Id="rId184" Type="http://schemas.openxmlformats.org/officeDocument/2006/relationships/image" Target="media/image142.png"/><Relationship Id="rId189" Type="http://schemas.openxmlformats.org/officeDocument/2006/relationships/image" Target="media/image147.png"/><Relationship Id="rId219" Type="http://schemas.openxmlformats.org/officeDocument/2006/relationships/image" Target="media/image173.png"/><Relationship Id="rId3" Type="http://schemas.openxmlformats.org/officeDocument/2006/relationships/numbering" Target="numbering.xml"/><Relationship Id="rId214" Type="http://schemas.openxmlformats.org/officeDocument/2006/relationships/image" Target="media/image168.png"/><Relationship Id="rId230" Type="http://schemas.openxmlformats.org/officeDocument/2006/relationships/image" Target="media/image183.png"/><Relationship Id="rId235" Type="http://schemas.openxmlformats.org/officeDocument/2006/relationships/footer" Target="footer7.xml"/><Relationship Id="rId251" Type="http://schemas.openxmlformats.org/officeDocument/2006/relationships/image" Target="media/image193.emf"/><Relationship Id="rId256" Type="http://schemas.openxmlformats.org/officeDocument/2006/relationships/oleObject" Target="embeddings/oleObject12.bin"/><Relationship Id="rId277" Type="http://schemas.openxmlformats.org/officeDocument/2006/relationships/image" Target="media/image205.jpeg"/><Relationship Id="rId25" Type="http://schemas.openxmlformats.org/officeDocument/2006/relationships/image" Target="media/image17.emf"/><Relationship Id="rId46" Type="http://schemas.openxmlformats.org/officeDocument/2006/relationships/hyperlink" Target="http://support.microsoft.com/kb/973904" TargetMode="External"/><Relationship Id="rId67" Type="http://schemas.openxmlformats.org/officeDocument/2006/relationships/image" Target="media/image48.png"/><Relationship Id="rId116" Type="http://schemas.openxmlformats.org/officeDocument/2006/relationships/image" Target="media/image80.png"/><Relationship Id="rId137" Type="http://schemas.openxmlformats.org/officeDocument/2006/relationships/image" Target="media/image96.png"/><Relationship Id="rId158" Type="http://schemas.openxmlformats.org/officeDocument/2006/relationships/image" Target="media/image117.png"/><Relationship Id="rId272" Type="http://schemas.openxmlformats.org/officeDocument/2006/relationships/hyperlink" Target="http://vaww.oed.portal.va.gov/projects/vbecs/VBECS%20FAQs/Forms/AllItems.aspx" TargetMode="External"/><Relationship Id="rId20" Type="http://schemas.openxmlformats.org/officeDocument/2006/relationships/image" Target="media/image14.png"/><Relationship Id="rId41" Type="http://schemas.openxmlformats.org/officeDocument/2006/relationships/image" Target="media/image27.png"/><Relationship Id="rId62" Type="http://schemas.openxmlformats.org/officeDocument/2006/relationships/hyperlink" Target="http://vaww.oed.portal.va.gov/projects/vbecs/default.aspx" TargetMode="External"/><Relationship Id="rId83" Type="http://schemas.openxmlformats.org/officeDocument/2006/relationships/image" Target="media/image62.png"/><Relationship Id="rId88" Type="http://schemas.openxmlformats.org/officeDocument/2006/relationships/image" Target="media/image65.png"/><Relationship Id="rId111" Type="http://schemas.openxmlformats.org/officeDocument/2006/relationships/hyperlink" Target="#_Issue_Blood_Components"/><Relationship Id="rId132" Type="http://schemas.openxmlformats.org/officeDocument/2006/relationships/image" Target="media/image91.png"/><Relationship Id="rId153" Type="http://schemas.openxmlformats.org/officeDocument/2006/relationships/image" Target="media/image112.png"/><Relationship Id="rId174" Type="http://schemas.openxmlformats.org/officeDocument/2006/relationships/image" Target="media/image132.png"/><Relationship Id="rId179" Type="http://schemas.openxmlformats.org/officeDocument/2006/relationships/image" Target="media/image137.png"/><Relationship Id="rId195" Type="http://schemas.openxmlformats.org/officeDocument/2006/relationships/image" Target="media/image152.png"/><Relationship Id="rId209" Type="http://schemas.openxmlformats.org/officeDocument/2006/relationships/image" Target="media/image163.png"/><Relationship Id="rId190" Type="http://schemas.openxmlformats.org/officeDocument/2006/relationships/image" Target="media/image148.emf"/><Relationship Id="rId204" Type="http://schemas.openxmlformats.org/officeDocument/2006/relationships/image" Target="media/image158.png"/><Relationship Id="rId220" Type="http://schemas.openxmlformats.org/officeDocument/2006/relationships/image" Target="media/image174.png"/><Relationship Id="rId225" Type="http://schemas.openxmlformats.org/officeDocument/2006/relationships/image" Target="media/image179.jpeg"/><Relationship Id="rId241" Type="http://schemas.openxmlformats.org/officeDocument/2006/relationships/image" Target="media/image189.wmf"/><Relationship Id="rId246" Type="http://schemas.openxmlformats.org/officeDocument/2006/relationships/image" Target="media/image191.emf"/><Relationship Id="rId267" Type="http://schemas.openxmlformats.org/officeDocument/2006/relationships/image" Target="media/image200.emf"/><Relationship Id="rId288" Type="http://schemas.openxmlformats.org/officeDocument/2006/relationships/image" Target="media/image216.jpeg"/><Relationship Id="rId15" Type="http://schemas.openxmlformats.org/officeDocument/2006/relationships/image" Target="media/image9.png"/><Relationship Id="rId36" Type="http://schemas.openxmlformats.org/officeDocument/2006/relationships/image" Target="media/image22.png"/><Relationship Id="rId57" Type="http://schemas.openxmlformats.org/officeDocument/2006/relationships/image" Target="media/image40.png"/><Relationship Id="rId106" Type="http://schemas.openxmlformats.org/officeDocument/2006/relationships/image" Target="media/image74.png"/><Relationship Id="rId127" Type="http://schemas.openxmlformats.org/officeDocument/2006/relationships/image" Target="media/image86.png"/><Relationship Id="rId262" Type="http://schemas.openxmlformats.org/officeDocument/2006/relationships/image" Target="media/image198.emf"/><Relationship Id="rId283" Type="http://schemas.openxmlformats.org/officeDocument/2006/relationships/image" Target="media/image211.jpeg"/><Relationship Id="rId10" Type="http://schemas.openxmlformats.org/officeDocument/2006/relationships/image" Target="media/image8.jpeg"/><Relationship Id="rId31" Type="http://schemas.openxmlformats.org/officeDocument/2006/relationships/footer" Target="footer5.xml"/><Relationship Id="rId52" Type="http://schemas.openxmlformats.org/officeDocument/2006/relationships/image" Target="media/image36.png"/><Relationship Id="rId73" Type="http://schemas.openxmlformats.org/officeDocument/2006/relationships/image" Target="media/image54.png"/><Relationship Id="rId78" Type="http://schemas.openxmlformats.org/officeDocument/2006/relationships/image" Target="media/image58.emf"/><Relationship Id="rId94" Type="http://schemas.openxmlformats.org/officeDocument/2006/relationships/image" Target="media/image68.png"/><Relationship Id="rId99" Type="http://schemas.openxmlformats.org/officeDocument/2006/relationships/hyperlink" Target="#_Outgoing_Shipment"/><Relationship Id="rId101" Type="http://schemas.openxmlformats.org/officeDocument/2006/relationships/hyperlink" Target="#_Accept_Orders:_Accept"/><Relationship Id="rId122" Type="http://schemas.openxmlformats.org/officeDocument/2006/relationships/image" Target="media/image81.png"/><Relationship Id="rId143" Type="http://schemas.openxmlformats.org/officeDocument/2006/relationships/image" Target="media/image102.png"/><Relationship Id="rId148" Type="http://schemas.openxmlformats.org/officeDocument/2006/relationships/image" Target="media/image107.png"/><Relationship Id="rId164" Type="http://schemas.openxmlformats.org/officeDocument/2006/relationships/image" Target="media/image123.png"/><Relationship Id="rId169" Type="http://schemas.openxmlformats.org/officeDocument/2006/relationships/image" Target="media/image128.png"/><Relationship Id="rId185" Type="http://schemas.openxmlformats.org/officeDocument/2006/relationships/image" Target="media/image143.png"/><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image" Target="media/image138.png"/><Relationship Id="rId210" Type="http://schemas.openxmlformats.org/officeDocument/2006/relationships/image" Target="media/image164.png"/><Relationship Id="rId215" Type="http://schemas.openxmlformats.org/officeDocument/2006/relationships/image" Target="media/image169.png"/><Relationship Id="rId236" Type="http://schemas.openxmlformats.org/officeDocument/2006/relationships/footer" Target="footer8.xml"/><Relationship Id="rId257" Type="http://schemas.openxmlformats.org/officeDocument/2006/relationships/footer" Target="footer12.xml"/><Relationship Id="rId278" Type="http://schemas.openxmlformats.org/officeDocument/2006/relationships/image" Target="media/image206.jpeg"/><Relationship Id="rId26" Type="http://schemas.openxmlformats.org/officeDocument/2006/relationships/oleObject" Target="embeddings/oleObject1.bin"/><Relationship Id="rId231" Type="http://schemas.openxmlformats.org/officeDocument/2006/relationships/image" Target="media/image184.png"/><Relationship Id="rId252" Type="http://schemas.openxmlformats.org/officeDocument/2006/relationships/oleObject" Target="embeddings/oleObject10.bin"/><Relationship Id="rId273" Type="http://schemas.openxmlformats.org/officeDocument/2006/relationships/footer" Target="footer15.xml"/><Relationship Id="rId47" Type="http://schemas.openxmlformats.org/officeDocument/2006/relationships/image" Target="media/image32.png"/><Relationship Id="rId68" Type="http://schemas.openxmlformats.org/officeDocument/2006/relationships/image" Target="media/image49.png"/><Relationship Id="rId89" Type="http://schemas.openxmlformats.org/officeDocument/2006/relationships/hyperlink" Target="#_Enter_Daily_QC_Results"/><Relationship Id="rId112" Type="http://schemas.openxmlformats.org/officeDocument/2006/relationships/image" Target="media/image78.png"/><Relationship Id="rId133" Type="http://schemas.openxmlformats.org/officeDocument/2006/relationships/image" Target="media/image92.png"/><Relationship Id="rId154" Type="http://schemas.openxmlformats.org/officeDocument/2006/relationships/image" Target="media/image113.png"/><Relationship Id="rId175" Type="http://schemas.openxmlformats.org/officeDocument/2006/relationships/image" Target="media/image133.png"/><Relationship Id="rId196" Type="http://schemas.openxmlformats.org/officeDocument/2006/relationships/image" Target="media/image153.png"/><Relationship Id="rId200" Type="http://schemas.openxmlformats.org/officeDocument/2006/relationships/image" Target="cid:image003.png@01D09C8D.1B51ECA0" TargetMode="External"/><Relationship Id="rId16" Type="http://schemas.openxmlformats.org/officeDocument/2006/relationships/image" Target="media/image10.png"/><Relationship Id="rId221" Type="http://schemas.openxmlformats.org/officeDocument/2006/relationships/image" Target="media/image175.png"/><Relationship Id="rId242" Type="http://schemas.openxmlformats.org/officeDocument/2006/relationships/oleObject" Target="embeddings/oleObject6.bin"/><Relationship Id="rId263" Type="http://schemas.openxmlformats.org/officeDocument/2006/relationships/oleObject" Target="embeddings/oleObject15.bin"/><Relationship Id="rId284" Type="http://schemas.openxmlformats.org/officeDocument/2006/relationships/image" Target="media/image212.jpeg"/><Relationship Id="rId37" Type="http://schemas.openxmlformats.org/officeDocument/2006/relationships/image" Target="media/image23.png"/><Relationship Id="rId58" Type="http://schemas.openxmlformats.org/officeDocument/2006/relationships/image" Target="media/image41.png"/><Relationship Id="rId79" Type="http://schemas.openxmlformats.org/officeDocument/2006/relationships/image" Target="media/image59.emf"/><Relationship Id="rId102" Type="http://schemas.openxmlformats.org/officeDocument/2006/relationships/image" Target="media/image72.png"/><Relationship Id="rId123" Type="http://schemas.openxmlformats.org/officeDocument/2006/relationships/image" Target="media/image82.png"/><Relationship Id="rId144" Type="http://schemas.openxmlformats.org/officeDocument/2006/relationships/image" Target="media/image103.png"/><Relationship Id="rId90" Type="http://schemas.openxmlformats.org/officeDocument/2006/relationships/image" Target="media/image66.png"/><Relationship Id="rId165" Type="http://schemas.openxmlformats.org/officeDocument/2006/relationships/image" Target="media/image124.png"/><Relationship Id="rId186" Type="http://schemas.openxmlformats.org/officeDocument/2006/relationships/image" Target="media/image144.png"/><Relationship Id="rId211" Type="http://schemas.openxmlformats.org/officeDocument/2006/relationships/image" Target="media/image165.png"/><Relationship Id="rId232" Type="http://schemas.openxmlformats.org/officeDocument/2006/relationships/image" Target="media/image185.png"/><Relationship Id="rId253" Type="http://schemas.openxmlformats.org/officeDocument/2006/relationships/image" Target="media/image194.emf"/><Relationship Id="rId274" Type="http://schemas.openxmlformats.org/officeDocument/2006/relationships/image" Target="media/image202.png"/><Relationship Id="rId27" Type="http://schemas.openxmlformats.org/officeDocument/2006/relationships/hyperlink" Target="http://vaww.aac.va.gov/servicedesk/" TargetMode="External"/><Relationship Id="rId48" Type="http://schemas.openxmlformats.org/officeDocument/2006/relationships/image" Target="media/image33.png"/><Relationship Id="rId69" Type="http://schemas.openxmlformats.org/officeDocument/2006/relationships/image" Target="media/image50.png"/><Relationship Id="rId113" Type="http://schemas.openxmlformats.org/officeDocument/2006/relationships/hyperlink" Target="#_Post-Transfusion_Information"/><Relationship Id="rId134" Type="http://schemas.openxmlformats.org/officeDocument/2006/relationships/image" Target="media/image93.png"/><Relationship Id="rId80" Type="http://schemas.openxmlformats.org/officeDocument/2006/relationships/image" Target="media/image60.emf"/><Relationship Id="rId155" Type="http://schemas.openxmlformats.org/officeDocument/2006/relationships/image" Target="media/image114.png"/><Relationship Id="rId176" Type="http://schemas.openxmlformats.org/officeDocument/2006/relationships/image" Target="media/image134.png"/><Relationship Id="rId197" Type="http://schemas.openxmlformats.org/officeDocument/2006/relationships/image" Target="cid:image002.png@01D09C8D.1B51ECA0" TargetMode="External"/><Relationship Id="rId201" Type="http://schemas.openxmlformats.org/officeDocument/2006/relationships/image" Target="media/image155.png"/><Relationship Id="rId222" Type="http://schemas.openxmlformats.org/officeDocument/2006/relationships/image" Target="media/image176.png"/><Relationship Id="rId243" Type="http://schemas.openxmlformats.org/officeDocument/2006/relationships/footer" Target="footer11.xml"/><Relationship Id="rId264" Type="http://schemas.openxmlformats.org/officeDocument/2006/relationships/footer" Target="footer13.xml"/><Relationship Id="rId285" Type="http://schemas.openxmlformats.org/officeDocument/2006/relationships/image" Target="media/image213.jpeg"/><Relationship Id="rId17" Type="http://schemas.openxmlformats.org/officeDocument/2006/relationships/image" Target="media/image11.png"/><Relationship Id="rId38" Type="http://schemas.openxmlformats.org/officeDocument/2006/relationships/image" Target="media/image24.png"/><Relationship Id="rId59" Type="http://schemas.openxmlformats.org/officeDocument/2006/relationships/image" Target="media/image42.png"/><Relationship Id="rId103" Type="http://schemas.openxmlformats.org/officeDocument/2006/relationships/hyperlink" Target="#_Maintain_Specimen_1"/><Relationship Id="rId124" Type="http://schemas.openxmlformats.org/officeDocument/2006/relationships/image" Target="media/image83.png"/><Relationship Id="rId70" Type="http://schemas.openxmlformats.org/officeDocument/2006/relationships/image" Target="media/image51.png"/><Relationship Id="rId91" Type="http://schemas.openxmlformats.org/officeDocument/2006/relationships/hyperlink" Target="#_Incoming_Shipment"/><Relationship Id="rId145" Type="http://schemas.openxmlformats.org/officeDocument/2006/relationships/image" Target="media/image104.png"/><Relationship Id="rId166" Type="http://schemas.openxmlformats.org/officeDocument/2006/relationships/image" Target="media/image125.png"/><Relationship Id="rId187" Type="http://schemas.openxmlformats.org/officeDocument/2006/relationships/image" Target="media/image145.png"/><Relationship Id="rId1" Type="http://schemas.microsoft.com/office/2006/relationships/keyMapCustomizations" Target="customizations.xml"/><Relationship Id="rId212" Type="http://schemas.openxmlformats.org/officeDocument/2006/relationships/image" Target="media/image166.png"/><Relationship Id="rId233" Type="http://schemas.openxmlformats.org/officeDocument/2006/relationships/image" Target="media/image186.png"/><Relationship Id="rId254" Type="http://schemas.openxmlformats.org/officeDocument/2006/relationships/oleObject" Target="embeddings/oleObject11.bin"/><Relationship Id="rId28" Type="http://schemas.openxmlformats.org/officeDocument/2006/relationships/hyperlink" Target="mailto:NSDTuscaloosaUSD@va.gov" TargetMode="External"/><Relationship Id="rId49" Type="http://schemas.openxmlformats.org/officeDocument/2006/relationships/image" Target="media/image34.png"/><Relationship Id="rId114" Type="http://schemas.openxmlformats.org/officeDocument/2006/relationships/image" Target="media/image79.png"/><Relationship Id="rId275" Type="http://schemas.openxmlformats.org/officeDocument/2006/relationships/image" Target="media/image203.jpeg"/><Relationship Id="rId60" Type="http://schemas.openxmlformats.org/officeDocument/2006/relationships/image" Target="media/image43.png"/><Relationship Id="rId81" Type="http://schemas.openxmlformats.org/officeDocument/2006/relationships/oleObject" Target="embeddings/oleObject3.bin"/><Relationship Id="rId135" Type="http://schemas.openxmlformats.org/officeDocument/2006/relationships/image" Target="media/image94.png"/><Relationship Id="rId156" Type="http://schemas.openxmlformats.org/officeDocument/2006/relationships/image" Target="media/image115.png"/><Relationship Id="rId177" Type="http://schemas.openxmlformats.org/officeDocument/2006/relationships/image" Target="media/image135.png"/><Relationship Id="rId198" Type="http://schemas.openxmlformats.org/officeDocument/2006/relationships/header" Target="header4.xml"/><Relationship Id="rId202" Type="http://schemas.openxmlformats.org/officeDocument/2006/relationships/image" Target="media/image156.png"/><Relationship Id="rId223" Type="http://schemas.openxmlformats.org/officeDocument/2006/relationships/image" Target="media/image177.png"/><Relationship Id="rId244" Type="http://schemas.openxmlformats.org/officeDocument/2006/relationships/image" Target="media/image190.emf"/><Relationship Id="rId18" Type="http://schemas.openxmlformats.org/officeDocument/2006/relationships/image" Target="media/image12.png"/><Relationship Id="rId39" Type="http://schemas.openxmlformats.org/officeDocument/2006/relationships/image" Target="media/image25.png"/><Relationship Id="rId265" Type="http://schemas.openxmlformats.org/officeDocument/2006/relationships/image" Target="media/image199.emf"/><Relationship Id="rId286" Type="http://schemas.openxmlformats.org/officeDocument/2006/relationships/image" Target="media/image214.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5E8E57-C124-4E15-BEB7-800C84C35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541</Pages>
  <Words>125953</Words>
  <Characters>759498</Characters>
  <Application>Microsoft Office Word</Application>
  <DocSecurity>0</DocSecurity>
  <Lines>29211</Lines>
  <Paragraphs>17709</Paragraphs>
  <ScaleCrop>false</ScaleCrop>
  <HeadingPairs>
    <vt:vector size="2" baseType="variant">
      <vt:variant>
        <vt:lpstr>Title</vt:lpstr>
      </vt:variant>
      <vt:variant>
        <vt:i4>1</vt:i4>
      </vt:variant>
    </vt:vector>
  </HeadingPairs>
  <TitlesOfParts>
    <vt:vector size="1" baseType="lpstr">
      <vt:lpstr>VBECS user guide</vt:lpstr>
    </vt:vector>
  </TitlesOfParts>
  <Company>Veteran Affairs</Company>
  <LinksUpToDate>false</LinksUpToDate>
  <CharactersWithSpaces>867742</CharactersWithSpaces>
  <SharedDoc>false</SharedDoc>
  <HLinks>
    <vt:vector size="1614" baseType="variant">
      <vt:variant>
        <vt:i4>4128827</vt:i4>
      </vt:variant>
      <vt:variant>
        <vt:i4>3166</vt:i4>
      </vt:variant>
      <vt:variant>
        <vt:i4>0</vt:i4>
      </vt:variant>
      <vt:variant>
        <vt:i4>5</vt:i4>
      </vt:variant>
      <vt:variant>
        <vt:lpwstr>http://vaww.oed.portal.va.gov/projects/vbecs/VBECS FAQs/Forms/AllItems.aspx</vt:lpwstr>
      </vt:variant>
      <vt:variant>
        <vt:lpwstr/>
      </vt:variant>
      <vt:variant>
        <vt:i4>7798830</vt:i4>
      </vt:variant>
      <vt:variant>
        <vt:i4>1794</vt:i4>
      </vt:variant>
      <vt:variant>
        <vt:i4>0</vt:i4>
      </vt:variant>
      <vt:variant>
        <vt:i4>5</vt:i4>
      </vt:variant>
      <vt:variant>
        <vt:lpwstr/>
      </vt:variant>
      <vt:variant>
        <vt:lpwstr>_Blood_Availability_UC_49</vt:lpwstr>
      </vt:variant>
      <vt:variant>
        <vt:i4>2097264</vt:i4>
      </vt:variant>
      <vt:variant>
        <vt:i4>1791</vt:i4>
      </vt:variant>
      <vt:variant>
        <vt:i4>0</vt:i4>
      </vt:variant>
      <vt:variant>
        <vt:i4>5</vt:i4>
      </vt:variant>
      <vt:variant>
        <vt:lpwstr/>
      </vt:variant>
      <vt:variant>
        <vt:lpwstr>_Patient_Information_Toolbar:_Transf</vt:lpwstr>
      </vt:variant>
      <vt:variant>
        <vt:i4>2031670</vt:i4>
      </vt:variant>
      <vt:variant>
        <vt:i4>1788</vt:i4>
      </vt:variant>
      <vt:variant>
        <vt:i4>0</vt:i4>
      </vt:variant>
      <vt:variant>
        <vt:i4>5</vt:i4>
      </vt:variant>
      <vt:variant>
        <vt:lpwstr/>
      </vt:variant>
      <vt:variant>
        <vt:lpwstr>_Patient_Information_Toolbar:_Recent_1</vt:lpwstr>
      </vt:variant>
      <vt:variant>
        <vt:i4>327763</vt:i4>
      </vt:variant>
      <vt:variant>
        <vt:i4>1785</vt:i4>
      </vt:variant>
      <vt:variant>
        <vt:i4>0</vt:i4>
      </vt:variant>
      <vt:variant>
        <vt:i4>5</vt:i4>
      </vt:variant>
      <vt:variant>
        <vt:lpwstr/>
      </vt:variant>
      <vt:variant>
        <vt:lpwstr>_View_Special_Instructions_and Trans</vt:lpwstr>
      </vt:variant>
      <vt:variant>
        <vt:i4>3014761</vt:i4>
      </vt:variant>
      <vt:variant>
        <vt:i4>1782</vt:i4>
      </vt:variant>
      <vt:variant>
        <vt:i4>0</vt:i4>
      </vt:variant>
      <vt:variant>
        <vt:i4>5</vt:i4>
      </vt:variant>
      <vt:variant>
        <vt:lpwstr/>
      </vt:variant>
      <vt:variant>
        <vt:lpwstr>_Patient_Information_Toolbar:_Recent</vt:lpwstr>
      </vt:variant>
      <vt:variant>
        <vt:i4>6160396</vt:i4>
      </vt:variant>
      <vt:variant>
        <vt:i4>1779</vt:i4>
      </vt:variant>
      <vt:variant>
        <vt:i4>0</vt:i4>
      </vt:variant>
      <vt:variant>
        <vt:i4>5</vt:i4>
      </vt:variant>
      <vt:variant>
        <vt:lpwstr/>
      </vt:variant>
      <vt:variant>
        <vt:lpwstr>_Medication_Profile_UC_46</vt:lpwstr>
      </vt:variant>
      <vt:variant>
        <vt:i4>7798830</vt:i4>
      </vt:variant>
      <vt:variant>
        <vt:i4>1776</vt:i4>
      </vt:variant>
      <vt:variant>
        <vt:i4>0</vt:i4>
      </vt:variant>
      <vt:variant>
        <vt:i4>5</vt:i4>
      </vt:variant>
      <vt:variant>
        <vt:lpwstr/>
      </vt:variant>
      <vt:variant>
        <vt:lpwstr>_Blood_Availability_UC_49</vt:lpwstr>
      </vt:variant>
      <vt:variant>
        <vt:i4>6291493</vt:i4>
      </vt:variant>
      <vt:variant>
        <vt:i4>1773</vt:i4>
      </vt:variant>
      <vt:variant>
        <vt:i4>0</vt:i4>
      </vt:variant>
      <vt:variant>
        <vt:i4>5</vt:i4>
      </vt:variant>
      <vt:variant>
        <vt:lpwstr/>
      </vt:variant>
      <vt:variant>
        <vt:lpwstr>_Post-Transfusion_Information</vt:lpwstr>
      </vt:variant>
      <vt:variant>
        <vt:i4>6684741</vt:i4>
      </vt:variant>
      <vt:variant>
        <vt:i4>1770</vt:i4>
      </vt:variant>
      <vt:variant>
        <vt:i4>0</vt:i4>
      </vt:variant>
      <vt:variant>
        <vt:i4>5</vt:i4>
      </vt:variant>
      <vt:variant>
        <vt:lpwstr/>
      </vt:variant>
      <vt:variant>
        <vt:lpwstr>_Issue_Blood_Components</vt:lpwstr>
      </vt:variant>
      <vt:variant>
        <vt:i4>6684740</vt:i4>
      </vt:variant>
      <vt:variant>
        <vt:i4>1767</vt:i4>
      </vt:variant>
      <vt:variant>
        <vt:i4>0</vt:i4>
      </vt:variant>
      <vt:variant>
        <vt:i4>5</vt:i4>
      </vt:variant>
      <vt:variant>
        <vt:lpwstr/>
      </vt:variant>
      <vt:variant>
        <vt:lpwstr>_Select_Units_1</vt:lpwstr>
      </vt:variant>
      <vt:variant>
        <vt:i4>1835039</vt:i4>
      </vt:variant>
      <vt:variant>
        <vt:i4>1764</vt:i4>
      </vt:variant>
      <vt:variant>
        <vt:i4>0</vt:i4>
      </vt:variant>
      <vt:variant>
        <vt:i4>5</vt:i4>
      </vt:variant>
      <vt:variant>
        <vt:lpwstr/>
      </vt:variant>
      <vt:variant>
        <vt:lpwstr>_Patient_Testing:_Record_1</vt:lpwstr>
      </vt:variant>
      <vt:variant>
        <vt:i4>6750234</vt:i4>
      </vt:variant>
      <vt:variant>
        <vt:i4>1761</vt:i4>
      </vt:variant>
      <vt:variant>
        <vt:i4>0</vt:i4>
      </vt:variant>
      <vt:variant>
        <vt:i4>5</vt:i4>
      </vt:variant>
      <vt:variant>
        <vt:lpwstr/>
      </vt:variant>
      <vt:variant>
        <vt:lpwstr>_Maintain_Specimen_1</vt:lpwstr>
      </vt:variant>
      <vt:variant>
        <vt:i4>6553628</vt:i4>
      </vt:variant>
      <vt:variant>
        <vt:i4>1758</vt:i4>
      </vt:variant>
      <vt:variant>
        <vt:i4>0</vt:i4>
      </vt:variant>
      <vt:variant>
        <vt:i4>5</vt:i4>
      </vt:variant>
      <vt:variant>
        <vt:lpwstr/>
      </vt:variant>
      <vt:variant>
        <vt:lpwstr>_Accept_Orders:_Accept</vt:lpwstr>
      </vt:variant>
      <vt:variant>
        <vt:i4>4980826</vt:i4>
      </vt:variant>
      <vt:variant>
        <vt:i4>1755</vt:i4>
      </vt:variant>
      <vt:variant>
        <vt:i4>0</vt:i4>
      </vt:variant>
      <vt:variant>
        <vt:i4>5</vt:i4>
      </vt:variant>
      <vt:variant>
        <vt:lpwstr/>
      </vt:variant>
      <vt:variant>
        <vt:lpwstr>_Outgoing_Shipment</vt:lpwstr>
      </vt:variant>
      <vt:variant>
        <vt:i4>589875</vt:i4>
      </vt:variant>
      <vt:variant>
        <vt:i4>1752</vt:i4>
      </vt:variant>
      <vt:variant>
        <vt:i4>0</vt:i4>
      </vt:variant>
      <vt:variant>
        <vt:i4>5</vt:i4>
      </vt:variant>
      <vt:variant>
        <vt:lpwstr/>
      </vt:variant>
      <vt:variant>
        <vt:lpwstr>_Unit_Antigen_Typing</vt:lpwstr>
      </vt:variant>
      <vt:variant>
        <vt:i4>2752572</vt:i4>
      </vt:variant>
      <vt:variant>
        <vt:i4>1749</vt:i4>
      </vt:variant>
      <vt:variant>
        <vt:i4>0</vt:i4>
      </vt:variant>
      <vt:variant>
        <vt:i4>5</vt:i4>
      </vt:variant>
      <vt:variant>
        <vt:lpwstr/>
      </vt:variant>
      <vt:variant>
        <vt:lpwstr>_Modify_Units</vt:lpwstr>
      </vt:variant>
      <vt:variant>
        <vt:i4>4063336</vt:i4>
      </vt:variant>
      <vt:variant>
        <vt:i4>1746</vt:i4>
      </vt:variant>
      <vt:variant>
        <vt:i4>0</vt:i4>
      </vt:variant>
      <vt:variant>
        <vt:i4>5</vt:i4>
      </vt:variant>
      <vt:variant>
        <vt:lpwstr/>
      </vt:variant>
      <vt:variant>
        <vt:lpwstr>_ABO/Rh_Confirmation</vt:lpwstr>
      </vt:variant>
      <vt:variant>
        <vt:i4>6225993</vt:i4>
      </vt:variant>
      <vt:variant>
        <vt:i4>1743</vt:i4>
      </vt:variant>
      <vt:variant>
        <vt:i4>0</vt:i4>
      </vt:variant>
      <vt:variant>
        <vt:i4>5</vt:i4>
      </vt:variant>
      <vt:variant>
        <vt:lpwstr/>
      </vt:variant>
      <vt:variant>
        <vt:lpwstr>_Incoming_Shipment</vt:lpwstr>
      </vt:variant>
      <vt:variant>
        <vt:i4>6094935</vt:i4>
      </vt:variant>
      <vt:variant>
        <vt:i4>1740</vt:i4>
      </vt:variant>
      <vt:variant>
        <vt:i4>0</vt:i4>
      </vt:variant>
      <vt:variant>
        <vt:i4>5</vt:i4>
      </vt:variant>
      <vt:variant>
        <vt:lpwstr/>
      </vt:variant>
      <vt:variant>
        <vt:lpwstr>_Enter_Daily_QC_Results</vt:lpwstr>
      </vt:variant>
      <vt:variant>
        <vt:i4>5111883</vt:i4>
      </vt:variant>
      <vt:variant>
        <vt:i4>1737</vt:i4>
      </vt:variant>
      <vt:variant>
        <vt:i4>0</vt:i4>
      </vt:variant>
      <vt:variant>
        <vt:i4>5</vt:i4>
      </vt:variant>
      <vt:variant>
        <vt:lpwstr/>
      </vt:variant>
      <vt:variant>
        <vt:lpwstr>_Log_In_Reagents,_Update Inventory, </vt:lpwstr>
      </vt:variant>
      <vt:variant>
        <vt:i4>5898259</vt:i4>
      </vt:variant>
      <vt:variant>
        <vt:i4>1605</vt:i4>
      </vt:variant>
      <vt:variant>
        <vt:i4>0</vt:i4>
      </vt:variant>
      <vt:variant>
        <vt:i4>5</vt:i4>
      </vt:variant>
      <vt:variant>
        <vt:lpwstr>http://vaww.oed.portal.va.gov/projects/vbecs/default.aspx</vt:lpwstr>
      </vt:variant>
      <vt:variant>
        <vt:lpwstr/>
      </vt:variant>
      <vt:variant>
        <vt:i4>6422641</vt:i4>
      </vt:variant>
      <vt:variant>
        <vt:i4>1602</vt:i4>
      </vt:variant>
      <vt:variant>
        <vt:i4>0</vt:i4>
      </vt:variant>
      <vt:variant>
        <vt:i4>5</vt:i4>
      </vt:variant>
      <vt:variant>
        <vt:lpwstr>http://www.va.gov/vdl/application.asp?appid=182</vt:lpwstr>
      </vt:variant>
      <vt:variant>
        <vt:lpwstr/>
      </vt:variant>
      <vt:variant>
        <vt:i4>3735656</vt:i4>
      </vt:variant>
      <vt:variant>
        <vt:i4>1527</vt:i4>
      </vt:variant>
      <vt:variant>
        <vt:i4>0</vt:i4>
      </vt:variant>
      <vt:variant>
        <vt:i4>5</vt:i4>
      </vt:variant>
      <vt:variant>
        <vt:lpwstr>http://support.microsoft.com/kb/973904</vt:lpwstr>
      </vt:variant>
      <vt:variant>
        <vt:lpwstr/>
      </vt:variant>
      <vt:variant>
        <vt:i4>6226021</vt:i4>
      </vt:variant>
      <vt:variant>
        <vt:i4>1437</vt:i4>
      </vt:variant>
      <vt:variant>
        <vt:i4>0</vt:i4>
      </vt:variant>
      <vt:variant>
        <vt:i4>5</vt:i4>
      </vt:variant>
      <vt:variant>
        <vt:lpwstr>mailto:NSDTuscaloosaUSD@va.gov</vt:lpwstr>
      </vt:variant>
      <vt:variant>
        <vt:lpwstr/>
      </vt:variant>
      <vt:variant>
        <vt:i4>3670114</vt:i4>
      </vt:variant>
      <vt:variant>
        <vt:i4>1434</vt:i4>
      </vt:variant>
      <vt:variant>
        <vt:i4>0</vt:i4>
      </vt:variant>
      <vt:variant>
        <vt:i4>5</vt:i4>
      </vt:variant>
      <vt:variant>
        <vt:lpwstr>http://vaww.aac.va.gov/servicedesk/</vt:lpwstr>
      </vt:variant>
      <vt:variant>
        <vt:lpwstr/>
      </vt:variant>
      <vt:variant>
        <vt:i4>1900592</vt:i4>
      </vt:variant>
      <vt:variant>
        <vt:i4>1416</vt:i4>
      </vt:variant>
      <vt:variant>
        <vt:i4>0</vt:i4>
      </vt:variant>
      <vt:variant>
        <vt:i4>5</vt:i4>
      </vt:variant>
      <vt:variant>
        <vt:lpwstr>http://www.foia.va.gov/FOIA_Offices.asp</vt:lpwstr>
      </vt:variant>
      <vt:variant>
        <vt:lpwstr/>
      </vt:variant>
      <vt:variant>
        <vt:i4>1966143</vt:i4>
      </vt:variant>
      <vt:variant>
        <vt:i4>1406</vt:i4>
      </vt:variant>
      <vt:variant>
        <vt:i4>0</vt:i4>
      </vt:variant>
      <vt:variant>
        <vt:i4>5</vt:i4>
      </vt:variant>
      <vt:variant>
        <vt:lpwstr/>
      </vt:variant>
      <vt:variant>
        <vt:lpwstr>_Toc459900251</vt:lpwstr>
      </vt:variant>
      <vt:variant>
        <vt:i4>1966143</vt:i4>
      </vt:variant>
      <vt:variant>
        <vt:i4>1400</vt:i4>
      </vt:variant>
      <vt:variant>
        <vt:i4>0</vt:i4>
      </vt:variant>
      <vt:variant>
        <vt:i4>5</vt:i4>
      </vt:variant>
      <vt:variant>
        <vt:lpwstr/>
      </vt:variant>
      <vt:variant>
        <vt:lpwstr>_Toc459900250</vt:lpwstr>
      </vt:variant>
      <vt:variant>
        <vt:i4>2031679</vt:i4>
      </vt:variant>
      <vt:variant>
        <vt:i4>1394</vt:i4>
      </vt:variant>
      <vt:variant>
        <vt:i4>0</vt:i4>
      </vt:variant>
      <vt:variant>
        <vt:i4>5</vt:i4>
      </vt:variant>
      <vt:variant>
        <vt:lpwstr/>
      </vt:variant>
      <vt:variant>
        <vt:lpwstr>_Toc459900249</vt:lpwstr>
      </vt:variant>
      <vt:variant>
        <vt:i4>2031679</vt:i4>
      </vt:variant>
      <vt:variant>
        <vt:i4>1388</vt:i4>
      </vt:variant>
      <vt:variant>
        <vt:i4>0</vt:i4>
      </vt:variant>
      <vt:variant>
        <vt:i4>5</vt:i4>
      </vt:variant>
      <vt:variant>
        <vt:lpwstr/>
      </vt:variant>
      <vt:variant>
        <vt:lpwstr>_Toc459900248</vt:lpwstr>
      </vt:variant>
      <vt:variant>
        <vt:i4>2031679</vt:i4>
      </vt:variant>
      <vt:variant>
        <vt:i4>1382</vt:i4>
      </vt:variant>
      <vt:variant>
        <vt:i4>0</vt:i4>
      </vt:variant>
      <vt:variant>
        <vt:i4>5</vt:i4>
      </vt:variant>
      <vt:variant>
        <vt:lpwstr/>
      </vt:variant>
      <vt:variant>
        <vt:lpwstr>_Toc459900247</vt:lpwstr>
      </vt:variant>
      <vt:variant>
        <vt:i4>2031679</vt:i4>
      </vt:variant>
      <vt:variant>
        <vt:i4>1376</vt:i4>
      </vt:variant>
      <vt:variant>
        <vt:i4>0</vt:i4>
      </vt:variant>
      <vt:variant>
        <vt:i4>5</vt:i4>
      </vt:variant>
      <vt:variant>
        <vt:lpwstr/>
      </vt:variant>
      <vt:variant>
        <vt:lpwstr>_Toc459900246</vt:lpwstr>
      </vt:variant>
      <vt:variant>
        <vt:i4>2031679</vt:i4>
      </vt:variant>
      <vt:variant>
        <vt:i4>1370</vt:i4>
      </vt:variant>
      <vt:variant>
        <vt:i4>0</vt:i4>
      </vt:variant>
      <vt:variant>
        <vt:i4>5</vt:i4>
      </vt:variant>
      <vt:variant>
        <vt:lpwstr/>
      </vt:variant>
      <vt:variant>
        <vt:lpwstr>_Toc459900245</vt:lpwstr>
      </vt:variant>
      <vt:variant>
        <vt:i4>2031679</vt:i4>
      </vt:variant>
      <vt:variant>
        <vt:i4>1364</vt:i4>
      </vt:variant>
      <vt:variant>
        <vt:i4>0</vt:i4>
      </vt:variant>
      <vt:variant>
        <vt:i4>5</vt:i4>
      </vt:variant>
      <vt:variant>
        <vt:lpwstr/>
      </vt:variant>
      <vt:variant>
        <vt:lpwstr>_Toc459900244</vt:lpwstr>
      </vt:variant>
      <vt:variant>
        <vt:i4>2031679</vt:i4>
      </vt:variant>
      <vt:variant>
        <vt:i4>1358</vt:i4>
      </vt:variant>
      <vt:variant>
        <vt:i4>0</vt:i4>
      </vt:variant>
      <vt:variant>
        <vt:i4>5</vt:i4>
      </vt:variant>
      <vt:variant>
        <vt:lpwstr/>
      </vt:variant>
      <vt:variant>
        <vt:lpwstr>_Toc459900243</vt:lpwstr>
      </vt:variant>
      <vt:variant>
        <vt:i4>2031679</vt:i4>
      </vt:variant>
      <vt:variant>
        <vt:i4>1352</vt:i4>
      </vt:variant>
      <vt:variant>
        <vt:i4>0</vt:i4>
      </vt:variant>
      <vt:variant>
        <vt:i4>5</vt:i4>
      </vt:variant>
      <vt:variant>
        <vt:lpwstr/>
      </vt:variant>
      <vt:variant>
        <vt:lpwstr>_Toc459900242</vt:lpwstr>
      </vt:variant>
      <vt:variant>
        <vt:i4>2031679</vt:i4>
      </vt:variant>
      <vt:variant>
        <vt:i4>1346</vt:i4>
      </vt:variant>
      <vt:variant>
        <vt:i4>0</vt:i4>
      </vt:variant>
      <vt:variant>
        <vt:i4>5</vt:i4>
      </vt:variant>
      <vt:variant>
        <vt:lpwstr/>
      </vt:variant>
      <vt:variant>
        <vt:lpwstr>_Toc459900241</vt:lpwstr>
      </vt:variant>
      <vt:variant>
        <vt:i4>2031679</vt:i4>
      </vt:variant>
      <vt:variant>
        <vt:i4>1340</vt:i4>
      </vt:variant>
      <vt:variant>
        <vt:i4>0</vt:i4>
      </vt:variant>
      <vt:variant>
        <vt:i4>5</vt:i4>
      </vt:variant>
      <vt:variant>
        <vt:lpwstr/>
      </vt:variant>
      <vt:variant>
        <vt:lpwstr>_Toc459900240</vt:lpwstr>
      </vt:variant>
      <vt:variant>
        <vt:i4>1572927</vt:i4>
      </vt:variant>
      <vt:variant>
        <vt:i4>1334</vt:i4>
      </vt:variant>
      <vt:variant>
        <vt:i4>0</vt:i4>
      </vt:variant>
      <vt:variant>
        <vt:i4>5</vt:i4>
      </vt:variant>
      <vt:variant>
        <vt:lpwstr/>
      </vt:variant>
      <vt:variant>
        <vt:lpwstr>_Toc459900239</vt:lpwstr>
      </vt:variant>
      <vt:variant>
        <vt:i4>1572927</vt:i4>
      </vt:variant>
      <vt:variant>
        <vt:i4>1328</vt:i4>
      </vt:variant>
      <vt:variant>
        <vt:i4>0</vt:i4>
      </vt:variant>
      <vt:variant>
        <vt:i4>5</vt:i4>
      </vt:variant>
      <vt:variant>
        <vt:lpwstr/>
      </vt:variant>
      <vt:variant>
        <vt:lpwstr>_Toc459900238</vt:lpwstr>
      </vt:variant>
      <vt:variant>
        <vt:i4>1572927</vt:i4>
      </vt:variant>
      <vt:variant>
        <vt:i4>1322</vt:i4>
      </vt:variant>
      <vt:variant>
        <vt:i4>0</vt:i4>
      </vt:variant>
      <vt:variant>
        <vt:i4>5</vt:i4>
      </vt:variant>
      <vt:variant>
        <vt:lpwstr/>
      </vt:variant>
      <vt:variant>
        <vt:lpwstr>_Toc459900237</vt:lpwstr>
      </vt:variant>
      <vt:variant>
        <vt:i4>1572927</vt:i4>
      </vt:variant>
      <vt:variant>
        <vt:i4>1316</vt:i4>
      </vt:variant>
      <vt:variant>
        <vt:i4>0</vt:i4>
      </vt:variant>
      <vt:variant>
        <vt:i4>5</vt:i4>
      </vt:variant>
      <vt:variant>
        <vt:lpwstr/>
      </vt:variant>
      <vt:variant>
        <vt:lpwstr>_Toc459900236</vt:lpwstr>
      </vt:variant>
      <vt:variant>
        <vt:i4>1572927</vt:i4>
      </vt:variant>
      <vt:variant>
        <vt:i4>1310</vt:i4>
      </vt:variant>
      <vt:variant>
        <vt:i4>0</vt:i4>
      </vt:variant>
      <vt:variant>
        <vt:i4>5</vt:i4>
      </vt:variant>
      <vt:variant>
        <vt:lpwstr/>
      </vt:variant>
      <vt:variant>
        <vt:lpwstr>_Toc459900235</vt:lpwstr>
      </vt:variant>
      <vt:variant>
        <vt:i4>1572927</vt:i4>
      </vt:variant>
      <vt:variant>
        <vt:i4>1304</vt:i4>
      </vt:variant>
      <vt:variant>
        <vt:i4>0</vt:i4>
      </vt:variant>
      <vt:variant>
        <vt:i4>5</vt:i4>
      </vt:variant>
      <vt:variant>
        <vt:lpwstr/>
      </vt:variant>
      <vt:variant>
        <vt:lpwstr>_Toc459900234</vt:lpwstr>
      </vt:variant>
      <vt:variant>
        <vt:i4>1572927</vt:i4>
      </vt:variant>
      <vt:variant>
        <vt:i4>1298</vt:i4>
      </vt:variant>
      <vt:variant>
        <vt:i4>0</vt:i4>
      </vt:variant>
      <vt:variant>
        <vt:i4>5</vt:i4>
      </vt:variant>
      <vt:variant>
        <vt:lpwstr/>
      </vt:variant>
      <vt:variant>
        <vt:lpwstr>_Toc459900233</vt:lpwstr>
      </vt:variant>
      <vt:variant>
        <vt:i4>1572927</vt:i4>
      </vt:variant>
      <vt:variant>
        <vt:i4>1292</vt:i4>
      </vt:variant>
      <vt:variant>
        <vt:i4>0</vt:i4>
      </vt:variant>
      <vt:variant>
        <vt:i4>5</vt:i4>
      </vt:variant>
      <vt:variant>
        <vt:lpwstr/>
      </vt:variant>
      <vt:variant>
        <vt:lpwstr>_Toc459900232</vt:lpwstr>
      </vt:variant>
      <vt:variant>
        <vt:i4>1572927</vt:i4>
      </vt:variant>
      <vt:variant>
        <vt:i4>1286</vt:i4>
      </vt:variant>
      <vt:variant>
        <vt:i4>0</vt:i4>
      </vt:variant>
      <vt:variant>
        <vt:i4>5</vt:i4>
      </vt:variant>
      <vt:variant>
        <vt:lpwstr/>
      </vt:variant>
      <vt:variant>
        <vt:lpwstr>_Toc459900231</vt:lpwstr>
      </vt:variant>
      <vt:variant>
        <vt:i4>1572927</vt:i4>
      </vt:variant>
      <vt:variant>
        <vt:i4>1280</vt:i4>
      </vt:variant>
      <vt:variant>
        <vt:i4>0</vt:i4>
      </vt:variant>
      <vt:variant>
        <vt:i4>5</vt:i4>
      </vt:variant>
      <vt:variant>
        <vt:lpwstr/>
      </vt:variant>
      <vt:variant>
        <vt:lpwstr>_Toc459900230</vt:lpwstr>
      </vt:variant>
      <vt:variant>
        <vt:i4>1638463</vt:i4>
      </vt:variant>
      <vt:variant>
        <vt:i4>1274</vt:i4>
      </vt:variant>
      <vt:variant>
        <vt:i4>0</vt:i4>
      </vt:variant>
      <vt:variant>
        <vt:i4>5</vt:i4>
      </vt:variant>
      <vt:variant>
        <vt:lpwstr/>
      </vt:variant>
      <vt:variant>
        <vt:lpwstr>_Toc459900229</vt:lpwstr>
      </vt:variant>
      <vt:variant>
        <vt:i4>1638463</vt:i4>
      </vt:variant>
      <vt:variant>
        <vt:i4>1268</vt:i4>
      </vt:variant>
      <vt:variant>
        <vt:i4>0</vt:i4>
      </vt:variant>
      <vt:variant>
        <vt:i4>5</vt:i4>
      </vt:variant>
      <vt:variant>
        <vt:lpwstr/>
      </vt:variant>
      <vt:variant>
        <vt:lpwstr>_Toc459900228</vt:lpwstr>
      </vt:variant>
      <vt:variant>
        <vt:i4>1638463</vt:i4>
      </vt:variant>
      <vt:variant>
        <vt:i4>1262</vt:i4>
      </vt:variant>
      <vt:variant>
        <vt:i4>0</vt:i4>
      </vt:variant>
      <vt:variant>
        <vt:i4>5</vt:i4>
      </vt:variant>
      <vt:variant>
        <vt:lpwstr/>
      </vt:variant>
      <vt:variant>
        <vt:lpwstr>_Toc459900227</vt:lpwstr>
      </vt:variant>
      <vt:variant>
        <vt:i4>1638463</vt:i4>
      </vt:variant>
      <vt:variant>
        <vt:i4>1256</vt:i4>
      </vt:variant>
      <vt:variant>
        <vt:i4>0</vt:i4>
      </vt:variant>
      <vt:variant>
        <vt:i4>5</vt:i4>
      </vt:variant>
      <vt:variant>
        <vt:lpwstr/>
      </vt:variant>
      <vt:variant>
        <vt:lpwstr>_Toc459900226</vt:lpwstr>
      </vt:variant>
      <vt:variant>
        <vt:i4>1638463</vt:i4>
      </vt:variant>
      <vt:variant>
        <vt:i4>1250</vt:i4>
      </vt:variant>
      <vt:variant>
        <vt:i4>0</vt:i4>
      </vt:variant>
      <vt:variant>
        <vt:i4>5</vt:i4>
      </vt:variant>
      <vt:variant>
        <vt:lpwstr/>
      </vt:variant>
      <vt:variant>
        <vt:lpwstr>_Toc459900225</vt:lpwstr>
      </vt:variant>
      <vt:variant>
        <vt:i4>1638463</vt:i4>
      </vt:variant>
      <vt:variant>
        <vt:i4>1244</vt:i4>
      </vt:variant>
      <vt:variant>
        <vt:i4>0</vt:i4>
      </vt:variant>
      <vt:variant>
        <vt:i4>5</vt:i4>
      </vt:variant>
      <vt:variant>
        <vt:lpwstr/>
      </vt:variant>
      <vt:variant>
        <vt:lpwstr>_Toc459900224</vt:lpwstr>
      </vt:variant>
      <vt:variant>
        <vt:i4>1638463</vt:i4>
      </vt:variant>
      <vt:variant>
        <vt:i4>1238</vt:i4>
      </vt:variant>
      <vt:variant>
        <vt:i4>0</vt:i4>
      </vt:variant>
      <vt:variant>
        <vt:i4>5</vt:i4>
      </vt:variant>
      <vt:variant>
        <vt:lpwstr/>
      </vt:variant>
      <vt:variant>
        <vt:lpwstr>_Toc459900223</vt:lpwstr>
      </vt:variant>
      <vt:variant>
        <vt:i4>1638463</vt:i4>
      </vt:variant>
      <vt:variant>
        <vt:i4>1232</vt:i4>
      </vt:variant>
      <vt:variant>
        <vt:i4>0</vt:i4>
      </vt:variant>
      <vt:variant>
        <vt:i4>5</vt:i4>
      </vt:variant>
      <vt:variant>
        <vt:lpwstr/>
      </vt:variant>
      <vt:variant>
        <vt:lpwstr>_Toc459900222</vt:lpwstr>
      </vt:variant>
      <vt:variant>
        <vt:i4>1638463</vt:i4>
      </vt:variant>
      <vt:variant>
        <vt:i4>1226</vt:i4>
      </vt:variant>
      <vt:variant>
        <vt:i4>0</vt:i4>
      </vt:variant>
      <vt:variant>
        <vt:i4>5</vt:i4>
      </vt:variant>
      <vt:variant>
        <vt:lpwstr/>
      </vt:variant>
      <vt:variant>
        <vt:lpwstr>_Toc459900221</vt:lpwstr>
      </vt:variant>
      <vt:variant>
        <vt:i4>1638463</vt:i4>
      </vt:variant>
      <vt:variant>
        <vt:i4>1220</vt:i4>
      </vt:variant>
      <vt:variant>
        <vt:i4>0</vt:i4>
      </vt:variant>
      <vt:variant>
        <vt:i4>5</vt:i4>
      </vt:variant>
      <vt:variant>
        <vt:lpwstr/>
      </vt:variant>
      <vt:variant>
        <vt:lpwstr>_Toc459900220</vt:lpwstr>
      </vt:variant>
      <vt:variant>
        <vt:i4>1703999</vt:i4>
      </vt:variant>
      <vt:variant>
        <vt:i4>1214</vt:i4>
      </vt:variant>
      <vt:variant>
        <vt:i4>0</vt:i4>
      </vt:variant>
      <vt:variant>
        <vt:i4>5</vt:i4>
      </vt:variant>
      <vt:variant>
        <vt:lpwstr/>
      </vt:variant>
      <vt:variant>
        <vt:lpwstr>_Toc459900219</vt:lpwstr>
      </vt:variant>
      <vt:variant>
        <vt:i4>1703999</vt:i4>
      </vt:variant>
      <vt:variant>
        <vt:i4>1208</vt:i4>
      </vt:variant>
      <vt:variant>
        <vt:i4>0</vt:i4>
      </vt:variant>
      <vt:variant>
        <vt:i4>5</vt:i4>
      </vt:variant>
      <vt:variant>
        <vt:lpwstr/>
      </vt:variant>
      <vt:variant>
        <vt:lpwstr>_Toc459900218</vt:lpwstr>
      </vt:variant>
      <vt:variant>
        <vt:i4>1703999</vt:i4>
      </vt:variant>
      <vt:variant>
        <vt:i4>1202</vt:i4>
      </vt:variant>
      <vt:variant>
        <vt:i4>0</vt:i4>
      </vt:variant>
      <vt:variant>
        <vt:i4>5</vt:i4>
      </vt:variant>
      <vt:variant>
        <vt:lpwstr/>
      </vt:variant>
      <vt:variant>
        <vt:lpwstr>_Toc459900217</vt:lpwstr>
      </vt:variant>
      <vt:variant>
        <vt:i4>1703999</vt:i4>
      </vt:variant>
      <vt:variant>
        <vt:i4>1196</vt:i4>
      </vt:variant>
      <vt:variant>
        <vt:i4>0</vt:i4>
      </vt:variant>
      <vt:variant>
        <vt:i4>5</vt:i4>
      </vt:variant>
      <vt:variant>
        <vt:lpwstr/>
      </vt:variant>
      <vt:variant>
        <vt:lpwstr>_Toc459900216</vt:lpwstr>
      </vt:variant>
      <vt:variant>
        <vt:i4>1703999</vt:i4>
      </vt:variant>
      <vt:variant>
        <vt:i4>1190</vt:i4>
      </vt:variant>
      <vt:variant>
        <vt:i4>0</vt:i4>
      </vt:variant>
      <vt:variant>
        <vt:i4>5</vt:i4>
      </vt:variant>
      <vt:variant>
        <vt:lpwstr/>
      </vt:variant>
      <vt:variant>
        <vt:lpwstr>_Toc459900215</vt:lpwstr>
      </vt:variant>
      <vt:variant>
        <vt:i4>1703999</vt:i4>
      </vt:variant>
      <vt:variant>
        <vt:i4>1184</vt:i4>
      </vt:variant>
      <vt:variant>
        <vt:i4>0</vt:i4>
      </vt:variant>
      <vt:variant>
        <vt:i4>5</vt:i4>
      </vt:variant>
      <vt:variant>
        <vt:lpwstr/>
      </vt:variant>
      <vt:variant>
        <vt:lpwstr>_Toc459900214</vt:lpwstr>
      </vt:variant>
      <vt:variant>
        <vt:i4>1703999</vt:i4>
      </vt:variant>
      <vt:variant>
        <vt:i4>1178</vt:i4>
      </vt:variant>
      <vt:variant>
        <vt:i4>0</vt:i4>
      </vt:variant>
      <vt:variant>
        <vt:i4>5</vt:i4>
      </vt:variant>
      <vt:variant>
        <vt:lpwstr/>
      </vt:variant>
      <vt:variant>
        <vt:lpwstr>_Toc459900213</vt:lpwstr>
      </vt:variant>
      <vt:variant>
        <vt:i4>1703999</vt:i4>
      </vt:variant>
      <vt:variant>
        <vt:i4>1172</vt:i4>
      </vt:variant>
      <vt:variant>
        <vt:i4>0</vt:i4>
      </vt:variant>
      <vt:variant>
        <vt:i4>5</vt:i4>
      </vt:variant>
      <vt:variant>
        <vt:lpwstr/>
      </vt:variant>
      <vt:variant>
        <vt:lpwstr>_Toc459900212</vt:lpwstr>
      </vt:variant>
      <vt:variant>
        <vt:i4>1703999</vt:i4>
      </vt:variant>
      <vt:variant>
        <vt:i4>1166</vt:i4>
      </vt:variant>
      <vt:variant>
        <vt:i4>0</vt:i4>
      </vt:variant>
      <vt:variant>
        <vt:i4>5</vt:i4>
      </vt:variant>
      <vt:variant>
        <vt:lpwstr/>
      </vt:variant>
      <vt:variant>
        <vt:lpwstr>_Toc459900211</vt:lpwstr>
      </vt:variant>
      <vt:variant>
        <vt:i4>1703999</vt:i4>
      </vt:variant>
      <vt:variant>
        <vt:i4>1160</vt:i4>
      </vt:variant>
      <vt:variant>
        <vt:i4>0</vt:i4>
      </vt:variant>
      <vt:variant>
        <vt:i4>5</vt:i4>
      </vt:variant>
      <vt:variant>
        <vt:lpwstr/>
      </vt:variant>
      <vt:variant>
        <vt:lpwstr>_Toc459900210</vt:lpwstr>
      </vt:variant>
      <vt:variant>
        <vt:i4>1769535</vt:i4>
      </vt:variant>
      <vt:variant>
        <vt:i4>1154</vt:i4>
      </vt:variant>
      <vt:variant>
        <vt:i4>0</vt:i4>
      </vt:variant>
      <vt:variant>
        <vt:i4>5</vt:i4>
      </vt:variant>
      <vt:variant>
        <vt:lpwstr/>
      </vt:variant>
      <vt:variant>
        <vt:lpwstr>_Toc459900209</vt:lpwstr>
      </vt:variant>
      <vt:variant>
        <vt:i4>1769535</vt:i4>
      </vt:variant>
      <vt:variant>
        <vt:i4>1148</vt:i4>
      </vt:variant>
      <vt:variant>
        <vt:i4>0</vt:i4>
      </vt:variant>
      <vt:variant>
        <vt:i4>5</vt:i4>
      </vt:variant>
      <vt:variant>
        <vt:lpwstr/>
      </vt:variant>
      <vt:variant>
        <vt:lpwstr>_Toc459900208</vt:lpwstr>
      </vt:variant>
      <vt:variant>
        <vt:i4>1769535</vt:i4>
      </vt:variant>
      <vt:variant>
        <vt:i4>1142</vt:i4>
      </vt:variant>
      <vt:variant>
        <vt:i4>0</vt:i4>
      </vt:variant>
      <vt:variant>
        <vt:i4>5</vt:i4>
      </vt:variant>
      <vt:variant>
        <vt:lpwstr/>
      </vt:variant>
      <vt:variant>
        <vt:lpwstr>_Toc459900207</vt:lpwstr>
      </vt:variant>
      <vt:variant>
        <vt:i4>1769535</vt:i4>
      </vt:variant>
      <vt:variant>
        <vt:i4>1136</vt:i4>
      </vt:variant>
      <vt:variant>
        <vt:i4>0</vt:i4>
      </vt:variant>
      <vt:variant>
        <vt:i4>5</vt:i4>
      </vt:variant>
      <vt:variant>
        <vt:lpwstr/>
      </vt:variant>
      <vt:variant>
        <vt:lpwstr>_Toc459900206</vt:lpwstr>
      </vt:variant>
      <vt:variant>
        <vt:i4>1769535</vt:i4>
      </vt:variant>
      <vt:variant>
        <vt:i4>1130</vt:i4>
      </vt:variant>
      <vt:variant>
        <vt:i4>0</vt:i4>
      </vt:variant>
      <vt:variant>
        <vt:i4>5</vt:i4>
      </vt:variant>
      <vt:variant>
        <vt:lpwstr/>
      </vt:variant>
      <vt:variant>
        <vt:lpwstr>_Toc459900205</vt:lpwstr>
      </vt:variant>
      <vt:variant>
        <vt:i4>1769535</vt:i4>
      </vt:variant>
      <vt:variant>
        <vt:i4>1124</vt:i4>
      </vt:variant>
      <vt:variant>
        <vt:i4>0</vt:i4>
      </vt:variant>
      <vt:variant>
        <vt:i4>5</vt:i4>
      </vt:variant>
      <vt:variant>
        <vt:lpwstr/>
      </vt:variant>
      <vt:variant>
        <vt:lpwstr>_Toc459900204</vt:lpwstr>
      </vt:variant>
      <vt:variant>
        <vt:i4>1769535</vt:i4>
      </vt:variant>
      <vt:variant>
        <vt:i4>1118</vt:i4>
      </vt:variant>
      <vt:variant>
        <vt:i4>0</vt:i4>
      </vt:variant>
      <vt:variant>
        <vt:i4>5</vt:i4>
      </vt:variant>
      <vt:variant>
        <vt:lpwstr/>
      </vt:variant>
      <vt:variant>
        <vt:lpwstr>_Toc459900203</vt:lpwstr>
      </vt:variant>
      <vt:variant>
        <vt:i4>1769535</vt:i4>
      </vt:variant>
      <vt:variant>
        <vt:i4>1112</vt:i4>
      </vt:variant>
      <vt:variant>
        <vt:i4>0</vt:i4>
      </vt:variant>
      <vt:variant>
        <vt:i4>5</vt:i4>
      </vt:variant>
      <vt:variant>
        <vt:lpwstr/>
      </vt:variant>
      <vt:variant>
        <vt:lpwstr>_Toc459900202</vt:lpwstr>
      </vt:variant>
      <vt:variant>
        <vt:i4>1769535</vt:i4>
      </vt:variant>
      <vt:variant>
        <vt:i4>1106</vt:i4>
      </vt:variant>
      <vt:variant>
        <vt:i4>0</vt:i4>
      </vt:variant>
      <vt:variant>
        <vt:i4>5</vt:i4>
      </vt:variant>
      <vt:variant>
        <vt:lpwstr/>
      </vt:variant>
      <vt:variant>
        <vt:lpwstr>_Toc459900201</vt:lpwstr>
      </vt:variant>
      <vt:variant>
        <vt:i4>1769535</vt:i4>
      </vt:variant>
      <vt:variant>
        <vt:i4>1100</vt:i4>
      </vt:variant>
      <vt:variant>
        <vt:i4>0</vt:i4>
      </vt:variant>
      <vt:variant>
        <vt:i4>5</vt:i4>
      </vt:variant>
      <vt:variant>
        <vt:lpwstr/>
      </vt:variant>
      <vt:variant>
        <vt:lpwstr>_Toc459900200</vt:lpwstr>
      </vt:variant>
      <vt:variant>
        <vt:i4>1179708</vt:i4>
      </vt:variant>
      <vt:variant>
        <vt:i4>1094</vt:i4>
      </vt:variant>
      <vt:variant>
        <vt:i4>0</vt:i4>
      </vt:variant>
      <vt:variant>
        <vt:i4>5</vt:i4>
      </vt:variant>
      <vt:variant>
        <vt:lpwstr/>
      </vt:variant>
      <vt:variant>
        <vt:lpwstr>_Toc459900199</vt:lpwstr>
      </vt:variant>
      <vt:variant>
        <vt:i4>1179708</vt:i4>
      </vt:variant>
      <vt:variant>
        <vt:i4>1088</vt:i4>
      </vt:variant>
      <vt:variant>
        <vt:i4>0</vt:i4>
      </vt:variant>
      <vt:variant>
        <vt:i4>5</vt:i4>
      </vt:variant>
      <vt:variant>
        <vt:lpwstr/>
      </vt:variant>
      <vt:variant>
        <vt:lpwstr>_Toc459900198</vt:lpwstr>
      </vt:variant>
      <vt:variant>
        <vt:i4>1179708</vt:i4>
      </vt:variant>
      <vt:variant>
        <vt:i4>1082</vt:i4>
      </vt:variant>
      <vt:variant>
        <vt:i4>0</vt:i4>
      </vt:variant>
      <vt:variant>
        <vt:i4>5</vt:i4>
      </vt:variant>
      <vt:variant>
        <vt:lpwstr/>
      </vt:variant>
      <vt:variant>
        <vt:lpwstr>_Toc459900197</vt:lpwstr>
      </vt:variant>
      <vt:variant>
        <vt:i4>1179708</vt:i4>
      </vt:variant>
      <vt:variant>
        <vt:i4>1076</vt:i4>
      </vt:variant>
      <vt:variant>
        <vt:i4>0</vt:i4>
      </vt:variant>
      <vt:variant>
        <vt:i4>5</vt:i4>
      </vt:variant>
      <vt:variant>
        <vt:lpwstr/>
      </vt:variant>
      <vt:variant>
        <vt:lpwstr>_Toc459900196</vt:lpwstr>
      </vt:variant>
      <vt:variant>
        <vt:i4>1179708</vt:i4>
      </vt:variant>
      <vt:variant>
        <vt:i4>1070</vt:i4>
      </vt:variant>
      <vt:variant>
        <vt:i4>0</vt:i4>
      </vt:variant>
      <vt:variant>
        <vt:i4>5</vt:i4>
      </vt:variant>
      <vt:variant>
        <vt:lpwstr/>
      </vt:variant>
      <vt:variant>
        <vt:lpwstr>_Toc459900195</vt:lpwstr>
      </vt:variant>
      <vt:variant>
        <vt:i4>1179708</vt:i4>
      </vt:variant>
      <vt:variant>
        <vt:i4>1064</vt:i4>
      </vt:variant>
      <vt:variant>
        <vt:i4>0</vt:i4>
      </vt:variant>
      <vt:variant>
        <vt:i4>5</vt:i4>
      </vt:variant>
      <vt:variant>
        <vt:lpwstr/>
      </vt:variant>
      <vt:variant>
        <vt:lpwstr>_Toc459900194</vt:lpwstr>
      </vt:variant>
      <vt:variant>
        <vt:i4>1179708</vt:i4>
      </vt:variant>
      <vt:variant>
        <vt:i4>1058</vt:i4>
      </vt:variant>
      <vt:variant>
        <vt:i4>0</vt:i4>
      </vt:variant>
      <vt:variant>
        <vt:i4>5</vt:i4>
      </vt:variant>
      <vt:variant>
        <vt:lpwstr/>
      </vt:variant>
      <vt:variant>
        <vt:lpwstr>_Toc459900193</vt:lpwstr>
      </vt:variant>
      <vt:variant>
        <vt:i4>1179708</vt:i4>
      </vt:variant>
      <vt:variant>
        <vt:i4>1052</vt:i4>
      </vt:variant>
      <vt:variant>
        <vt:i4>0</vt:i4>
      </vt:variant>
      <vt:variant>
        <vt:i4>5</vt:i4>
      </vt:variant>
      <vt:variant>
        <vt:lpwstr/>
      </vt:variant>
      <vt:variant>
        <vt:lpwstr>_Toc459900192</vt:lpwstr>
      </vt:variant>
      <vt:variant>
        <vt:i4>1179708</vt:i4>
      </vt:variant>
      <vt:variant>
        <vt:i4>1046</vt:i4>
      </vt:variant>
      <vt:variant>
        <vt:i4>0</vt:i4>
      </vt:variant>
      <vt:variant>
        <vt:i4>5</vt:i4>
      </vt:variant>
      <vt:variant>
        <vt:lpwstr/>
      </vt:variant>
      <vt:variant>
        <vt:lpwstr>_Toc459900191</vt:lpwstr>
      </vt:variant>
      <vt:variant>
        <vt:i4>1179708</vt:i4>
      </vt:variant>
      <vt:variant>
        <vt:i4>1040</vt:i4>
      </vt:variant>
      <vt:variant>
        <vt:i4>0</vt:i4>
      </vt:variant>
      <vt:variant>
        <vt:i4>5</vt:i4>
      </vt:variant>
      <vt:variant>
        <vt:lpwstr/>
      </vt:variant>
      <vt:variant>
        <vt:lpwstr>_Toc459900190</vt:lpwstr>
      </vt:variant>
      <vt:variant>
        <vt:i4>1245244</vt:i4>
      </vt:variant>
      <vt:variant>
        <vt:i4>1034</vt:i4>
      </vt:variant>
      <vt:variant>
        <vt:i4>0</vt:i4>
      </vt:variant>
      <vt:variant>
        <vt:i4>5</vt:i4>
      </vt:variant>
      <vt:variant>
        <vt:lpwstr/>
      </vt:variant>
      <vt:variant>
        <vt:lpwstr>_Toc459900189</vt:lpwstr>
      </vt:variant>
      <vt:variant>
        <vt:i4>1245244</vt:i4>
      </vt:variant>
      <vt:variant>
        <vt:i4>1028</vt:i4>
      </vt:variant>
      <vt:variant>
        <vt:i4>0</vt:i4>
      </vt:variant>
      <vt:variant>
        <vt:i4>5</vt:i4>
      </vt:variant>
      <vt:variant>
        <vt:lpwstr/>
      </vt:variant>
      <vt:variant>
        <vt:lpwstr>_Toc459900188</vt:lpwstr>
      </vt:variant>
      <vt:variant>
        <vt:i4>1245244</vt:i4>
      </vt:variant>
      <vt:variant>
        <vt:i4>1022</vt:i4>
      </vt:variant>
      <vt:variant>
        <vt:i4>0</vt:i4>
      </vt:variant>
      <vt:variant>
        <vt:i4>5</vt:i4>
      </vt:variant>
      <vt:variant>
        <vt:lpwstr/>
      </vt:variant>
      <vt:variant>
        <vt:lpwstr>_Toc459900187</vt:lpwstr>
      </vt:variant>
      <vt:variant>
        <vt:i4>1245244</vt:i4>
      </vt:variant>
      <vt:variant>
        <vt:i4>1016</vt:i4>
      </vt:variant>
      <vt:variant>
        <vt:i4>0</vt:i4>
      </vt:variant>
      <vt:variant>
        <vt:i4>5</vt:i4>
      </vt:variant>
      <vt:variant>
        <vt:lpwstr/>
      </vt:variant>
      <vt:variant>
        <vt:lpwstr>_Toc459900186</vt:lpwstr>
      </vt:variant>
      <vt:variant>
        <vt:i4>1245244</vt:i4>
      </vt:variant>
      <vt:variant>
        <vt:i4>1010</vt:i4>
      </vt:variant>
      <vt:variant>
        <vt:i4>0</vt:i4>
      </vt:variant>
      <vt:variant>
        <vt:i4>5</vt:i4>
      </vt:variant>
      <vt:variant>
        <vt:lpwstr/>
      </vt:variant>
      <vt:variant>
        <vt:lpwstr>_Toc459900185</vt:lpwstr>
      </vt:variant>
      <vt:variant>
        <vt:i4>1245244</vt:i4>
      </vt:variant>
      <vt:variant>
        <vt:i4>1004</vt:i4>
      </vt:variant>
      <vt:variant>
        <vt:i4>0</vt:i4>
      </vt:variant>
      <vt:variant>
        <vt:i4>5</vt:i4>
      </vt:variant>
      <vt:variant>
        <vt:lpwstr/>
      </vt:variant>
      <vt:variant>
        <vt:lpwstr>_Toc459900184</vt:lpwstr>
      </vt:variant>
      <vt:variant>
        <vt:i4>1245244</vt:i4>
      </vt:variant>
      <vt:variant>
        <vt:i4>998</vt:i4>
      </vt:variant>
      <vt:variant>
        <vt:i4>0</vt:i4>
      </vt:variant>
      <vt:variant>
        <vt:i4>5</vt:i4>
      </vt:variant>
      <vt:variant>
        <vt:lpwstr/>
      </vt:variant>
      <vt:variant>
        <vt:lpwstr>_Toc459900183</vt:lpwstr>
      </vt:variant>
      <vt:variant>
        <vt:i4>1245244</vt:i4>
      </vt:variant>
      <vt:variant>
        <vt:i4>992</vt:i4>
      </vt:variant>
      <vt:variant>
        <vt:i4>0</vt:i4>
      </vt:variant>
      <vt:variant>
        <vt:i4>5</vt:i4>
      </vt:variant>
      <vt:variant>
        <vt:lpwstr/>
      </vt:variant>
      <vt:variant>
        <vt:lpwstr>_Toc459900182</vt:lpwstr>
      </vt:variant>
      <vt:variant>
        <vt:i4>1245244</vt:i4>
      </vt:variant>
      <vt:variant>
        <vt:i4>986</vt:i4>
      </vt:variant>
      <vt:variant>
        <vt:i4>0</vt:i4>
      </vt:variant>
      <vt:variant>
        <vt:i4>5</vt:i4>
      </vt:variant>
      <vt:variant>
        <vt:lpwstr/>
      </vt:variant>
      <vt:variant>
        <vt:lpwstr>_Toc459900181</vt:lpwstr>
      </vt:variant>
      <vt:variant>
        <vt:i4>1245244</vt:i4>
      </vt:variant>
      <vt:variant>
        <vt:i4>980</vt:i4>
      </vt:variant>
      <vt:variant>
        <vt:i4>0</vt:i4>
      </vt:variant>
      <vt:variant>
        <vt:i4>5</vt:i4>
      </vt:variant>
      <vt:variant>
        <vt:lpwstr/>
      </vt:variant>
      <vt:variant>
        <vt:lpwstr>_Toc459900180</vt:lpwstr>
      </vt:variant>
      <vt:variant>
        <vt:i4>1835068</vt:i4>
      </vt:variant>
      <vt:variant>
        <vt:i4>974</vt:i4>
      </vt:variant>
      <vt:variant>
        <vt:i4>0</vt:i4>
      </vt:variant>
      <vt:variant>
        <vt:i4>5</vt:i4>
      </vt:variant>
      <vt:variant>
        <vt:lpwstr/>
      </vt:variant>
      <vt:variant>
        <vt:lpwstr>_Toc459900179</vt:lpwstr>
      </vt:variant>
      <vt:variant>
        <vt:i4>1835068</vt:i4>
      </vt:variant>
      <vt:variant>
        <vt:i4>968</vt:i4>
      </vt:variant>
      <vt:variant>
        <vt:i4>0</vt:i4>
      </vt:variant>
      <vt:variant>
        <vt:i4>5</vt:i4>
      </vt:variant>
      <vt:variant>
        <vt:lpwstr/>
      </vt:variant>
      <vt:variant>
        <vt:lpwstr>_Toc459900178</vt:lpwstr>
      </vt:variant>
      <vt:variant>
        <vt:i4>1835068</vt:i4>
      </vt:variant>
      <vt:variant>
        <vt:i4>962</vt:i4>
      </vt:variant>
      <vt:variant>
        <vt:i4>0</vt:i4>
      </vt:variant>
      <vt:variant>
        <vt:i4>5</vt:i4>
      </vt:variant>
      <vt:variant>
        <vt:lpwstr/>
      </vt:variant>
      <vt:variant>
        <vt:lpwstr>_Toc459900177</vt:lpwstr>
      </vt:variant>
      <vt:variant>
        <vt:i4>1835068</vt:i4>
      </vt:variant>
      <vt:variant>
        <vt:i4>956</vt:i4>
      </vt:variant>
      <vt:variant>
        <vt:i4>0</vt:i4>
      </vt:variant>
      <vt:variant>
        <vt:i4>5</vt:i4>
      </vt:variant>
      <vt:variant>
        <vt:lpwstr/>
      </vt:variant>
      <vt:variant>
        <vt:lpwstr>_Toc459900176</vt:lpwstr>
      </vt:variant>
      <vt:variant>
        <vt:i4>1835068</vt:i4>
      </vt:variant>
      <vt:variant>
        <vt:i4>950</vt:i4>
      </vt:variant>
      <vt:variant>
        <vt:i4>0</vt:i4>
      </vt:variant>
      <vt:variant>
        <vt:i4>5</vt:i4>
      </vt:variant>
      <vt:variant>
        <vt:lpwstr/>
      </vt:variant>
      <vt:variant>
        <vt:lpwstr>_Toc459900175</vt:lpwstr>
      </vt:variant>
      <vt:variant>
        <vt:i4>1835068</vt:i4>
      </vt:variant>
      <vt:variant>
        <vt:i4>944</vt:i4>
      </vt:variant>
      <vt:variant>
        <vt:i4>0</vt:i4>
      </vt:variant>
      <vt:variant>
        <vt:i4>5</vt:i4>
      </vt:variant>
      <vt:variant>
        <vt:lpwstr/>
      </vt:variant>
      <vt:variant>
        <vt:lpwstr>_Toc459900174</vt:lpwstr>
      </vt:variant>
      <vt:variant>
        <vt:i4>1835068</vt:i4>
      </vt:variant>
      <vt:variant>
        <vt:i4>938</vt:i4>
      </vt:variant>
      <vt:variant>
        <vt:i4>0</vt:i4>
      </vt:variant>
      <vt:variant>
        <vt:i4>5</vt:i4>
      </vt:variant>
      <vt:variant>
        <vt:lpwstr/>
      </vt:variant>
      <vt:variant>
        <vt:lpwstr>_Toc459900173</vt:lpwstr>
      </vt:variant>
      <vt:variant>
        <vt:i4>1835068</vt:i4>
      </vt:variant>
      <vt:variant>
        <vt:i4>932</vt:i4>
      </vt:variant>
      <vt:variant>
        <vt:i4>0</vt:i4>
      </vt:variant>
      <vt:variant>
        <vt:i4>5</vt:i4>
      </vt:variant>
      <vt:variant>
        <vt:lpwstr/>
      </vt:variant>
      <vt:variant>
        <vt:lpwstr>_Toc459900172</vt:lpwstr>
      </vt:variant>
      <vt:variant>
        <vt:i4>1835068</vt:i4>
      </vt:variant>
      <vt:variant>
        <vt:i4>926</vt:i4>
      </vt:variant>
      <vt:variant>
        <vt:i4>0</vt:i4>
      </vt:variant>
      <vt:variant>
        <vt:i4>5</vt:i4>
      </vt:variant>
      <vt:variant>
        <vt:lpwstr/>
      </vt:variant>
      <vt:variant>
        <vt:lpwstr>_Toc459900171</vt:lpwstr>
      </vt:variant>
      <vt:variant>
        <vt:i4>1835068</vt:i4>
      </vt:variant>
      <vt:variant>
        <vt:i4>920</vt:i4>
      </vt:variant>
      <vt:variant>
        <vt:i4>0</vt:i4>
      </vt:variant>
      <vt:variant>
        <vt:i4>5</vt:i4>
      </vt:variant>
      <vt:variant>
        <vt:lpwstr/>
      </vt:variant>
      <vt:variant>
        <vt:lpwstr>_Toc459900170</vt:lpwstr>
      </vt:variant>
      <vt:variant>
        <vt:i4>1900604</vt:i4>
      </vt:variant>
      <vt:variant>
        <vt:i4>914</vt:i4>
      </vt:variant>
      <vt:variant>
        <vt:i4>0</vt:i4>
      </vt:variant>
      <vt:variant>
        <vt:i4>5</vt:i4>
      </vt:variant>
      <vt:variant>
        <vt:lpwstr/>
      </vt:variant>
      <vt:variant>
        <vt:lpwstr>_Toc459900169</vt:lpwstr>
      </vt:variant>
      <vt:variant>
        <vt:i4>1900604</vt:i4>
      </vt:variant>
      <vt:variant>
        <vt:i4>908</vt:i4>
      </vt:variant>
      <vt:variant>
        <vt:i4>0</vt:i4>
      </vt:variant>
      <vt:variant>
        <vt:i4>5</vt:i4>
      </vt:variant>
      <vt:variant>
        <vt:lpwstr/>
      </vt:variant>
      <vt:variant>
        <vt:lpwstr>_Toc459900168</vt:lpwstr>
      </vt:variant>
      <vt:variant>
        <vt:i4>1900604</vt:i4>
      </vt:variant>
      <vt:variant>
        <vt:i4>902</vt:i4>
      </vt:variant>
      <vt:variant>
        <vt:i4>0</vt:i4>
      </vt:variant>
      <vt:variant>
        <vt:i4>5</vt:i4>
      </vt:variant>
      <vt:variant>
        <vt:lpwstr/>
      </vt:variant>
      <vt:variant>
        <vt:lpwstr>_Toc459900167</vt:lpwstr>
      </vt:variant>
      <vt:variant>
        <vt:i4>1900604</vt:i4>
      </vt:variant>
      <vt:variant>
        <vt:i4>896</vt:i4>
      </vt:variant>
      <vt:variant>
        <vt:i4>0</vt:i4>
      </vt:variant>
      <vt:variant>
        <vt:i4>5</vt:i4>
      </vt:variant>
      <vt:variant>
        <vt:lpwstr/>
      </vt:variant>
      <vt:variant>
        <vt:lpwstr>_Toc459900166</vt:lpwstr>
      </vt:variant>
      <vt:variant>
        <vt:i4>1900604</vt:i4>
      </vt:variant>
      <vt:variant>
        <vt:i4>890</vt:i4>
      </vt:variant>
      <vt:variant>
        <vt:i4>0</vt:i4>
      </vt:variant>
      <vt:variant>
        <vt:i4>5</vt:i4>
      </vt:variant>
      <vt:variant>
        <vt:lpwstr/>
      </vt:variant>
      <vt:variant>
        <vt:lpwstr>_Toc459900165</vt:lpwstr>
      </vt:variant>
      <vt:variant>
        <vt:i4>1900604</vt:i4>
      </vt:variant>
      <vt:variant>
        <vt:i4>884</vt:i4>
      </vt:variant>
      <vt:variant>
        <vt:i4>0</vt:i4>
      </vt:variant>
      <vt:variant>
        <vt:i4>5</vt:i4>
      </vt:variant>
      <vt:variant>
        <vt:lpwstr/>
      </vt:variant>
      <vt:variant>
        <vt:lpwstr>_Toc459900164</vt:lpwstr>
      </vt:variant>
      <vt:variant>
        <vt:i4>1900604</vt:i4>
      </vt:variant>
      <vt:variant>
        <vt:i4>878</vt:i4>
      </vt:variant>
      <vt:variant>
        <vt:i4>0</vt:i4>
      </vt:variant>
      <vt:variant>
        <vt:i4>5</vt:i4>
      </vt:variant>
      <vt:variant>
        <vt:lpwstr/>
      </vt:variant>
      <vt:variant>
        <vt:lpwstr>_Toc459900163</vt:lpwstr>
      </vt:variant>
      <vt:variant>
        <vt:i4>1900604</vt:i4>
      </vt:variant>
      <vt:variant>
        <vt:i4>872</vt:i4>
      </vt:variant>
      <vt:variant>
        <vt:i4>0</vt:i4>
      </vt:variant>
      <vt:variant>
        <vt:i4>5</vt:i4>
      </vt:variant>
      <vt:variant>
        <vt:lpwstr/>
      </vt:variant>
      <vt:variant>
        <vt:lpwstr>_Toc459900162</vt:lpwstr>
      </vt:variant>
      <vt:variant>
        <vt:i4>1900604</vt:i4>
      </vt:variant>
      <vt:variant>
        <vt:i4>866</vt:i4>
      </vt:variant>
      <vt:variant>
        <vt:i4>0</vt:i4>
      </vt:variant>
      <vt:variant>
        <vt:i4>5</vt:i4>
      </vt:variant>
      <vt:variant>
        <vt:lpwstr/>
      </vt:variant>
      <vt:variant>
        <vt:lpwstr>_Toc459900161</vt:lpwstr>
      </vt:variant>
      <vt:variant>
        <vt:i4>1900604</vt:i4>
      </vt:variant>
      <vt:variant>
        <vt:i4>860</vt:i4>
      </vt:variant>
      <vt:variant>
        <vt:i4>0</vt:i4>
      </vt:variant>
      <vt:variant>
        <vt:i4>5</vt:i4>
      </vt:variant>
      <vt:variant>
        <vt:lpwstr/>
      </vt:variant>
      <vt:variant>
        <vt:lpwstr>_Toc459900160</vt:lpwstr>
      </vt:variant>
      <vt:variant>
        <vt:i4>1966140</vt:i4>
      </vt:variant>
      <vt:variant>
        <vt:i4>854</vt:i4>
      </vt:variant>
      <vt:variant>
        <vt:i4>0</vt:i4>
      </vt:variant>
      <vt:variant>
        <vt:i4>5</vt:i4>
      </vt:variant>
      <vt:variant>
        <vt:lpwstr/>
      </vt:variant>
      <vt:variant>
        <vt:lpwstr>_Toc459900159</vt:lpwstr>
      </vt:variant>
      <vt:variant>
        <vt:i4>1966140</vt:i4>
      </vt:variant>
      <vt:variant>
        <vt:i4>848</vt:i4>
      </vt:variant>
      <vt:variant>
        <vt:i4>0</vt:i4>
      </vt:variant>
      <vt:variant>
        <vt:i4>5</vt:i4>
      </vt:variant>
      <vt:variant>
        <vt:lpwstr/>
      </vt:variant>
      <vt:variant>
        <vt:lpwstr>_Toc459900158</vt:lpwstr>
      </vt:variant>
      <vt:variant>
        <vt:i4>1966140</vt:i4>
      </vt:variant>
      <vt:variant>
        <vt:i4>842</vt:i4>
      </vt:variant>
      <vt:variant>
        <vt:i4>0</vt:i4>
      </vt:variant>
      <vt:variant>
        <vt:i4>5</vt:i4>
      </vt:variant>
      <vt:variant>
        <vt:lpwstr/>
      </vt:variant>
      <vt:variant>
        <vt:lpwstr>_Toc459900157</vt:lpwstr>
      </vt:variant>
      <vt:variant>
        <vt:i4>1966140</vt:i4>
      </vt:variant>
      <vt:variant>
        <vt:i4>836</vt:i4>
      </vt:variant>
      <vt:variant>
        <vt:i4>0</vt:i4>
      </vt:variant>
      <vt:variant>
        <vt:i4>5</vt:i4>
      </vt:variant>
      <vt:variant>
        <vt:lpwstr/>
      </vt:variant>
      <vt:variant>
        <vt:lpwstr>_Toc459900156</vt:lpwstr>
      </vt:variant>
      <vt:variant>
        <vt:i4>1966140</vt:i4>
      </vt:variant>
      <vt:variant>
        <vt:i4>830</vt:i4>
      </vt:variant>
      <vt:variant>
        <vt:i4>0</vt:i4>
      </vt:variant>
      <vt:variant>
        <vt:i4>5</vt:i4>
      </vt:variant>
      <vt:variant>
        <vt:lpwstr/>
      </vt:variant>
      <vt:variant>
        <vt:lpwstr>_Toc459900155</vt:lpwstr>
      </vt:variant>
      <vt:variant>
        <vt:i4>1966140</vt:i4>
      </vt:variant>
      <vt:variant>
        <vt:i4>824</vt:i4>
      </vt:variant>
      <vt:variant>
        <vt:i4>0</vt:i4>
      </vt:variant>
      <vt:variant>
        <vt:i4>5</vt:i4>
      </vt:variant>
      <vt:variant>
        <vt:lpwstr/>
      </vt:variant>
      <vt:variant>
        <vt:lpwstr>_Toc459900154</vt:lpwstr>
      </vt:variant>
      <vt:variant>
        <vt:i4>1966140</vt:i4>
      </vt:variant>
      <vt:variant>
        <vt:i4>818</vt:i4>
      </vt:variant>
      <vt:variant>
        <vt:i4>0</vt:i4>
      </vt:variant>
      <vt:variant>
        <vt:i4>5</vt:i4>
      </vt:variant>
      <vt:variant>
        <vt:lpwstr/>
      </vt:variant>
      <vt:variant>
        <vt:lpwstr>_Toc459900153</vt:lpwstr>
      </vt:variant>
      <vt:variant>
        <vt:i4>1966140</vt:i4>
      </vt:variant>
      <vt:variant>
        <vt:i4>812</vt:i4>
      </vt:variant>
      <vt:variant>
        <vt:i4>0</vt:i4>
      </vt:variant>
      <vt:variant>
        <vt:i4>5</vt:i4>
      </vt:variant>
      <vt:variant>
        <vt:lpwstr/>
      </vt:variant>
      <vt:variant>
        <vt:lpwstr>_Toc459900152</vt:lpwstr>
      </vt:variant>
      <vt:variant>
        <vt:i4>1966140</vt:i4>
      </vt:variant>
      <vt:variant>
        <vt:i4>806</vt:i4>
      </vt:variant>
      <vt:variant>
        <vt:i4>0</vt:i4>
      </vt:variant>
      <vt:variant>
        <vt:i4>5</vt:i4>
      </vt:variant>
      <vt:variant>
        <vt:lpwstr/>
      </vt:variant>
      <vt:variant>
        <vt:lpwstr>_Toc459900151</vt:lpwstr>
      </vt:variant>
      <vt:variant>
        <vt:i4>1966140</vt:i4>
      </vt:variant>
      <vt:variant>
        <vt:i4>800</vt:i4>
      </vt:variant>
      <vt:variant>
        <vt:i4>0</vt:i4>
      </vt:variant>
      <vt:variant>
        <vt:i4>5</vt:i4>
      </vt:variant>
      <vt:variant>
        <vt:lpwstr/>
      </vt:variant>
      <vt:variant>
        <vt:lpwstr>_Toc459900150</vt:lpwstr>
      </vt:variant>
      <vt:variant>
        <vt:i4>2031676</vt:i4>
      </vt:variant>
      <vt:variant>
        <vt:i4>794</vt:i4>
      </vt:variant>
      <vt:variant>
        <vt:i4>0</vt:i4>
      </vt:variant>
      <vt:variant>
        <vt:i4>5</vt:i4>
      </vt:variant>
      <vt:variant>
        <vt:lpwstr/>
      </vt:variant>
      <vt:variant>
        <vt:lpwstr>_Toc459900149</vt:lpwstr>
      </vt:variant>
      <vt:variant>
        <vt:i4>2031676</vt:i4>
      </vt:variant>
      <vt:variant>
        <vt:i4>788</vt:i4>
      </vt:variant>
      <vt:variant>
        <vt:i4>0</vt:i4>
      </vt:variant>
      <vt:variant>
        <vt:i4>5</vt:i4>
      </vt:variant>
      <vt:variant>
        <vt:lpwstr/>
      </vt:variant>
      <vt:variant>
        <vt:lpwstr>_Toc459900148</vt:lpwstr>
      </vt:variant>
      <vt:variant>
        <vt:i4>2031676</vt:i4>
      </vt:variant>
      <vt:variant>
        <vt:i4>782</vt:i4>
      </vt:variant>
      <vt:variant>
        <vt:i4>0</vt:i4>
      </vt:variant>
      <vt:variant>
        <vt:i4>5</vt:i4>
      </vt:variant>
      <vt:variant>
        <vt:lpwstr/>
      </vt:variant>
      <vt:variant>
        <vt:lpwstr>_Toc459900147</vt:lpwstr>
      </vt:variant>
      <vt:variant>
        <vt:i4>2031676</vt:i4>
      </vt:variant>
      <vt:variant>
        <vt:i4>776</vt:i4>
      </vt:variant>
      <vt:variant>
        <vt:i4>0</vt:i4>
      </vt:variant>
      <vt:variant>
        <vt:i4>5</vt:i4>
      </vt:variant>
      <vt:variant>
        <vt:lpwstr/>
      </vt:variant>
      <vt:variant>
        <vt:lpwstr>_Toc459900146</vt:lpwstr>
      </vt:variant>
      <vt:variant>
        <vt:i4>2031676</vt:i4>
      </vt:variant>
      <vt:variant>
        <vt:i4>770</vt:i4>
      </vt:variant>
      <vt:variant>
        <vt:i4>0</vt:i4>
      </vt:variant>
      <vt:variant>
        <vt:i4>5</vt:i4>
      </vt:variant>
      <vt:variant>
        <vt:lpwstr/>
      </vt:variant>
      <vt:variant>
        <vt:lpwstr>_Toc459900145</vt:lpwstr>
      </vt:variant>
      <vt:variant>
        <vt:i4>2031676</vt:i4>
      </vt:variant>
      <vt:variant>
        <vt:i4>764</vt:i4>
      </vt:variant>
      <vt:variant>
        <vt:i4>0</vt:i4>
      </vt:variant>
      <vt:variant>
        <vt:i4>5</vt:i4>
      </vt:variant>
      <vt:variant>
        <vt:lpwstr/>
      </vt:variant>
      <vt:variant>
        <vt:lpwstr>_Toc459900144</vt:lpwstr>
      </vt:variant>
      <vt:variant>
        <vt:i4>2031676</vt:i4>
      </vt:variant>
      <vt:variant>
        <vt:i4>758</vt:i4>
      </vt:variant>
      <vt:variant>
        <vt:i4>0</vt:i4>
      </vt:variant>
      <vt:variant>
        <vt:i4>5</vt:i4>
      </vt:variant>
      <vt:variant>
        <vt:lpwstr/>
      </vt:variant>
      <vt:variant>
        <vt:lpwstr>_Toc459900143</vt:lpwstr>
      </vt:variant>
      <vt:variant>
        <vt:i4>2031676</vt:i4>
      </vt:variant>
      <vt:variant>
        <vt:i4>752</vt:i4>
      </vt:variant>
      <vt:variant>
        <vt:i4>0</vt:i4>
      </vt:variant>
      <vt:variant>
        <vt:i4>5</vt:i4>
      </vt:variant>
      <vt:variant>
        <vt:lpwstr/>
      </vt:variant>
      <vt:variant>
        <vt:lpwstr>_Toc459900142</vt:lpwstr>
      </vt:variant>
      <vt:variant>
        <vt:i4>2031676</vt:i4>
      </vt:variant>
      <vt:variant>
        <vt:i4>746</vt:i4>
      </vt:variant>
      <vt:variant>
        <vt:i4>0</vt:i4>
      </vt:variant>
      <vt:variant>
        <vt:i4>5</vt:i4>
      </vt:variant>
      <vt:variant>
        <vt:lpwstr/>
      </vt:variant>
      <vt:variant>
        <vt:lpwstr>_Toc459900141</vt:lpwstr>
      </vt:variant>
      <vt:variant>
        <vt:i4>2031676</vt:i4>
      </vt:variant>
      <vt:variant>
        <vt:i4>740</vt:i4>
      </vt:variant>
      <vt:variant>
        <vt:i4>0</vt:i4>
      </vt:variant>
      <vt:variant>
        <vt:i4>5</vt:i4>
      </vt:variant>
      <vt:variant>
        <vt:lpwstr/>
      </vt:variant>
      <vt:variant>
        <vt:lpwstr>_Toc459900140</vt:lpwstr>
      </vt:variant>
      <vt:variant>
        <vt:i4>1572924</vt:i4>
      </vt:variant>
      <vt:variant>
        <vt:i4>734</vt:i4>
      </vt:variant>
      <vt:variant>
        <vt:i4>0</vt:i4>
      </vt:variant>
      <vt:variant>
        <vt:i4>5</vt:i4>
      </vt:variant>
      <vt:variant>
        <vt:lpwstr/>
      </vt:variant>
      <vt:variant>
        <vt:lpwstr>_Toc459900139</vt:lpwstr>
      </vt:variant>
      <vt:variant>
        <vt:i4>1572924</vt:i4>
      </vt:variant>
      <vt:variant>
        <vt:i4>728</vt:i4>
      </vt:variant>
      <vt:variant>
        <vt:i4>0</vt:i4>
      </vt:variant>
      <vt:variant>
        <vt:i4>5</vt:i4>
      </vt:variant>
      <vt:variant>
        <vt:lpwstr/>
      </vt:variant>
      <vt:variant>
        <vt:lpwstr>_Toc459900138</vt:lpwstr>
      </vt:variant>
      <vt:variant>
        <vt:i4>1572924</vt:i4>
      </vt:variant>
      <vt:variant>
        <vt:i4>722</vt:i4>
      </vt:variant>
      <vt:variant>
        <vt:i4>0</vt:i4>
      </vt:variant>
      <vt:variant>
        <vt:i4>5</vt:i4>
      </vt:variant>
      <vt:variant>
        <vt:lpwstr/>
      </vt:variant>
      <vt:variant>
        <vt:lpwstr>_Toc459900137</vt:lpwstr>
      </vt:variant>
      <vt:variant>
        <vt:i4>1572924</vt:i4>
      </vt:variant>
      <vt:variant>
        <vt:i4>716</vt:i4>
      </vt:variant>
      <vt:variant>
        <vt:i4>0</vt:i4>
      </vt:variant>
      <vt:variant>
        <vt:i4>5</vt:i4>
      </vt:variant>
      <vt:variant>
        <vt:lpwstr/>
      </vt:variant>
      <vt:variant>
        <vt:lpwstr>_Toc459900136</vt:lpwstr>
      </vt:variant>
      <vt:variant>
        <vt:i4>1572924</vt:i4>
      </vt:variant>
      <vt:variant>
        <vt:i4>710</vt:i4>
      </vt:variant>
      <vt:variant>
        <vt:i4>0</vt:i4>
      </vt:variant>
      <vt:variant>
        <vt:i4>5</vt:i4>
      </vt:variant>
      <vt:variant>
        <vt:lpwstr/>
      </vt:variant>
      <vt:variant>
        <vt:lpwstr>_Toc459900135</vt:lpwstr>
      </vt:variant>
      <vt:variant>
        <vt:i4>1572924</vt:i4>
      </vt:variant>
      <vt:variant>
        <vt:i4>704</vt:i4>
      </vt:variant>
      <vt:variant>
        <vt:i4>0</vt:i4>
      </vt:variant>
      <vt:variant>
        <vt:i4>5</vt:i4>
      </vt:variant>
      <vt:variant>
        <vt:lpwstr/>
      </vt:variant>
      <vt:variant>
        <vt:lpwstr>_Toc459900134</vt:lpwstr>
      </vt:variant>
      <vt:variant>
        <vt:i4>1572924</vt:i4>
      </vt:variant>
      <vt:variant>
        <vt:i4>698</vt:i4>
      </vt:variant>
      <vt:variant>
        <vt:i4>0</vt:i4>
      </vt:variant>
      <vt:variant>
        <vt:i4>5</vt:i4>
      </vt:variant>
      <vt:variant>
        <vt:lpwstr/>
      </vt:variant>
      <vt:variant>
        <vt:lpwstr>_Toc459900133</vt:lpwstr>
      </vt:variant>
      <vt:variant>
        <vt:i4>1572924</vt:i4>
      </vt:variant>
      <vt:variant>
        <vt:i4>692</vt:i4>
      </vt:variant>
      <vt:variant>
        <vt:i4>0</vt:i4>
      </vt:variant>
      <vt:variant>
        <vt:i4>5</vt:i4>
      </vt:variant>
      <vt:variant>
        <vt:lpwstr/>
      </vt:variant>
      <vt:variant>
        <vt:lpwstr>_Toc459900132</vt:lpwstr>
      </vt:variant>
      <vt:variant>
        <vt:i4>1572924</vt:i4>
      </vt:variant>
      <vt:variant>
        <vt:i4>686</vt:i4>
      </vt:variant>
      <vt:variant>
        <vt:i4>0</vt:i4>
      </vt:variant>
      <vt:variant>
        <vt:i4>5</vt:i4>
      </vt:variant>
      <vt:variant>
        <vt:lpwstr/>
      </vt:variant>
      <vt:variant>
        <vt:lpwstr>_Toc459900131</vt:lpwstr>
      </vt:variant>
      <vt:variant>
        <vt:i4>1572924</vt:i4>
      </vt:variant>
      <vt:variant>
        <vt:i4>680</vt:i4>
      </vt:variant>
      <vt:variant>
        <vt:i4>0</vt:i4>
      </vt:variant>
      <vt:variant>
        <vt:i4>5</vt:i4>
      </vt:variant>
      <vt:variant>
        <vt:lpwstr/>
      </vt:variant>
      <vt:variant>
        <vt:lpwstr>_Toc459900130</vt:lpwstr>
      </vt:variant>
      <vt:variant>
        <vt:i4>1638460</vt:i4>
      </vt:variant>
      <vt:variant>
        <vt:i4>674</vt:i4>
      </vt:variant>
      <vt:variant>
        <vt:i4>0</vt:i4>
      </vt:variant>
      <vt:variant>
        <vt:i4>5</vt:i4>
      </vt:variant>
      <vt:variant>
        <vt:lpwstr/>
      </vt:variant>
      <vt:variant>
        <vt:lpwstr>_Toc459900129</vt:lpwstr>
      </vt:variant>
      <vt:variant>
        <vt:i4>1638460</vt:i4>
      </vt:variant>
      <vt:variant>
        <vt:i4>668</vt:i4>
      </vt:variant>
      <vt:variant>
        <vt:i4>0</vt:i4>
      </vt:variant>
      <vt:variant>
        <vt:i4>5</vt:i4>
      </vt:variant>
      <vt:variant>
        <vt:lpwstr/>
      </vt:variant>
      <vt:variant>
        <vt:lpwstr>_Toc459900128</vt:lpwstr>
      </vt:variant>
      <vt:variant>
        <vt:i4>1638460</vt:i4>
      </vt:variant>
      <vt:variant>
        <vt:i4>662</vt:i4>
      </vt:variant>
      <vt:variant>
        <vt:i4>0</vt:i4>
      </vt:variant>
      <vt:variant>
        <vt:i4>5</vt:i4>
      </vt:variant>
      <vt:variant>
        <vt:lpwstr/>
      </vt:variant>
      <vt:variant>
        <vt:lpwstr>_Toc459900127</vt:lpwstr>
      </vt:variant>
      <vt:variant>
        <vt:i4>1638460</vt:i4>
      </vt:variant>
      <vt:variant>
        <vt:i4>656</vt:i4>
      </vt:variant>
      <vt:variant>
        <vt:i4>0</vt:i4>
      </vt:variant>
      <vt:variant>
        <vt:i4>5</vt:i4>
      </vt:variant>
      <vt:variant>
        <vt:lpwstr/>
      </vt:variant>
      <vt:variant>
        <vt:lpwstr>_Toc459900126</vt:lpwstr>
      </vt:variant>
      <vt:variant>
        <vt:i4>1638460</vt:i4>
      </vt:variant>
      <vt:variant>
        <vt:i4>650</vt:i4>
      </vt:variant>
      <vt:variant>
        <vt:i4>0</vt:i4>
      </vt:variant>
      <vt:variant>
        <vt:i4>5</vt:i4>
      </vt:variant>
      <vt:variant>
        <vt:lpwstr/>
      </vt:variant>
      <vt:variant>
        <vt:lpwstr>_Toc459900125</vt:lpwstr>
      </vt:variant>
      <vt:variant>
        <vt:i4>1638460</vt:i4>
      </vt:variant>
      <vt:variant>
        <vt:i4>644</vt:i4>
      </vt:variant>
      <vt:variant>
        <vt:i4>0</vt:i4>
      </vt:variant>
      <vt:variant>
        <vt:i4>5</vt:i4>
      </vt:variant>
      <vt:variant>
        <vt:lpwstr/>
      </vt:variant>
      <vt:variant>
        <vt:lpwstr>_Toc459900124</vt:lpwstr>
      </vt:variant>
      <vt:variant>
        <vt:i4>1638460</vt:i4>
      </vt:variant>
      <vt:variant>
        <vt:i4>638</vt:i4>
      </vt:variant>
      <vt:variant>
        <vt:i4>0</vt:i4>
      </vt:variant>
      <vt:variant>
        <vt:i4>5</vt:i4>
      </vt:variant>
      <vt:variant>
        <vt:lpwstr/>
      </vt:variant>
      <vt:variant>
        <vt:lpwstr>_Toc459900123</vt:lpwstr>
      </vt:variant>
      <vt:variant>
        <vt:i4>1638460</vt:i4>
      </vt:variant>
      <vt:variant>
        <vt:i4>632</vt:i4>
      </vt:variant>
      <vt:variant>
        <vt:i4>0</vt:i4>
      </vt:variant>
      <vt:variant>
        <vt:i4>5</vt:i4>
      </vt:variant>
      <vt:variant>
        <vt:lpwstr/>
      </vt:variant>
      <vt:variant>
        <vt:lpwstr>_Toc459900122</vt:lpwstr>
      </vt:variant>
      <vt:variant>
        <vt:i4>1638460</vt:i4>
      </vt:variant>
      <vt:variant>
        <vt:i4>626</vt:i4>
      </vt:variant>
      <vt:variant>
        <vt:i4>0</vt:i4>
      </vt:variant>
      <vt:variant>
        <vt:i4>5</vt:i4>
      </vt:variant>
      <vt:variant>
        <vt:lpwstr/>
      </vt:variant>
      <vt:variant>
        <vt:lpwstr>_Toc459900121</vt:lpwstr>
      </vt:variant>
      <vt:variant>
        <vt:i4>1638460</vt:i4>
      </vt:variant>
      <vt:variant>
        <vt:i4>620</vt:i4>
      </vt:variant>
      <vt:variant>
        <vt:i4>0</vt:i4>
      </vt:variant>
      <vt:variant>
        <vt:i4>5</vt:i4>
      </vt:variant>
      <vt:variant>
        <vt:lpwstr/>
      </vt:variant>
      <vt:variant>
        <vt:lpwstr>_Toc459900120</vt:lpwstr>
      </vt:variant>
      <vt:variant>
        <vt:i4>1703996</vt:i4>
      </vt:variant>
      <vt:variant>
        <vt:i4>614</vt:i4>
      </vt:variant>
      <vt:variant>
        <vt:i4>0</vt:i4>
      </vt:variant>
      <vt:variant>
        <vt:i4>5</vt:i4>
      </vt:variant>
      <vt:variant>
        <vt:lpwstr/>
      </vt:variant>
      <vt:variant>
        <vt:lpwstr>_Toc459900119</vt:lpwstr>
      </vt:variant>
      <vt:variant>
        <vt:i4>1703996</vt:i4>
      </vt:variant>
      <vt:variant>
        <vt:i4>608</vt:i4>
      </vt:variant>
      <vt:variant>
        <vt:i4>0</vt:i4>
      </vt:variant>
      <vt:variant>
        <vt:i4>5</vt:i4>
      </vt:variant>
      <vt:variant>
        <vt:lpwstr/>
      </vt:variant>
      <vt:variant>
        <vt:lpwstr>_Toc459900118</vt:lpwstr>
      </vt:variant>
      <vt:variant>
        <vt:i4>1703996</vt:i4>
      </vt:variant>
      <vt:variant>
        <vt:i4>602</vt:i4>
      </vt:variant>
      <vt:variant>
        <vt:i4>0</vt:i4>
      </vt:variant>
      <vt:variant>
        <vt:i4>5</vt:i4>
      </vt:variant>
      <vt:variant>
        <vt:lpwstr/>
      </vt:variant>
      <vt:variant>
        <vt:lpwstr>_Toc459900117</vt:lpwstr>
      </vt:variant>
      <vt:variant>
        <vt:i4>1703996</vt:i4>
      </vt:variant>
      <vt:variant>
        <vt:i4>596</vt:i4>
      </vt:variant>
      <vt:variant>
        <vt:i4>0</vt:i4>
      </vt:variant>
      <vt:variant>
        <vt:i4>5</vt:i4>
      </vt:variant>
      <vt:variant>
        <vt:lpwstr/>
      </vt:variant>
      <vt:variant>
        <vt:lpwstr>_Toc459900116</vt:lpwstr>
      </vt:variant>
      <vt:variant>
        <vt:i4>1703996</vt:i4>
      </vt:variant>
      <vt:variant>
        <vt:i4>590</vt:i4>
      </vt:variant>
      <vt:variant>
        <vt:i4>0</vt:i4>
      </vt:variant>
      <vt:variant>
        <vt:i4>5</vt:i4>
      </vt:variant>
      <vt:variant>
        <vt:lpwstr/>
      </vt:variant>
      <vt:variant>
        <vt:lpwstr>_Toc459900115</vt:lpwstr>
      </vt:variant>
      <vt:variant>
        <vt:i4>1703996</vt:i4>
      </vt:variant>
      <vt:variant>
        <vt:i4>584</vt:i4>
      </vt:variant>
      <vt:variant>
        <vt:i4>0</vt:i4>
      </vt:variant>
      <vt:variant>
        <vt:i4>5</vt:i4>
      </vt:variant>
      <vt:variant>
        <vt:lpwstr/>
      </vt:variant>
      <vt:variant>
        <vt:lpwstr>_Toc459900114</vt:lpwstr>
      </vt:variant>
      <vt:variant>
        <vt:i4>1703996</vt:i4>
      </vt:variant>
      <vt:variant>
        <vt:i4>578</vt:i4>
      </vt:variant>
      <vt:variant>
        <vt:i4>0</vt:i4>
      </vt:variant>
      <vt:variant>
        <vt:i4>5</vt:i4>
      </vt:variant>
      <vt:variant>
        <vt:lpwstr/>
      </vt:variant>
      <vt:variant>
        <vt:lpwstr>_Toc459900113</vt:lpwstr>
      </vt:variant>
      <vt:variant>
        <vt:i4>1703996</vt:i4>
      </vt:variant>
      <vt:variant>
        <vt:i4>572</vt:i4>
      </vt:variant>
      <vt:variant>
        <vt:i4>0</vt:i4>
      </vt:variant>
      <vt:variant>
        <vt:i4>5</vt:i4>
      </vt:variant>
      <vt:variant>
        <vt:lpwstr/>
      </vt:variant>
      <vt:variant>
        <vt:lpwstr>_Toc459900112</vt:lpwstr>
      </vt:variant>
      <vt:variant>
        <vt:i4>1703996</vt:i4>
      </vt:variant>
      <vt:variant>
        <vt:i4>566</vt:i4>
      </vt:variant>
      <vt:variant>
        <vt:i4>0</vt:i4>
      </vt:variant>
      <vt:variant>
        <vt:i4>5</vt:i4>
      </vt:variant>
      <vt:variant>
        <vt:lpwstr/>
      </vt:variant>
      <vt:variant>
        <vt:lpwstr>_Toc459900111</vt:lpwstr>
      </vt:variant>
      <vt:variant>
        <vt:i4>1703996</vt:i4>
      </vt:variant>
      <vt:variant>
        <vt:i4>560</vt:i4>
      </vt:variant>
      <vt:variant>
        <vt:i4>0</vt:i4>
      </vt:variant>
      <vt:variant>
        <vt:i4>5</vt:i4>
      </vt:variant>
      <vt:variant>
        <vt:lpwstr/>
      </vt:variant>
      <vt:variant>
        <vt:lpwstr>_Toc459900110</vt:lpwstr>
      </vt:variant>
      <vt:variant>
        <vt:i4>1769532</vt:i4>
      </vt:variant>
      <vt:variant>
        <vt:i4>554</vt:i4>
      </vt:variant>
      <vt:variant>
        <vt:i4>0</vt:i4>
      </vt:variant>
      <vt:variant>
        <vt:i4>5</vt:i4>
      </vt:variant>
      <vt:variant>
        <vt:lpwstr/>
      </vt:variant>
      <vt:variant>
        <vt:lpwstr>_Toc459900109</vt:lpwstr>
      </vt:variant>
      <vt:variant>
        <vt:i4>1769532</vt:i4>
      </vt:variant>
      <vt:variant>
        <vt:i4>548</vt:i4>
      </vt:variant>
      <vt:variant>
        <vt:i4>0</vt:i4>
      </vt:variant>
      <vt:variant>
        <vt:i4>5</vt:i4>
      </vt:variant>
      <vt:variant>
        <vt:lpwstr/>
      </vt:variant>
      <vt:variant>
        <vt:lpwstr>_Toc459900108</vt:lpwstr>
      </vt:variant>
      <vt:variant>
        <vt:i4>1769532</vt:i4>
      </vt:variant>
      <vt:variant>
        <vt:i4>542</vt:i4>
      </vt:variant>
      <vt:variant>
        <vt:i4>0</vt:i4>
      </vt:variant>
      <vt:variant>
        <vt:i4>5</vt:i4>
      </vt:variant>
      <vt:variant>
        <vt:lpwstr/>
      </vt:variant>
      <vt:variant>
        <vt:lpwstr>_Toc459900107</vt:lpwstr>
      </vt:variant>
      <vt:variant>
        <vt:i4>1769532</vt:i4>
      </vt:variant>
      <vt:variant>
        <vt:i4>536</vt:i4>
      </vt:variant>
      <vt:variant>
        <vt:i4>0</vt:i4>
      </vt:variant>
      <vt:variant>
        <vt:i4>5</vt:i4>
      </vt:variant>
      <vt:variant>
        <vt:lpwstr/>
      </vt:variant>
      <vt:variant>
        <vt:lpwstr>_Toc459900106</vt:lpwstr>
      </vt:variant>
      <vt:variant>
        <vt:i4>1769532</vt:i4>
      </vt:variant>
      <vt:variant>
        <vt:i4>530</vt:i4>
      </vt:variant>
      <vt:variant>
        <vt:i4>0</vt:i4>
      </vt:variant>
      <vt:variant>
        <vt:i4>5</vt:i4>
      </vt:variant>
      <vt:variant>
        <vt:lpwstr/>
      </vt:variant>
      <vt:variant>
        <vt:lpwstr>_Toc459900105</vt:lpwstr>
      </vt:variant>
      <vt:variant>
        <vt:i4>1769532</vt:i4>
      </vt:variant>
      <vt:variant>
        <vt:i4>524</vt:i4>
      </vt:variant>
      <vt:variant>
        <vt:i4>0</vt:i4>
      </vt:variant>
      <vt:variant>
        <vt:i4>5</vt:i4>
      </vt:variant>
      <vt:variant>
        <vt:lpwstr/>
      </vt:variant>
      <vt:variant>
        <vt:lpwstr>_Toc459900104</vt:lpwstr>
      </vt:variant>
      <vt:variant>
        <vt:i4>1769532</vt:i4>
      </vt:variant>
      <vt:variant>
        <vt:i4>518</vt:i4>
      </vt:variant>
      <vt:variant>
        <vt:i4>0</vt:i4>
      </vt:variant>
      <vt:variant>
        <vt:i4>5</vt:i4>
      </vt:variant>
      <vt:variant>
        <vt:lpwstr/>
      </vt:variant>
      <vt:variant>
        <vt:lpwstr>_Toc459900103</vt:lpwstr>
      </vt:variant>
      <vt:variant>
        <vt:i4>1769532</vt:i4>
      </vt:variant>
      <vt:variant>
        <vt:i4>512</vt:i4>
      </vt:variant>
      <vt:variant>
        <vt:i4>0</vt:i4>
      </vt:variant>
      <vt:variant>
        <vt:i4>5</vt:i4>
      </vt:variant>
      <vt:variant>
        <vt:lpwstr/>
      </vt:variant>
      <vt:variant>
        <vt:lpwstr>_Toc459900102</vt:lpwstr>
      </vt:variant>
      <vt:variant>
        <vt:i4>1769532</vt:i4>
      </vt:variant>
      <vt:variant>
        <vt:i4>506</vt:i4>
      </vt:variant>
      <vt:variant>
        <vt:i4>0</vt:i4>
      </vt:variant>
      <vt:variant>
        <vt:i4>5</vt:i4>
      </vt:variant>
      <vt:variant>
        <vt:lpwstr/>
      </vt:variant>
      <vt:variant>
        <vt:lpwstr>_Toc459900101</vt:lpwstr>
      </vt:variant>
      <vt:variant>
        <vt:i4>1769532</vt:i4>
      </vt:variant>
      <vt:variant>
        <vt:i4>500</vt:i4>
      </vt:variant>
      <vt:variant>
        <vt:i4>0</vt:i4>
      </vt:variant>
      <vt:variant>
        <vt:i4>5</vt:i4>
      </vt:variant>
      <vt:variant>
        <vt:lpwstr/>
      </vt:variant>
      <vt:variant>
        <vt:lpwstr>_Toc459900100</vt:lpwstr>
      </vt:variant>
      <vt:variant>
        <vt:i4>1179709</vt:i4>
      </vt:variant>
      <vt:variant>
        <vt:i4>494</vt:i4>
      </vt:variant>
      <vt:variant>
        <vt:i4>0</vt:i4>
      </vt:variant>
      <vt:variant>
        <vt:i4>5</vt:i4>
      </vt:variant>
      <vt:variant>
        <vt:lpwstr/>
      </vt:variant>
      <vt:variant>
        <vt:lpwstr>_Toc459900099</vt:lpwstr>
      </vt:variant>
      <vt:variant>
        <vt:i4>1179709</vt:i4>
      </vt:variant>
      <vt:variant>
        <vt:i4>488</vt:i4>
      </vt:variant>
      <vt:variant>
        <vt:i4>0</vt:i4>
      </vt:variant>
      <vt:variant>
        <vt:i4>5</vt:i4>
      </vt:variant>
      <vt:variant>
        <vt:lpwstr/>
      </vt:variant>
      <vt:variant>
        <vt:lpwstr>_Toc459900098</vt:lpwstr>
      </vt:variant>
      <vt:variant>
        <vt:i4>1179709</vt:i4>
      </vt:variant>
      <vt:variant>
        <vt:i4>482</vt:i4>
      </vt:variant>
      <vt:variant>
        <vt:i4>0</vt:i4>
      </vt:variant>
      <vt:variant>
        <vt:i4>5</vt:i4>
      </vt:variant>
      <vt:variant>
        <vt:lpwstr/>
      </vt:variant>
      <vt:variant>
        <vt:lpwstr>_Toc459900097</vt:lpwstr>
      </vt:variant>
      <vt:variant>
        <vt:i4>1179709</vt:i4>
      </vt:variant>
      <vt:variant>
        <vt:i4>476</vt:i4>
      </vt:variant>
      <vt:variant>
        <vt:i4>0</vt:i4>
      </vt:variant>
      <vt:variant>
        <vt:i4>5</vt:i4>
      </vt:variant>
      <vt:variant>
        <vt:lpwstr/>
      </vt:variant>
      <vt:variant>
        <vt:lpwstr>_Toc459900096</vt:lpwstr>
      </vt:variant>
      <vt:variant>
        <vt:i4>1179709</vt:i4>
      </vt:variant>
      <vt:variant>
        <vt:i4>470</vt:i4>
      </vt:variant>
      <vt:variant>
        <vt:i4>0</vt:i4>
      </vt:variant>
      <vt:variant>
        <vt:i4>5</vt:i4>
      </vt:variant>
      <vt:variant>
        <vt:lpwstr/>
      </vt:variant>
      <vt:variant>
        <vt:lpwstr>_Toc459900095</vt:lpwstr>
      </vt:variant>
      <vt:variant>
        <vt:i4>1179709</vt:i4>
      </vt:variant>
      <vt:variant>
        <vt:i4>464</vt:i4>
      </vt:variant>
      <vt:variant>
        <vt:i4>0</vt:i4>
      </vt:variant>
      <vt:variant>
        <vt:i4>5</vt:i4>
      </vt:variant>
      <vt:variant>
        <vt:lpwstr/>
      </vt:variant>
      <vt:variant>
        <vt:lpwstr>_Toc459900094</vt:lpwstr>
      </vt:variant>
      <vt:variant>
        <vt:i4>1179709</vt:i4>
      </vt:variant>
      <vt:variant>
        <vt:i4>458</vt:i4>
      </vt:variant>
      <vt:variant>
        <vt:i4>0</vt:i4>
      </vt:variant>
      <vt:variant>
        <vt:i4>5</vt:i4>
      </vt:variant>
      <vt:variant>
        <vt:lpwstr/>
      </vt:variant>
      <vt:variant>
        <vt:lpwstr>_Toc459900093</vt:lpwstr>
      </vt:variant>
      <vt:variant>
        <vt:i4>1179709</vt:i4>
      </vt:variant>
      <vt:variant>
        <vt:i4>452</vt:i4>
      </vt:variant>
      <vt:variant>
        <vt:i4>0</vt:i4>
      </vt:variant>
      <vt:variant>
        <vt:i4>5</vt:i4>
      </vt:variant>
      <vt:variant>
        <vt:lpwstr/>
      </vt:variant>
      <vt:variant>
        <vt:lpwstr>_Toc459900092</vt:lpwstr>
      </vt:variant>
      <vt:variant>
        <vt:i4>1179709</vt:i4>
      </vt:variant>
      <vt:variant>
        <vt:i4>446</vt:i4>
      </vt:variant>
      <vt:variant>
        <vt:i4>0</vt:i4>
      </vt:variant>
      <vt:variant>
        <vt:i4>5</vt:i4>
      </vt:variant>
      <vt:variant>
        <vt:lpwstr/>
      </vt:variant>
      <vt:variant>
        <vt:lpwstr>_Toc459900091</vt:lpwstr>
      </vt:variant>
      <vt:variant>
        <vt:i4>1179709</vt:i4>
      </vt:variant>
      <vt:variant>
        <vt:i4>440</vt:i4>
      </vt:variant>
      <vt:variant>
        <vt:i4>0</vt:i4>
      </vt:variant>
      <vt:variant>
        <vt:i4>5</vt:i4>
      </vt:variant>
      <vt:variant>
        <vt:lpwstr/>
      </vt:variant>
      <vt:variant>
        <vt:lpwstr>_Toc459900090</vt:lpwstr>
      </vt:variant>
      <vt:variant>
        <vt:i4>1245245</vt:i4>
      </vt:variant>
      <vt:variant>
        <vt:i4>434</vt:i4>
      </vt:variant>
      <vt:variant>
        <vt:i4>0</vt:i4>
      </vt:variant>
      <vt:variant>
        <vt:i4>5</vt:i4>
      </vt:variant>
      <vt:variant>
        <vt:lpwstr/>
      </vt:variant>
      <vt:variant>
        <vt:lpwstr>_Toc459900089</vt:lpwstr>
      </vt:variant>
      <vt:variant>
        <vt:i4>1245245</vt:i4>
      </vt:variant>
      <vt:variant>
        <vt:i4>428</vt:i4>
      </vt:variant>
      <vt:variant>
        <vt:i4>0</vt:i4>
      </vt:variant>
      <vt:variant>
        <vt:i4>5</vt:i4>
      </vt:variant>
      <vt:variant>
        <vt:lpwstr/>
      </vt:variant>
      <vt:variant>
        <vt:lpwstr>_Toc459900088</vt:lpwstr>
      </vt:variant>
      <vt:variant>
        <vt:i4>1245245</vt:i4>
      </vt:variant>
      <vt:variant>
        <vt:i4>422</vt:i4>
      </vt:variant>
      <vt:variant>
        <vt:i4>0</vt:i4>
      </vt:variant>
      <vt:variant>
        <vt:i4>5</vt:i4>
      </vt:variant>
      <vt:variant>
        <vt:lpwstr/>
      </vt:variant>
      <vt:variant>
        <vt:lpwstr>_Toc459900087</vt:lpwstr>
      </vt:variant>
      <vt:variant>
        <vt:i4>1245245</vt:i4>
      </vt:variant>
      <vt:variant>
        <vt:i4>416</vt:i4>
      </vt:variant>
      <vt:variant>
        <vt:i4>0</vt:i4>
      </vt:variant>
      <vt:variant>
        <vt:i4>5</vt:i4>
      </vt:variant>
      <vt:variant>
        <vt:lpwstr/>
      </vt:variant>
      <vt:variant>
        <vt:lpwstr>_Toc459900086</vt:lpwstr>
      </vt:variant>
      <vt:variant>
        <vt:i4>1245245</vt:i4>
      </vt:variant>
      <vt:variant>
        <vt:i4>410</vt:i4>
      </vt:variant>
      <vt:variant>
        <vt:i4>0</vt:i4>
      </vt:variant>
      <vt:variant>
        <vt:i4>5</vt:i4>
      </vt:variant>
      <vt:variant>
        <vt:lpwstr/>
      </vt:variant>
      <vt:variant>
        <vt:lpwstr>_Toc459900085</vt:lpwstr>
      </vt:variant>
      <vt:variant>
        <vt:i4>1245245</vt:i4>
      </vt:variant>
      <vt:variant>
        <vt:i4>404</vt:i4>
      </vt:variant>
      <vt:variant>
        <vt:i4>0</vt:i4>
      </vt:variant>
      <vt:variant>
        <vt:i4>5</vt:i4>
      </vt:variant>
      <vt:variant>
        <vt:lpwstr/>
      </vt:variant>
      <vt:variant>
        <vt:lpwstr>_Toc459900084</vt:lpwstr>
      </vt:variant>
      <vt:variant>
        <vt:i4>1245245</vt:i4>
      </vt:variant>
      <vt:variant>
        <vt:i4>398</vt:i4>
      </vt:variant>
      <vt:variant>
        <vt:i4>0</vt:i4>
      </vt:variant>
      <vt:variant>
        <vt:i4>5</vt:i4>
      </vt:variant>
      <vt:variant>
        <vt:lpwstr/>
      </vt:variant>
      <vt:variant>
        <vt:lpwstr>_Toc459900083</vt:lpwstr>
      </vt:variant>
      <vt:variant>
        <vt:i4>1245245</vt:i4>
      </vt:variant>
      <vt:variant>
        <vt:i4>392</vt:i4>
      </vt:variant>
      <vt:variant>
        <vt:i4>0</vt:i4>
      </vt:variant>
      <vt:variant>
        <vt:i4>5</vt:i4>
      </vt:variant>
      <vt:variant>
        <vt:lpwstr/>
      </vt:variant>
      <vt:variant>
        <vt:lpwstr>_Toc459900082</vt:lpwstr>
      </vt:variant>
      <vt:variant>
        <vt:i4>1245245</vt:i4>
      </vt:variant>
      <vt:variant>
        <vt:i4>386</vt:i4>
      </vt:variant>
      <vt:variant>
        <vt:i4>0</vt:i4>
      </vt:variant>
      <vt:variant>
        <vt:i4>5</vt:i4>
      </vt:variant>
      <vt:variant>
        <vt:lpwstr/>
      </vt:variant>
      <vt:variant>
        <vt:lpwstr>_Toc459900081</vt:lpwstr>
      </vt:variant>
      <vt:variant>
        <vt:i4>1245245</vt:i4>
      </vt:variant>
      <vt:variant>
        <vt:i4>380</vt:i4>
      </vt:variant>
      <vt:variant>
        <vt:i4>0</vt:i4>
      </vt:variant>
      <vt:variant>
        <vt:i4>5</vt:i4>
      </vt:variant>
      <vt:variant>
        <vt:lpwstr/>
      </vt:variant>
      <vt:variant>
        <vt:lpwstr>_Toc459900080</vt:lpwstr>
      </vt:variant>
      <vt:variant>
        <vt:i4>1835069</vt:i4>
      </vt:variant>
      <vt:variant>
        <vt:i4>374</vt:i4>
      </vt:variant>
      <vt:variant>
        <vt:i4>0</vt:i4>
      </vt:variant>
      <vt:variant>
        <vt:i4>5</vt:i4>
      </vt:variant>
      <vt:variant>
        <vt:lpwstr/>
      </vt:variant>
      <vt:variant>
        <vt:lpwstr>_Toc459900079</vt:lpwstr>
      </vt:variant>
      <vt:variant>
        <vt:i4>1835069</vt:i4>
      </vt:variant>
      <vt:variant>
        <vt:i4>368</vt:i4>
      </vt:variant>
      <vt:variant>
        <vt:i4>0</vt:i4>
      </vt:variant>
      <vt:variant>
        <vt:i4>5</vt:i4>
      </vt:variant>
      <vt:variant>
        <vt:lpwstr/>
      </vt:variant>
      <vt:variant>
        <vt:lpwstr>_Toc459900078</vt:lpwstr>
      </vt:variant>
      <vt:variant>
        <vt:i4>1835069</vt:i4>
      </vt:variant>
      <vt:variant>
        <vt:i4>362</vt:i4>
      </vt:variant>
      <vt:variant>
        <vt:i4>0</vt:i4>
      </vt:variant>
      <vt:variant>
        <vt:i4>5</vt:i4>
      </vt:variant>
      <vt:variant>
        <vt:lpwstr/>
      </vt:variant>
      <vt:variant>
        <vt:lpwstr>_Toc459900077</vt:lpwstr>
      </vt:variant>
      <vt:variant>
        <vt:i4>1835069</vt:i4>
      </vt:variant>
      <vt:variant>
        <vt:i4>356</vt:i4>
      </vt:variant>
      <vt:variant>
        <vt:i4>0</vt:i4>
      </vt:variant>
      <vt:variant>
        <vt:i4>5</vt:i4>
      </vt:variant>
      <vt:variant>
        <vt:lpwstr/>
      </vt:variant>
      <vt:variant>
        <vt:lpwstr>_Toc459900076</vt:lpwstr>
      </vt:variant>
      <vt:variant>
        <vt:i4>1835069</vt:i4>
      </vt:variant>
      <vt:variant>
        <vt:i4>350</vt:i4>
      </vt:variant>
      <vt:variant>
        <vt:i4>0</vt:i4>
      </vt:variant>
      <vt:variant>
        <vt:i4>5</vt:i4>
      </vt:variant>
      <vt:variant>
        <vt:lpwstr/>
      </vt:variant>
      <vt:variant>
        <vt:lpwstr>_Toc459900075</vt:lpwstr>
      </vt:variant>
      <vt:variant>
        <vt:i4>1835069</vt:i4>
      </vt:variant>
      <vt:variant>
        <vt:i4>344</vt:i4>
      </vt:variant>
      <vt:variant>
        <vt:i4>0</vt:i4>
      </vt:variant>
      <vt:variant>
        <vt:i4>5</vt:i4>
      </vt:variant>
      <vt:variant>
        <vt:lpwstr/>
      </vt:variant>
      <vt:variant>
        <vt:lpwstr>_Toc459900074</vt:lpwstr>
      </vt:variant>
      <vt:variant>
        <vt:i4>1835069</vt:i4>
      </vt:variant>
      <vt:variant>
        <vt:i4>338</vt:i4>
      </vt:variant>
      <vt:variant>
        <vt:i4>0</vt:i4>
      </vt:variant>
      <vt:variant>
        <vt:i4>5</vt:i4>
      </vt:variant>
      <vt:variant>
        <vt:lpwstr/>
      </vt:variant>
      <vt:variant>
        <vt:lpwstr>_Toc459900073</vt:lpwstr>
      </vt:variant>
      <vt:variant>
        <vt:i4>1835069</vt:i4>
      </vt:variant>
      <vt:variant>
        <vt:i4>332</vt:i4>
      </vt:variant>
      <vt:variant>
        <vt:i4>0</vt:i4>
      </vt:variant>
      <vt:variant>
        <vt:i4>5</vt:i4>
      </vt:variant>
      <vt:variant>
        <vt:lpwstr/>
      </vt:variant>
      <vt:variant>
        <vt:lpwstr>_Toc459900072</vt:lpwstr>
      </vt:variant>
      <vt:variant>
        <vt:i4>1835069</vt:i4>
      </vt:variant>
      <vt:variant>
        <vt:i4>326</vt:i4>
      </vt:variant>
      <vt:variant>
        <vt:i4>0</vt:i4>
      </vt:variant>
      <vt:variant>
        <vt:i4>5</vt:i4>
      </vt:variant>
      <vt:variant>
        <vt:lpwstr/>
      </vt:variant>
      <vt:variant>
        <vt:lpwstr>_Toc459900071</vt:lpwstr>
      </vt:variant>
      <vt:variant>
        <vt:i4>1835069</vt:i4>
      </vt:variant>
      <vt:variant>
        <vt:i4>320</vt:i4>
      </vt:variant>
      <vt:variant>
        <vt:i4>0</vt:i4>
      </vt:variant>
      <vt:variant>
        <vt:i4>5</vt:i4>
      </vt:variant>
      <vt:variant>
        <vt:lpwstr/>
      </vt:variant>
      <vt:variant>
        <vt:lpwstr>_Toc459900070</vt:lpwstr>
      </vt:variant>
      <vt:variant>
        <vt:i4>1900605</vt:i4>
      </vt:variant>
      <vt:variant>
        <vt:i4>314</vt:i4>
      </vt:variant>
      <vt:variant>
        <vt:i4>0</vt:i4>
      </vt:variant>
      <vt:variant>
        <vt:i4>5</vt:i4>
      </vt:variant>
      <vt:variant>
        <vt:lpwstr/>
      </vt:variant>
      <vt:variant>
        <vt:lpwstr>_Toc459900069</vt:lpwstr>
      </vt:variant>
      <vt:variant>
        <vt:i4>1900605</vt:i4>
      </vt:variant>
      <vt:variant>
        <vt:i4>308</vt:i4>
      </vt:variant>
      <vt:variant>
        <vt:i4>0</vt:i4>
      </vt:variant>
      <vt:variant>
        <vt:i4>5</vt:i4>
      </vt:variant>
      <vt:variant>
        <vt:lpwstr/>
      </vt:variant>
      <vt:variant>
        <vt:lpwstr>_Toc459900068</vt:lpwstr>
      </vt:variant>
      <vt:variant>
        <vt:i4>1900605</vt:i4>
      </vt:variant>
      <vt:variant>
        <vt:i4>302</vt:i4>
      </vt:variant>
      <vt:variant>
        <vt:i4>0</vt:i4>
      </vt:variant>
      <vt:variant>
        <vt:i4>5</vt:i4>
      </vt:variant>
      <vt:variant>
        <vt:lpwstr/>
      </vt:variant>
      <vt:variant>
        <vt:lpwstr>_Toc459900067</vt:lpwstr>
      </vt:variant>
      <vt:variant>
        <vt:i4>1900605</vt:i4>
      </vt:variant>
      <vt:variant>
        <vt:i4>296</vt:i4>
      </vt:variant>
      <vt:variant>
        <vt:i4>0</vt:i4>
      </vt:variant>
      <vt:variant>
        <vt:i4>5</vt:i4>
      </vt:variant>
      <vt:variant>
        <vt:lpwstr/>
      </vt:variant>
      <vt:variant>
        <vt:lpwstr>_Toc459900066</vt:lpwstr>
      </vt:variant>
      <vt:variant>
        <vt:i4>1900605</vt:i4>
      </vt:variant>
      <vt:variant>
        <vt:i4>290</vt:i4>
      </vt:variant>
      <vt:variant>
        <vt:i4>0</vt:i4>
      </vt:variant>
      <vt:variant>
        <vt:i4>5</vt:i4>
      </vt:variant>
      <vt:variant>
        <vt:lpwstr/>
      </vt:variant>
      <vt:variant>
        <vt:lpwstr>_Toc459900065</vt:lpwstr>
      </vt:variant>
      <vt:variant>
        <vt:i4>1900605</vt:i4>
      </vt:variant>
      <vt:variant>
        <vt:i4>284</vt:i4>
      </vt:variant>
      <vt:variant>
        <vt:i4>0</vt:i4>
      </vt:variant>
      <vt:variant>
        <vt:i4>5</vt:i4>
      </vt:variant>
      <vt:variant>
        <vt:lpwstr/>
      </vt:variant>
      <vt:variant>
        <vt:lpwstr>_Toc459900064</vt:lpwstr>
      </vt:variant>
      <vt:variant>
        <vt:i4>1900605</vt:i4>
      </vt:variant>
      <vt:variant>
        <vt:i4>278</vt:i4>
      </vt:variant>
      <vt:variant>
        <vt:i4>0</vt:i4>
      </vt:variant>
      <vt:variant>
        <vt:i4>5</vt:i4>
      </vt:variant>
      <vt:variant>
        <vt:lpwstr/>
      </vt:variant>
      <vt:variant>
        <vt:lpwstr>_Toc459900063</vt:lpwstr>
      </vt:variant>
      <vt:variant>
        <vt:i4>1900605</vt:i4>
      </vt:variant>
      <vt:variant>
        <vt:i4>272</vt:i4>
      </vt:variant>
      <vt:variant>
        <vt:i4>0</vt:i4>
      </vt:variant>
      <vt:variant>
        <vt:i4>5</vt:i4>
      </vt:variant>
      <vt:variant>
        <vt:lpwstr/>
      </vt:variant>
      <vt:variant>
        <vt:lpwstr>_Toc459900062</vt:lpwstr>
      </vt:variant>
      <vt:variant>
        <vt:i4>1900605</vt:i4>
      </vt:variant>
      <vt:variant>
        <vt:i4>266</vt:i4>
      </vt:variant>
      <vt:variant>
        <vt:i4>0</vt:i4>
      </vt:variant>
      <vt:variant>
        <vt:i4>5</vt:i4>
      </vt:variant>
      <vt:variant>
        <vt:lpwstr/>
      </vt:variant>
      <vt:variant>
        <vt:lpwstr>_Toc459900061</vt:lpwstr>
      </vt:variant>
      <vt:variant>
        <vt:i4>1900605</vt:i4>
      </vt:variant>
      <vt:variant>
        <vt:i4>260</vt:i4>
      </vt:variant>
      <vt:variant>
        <vt:i4>0</vt:i4>
      </vt:variant>
      <vt:variant>
        <vt:i4>5</vt:i4>
      </vt:variant>
      <vt:variant>
        <vt:lpwstr/>
      </vt:variant>
      <vt:variant>
        <vt:lpwstr>_Toc459900060</vt:lpwstr>
      </vt:variant>
      <vt:variant>
        <vt:i4>1966141</vt:i4>
      </vt:variant>
      <vt:variant>
        <vt:i4>254</vt:i4>
      </vt:variant>
      <vt:variant>
        <vt:i4>0</vt:i4>
      </vt:variant>
      <vt:variant>
        <vt:i4>5</vt:i4>
      </vt:variant>
      <vt:variant>
        <vt:lpwstr/>
      </vt:variant>
      <vt:variant>
        <vt:lpwstr>_Toc459900059</vt:lpwstr>
      </vt:variant>
      <vt:variant>
        <vt:i4>1966141</vt:i4>
      </vt:variant>
      <vt:variant>
        <vt:i4>248</vt:i4>
      </vt:variant>
      <vt:variant>
        <vt:i4>0</vt:i4>
      </vt:variant>
      <vt:variant>
        <vt:i4>5</vt:i4>
      </vt:variant>
      <vt:variant>
        <vt:lpwstr/>
      </vt:variant>
      <vt:variant>
        <vt:lpwstr>_Toc459900058</vt:lpwstr>
      </vt:variant>
      <vt:variant>
        <vt:i4>1966141</vt:i4>
      </vt:variant>
      <vt:variant>
        <vt:i4>242</vt:i4>
      </vt:variant>
      <vt:variant>
        <vt:i4>0</vt:i4>
      </vt:variant>
      <vt:variant>
        <vt:i4>5</vt:i4>
      </vt:variant>
      <vt:variant>
        <vt:lpwstr/>
      </vt:variant>
      <vt:variant>
        <vt:lpwstr>_Toc459900057</vt:lpwstr>
      </vt:variant>
      <vt:variant>
        <vt:i4>1966141</vt:i4>
      </vt:variant>
      <vt:variant>
        <vt:i4>236</vt:i4>
      </vt:variant>
      <vt:variant>
        <vt:i4>0</vt:i4>
      </vt:variant>
      <vt:variant>
        <vt:i4>5</vt:i4>
      </vt:variant>
      <vt:variant>
        <vt:lpwstr/>
      </vt:variant>
      <vt:variant>
        <vt:lpwstr>_Toc459900056</vt:lpwstr>
      </vt:variant>
      <vt:variant>
        <vt:i4>1966141</vt:i4>
      </vt:variant>
      <vt:variant>
        <vt:i4>230</vt:i4>
      </vt:variant>
      <vt:variant>
        <vt:i4>0</vt:i4>
      </vt:variant>
      <vt:variant>
        <vt:i4>5</vt:i4>
      </vt:variant>
      <vt:variant>
        <vt:lpwstr/>
      </vt:variant>
      <vt:variant>
        <vt:lpwstr>_Toc459900055</vt:lpwstr>
      </vt:variant>
      <vt:variant>
        <vt:i4>1966141</vt:i4>
      </vt:variant>
      <vt:variant>
        <vt:i4>224</vt:i4>
      </vt:variant>
      <vt:variant>
        <vt:i4>0</vt:i4>
      </vt:variant>
      <vt:variant>
        <vt:i4>5</vt:i4>
      </vt:variant>
      <vt:variant>
        <vt:lpwstr/>
      </vt:variant>
      <vt:variant>
        <vt:lpwstr>_Toc459900054</vt:lpwstr>
      </vt:variant>
      <vt:variant>
        <vt:i4>1966141</vt:i4>
      </vt:variant>
      <vt:variant>
        <vt:i4>218</vt:i4>
      </vt:variant>
      <vt:variant>
        <vt:i4>0</vt:i4>
      </vt:variant>
      <vt:variant>
        <vt:i4>5</vt:i4>
      </vt:variant>
      <vt:variant>
        <vt:lpwstr/>
      </vt:variant>
      <vt:variant>
        <vt:lpwstr>_Toc459900053</vt:lpwstr>
      </vt:variant>
      <vt:variant>
        <vt:i4>1966141</vt:i4>
      </vt:variant>
      <vt:variant>
        <vt:i4>212</vt:i4>
      </vt:variant>
      <vt:variant>
        <vt:i4>0</vt:i4>
      </vt:variant>
      <vt:variant>
        <vt:i4>5</vt:i4>
      </vt:variant>
      <vt:variant>
        <vt:lpwstr/>
      </vt:variant>
      <vt:variant>
        <vt:lpwstr>_Toc459900052</vt:lpwstr>
      </vt:variant>
      <vt:variant>
        <vt:i4>1966141</vt:i4>
      </vt:variant>
      <vt:variant>
        <vt:i4>206</vt:i4>
      </vt:variant>
      <vt:variant>
        <vt:i4>0</vt:i4>
      </vt:variant>
      <vt:variant>
        <vt:i4>5</vt:i4>
      </vt:variant>
      <vt:variant>
        <vt:lpwstr/>
      </vt:variant>
      <vt:variant>
        <vt:lpwstr>_Toc459900051</vt:lpwstr>
      </vt:variant>
      <vt:variant>
        <vt:i4>1966141</vt:i4>
      </vt:variant>
      <vt:variant>
        <vt:i4>200</vt:i4>
      </vt:variant>
      <vt:variant>
        <vt:i4>0</vt:i4>
      </vt:variant>
      <vt:variant>
        <vt:i4>5</vt:i4>
      </vt:variant>
      <vt:variant>
        <vt:lpwstr/>
      </vt:variant>
      <vt:variant>
        <vt:lpwstr>_Toc459900050</vt:lpwstr>
      </vt:variant>
      <vt:variant>
        <vt:i4>2031677</vt:i4>
      </vt:variant>
      <vt:variant>
        <vt:i4>194</vt:i4>
      </vt:variant>
      <vt:variant>
        <vt:i4>0</vt:i4>
      </vt:variant>
      <vt:variant>
        <vt:i4>5</vt:i4>
      </vt:variant>
      <vt:variant>
        <vt:lpwstr/>
      </vt:variant>
      <vt:variant>
        <vt:lpwstr>_Toc459900049</vt:lpwstr>
      </vt:variant>
      <vt:variant>
        <vt:i4>2031677</vt:i4>
      </vt:variant>
      <vt:variant>
        <vt:i4>188</vt:i4>
      </vt:variant>
      <vt:variant>
        <vt:i4>0</vt:i4>
      </vt:variant>
      <vt:variant>
        <vt:i4>5</vt:i4>
      </vt:variant>
      <vt:variant>
        <vt:lpwstr/>
      </vt:variant>
      <vt:variant>
        <vt:lpwstr>_Toc459900048</vt:lpwstr>
      </vt:variant>
      <vt:variant>
        <vt:i4>2031677</vt:i4>
      </vt:variant>
      <vt:variant>
        <vt:i4>182</vt:i4>
      </vt:variant>
      <vt:variant>
        <vt:i4>0</vt:i4>
      </vt:variant>
      <vt:variant>
        <vt:i4>5</vt:i4>
      </vt:variant>
      <vt:variant>
        <vt:lpwstr/>
      </vt:variant>
      <vt:variant>
        <vt:lpwstr>_Toc459900047</vt:lpwstr>
      </vt:variant>
      <vt:variant>
        <vt:i4>2031677</vt:i4>
      </vt:variant>
      <vt:variant>
        <vt:i4>176</vt:i4>
      </vt:variant>
      <vt:variant>
        <vt:i4>0</vt:i4>
      </vt:variant>
      <vt:variant>
        <vt:i4>5</vt:i4>
      </vt:variant>
      <vt:variant>
        <vt:lpwstr/>
      </vt:variant>
      <vt:variant>
        <vt:lpwstr>_Toc459900046</vt:lpwstr>
      </vt:variant>
      <vt:variant>
        <vt:i4>2031677</vt:i4>
      </vt:variant>
      <vt:variant>
        <vt:i4>170</vt:i4>
      </vt:variant>
      <vt:variant>
        <vt:i4>0</vt:i4>
      </vt:variant>
      <vt:variant>
        <vt:i4>5</vt:i4>
      </vt:variant>
      <vt:variant>
        <vt:lpwstr/>
      </vt:variant>
      <vt:variant>
        <vt:lpwstr>_Toc459900045</vt:lpwstr>
      </vt:variant>
      <vt:variant>
        <vt:i4>2031677</vt:i4>
      </vt:variant>
      <vt:variant>
        <vt:i4>164</vt:i4>
      </vt:variant>
      <vt:variant>
        <vt:i4>0</vt:i4>
      </vt:variant>
      <vt:variant>
        <vt:i4>5</vt:i4>
      </vt:variant>
      <vt:variant>
        <vt:lpwstr/>
      </vt:variant>
      <vt:variant>
        <vt:lpwstr>_Toc459900044</vt:lpwstr>
      </vt:variant>
      <vt:variant>
        <vt:i4>2031677</vt:i4>
      </vt:variant>
      <vt:variant>
        <vt:i4>158</vt:i4>
      </vt:variant>
      <vt:variant>
        <vt:i4>0</vt:i4>
      </vt:variant>
      <vt:variant>
        <vt:i4>5</vt:i4>
      </vt:variant>
      <vt:variant>
        <vt:lpwstr/>
      </vt:variant>
      <vt:variant>
        <vt:lpwstr>_Toc459900043</vt:lpwstr>
      </vt:variant>
      <vt:variant>
        <vt:i4>2031677</vt:i4>
      </vt:variant>
      <vt:variant>
        <vt:i4>152</vt:i4>
      </vt:variant>
      <vt:variant>
        <vt:i4>0</vt:i4>
      </vt:variant>
      <vt:variant>
        <vt:i4>5</vt:i4>
      </vt:variant>
      <vt:variant>
        <vt:lpwstr/>
      </vt:variant>
      <vt:variant>
        <vt:lpwstr>_Toc459900042</vt:lpwstr>
      </vt:variant>
      <vt:variant>
        <vt:i4>2031677</vt:i4>
      </vt:variant>
      <vt:variant>
        <vt:i4>146</vt:i4>
      </vt:variant>
      <vt:variant>
        <vt:i4>0</vt:i4>
      </vt:variant>
      <vt:variant>
        <vt:i4>5</vt:i4>
      </vt:variant>
      <vt:variant>
        <vt:lpwstr/>
      </vt:variant>
      <vt:variant>
        <vt:lpwstr>_Toc459900041</vt:lpwstr>
      </vt:variant>
      <vt:variant>
        <vt:i4>2031677</vt:i4>
      </vt:variant>
      <vt:variant>
        <vt:i4>140</vt:i4>
      </vt:variant>
      <vt:variant>
        <vt:i4>0</vt:i4>
      </vt:variant>
      <vt:variant>
        <vt:i4>5</vt:i4>
      </vt:variant>
      <vt:variant>
        <vt:lpwstr/>
      </vt:variant>
      <vt:variant>
        <vt:lpwstr>_Toc459900040</vt:lpwstr>
      </vt:variant>
      <vt:variant>
        <vt:i4>1572925</vt:i4>
      </vt:variant>
      <vt:variant>
        <vt:i4>134</vt:i4>
      </vt:variant>
      <vt:variant>
        <vt:i4>0</vt:i4>
      </vt:variant>
      <vt:variant>
        <vt:i4>5</vt:i4>
      </vt:variant>
      <vt:variant>
        <vt:lpwstr/>
      </vt:variant>
      <vt:variant>
        <vt:lpwstr>_Toc459900039</vt:lpwstr>
      </vt:variant>
      <vt:variant>
        <vt:i4>1572925</vt:i4>
      </vt:variant>
      <vt:variant>
        <vt:i4>128</vt:i4>
      </vt:variant>
      <vt:variant>
        <vt:i4>0</vt:i4>
      </vt:variant>
      <vt:variant>
        <vt:i4>5</vt:i4>
      </vt:variant>
      <vt:variant>
        <vt:lpwstr/>
      </vt:variant>
      <vt:variant>
        <vt:lpwstr>_Toc459900038</vt:lpwstr>
      </vt:variant>
      <vt:variant>
        <vt:i4>1572925</vt:i4>
      </vt:variant>
      <vt:variant>
        <vt:i4>122</vt:i4>
      </vt:variant>
      <vt:variant>
        <vt:i4>0</vt:i4>
      </vt:variant>
      <vt:variant>
        <vt:i4>5</vt:i4>
      </vt:variant>
      <vt:variant>
        <vt:lpwstr/>
      </vt:variant>
      <vt:variant>
        <vt:lpwstr>_Toc459900037</vt:lpwstr>
      </vt:variant>
      <vt:variant>
        <vt:i4>1572925</vt:i4>
      </vt:variant>
      <vt:variant>
        <vt:i4>116</vt:i4>
      </vt:variant>
      <vt:variant>
        <vt:i4>0</vt:i4>
      </vt:variant>
      <vt:variant>
        <vt:i4>5</vt:i4>
      </vt:variant>
      <vt:variant>
        <vt:lpwstr/>
      </vt:variant>
      <vt:variant>
        <vt:lpwstr>_Toc459900036</vt:lpwstr>
      </vt:variant>
      <vt:variant>
        <vt:i4>1572925</vt:i4>
      </vt:variant>
      <vt:variant>
        <vt:i4>110</vt:i4>
      </vt:variant>
      <vt:variant>
        <vt:i4>0</vt:i4>
      </vt:variant>
      <vt:variant>
        <vt:i4>5</vt:i4>
      </vt:variant>
      <vt:variant>
        <vt:lpwstr/>
      </vt:variant>
      <vt:variant>
        <vt:lpwstr>_Toc459900035</vt:lpwstr>
      </vt:variant>
      <vt:variant>
        <vt:i4>1572925</vt:i4>
      </vt:variant>
      <vt:variant>
        <vt:i4>104</vt:i4>
      </vt:variant>
      <vt:variant>
        <vt:i4>0</vt:i4>
      </vt:variant>
      <vt:variant>
        <vt:i4>5</vt:i4>
      </vt:variant>
      <vt:variant>
        <vt:lpwstr/>
      </vt:variant>
      <vt:variant>
        <vt:lpwstr>_Toc459900034</vt:lpwstr>
      </vt:variant>
      <vt:variant>
        <vt:i4>1572925</vt:i4>
      </vt:variant>
      <vt:variant>
        <vt:i4>98</vt:i4>
      </vt:variant>
      <vt:variant>
        <vt:i4>0</vt:i4>
      </vt:variant>
      <vt:variant>
        <vt:i4>5</vt:i4>
      </vt:variant>
      <vt:variant>
        <vt:lpwstr/>
      </vt:variant>
      <vt:variant>
        <vt:lpwstr>_Toc459900033</vt:lpwstr>
      </vt:variant>
      <vt:variant>
        <vt:i4>1572925</vt:i4>
      </vt:variant>
      <vt:variant>
        <vt:i4>92</vt:i4>
      </vt:variant>
      <vt:variant>
        <vt:i4>0</vt:i4>
      </vt:variant>
      <vt:variant>
        <vt:i4>5</vt:i4>
      </vt:variant>
      <vt:variant>
        <vt:lpwstr/>
      </vt:variant>
      <vt:variant>
        <vt:lpwstr>_Toc459900032</vt:lpwstr>
      </vt:variant>
      <vt:variant>
        <vt:i4>1572925</vt:i4>
      </vt:variant>
      <vt:variant>
        <vt:i4>86</vt:i4>
      </vt:variant>
      <vt:variant>
        <vt:i4>0</vt:i4>
      </vt:variant>
      <vt:variant>
        <vt:i4>5</vt:i4>
      </vt:variant>
      <vt:variant>
        <vt:lpwstr/>
      </vt:variant>
      <vt:variant>
        <vt:lpwstr>_Toc459900031</vt:lpwstr>
      </vt:variant>
      <vt:variant>
        <vt:i4>1572925</vt:i4>
      </vt:variant>
      <vt:variant>
        <vt:i4>80</vt:i4>
      </vt:variant>
      <vt:variant>
        <vt:i4>0</vt:i4>
      </vt:variant>
      <vt:variant>
        <vt:i4>5</vt:i4>
      </vt:variant>
      <vt:variant>
        <vt:lpwstr/>
      </vt:variant>
      <vt:variant>
        <vt:lpwstr>_Toc459900030</vt:lpwstr>
      </vt:variant>
      <vt:variant>
        <vt:i4>1638461</vt:i4>
      </vt:variant>
      <vt:variant>
        <vt:i4>74</vt:i4>
      </vt:variant>
      <vt:variant>
        <vt:i4>0</vt:i4>
      </vt:variant>
      <vt:variant>
        <vt:i4>5</vt:i4>
      </vt:variant>
      <vt:variant>
        <vt:lpwstr/>
      </vt:variant>
      <vt:variant>
        <vt:lpwstr>_Toc459900029</vt:lpwstr>
      </vt:variant>
      <vt:variant>
        <vt:i4>1638461</vt:i4>
      </vt:variant>
      <vt:variant>
        <vt:i4>68</vt:i4>
      </vt:variant>
      <vt:variant>
        <vt:i4>0</vt:i4>
      </vt:variant>
      <vt:variant>
        <vt:i4>5</vt:i4>
      </vt:variant>
      <vt:variant>
        <vt:lpwstr/>
      </vt:variant>
      <vt:variant>
        <vt:lpwstr>_Toc459900028</vt:lpwstr>
      </vt:variant>
      <vt:variant>
        <vt:i4>1638461</vt:i4>
      </vt:variant>
      <vt:variant>
        <vt:i4>62</vt:i4>
      </vt:variant>
      <vt:variant>
        <vt:i4>0</vt:i4>
      </vt:variant>
      <vt:variant>
        <vt:i4>5</vt:i4>
      </vt:variant>
      <vt:variant>
        <vt:lpwstr/>
      </vt:variant>
      <vt:variant>
        <vt:lpwstr>_Toc459900027</vt:lpwstr>
      </vt:variant>
      <vt:variant>
        <vt:i4>1638461</vt:i4>
      </vt:variant>
      <vt:variant>
        <vt:i4>56</vt:i4>
      </vt:variant>
      <vt:variant>
        <vt:i4>0</vt:i4>
      </vt:variant>
      <vt:variant>
        <vt:i4>5</vt:i4>
      </vt:variant>
      <vt:variant>
        <vt:lpwstr/>
      </vt:variant>
      <vt:variant>
        <vt:lpwstr>_Toc459900026</vt:lpwstr>
      </vt:variant>
      <vt:variant>
        <vt:i4>1638461</vt:i4>
      </vt:variant>
      <vt:variant>
        <vt:i4>50</vt:i4>
      </vt:variant>
      <vt:variant>
        <vt:i4>0</vt:i4>
      </vt:variant>
      <vt:variant>
        <vt:i4>5</vt:i4>
      </vt:variant>
      <vt:variant>
        <vt:lpwstr/>
      </vt:variant>
      <vt:variant>
        <vt:lpwstr>_Toc459900025</vt:lpwstr>
      </vt:variant>
      <vt:variant>
        <vt:i4>1638461</vt:i4>
      </vt:variant>
      <vt:variant>
        <vt:i4>44</vt:i4>
      </vt:variant>
      <vt:variant>
        <vt:i4>0</vt:i4>
      </vt:variant>
      <vt:variant>
        <vt:i4>5</vt:i4>
      </vt:variant>
      <vt:variant>
        <vt:lpwstr/>
      </vt:variant>
      <vt:variant>
        <vt:lpwstr>_Toc459900024</vt:lpwstr>
      </vt:variant>
      <vt:variant>
        <vt:i4>1638461</vt:i4>
      </vt:variant>
      <vt:variant>
        <vt:i4>38</vt:i4>
      </vt:variant>
      <vt:variant>
        <vt:i4>0</vt:i4>
      </vt:variant>
      <vt:variant>
        <vt:i4>5</vt:i4>
      </vt:variant>
      <vt:variant>
        <vt:lpwstr/>
      </vt:variant>
      <vt:variant>
        <vt:lpwstr>_Toc459900023</vt:lpwstr>
      </vt:variant>
      <vt:variant>
        <vt:i4>1638461</vt:i4>
      </vt:variant>
      <vt:variant>
        <vt:i4>32</vt:i4>
      </vt:variant>
      <vt:variant>
        <vt:i4>0</vt:i4>
      </vt:variant>
      <vt:variant>
        <vt:i4>5</vt:i4>
      </vt:variant>
      <vt:variant>
        <vt:lpwstr/>
      </vt:variant>
      <vt:variant>
        <vt:lpwstr>_Toc459900022</vt:lpwstr>
      </vt:variant>
      <vt:variant>
        <vt:i4>1638461</vt:i4>
      </vt:variant>
      <vt:variant>
        <vt:i4>26</vt:i4>
      </vt:variant>
      <vt:variant>
        <vt:i4>0</vt:i4>
      </vt:variant>
      <vt:variant>
        <vt:i4>5</vt:i4>
      </vt:variant>
      <vt:variant>
        <vt:lpwstr/>
      </vt:variant>
      <vt:variant>
        <vt:lpwstr>_Toc459900021</vt:lpwstr>
      </vt:variant>
      <vt:variant>
        <vt:i4>1638461</vt:i4>
      </vt:variant>
      <vt:variant>
        <vt:i4>20</vt:i4>
      </vt:variant>
      <vt:variant>
        <vt:i4>0</vt:i4>
      </vt:variant>
      <vt:variant>
        <vt:i4>5</vt:i4>
      </vt:variant>
      <vt:variant>
        <vt:lpwstr/>
      </vt:variant>
      <vt:variant>
        <vt:lpwstr>_Toc459900020</vt:lpwstr>
      </vt:variant>
      <vt:variant>
        <vt:i4>1703997</vt:i4>
      </vt:variant>
      <vt:variant>
        <vt:i4>14</vt:i4>
      </vt:variant>
      <vt:variant>
        <vt:i4>0</vt:i4>
      </vt:variant>
      <vt:variant>
        <vt:i4>5</vt:i4>
      </vt:variant>
      <vt:variant>
        <vt:lpwstr/>
      </vt:variant>
      <vt:variant>
        <vt:lpwstr>_Toc459900019</vt:lpwstr>
      </vt:variant>
      <vt:variant>
        <vt:i4>1703997</vt:i4>
      </vt:variant>
      <vt:variant>
        <vt:i4>8</vt:i4>
      </vt:variant>
      <vt:variant>
        <vt:i4>0</vt:i4>
      </vt:variant>
      <vt:variant>
        <vt:i4>5</vt:i4>
      </vt:variant>
      <vt:variant>
        <vt:lpwstr/>
      </vt:variant>
      <vt:variant>
        <vt:lpwstr>_Toc459900018</vt:lpwstr>
      </vt:variant>
      <vt:variant>
        <vt:i4>1703997</vt:i4>
      </vt:variant>
      <vt:variant>
        <vt:i4>2</vt:i4>
      </vt:variant>
      <vt:variant>
        <vt:i4>0</vt:i4>
      </vt:variant>
      <vt:variant>
        <vt:i4>5</vt:i4>
      </vt:variant>
      <vt:variant>
        <vt:lpwstr/>
      </vt:variant>
      <vt:variant>
        <vt:lpwstr>_Toc459900017</vt:lpwstr>
      </vt:variant>
      <vt:variant>
        <vt:i4>3604490</vt:i4>
      </vt:variant>
      <vt:variant>
        <vt:i4>78485</vt:i4>
      </vt:variant>
      <vt:variant>
        <vt:i4>1056</vt:i4>
      </vt:variant>
      <vt:variant>
        <vt:i4>1</vt:i4>
      </vt:variant>
      <vt:variant>
        <vt:lpwstr>cid:image001.png@01CE3B7C.276C5E40</vt:lpwstr>
      </vt:variant>
      <vt:variant>
        <vt:lpwstr/>
      </vt:variant>
      <vt:variant>
        <vt:i4>3473422</vt:i4>
      </vt:variant>
      <vt:variant>
        <vt:i4>79615</vt:i4>
      </vt:variant>
      <vt:variant>
        <vt:i4>1058</vt:i4>
      </vt:variant>
      <vt:variant>
        <vt:i4>1</vt:i4>
      </vt:variant>
      <vt:variant>
        <vt:lpwstr>cid:image001.png@01CE3F3B.609C9D20</vt:lpwstr>
      </vt:variant>
      <vt:variant>
        <vt:lpwstr/>
      </vt:variant>
      <vt:variant>
        <vt:i4>3473453</vt:i4>
      </vt:variant>
      <vt:variant>
        <vt:i4>106655</vt:i4>
      </vt:variant>
      <vt:variant>
        <vt:i4>1094</vt:i4>
      </vt:variant>
      <vt:variant>
        <vt:i4>1</vt:i4>
      </vt:variant>
      <vt:variant>
        <vt:lpwstr>http://msdn.microsoft.com/library/en-us/dnacc/html/atg_keyboardshortcuts_10.gif</vt:lpwstr>
      </vt:variant>
      <vt:variant>
        <vt:lpwstr/>
      </vt:variant>
      <vt:variant>
        <vt:i4>3473453</vt:i4>
      </vt:variant>
      <vt:variant>
        <vt:i4>250167</vt:i4>
      </vt:variant>
      <vt:variant>
        <vt:i4>1171</vt:i4>
      </vt:variant>
      <vt:variant>
        <vt:i4>1</vt:i4>
      </vt:variant>
      <vt:variant>
        <vt:lpwstr>http://msdn.microsoft.com/library/en-us/dnacc/html/atg_keyboardshortcuts_10.gif</vt:lpwstr>
      </vt:variant>
      <vt:variant>
        <vt:lpwstr/>
      </vt:variant>
      <vt:variant>
        <vt:i4>3604572</vt:i4>
      </vt:variant>
      <vt:variant>
        <vt:i4>447840</vt:i4>
      </vt:variant>
      <vt:variant>
        <vt:i4>1215</vt:i4>
      </vt:variant>
      <vt:variant>
        <vt:i4>1</vt:i4>
      </vt:variant>
      <vt:variant>
        <vt:lpwstr>cid:image002.png@01D09C8D.1B51ECA0</vt:lpwstr>
      </vt:variant>
      <vt:variant>
        <vt:lpwstr/>
      </vt:variant>
      <vt:variant>
        <vt:i4>3539036</vt:i4>
      </vt:variant>
      <vt:variant>
        <vt:i4>447918</vt:i4>
      </vt:variant>
      <vt:variant>
        <vt:i4>1216</vt:i4>
      </vt:variant>
      <vt:variant>
        <vt:i4>1</vt:i4>
      </vt:variant>
      <vt:variant>
        <vt:lpwstr>cid:image003.png@01D09C8D.1B51ECA0</vt:lpwstr>
      </vt:variant>
      <vt:variant>
        <vt:lpwstr/>
      </vt:variant>
      <vt:variant>
        <vt:i4>2424896</vt:i4>
      </vt:variant>
      <vt:variant>
        <vt:i4>588575</vt:i4>
      </vt:variant>
      <vt:variant>
        <vt:i4>1263</vt:i4>
      </vt:variant>
      <vt:variant>
        <vt:i4>1</vt:i4>
      </vt:variant>
      <vt:variant>
        <vt:lpwstr>cid:image001.jpg@01CFF8D3.98CB1E30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VBECS user guide</dc:title>
  <dc:creator>Darlene Brill</dc:creator>
  <cp:lastModifiedBy>Kevin Kania</cp:lastModifiedBy>
  <cp:revision>2</cp:revision>
  <cp:lastPrinted>2016-04-06T11:35:00Z</cp:lastPrinted>
  <dcterms:created xsi:type="dcterms:W3CDTF">2016-10-21T17:01:00Z</dcterms:created>
  <dcterms:modified xsi:type="dcterms:W3CDTF">2016-10-21T17:01:00Z</dcterms:modified>
</cp:coreProperties>
</file>